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27073" w14:textId="77777777" w:rsidR="0013303A" w:rsidRPr="00A94F5F" w:rsidRDefault="0013303A" w:rsidP="0013303A">
      <w:pPr>
        <w:keepNext/>
        <w:spacing w:after="230"/>
        <w:jc w:val="right"/>
        <w:outlineLvl w:val="0"/>
        <w:rPr>
          <w:rFonts w:cs="Times"/>
          <w:b/>
          <w:color w:val="808080"/>
        </w:rPr>
      </w:pPr>
      <w:r w:rsidRPr="00A94F5F">
        <w:rPr>
          <w:rFonts w:cs="Times"/>
          <w:b/>
          <w:color w:val="808080"/>
        </w:rPr>
        <w:t>INFORMACIÓN DE PRENSA</w:t>
      </w:r>
      <w:r w:rsidRPr="00A94F5F">
        <w:rPr>
          <w:rFonts w:cs="Times"/>
          <w:b/>
          <w:color w:val="808080"/>
        </w:rPr>
        <w:br/>
      </w:r>
      <w:r w:rsidR="00A73BBE" w:rsidRPr="00A94F5F">
        <w:rPr>
          <w:rFonts w:cs="Times"/>
          <w:color w:val="808080"/>
        </w:rPr>
        <w:fldChar w:fldCharType="begin"/>
      </w:r>
      <w:r w:rsidRPr="00A94F5F">
        <w:rPr>
          <w:rFonts w:cs="Times"/>
          <w:color w:val="808080"/>
        </w:rPr>
        <w:instrText xml:space="preserve"> TIME \@ "dd/MM/yyyy" </w:instrText>
      </w:r>
      <w:r w:rsidR="00A73BBE" w:rsidRPr="00A94F5F">
        <w:rPr>
          <w:rFonts w:cs="Times"/>
          <w:color w:val="808080"/>
        </w:rPr>
        <w:fldChar w:fldCharType="separate"/>
      </w:r>
      <w:r w:rsidR="00C5360F">
        <w:rPr>
          <w:rFonts w:cs="Times"/>
          <w:noProof/>
          <w:color w:val="808080"/>
        </w:rPr>
        <w:t>23/10/2014</w:t>
      </w:r>
      <w:r w:rsidR="00A73BBE" w:rsidRPr="00A94F5F">
        <w:rPr>
          <w:rFonts w:cs="Times"/>
          <w:color w:val="808080"/>
        </w:rPr>
        <w:fldChar w:fldCharType="end"/>
      </w:r>
    </w:p>
    <w:p w14:paraId="6CE09117" w14:textId="77777777" w:rsidR="001466B0" w:rsidRPr="00A94F5F" w:rsidRDefault="001466B0" w:rsidP="001466B0">
      <w:pPr>
        <w:pStyle w:val="TITULARMICHELIN"/>
        <w:spacing w:after="230"/>
        <w:rPr>
          <w:rFonts w:ascii="Arial" w:hAnsi="Arial" w:cs="Arial"/>
          <w:szCs w:val="26"/>
        </w:rPr>
      </w:pPr>
    </w:p>
    <w:p w14:paraId="7E2B0ABA" w14:textId="188320A4" w:rsidR="00BF4FFF" w:rsidRPr="00A94F5F" w:rsidRDefault="00BF4FFF" w:rsidP="00BF4FFF">
      <w:pPr>
        <w:spacing w:after="120" w:line="360" w:lineRule="exact"/>
        <w:rPr>
          <w:b/>
          <w:color w:val="365F91" w:themeColor="accent1" w:themeShade="BF"/>
          <w:sz w:val="28"/>
          <w:szCs w:val="26"/>
        </w:rPr>
      </w:pPr>
      <w:r w:rsidRPr="00A94F5F">
        <w:rPr>
          <w:b/>
          <w:snapToGrid w:val="0"/>
          <w:color w:val="333399"/>
          <w:sz w:val="40"/>
          <w:szCs w:val="26"/>
        </w:rPr>
        <w:t xml:space="preserve">Resultados financieros del Grupo Michelin </w:t>
      </w:r>
      <w:r w:rsidRPr="00A94F5F">
        <w:rPr>
          <w:b/>
          <w:snapToGrid w:val="0"/>
          <w:color w:val="333399"/>
          <w:sz w:val="40"/>
          <w:szCs w:val="26"/>
        </w:rPr>
        <w:br/>
      </w:r>
      <w:r w:rsidRPr="00A94F5F">
        <w:rPr>
          <w:b/>
          <w:color w:val="365F91" w:themeColor="accent1" w:themeShade="BF"/>
          <w:sz w:val="28"/>
          <w:szCs w:val="26"/>
        </w:rPr>
        <w:t xml:space="preserve">Información financiera correspondiente </w:t>
      </w:r>
      <w:r w:rsidR="00E02024" w:rsidRPr="00A94F5F">
        <w:rPr>
          <w:b/>
          <w:color w:val="365F91" w:themeColor="accent1" w:themeShade="BF"/>
          <w:sz w:val="28"/>
          <w:szCs w:val="26"/>
        </w:rPr>
        <w:t>a 30 de septiembre de 201</w:t>
      </w:r>
      <w:r w:rsidR="00245F15" w:rsidRPr="00A94F5F">
        <w:rPr>
          <w:b/>
          <w:color w:val="365F91" w:themeColor="accent1" w:themeShade="BF"/>
          <w:sz w:val="28"/>
          <w:szCs w:val="26"/>
        </w:rPr>
        <w:t>4</w:t>
      </w:r>
    </w:p>
    <w:p w14:paraId="54477230" w14:textId="77777777" w:rsidR="00BF4FFF" w:rsidRPr="00A94F5F" w:rsidRDefault="00BF4FFF" w:rsidP="00BF4FFF">
      <w:pPr>
        <w:jc w:val="center"/>
        <w:rPr>
          <w:rFonts w:ascii="Verdana" w:eastAsia="Times New Roman" w:hAnsi="Verdana"/>
          <w:b/>
          <w:sz w:val="18"/>
          <w:szCs w:val="18"/>
        </w:rPr>
      </w:pPr>
    </w:p>
    <w:p w14:paraId="58E7709C" w14:textId="3559B524" w:rsidR="00F515CD" w:rsidRPr="00A94F5F" w:rsidRDefault="00BF4FFF" w:rsidP="00F515CD">
      <w:pPr>
        <w:pBdr>
          <w:top w:val="single" w:sz="4" w:space="1" w:color="auto"/>
          <w:left w:val="single" w:sz="4" w:space="4" w:color="auto"/>
          <w:bottom w:val="single" w:sz="4" w:space="1" w:color="auto"/>
          <w:right w:val="single" w:sz="4" w:space="4" w:color="auto"/>
        </w:pBdr>
        <w:spacing w:after="120"/>
        <w:jc w:val="center"/>
        <w:rPr>
          <w:rFonts w:ascii="Arial" w:hAnsi="Arial"/>
          <w:b/>
          <w:sz w:val="22"/>
          <w:szCs w:val="22"/>
        </w:rPr>
      </w:pPr>
      <w:r w:rsidRPr="00A94F5F">
        <w:rPr>
          <w:rFonts w:ascii="Arial" w:hAnsi="Arial"/>
          <w:b/>
          <w:sz w:val="22"/>
          <w:szCs w:val="22"/>
        </w:rPr>
        <w:t>Michelin anuncia unas ventas netas de 1</w:t>
      </w:r>
      <w:r w:rsidR="00F515CD" w:rsidRPr="00A94F5F">
        <w:rPr>
          <w:rFonts w:ascii="Arial" w:hAnsi="Arial"/>
          <w:b/>
          <w:sz w:val="22"/>
          <w:szCs w:val="22"/>
        </w:rPr>
        <w:t>4</w:t>
      </w:r>
      <w:r w:rsidRPr="00A94F5F">
        <w:rPr>
          <w:rFonts w:ascii="Arial" w:hAnsi="Arial"/>
          <w:b/>
          <w:sz w:val="22"/>
          <w:szCs w:val="22"/>
        </w:rPr>
        <w:t>.</w:t>
      </w:r>
      <w:r w:rsidR="00F515CD" w:rsidRPr="00A94F5F">
        <w:rPr>
          <w:rFonts w:ascii="Arial" w:hAnsi="Arial"/>
          <w:b/>
          <w:sz w:val="22"/>
          <w:szCs w:val="22"/>
        </w:rPr>
        <w:t>600</w:t>
      </w:r>
      <w:r w:rsidRPr="00A94F5F">
        <w:rPr>
          <w:rFonts w:ascii="Arial" w:hAnsi="Arial"/>
          <w:b/>
          <w:sz w:val="22"/>
          <w:szCs w:val="22"/>
        </w:rPr>
        <w:t xml:space="preserve"> millones de euros</w:t>
      </w:r>
      <w:r w:rsidR="0022106F" w:rsidRPr="00A94F5F">
        <w:rPr>
          <w:rFonts w:ascii="Arial" w:hAnsi="Arial"/>
          <w:b/>
          <w:sz w:val="22"/>
          <w:szCs w:val="22"/>
        </w:rPr>
        <w:t xml:space="preserve"> </w:t>
      </w:r>
      <w:r w:rsidR="00895D5A" w:rsidRPr="00A94F5F">
        <w:rPr>
          <w:rFonts w:ascii="Arial" w:hAnsi="Arial"/>
          <w:b/>
          <w:sz w:val="22"/>
          <w:szCs w:val="22"/>
        </w:rPr>
        <w:br/>
      </w:r>
      <w:r w:rsidRPr="00A94F5F">
        <w:rPr>
          <w:rFonts w:ascii="Arial" w:hAnsi="Arial"/>
          <w:b/>
          <w:sz w:val="22"/>
          <w:szCs w:val="22"/>
        </w:rPr>
        <w:t xml:space="preserve"> </w:t>
      </w:r>
      <w:r w:rsidR="00F515CD" w:rsidRPr="00A94F5F">
        <w:rPr>
          <w:rFonts w:ascii="Arial" w:hAnsi="Arial"/>
          <w:b/>
          <w:sz w:val="22"/>
          <w:szCs w:val="22"/>
        </w:rPr>
        <w:t>y un crecimiento de</w:t>
      </w:r>
      <w:r w:rsidR="00797265" w:rsidRPr="00A94F5F">
        <w:rPr>
          <w:rFonts w:ascii="Arial" w:hAnsi="Arial"/>
          <w:b/>
          <w:sz w:val="22"/>
          <w:szCs w:val="22"/>
        </w:rPr>
        <w:t>l</w:t>
      </w:r>
      <w:r w:rsidR="00F515CD" w:rsidRPr="00A94F5F">
        <w:rPr>
          <w:rFonts w:ascii="Arial" w:hAnsi="Arial"/>
          <w:b/>
          <w:sz w:val="22"/>
          <w:szCs w:val="22"/>
        </w:rPr>
        <w:t xml:space="preserve"> 1</w:t>
      </w:r>
      <w:r w:rsidR="00797265" w:rsidRPr="00A94F5F">
        <w:rPr>
          <w:rFonts w:ascii="Arial" w:hAnsi="Arial"/>
          <w:b/>
          <w:sz w:val="22"/>
          <w:szCs w:val="22"/>
        </w:rPr>
        <w:t xml:space="preserve"> </w:t>
      </w:r>
      <w:r w:rsidR="00F515CD" w:rsidRPr="00A94F5F">
        <w:rPr>
          <w:rFonts w:ascii="Arial" w:hAnsi="Arial"/>
          <w:b/>
          <w:sz w:val="22"/>
          <w:szCs w:val="22"/>
        </w:rPr>
        <w:t xml:space="preserve">% de los volúmenes </w:t>
      </w:r>
      <w:r w:rsidR="00797265" w:rsidRPr="00A94F5F">
        <w:rPr>
          <w:rFonts w:ascii="Arial" w:hAnsi="Arial"/>
          <w:b/>
          <w:sz w:val="22"/>
          <w:szCs w:val="22"/>
        </w:rPr>
        <w:t>hasta finales de septiembre</w:t>
      </w:r>
    </w:p>
    <w:p w14:paraId="644F75F2" w14:textId="77777777" w:rsidR="00BF4FFF" w:rsidRPr="00A94F5F" w:rsidRDefault="00BF4FFF" w:rsidP="00BF4FFF">
      <w:pPr>
        <w:jc w:val="center"/>
        <w:rPr>
          <w:rFonts w:ascii="Verdana" w:eastAsia="Times New Roman" w:hAnsi="Verdana"/>
          <w:b/>
          <w:sz w:val="18"/>
          <w:szCs w:val="18"/>
        </w:rPr>
      </w:pPr>
    </w:p>
    <w:p w14:paraId="18ABFF3F" w14:textId="27FC6E99" w:rsidR="00736021" w:rsidRPr="00A94F5F" w:rsidRDefault="00EE5164" w:rsidP="00736021">
      <w:pPr>
        <w:numPr>
          <w:ilvl w:val="0"/>
          <w:numId w:val="5"/>
        </w:numPr>
        <w:spacing w:after="120" w:line="240" w:lineRule="atLeast"/>
        <w:rPr>
          <w:rFonts w:cs="Frutiger 55 Roman"/>
          <w:b/>
          <w:bCs/>
          <w:i/>
          <w:iCs/>
          <w:snapToGrid w:val="0"/>
          <w:sz w:val="25"/>
          <w:szCs w:val="28"/>
          <w:lang w:eastAsia="es-ES" w:bidi="es-ES_tradnl"/>
        </w:rPr>
      </w:pPr>
      <w:r w:rsidRPr="00A94F5F">
        <w:rPr>
          <w:rFonts w:cs="Frutiger 55 Roman"/>
          <w:b/>
          <w:bCs/>
          <w:i/>
          <w:iCs/>
          <w:snapToGrid w:val="0"/>
          <w:sz w:val="25"/>
          <w:szCs w:val="28"/>
          <w:lang w:eastAsia="es-ES" w:bidi="es-ES_tradnl"/>
        </w:rPr>
        <w:t>Co</w:t>
      </w:r>
      <w:r w:rsidR="003907E0" w:rsidRPr="00A94F5F">
        <w:rPr>
          <w:rFonts w:cs="Frutiger 55 Roman"/>
          <w:b/>
          <w:bCs/>
          <w:i/>
          <w:iCs/>
          <w:snapToGrid w:val="0"/>
          <w:sz w:val="25"/>
          <w:szCs w:val="28"/>
          <w:lang w:eastAsia="es-ES" w:bidi="es-ES_tradnl"/>
        </w:rPr>
        <w:t>ntinúa la</w:t>
      </w:r>
      <w:r w:rsidR="00CE028A" w:rsidRPr="00A94F5F">
        <w:rPr>
          <w:rFonts w:cs="Frutiger 55 Roman"/>
          <w:b/>
          <w:bCs/>
          <w:i/>
          <w:iCs/>
          <w:snapToGrid w:val="0"/>
          <w:sz w:val="25"/>
          <w:szCs w:val="28"/>
          <w:lang w:eastAsia="es-ES" w:bidi="es-ES_tradnl"/>
        </w:rPr>
        <w:t xml:space="preserve"> </w:t>
      </w:r>
      <w:r w:rsidR="003907E0" w:rsidRPr="00A94F5F">
        <w:rPr>
          <w:rFonts w:cs="Frutiger 55 Roman"/>
          <w:b/>
          <w:bCs/>
          <w:i/>
          <w:iCs/>
          <w:snapToGrid w:val="0"/>
          <w:sz w:val="25"/>
          <w:szCs w:val="28"/>
          <w:lang w:eastAsia="es-ES" w:bidi="es-ES_tradnl"/>
        </w:rPr>
        <w:t>ralentización de los mercados observada</w:t>
      </w:r>
      <w:r w:rsidR="00777785" w:rsidRPr="00A94F5F">
        <w:rPr>
          <w:rFonts w:cs="Frutiger 55 Roman"/>
          <w:b/>
          <w:bCs/>
          <w:i/>
          <w:iCs/>
          <w:snapToGrid w:val="0"/>
          <w:sz w:val="25"/>
          <w:szCs w:val="28"/>
          <w:lang w:eastAsia="es-ES" w:bidi="es-ES_tradnl"/>
        </w:rPr>
        <w:t xml:space="preserve"> </w:t>
      </w:r>
      <w:r w:rsidR="003907E0" w:rsidRPr="00A94F5F">
        <w:rPr>
          <w:rFonts w:cs="Frutiger 55 Roman"/>
          <w:b/>
          <w:bCs/>
          <w:i/>
          <w:iCs/>
          <w:snapToGrid w:val="0"/>
          <w:sz w:val="25"/>
          <w:szCs w:val="28"/>
          <w:lang w:eastAsia="es-ES" w:bidi="es-ES_tradnl"/>
        </w:rPr>
        <w:t xml:space="preserve">desde el </w:t>
      </w:r>
      <w:r w:rsidR="00736021" w:rsidRPr="00A94F5F">
        <w:rPr>
          <w:rFonts w:cs="Frutiger 55 Roman"/>
          <w:b/>
          <w:bCs/>
          <w:i/>
          <w:iCs/>
          <w:snapToGrid w:val="0"/>
          <w:sz w:val="25"/>
          <w:szCs w:val="28"/>
          <w:lang w:eastAsia="es-ES" w:bidi="es-ES_tradnl"/>
        </w:rPr>
        <w:t xml:space="preserve"> </w:t>
      </w:r>
      <w:r w:rsidR="003907E0" w:rsidRPr="00A94F5F">
        <w:rPr>
          <w:rFonts w:cs="Frutiger 55 Roman"/>
          <w:b/>
          <w:bCs/>
          <w:i/>
          <w:iCs/>
          <w:snapToGrid w:val="0"/>
          <w:sz w:val="25"/>
          <w:szCs w:val="28"/>
          <w:lang w:eastAsia="es-ES" w:bidi="es-ES_tradnl"/>
        </w:rPr>
        <w:t>2º</w:t>
      </w:r>
      <w:r w:rsidR="00736021" w:rsidRPr="00A94F5F">
        <w:rPr>
          <w:rFonts w:cs="Frutiger 55 Roman"/>
          <w:b/>
          <w:bCs/>
          <w:i/>
          <w:iCs/>
          <w:snapToGrid w:val="0"/>
          <w:sz w:val="25"/>
          <w:szCs w:val="28"/>
          <w:lang w:eastAsia="es-ES" w:bidi="es-ES_tradnl"/>
        </w:rPr>
        <w:t xml:space="preserve"> trimestre:</w:t>
      </w:r>
    </w:p>
    <w:p w14:paraId="484AAFC8" w14:textId="54178302" w:rsidR="00736021" w:rsidRPr="00A94F5F" w:rsidRDefault="00CE028A" w:rsidP="00736021">
      <w:pPr>
        <w:numPr>
          <w:ilvl w:val="1"/>
          <w:numId w:val="5"/>
        </w:numPr>
        <w:spacing w:after="120" w:line="240" w:lineRule="atLeast"/>
        <w:rPr>
          <w:rFonts w:cs="Frutiger 55 Roman"/>
          <w:b/>
          <w:bCs/>
          <w:i/>
          <w:iCs/>
          <w:snapToGrid w:val="0"/>
          <w:sz w:val="25"/>
          <w:szCs w:val="28"/>
          <w:lang w:eastAsia="es-ES" w:bidi="es-ES_tradnl"/>
        </w:rPr>
      </w:pPr>
      <w:r w:rsidRPr="00A94F5F">
        <w:rPr>
          <w:rFonts w:cs="Frutiger 55 Roman"/>
          <w:b/>
          <w:bCs/>
          <w:i/>
          <w:iCs/>
          <w:snapToGrid w:val="0"/>
          <w:sz w:val="25"/>
          <w:szCs w:val="28"/>
          <w:lang w:eastAsia="es-ES" w:bidi="es-ES_tradnl"/>
        </w:rPr>
        <w:t>Ralentización</w:t>
      </w:r>
      <w:r w:rsidR="00736021" w:rsidRPr="00A94F5F">
        <w:rPr>
          <w:rFonts w:cs="Frutiger 55 Roman"/>
          <w:b/>
          <w:bCs/>
          <w:i/>
          <w:iCs/>
          <w:snapToGrid w:val="0"/>
          <w:sz w:val="25"/>
          <w:szCs w:val="28"/>
          <w:lang w:eastAsia="es-ES" w:bidi="es-ES_tradnl"/>
        </w:rPr>
        <w:t xml:space="preserve"> de la demand</w:t>
      </w:r>
      <w:r w:rsidRPr="00A94F5F">
        <w:rPr>
          <w:rFonts w:cs="Frutiger 55 Roman"/>
          <w:b/>
          <w:bCs/>
          <w:i/>
          <w:iCs/>
          <w:snapToGrid w:val="0"/>
          <w:sz w:val="25"/>
          <w:szCs w:val="28"/>
          <w:lang w:eastAsia="es-ES" w:bidi="es-ES_tradnl"/>
        </w:rPr>
        <w:t>a</w:t>
      </w:r>
      <w:r w:rsidR="00736021" w:rsidRPr="00A94F5F">
        <w:rPr>
          <w:rFonts w:cs="Frutiger 55 Roman"/>
          <w:b/>
          <w:bCs/>
          <w:i/>
          <w:iCs/>
          <w:snapToGrid w:val="0"/>
          <w:sz w:val="25"/>
          <w:szCs w:val="28"/>
          <w:lang w:eastAsia="es-ES" w:bidi="es-ES_tradnl"/>
        </w:rPr>
        <w:t xml:space="preserve"> en Europ</w:t>
      </w:r>
      <w:r w:rsidRPr="00A94F5F">
        <w:rPr>
          <w:rFonts w:cs="Frutiger 55 Roman"/>
          <w:b/>
          <w:bCs/>
          <w:i/>
          <w:iCs/>
          <w:snapToGrid w:val="0"/>
          <w:sz w:val="25"/>
          <w:szCs w:val="28"/>
          <w:lang w:eastAsia="es-ES" w:bidi="es-ES_tradnl"/>
        </w:rPr>
        <w:t>a</w:t>
      </w:r>
      <w:r w:rsidR="00736021" w:rsidRPr="00A94F5F">
        <w:rPr>
          <w:rFonts w:cs="Frutiger 55 Roman"/>
          <w:b/>
          <w:bCs/>
          <w:i/>
          <w:iCs/>
          <w:snapToGrid w:val="0"/>
          <w:sz w:val="25"/>
          <w:szCs w:val="28"/>
          <w:lang w:eastAsia="es-ES" w:bidi="es-ES_tradnl"/>
        </w:rPr>
        <w:t>, en particul</w:t>
      </w:r>
      <w:r w:rsidRPr="00A94F5F">
        <w:rPr>
          <w:rFonts w:cs="Frutiger 55 Roman"/>
          <w:b/>
          <w:bCs/>
          <w:i/>
          <w:iCs/>
          <w:snapToGrid w:val="0"/>
          <w:sz w:val="25"/>
          <w:szCs w:val="28"/>
          <w:lang w:eastAsia="es-ES" w:bidi="es-ES_tradnl"/>
        </w:rPr>
        <w:t>a</w:t>
      </w:r>
      <w:r w:rsidR="00736021" w:rsidRPr="00A94F5F">
        <w:rPr>
          <w:rFonts w:cs="Frutiger 55 Roman"/>
          <w:b/>
          <w:bCs/>
          <w:i/>
          <w:iCs/>
          <w:snapToGrid w:val="0"/>
          <w:sz w:val="25"/>
          <w:szCs w:val="28"/>
          <w:lang w:eastAsia="es-ES" w:bidi="es-ES_tradnl"/>
        </w:rPr>
        <w:t xml:space="preserve">r en </w:t>
      </w:r>
      <w:r w:rsidRPr="00A94F5F">
        <w:rPr>
          <w:rFonts w:cs="Frutiger 55 Roman"/>
          <w:b/>
          <w:bCs/>
          <w:i/>
          <w:iCs/>
          <w:snapToGrid w:val="0"/>
          <w:sz w:val="25"/>
          <w:szCs w:val="28"/>
          <w:lang w:eastAsia="es-ES" w:bidi="es-ES_tradnl"/>
        </w:rPr>
        <w:t>Camión</w:t>
      </w:r>
      <w:r w:rsidR="00BA27C4" w:rsidRPr="00A94F5F">
        <w:rPr>
          <w:rFonts w:cs="Frutiger 55 Roman"/>
          <w:b/>
          <w:bCs/>
          <w:i/>
          <w:iCs/>
          <w:snapToGrid w:val="0"/>
          <w:sz w:val="25"/>
          <w:szCs w:val="28"/>
          <w:lang w:eastAsia="es-ES" w:bidi="es-ES_tradnl"/>
        </w:rPr>
        <w:t>.</w:t>
      </w:r>
      <w:r w:rsidR="00736021" w:rsidRPr="00A94F5F">
        <w:rPr>
          <w:rFonts w:cs="Frutiger 55 Roman"/>
          <w:b/>
          <w:bCs/>
          <w:i/>
          <w:iCs/>
          <w:snapToGrid w:val="0"/>
          <w:sz w:val="25"/>
          <w:szCs w:val="28"/>
          <w:lang w:eastAsia="es-ES" w:bidi="es-ES_tradnl"/>
        </w:rPr>
        <w:t xml:space="preserve"> </w:t>
      </w:r>
    </w:p>
    <w:p w14:paraId="74466AE3" w14:textId="4CBEC6F1" w:rsidR="00736021" w:rsidRPr="00A94F5F" w:rsidRDefault="00CE028A" w:rsidP="00BA27C4">
      <w:pPr>
        <w:numPr>
          <w:ilvl w:val="1"/>
          <w:numId w:val="5"/>
        </w:numPr>
        <w:spacing w:after="120" w:line="240" w:lineRule="atLeast"/>
        <w:rPr>
          <w:rFonts w:cs="Frutiger 55 Roman"/>
          <w:b/>
          <w:bCs/>
          <w:i/>
          <w:iCs/>
          <w:snapToGrid w:val="0"/>
          <w:sz w:val="25"/>
          <w:szCs w:val="28"/>
          <w:lang w:eastAsia="es-ES" w:bidi="es-ES_tradnl"/>
        </w:rPr>
      </w:pPr>
      <w:r w:rsidRPr="00A94F5F">
        <w:rPr>
          <w:rFonts w:cs="Frutiger 55 Roman"/>
          <w:b/>
          <w:bCs/>
          <w:i/>
          <w:iCs/>
          <w:snapToGrid w:val="0"/>
          <w:sz w:val="25"/>
          <w:szCs w:val="28"/>
          <w:lang w:eastAsia="es-ES" w:bidi="es-ES_tradnl"/>
        </w:rPr>
        <w:t xml:space="preserve">Contracción en </w:t>
      </w:r>
      <w:r w:rsidR="00A27E29">
        <w:rPr>
          <w:rFonts w:cs="Frutiger 55 Roman"/>
          <w:b/>
          <w:bCs/>
          <w:i/>
          <w:iCs/>
          <w:snapToGrid w:val="0"/>
          <w:sz w:val="25"/>
          <w:szCs w:val="28"/>
          <w:lang w:eastAsia="es-ES" w:bidi="es-ES_tradnl"/>
        </w:rPr>
        <w:t>P</w:t>
      </w:r>
      <w:r w:rsidRPr="00A94F5F">
        <w:rPr>
          <w:rFonts w:cs="Frutiger 55 Roman"/>
          <w:b/>
          <w:bCs/>
          <w:i/>
          <w:iCs/>
          <w:snapToGrid w:val="0"/>
          <w:sz w:val="25"/>
          <w:szCs w:val="28"/>
          <w:lang w:eastAsia="es-ES" w:bidi="es-ES_tradnl"/>
        </w:rPr>
        <w:t>rimer equipo</w:t>
      </w:r>
      <w:r w:rsidR="00736021" w:rsidRPr="00A94F5F">
        <w:rPr>
          <w:rFonts w:cs="Frutiger 55 Roman"/>
          <w:b/>
          <w:bCs/>
          <w:i/>
          <w:iCs/>
          <w:snapToGrid w:val="0"/>
          <w:sz w:val="25"/>
          <w:szCs w:val="28"/>
          <w:lang w:eastAsia="es-ES" w:bidi="es-ES_tradnl"/>
        </w:rPr>
        <w:t xml:space="preserve"> </w:t>
      </w:r>
      <w:r w:rsidR="00BA27C4" w:rsidRPr="00A94F5F">
        <w:rPr>
          <w:rFonts w:cs="Frutiger 55 Roman"/>
          <w:b/>
          <w:bCs/>
          <w:i/>
          <w:iCs/>
          <w:snapToGrid w:val="0"/>
          <w:sz w:val="25"/>
          <w:szCs w:val="28"/>
          <w:lang w:eastAsia="es-ES" w:bidi="es-ES_tradnl"/>
        </w:rPr>
        <w:t>en los nuevos mercados, con excepción de China.</w:t>
      </w:r>
    </w:p>
    <w:p w14:paraId="4C7F817F" w14:textId="7DAB5B9F" w:rsidR="00736021" w:rsidRPr="00A94F5F" w:rsidRDefault="00090294" w:rsidP="00736021">
      <w:pPr>
        <w:numPr>
          <w:ilvl w:val="1"/>
          <w:numId w:val="5"/>
        </w:numPr>
        <w:spacing w:after="120" w:line="240" w:lineRule="atLeast"/>
        <w:rPr>
          <w:rFonts w:cs="Frutiger 55 Roman"/>
          <w:b/>
          <w:bCs/>
          <w:i/>
          <w:iCs/>
          <w:snapToGrid w:val="0"/>
          <w:sz w:val="25"/>
          <w:szCs w:val="28"/>
          <w:lang w:eastAsia="es-ES" w:bidi="es-ES_tradnl"/>
        </w:rPr>
      </w:pPr>
      <w:r w:rsidRPr="00A94F5F">
        <w:rPr>
          <w:rFonts w:cs="Frutiger 55 Roman"/>
          <w:b/>
          <w:bCs/>
          <w:i/>
          <w:iCs/>
          <w:snapToGrid w:val="0"/>
          <w:sz w:val="25"/>
          <w:szCs w:val="28"/>
          <w:lang w:eastAsia="es-ES" w:bidi="es-ES_tradnl"/>
        </w:rPr>
        <w:t>Se mantiene un crecimiento sólido en América del Norte</w:t>
      </w:r>
      <w:r w:rsidR="00736021" w:rsidRPr="00A94F5F">
        <w:rPr>
          <w:rFonts w:cs="Frutiger 55 Roman"/>
          <w:b/>
          <w:bCs/>
          <w:i/>
          <w:iCs/>
          <w:snapToGrid w:val="0"/>
          <w:sz w:val="25"/>
          <w:szCs w:val="28"/>
          <w:lang w:eastAsia="es-ES" w:bidi="es-ES_tradnl"/>
        </w:rPr>
        <w:t>.</w:t>
      </w:r>
    </w:p>
    <w:p w14:paraId="17D68AFE" w14:textId="48C83252" w:rsidR="00736021" w:rsidRPr="00A94F5F" w:rsidRDefault="00485325" w:rsidP="00736021">
      <w:pPr>
        <w:numPr>
          <w:ilvl w:val="0"/>
          <w:numId w:val="5"/>
        </w:numPr>
        <w:spacing w:after="120" w:line="240" w:lineRule="atLeast"/>
        <w:rPr>
          <w:rFonts w:cs="Frutiger 55 Roman"/>
          <w:b/>
          <w:bCs/>
          <w:i/>
          <w:iCs/>
          <w:snapToGrid w:val="0"/>
          <w:sz w:val="25"/>
          <w:szCs w:val="28"/>
          <w:lang w:eastAsia="es-ES" w:bidi="es-ES_tradnl"/>
        </w:rPr>
      </w:pPr>
      <w:r w:rsidRPr="00A94F5F">
        <w:rPr>
          <w:rFonts w:cs="Frutiger 55 Roman"/>
          <w:b/>
          <w:bCs/>
          <w:i/>
          <w:iCs/>
          <w:snapToGrid w:val="0"/>
          <w:sz w:val="25"/>
          <w:szCs w:val="28"/>
          <w:lang w:eastAsia="es-ES" w:bidi="es-ES_tradnl"/>
        </w:rPr>
        <w:t xml:space="preserve">El volumen de ventas aumenta un </w:t>
      </w:r>
      <w:r w:rsidR="00736021" w:rsidRPr="00A94F5F">
        <w:rPr>
          <w:rFonts w:cs="Frutiger 55 Roman"/>
          <w:b/>
          <w:bCs/>
          <w:i/>
          <w:iCs/>
          <w:snapToGrid w:val="0"/>
          <w:sz w:val="25"/>
          <w:szCs w:val="28"/>
          <w:lang w:eastAsia="es-ES" w:bidi="es-ES_tradnl"/>
        </w:rPr>
        <w:t xml:space="preserve">1 </w:t>
      </w:r>
      <w:r w:rsidR="00243244" w:rsidRPr="00A94F5F">
        <w:rPr>
          <w:rFonts w:cs="Frutiger 55 Roman"/>
          <w:b/>
          <w:bCs/>
          <w:i/>
          <w:iCs/>
          <w:snapToGrid w:val="0"/>
          <w:sz w:val="25"/>
          <w:szCs w:val="28"/>
          <w:lang w:eastAsia="es-ES" w:bidi="es-ES_tradnl"/>
        </w:rPr>
        <w:t xml:space="preserve">% </w:t>
      </w:r>
      <w:r w:rsidR="003907E0" w:rsidRPr="00A94F5F">
        <w:rPr>
          <w:rFonts w:cs="Frutiger 55 Roman"/>
          <w:b/>
          <w:bCs/>
          <w:i/>
          <w:iCs/>
          <w:snapToGrid w:val="0"/>
          <w:sz w:val="25"/>
          <w:szCs w:val="28"/>
          <w:lang w:eastAsia="es-ES" w:bidi="es-ES_tradnl"/>
        </w:rPr>
        <w:t>a finales de septiembre</w:t>
      </w:r>
      <w:r w:rsidRPr="00A94F5F">
        <w:rPr>
          <w:rFonts w:cs="Frutiger 55 Roman"/>
          <w:b/>
          <w:bCs/>
          <w:i/>
          <w:iCs/>
          <w:snapToGrid w:val="0"/>
          <w:sz w:val="25"/>
          <w:szCs w:val="28"/>
          <w:lang w:eastAsia="es-ES" w:bidi="es-ES_tradnl"/>
        </w:rPr>
        <w:t xml:space="preserve">, </w:t>
      </w:r>
      <w:r w:rsidR="003907E0" w:rsidRPr="00A94F5F">
        <w:rPr>
          <w:rFonts w:cs="Frutiger 55 Roman"/>
          <w:b/>
          <w:bCs/>
          <w:i/>
          <w:iCs/>
          <w:snapToGrid w:val="0"/>
          <w:sz w:val="25"/>
          <w:szCs w:val="28"/>
          <w:lang w:eastAsia="es-ES" w:bidi="es-ES_tradnl"/>
        </w:rPr>
        <w:t>lo que se traduce en:</w:t>
      </w:r>
      <w:r w:rsidRPr="00A94F5F">
        <w:rPr>
          <w:rFonts w:cs="Frutiger 55 Roman"/>
          <w:b/>
          <w:bCs/>
          <w:i/>
          <w:iCs/>
          <w:snapToGrid w:val="0"/>
          <w:sz w:val="25"/>
          <w:szCs w:val="28"/>
          <w:lang w:eastAsia="es-ES" w:bidi="es-ES_tradnl"/>
        </w:rPr>
        <w:t xml:space="preserve"> </w:t>
      </w:r>
    </w:p>
    <w:p w14:paraId="03ADB437" w14:textId="1D0BEAB3" w:rsidR="009D5894" w:rsidRPr="00A94F5F" w:rsidRDefault="00A238E9" w:rsidP="009D5894">
      <w:pPr>
        <w:numPr>
          <w:ilvl w:val="1"/>
          <w:numId w:val="7"/>
        </w:numPr>
        <w:tabs>
          <w:tab w:val="clear" w:pos="1353"/>
          <w:tab w:val="num" w:pos="851"/>
        </w:tabs>
        <w:spacing w:after="120" w:line="240" w:lineRule="atLeast"/>
        <w:rPr>
          <w:rFonts w:cs="Frutiger 55 Roman"/>
          <w:b/>
          <w:bCs/>
          <w:i/>
          <w:iCs/>
          <w:snapToGrid w:val="0"/>
          <w:sz w:val="25"/>
          <w:szCs w:val="28"/>
          <w:lang w:eastAsia="es-ES" w:bidi="es-ES_tradnl"/>
        </w:rPr>
      </w:pPr>
      <w:r w:rsidRPr="00A94F5F">
        <w:rPr>
          <w:rFonts w:cs="Frutiger 55 Roman"/>
          <w:b/>
          <w:bCs/>
          <w:i/>
          <w:iCs/>
          <w:snapToGrid w:val="0"/>
          <w:sz w:val="25"/>
          <w:szCs w:val="28"/>
          <w:lang w:eastAsia="es-ES" w:bidi="es-ES_tradnl"/>
        </w:rPr>
        <w:t>Una b</w:t>
      </w:r>
      <w:r w:rsidR="00E675BF" w:rsidRPr="00A94F5F">
        <w:rPr>
          <w:rFonts w:cs="Frutiger 55 Roman"/>
          <w:b/>
          <w:bCs/>
          <w:i/>
          <w:iCs/>
          <w:snapToGrid w:val="0"/>
          <w:sz w:val="25"/>
          <w:szCs w:val="28"/>
          <w:lang w:eastAsia="es-ES" w:bidi="es-ES_tradnl"/>
        </w:rPr>
        <w:t>uena resistencia de la</w:t>
      </w:r>
      <w:r w:rsidRPr="00A94F5F">
        <w:rPr>
          <w:rFonts w:cs="Frutiger 55 Roman"/>
          <w:b/>
          <w:bCs/>
          <w:i/>
          <w:iCs/>
          <w:snapToGrid w:val="0"/>
          <w:sz w:val="25"/>
          <w:szCs w:val="28"/>
          <w:lang w:eastAsia="es-ES" w:bidi="es-ES_tradnl"/>
        </w:rPr>
        <w:t xml:space="preserve"> cuota de mercado de la</w:t>
      </w:r>
      <w:r w:rsidR="00E675BF" w:rsidRPr="00A94F5F">
        <w:rPr>
          <w:rFonts w:cs="Frutiger 55 Roman"/>
          <w:b/>
          <w:bCs/>
          <w:i/>
          <w:iCs/>
          <w:snapToGrid w:val="0"/>
          <w:sz w:val="25"/>
          <w:szCs w:val="28"/>
          <w:lang w:eastAsia="es-ES" w:bidi="es-ES_tradnl"/>
        </w:rPr>
        <w:t xml:space="preserve"> marca MICHELIN en Turismo Camioneta y Camión.</w:t>
      </w:r>
    </w:p>
    <w:p w14:paraId="1D95AC2F" w14:textId="251189AA" w:rsidR="00630B5D" w:rsidRPr="00A94F5F" w:rsidRDefault="00A238E9" w:rsidP="009D5894">
      <w:pPr>
        <w:numPr>
          <w:ilvl w:val="1"/>
          <w:numId w:val="7"/>
        </w:numPr>
        <w:tabs>
          <w:tab w:val="clear" w:pos="1353"/>
          <w:tab w:val="num" w:pos="851"/>
        </w:tabs>
        <w:spacing w:after="120" w:line="240" w:lineRule="atLeast"/>
        <w:rPr>
          <w:rFonts w:cs="Frutiger 55 Roman"/>
          <w:b/>
          <w:bCs/>
          <w:i/>
          <w:iCs/>
          <w:snapToGrid w:val="0"/>
          <w:sz w:val="25"/>
          <w:szCs w:val="28"/>
          <w:lang w:eastAsia="es-ES" w:bidi="es-ES_tradnl"/>
        </w:rPr>
      </w:pPr>
      <w:r w:rsidRPr="00A94F5F">
        <w:rPr>
          <w:rFonts w:cs="Frutiger 55 Roman"/>
          <w:b/>
          <w:bCs/>
          <w:i/>
          <w:iCs/>
          <w:snapToGrid w:val="0"/>
          <w:sz w:val="25"/>
          <w:szCs w:val="28"/>
          <w:lang w:eastAsia="es-ES" w:bidi="es-ES_tradnl"/>
        </w:rPr>
        <w:t xml:space="preserve">El crecimiento de las actividades de Ingeniería Civil en </w:t>
      </w:r>
      <w:r w:rsidR="00A27E29">
        <w:rPr>
          <w:rFonts w:cs="Frutiger 55 Roman"/>
          <w:b/>
          <w:bCs/>
          <w:i/>
          <w:iCs/>
          <w:snapToGrid w:val="0"/>
          <w:sz w:val="25"/>
          <w:szCs w:val="28"/>
          <w:lang w:eastAsia="es-ES" w:bidi="es-ES_tradnl"/>
        </w:rPr>
        <w:t>P</w:t>
      </w:r>
      <w:r w:rsidRPr="00A94F5F">
        <w:rPr>
          <w:rFonts w:cs="Frutiger 55 Roman"/>
          <w:b/>
          <w:bCs/>
          <w:i/>
          <w:iCs/>
          <w:snapToGrid w:val="0"/>
          <w:sz w:val="25"/>
          <w:szCs w:val="28"/>
          <w:lang w:eastAsia="es-ES" w:bidi="es-ES_tradnl"/>
        </w:rPr>
        <w:t>rime</w:t>
      </w:r>
      <w:r w:rsidR="00630B5D" w:rsidRPr="00A94F5F">
        <w:rPr>
          <w:rFonts w:cs="Frutiger 55 Roman"/>
          <w:b/>
          <w:bCs/>
          <w:i/>
          <w:iCs/>
          <w:snapToGrid w:val="0"/>
          <w:sz w:val="25"/>
          <w:szCs w:val="28"/>
          <w:lang w:eastAsia="es-ES" w:bidi="es-ES_tradnl"/>
        </w:rPr>
        <w:t>r equipo e Infraestr</w:t>
      </w:r>
      <w:r w:rsidR="00AC1460" w:rsidRPr="00A94F5F">
        <w:rPr>
          <w:rFonts w:cs="Frutiger 55 Roman"/>
          <w:b/>
          <w:bCs/>
          <w:i/>
          <w:iCs/>
          <w:snapToGrid w:val="0"/>
          <w:sz w:val="25"/>
          <w:szCs w:val="28"/>
          <w:lang w:eastAsia="es-ES" w:bidi="es-ES_tradnl"/>
        </w:rPr>
        <w:t>u</w:t>
      </w:r>
      <w:r w:rsidR="00630B5D" w:rsidRPr="00A94F5F">
        <w:rPr>
          <w:rFonts w:cs="Frutiger 55 Roman"/>
          <w:b/>
          <w:bCs/>
          <w:i/>
          <w:iCs/>
          <w:snapToGrid w:val="0"/>
          <w:sz w:val="25"/>
          <w:szCs w:val="28"/>
          <w:lang w:eastAsia="es-ES" w:bidi="es-ES_tradnl"/>
        </w:rPr>
        <w:t xml:space="preserve">ctura </w:t>
      </w:r>
      <w:r w:rsidR="008C54CE">
        <w:rPr>
          <w:rFonts w:cs="Frutiger 55 Roman"/>
          <w:b/>
          <w:bCs/>
          <w:i/>
          <w:iCs/>
          <w:snapToGrid w:val="0"/>
          <w:sz w:val="25"/>
          <w:szCs w:val="28"/>
          <w:lang w:eastAsia="es-ES" w:bidi="es-ES_tradnl"/>
        </w:rPr>
        <w:t>atenúa los</w:t>
      </w:r>
      <w:r w:rsidR="00630B5D" w:rsidRPr="00A94F5F">
        <w:rPr>
          <w:rFonts w:cs="Frutiger 55 Roman"/>
          <w:b/>
          <w:bCs/>
          <w:i/>
          <w:iCs/>
          <w:snapToGrid w:val="0"/>
          <w:sz w:val="25"/>
          <w:szCs w:val="28"/>
          <w:lang w:eastAsia="es-ES" w:bidi="es-ES_tradnl"/>
        </w:rPr>
        <w:t xml:space="preserve"> procesos de </w:t>
      </w:r>
      <w:r w:rsidR="00C774E4">
        <w:rPr>
          <w:rFonts w:cs="Frutiger 55 Roman"/>
          <w:b/>
          <w:bCs/>
          <w:i/>
          <w:iCs/>
          <w:snapToGrid w:val="0"/>
          <w:sz w:val="25"/>
          <w:szCs w:val="28"/>
          <w:lang w:eastAsia="es-ES" w:bidi="es-ES_tradnl"/>
        </w:rPr>
        <w:t>reducción del stock</w:t>
      </w:r>
      <w:r w:rsidR="00630B5D" w:rsidRPr="00A94F5F">
        <w:rPr>
          <w:rFonts w:cs="Frutiger 55 Roman"/>
          <w:b/>
          <w:bCs/>
          <w:i/>
          <w:iCs/>
          <w:snapToGrid w:val="0"/>
          <w:sz w:val="25"/>
          <w:szCs w:val="28"/>
          <w:lang w:eastAsia="es-ES" w:bidi="es-ES_tradnl"/>
        </w:rPr>
        <w:t xml:space="preserve"> </w:t>
      </w:r>
      <w:r w:rsidR="002F4395" w:rsidRPr="00C5360F">
        <w:rPr>
          <w:rFonts w:cs="Frutiger 55 Roman"/>
          <w:b/>
          <w:bCs/>
          <w:i/>
          <w:iCs/>
          <w:snapToGrid w:val="0"/>
          <w:sz w:val="25"/>
          <w:szCs w:val="28"/>
          <w:lang w:eastAsia="es-ES" w:bidi="es-ES_tradnl"/>
        </w:rPr>
        <w:t xml:space="preserve">de los clientes </w:t>
      </w:r>
      <w:r w:rsidR="00630B5D" w:rsidRPr="00C5360F">
        <w:rPr>
          <w:rFonts w:cs="Frutiger 55 Roman"/>
          <w:b/>
          <w:bCs/>
          <w:i/>
          <w:iCs/>
          <w:snapToGrid w:val="0"/>
          <w:sz w:val="25"/>
          <w:szCs w:val="28"/>
          <w:lang w:eastAsia="es-ES" w:bidi="es-ES_tradnl"/>
        </w:rPr>
        <w:t>de</w:t>
      </w:r>
      <w:r w:rsidR="00630B5D" w:rsidRPr="00A94F5F">
        <w:rPr>
          <w:rFonts w:cs="Frutiger 55 Roman"/>
          <w:b/>
          <w:bCs/>
          <w:i/>
          <w:iCs/>
          <w:snapToGrid w:val="0"/>
          <w:sz w:val="25"/>
          <w:szCs w:val="28"/>
          <w:lang w:eastAsia="es-ES" w:bidi="es-ES_tradnl"/>
        </w:rPr>
        <w:t xml:space="preserve"> neumáticos de minería.</w:t>
      </w:r>
    </w:p>
    <w:p w14:paraId="5E149824" w14:textId="1155B482" w:rsidR="00585178" w:rsidRPr="00A94F5F" w:rsidRDefault="00966434" w:rsidP="00585178">
      <w:pPr>
        <w:numPr>
          <w:ilvl w:val="0"/>
          <w:numId w:val="5"/>
        </w:numPr>
        <w:spacing w:after="120" w:line="240" w:lineRule="atLeast"/>
        <w:rPr>
          <w:rFonts w:cs="Frutiger 55 Roman"/>
          <w:b/>
          <w:bCs/>
          <w:i/>
          <w:iCs/>
          <w:snapToGrid w:val="0"/>
          <w:sz w:val="25"/>
          <w:szCs w:val="28"/>
          <w:lang w:eastAsia="es-ES" w:bidi="es-ES_tradnl"/>
        </w:rPr>
      </w:pPr>
      <w:r w:rsidRPr="00A94F5F">
        <w:rPr>
          <w:rFonts w:cs="Frutiger 55 Roman"/>
          <w:b/>
          <w:bCs/>
          <w:i/>
          <w:iCs/>
          <w:snapToGrid w:val="0"/>
          <w:sz w:val="25"/>
          <w:szCs w:val="28"/>
          <w:lang w:eastAsia="es-ES" w:bidi="es-ES_tradnl"/>
        </w:rPr>
        <w:t>El efecto del</w:t>
      </w:r>
      <w:r w:rsidR="009D5894" w:rsidRPr="00A94F5F">
        <w:rPr>
          <w:rFonts w:cs="Frutiger 55 Roman"/>
          <w:b/>
          <w:bCs/>
          <w:i/>
          <w:iCs/>
          <w:snapToGrid w:val="0"/>
          <w:sz w:val="25"/>
          <w:szCs w:val="28"/>
          <w:lang w:eastAsia="es-ES" w:bidi="es-ES_tradnl"/>
        </w:rPr>
        <w:t xml:space="preserve"> mix de</w:t>
      </w:r>
      <w:r w:rsidRPr="00A94F5F">
        <w:rPr>
          <w:rFonts w:cs="Frutiger 55 Roman"/>
          <w:b/>
          <w:bCs/>
          <w:i/>
          <w:iCs/>
          <w:snapToGrid w:val="0"/>
          <w:sz w:val="25"/>
          <w:szCs w:val="28"/>
          <w:lang w:eastAsia="es-ES" w:bidi="es-ES_tradnl"/>
        </w:rPr>
        <w:t xml:space="preserve"> precio </w:t>
      </w:r>
      <w:r w:rsidR="009D5894" w:rsidRPr="00A94F5F">
        <w:rPr>
          <w:rFonts w:cs="Frutiger 55 Roman"/>
          <w:b/>
          <w:bCs/>
          <w:i/>
          <w:iCs/>
          <w:snapToGrid w:val="0"/>
          <w:sz w:val="25"/>
          <w:szCs w:val="28"/>
          <w:lang w:eastAsia="es-ES" w:bidi="es-ES_tradnl"/>
        </w:rPr>
        <w:t xml:space="preserve">de </w:t>
      </w:r>
      <w:r w:rsidR="00346426" w:rsidRPr="00A94F5F">
        <w:rPr>
          <w:rFonts w:cs="Frutiger 55 Roman"/>
          <w:b/>
          <w:bCs/>
          <w:i/>
          <w:iCs/>
          <w:snapToGrid w:val="0"/>
          <w:sz w:val="25"/>
          <w:szCs w:val="28"/>
          <w:lang w:eastAsia="es-ES" w:bidi="es-ES_tradnl"/>
        </w:rPr>
        <w:t>-</w:t>
      </w:r>
      <w:r w:rsidR="009D5894" w:rsidRPr="00A94F5F">
        <w:rPr>
          <w:rFonts w:cs="Frutiger 55 Roman"/>
          <w:b/>
          <w:bCs/>
          <w:i/>
          <w:iCs/>
          <w:snapToGrid w:val="0"/>
          <w:sz w:val="25"/>
          <w:szCs w:val="28"/>
          <w:lang w:eastAsia="es-ES" w:bidi="es-ES_tradnl"/>
        </w:rPr>
        <w:t xml:space="preserve"> 2 %</w:t>
      </w:r>
      <w:r w:rsidR="003424E0" w:rsidRPr="00A94F5F">
        <w:rPr>
          <w:rFonts w:cs="Frutiger 55 Roman"/>
          <w:b/>
          <w:bCs/>
          <w:i/>
          <w:iCs/>
          <w:snapToGrid w:val="0"/>
          <w:sz w:val="25"/>
          <w:szCs w:val="28"/>
          <w:lang w:eastAsia="es-ES" w:bidi="es-ES_tradnl"/>
        </w:rPr>
        <w:t>.</w:t>
      </w:r>
      <w:r w:rsidR="00585178" w:rsidRPr="00A94F5F">
        <w:rPr>
          <w:rFonts w:cs="Frutiger 55 Roman"/>
          <w:b/>
          <w:bCs/>
          <w:i/>
          <w:iCs/>
          <w:snapToGrid w:val="0"/>
          <w:sz w:val="25"/>
          <w:szCs w:val="28"/>
          <w:lang w:eastAsia="es-ES" w:bidi="es-ES_tradnl"/>
        </w:rPr>
        <w:t xml:space="preserve"> </w:t>
      </w:r>
    </w:p>
    <w:p w14:paraId="68D116EC" w14:textId="3A184945" w:rsidR="009D5894" w:rsidRPr="00A94F5F" w:rsidRDefault="009D5894" w:rsidP="009D5894">
      <w:pPr>
        <w:numPr>
          <w:ilvl w:val="1"/>
          <w:numId w:val="7"/>
        </w:numPr>
        <w:tabs>
          <w:tab w:val="clear" w:pos="1353"/>
          <w:tab w:val="num" w:pos="851"/>
        </w:tabs>
        <w:spacing w:after="120" w:line="240" w:lineRule="atLeast"/>
        <w:rPr>
          <w:rFonts w:cs="Frutiger 55 Roman"/>
          <w:b/>
          <w:bCs/>
          <w:i/>
          <w:iCs/>
          <w:snapToGrid w:val="0"/>
          <w:sz w:val="25"/>
          <w:szCs w:val="28"/>
          <w:lang w:eastAsia="es-ES" w:bidi="es-ES_tradnl"/>
        </w:rPr>
      </w:pPr>
      <w:r w:rsidRPr="00A94F5F">
        <w:rPr>
          <w:rFonts w:cs="Frutiger 55 Roman"/>
          <w:b/>
          <w:bCs/>
          <w:i/>
          <w:iCs/>
          <w:snapToGrid w:val="0"/>
          <w:sz w:val="25"/>
          <w:szCs w:val="28"/>
          <w:lang w:eastAsia="es-ES" w:bidi="es-ES_tradnl"/>
        </w:rPr>
        <w:t>Aplic</w:t>
      </w:r>
      <w:r w:rsidR="0025594D" w:rsidRPr="00A94F5F">
        <w:rPr>
          <w:rFonts w:cs="Frutiger 55 Roman"/>
          <w:b/>
          <w:bCs/>
          <w:i/>
          <w:iCs/>
          <w:snapToGrid w:val="0"/>
          <w:sz w:val="25"/>
          <w:szCs w:val="28"/>
          <w:lang w:eastAsia="es-ES" w:bidi="es-ES_tradnl"/>
        </w:rPr>
        <w:t xml:space="preserve">ación de las cláusulas contractuales de indexación y de reposicionamiento de precios, en un </w:t>
      </w:r>
      <w:r w:rsidR="00B310EA">
        <w:rPr>
          <w:rFonts w:cs="Frutiger 55 Roman"/>
          <w:b/>
          <w:bCs/>
          <w:i/>
          <w:iCs/>
          <w:snapToGrid w:val="0"/>
          <w:sz w:val="25"/>
          <w:szCs w:val="28"/>
          <w:lang w:eastAsia="es-ES" w:bidi="es-ES_tradnl"/>
        </w:rPr>
        <w:t xml:space="preserve">contexto de costes a la baja de </w:t>
      </w:r>
      <w:r w:rsidR="0025594D" w:rsidRPr="00A94F5F">
        <w:rPr>
          <w:rFonts w:cs="Frutiger 55 Roman"/>
          <w:b/>
          <w:bCs/>
          <w:i/>
          <w:iCs/>
          <w:snapToGrid w:val="0"/>
          <w:sz w:val="25"/>
          <w:szCs w:val="28"/>
          <w:lang w:eastAsia="es-ES" w:bidi="es-ES_tradnl"/>
        </w:rPr>
        <w:t>las materias primas.</w:t>
      </w:r>
    </w:p>
    <w:p w14:paraId="571D8DD8" w14:textId="0128879C" w:rsidR="00585178" w:rsidRPr="00A94F5F" w:rsidRDefault="009D5894" w:rsidP="009D5894">
      <w:pPr>
        <w:numPr>
          <w:ilvl w:val="1"/>
          <w:numId w:val="7"/>
        </w:numPr>
        <w:tabs>
          <w:tab w:val="clear" w:pos="1353"/>
          <w:tab w:val="num" w:pos="851"/>
        </w:tabs>
        <w:spacing w:after="120" w:line="240" w:lineRule="atLeast"/>
        <w:rPr>
          <w:rFonts w:cs="Frutiger 55 Roman"/>
          <w:b/>
          <w:bCs/>
          <w:i/>
          <w:iCs/>
          <w:snapToGrid w:val="0"/>
          <w:sz w:val="25"/>
          <w:szCs w:val="28"/>
          <w:lang w:eastAsia="es-ES" w:bidi="es-ES_tradnl"/>
        </w:rPr>
      </w:pPr>
      <w:r w:rsidRPr="00A94F5F">
        <w:rPr>
          <w:rFonts w:cs="Frutiger 55 Roman"/>
          <w:b/>
          <w:bCs/>
          <w:i/>
          <w:iCs/>
          <w:snapToGrid w:val="0"/>
          <w:sz w:val="25"/>
          <w:szCs w:val="28"/>
          <w:lang w:eastAsia="es-ES" w:bidi="es-ES_tradnl"/>
        </w:rPr>
        <w:t>Ef</w:t>
      </w:r>
      <w:r w:rsidR="00333B33" w:rsidRPr="00A94F5F">
        <w:rPr>
          <w:rFonts w:cs="Frutiger 55 Roman"/>
          <w:b/>
          <w:bCs/>
          <w:i/>
          <w:iCs/>
          <w:snapToGrid w:val="0"/>
          <w:sz w:val="25"/>
          <w:szCs w:val="28"/>
          <w:lang w:eastAsia="es-ES" w:bidi="es-ES_tradnl"/>
        </w:rPr>
        <w:t>ecto del mix favorable gracias a</w:t>
      </w:r>
      <w:r w:rsidR="00C16660" w:rsidRPr="00A94F5F">
        <w:rPr>
          <w:rFonts w:cs="Frutiger 55 Roman"/>
          <w:b/>
          <w:bCs/>
          <w:i/>
          <w:iCs/>
          <w:snapToGrid w:val="0"/>
          <w:sz w:val="25"/>
          <w:szCs w:val="28"/>
          <w:lang w:eastAsia="es-ES" w:bidi="es-ES_tradnl"/>
        </w:rPr>
        <w:t>l mantenimiento de</w:t>
      </w:r>
      <w:r w:rsidR="00333B33" w:rsidRPr="00A94F5F">
        <w:rPr>
          <w:rFonts w:cs="Frutiger 55 Roman"/>
          <w:b/>
          <w:bCs/>
          <w:i/>
          <w:iCs/>
          <w:snapToGrid w:val="0"/>
          <w:sz w:val="25"/>
          <w:szCs w:val="28"/>
          <w:lang w:eastAsia="es-ES" w:bidi="es-ES_tradnl"/>
        </w:rPr>
        <w:t xml:space="preserve"> la estrategia premium</w:t>
      </w:r>
      <w:r w:rsidRPr="00A94F5F">
        <w:rPr>
          <w:rFonts w:cs="Frutiger 55 Roman"/>
          <w:b/>
          <w:bCs/>
          <w:i/>
          <w:iCs/>
          <w:snapToGrid w:val="0"/>
          <w:sz w:val="25"/>
          <w:szCs w:val="28"/>
          <w:lang w:eastAsia="es-ES" w:bidi="es-ES_tradnl"/>
        </w:rPr>
        <w:t xml:space="preserve"> </w:t>
      </w:r>
    </w:p>
    <w:p w14:paraId="23D77F79" w14:textId="1F668C81" w:rsidR="00D5468B" w:rsidRPr="00A94F5F" w:rsidRDefault="00C16660" w:rsidP="00585178">
      <w:pPr>
        <w:numPr>
          <w:ilvl w:val="0"/>
          <w:numId w:val="5"/>
        </w:numPr>
        <w:spacing w:after="120" w:line="240" w:lineRule="atLeast"/>
        <w:rPr>
          <w:rFonts w:cs="Frutiger 55 Roman"/>
          <w:b/>
          <w:bCs/>
          <w:i/>
          <w:iCs/>
          <w:snapToGrid w:val="0"/>
          <w:sz w:val="25"/>
          <w:szCs w:val="28"/>
          <w:lang w:eastAsia="es-ES" w:bidi="es-ES_tradnl"/>
        </w:rPr>
      </w:pPr>
      <w:r w:rsidRPr="00A94F5F">
        <w:rPr>
          <w:rFonts w:cs="Frutiger 55 Roman"/>
          <w:b/>
          <w:bCs/>
          <w:i/>
          <w:iCs/>
          <w:snapToGrid w:val="0"/>
          <w:sz w:val="25"/>
          <w:szCs w:val="28"/>
          <w:lang w:eastAsia="es-ES" w:bidi="es-ES_tradnl"/>
        </w:rPr>
        <w:t xml:space="preserve">Paridades de </w:t>
      </w:r>
      <w:r w:rsidR="00D5468B" w:rsidRPr="00A94F5F">
        <w:rPr>
          <w:rFonts w:cs="Frutiger 55 Roman"/>
          <w:b/>
          <w:bCs/>
          <w:i/>
          <w:iCs/>
          <w:snapToGrid w:val="0"/>
          <w:sz w:val="25"/>
          <w:szCs w:val="28"/>
          <w:lang w:eastAsia="es-ES" w:bidi="es-ES_tradnl"/>
        </w:rPr>
        <w:t>cambio desfavorable</w:t>
      </w:r>
      <w:r w:rsidRPr="00A94F5F">
        <w:rPr>
          <w:rFonts w:cs="Frutiger 55 Roman"/>
          <w:b/>
          <w:bCs/>
          <w:i/>
          <w:iCs/>
          <w:snapToGrid w:val="0"/>
          <w:sz w:val="25"/>
          <w:szCs w:val="28"/>
          <w:lang w:eastAsia="es-ES" w:bidi="es-ES_tradnl"/>
        </w:rPr>
        <w:t>s en los nueve meses</w:t>
      </w:r>
      <w:r w:rsidR="009D0195" w:rsidRPr="00A94F5F">
        <w:rPr>
          <w:rFonts w:cs="Frutiger 55 Roman"/>
          <w:b/>
          <w:bCs/>
          <w:i/>
          <w:iCs/>
          <w:snapToGrid w:val="0"/>
          <w:sz w:val="25"/>
          <w:szCs w:val="28"/>
          <w:lang w:eastAsia="es-ES" w:bidi="es-ES_tradnl"/>
        </w:rPr>
        <w:t>,</w:t>
      </w:r>
      <w:r w:rsidR="00D5468B" w:rsidRPr="00A94F5F">
        <w:rPr>
          <w:rFonts w:cs="Frutiger 55 Roman"/>
          <w:b/>
          <w:bCs/>
          <w:i/>
          <w:iCs/>
          <w:snapToGrid w:val="0"/>
          <w:sz w:val="25"/>
          <w:szCs w:val="28"/>
          <w:lang w:eastAsia="es-ES" w:bidi="es-ES_tradnl"/>
        </w:rPr>
        <w:t xml:space="preserve"> </w:t>
      </w:r>
      <w:r w:rsidR="00346426" w:rsidRPr="00A94F5F">
        <w:rPr>
          <w:rFonts w:cs="Frutiger 55 Roman"/>
          <w:b/>
          <w:bCs/>
          <w:i/>
          <w:iCs/>
          <w:snapToGrid w:val="0"/>
          <w:sz w:val="25"/>
          <w:szCs w:val="28"/>
          <w:lang w:eastAsia="es-ES" w:bidi="es-ES_tradnl"/>
        </w:rPr>
        <w:t xml:space="preserve">aunque se </w:t>
      </w:r>
      <w:r w:rsidR="008C02F6" w:rsidRPr="00A94F5F">
        <w:rPr>
          <w:rFonts w:cs="Frutiger 55 Roman"/>
          <w:b/>
          <w:bCs/>
          <w:i/>
          <w:iCs/>
          <w:snapToGrid w:val="0"/>
          <w:sz w:val="25"/>
          <w:szCs w:val="28"/>
          <w:lang w:eastAsia="es-ES" w:bidi="es-ES_tradnl"/>
        </w:rPr>
        <w:t>ha invertido</w:t>
      </w:r>
      <w:r w:rsidR="00346426" w:rsidRPr="00A94F5F">
        <w:rPr>
          <w:rFonts w:cs="Frutiger 55 Roman"/>
          <w:b/>
          <w:bCs/>
          <w:i/>
          <w:iCs/>
          <w:snapToGrid w:val="0"/>
          <w:sz w:val="25"/>
          <w:szCs w:val="28"/>
          <w:lang w:eastAsia="es-ES" w:bidi="es-ES_tradnl"/>
        </w:rPr>
        <w:t xml:space="preserve"> en septiembre</w:t>
      </w:r>
      <w:r w:rsidR="009D0195" w:rsidRPr="00A94F5F">
        <w:rPr>
          <w:rFonts w:cs="Frutiger 55 Roman"/>
          <w:b/>
          <w:bCs/>
          <w:i/>
          <w:iCs/>
          <w:snapToGrid w:val="0"/>
          <w:sz w:val="25"/>
          <w:szCs w:val="28"/>
          <w:lang w:eastAsia="es-ES" w:bidi="es-ES_tradnl"/>
        </w:rPr>
        <w:t>.</w:t>
      </w:r>
      <w:r w:rsidR="00D5468B" w:rsidRPr="00A94F5F">
        <w:rPr>
          <w:rFonts w:cs="Frutiger 55 Roman"/>
          <w:b/>
          <w:bCs/>
          <w:i/>
          <w:iCs/>
          <w:snapToGrid w:val="0"/>
          <w:sz w:val="25"/>
          <w:szCs w:val="28"/>
          <w:lang w:eastAsia="es-ES" w:bidi="es-ES_tradnl"/>
        </w:rPr>
        <w:t xml:space="preserve"> </w:t>
      </w:r>
    </w:p>
    <w:p w14:paraId="7F92D916" w14:textId="77777777" w:rsidR="00BF4FFF" w:rsidRPr="00A94F5F" w:rsidRDefault="00BF4FFF" w:rsidP="00BF4FFF">
      <w:pPr>
        <w:spacing w:after="120" w:line="240" w:lineRule="atLeast"/>
        <w:rPr>
          <w:rFonts w:cs="Frutiger 55 Roman"/>
          <w:b/>
          <w:bCs/>
          <w:i/>
          <w:iCs/>
          <w:snapToGrid w:val="0"/>
          <w:sz w:val="25"/>
          <w:szCs w:val="28"/>
          <w:lang w:eastAsia="es-ES" w:bidi="es-ES_tradnl"/>
        </w:rPr>
      </w:pPr>
    </w:p>
    <w:p w14:paraId="3F9F2B29" w14:textId="77FE0EB8" w:rsidR="00BF4FFF" w:rsidRPr="00A94F5F" w:rsidRDefault="00DC672A" w:rsidP="00BF4FFF">
      <w:pPr>
        <w:spacing w:after="240" w:line="270" w:lineRule="atLeast"/>
        <w:jc w:val="both"/>
        <w:rPr>
          <w:rFonts w:ascii="Arial" w:hAnsi="Arial"/>
          <w:b/>
          <w:bCs/>
          <w:sz w:val="28"/>
          <w:lang w:bidi="es-ES_tradnl"/>
        </w:rPr>
      </w:pPr>
      <w:r w:rsidRPr="00A94F5F">
        <w:rPr>
          <w:rFonts w:ascii="Arial" w:hAnsi="Arial"/>
          <w:b/>
          <w:bCs/>
          <w:sz w:val="28"/>
          <w:lang w:bidi="es-ES_tradnl"/>
        </w:rPr>
        <w:br w:type="column"/>
      </w:r>
      <w:r w:rsidR="00BF4FFF" w:rsidRPr="00A94F5F">
        <w:rPr>
          <w:rFonts w:ascii="Arial" w:hAnsi="Arial"/>
          <w:b/>
          <w:bCs/>
          <w:sz w:val="28"/>
          <w:lang w:bidi="es-ES_tradnl"/>
        </w:rPr>
        <w:lastRenderedPageBreak/>
        <w:t>Perspectivas para 201</w:t>
      </w:r>
      <w:r w:rsidR="00690983" w:rsidRPr="00A94F5F">
        <w:rPr>
          <w:rFonts w:ascii="Arial" w:hAnsi="Arial"/>
          <w:b/>
          <w:bCs/>
          <w:sz w:val="28"/>
          <w:lang w:bidi="es-ES_tradnl"/>
        </w:rPr>
        <w:t>4</w:t>
      </w:r>
    </w:p>
    <w:p w14:paraId="10B5F389" w14:textId="393E31E7" w:rsidR="00E77DA1" w:rsidRPr="00A94F5F" w:rsidRDefault="0004758F" w:rsidP="001C518F">
      <w:pPr>
        <w:autoSpaceDE w:val="0"/>
        <w:autoSpaceDN w:val="0"/>
        <w:adjustRightInd w:val="0"/>
        <w:jc w:val="both"/>
        <w:rPr>
          <w:rFonts w:ascii="Arial" w:hAnsi="Arial"/>
          <w:b/>
          <w:bCs/>
          <w:sz w:val="21"/>
          <w:lang w:bidi="es-ES_tradnl"/>
        </w:rPr>
      </w:pPr>
      <w:r w:rsidRPr="00A94F5F">
        <w:rPr>
          <w:rFonts w:ascii="Arial" w:hAnsi="Arial"/>
          <w:b/>
          <w:bCs/>
          <w:sz w:val="21"/>
          <w:lang w:bidi="es-ES_tradnl"/>
        </w:rPr>
        <w:t>En un</w:t>
      </w:r>
      <w:r w:rsidR="00A8133F" w:rsidRPr="00A94F5F">
        <w:rPr>
          <w:rFonts w:ascii="Arial" w:hAnsi="Arial"/>
          <w:b/>
          <w:bCs/>
          <w:sz w:val="21"/>
          <w:lang w:bidi="es-ES_tradnl"/>
        </w:rPr>
        <w:t>a</w:t>
      </w:r>
      <w:r w:rsidRPr="00A94F5F">
        <w:rPr>
          <w:rFonts w:ascii="Arial" w:hAnsi="Arial"/>
          <w:b/>
          <w:bCs/>
          <w:sz w:val="21"/>
          <w:lang w:bidi="es-ES_tradnl"/>
        </w:rPr>
        <w:t xml:space="preserve"> </w:t>
      </w:r>
      <w:r w:rsidR="00A8133F" w:rsidRPr="00A94F5F">
        <w:rPr>
          <w:rFonts w:ascii="Arial" w:hAnsi="Arial"/>
          <w:b/>
          <w:bCs/>
          <w:sz w:val="21"/>
          <w:lang w:bidi="es-ES_tradnl"/>
        </w:rPr>
        <w:t>coyuntura</w:t>
      </w:r>
      <w:r w:rsidRPr="00A94F5F">
        <w:rPr>
          <w:rFonts w:ascii="Arial" w:hAnsi="Arial"/>
          <w:b/>
          <w:bCs/>
          <w:sz w:val="21"/>
          <w:lang w:bidi="es-ES_tradnl"/>
        </w:rPr>
        <w:t xml:space="preserve"> mundial marcad</w:t>
      </w:r>
      <w:r w:rsidR="00B310EA">
        <w:rPr>
          <w:rFonts w:ascii="Arial" w:hAnsi="Arial"/>
          <w:b/>
          <w:bCs/>
          <w:sz w:val="21"/>
          <w:lang w:bidi="es-ES_tradnl"/>
        </w:rPr>
        <w:t>a</w:t>
      </w:r>
      <w:r w:rsidRPr="00A94F5F">
        <w:rPr>
          <w:rFonts w:ascii="Arial" w:hAnsi="Arial"/>
          <w:b/>
          <w:bCs/>
          <w:sz w:val="21"/>
          <w:lang w:bidi="es-ES_tradnl"/>
        </w:rPr>
        <w:t xml:space="preserve"> por las incertidumbres macroeconómicas y las dificultades geopolíticas, </w:t>
      </w:r>
      <w:r w:rsidR="006D4B29" w:rsidRPr="00A94F5F">
        <w:rPr>
          <w:rFonts w:ascii="Arial" w:hAnsi="Arial"/>
          <w:b/>
          <w:bCs/>
          <w:sz w:val="21"/>
          <w:lang w:bidi="es-ES_tradnl"/>
        </w:rPr>
        <w:t xml:space="preserve">la demanda de neumáticos de Turismo Camioneta y Camión debería </w:t>
      </w:r>
      <w:r w:rsidR="00E77DA1" w:rsidRPr="00A94F5F">
        <w:rPr>
          <w:rFonts w:ascii="Arial" w:hAnsi="Arial"/>
          <w:b/>
          <w:bCs/>
          <w:sz w:val="21"/>
          <w:lang w:bidi="es-ES_tradnl"/>
        </w:rPr>
        <w:t>continuar progresando</w:t>
      </w:r>
      <w:r w:rsidR="006D4B29" w:rsidRPr="00A94F5F">
        <w:rPr>
          <w:rFonts w:ascii="Arial" w:hAnsi="Arial"/>
          <w:b/>
          <w:bCs/>
          <w:sz w:val="21"/>
          <w:lang w:bidi="es-ES_tradnl"/>
        </w:rPr>
        <w:t xml:space="preserve"> en América del Norte y Ch</w:t>
      </w:r>
      <w:r w:rsidR="00A8133F" w:rsidRPr="00A94F5F">
        <w:rPr>
          <w:rFonts w:ascii="Arial" w:hAnsi="Arial"/>
          <w:b/>
          <w:bCs/>
          <w:sz w:val="21"/>
          <w:lang w:bidi="es-ES_tradnl"/>
        </w:rPr>
        <w:t>i</w:t>
      </w:r>
      <w:r w:rsidR="006D4B29" w:rsidRPr="00A94F5F">
        <w:rPr>
          <w:rFonts w:ascii="Arial" w:hAnsi="Arial"/>
          <w:b/>
          <w:bCs/>
          <w:sz w:val="21"/>
          <w:lang w:bidi="es-ES_tradnl"/>
        </w:rPr>
        <w:t xml:space="preserve">na, y </w:t>
      </w:r>
      <w:r w:rsidR="00B310EA">
        <w:rPr>
          <w:rFonts w:ascii="Arial" w:hAnsi="Arial"/>
          <w:b/>
          <w:bCs/>
          <w:sz w:val="21"/>
          <w:lang w:bidi="es-ES_tradnl"/>
        </w:rPr>
        <w:t xml:space="preserve">seguir </w:t>
      </w:r>
      <w:r w:rsidR="006D4B29" w:rsidRPr="00A94F5F">
        <w:rPr>
          <w:rFonts w:ascii="Arial" w:hAnsi="Arial"/>
          <w:b/>
          <w:bCs/>
          <w:sz w:val="21"/>
          <w:lang w:bidi="es-ES_tradnl"/>
        </w:rPr>
        <w:t>estable en Europa</w:t>
      </w:r>
      <w:r w:rsidR="00E77DA1" w:rsidRPr="00A94F5F">
        <w:rPr>
          <w:rFonts w:ascii="Arial" w:hAnsi="Arial"/>
          <w:b/>
          <w:bCs/>
          <w:sz w:val="21"/>
          <w:lang w:bidi="es-ES_tradnl"/>
        </w:rPr>
        <w:t>. En los nuevos mercados, la ralentización observada, en particular en primeros equipos,</w:t>
      </w:r>
      <w:r w:rsidR="00AF2864" w:rsidRPr="00A94F5F">
        <w:rPr>
          <w:rFonts w:ascii="Arial" w:hAnsi="Arial"/>
          <w:b/>
          <w:bCs/>
          <w:sz w:val="21"/>
          <w:lang w:bidi="es-ES_tradnl"/>
        </w:rPr>
        <w:t xml:space="preserve"> debería </w:t>
      </w:r>
      <w:r w:rsidR="002D7F17">
        <w:rPr>
          <w:rFonts w:ascii="Arial" w:hAnsi="Arial"/>
          <w:b/>
          <w:bCs/>
          <w:sz w:val="21"/>
          <w:lang w:bidi="es-ES_tradnl"/>
        </w:rPr>
        <w:t>permanecer</w:t>
      </w:r>
      <w:r w:rsidR="00AF2864" w:rsidRPr="00A94F5F">
        <w:rPr>
          <w:rFonts w:ascii="Arial" w:hAnsi="Arial"/>
          <w:b/>
          <w:bCs/>
          <w:sz w:val="21"/>
          <w:lang w:bidi="es-ES_tradnl"/>
        </w:rPr>
        <w:t>, la actividad de re</w:t>
      </w:r>
      <w:r w:rsidR="00FF13CD" w:rsidRPr="00A94F5F">
        <w:rPr>
          <w:rFonts w:ascii="Arial" w:hAnsi="Arial"/>
          <w:b/>
          <w:bCs/>
          <w:sz w:val="21"/>
          <w:lang w:bidi="es-ES_tradnl"/>
        </w:rPr>
        <w:t>e</w:t>
      </w:r>
      <w:r w:rsidR="00AF2864" w:rsidRPr="00A94F5F">
        <w:rPr>
          <w:rFonts w:ascii="Arial" w:hAnsi="Arial"/>
          <w:b/>
          <w:bCs/>
          <w:sz w:val="21"/>
          <w:lang w:bidi="es-ES_tradnl"/>
        </w:rPr>
        <w:t>mplazo debería mantener el dinamismo</w:t>
      </w:r>
      <w:r w:rsidR="002D7F17">
        <w:rPr>
          <w:rFonts w:ascii="Arial" w:hAnsi="Arial"/>
          <w:b/>
          <w:bCs/>
          <w:sz w:val="21"/>
          <w:lang w:bidi="es-ES_tradnl"/>
        </w:rPr>
        <w:t xml:space="preserve"> en Turismo Camioneta y retroceder</w:t>
      </w:r>
      <w:r w:rsidR="00A8133F" w:rsidRPr="00A94F5F">
        <w:rPr>
          <w:rFonts w:ascii="Arial" w:hAnsi="Arial"/>
          <w:b/>
          <w:bCs/>
          <w:sz w:val="21"/>
          <w:lang w:bidi="es-ES_tradnl"/>
        </w:rPr>
        <w:t xml:space="preserve"> liger</w:t>
      </w:r>
      <w:r w:rsidR="002D7F17">
        <w:rPr>
          <w:rFonts w:ascii="Arial" w:hAnsi="Arial"/>
          <w:b/>
          <w:bCs/>
          <w:sz w:val="21"/>
          <w:lang w:bidi="es-ES_tradnl"/>
        </w:rPr>
        <w:t>amente</w:t>
      </w:r>
      <w:r w:rsidR="00A8133F" w:rsidRPr="00A94F5F">
        <w:rPr>
          <w:rFonts w:ascii="Arial" w:hAnsi="Arial"/>
          <w:b/>
          <w:bCs/>
          <w:sz w:val="21"/>
          <w:lang w:bidi="es-ES_tradnl"/>
        </w:rPr>
        <w:t xml:space="preserve"> en Camión.</w:t>
      </w:r>
    </w:p>
    <w:p w14:paraId="21221498" w14:textId="77777777" w:rsidR="0004758F" w:rsidRPr="00A94F5F" w:rsidRDefault="0004758F" w:rsidP="001C518F">
      <w:pPr>
        <w:autoSpaceDE w:val="0"/>
        <w:autoSpaceDN w:val="0"/>
        <w:adjustRightInd w:val="0"/>
        <w:jc w:val="both"/>
        <w:rPr>
          <w:rFonts w:ascii="Arial" w:hAnsi="Arial"/>
          <w:b/>
          <w:bCs/>
          <w:sz w:val="21"/>
          <w:lang w:bidi="es-ES_tradnl"/>
        </w:rPr>
      </w:pPr>
    </w:p>
    <w:p w14:paraId="3940F8E5" w14:textId="4053B0BC" w:rsidR="00240601" w:rsidRPr="00A94F5F" w:rsidRDefault="00A8133F" w:rsidP="001C518F">
      <w:pPr>
        <w:autoSpaceDE w:val="0"/>
        <w:autoSpaceDN w:val="0"/>
        <w:adjustRightInd w:val="0"/>
        <w:jc w:val="both"/>
        <w:rPr>
          <w:rFonts w:ascii="Arial" w:hAnsi="Arial"/>
          <w:b/>
          <w:bCs/>
          <w:sz w:val="21"/>
          <w:lang w:bidi="es-ES_tradnl"/>
        </w:rPr>
      </w:pPr>
      <w:r w:rsidRPr="00A94F5F">
        <w:rPr>
          <w:rFonts w:ascii="Arial" w:hAnsi="Arial"/>
          <w:b/>
          <w:bCs/>
          <w:sz w:val="21"/>
          <w:lang w:bidi="es-ES_tradnl"/>
        </w:rPr>
        <w:t>En este contexto</w:t>
      </w:r>
      <w:r w:rsidR="001C518F" w:rsidRPr="00A94F5F">
        <w:rPr>
          <w:rFonts w:ascii="Arial" w:hAnsi="Arial"/>
          <w:b/>
          <w:bCs/>
          <w:sz w:val="21"/>
          <w:lang w:bidi="es-ES_tradnl"/>
        </w:rPr>
        <w:t xml:space="preserve">, Michelin </w:t>
      </w:r>
      <w:r w:rsidR="00B97474" w:rsidRPr="00A94F5F">
        <w:rPr>
          <w:rFonts w:ascii="Arial" w:hAnsi="Arial"/>
          <w:b/>
          <w:bCs/>
          <w:sz w:val="21"/>
          <w:lang w:bidi="es-ES_tradnl"/>
        </w:rPr>
        <w:t>reduce su perspectiva de crecimiento de los volúmenes</w:t>
      </w:r>
      <w:r w:rsidR="00F31A38" w:rsidRPr="00A94F5F">
        <w:rPr>
          <w:rFonts w:ascii="Arial" w:hAnsi="Arial"/>
          <w:b/>
          <w:bCs/>
          <w:sz w:val="21"/>
          <w:lang w:bidi="es-ES_tradnl"/>
        </w:rPr>
        <w:t xml:space="preserve">, en línea con los mercados, </w:t>
      </w:r>
      <w:r w:rsidR="00240601" w:rsidRPr="00A94F5F">
        <w:rPr>
          <w:rFonts w:ascii="Arial" w:hAnsi="Arial"/>
          <w:b/>
          <w:bCs/>
          <w:sz w:val="21"/>
          <w:lang w:bidi="es-ES_tradnl"/>
        </w:rPr>
        <w:t xml:space="preserve">en un rango de entre el </w:t>
      </w:r>
      <w:r w:rsidR="001C518F" w:rsidRPr="00A94F5F">
        <w:rPr>
          <w:rFonts w:ascii="Arial" w:hAnsi="Arial"/>
          <w:b/>
          <w:bCs/>
          <w:sz w:val="21"/>
          <w:lang w:bidi="es-ES_tradnl"/>
        </w:rPr>
        <w:t xml:space="preserve">1 % </w:t>
      </w:r>
      <w:r w:rsidR="00240601" w:rsidRPr="00A94F5F">
        <w:rPr>
          <w:rFonts w:ascii="Arial" w:hAnsi="Arial"/>
          <w:b/>
          <w:bCs/>
          <w:sz w:val="21"/>
          <w:lang w:bidi="es-ES_tradnl"/>
        </w:rPr>
        <w:t>y</w:t>
      </w:r>
      <w:r w:rsidR="001C518F" w:rsidRPr="00A94F5F">
        <w:rPr>
          <w:rFonts w:ascii="Arial" w:hAnsi="Arial"/>
          <w:b/>
          <w:bCs/>
          <w:sz w:val="21"/>
          <w:lang w:bidi="es-ES_tradnl"/>
        </w:rPr>
        <w:t xml:space="preserve"> </w:t>
      </w:r>
      <w:r w:rsidR="00240601" w:rsidRPr="00A94F5F">
        <w:rPr>
          <w:rFonts w:ascii="Arial" w:hAnsi="Arial"/>
          <w:b/>
          <w:bCs/>
          <w:sz w:val="21"/>
          <w:lang w:bidi="es-ES_tradnl"/>
        </w:rPr>
        <w:t xml:space="preserve">el </w:t>
      </w:r>
      <w:r w:rsidR="001C518F" w:rsidRPr="00A94F5F">
        <w:rPr>
          <w:rFonts w:ascii="Arial" w:hAnsi="Arial"/>
          <w:b/>
          <w:bCs/>
          <w:sz w:val="21"/>
          <w:lang w:bidi="es-ES_tradnl"/>
        </w:rPr>
        <w:t xml:space="preserve">2 % </w:t>
      </w:r>
      <w:r w:rsidR="00240601" w:rsidRPr="00A94F5F">
        <w:rPr>
          <w:rFonts w:ascii="Arial" w:hAnsi="Arial"/>
          <w:b/>
          <w:bCs/>
          <w:sz w:val="21"/>
          <w:lang w:bidi="es-ES_tradnl"/>
        </w:rPr>
        <w:t xml:space="preserve">para todo el año. Las ventas de neumáticos de especialidades, en toneladas, deberían </w:t>
      </w:r>
      <w:r w:rsidR="000D4F3F" w:rsidRPr="00A94F5F">
        <w:rPr>
          <w:rFonts w:ascii="Arial" w:hAnsi="Arial"/>
          <w:b/>
          <w:bCs/>
          <w:sz w:val="21"/>
          <w:lang w:bidi="es-ES_tradnl"/>
        </w:rPr>
        <w:t>aproximarse a las registradas en 2013, con un efecto favorable en el 4º trimestre por los neumáticos de minería.</w:t>
      </w:r>
    </w:p>
    <w:p w14:paraId="2A82E315" w14:textId="77777777" w:rsidR="00240601" w:rsidRPr="00A94F5F" w:rsidRDefault="00240601" w:rsidP="001C518F">
      <w:pPr>
        <w:autoSpaceDE w:val="0"/>
        <w:autoSpaceDN w:val="0"/>
        <w:adjustRightInd w:val="0"/>
        <w:jc w:val="both"/>
        <w:rPr>
          <w:rFonts w:ascii="Arial" w:hAnsi="Arial"/>
          <w:b/>
          <w:bCs/>
          <w:sz w:val="21"/>
          <w:lang w:bidi="es-ES_tradnl"/>
        </w:rPr>
      </w:pPr>
    </w:p>
    <w:p w14:paraId="75EED8CF" w14:textId="1D43EF38" w:rsidR="001C518F" w:rsidRPr="00A94F5F" w:rsidRDefault="00037AE7" w:rsidP="001C518F">
      <w:pPr>
        <w:autoSpaceDE w:val="0"/>
        <w:autoSpaceDN w:val="0"/>
        <w:adjustRightInd w:val="0"/>
        <w:jc w:val="both"/>
        <w:rPr>
          <w:rFonts w:ascii="Arial" w:hAnsi="Arial"/>
          <w:b/>
          <w:bCs/>
          <w:sz w:val="21"/>
          <w:lang w:bidi="es-ES_tradnl"/>
        </w:rPr>
      </w:pPr>
      <w:r w:rsidRPr="00A94F5F">
        <w:rPr>
          <w:rFonts w:ascii="Arial" w:hAnsi="Arial"/>
          <w:b/>
          <w:bCs/>
          <w:sz w:val="21"/>
          <w:lang w:bidi="es-ES_tradnl"/>
        </w:rPr>
        <w:t xml:space="preserve">En el último trimestre de 2014, en respuesta a la evolución de los mercados, Michelin debería ajustar el control de los costes, beneficiándose de las paridades más favorables. </w:t>
      </w:r>
      <w:r w:rsidR="007106B6" w:rsidRPr="00A94F5F">
        <w:rPr>
          <w:rFonts w:ascii="Arial" w:hAnsi="Arial"/>
          <w:b/>
          <w:bCs/>
          <w:sz w:val="21"/>
          <w:lang w:bidi="es-ES_tradnl"/>
        </w:rPr>
        <w:t xml:space="preserve">El plan de competitividad del Grupo, con 169 millones de euros de ahorro en los nueve meses, </w:t>
      </w:r>
      <w:r w:rsidR="000C6EC8">
        <w:rPr>
          <w:rFonts w:ascii="Arial" w:hAnsi="Arial"/>
          <w:b/>
          <w:bCs/>
          <w:sz w:val="21"/>
          <w:lang w:bidi="es-ES_tradnl"/>
        </w:rPr>
        <w:t>demuestra</w:t>
      </w:r>
      <w:r w:rsidR="007106B6" w:rsidRPr="00C5360F">
        <w:rPr>
          <w:rFonts w:ascii="Arial" w:hAnsi="Arial"/>
          <w:b/>
          <w:bCs/>
          <w:sz w:val="21"/>
          <w:lang w:bidi="es-ES_tradnl"/>
        </w:rPr>
        <w:t xml:space="preserve"> </w:t>
      </w:r>
      <w:r w:rsidR="002F4395" w:rsidRPr="00C5360F">
        <w:rPr>
          <w:rFonts w:ascii="Arial" w:hAnsi="Arial"/>
          <w:b/>
          <w:bCs/>
          <w:sz w:val="21"/>
          <w:lang w:bidi="es-ES_tradnl"/>
        </w:rPr>
        <w:t>su</w:t>
      </w:r>
      <w:r w:rsidR="002F4395">
        <w:rPr>
          <w:rFonts w:ascii="Arial" w:hAnsi="Arial"/>
          <w:b/>
          <w:bCs/>
          <w:sz w:val="21"/>
          <w:lang w:bidi="es-ES_tradnl"/>
        </w:rPr>
        <w:t xml:space="preserve"> </w:t>
      </w:r>
      <w:r w:rsidR="007106B6" w:rsidRPr="00A94F5F">
        <w:rPr>
          <w:rFonts w:ascii="Arial" w:hAnsi="Arial"/>
          <w:b/>
          <w:bCs/>
          <w:sz w:val="21"/>
          <w:lang w:bidi="es-ES_tradnl"/>
        </w:rPr>
        <w:t>eficiencia industrial</w:t>
      </w:r>
      <w:r w:rsidR="004275D7" w:rsidRPr="00A94F5F">
        <w:rPr>
          <w:rFonts w:ascii="Arial" w:hAnsi="Arial"/>
          <w:b/>
          <w:bCs/>
          <w:sz w:val="21"/>
          <w:lang w:bidi="es-ES_tradnl"/>
        </w:rPr>
        <w:t xml:space="preserve">. El Grupo confirma </w:t>
      </w:r>
      <w:r w:rsidR="002F4395" w:rsidRPr="00C5360F">
        <w:rPr>
          <w:rFonts w:ascii="Arial" w:hAnsi="Arial"/>
          <w:b/>
          <w:bCs/>
          <w:sz w:val="21"/>
          <w:lang w:bidi="es-ES_tradnl"/>
        </w:rPr>
        <w:t>el</w:t>
      </w:r>
      <w:r w:rsidR="004275D7" w:rsidRPr="00C5360F">
        <w:rPr>
          <w:rFonts w:ascii="Arial" w:hAnsi="Arial"/>
          <w:b/>
          <w:bCs/>
          <w:sz w:val="21"/>
          <w:lang w:bidi="es-ES_tradnl"/>
        </w:rPr>
        <w:t xml:space="preserve"> </w:t>
      </w:r>
      <w:r w:rsidR="004275D7" w:rsidRPr="00A94F5F">
        <w:rPr>
          <w:rFonts w:ascii="Arial" w:hAnsi="Arial"/>
          <w:b/>
          <w:bCs/>
          <w:sz w:val="21"/>
          <w:lang w:bidi="es-ES_tradnl"/>
        </w:rPr>
        <w:t>objetivo de crecimiento del resultado operativo an</w:t>
      </w:r>
      <w:r w:rsidR="00B20204" w:rsidRPr="00A94F5F">
        <w:rPr>
          <w:rFonts w:ascii="Arial" w:hAnsi="Arial"/>
          <w:b/>
          <w:bCs/>
          <w:sz w:val="21"/>
          <w:lang w:bidi="es-ES_tradnl"/>
        </w:rPr>
        <w:t xml:space="preserve">tes de elementos no recurrentes, excluidos los efectos monetarios. </w:t>
      </w:r>
    </w:p>
    <w:p w14:paraId="6F142C7A" w14:textId="77777777" w:rsidR="00037AE7" w:rsidRPr="00A94F5F" w:rsidRDefault="00037AE7" w:rsidP="001C518F">
      <w:pPr>
        <w:autoSpaceDE w:val="0"/>
        <w:autoSpaceDN w:val="0"/>
        <w:adjustRightInd w:val="0"/>
        <w:jc w:val="both"/>
        <w:rPr>
          <w:rFonts w:ascii="Arial" w:hAnsi="Arial"/>
          <w:b/>
          <w:bCs/>
          <w:sz w:val="21"/>
          <w:lang w:bidi="es-ES_tradnl"/>
        </w:rPr>
      </w:pPr>
    </w:p>
    <w:p w14:paraId="36B06EDF" w14:textId="2B9661F9" w:rsidR="001C518F" w:rsidRPr="00A94F5F" w:rsidRDefault="00A94F9D" w:rsidP="00A94F9D">
      <w:pPr>
        <w:autoSpaceDE w:val="0"/>
        <w:autoSpaceDN w:val="0"/>
        <w:adjustRightInd w:val="0"/>
        <w:jc w:val="both"/>
        <w:rPr>
          <w:rFonts w:ascii="Arial" w:hAnsi="Arial"/>
          <w:bCs/>
          <w:sz w:val="21"/>
          <w:lang w:bidi="es-ES_tradnl"/>
        </w:rPr>
      </w:pPr>
      <w:r w:rsidRPr="00A94F5F">
        <w:rPr>
          <w:rFonts w:ascii="Arial" w:hAnsi="Arial"/>
          <w:b/>
          <w:bCs/>
          <w:sz w:val="21"/>
          <w:lang w:bidi="es-ES_tradnl"/>
        </w:rPr>
        <w:t xml:space="preserve">Michelin confirma igualmente su objetivo de rentabilidad de capitales empleados superior al 11 % y de generación de </w:t>
      </w:r>
      <w:r w:rsidR="001C518F" w:rsidRPr="00A94F5F">
        <w:rPr>
          <w:rFonts w:ascii="Arial" w:hAnsi="Arial"/>
          <w:b/>
          <w:bCs/>
          <w:i/>
          <w:sz w:val="21"/>
          <w:lang w:bidi="es-ES_tradnl"/>
        </w:rPr>
        <w:t>cash flow</w:t>
      </w:r>
      <w:r w:rsidR="001C518F" w:rsidRPr="00A94F5F">
        <w:rPr>
          <w:rFonts w:ascii="Arial" w:hAnsi="Arial"/>
          <w:b/>
          <w:bCs/>
          <w:sz w:val="21"/>
          <w:lang w:bidi="es-ES_tradnl"/>
        </w:rPr>
        <w:t xml:space="preserve"> libre </w:t>
      </w:r>
      <w:r w:rsidRPr="00A94F5F">
        <w:rPr>
          <w:rFonts w:ascii="Arial" w:hAnsi="Arial"/>
          <w:b/>
          <w:bCs/>
          <w:sz w:val="21"/>
          <w:lang w:bidi="es-ES_tradnl"/>
        </w:rPr>
        <w:t xml:space="preserve">estructural superior a </w:t>
      </w:r>
      <w:r w:rsidR="001C518F" w:rsidRPr="00A94F5F">
        <w:rPr>
          <w:rFonts w:ascii="Arial" w:hAnsi="Arial"/>
          <w:b/>
          <w:bCs/>
          <w:sz w:val="21"/>
          <w:lang w:bidi="es-ES_tradnl"/>
        </w:rPr>
        <w:t>500 millon</w:t>
      </w:r>
      <w:r w:rsidRPr="00A94F5F">
        <w:rPr>
          <w:rFonts w:ascii="Arial" w:hAnsi="Arial"/>
          <w:b/>
          <w:bCs/>
          <w:sz w:val="21"/>
          <w:lang w:bidi="es-ES_tradnl"/>
        </w:rPr>
        <w:t>e</w:t>
      </w:r>
      <w:r w:rsidR="001C518F" w:rsidRPr="00A94F5F">
        <w:rPr>
          <w:rFonts w:ascii="Arial" w:hAnsi="Arial"/>
          <w:b/>
          <w:bCs/>
          <w:sz w:val="21"/>
          <w:lang w:bidi="es-ES_tradnl"/>
        </w:rPr>
        <w:t xml:space="preserve">s </w:t>
      </w:r>
      <w:r w:rsidRPr="00A94F5F">
        <w:rPr>
          <w:rFonts w:ascii="Arial" w:hAnsi="Arial"/>
          <w:b/>
          <w:bCs/>
          <w:sz w:val="21"/>
          <w:lang w:bidi="es-ES_tradnl"/>
        </w:rPr>
        <w:t xml:space="preserve">de euros. El programa de inversiones se mantiene </w:t>
      </w:r>
      <w:r w:rsidR="00807DCE" w:rsidRPr="00A94F5F">
        <w:rPr>
          <w:rFonts w:ascii="Arial" w:hAnsi="Arial"/>
          <w:b/>
          <w:bCs/>
          <w:sz w:val="21"/>
          <w:lang w:bidi="es-ES_tradnl"/>
        </w:rPr>
        <w:t xml:space="preserve">en </w:t>
      </w:r>
      <w:r w:rsidRPr="00A94F5F">
        <w:rPr>
          <w:rFonts w:ascii="Arial" w:hAnsi="Arial"/>
          <w:b/>
          <w:bCs/>
          <w:sz w:val="21"/>
          <w:lang w:bidi="es-ES_tradnl"/>
        </w:rPr>
        <w:t>2.000 millones de euros</w:t>
      </w:r>
      <w:r w:rsidR="001C518F" w:rsidRPr="00A94F5F">
        <w:rPr>
          <w:rFonts w:ascii="Arial" w:hAnsi="Arial"/>
          <w:b/>
          <w:bCs/>
          <w:sz w:val="21"/>
          <w:lang w:bidi="es-ES_tradnl"/>
        </w:rPr>
        <w:t xml:space="preserve"> en 2014 </w:t>
      </w:r>
      <w:r w:rsidR="00807DCE" w:rsidRPr="00A94F5F">
        <w:rPr>
          <w:rFonts w:ascii="Arial" w:hAnsi="Arial"/>
          <w:b/>
          <w:bCs/>
          <w:sz w:val="21"/>
          <w:lang w:bidi="es-ES_tradnl"/>
        </w:rPr>
        <w:t xml:space="preserve">y se revisará a la baja para </w:t>
      </w:r>
      <w:r w:rsidR="001C518F" w:rsidRPr="00A94F5F">
        <w:rPr>
          <w:rFonts w:ascii="Arial" w:hAnsi="Arial"/>
          <w:b/>
          <w:bCs/>
          <w:sz w:val="21"/>
          <w:lang w:bidi="es-ES_tradnl"/>
        </w:rPr>
        <w:t xml:space="preserve">2015 </w:t>
      </w:r>
      <w:r w:rsidR="00807DCE" w:rsidRPr="00A94F5F">
        <w:rPr>
          <w:rFonts w:ascii="Arial" w:hAnsi="Arial"/>
          <w:b/>
          <w:bCs/>
          <w:sz w:val="21"/>
          <w:lang w:bidi="es-ES_tradnl"/>
        </w:rPr>
        <w:t>y</w:t>
      </w:r>
      <w:r w:rsidR="001C518F" w:rsidRPr="00A94F5F">
        <w:rPr>
          <w:rFonts w:ascii="Arial" w:hAnsi="Arial"/>
          <w:b/>
          <w:bCs/>
          <w:sz w:val="21"/>
          <w:lang w:bidi="es-ES_tradnl"/>
        </w:rPr>
        <w:t xml:space="preserve"> 2016.</w:t>
      </w:r>
    </w:p>
    <w:p w14:paraId="5CB4C3BB" w14:textId="77777777" w:rsidR="00057819" w:rsidRPr="00A94F5F" w:rsidRDefault="00057819" w:rsidP="00057819">
      <w:pPr>
        <w:autoSpaceDE w:val="0"/>
        <w:autoSpaceDN w:val="0"/>
        <w:adjustRightInd w:val="0"/>
        <w:jc w:val="both"/>
        <w:rPr>
          <w:rFonts w:ascii="Arial" w:hAnsi="Arial"/>
          <w:b/>
          <w:bCs/>
          <w:sz w:val="21"/>
          <w:lang w:bidi="es-ES_tradnl"/>
        </w:rPr>
      </w:pPr>
    </w:p>
    <w:p w14:paraId="1DC5CF0D" w14:textId="77777777" w:rsidR="00BF4FFF" w:rsidRPr="00A94F5F" w:rsidRDefault="00BF4FFF" w:rsidP="00BF4FFF">
      <w:pPr>
        <w:tabs>
          <w:tab w:val="left" w:pos="360"/>
        </w:tabs>
        <w:jc w:val="both"/>
        <w:rPr>
          <w:rFonts w:ascii="Verdana" w:eastAsia="Times New Roman" w:hAnsi="Verdana" w:cs="Arial"/>
          <w:b/>
          <w:bCs/>
          <w:highlight w:val="red"/>
        </w:rPr>
      </w:pPr>
    </w:p>
    <w:p w14:paraId="3475B1AD" w14:textId="77777777" w:rsidR="001C518F" w:rsidRPr="00A94F5F" w:rsidRDefault="001C518F" w:rsidP="001C518F">
      <w:pPr>
        <w:spacing w:after="120" w:line="240" w:lineRule="atLeast"/>
        <w:rPr>
          <w:rFonts w:cs="Frutiger 55 Roman"/>
          <w:b/>
          <w:bCs/>
          <w:i/>
          <w:iCs/>
          <w:snapToGrid w:val="0"/>
          <w:sz w:val="25"/>
          <w:szCs w:val="28"/>
          <w:lang w:eastAsia="es-ES" w:bidi="es-ES_tradn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1"/>
        <w:gridCol w:w="1078"/>
        <w:gridCol w:w="992"/>
        <w:gridCol w:w="1134"/>
        <w:gridCol w:w="1134"/>
        <w:gridCol w:w="1134"/>
        <w:gridCol w:w="1134"/>
      </w:tblGrid>
      <w:tr w:rsidR="001C518F" w:rsidRPr="00A94F5F" w14:paraId="7EC81779" w14:textId="77777777" w:rsidTr="001C518F">
        <w:tc>
          <w:tcPr>
            <w:tcW w:w="2291" w:type="dxa"/>
            <w:shd w:val="clear" w:color="auto" w:fill="E6E6E6"/>
          </w:tcPr>
          <w:p w14:paraId="222DF99D" w14:textId="77777777" w:rsidR="001C518F" w:rsidRPr="00A94F5F" w:rsidRDefault="001C518F" w:rsidP="001C518F">
            <w:pPr>
              <w:tabs>
                <w:tab w:val="left" w:pos="360"/>
              </w:tabs>
              <w:jc w:val="center"/>
              <w:rPr>
                <w:rFonts w:ascii="Arial" w:eastAsia="Times New Roman" w:hAnsi="Arial" w:cs="Arial"/>
                <w:smallCaps/>
                <w:sz w:val="21"/>
                <w:szCs w:val="18"/>
              </w:rPr>
            </w:pPr>
            <w:r w:rsidRPr="00A94F5F">
              <w:rPr>
                <w:rFonts w:ascii="Arial" w:eastAsia="Times New Roman" w:hAnsi="Arial" w:cs="Arial"/>
                <w:bCs/>
                <w:smallCaps/>
                <w:sz w:val="21"/>
                <w:szCs w:val="18"/>
              </w:rPr>
              <w:t>VENTAS NETAS (millones de euros)</w:t>
            </w:r>
          </w:p>
        </w:tc>
        <w:tc>
          <w:tcPr>
            <w:tcW w:w="3204" w:type="dxa"/>
            <w:gridSpan w:val="3"/>
            <w:shd w:val="clear" w:color="auto" w:fill="E6E6E6"/>
          </w:tcPr>
          <w:p w14:paraId="58CDC59D" w14:textId="77777777" w:rsidR="001C518F" w:rsidRPr="00A94F5F" w:rsidRDefault="001C518F" w:rsidP="001C518F">
            <w:pPr>
              <w:tabs>
                <w:tab w:val="left" w:pos="360"/>
              </w:tabs>
              <w:jc w:val="center"/>
              <w:rPr>
                <w:rFonts w:ascii="Arial" w:eastAsia="Times New Roman" w:hAnsi="Arial" w:cs="Arial"/>
                <w:bCs/>
                <w:smallCaps/>
                <w:sz w:val="21"/>
                <w:szCs w:val="18"/>
              </w:rPr>
            </w:pPr>
            <w:r w:rsidRPr="00A94F5F">
              <w:rPr>
                <w:rFonts w:ascii="Arial" w:eastAsia="Times New Roman" w:hAnsi="Arial" w:cs="Arial"/>
                <w:bCs/>
                <w:sz w:val="21"/>
                <w:szCs w:val="18"/>
              </w:rPr>
              <w:t>3</w:t>
            </w:r>
            <w:r w:rsidRPr="00A94F5F">
              <w:rPr>
                <w:rFonts w:ascii="Arial" w:eastAsia="Times New Roman" w:hAnsi="Arial" w:cs="Arial"/>
                <w:bCs/>
                <w:sz w:val="21"/>
                <w:szCs w:val="18"/>
                <w:vertAlign w:val="superscript"/>
              </w:rPr>
              <w:t>er</w:t>
            </w:r>
            <w:r w:rsidRPr="00A94F5F">
              <w:rPr>
                <w:rFonts w:ascii="Arial" w:eastAsia="Times New Roman" w:hAnsi="Arial" w:cs="Arial"/>
                <w:bCs/>
                <w:sz w:val="21"/>
                <w:szCs w:val="18"/>
              </w:rPr>
              <w:t xml:space="preserve"> trimestre </w:t>
            </w:r>
          </w:p>
        </w:tc>
        <w:tc>
          <w:tcPr>
            <w:tcW w:w="3402" w:type="dxa"/>
            <w:gridSpan w:val="3"/>
            <w:shd w:val="clear" w:color="auto" w:fill="E6E6E6"/>
          </w:tcPr>
          <w:p w14:paraId="6923001C" w14:textId="77777777" w:rsidR="001C518F" w:rsidRPr="00A94F5F" w:rsidRDefault="001C518F" w:rsidP="001C518F">
            <w:pPr>
              <w:tabs>
                <w:tab w:val="left" w:pos="360"/>
              </w:tabs>
              <w:jc w:val="center"/>
              <w:rPr>
                <w:rFonts w:ascii="Arial" w:eastAsia="Times New Roman" w:hAnsi="Arial" w:cs="Arial"/>
                <w:bCs/>
                <w:sz w:val="21"/>
                <w:szCs w:val="18"/>
              </w:rPr>
            </w:pPr>
            <w:r w:rsidRPr="00A94F5F">
              <w:rPr>
                <w:rFonts w:ascii="Arial" w:eastAsia="Times New Roman" w:hAnsi="Arial" w:cs="Arial"/>
                <w:bCs/>
                <w:sz w:val="21"/>
                <w:szCs w:val="18"/>
              </w:rPr>
              <w:t xml:space="preserve">Nueve primeros meses </w:t>
            </w:r>
          </w:p>
        </w:tc>
      </w:tr>
      <w:tr w:rsidR="001C518F" w:rsidRPr="00A94F5F" w14:paraId="15E3A046" w14:textId="77777777" w:rsidTr="001C518F">
        <w:tc>
          <w:tcPr>
            <w:tcW w:w="2291" w:type="dxa"/>
            <w:shd w:val="clear" w:color="auto" w:fill="E6E6E6"/>
          </w:tcPr>
          <w:p w14:paraId="5D396CF9" w14:textId="77777777" w:rsidR="001C518F" w:rsidRPr="00A94F5F" w:rsidRDefault="001C518F" w:rsidP="001C518F">
            <w:pPr>
              <w:tabs>
                <w:tab w:val="left" w:pos="360"/>
              </w:tabs>
              <w:jc w:val="center"/>
              <w:rPr>
                <w:rFonts w:ascii="Arial" w:eastAsia="Times New Roman" w:hAnsi="Arial" w:cs="Arial"/>
                <w:smallCaps/>
                <w:sz w:val="21"/>
                <w:szCs w:val="18"/>
              </w:rPr>
            </w:pPr>
          </w:p>
        </w:tc>
        <w:tc>
          <w:tcPr>
            <w:tcW w:w="1078" w:type="dxa"/>
            <w:shd w:val="clear" w:color="auto" w:fill="E6E6E6"/>
          </w:tcPr>
          <w:p w14:paraId="7F167B92" w14:textId="77777777" w:rsidR="001C518F" w:rsidRPr="00A94F5F" w:rsidRDefault="001C518F" w:rsidP="001C518F">
            <w:pPr>
              <w:tabs>
                <w:tab w:val="left" w:pos="360"/>
              </w:tabs>
              <w:jc w:val="center"/>
              <w:rPr>
                <w:rFonts w:ascii="Arial" w:eastAsia="Times New Roman" w:hAnsi="Arial" w:cs="Arial"/>
                <w:sz w:val="21"/>
                <w:szCs w:val="18"/>
              </w:rPr>
            </w:pPr>
            <w:r w:rsidRPr="00A94F5F">
              <w:rPr>
                <w:rFonts w:ascii="Arial" w:eastAsia="Times New Roman" w:hAnsi="Arial" w:cs="Arial"/>
                <w:bCs/>
                <w:sz w:val="21"/>
                <w:szCs w:val="18"/>
              </w:rPr>
              <w:t>2014</w:t>
            </w:r>
          </w:p>
        </w:tc>
        <w:tc>
          <w:tcPr>
            <w:tcW w:w="992" w:type="dxa"/>
            <w:shd w:val="clear" w:color="auto" w:fill="E6E6E6"/>
          </w:tcPr>
          <w:p w14:paraId="1C8F9E8E" w14:textId="77777777" w:rsidR="001C518F" w:rsidRPr="00A94F5F" w:rsidRDefault="001C518F" w:rsidP="001C518F">
            <w:pPr>
              <w:tabs>
                <w:tab w:val="left" w:pos="360"/>
              </w:tabs>
              <w:jc w:val="center"/>
              <w:rPr>
                <w:rFonts w:ascii="Arial" w:eastAsia="Times New Roman" w:hAnsi="Arial" w:cs="Arial"/>
                <w:sz w:val="21"/>
                <w:szCs w:val="18"/>
              </w:rPr>
            </w:pPr>
            <w:r w:rsidRPr="00A94F5F">
              <w:rPr>
                <w:rFonts w:ascii="Arial" w:eastAsia="Times New Roman" w:hAnsi="Arial" w:cs="Arial"/>
                <w:bCs/>
                <w:sz w:val="21"/>
                <w:szCs w:val="18"/>
              </w:rPr>
              <w:t>2013</w:t>
            </w:r>
          </w:p>
        </w:tc>
        <w:tc>
          <w:tcPr>
            <w:tcW w:w="1134" w:type="dxa"/>
            <w:shd w:val="clear" w:color="auto" w:fill="E6E6E6"/>
          </w:tcPr>
          <w:p w14:paraId="4CC273A5" w14:textId="77777777" w:rsidR="001C518F" w:rsidRPr="00A94F5F" w:rsidRDefault="001C518F" w:rsidP="001C518F">
            <w:pPr>
              <w:tabs>
                <w:tab w:val="left" w:pos="360"/>
              </w:tabs>
              <w:jc w:val="center"/>
              <w:rPr>
                <w:rFonts w:ascii="Arial" w:eastAsia="Times New Roman" w:hAnsi="Arial" w:cs="Arial"/>
                <w:sz w:val="21"/>
                <w:szCs w:val="18"/>
              </w:rPr>
            </w:pPr>
            <w:r w:rsidRPr="00A94F5F">
              <w:rPr>
                <w:rFonts w:ascii="Arial" w:eastAsia="Times New Roman" w:hAnsi="Arial" w:cs="Arial"/>
                <w:bCs/>
                <w:sz w:val="21"/>
                <w:szCs w:val="18"/>
              </w:rPr>
              <w:t>% Variación</w:t>
            </w:r>
          </w:p>
        </w:tc>
        <w:tc>
          <w:tcPr>
            <w:tcW w:w="1134" w:type="dxa"/>
            <w:shd w:val="clear" w:color="auto" w:fill="E6E6E6"/>
          </w:tcPr>
          <w:p w14:paraId="5ADB5469" w14:textId="77777777" w:rsidR="001C518F" w:rsidRPr="00A94F5F" w:rsidRDefault="001C518F" w:rsidP="001C518F">
            <w:pPr>
              <w:tabs>
                <w:tab w:val="left" w:pos="360"/>
              </w:tabs>
              <w:jc w:val="center"/>
              <w:rPr>
                <w:rFonts w:ascii="Arial" w:eastAsia="Times New Roman" w:hAnsi="Arial" w:cs="Arial"/>
                <w:sz w:val="21"/>
                <w:szCs w:val="18"/>
              </w:rPr>
            </w:pPr>
            <w:r w:rsidRPr="00A94F5F">
              <w:rPr>
                <w:rFonts w:ascii="Arial" w:eastAsia="Times New Roman" w:hAnsi="Arial" w:cs="Arial"/>
                <w:bCs/>
                <w:sz w:val="21"/>
                <w:szCs w:val="18"/>
              </w:rPr>
              <w:t>2014</w:t>
            </w:r>
          </w:p>
        </w:tc>
        <w:tc>
          <w:tcPr>
            <w:tcW w:w="1134" w:type="dxa"/>
            <w:shd w:val="clear" w:color="auto" w:fill="E6E6E6"/>
          </w:tcPr>
          <w:p w14:paraId="2B422753" w14:textId="77777777" w:rsidR="001C518F" w:rsidRPr="00A94F5F" w:rsidRDefault="001C518F" w:rsidP="001C518F">
            <w:pPr>
              <w:tabs>
                <w:tab w:val="left" w:pos="360"/>
              </w:tabs>
              <w:jc w:val="center"/>
              <w:rPr>
                <w:rFonts w:ascii="Arial" w:eastAsia="Times New Roman" w:hAnsi="Arial" w:cs="Arial"/>
                <w:sz w:val="21"/>
                <w:szCs w:val="18"/>
              </w:rPr>
            </w:pPr>
            <w:r w:rsidRPr="00A94F5F">
              <w:rPr>
                <w:rFonts w:ascii="Arial" w:eastAsia="Times New Roman" w:hAnsi="Arial" w:cs="Arial"/>
                <w:bCs/>
                <w:sz w:val="21"/>
                <w:szCs w:val="18"/>
              </w:rPr>
              <w:t>2013</w:t>
            </w:r>
          </w:p>
        </w:tc>
        <w:tc>
          <w:tcPr>
            <w:tcW w:w="1134" w:type="dxa"/>
            <w:shd w:val="clear" w:color="auto" w:fill="E6E6E6"/>
          </w:tcPr>
          <w:p w14:paraId="23EB5333" w14:textId="77777777" w:rsidR="001C518F" w:rsidRPr="00A94F5F" w:rsidRDefault="001C518F" w:rsidP="001C518F">
            <w:pPr>
              <w:tabs>
                <w:tab w:val="left" w:pos="360"/>
              </w:tabs>
              <w:jc w:val="center"/>
              <w:rPr>
                <w:rFonts w:ascii="Arial" w:eastAsia="Times New Roman" w:hAnsi="Arial" w:cs="Arial"/>
                <w:sz w:val="21"/>
                <w:szCs w:val="18"/>
              </w:rPr>
            </w:pPr>
            <w:r w:rsidRPr="00A94F5F">
              <w:rPr>
                <w:rFonts w:ascii="Arial" w:eastAsia="Times New Roman" w:hAnsi="Arial" w:cs="Arial"/>
                <w:bCs/>
                <w:sz w:val="21"/>
                <w:szCs w:val="18"/>
              </w:rPr>
              <w:t>% Variación</w:t>
            </w:r>
          </w:p>
        </w:tc>
      </w:tr>
      <w:tr w:rsidR="00230E79" w:rsidRPr="00A94F5F" w14:paraId="0F88A26F" w14:textId="77777777" w:rsidTr="001C518F">
        <w:tc>
          <w:tcPr>
            <w:tcW w:w="2291" w:type="dxa"/>
          </w:tcPr>
          <w:p w14:paraId="5888619D" w14:textId="77777777" w:rsidR="00230E79" w:rsidRPr="00A94F5F" w:rsidRDefault="00230E79" w:rsidP="001C518F">
            <w:pPr>
              <w:tabs>
                <w:tab w:val="left" w:pos="360"/>
              </w:tabs>
              <w:jc w:val="center"/>
              <w:rPr>
                <w:bCs/>
                <w:lang w:bidi="es-ES_tradnl"/>
              </w:rPr>
            </w:pPr>
            <w:r w:rsidRPr="00A94F5F">
              <w:rPr>
                <w:rFonts w:ascii="Arial" w:eastAsia="Times New Roman" w:hAnsi="Arial" w:cs="Arial"/>
                <w:bCs/>
                <w:smallCaps/>
                <w:sz w:val="21"/>
                <w:szCs w:val="18"/>
              </w:rPr>
              <w:t>TURISMO, CAMIONETA Y DISTRIBUCIÓN ASOCIADA</w:t>
            </w:r>
            <w:r w:rsidRPr="00A94F5F">
              <w:rPr>
                <w:bCs/>
                <w:lang w:bidi="es-ES_tradnl"/>
              </w:rPr>
              <w:t xml:space="preserve"> </w:t>
            </w:r>
          </w:p>
        </w:tc>
        <w:tc>
          <w:tcPr>
            <w:tcW w:w="1078" w:type="dxa"/>
          </w:tcPr>
          <w:p w14:paraId="0315A91E" w14:textId="62F38813" w:rsidR="00230E79" w:rsidRPr="00A94F5F" w:rsidRDefault="00230E79" w:rsidP="00230E79">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2.592</w:t>
            </w:r>
          </w:p>
        </w:tc>
        <w:tc>
          <w:tcPr>
            <w:tcW w:w="992" w:type="dxa"/>
          </w:tcPr>
          <w:p w14:paraId="710598A5" w14:textId="39345934" w:rsidR="00230E79" w:rsidRPr="00A94F5F" w:rsidRDefault="00230E79" w:rsidP="00230E79">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2.702</w:t>
            </w:r>
          </w:p>
        </w:tc>
        <w:tc>
          <w:tcPr>
            <w:tcW w:w="1134" w:type="dxa"/>
          </w:tcPr>
          <w:p w14:paraId="7EBDED59" w14:textId="148AA6A3" w:rsidR="00230E79" w:rsidRPr="00A94F5F" w:rsidRDefault="00230E79" w:rsidP="001C518F">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- 4,1 %</w:t>
            </w:r>
          </w:p>
        </w:tc>
        <w:tc>
          <w:tcPr>
            <w:tcW w:w="1134" w:type="dxa"/>
          </w:tcPr>
          <w:p w14:paraId="57476664" w14:textId="202CD788" w:rsidR="00230E79" w:rsidRPr="00A94F5F" w:rsidRDefault="00230E79" w:rsidP="00230E79">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7.759</w:t>
            </w:r>
          </w:p>
        </w:tc>
        <w:tc>
          <w:tcPr>
            <w:tcW w:w="1134" w:type="dxa"/>
          </w:tcPr>
          <w:p w14:paraId="692FFC4B" w14:textId="2AB26DE1" w:rsidR="00230E79" w:rsidRPr="00A94F5F" w:rsidRDefault="00230E79" w:rsidP="00230E79">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8.023</w:t>
            </w:r>
          </w:p>
        </w:tc>
        <w:tc>
          <w:tcPr>
            <w:tcW w:w="1134" w:type="dxa"/>
          </w:tcPr>
          <w:p w14:paraId="70EEADA6" w14:textId="7E6C1C67" w:rsidR="00230E79" w:rsidRPr="00A94F5F" w:rsidRDefault="00230E79" w:rsidP="001C518F">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- 3,3 %</w:t>
            </w:r>
          </w:p>
        </w:tc>
      </w:tr>
      <w:tr w:rsidR="00230E79" w:rsidRPr="00A94F5F" w14:paraId="3550BC6A" w14:textId="77777777" w:rsidTr="001C518F">
        <w:tc>
          <w:tcPr>
            <w:tcW w:w="2291" w:type="dxa"/>
          </w:tcPr>
          <w:p w14:paraId="07CC29CF" w14:textId="77777777" w:rsidR="00230E79" w:rsidRPr="00A94F5F" w:rsidRDefault="00230E79" w:rsidP="001C518F">
            <w:pPr>
              <w:tabs>
                <w:tab w:val="left" w:pos="360"/>
              </w:tabs>
              <w:jc w:val="center"/>
              <w:rPr>
                <w:rFonts w:ascii="Arial" w:eastAsia="Times New Roman" w:hAnsi="Arial" w:cs="Arial"/>
                <w:smallCaps/>
                <w:sz w:val="21"/>
                <w:szCs w:val="18"/>
              </w:rPr>
            </w:pPr>
            <w:r w:rsidRPr="00A94F5F">
              <w:rPr>
                <w:rFonts w:ascii="Arial" w:eastAsia="Times New Roman" w:hAnsi="Arial" w:cs="Arial"/>
                <w:bCs/>
                <w:smallCaps/>
                <w:sz w:val="21"/>
                <w:szCs w:val="18"/>
                <w:lang w:bidi="es-ES_tradnl"/>
              </w:rPr>
              <w:t>CAMIÓN Y DISTRIBUCIÓN ASOCIADA</w:t>
            </w:r>
          </w:p>
        </w:tc>
        <w:tc>
          <w:tcPr>
            <w:tcW w:w="1078" w:type="dxa"/>
          </w:tcPr>
          <w:p w14:paraId="3E6CA77E" w14:textId="7950A6C8" w:rsidR="00230E79" w:rsidRPr="00A94F5F" w:rsidRDefault="00230E79" w:rsidP="00230E79">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1.576</w:t>
            </w:r>
          </w:p>
        </w:tc>
        <w:tc>
          <w:tcPr>
            <w:tcW w:w="992" w:type="dxa"/>
          </w:tcPr>
          <w:p w14:paraId="69625693" w14:textId="005D4D88" w:rsidR="00230E79" w:rsidRPr="00A94F5F" w:rsidRDefault="00230E79" w:rsidP="00230E79">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1.660</w:t>
            </w:r>
          </w:p>
        </w:tc>
        <w:tc>
          <w:tcPr>
            <w:tcW w:w="1134" w:type="dxa"/>
          </w:tcPr>
          <w:p w14:paraId="7CA04261" w14:textId="26278193" w:rsidR="00230E79" w:rsidRPr="00A94F5F" w:rsidRDefault="00230E79" w:rsidP="001C518F">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- 5,1 %</w:t>
            </w:r>
          </w:p>
        </w:tc>
        <w:tc>
          <w:tcPr>
            <w:tcW w:w="1134" w:type="dxa"/>
          </w:tcPr>
          <w:p w14:paraId="2B1F828B" w14:textId="29D6E56D" w:rsidR="00230E79" w:rsidRPr="00A94F5F" w:rsidRDefault="00230E79" w:rsidP="00230E79">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4.503</w:t>
            </w:r>
          </w:p>
        </w:tc>
        <w:tc>
          <w:tcPr>
            <w:tcW w:w="1134" w:type="dxa"/>
          </w:tcPr>
          <w:p w14:paraId="72DFD959" w14:textId="7874BDD0" w:rsidR="00230E79" w:rsidRPr="00A94F5F" w:rsidRDefault="00230E79" w:rsidP="00230E79">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4.781</w:t>
            </w:r>
          </w:p>
        </w:tc>
        <w:tc>
          <w:tcPr>
            <w:tcW w:w="1134" w:type="dxa"/>
          </w:tcPr>
          <w:p w14:paraId="10A216C8" w14:textId="0503D0C1" w:rsidR="00230E79" w:rsidRPr="00A94F5F" w:rsidRDefault="00230E79" w:rsidP="001C518F">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- 5,8 %</w:t>
            </w:r>
          </w:p>
        </w:tc>
      </w:tr>
      <w:tr w:rsidR="00230E79" w:rsidRPr="00A94F5F" w14:paraId="50B694C1" w14:textId="77777777" w:rsidTr="001C518F">
        <w:tc>
          <w:tcPr>
            <w:tcW w:w="2291" w:type="dxa"/>
          </w:tcPr>
          <w:p w14:paraId="75590C77" w14:textId="77777777" w:rsidR="00230E79" w:rsidRPr="00A94F5F" w:rsidRDefault="00230E79" w:rsidP="001C518F">
            <w:pPr>
              <w:tabs>
                <w:tab w:val="left" w:pos="360"/>
              </w:tabs>
              <w:jc w:val="center"/>
              <w:rPr>
                <w:bCs/>
                <w:lang w:bidi="es-ES_tradnl"/>
              </w:rPr>
            </w:pPr>
            <w:r w:rsidRPr="00A94F5F">
              <w:rPr>
                <w:rFonts w:ascii="Arial" w:eastAsia="Times New Roman" w:hAnsi="Arial" w:cs="Arial"/>
                <w:bCs/>
                <w:smallCaps/>
                <w:sz w:val="21"/>
                <w:szCs w:val="18"/>
                <w:lang w:bidi="es-ES_tradnl"/>
              </w:rPr>
              <w:t>ACTIVIDADES DE ESPECIALIDADES</w:t>
            </w:r>
            <w:r w:rsidRPr="00A94F5F">
              <w:rPr>
                <w:rFonts w:ascii="Arial" w:eastAsia="Times New Roman" w:hAnsi="Arial" w:cs="Arial"/>
                <w:bCs/>
                <w:smallCaps/>
                <w:sz w:val="21"/>
                <w:szCs w:val="18"/>
                <w:vertAlign w:val="superscript"/>
                <w:lang w:bidi="es-ES_tradnl"/>
              </w:rPr>
              <w:t>1</w:t>
            </w:r>
          </w:p>
        </w:tc>
        <w:tc>
          <w:tcPr>
            <w:tcW w:w="1078" w:type="dxa"/>
          </w:tcPr>
          <w:p w14:paraId="744028E3" w14:textId="1D916E92" w:rsidR="00230E79" w:rsidRPr="00A94F5F" w:rsidRDefault="00230E79" w:rsidP="001C518F">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717</w:t>
            </w:r>
          </w:p>
        </w:tc>
        <w:tc>
          <w:tcPr>
            <w:tcW w:w="992" w:type="dxa"/>
          </w:tcPr>
          <w:p w14:paraId="5C6D8FD0" w14:textId="411BEF78" w:rsidR="00230E79" w:rsidRPr="00A94F5F" w:rsidRDefault="00230E79" w:rsidP="001C518F">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761</w:t>
            </w:r>
          </w:p>
        </w:tc>
        <w:tc>
          <w:tcPr>
            <w:tcW w:w="1134" w:type="dxa"/>
          </w:tcPr>
          <w:p w14:paraId="7233086F" w14:textId="54A2AD62" w:rsidR="00230E79" w:rsidRPr="00A94F5F" w:rsidRDefault="00230E79" w:rsidP="001C518F">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- 5,8 %</w:t>
            </w:r>
          </w:p>
        </w:tc>
        <w:tc>
          <w:tcPr>
            <w:tcW w:w="1134" w:type="dxa"/>
          </w:tcPr>
          <w:p w14:paraId="2AD77D6A" w14:textId="2C661DC6" w:rsidR="00230E79" w:rsidRPr="00A94F5F" w:rsidRDefault="00230E79" w:rsidP="00230E79">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2.296</w:t>
            </w:r>
          </w:p>
        </w:tc>
        <w:tc>
          <w:tcPr>
            <w:tcW w:w="1134" w:type="dxa"/>
          </w:tcPr>
          <w:p w14:paraId="27F32559" w14:textId="4EAC763E" w:rsidR="00230E79" w:rsidRPr="00A94F5F" w:rsidRDefault="00230E79" w:rsidP="00230E79">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2.478</w:t>
            </w:r>
          </w:p>
        </w:tc>
        <w:tc>
          <w:tcPr>
            <w:tcW w:w="1134" w:type="dxa"/>
          </w:tcPr>
          <w:p w14:paraId="35EC9901" w14:textId="793518C2" w:rsidR="00230E79" w:rsidRPr="00A94F5F" w:rsidRDefault="00230E79" w:rsidP="001C518F">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- 7,3 %</w:t>
            </w:r>
          </w:p>
        </w:tc>
      </w:tr>
      <w:tr w:rsidR="00230E79" w:rsidRPr="00A94F5F" w14:paraId="0CF70409" w14:textId="77777777" w:rsidTr="001C518F">
        <w:tc>
          <w:tcPr>
            <w:tcW w:w="2291" w:type="dxa"/>
          </w:tcPr>
          <w:p w14:paraId="07757E58" w14:textId="77777777" w:rsidR="00230E79" w:rsidRPr="00A94F5F" w:rsidRDefault="00230E79" w:rsidP="001C518F">
            <w:pPr>
              <w:tabs>
                <w:tab w:val="left" w:pos="360"/>
              </w:tabs>
              <w:jc w:val="center"/>
              <w:rPr>
                <w:rFonts w:ascii="Arial" w:eastAsia="Times New Roman" w:hAnsi="Arial" w:cs="Arial"/>
                <w:bCs/>
                <w:smallCaps/>
                <w:sz w:val="21"/>
                <w:szCs w:val="18"/>
                <w:lang w:bidi="es-ES_tradnl"/>
              </w:rPr>
            </w:pPr>
            <w:r w:rsidRPr="00A94F5F">
              <w:rPr>
                <w:rFonts w:ascii="Arial" w:eastAsia="Times New Roman" w:hAnsi="Arial" w:cs="Arial"/>
                <w:bCs/>
                <w:smallCaps/>
                <w:sz w:val="21"/>
                <w:szCs w:val="18"/>
                <w:lang w:bidi="es-ES_tradnl"/>
              </w:rPr>
              <w:t>TOTAL GRUPO</w:t>
            </w:r>
          </w:p>
          <w:p w14:paraId="417C9B5C" w14:textId="77777777" w:rsidR="00230E79" w:rsidRPr="00A94F5F" w:rsidRDefault="00230E79" w:rsidP="001C518F">
            <w:pPr>
              <w:tabs>
                <w:tab w:val="left" w:pos="360"/>
              </w:tabs>
              <w:jc w:val="center"/>
              <w:rPr>
                <w:rFonts w:ascii="Arial" w:eastAsia="Times New Roman" w:hAnsi="Arial" w:cs="Arial"/>
                <w:bCs/>
                <w:smallCaps/>
                <w:sz w:val="21"/>
                <w:szCs w:val="18"/>
                <w:lang w:bidi="es-ES_tradnl"/>
              </w:rPr>
            </w:pPr>
          </w:p>
        </w:tc>
        <w:tc>
          <w:tcPr>
            <w:tcW w:w="1078" w:type="dxa"/>
          </w:tcPr>
          <w:p w14:paraId="6460E466" w14:textId="1925A252" w:rsidR="00230E79" w:rsidRPr="00A94F5F" w:rsidRDefault="00230E79" w:rsidP="00230E79">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4.885</w:t>
            </w:r>
          </w:p>
        </w:tc>
        <w:tc>
          <w:tcPr>
            <w:tcW w:w="992" w:type="dxa"/>
          </w:tcPr>
          <w:p w14:paraId="7426FDEF" w14:textId="7C7F11B2" w:rsidR="00230E79" w:rsidRPr="00A94F5F" w:rsidRDefault="00230E79" w:rsidP="00230E79">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5.123</w:t>
            </w:r>
          </w:p>
        </w:tc>
        <w:tc>
          <w:tcPr>
            <w:tcW w:w="1134" w:type="dxa"/>
          </w:tcPr>
          <w:p w14:paraId="16E8B4B6" w14:textId="7FE25F4A" w:rsidR="00230E79" w:rsidRPr="00A94F5F" w:rsidRDefault="00230E79" w:rsidP="001C518F">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- 4,6 %</w:t>
            </w:r>
          </w:p>
        </w:tc>
        <w:tc>
          <w:tcPr>
            <w:tcW w:w="1134" w:type="dxa"/>
          </w:tcPr>
          <w:p w14:paraId="78695965" w14:textId="114BD5EF" w:rsidR="00230E79" w:rsidRPr="00A94F5F" w:rsidRDefault="00230E79" w:rsidP="00230E79">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14.558</w:t>
            </w:r>
          </w:p>
        </w:tc>
        <w:tc>
          <w:tcPr>
            <w:tcW w:w="1134" w:type="dxa"/>
          </w:tcPr>
          <w:p w14:paraId="7C976921" w14:textId="5F6BCB4A" w:rsidR="00230E79" w:rsidRPr="00A94F5F" w:rsidRDefault="00230E79" w:rsidP="00230E79">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15.282</w:t>
            </w:r>
          </w:p>
        </w:tc>
        <w:tc>
          <w:tcPr>
            <w:tcW w:w="1134" w:type="dxa"/>
          </w:tcPr>
          <w:p w14:paraId="57A9177D" w14:textId="4562C53A" w:rsidR="00230E79" w:rsidRPr="00A94F5F" w:rsidRDefault="00230E79" w:rsidP="001C518F">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- 4,7 %</w:t>
            </w:r>
          </w:p>
        </w:tc>
      </w:tr>
    </w:tbl>
    <w:p w14:paraId="7B6276C7" w14:textId="77777777" w:rsidR="001C518F" w:rsidRPr="00A94F5F" w:rsidRDefault="001C518F" w:rsidP="001C518F">
      <w:pPr>
        <w:tabs>
          <w:tab w:val="left" w:pos="360"/>
        </w:tabs>
        <w:jc w:val="both"/>
        <w:rPr>
          <w:rStyle w:val="hps"/>
        </w:rPr>
      </w:pPr>
      <w:r w:rsidRPr="00A94F5F">
        <w:rPr>
          <w:rFonts w:ascii="Arial" w:eastAsia="Times New Roman" w:hAnsi="Arial" w:cs="Arial"/>
          <w:sz w:val="16"/>
          <w:szCs w:val="16"/>
          <w:vertAlign w:val="superscript"/>
        </w:rPr>
        <w:t>1</w:t>
      </w:r>
      <w:r w:rsidRPr="00A94F5F">
        <w:rPr>
          <w:rFonts w:ascii="Arial" w:eastAsia="Times New Roman" w:hAnsi="Arial" w:cs="Arial"/>
          <w:sz w:val="16"/>
          <w:szCs w:val="16"/>
        </w:rPr>
        <w:t xml:space="preserve"> </w:t>
      </w:r>
      <w:r w:rsidRPr="00A94F5F">
        <w:rPr>
          <w:rStyle w:val="hps"/>
          <w:sz w:val="16"/>
        </w:rPr>
        <w:t>Neumáticos de ingeniería civil, agrícolas, dos ruedas y avión; Michelin Travel Partner y Michelin Lifestyle.</w:t>
      </w:r>
    </w:p>
    <w:p w14:paraId="48A4F1B3" w14:textId="716E6DC2" w:rsidR="00BF4FFF" w:rsidRPr="00A94F5F" w:rsidRDefault="001C518F" w:rsidP="00BF4FFF">
      <w:pPr>
        <w:tabs>
          <w:tab w:val="left" w:pos="360"/>
        </w:tabs>
        <w:jc w:val="both"/>
        <w:rPr>
          <w:rFonts w:ascii="Verdana" w:eastAsia="Times New Roman" w:hAnsi="Verdana" w:cs="Arial"/>
          <w:b/>
          <w:bCs/>
          <w:highlight w:val="red"/>
        </w:rPr>
      </w:pPr>
      <w:r w:rsidRPr="00A94F5F">
        <w:rPr>
          <w:rFonts w:ascii="Verdana" w:eastAsia="Times New Roman" w:hAnsi="Verdana" w:cs="Arial"/>
          <w:b/>
          <w:bCs/>
          <w:highlight w:val="red"/>
        </w:rPr>
        <w:br w:type="column"/>
      </w:r>
    </w:p>
    <w:p w14:paraId="7AD940E8" w14:textId="77777777" w:rsidR="00BF4FFF" w:rsidRPr="00A94F5F" w:rsidRDefault="00BF4FFF" w:rsidP="00BF4FFF">
      <w:pPr>
        <w:spacing w:after="240" w:line="360" w:lineRule="exact"/>
        <w:rPr>
          <w:b/>
          <w:snapToGrid w:val="0"/>
          <w:color w:val="333399"/>
          <w:sz w:val="40"/>
          <w:szCs w:val="26"/>
        </w:rPr>
      </w:pPr>
      <w:r w:rsidRPr="00A94F5F">
        <w:rPr>
          <w:b/>
          <w:snapToGrid w:val="0"/>
          <w:color w:val="333399"/>
          <w:sz w:val="40"/>
          <w:szCs w:val="26"/>
        </w:rPr>
        <w:t xml:space="preserve">Evolución del mercado de neumáticos </w:t>
      </w:r>
    </w:p>
    <w:p w14:paraId="7B9BFF29" w14:textId="77777777" w:rsidR="00BF4FFF" w:rsidRPr="00A94F5F" w:rsidRDefault="00BF4FFF" w:rsidP="00BF4FFF">
      <w:pPr>
        <w:spacing w:before="480" w:after="120" w:line="270" w:lineRule="atLeast"/>
        <w:rPr>
          <w:b/>
          <w:sz w:val="26"/>
        </w:rPr>
      </w:pPr>
      <w:r w:rsidRPr="00A94F5F">
        <w:rPr>
          <w:b/>
          <w:sz w:val="26"/>
        </w:rPr>
        <w:t>Turismo y camioneta</w:t>
      </w:r>
    </w:p>
    <w:p w14:paraId="2A98C3E7" w14:textId="77777777" w:rsidR="00BF4FFF" w:rsidRPr="00A94F5F" w:rsidRDefault="00BF4FFF" w:rsidP="00BF4FFF">
      <w:pPr>
        <w:ind w:left="284"/>
        <w:jc w:val="both"/>
        <w:rPr>
          <w:rFonts w:ascii="Arial" w:eastAsia="Times New Roman"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993"/>
        <w:gridCol w:w="1275"/>
        <w:gridCol w:w="1276"/>
        <w:gridCol w:w="1276"/>
        <w:gridCol w:w="1417"/>
        <w:gridCol w:w="993"/>
      </w:tblGrid>
      <w:tr w:rsidR="00BF4FFF" w:rsidRPr="00A94F5F" w14:paraId="19B56C39" w14:textId="77777777">
        <w:trPr>
          <w:trHeight w:val="890"/>
        </w:trPr>
        <w:tc>
          <w:tcPr>
            <w:tcW w:w="2376" w:type="dxa"/>
            <w:shd w:val="clear" w:color="auto" w:fill="E6E6E6"/>
          </w:tcPr>
          <w:p w14:paraId="41A04012" w14:textId="77777777" w:rsidR="00BF4FFF" w:rsidRPr="00A94F5F" w:rsidRDefault="00BF4FFF" w:rsidP="00BF4FFF">
            <w:pPr>
              <w:pStyle w:val="LadilloMichelinDossier"/>
              <w:spacing w:before="0" w:after="0"/>
              <w:rPr>
                <w:rFonts w:ascii="Arial" w:hAnsi="Arial"/>
                <w:b w:val="0"/>
                <w:bCs/>
                <w:sz w:val="20"/>
                <w:lang w:val="es-ES_tradnl" w:bidi="es-ES_tradnl"/>
              </w:rPr>
            </w:pPr>
            <w:r w:rsidRPr="00A94F5F">
              <w:rPr>
                <w:rFonts w:ascii="Arial" w:hAnsi="Arial"/>
                <w:b w:val="0"/>
                <w:bCs/>
                <w:sz w:val="20"/>
                <w:lang w:val="es-ES_tradnl" w:bidi="es-ES_tradnl"/>
              </w:rPr>
              <w:t>Nueve primeros meses</w:t>
            </w:r>
          </w:p>
          <w:p w14:paraId="3BC6D37F" w14:textId="533F3B4A" w:rsidR="00BF4FFF" w:rsidRPr="00A94F5F" w:rsidRDefault="00BF4FFF" w:rsidP="00DB7A7C">
            <w:pPr>
              <w:pStyle w:val="LadilloMichelinDossier"/>
              <w:spacing w:before="0" w:after="0"/>
              <w:rPr>
                <w:b w:val="0"/>
                <w:bCs/>
                <w:sz w:val="20"/>
                <w:lang w:val="es-ES_tradnl" w:bidi="es-ES_tradnl"/>
              </w:rPr>
            </w:pPr>
            <w:r w:rsidRPr="00A94F5F">
              <w:rPr>
                <w:rFonts w:ascii="Arial" w:hAnsi="Arial"/>
                <w:b w:val="0"/>
                <w:bCs/>
                <w:sz w:val="20"/>
                <w:lang w:val="es-ES_tradnl" w:bidi="es-ES_tradnl"/>
              </w:rPr>
              <w:t>201</w:t>
            </w:r>
            <w:r w:rsidR="00DB7A7C" w:rsidRPr="00A94F5F">
              <w:rPr>
                <w:rFonts w:ascii="Arial" w:hAnsi="Arial"/>
                <w:b w:val="0"/>
                <w:bCs/>
                <w:sz w:val="20"/>
                <w:lang w:val="es-ES_tradnl" w:bidi="es-ES_tradnl"/>
              </w:rPr>
              <w:t>4</w:t>
            </w:r>
            <w:r w:rsidRPr="00A94F5F">
              <w:rPr>
                <w:rFonts w:ascii="Arial" w:hAnsi="Arial"/>
                <w:b w:val="0"/>
                <w:bCs/>
                <w:sz w:val="20"/>
                <w:lang w:val="es-ES_tradnl" w:bidi="es-ES_tradnl"/>
              </w:rPr>
              <w:t>/201</w:t>
            </w:r>
            <w:r w:rsidR="00DB7A7C" w:rsidRPr="00A94F5F">
              <w:rPr>
                <w:rFonts w:ascii="Arial" w:hAnsi="Arial"/>
                <w:b w:val="0"/>
                <w:bCs/>
                <w:sz w:val="20"/>
                <w:lang w:val="es-ES_tradnl" w:bidi="es-ES_tradnl"/>
              </w:rPr>
              <w:t>3</w:t>
            </w:r>
            <w:r w:rsidRPr="00A94F5F">
              <w:rPr>
                <w:rFonts w:ascii="Arial" w:hAnsi="Arial"/>
                <w:b w:val="0"/>
                <w:bCs/>
                <w:sz w:val="20"/>
                <w:lang w:val="es-ES_tradnl" w:bidi="es-ES_tradnl"/>
              </w:rPr>
              <w:br/>
            </w:r>
            <w:r w:rsidRPr="00A94F5F">
              <w:rPr>
                <w:rFonts w:ascii="Arial" w:hAnsi="Arial"/>
                <w:b w:val="0"/>
                <w:bCs/>
                <w:sz w:val="18"/>
                <w:lang w:val="es-ES_tradnl" w:bidi="es-ES_tradnl"/>
              </w:rPr>
              <w:t>(número de neumáticos)</w:t>
            </w:r>
          </w:p>
        </w:tc>
        <w:tc>
          <w:tcPr>
            <w:tcW w:w="993" w:type="dxa"/>
            <w:shd w:val="clear" w:color="auto" w:fill="E6E6E6"/>
          </w:tcPr>
          <w:p w14:paraId="55AC8AA0" w14:textId="77777777" w:rsidR="00BF4FFF" w:rsidRPr="00A94F5F" w:rsidRDefault="00BF4FFF" w:rsidP="00BF4FFF">
            <w:pPr>
              <w:pStyle w:val="LadilloMichelinDossier"/>
              <w:spacing w:before="0" w:after="0"/>
              <w:rPr>
                <w:b w:val="0"/>
                <w:bCs/>
                <w:sz w:val="20"/>
                <w:lang w:val="es-ES_tradnl" w:bidi="es-ES_tradnl"/>
              </w:rPr>
            </w:pPr>
            <w:r w:rsidRPr="00A94F5F">
              <w:rPr>
                <w:rFonts w:ascii="Arial" w:hAnsi="Arial"/>
                <w:b w:val="0"/>
                <w:bCs/>
                <w:sz w:val="20"/>
                <w:lang w:val="es-ES_tradnl" w:bidi="es-ES_tradnl"/>
              </w:rPr>
              <w:t>Europa</w:t>
            </w:r>
            <w:r w:rsidRPr="00A94F5F">
              <w:rPr>
                <w:rStyle w:val="Refdenotaalpie"/>
                <w:rFonts w:ascii="Arial" w:hAnsi="Arial"/>
                <w:b w:val="0"/>
                <w:bCs/>
                <w:sz w:val="32"/>
                <w:lang w:val="es-ES_tradnl" w:bidi="es-ES_tradnl"/>
              </w:rPr>
              <w:footnoteReference w:customMarkFollows="1" w:id="1"/>
              <w:sym w:font="Symbol" w:char="F02A"/>
            </w:r>
          </w:p>
        </w:tc>
        <w:tc>
          <w:tcPr>
            <w:tcW w:w="1275" w:type="dxa"/>
            <w:shd w:val="clear" w:color="auto" w:fill="E6E6E6"/>
          </w:tcPr>
          <w:p w14:paraId="574EEDA5" w14:textId="77777777" w:rsidR="00BF4FFF" w:rsidRPr="00A94F5F" w:rsidRDefault="00BF4FFF" w:rsidP="00BF4FFF">
            <w:pPr>
              <w:pStyle w:val="LadilloMichelinDossier"/>
              <w:spacing w:before="0" w:after="0"/>
              <w:rPr>
                <w:b w:val="0"/>
                <w:bCs/>
                <w:sz w:val="20"/>
                <w:lang w:val="es-ES_tradnl" w:bidi="es-ES_tradnl"/>
              </w:rPr>
            </w:pPr>
            <w:r w:rsidRPr="00A94F5F">
              <w:rPr>
                <w:rFonts w:ascii="Arial" w:hAnsi="Arial"/>
                <w:b w:val="0"/>
                <w:bCs/>
                <w:sz w:val="20"/>
                <w:lang w:val="es-ES_tradnl" w:bidi="es-ES_tradnl"/>
              </w:rPr>
              <w:t xml:space="preserve">América </w:t>
            </w:r>
            <w:r w:rsidRPr="00A94F5F">
              <w:rPr>
                <w:rFonts w:ascii="Arial" w:hAnsi="Arial"/>
                <w:b w:val="0"/>
                <w:bCs/>
                <w:sz w:val="20"/>
                <w:lang w:val="es-ES_tradnl" w:bidi="es-ES_tradnl"/>
              </w:rPr>
              <w:br/>
              <w:t>del Norte</w:t>
            </w:r>
          </w:p>
        </w:tc>
        <w:tc>
          <w:tcPr>
            <w:tcW w:w="1276" w:type="dxa"/>
            <w:shd w:val="clear" w:color="auto" w:fill="E6E6E6"/>
          </w:tcPr>
          <w:p w14:paraId="09FFC4C3" w14:textId="77777777" w:rsidR="00BF4FFF" w:rsidRPr="00A94F5F" w:rsidRDefault="00BF4FFF" w:rsidP="00BF4FFF">
            <w:pPr>
              <w:pStyle w:val="LadilloMichelinDossier"/>
              <w:spacing w:before="0" w:after="0"/>
              <w:rPr>
                <w:rFonts w:ascii="Arial" w:hAnsi="Arial"/>
                <w:b w:val="0"/>
                <w:bCs/>
                <w:sz w:val="20"/>
                <w:lang w:val="es-ES_tradnl" w:bidi="es-ES_tradnl"/>
              </w:rPr>
            </w:pPr>
            <w:r w:rsidRPr="00A94F5F">
              <w:rPr>
                <w:rFonts w:ascii="Arial" w:hAnsi="Arial"/>
                <w:b w:val="0"/>
                <w:bCs/>
                <w:sz w:val="20"/>
                <w:lang w:val="es-ES_tradnl" w:bidi="es-ES_tradnl"/>
              </w:rPr>
              <w:t>Asia</w:t>
            </w:r>
          </w:p>
          <w:p w14:paraId="342C1CF2" w14:textId="77777777" w:rsidR="00BF4FFF" w:rsidRPr="00A94F5F" w:rsidRDefault="00BF4FFF" w:rsidP="00DF0201">
            <w:pPr>
              <w:pStyle w:val="LadilloMichelinDossier"/>
              <w:spacing w:before="0" w:after="0"/>
              <w:rPr>
                <w:b w:val="0"/>
                <w:bCs/>
                <w:sz w:val="20"/>
                <w:lang w:val="es-ES_tradnl" w:bidi="es-ES_tradnl"/>
              </w:rPr>
            </w:pPr>
            <w:r w:rsidRPr="00A94F5F">
              <w:rPr>
                <w:rFonts w:ascii="Arial" w:hAnsi="Arial"/>
                <w:b w:val="0"/>
                <w:bCs/>
                <w:sz w:val="20"/>
                <w:lang w:val="es-ES_tradnl" w:bidi="es-ES_tradnl"/>
              </w:rPr>
              <w:t>(</w:t>
            </w:r>
            <w:r w:rsidR="00DF0201" w:rsidRPr="00A94F5F">
              <w:rPr>
                <w:rFonts w:ascii="Arial" w:hAnsi="Arial"/>
                <w:b w:val="0"/>
                <w:bCs/>
                <w:sz w:val="20"/>
                <w:lang w:val="es-ES_tradnl" w:bidi="es-ES_tradnl"/>
              </w:rPr>
              <w:t xml:space="preserve">sin </w:t>
            </w:r>
            <w:r w:rsidRPr="00A94F5F">
              <w:rPr>
                <w:rFonts w:ascii="Arial" w:hAnsi="Arial"/>
                <w:b w:val="0"/>
                <w:bCs/>
                <w:sz w:val="20"/>
                <w:lang w:val="es-ES_tradnl" w:bidi="es-ES_tradnl"/>
              </w:rPr>
              <w:t>India)</w:t>
            </w:r>
          </w:p>
        </w:tc>
        <w:tc>
          <w:tcPr>
            <w:tcW w:w="1276" w:type="dxa"/>
            <w:shd w:val="clear" w:color="auto" w:fill="E6E6E6"/>
          </w:tcPr>
          <w:p w14:paraId="1B5F3AEB" w14:textId="77777777" w:rsidR="00BF4FFF" w:rsidRPr="00A94F5F" w:rsidRDefault="00BF4FFF" w:rsidP="00BF4FFF">
            <w:pPr>
              <w:pStyle w:val="LadilloMichelinDossier"/>
              <w:spacing w:before="0" w:after="0"/>
              <w:rPr>
                <w:b w:val="0"/>
                <w:bCs/>
                <w:sz w:val="20"/>
                <w:lang w:val="es-ES_tradnl" w:bidi="es-ES_tradnl"/>
              </w:rPr>
            </w:pPr>
            <w:r w:rsidRPr="00A94F5F">
              <w:rPr>
                <w:rFonts w:ascii="Arial" w:hAnsi="Arial"/>
                <w:b w:val="0"/>
                <w:bCs/>
                <w:sz w:val="20"/>
                <w:lang w:val="es-ES_tradnl" w:bidi="es-ES_tradnl"/>
              </w:rPr>
              <w:t xml:space="preserve">América </w:t>
            </w:r>
            <w:r w:rsidRPr="00A94F5F">
              <w:rPr>
                <w:rFonts w:ascii="Arial" w:hAnsi="Arial"/>
                <w:b w:val="0"/>
                <w:bCs/>
                <w:sz w:val="20"/>
                <w:lang w:val="es-ES_tradnl" w:bidi="es-ES_tradnl"/>
              </w:rPr>
              <w:br/>
              <w:t>del Sur</w:t>
            </w:r>
          </w:p>
        </w:tc>
        <w:tc>
          <w:tcPr>
            <w:tcW w:w="1417" w:type="dxa"/>
            <w:shd w:val="clear" w:color="auto" w:fill="E6E6E6"/>
          </w:tcPr>
          <w:p w14:paraId="2F641C65" w14:textId="77777777" w:rsidR="00BF4FFF" w:rsidRPr="00A94F5F" w:rsidRDefault="00BF4FFF" w:rsidP="00BF4FFF">
            <w:pPr>
              <w:pStyle w:val="LadilloMichelinDossier"/>
              <w:spacing w:before="0" w:after="0"/>
              <w:rPr>
                <w:b w:val="0"/>
                <w:bCs/>
                <w:sz w:val="20"/>
                <w:lang w:val="es-ES_tradnl" w:bidi="es-ES_tradnl"/>
              </w:rPr>
            </w:pPr>
            <w:r w:rsidRPr="00A94F5F">
              <w:rPr>
                <w:rFonts w:ascii="Arial" w:hAnsi="Arial"/>
                <w:b w:val="0"/>
                <w:bCs/>
                <w:sz w:val="20"/>
                <w:lang w:val="es-ES_tradnl" w:bidi="es-ES_tradnl"/>
              </w:rPr>
              <w:t>África/India/Oriente Medio</w:t>
            </w:r>
          </w:p>
        </w:tc>
        <w:tc>
          <w:tcPr>
            <w:tcW w:w="993" w:type="dxa"/>
            <w:shd w:val="clear" w:color="auto" w:fill="E6E6E6"/>
          </w:tcPr>
          <w:p w14:paraId="2EA20C0F" w14:textId="77777777" w:rsidR="00BF4FFF" w:rsidRPr="00A94F5F" w:rsidRDefault="00BF4FFF" w:rsidP="00BF4FFF">
            <w:pPr>
              <w:pStyle w:val="LadilloMichelinDossier"/>
              <w:spacing w:before="0" w:after="0"/>
              <w:rPr>
                <w:b w:val="0"/>
                <w:bCs/>
                <w:sz w:val="20"/>
                <w:lang w:val="es-ES_tradnl" w:bidi="es-ES_tradnl"/>
              </w:rPr>
            </w:pPr>
            <w:r w:rsidRPr="00A94F5F">
              <w:rPr>
                <w:rFonts w:ascii="Arial" w:hAnsi="Arial"/>
                <w:b w:val="0"/>
                <w:bCs/>
                <w:sz w:val="20"/>
                <w:lang w:val="es-ES_tradnl" w:bidi="es-ES_tradnl"/>
              </w:rPr>
              <w:t>Total</w:t>
            </w:r>
          </w:p>
        </w:tc>
      </w:tr>
      <w:tr w:rsidR="004874C3" w:rsidRPr="00A94F5F" w14:paraId="70F487E0" w14:textId="77777777">
        <w:trPr>
          <w:trHeight w:val="1271"/>
        </w:trPr>
        <w:tc>
          <w:tcPr>
            <w:tcW w:w="2376" w:type="dxa"/>
          </w:tcPr>
          <w:p w14:paraId="60059934" w14:textId="77777777" w:rsidR="004874C3" w:rsidRPr="00A94F5F" w:rsidRDefault="004874C3" w:rsidP="00BF4FFF">
            <w:pPr>
              <w:pStyle w:val="LadilloMichelinDossier"/>
              <w:spacing w:before="0" w:after="0"/>
              <w:jc w:val="both"/>
              <w:rPr>
                <w:rFonts w:ascii="Arial" w:hAnsi="Arial"/>
                <w:b w:val="0"/>
                <w:bCs/>
                <w:sz w:val="20"/>
                <w:lang w:val="es-ES_tradnl" w:bidi="es-ES_tradnl"/>
              </w:rPr>
            </w:pPr>
          </w:p>
          <w:p w14:paraId="51D33934" w14:textId="77777777" w:rsidR="004874C3" w:rsidRPr="00A94F5F" w:rsidRDefault="004874C3" w:rsidP="00BF4FFF">
            <w:pPr>
              <w:pStyle w:val="LadilloMichelinDossier"/>
              <w:spacing w:before="0" w:after="0"/>
              <w:jc w:val="both"/>
              <w:rPr>
                <w:rFonts w:ascii="Arial" w:hAnsi="Arial"/>
                <w:b w:val="0"/>
                <w:bCs/>
                <w:sz w:val="20"/>
                <w:lang w:val="es-ES_tradnl" w:bidi="es-ES_tradnl"/>
              </w:rPr>
            </w:pPr>
            <w:r w:rsidRPr="00A94F5F">
              <w:rPr>
                <w:rFonts w:ascii="Arial" w:hAnsi="Arial"/>
                <w:b w:val="0"/>
                <w:bCs/>
                <w:sz w:val="20"/>
                <w:lang w:val="es-ES_tradnl" w:bidi="es-ES_tradnl"/>
              </w:rPr>
              <w:t>Primer equipo</w:t>
            </w:r>
          </w:p>
          <w:p w14:paraId="2F466D83" w14:textId="77777777" w:rsidR="004874C3" w:rsidRPr="00A94F5F" w:rsidRDefault="004874C3" w:rsidP="00BF4FFF">
            <w:pPr>
              <w:pStyle w:val="LadilloMichelinDossier"/>
              <w:spacing w:before="0" w:after="0"/>
              <w:jc w:val="both"/>
              <w:rPr>
                <w:rFonts w:ascii="Arial" w:hAnsi="Arial"/>
                <w:b w:val="0"/>
                <w:bCs/>
                <w:sz w:val="20"/>
                <w:lang w:val="es-ES_tradnl" w:bidi="es-ES_tradnl"/>
              </w:rPr>
            </w:pPr>
          </w:p>
          <w:p w14:paraId="3BE40A77" w14:textId="77777777" w:rsidR="004874C3" w:rsidRPr="00A94F5F" w:rsidRDefault="004874C3" w:rsidP="00BF4FFF">
            <w:pPr>
              <w:pStyle w:val="LadilloMichelinDossier"/>
              <w:spacing w:before="0" w:after="0"/>
              <w:jc w:val="both"/>
              <w:rPr>
                <w:b w:val="0"/>
                <w:bCs/>
                <w:sz w:val="20"/>
                <w:lang w:val="es-ES_tradnl" w:bidi="es-ES_tradnl"/>
              </w:rPr>
            </w:pPr>
            <w:r w:rsidRPr="00A94F5F">
              <w:rPr>
                <w:rFonts w:ascii="Arial" w:hAnsi="Arial"/>
                <w:b w:val="0"/>
                <w:bCs/>
                <w:sz w:val="20"/>
                <w:lang w:val="es-ES_tradnl" w:bidi="es-ES_tradnl"/>
              </w:rPr>
              <w:t>Reemplazo</w:t>
            </w:r>
          </w:p>
        </w:tc>
        <w:tc>
          <w:tcPr>
            <w:tcW w:w="993" w:type="dxa"/>
          </w:tcPr>
          <w:p w14:paraId="6AB8BE17" w14:textId="77777777" w:rsidR="004874C3" w:rsidRPr="00A94F5F" w:rsidRDefault="004874C3" w:rsidP="00B37C1C">
            <w:pPr>
              <w:tabs>
                <w:tab w:val="left" w:pos="284"/>
              </w:tabs>
              <w:jc w:val="center"/>
              <w:rPr>
                <w:rFonts w:ascii="Verdana" w:eastAsia="MS Mincho" w:hAnsi="Verdana" w:cs="Arial"/>
                <w:b/>
                <w:snapToGrid w:val="0"/>
                <w:sz w:val="20"/>
                <w:szCs w:val="20"/>
              </w:rPr>
            </w:pPr>
          </w:p>
          <w:p w14:paraId="4C61606E" w14:textId="77777777" w:rsidR="004874C3" w:rsidRPr="00A94F5F" w:rsidRDefault="004874C3" w:rsidP="00B37C1C">
            <w:pPr>
              <w:tabs>
                <w:tab w:val="left" w:pos="284"/>
              </w:tabs>
              <w:jc w:val="center"/>
              <w:rPr>
                <w:rFonts w:ascii="Verdana" w:eastAsia="MS Mincho" w:hAnsi="Verdana" w:cs="Arial"/>
                <w:b/>
                <w:snapToGrid w:val="0"/>
                <w:sz w:val="20"/>
                <w:szCs w:val="20"/>
              </w:rPr>
            </w:pPr>
            <w:r w:rsidRPr="00A94F5F">
              <w:rPr>
                <w:rFonts w:ascii="Verdana" w:eastAsia="MS Mincho" w:hAnsi="Verdana" w:cs="Arial"/>
                <w:b/>
                <w:snapToGrid w:val="0"/>
                <w:sz w:val="20"/>
                <w:szCs w:val="20"/>
              </w:rPr>
              <w:t>+ 4 %</w:t>
            </w:r>
          </w:p>
          <w:p w14:paraId="4EBD4143" w14:textId="77777777" w:rsidR="004874C3" w:rsidRPr="00A94F5F" w:rsidRDefault="004874C3" w:rsidP="00B37C1C">
            <w:pPr>
              <w:tabs>
                <w:tab w:val="left" w:pos="284"/>
              </w:tabs>
              <w:jc w:val="center"/>
              <w:rPr>
                <w:rFonts w:ascii="Verdana" w:eastAsia="MS Mincho" w:hAnsi="Verdana" w:cs="Arial"/>
                <w:b/>
                <w:snapToGrid w:val="0"/>
                <w:sz w:val="20"/>
                <w:szCs w:val="20"/>
              </w:rPr>
            </w:pPr>
          </w:p>
          <w:p w14:paraId="4D7D975B" w14:textId="77777777" w:rsidR="004874C3" w:rsidRPr="00A94F5F" w:rsidRDefault="004874C3" w:rsidP="00B37C1C">
            <w:pPr>
              <w:tabs>
                <w:tab w:val="left" w:pos="284"/>
              </w:tabs>
              <w:jc w:val="center"/>
              <w:rPr>
                <w:rFonts w:ascii="Verdana" w:eastAsia="MS Mincho" w:hAnsi="Verdana" w:cs="Arial"/>
                <w:b/>
                <w:snapToGrid w:val="0"/>
                <w:sz w:val="20"/>
                <w:szCs w:val="20"/>
              </w:rPr>
            </w:pPr>
            <w:r w:rsidRPr="00A94F5F">
              <w:rPr>
                <w:rFonts w:ascii="Verdana" w:eastAsia="MS Mincho" w:hAnsi="Verdana" w:cs="Arial"/>
                <w:b/>
                <w:snapToGrid w:val="0"/>
                <w:sz w:val="20"/>
                <w:szCs w:val="20"/>
              </w:rPr>
              <w:t>+ 3 %</w:t>
            </w:r>
          </w:p>
          <w:p w14:paraId="0226E470" w14:textId="77777777" w:rsidR="004874C3" w:rsidRPr="00A94F5F" w:rsidRDefault="004874C3" w:rsidP="00360759">
            <w:pPr>
              <w:tabs>
                <w:tab w:val="left" w:pos="284"/>
              </w:tabs>
              <w:jc w:val="center"/>
              <w:rPr>
                <w:rFonts w:ascii="Arial" w:hAnsi="Arial"/>
                <w:b/>
                <w:bCs/>
                <w:sz w:val="20"/>
                <w:szCs w:val="20"/>
                <w:lang w:bidi="es-ES_tradnl"/>
              </w:rPr>
            </w:pPr>
          </w:p>
        </w:tc>
        <w:tc>
          <w:tcPr>
            <w:tcW w:w="1275" w:type="dxa"/>
          </w:tcPr>
          <w:p w14:paraId="1E7A5FA1" w14:textId="77777777" w:rsidR="004874C3" w:rsidRPr="00A94F5F" w:rsidRDefault="004874C3" w:rsidP="00B37C1C">
            <w:pPr>
              <w:tabs>
                <w:tab w:val="left" w:pos="284"/>
              </w:tabs>
              <w:jc w:val="center"/>
              <w:rPr>
                <w:rFonts w:ascii="Verdana" w:eastAsia="MS Mincho" w:hAnsi="Verdana" w:cs="Arial"/>
                <w:b/>
                <w:snapToGrid w:val="0"/>
                <w:sz w:val="20"/>
                <w:szCs w:val="20"/>
              </w:rPr>
            </w:pPr>
          </w:p>
          <w:p w14:paraId="57B36D84" w14:textId="77777777" w:rsidR="004874C3" w:rsidRPr="00A94F5F" w:rsidRDefault="004874C3" w:rsidP="00B37C1C">
            <w:pPr>
              <w:tabs>
                <w:tab w:val="left" w:pos="284"/>
              </w:tabs>
              <w:jc w:val="center"/>
              <w:rPr>
                <w:rFonts w:ascii="Verdana" w:eastAsia="MS Mincho" w:hAnsi="Verdana" w:cs="Arial"/>
                <w:b/>
                <w:snapToGrid w:val="0"/>
                <w:sz w:val="20"/>
                <w:szCs w:val="20"/>
              </w:rPr>
            </w:pPr>
            <w:r w:rsidRPr="00A94F5F">
              <w:rPr>
                <w:rFonts w:ascii="Verdana" w:eastAsia="MS Mincho" w:hAnsi="Verdana" w:cs="Arial"/>
                <w:b/>
                <w:snapToGrid w:val="0"/>
                <w:sz w:val="20"/>
                <w:szCs w:val="20"/>
              </w:rPr>
              <w:t>+ 5 %</w:t>
            </w:r>
          </w:p>
          <w:p w14:paraId="197D4C7A" w14:textId="77777777" w:rsidR="004874C3" w:rsidRPr="00A94F5F" w:rsidRDefault="004874C3" w:rsidP="00B37C1C">
            <w:pPr>
              <w:tabs>
                <w:tab w:val="left" w:pos="284"/>
              </w:tabs>
              <w:jc w:val="center"/>
              <w:rPr>
                <w:rFonts w:ascii="Verdana" w:eastAsia="MS Mincho" w:hAnsi="Verdana" w:cs="Arial"/>
                <w:b/>
                <w:snapToGrid w:val="0"/>
                <w:sz w:val="20"/>
                <w:szCs w:val="20"/>
              </w:rPr>
            </w:pPr>
          </w:p>
          <w:p w14:paraId="7CA6DA64" w14:textId="76EBB0E5" w:rsidR="004874C3" w:rsidRPr="00A94F5F" w:rsidRDefault="004874C3" w:rsidP="00360759">
            <w:pPr>
              <w:tabs>
                <w:tab w:val="left" w:pos="284"/>
              </w:tabs>
              <w:jc w:val="center"/>
              <w:rPr>
                <w:rFonts w:ascii="Arial" w:hAnsi="Arial"/>
                <w:b/>
                <w:bCs/>
                <w:sz w:val="20"/>
                <w:szCs w:val="20"/>
                <w:lang w:bidi="es-ES_tradnl"/>
              </w:rPr>
            </w:pPr>
            <w:r w:rsidRPr="00A94F5F">
              <w:rPr>
                <w:rFonts w:ascii="Verdana" w:eastAsia="MS Mincho" w:hAnsi="Verdana" w:cs="Arial"/>
                <w:b/>
                <w:snapToGrid w:val="0"/>
                <w:sz w:val="20"/>
                <w:szCs w:val="20"/>
              </w:rPr>
              <w:t>+ 5 %</w:t>
            </w:r>
          </w:p>
        </w:tc>
        <w:tc>
          <w:tcPr>
            <w:tcW w:w="1276" w:type="dxa"/>
          </w:tcPr>
          <w:p w14:paraId="2F38E97E" w14:textId="77777777" w:rsidR="004874C3" w:rsidRPr="00A94F5F" w:rsidRDefault="004874C3" w:rsidP="00B37C1C">
            <w:pPr>
              <w:tabs>
                <w:tab w:val="left" w:pos="284"/>
              </w:tabs>
              <w:jc w:val="center"/>
              <w:rPr>
                <w:rFonts w:ascii="Verdana" w:eastAsia="MS Mincho" w:hAnsi="Verdana" w:cs="Arial"/>
                <w:b/>
                <w:snapToGrid w:val="0"/>
                <w:sz w:val="20"/>
                <w:szCs w:val="20"/>
              </w:rPr>
            </w:pPr>
          </w:p>
          <w:p w14:paraId="35626662" w14:textId="77777777" w:rsidR="004874C3" w:rsidRPr="00A94F5F" w:rsidRDefault="004874C3" w:rsidP="00B37C1C">
            <w:pPr>
              <w:tabs>
                <w:tab w:val="left" w:pos="284"/>
              </w:tabs>
              <w:jc w:val="center"/>
              <w:rPr>
                <w:rFonts w:ascii="Verdana" w:eastAsia="MS Mincho" w:hAnsi="Verdana" w:cs="Arial"/>
                <w:b/>
                <w:snapToGrid w:val="0"/>
                <w:sz w:val="20"/>
                <w:szCs w:val="20"/>
              </w:rPr>
            </w:pPr>
            <w:r w:rsidRPr="00A94F5F">
              <w:rPr>
                <w:rFonts w:ascii="Verdana" w:eastAsia="MS Mincho" w:hAnsi="Verdana" w:cs="Arial"/>
                <w:b/>
                <w:snapToGrid w:val="0"/>
                <w:sz w:val="20"/>
                <w:szCs w:val="20"/>
              </w:rPr>
              <w:t>+ 6 %</w:t>
            </w:r>
          </w:p>
          <w:p w14:paraId="1AFE8EC0" w14:textId="77777777" w:rsidR="004874C3" w:rsidRPr="00A94F5F" w:rsidRDefault="004874C3" w:rsidP="00B37C1C">
            <w:pPr>
              <w:tabs>
                <w:tab w:val="left" w:pos="284"/>
              </w:tabs>
              <w:jc w:val="center"/>
              <w:rPr>
                <w:rFonts w:ascii="Verdana" w:eastAsia="MS Mincho" w:hAnsi="Verdana" w:cs="Arial"/>
                <w:b/>
                <w:snapToGrid w:val="0"/>
                <w:sz w:val="20"/>
                <w:szCs w:val="20"/>
              </w:rPr>
            </w:pPr>
          </w:p>
          <w:p w14:paraId="4F67B0C2" w14:textId="32B72ABA" w:rsidR="004874C3" w:rsidRPr="00A94F5F" w:rsidRDefault="004874C3" w:rsidP="00360759">
            <w:pPr>
              <w:tabs>
                <w:tab w:val="left" w:pos="284"/>
              </w:tabs>
              <w:jc w:val="center"/>
              <w:rPr>
                <w:rFonts w:ascii="Arial" w:hAnsi="Arial"/>
                <w:b/>
                <w:bCs/>
                <w:sz w:val="20"/>
                <w:szCs w:val="20"/>
                <w:lang w:bidi="es-ES_tradnl"/>
              </w:rPr>
            </w:pPr>
            <w:r w:rsidRPr="00A94F5F">
              <w:rPr>
                <w:rFonts w:ascii="Verdana" w:eastAsia="MS Mincho" w:hAnsi="Verdana" w:cs="Arial"/>
                <w:b/>
                <w:snapToGrid w:val="0"/>
                <w:sz w:val="20"/>
                <w:szCs w:val="20"/>
              </w:rPr>
              <w:t>+ 5 %</w:t>
            </w:r>
          </w:p>
        </w:tc>
        <w:tc>
          <w:tcPr>
            <w:tcW w:w="1276" w:type="dxa"/>
          </w:tcPr>
          <w:p w14:paraId="63052149" w14:textId="77777777" w:rsidR="004874C3" w:rsidRPr="00A94F5F" w:rsidRDefault="004874C3" w:rsidP="00B37C1C">
            <w:pPr>
              <w:tabs>
                <w:tab w:val="left" w:pos="284"/>
              </w:tabs>
              <w:jc w:val="center"/>
              <w:rPr>
                <w:rFonts w:ascii="Verdana" w:eastAsia="MS Mincho" w:hAnsi="Verdana" w:cs="Arial"/>
                <w:b/>
                <w:snapToGrid w:val="0"/>
                <w:sz w:val="20"/>
                <w:szCs w:val="20"/>
                <w:highlight w:val="yellow"/>
              </w:rPr>
            </w:pPr>
          </w:p>
          <w:p w14:paraId="56DAD226" w14:textId="77777777" w:rsidR="004874C3" w:rsidRPr="00A94F5F" w:rsidRDefault="004874C3" w:rsidP="00B37C1C">
            <w:pPr>
              <w:tabs>
                <w:tab w:val="left" w:pos="284"/>
              </w:tabs>
              <w:jc w:val="center"/>
              <w:rPr>
                <w:rFonts w:ascii="Verdana" w:eastAsia="MS Mincho" w:hAnsi="Verdana" w:cs="Arial"/>
                <w:b/>
                <w:snapToGrid w:val="0"/>
                <w:sz w:val="20"/>
                <w:szCs w:val="20"/>
              </w:rPr>
            </w:pPr>
            <w:r w:rsidRPr="00A94F5F">
              <w:rPr>
                <w:rFonts w:ascii="Verdana" w:eastAsia="MS Mincho" w:hAnsi="Verdana" w:cs="Arial"/>
                <w:b/>
                <w:snapToGrid w:val="0"/>
                <w:sz w:val="20"/>
                <w:szCs w:val="20"/>
              </w:rPr>
              <w:t>- 18%</w:t>
            </w:r>
          </w:p>
          <w:p w14:paraId="23BCD379" w14:textId="77777777" w:rsidR="004874C3" w:rsidRPr="00A94F5F" w:rsidRDefault="004874C3" w:rsidP="00B37C1C">
            <w:pPr>
              <w:tabs>
                <w:tab w:val="left" w:pos="284"/>
              </w:tabs>
              <w:jc w:val="center"/>
              <w:rPr>
                <w:rFonts w:ascii="Verdana" w:eastAsia="MS Mincho" w:hAnsi="Verdana" w:cs="Arial"/>
                <w:b/>
                <w:snapToGrid w:val="0"/>
                <w:sz w:val="20"/>
                <w:szCs w:val="20"/>
              </w:rPr>
            </w:pPr>
          </w:p>
          <w:p w14:paraId="4AD48290" w14:textId="1E09905E" w:rsidR="004874C3" w:rsidRPr="00A94F5F" w:rsidRDefault="004874C3" w:rsidP="00360759">
            <w:pPr>
              <w:tabs>
                <w:tab w:val="left" w:pos="284"/>
              </w:tabs>
              <w:jc w:val="center"/>
              <w:rPr>
                <w:rFonts w:ascii="Arial" w:hAnsi="Arial"/>
                <w:b/>
                <w:bCs/>
                <w:sz w:val="20"/>
                <w:szCs w:val="20"/>
                <w:lang w:bidi="es-ES_tradnl"/>
              </w:rPr>
            </w:pPr>
            <w:r w:rsidRPr="00A94F5F">
              <w:rPr>
                <w:rFonts w:ascii="Verdana" w:eastAsia="MS Mincho" w:hAnsi="Verdana" w:cs="Arial"/>
                <w:b/>
                <w:snapToGrid w:val="0"/>
                <w:sz w:val="20"/>
                <w:szCs w:val="20"/>
              </w:rPr>
              <w:t>+ 5%</w:t>
            </w:r>
          </w:p>
        </w:tc>
        <w:tc>
          <w:tcPr>
            <w:tcW w:w="1417" w:type="dxa"/>
          </w:tcPr>
          <w:p w14:paraId="032039F2" w14:textId="77777777" w:rsidR="004874C3" w:rsidRPr="00A94F5F" w:rsidRDefault="004874C3" w:rsidP="00B37C1C">
            <w:pPr>
              <w:tabs>
                <w:tab w:val="left" w:pos="284"/>
              </w:tabs>
              <w:jc w:val="center"/>
              <w:rPr>
                <w:rFonts w:ascii="Verdana" w:eastAsia="MS Mincho" w:hAnsi="Verdana" w:cs="Arial"/>
                <w:b/>
                <w:snapToGrid w:val="0"/>
                <w:sz w:val="20"/>
                <w:szCs w:val="20"/>
                <w:highlight w:val="yellow"/>
              </w:rPr>
            </w:pPr>
          </w:p>
          <w:p w14:paraId="065BB7C8" w14:textId="77777777" w:rsidR="004874C3" w:rsidRPr="00A94F5F" w:rsidRDefault="004874C3" w:rsidP="00B37C1C">
            <w:pPr>
              <w:tabs>
                <w:tab w:val="left" w:pos="284"/>
              </w:tabs>
              <w:jc w:val="center"/>
              <w:rPr>
                <w:rFonts w:ascii="Verdana" w:eastAsia="MS Mincho" w:hAnsi="Verdana" w:cs="Arial"/>
                <w:b/>
                <w:snapToGrid w:val="0"/>
                <w:sz w:val="20"/>
                <w:szCs w:val="20"/>
              </w:rPr>
            </w:pPr>
            <w:r w:rsidRPr="00A94F5F">
              <w:rPr>
                <w:rFonts w:ascii="Verdana" w:eastAsia="MS Mincho" w:hAnsi="Verdana" w:cs="Arial"/>
                <w:b/>
                <w:snapToGrid w:val="0"/>
                <w:sz w:val="20"/>
                <w:szCs w:val="20"/>
              </w:rPr>
              <w:t>- 2 %</w:t>
            </w:r>
          </w:p>
          <w:p w14:paraId="07A63659" w14:textId="77777777" w:rsidR="004874C3" w:rsidRPr="00A94F5F" w:rsidRDefault="004874C3" w:rsidP="00B37C1C">
            <w:pPr>
              <w:tabs>
                <w:tab w:val="left" w:pos="284"/>
              </w:tabs>
              <w:jc w:val="center"/>
              <w:rPr>
                <w:rFonts w:ascii="Verdana" w:eastAsia="MS Mincho" w:hAnsi="Verdana" w:cs="Arial"/>
                <w:b/>
                <w:snapToGrid w:val="0"/>
                <w:sz w:val="20"/>
                <w:szCs w:val="20"/>
              </w:rPr>
            </w:pPr>
          </w:p>
          <w:p w14:paraId="7C443FA9" w14:textId="0E7FB1C4" w:rsidR="004874C3" w:rsidRPr="00A94F5F" w:rsidRDefault="004874C3" w:rsidP="00360759">
            <w:pPr>
              <w:tabs>
                <w:tab w:val="left" w:pos="284"/>
              </w:tabs>
              <w:jc w:val="center"/>
              <w:rPr>
                <w:rFonts w:ascii="Arial" w:hAnsi="Arial"/>
                <w:b/>
                <w:bCs/>
                <w:sz w:val="20"/>
                <w:szCs w:val="20"/>
                <w:lang w:bidi="es-ES_tradnl"/>
              </w:rPr>
            </w:pPr>
            <w:r w:rsidRPr="00A94F5F">
              <w:rPr>
                <w:rFonts w:ascii="Verdana" w:eastAsia="MS Mincho" w:hAnsi="Verdana" w:cs="Arial"/>
                <w:b/>
                <w:snapToGrid w:val="0"/>
                <w:sz w:val="20"/>
                <w:szCs w:val="20"/>
              </w:rPr>
              <w:t>+ 4 %</w:t>
            </w:r>
          </w:p>
        </w:tc>
        <w:tc>
          <w:tcPr>
            <w:tcW w:w="993" w:type="dxa"/>
          </w:tcPr>
          <w:p w14:paraId="723057A1" w14:textId="77777777" w:rsidR="004874C3" w:rsidRPr="00A94F5F" w:rsidRDefault="004874C3" w:rsidP="00B37C1C">
            <w:pPr>
              <w:tabs>
                <w:tab w:val="left" w:pos="1168"/>
              </w:tabs>
              <w:ind w:right="-108"/>
              <w:jc w:val="center"/>
              <w:rPr>
                <w:rFonts w:ascii="Verdana" w:eastAsia="MS Mincho" w:hAnsi="Verdana" w:cs="Arial"/>
                <w:b/>
                <w:snapToGrid w:val="0"/>
                <w:sz w:val="20"/>
                <w:szCs w:val="20"/>
                <w:highlight w:val="yellow"/>
              </w:rPr>
            </w:pPr>
          </w:p>
          <w:p w14:paraId="439EB792" w14:textId="77777777" w:rsidR="004874C3" w:rsidRPr="00A94F5F" w:rsidRDefault="004874C3" w:rsidP="00B37C1C">
            <w:pPr>
              <w:tabs>
                <w:tab w:val="left" w:pos="1168"/>
              </w:tabs>
              <w:ind w:right="-108"/>
              <w:jc w:val="center"/>
              <w:rPr>
                <w:rFonts w:ascii="Verdana" w:eastAsia="MS Mincho" w:hAnsi="Verdana" w:cs="Arial"/>
                <w:b/>
                <w:snapToGrid w:val="0"/>
                <w:sz w:val="20"/>
                <w:szCs w:val="20"/>
              </w:rPr>
            </w:pPr>
            <w:r w:rsidRPr="00A94F5F">
              <w:rPr>
                <w:rFonts w:ascii="Verdana" w:eastAsia="MS Mincho" w:hAnsi="Verdana" w:cs="Arial"/>
                <w:b/>
                <w:snapToGrid w:val="0"/>
                <w:sz w:val="20"/>
                <w:szCs w:val="20"/>
              </w:rPr>
              <w:t>+ 3 %</w:t>
            </w:r>
          </w:p>
          <w:p w14:paraId="3AF52E16" w14:textId="77777777" w:rsidR="004874C3" w:rsidRPr="00A94F5F" w:rsidRDefault="004874C3" w:rsidP="00B37C1C">
            <w:pPr>
              <w:tabs>
                <w:tab w:val="left" w:pos="1168"/>
              </w:tabs>
              <w:ind w:right="-108"/>
              <w:jc w:val="center"/>
              <w:rPr>
                <w:rFonts w:ascii="Verdana" w:eastAsia="MS Mincho" w:hAnsi="Verdana" w:cs="Arial"/>
                <w:b/>
                <w:snapToGrid w:val="0"/>
                <w:sz w:val="20"/>
                <w:szCs w:val="20"/>
              </w:rPr>
            </w:pPr>
          </w:p>
          <w:p w14:paraId="4414E726" w14:textId="6AF5D7DC" w:rsidR="004874C3" w:rsidRPr="00A94F5F" w:rsidRDefault="004874C3" w:rsidP="00360759">
            <w:pPr>
              <w:tabs>
                <w:tab w:val="left" w:pos="1168"/>
              </w:tabs>
              <w:ind w:right="-108"/>
              <w:jc w:val="center"/>
              <w:rPr>
                <w:rFonts w:ascii="Arial" w:hAnsi="Arial"/>
                <w:b/>
                <w:bCs/>
                <w:sz w:val="20"/>
                <w:szCs w:val="20"/>
                <w:lang w:bidi="es-ES_tradnl"/>
              </w:rPr>
            </w:pPr>
            <w:r w:rsidRPr="00A94F5F">
              <w:rPr>
                <w:rFonts w:ascii="Verdana" w:eastAsia="MS Mincho" w:hAnsi="Verdana" w:cs="Arial"/>
                <w:b/>
                <w:snapToGrid w:val="0"/>
                <w:sz w:val="20"/>
                <w:szCs w:val="20"/>
              </w:rPr>
              <w:t>+ 4 %</w:t>
            </w:r>
          </w:p>
        </w:tc>
      </w:tr>
    </w:tbl>
    <w:p w14:paraId="700D8BDE" w14:textId="77777777" w:rsidR="00BF4FFF" w:rsidRPr="00A94F5F" w:rsidRDefault="00BF4FFF" w:rsidP="00BF4FFF">
      <w:pPr>
        <w:ind w:left="284"/>
        <w:jc w:val="both"/>
        <w:rPr>
          <w:rFonts w:ascii="Arial" w:eastAsia="Times New Roman" w:hAnsi="Arial" w:cs="Arial"/>
        </w:rPr>
      </w:pPr>
    </w:p>
    <w:p w14:paraId="52BBA847" w14:textId="77777777" w:rsidR="00BF4FFF" w:rsidRPr="00A94F5F" w:rsidRDefault="00BF4FFF" w:rsidP="00BF4FFF">
      <w:pPr>
        <w:ind w:left="284"/>
        <w:jc w:val="both"/>
        <w:rPr>
          <w:rFonts w:ascii="Arial" w:eastAsia="Times New Roman"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134"/>
        <w:gridCol w:w="1275"/>
        <w:gridCol w:w="1276"/>
        <w:gridCol w:w="1276"/>
        <w:gridCol w:w="1417"/>
        <w:gridCol w:w="993"/>
      </w:tblGrid>
      <w:tr w:rsidR="00BF4FFF" w:rsidRPr="00A94F5F" w14:paraId="700A75D9" w14:textId="77777777">
        <w:trPr>
          <w:trHeight w:val="890"/>
        </w:trPr>
        <w:tc>
          <w:tcPr>
            <w:tcW w:w="2235" w:type="dxa"/>
            <w:shd w:val="clear" w:color="auto" w:fill="E6E6E6"/>
          </w:tcPr>
          <w:p w14:paraId="0433838A" w14:textId="77777777" w:rsidR="00BF4FFF" w:rsidRPr="00A94F5F" w:rsidRDefault="00BF4FFF" w:rsidP="00BF4FFF">
            <w:pPr>
              <w:pStyle w:val="LadilloMichelinDossier"/>
              <w:spacing w:before="0" w:after="0"/>
              <w:rPr>
                <w:rFonts w:ascii="Arial" w:hAnsi="Arial"/>
                <w:b w:val="0"/>
                <w:bCs/>
                <w:sz w:val="20"/>
                <w:lang w:val="es-ES_tradnl" w:bidi="es-ES_tradnl"/>
              </w:rPr>
            </w:pPr>
            <w:r w:rsidRPr="00A94F5F">
              <w:rPr>
                <w:rFonts w:ascii="Arial" w:hAnsi="Arial"/>
                <w:b w:val="0"/>
                <w:bCs/>
                <w:sz w:val="20"/>
                <w:lang w:val="es-ES_tradnl" w:bidi="es-ES_tradnl"/>
              </w:rPr>
              <w:t>Tercer trimestre</w:t>
            </w:r>
          </w:p>
          <w:p w14:paraId="4749ED25" w14:textId="732E9962" w:rsidR="00BF4FFF" w:rsidRPr="00A94F5F" w:rsidRDefault="00DB7A7C" w:rsidP="002435F5">
            <w:pPr>
              <w:pStyle w:val="LadilloMichelinDossier"/>
              <w:spacing w:before="0" w:after="0"/>
              <w:rPr>
                <w:b w:val="0"/>
                <w:bCs/>
                <w:sz w:val="20"/>
                <w:lang w:val="es-ES_tradnl" w:bidi="es-ES_tradnl"/>
              </w:rPr>
            </w:pPr>
            <w:r w:rsidRPr="00A94F5F">
              <w:rPr>
                <w:rFonts w:ascii="Arial" w:hAnsi="Arial"/>
                <w:b w:val="0"/>
                <w:bCs/>
                <w:sz w:val="20"/>
                <w:lang w:val="es-ES_tradnl" w:bidi="es-ES_tradnl"/>
              </w:rPr>
              <w:t>2014/2013</w:t>
            </w:r>
            <w:r w:rsidR="00BF4FFF" w:rsidRPr="00A94F5F">
              <w:rPr>
                <w:rFonts w:ascii="Arial" w:hAnsi="Arial"/>
                <w:b w:val="0"/>
                <w:bCs/>
                <w:sz w:val="20"/>
                <w:lang w:val="es-ES_tradnl" w:bidi="es-ES_tradnl"/>
              </w:rPr>
              <w:br/>
            </w:r>
            <w:r w:rsidR="00BF4FFF" w:rsidRPr="00A94F5F">
              <w:rPr>
                <w:rFonts w:ascii="Arial" w:hAnsi="Arial"/>
                <w:b w:val="0"/>
                <w:bCs/>
                <w:sz w:val="18"/>
                <w:lang w:val="es-ES_tradnl" w:bidi="es-ES_tradnl"/>
              </w:rPr>
              <w:t>(número de neumáticos)</w:t>
            </w:r>
          </w:p>
        </w:tc>
        <w:tc>
          <w:tcPr>
            <w:tcW w:w="1134" w:type="dxa"/>
            <w:shd w:val="clear" w:color="auto" w:fill="E6E6E6"/>
          </w:tcPr>
          <w:p w14:paraId="7A1B7E21" w14:textId="775A1E9F" w:rsidR="00BF4FFF" w:rsidRPr="00A94F5F" w:rsidRDefault="00BF4FFF" w:rsidP="00927383">
            <w:pPr>
              <w:pStyle w:val="LadilloMichelinDossier"/>
              <w:spacing w:before="0" w:after="0"/>
              <w:rPr>
                <w:b w:val="0"/>
                <w:bCs/>
                <w:sz w:val="20"/>
                <w:lang w:val="es-ES_tradnl" w:bidi="es-ES_tradnl"/>
              </w:rPr>
            </w:pPr>
            <w:r w:rsidRPr="00A94F5F">
              <w:rPr>
                <w:rFonts w:ascii="Arial" w:hAnsi="Arial"/>
                <w:b w:val="0"/>
                <w:bCs/>
                <w:sz w:val="20"/>
                <w:lang w:val="es-ES_tradnl" w:bidi="es-ES_tradnl"/>
              </w:rPr>
              <w:t>Europa</w:t>
            </w:r>
          </w:p>
        </w:tc>
        <w:tc>
          <w:tcPr>
            <w:tcW w:w="1275" w:type="dxa"/>
            <w:shd w:val="clear" w:color="auto" w:fill="E6E6E6"/>
          </w:tcPr>
          <w:p w14:paraId="0BC2A217" w14:textId="77777777" w:rsidR="00BF4FFF" w:rsidRPr="00A94F5F" w:rsidRDefault="00BF4FFF" w:rsidP="00BF4FFF">
            <w:pPr>
              <w:pStyle w:val="LadilloMichelinDossier"/>
              <w:spacing w:before="0" w:after="0"/>
              <w:rPr>
                <w:b w:val="0"/>
                <w:bCs/>
                <w:sz w:val="20"/>
                <w:lang w:val="es-ES_tradnl" w:bidi="es-ES_tradnl"/>
              </w:rPr>
            </w:pPr>
            <w:r w:rsidRPr="00A94F5F">
              <w:rPr>
                <w:rFonts w:ascii="Arial" w:hAnsi="Arial"/>
                <w:b w:val="0"/>
                <w:bCs/>
                <w:sz w:val="20"/>
                <w:lang w:val="es-ES_tradnl" w:bidi="es-ES_tradnl"/>
              </w:rPr>
              <w:t xml:space="preserve">América </w:t>
            </w:r>
            <w:r w:rsidRPr="00A94F5F">
              <w:rPr>
                <w:rFonts w:ascii="Arial" w:hAnsi="Arial"/>
                <w:b w:val="0"/>
                <w:bCs/>
                <w:sz w:val="20"/>
                <w:lang w:val="es-ES_tradnl" w:bidi="es-ES_tradnl"/>
              </w:rPr>
              <w:br/>
              <w:t>del Norte</w:t>
            </w:r>
          </w:p>
        </w:tc>
        <w:tc>
          <w:tcPr>
            <w:tcW w:w="1276" w:type="dxa"/>
            <w:shd w:val="clear" w:color="auto" w:fill="E6E6E6"/>
          </w:tcPr>
          <w:p w14:paraId="44D107A0" w14:textId="77777777" w:rsidR="00BF4FFF" w:rsidRPr="00A94F5F" w:rsidRDefault="00BF4FFF" w:rsidP="00BF4FFF">
            <w:pPr>
              <w:pStyle w:val="LadilloMichelinDossier"/>
              <w:spacing w:before="0" w:after="0"/>
              <w:rPr>
                <w:rFonts w:ascii="Arial" w:hAnsi="Arial"/>
                <w:b w:val="0"/>
                <w:bCs/>
                <w:sz w:val="20"/>
                <w:lang w:val="es-ES_tradnl" w:bidi="es-ES_tradnl"/>
              </w:rPr>
            </w:pPr>
            <w:r w:rsidRPr="00A94F5F">
              <w:rPr>
                <w:rFonts w:ascii="Arial" w:hAnsi="Arial"/>
                <w:b w:val="0"/>
                <w:bCs/>
                <w:sz w:val="20"/>
                <w:lang w:val="es-ES_tradnl" w:bidi="es-ES_tradnl"/>
              </w:rPr>
              <w:t>Asia</w:t>
            </w:r>
          </w:p>
          <w:p w14:paraId="221E529A" w14:textId="77777777" w:rsidR="00BF4FFF" w:rsidRPr="00A94F5F" w:rsidRDefault="00BF4FFF" w:rsidP="00DF0201">
            <w:pPr>
              <w:pStyle w:val="LadilloMichelinDossier"/>
              <w:spacing w:before="0" w:after="0"/>
              <w:rPr>
                <w:b w:val="0"/>
                <w:bCs/>
                <w:sz w:val="20"/>
                <w:lang w:val="es-ES_tradnl" w:bidi="es-ES_tradnl"/>
              </w:rPr>
            </w:pPr>
            <w:r w:rsidRPr="00A94F5F">
              <w:rPr>
                <w:rFonts w:ascii="Arial" w:hAnsi="Arial"/>
                <w:b w:val="0"/>
                <w:bCs/>
                <w:sz w:val="20"/>
                <w:lang w:val="es-ES_tradnl" w:bidi="es-ES_tradnl"/>
              </w:rPr>
              <w:t>(</w:t>
            </w:r>
            <w:r w:rsidR="00DF0201" w:rsidRPr="00A94F5F">
              <w:rPr>
                <w:rFonts w:ascii="Arial" w:hAnsi="Arial"/>
                <w:b w:val="0"/>
                <w:bCs/>
                <w:sz w:val="20"/>
                <w:lang w:val="es-ES_tradnl" w:bidi="es-ES_tradnl"/>
              </w:rPr>
              <w:t>sin</w:t>
            </w:r>
            <w:r w:rsidRPr="00A94F5F">
              <w:rPr>
                <w:rFonts w:ascii="Arial" w:hAnsi="Arial"/>
                <w:b w:val="0"/>
                <w:bCs/>
                <w:sz w:val="20"/>
                <w:lang w:val="es-ES_tradnl" w:bidi="es-ES_tradnl"/>
              </w:rPr>
              <w:t xml:space="preserve"> India)</w:t>
            </w:r>
          </w:p>
        </w:tc>
        <w:tc>
          <w:tcPr>
            <w:tcW w:w="1276" w:type="dxa"/>
            <w:shd w:val="clear" w:color="auto" w:fill="E6E6E6"/>
          </w:tcPr>
          <w:p w14:paraId="0053B0BF" w14:textId="77777777" w:rsidR="00BF4FFF" w:rsidRPr="00A94F5F" w:rsidRDefault="00BF4FFF" w:rsidP="00BF4FFF">
            <w:pPr>
              <w:pStyle w:val="LadilloMichelinDossier"/>
              <w:spacing w:before="0" w:after="0"/>
              <w:rPr>
                <w:b w:val="0"/>
                <w:bCs/>
                <w:sz w:val="20"/>
                <w:lang w:val="es-ES_tradnl" w:bidi="es-ES_tradnl"/>
              </w:rPr>
            </w:pPr>
            <w:r w:rsidRPr="00A94F5F">
              <w:rPr>
                <w:rFonts w:ascii="Arial" w:hAnsi="Arial"/>
                <w:b w:val="0"/>
                <w:bCs/>
                <w:sz w:val="20"/>
                <w:lang w:val="es-ES_tradnl" w:bidi="es-ES_tradnl"/>
              </w:rPr>
              <w:t xml:space="preserve">América </w:t>
            </w:r>
            <w:r w:rsidRPr="00A94F5F">
              <w:rPr>
                <w:rFonts w:ascii="Arial" w:hAnsi="Arial"/>
                <w:b w:val="0"/>
                <w:bCs/>
                <w:sz w:val="20"/>
                <w:lang w:val="es-ES_tradnl" w:bidi="es-ES_tradnl"/>
              </w:rPr>
              <w:br/>
              <w:t>del Sur</w:t>
            </w:r>
          </w:p>
        </w:tc>
        <w:tc>
          <w:tcPr>
            <w:tcW w:w="1417" w:type="dxa"/>
            <w:shd w:val="clear" w:color="auto" w:fill="E6E6E6"/>
          </w:tcPr>
          <w:p w14:paraId="25B037DA" w14:textId="77777777" w:rsidR="00BF4FFF" w:rsidRPr="00A94F5F" w:rsidRDefault="00BF4FFF" w:rsidP="00BF4FFF">
            <w:pPr>
              <w:pStyle w:val="LadilloMichelinDossier"/>
              <w:spacing w:before="0" w:after="0"/>
              <w:rPr>
                <w:b w:val="0"/>
                <w:bCs/>
                <w:sz w:val="20"/>
                <w:lang w:val="es-ES_tradnl" w:bidi="es-ES_tradnl"/>
              </w:rPr>
            </w:pPr>
            <w:r w:rsidRPr="00A94F5F">
              <w:rPr>
                <w:rFonts w:ascii="Arial" w:hAnsi="Arial"/>
                <w:b w:val="0"/>
                <w:bCs/>
                <w:sz w:val="20"/>
                <w:lang w:val="es-ES_tradnl" w:bidi="es-ES_tradnl"/>
              </w:rPr>
              <w:t>África/India/Oriente Medio</w:t>
            </w:r>
          </w:p>
        </w:tc>
        <w:tc>
          <w:tcPr>
            <w:tcW w:w="993" w:type="dxa"/>
            <w:shd w:val="clear" w:color="auto" w:fill="E6E6E6"/>
          </w:tcPr>
          <w:p w14:paraId="745B5CF7" w14:textId="77777777" w:rsidR="00BF4FFF" w:rsidRPr="00A94F5F" w:rsidRDefault="00BF4FFF" w:rsidP="00BF4FFF">
            <w:pPr>
              <w:pStyle w:val="LadilloMichelinDossier"/>
              <w:spacing w:before="0" w:after="0"/>
              <w:rPr>
                <w:b w:val="0"/>
                <w:bCs/>
                <w:sz w:val="20"/>
                <w:lang w:val="es-ES_tradnl" w:bidi="es-ES_tradnl"/>
              </w:rPr>
            </w:pPr>
            <w:r w:rsidRPr="00A94F5F">
              <w:rPr>
                <w:rFonts w:ascii="Arial" w:hAnsi="Arial"/>
                <w:b w:val="0"/>
                <w:bCs/>
                <w:sz w:val="20"/>
                <w:lang w:val="es-ES_tradnl" w:bidi="es-ES_tradnl"/>
              </w:rPr>
              <w:t>Total</w:t>
            </w:r>
          </w:p>
        </w:tc>
      </w:tr>
      <w:tr w:rsidR="004874C3" w:rsidRPr="00A94F5F" w14:paraId="31AC8203" w14:textId="77777777">
        <w:trPr>
          <w:trHeight w:val="1271"/>
        </w:trPr>
        <w:tc>
          <w:tcPr>
            <w:tcW w:w="2235" w:type="dxa"/>
          </w:tcPr>
          <w:p w14:paraId="5C580B6E" w14:textId="77777777" w:rsidR="004874C3" w:rsidRPr="00A94F5F" w:rsidRDefault="004874C3" w:rsidP="00BF4FFF">
            <w:pPr>
              <w:pStyle w:val="LadilloMichelinDossier"/>
              <w:spacing w:before="0" w:after="0"/>
              <w:jc w:val="both"/>
              <w:rPr>
                <w:rFonts w:ascii="Arial" w:hAnsi="Arial"/>
                <w:b w:val="0"/>
                <w:bCs/>
                <w:sz w:val="20"/>
                <w:lang w:val="es-ES_tradnl" w:bidi="es-ES_tradnl"/>
              </w:rPr>
            </w:pPr>
            <w:r w:rsidRPr="00A94F5F">
              <w:rPr>
                <w:rFonts w:ascii="Arial" w:hAnsi="Arial"/>
                <w:b w:val="0"/>
                <w:bCs/>
                <w:sz w:val="20"/>
                <w:lang w:val="es-ES_tradnl" w:bidi="es-ES_tradnl"/>
              </w:rPr>
              <w:br/>
              <w:t>Primer equipo</w:t>
            </w:r>
          </w:p>
          <w:p w14:paraId="38BB4FB5" w14:textId="77777777" w:rsidR="004874C3" w:rsidRPr="00A94F5F" w:rsidRDefault="004874C3" w:rsidP="00BF4FFF">
            <w:pPr>
              <w:pStyle w:val="LadilloMichelinDossier"/>
              <w:spacing w:before="0" w:after="0"/>
              <w:jc w:val="both"/>
              <w:rPr>
                <w:rFonts w:ascii="Arial" w:hAnsi="Arial"/>
                <w:b w:val="0"/>
                <w:bCs/>
                <w:sz w:val="20"/>
                <w:lang w:val="es-ES_tradnl" w:bidi="es-ES_tradnl"/>
              </w:rPr>
            </w:pPr>
            <w:r w:rsidRPr="00A94F5F">
              <w:rPr>
                <w:rFonts w:ascii="Arial" w:hAnsi="Arial"/>
                <w:b w:val="0"/>
                <w:bCs/>
                <w:sz w:val="20"/>
                <w:lang w:val="es-ES_tradnl" w:bidi="es-ES_tradnl"/>
              </w:rPr>
              <w:t xml:space="preserve">     </w:t>
            </w:r>
          </w:p>
          <w:p w14:paraId="04ED96F1" w14:textId="77777777" w:rsidR="004874C3" w:rsidRPr="00A94F5F" w:rsidRDefault="004874C3" w:rsidP="00BF4FFF">
            <w:pPr>
              <w:pStyle w:val="LadilloMichelinDossier"/>
              <w:spacing w:before="0" w:after="0"/>
              <w:jc w:val="both"/>
              <w:rPr>
                <w:b w:val="0"/>
                <w:bCs/>
                <w:sz w:val="20"/>
                <w:lang w:val="es-ES_tradnl" w:bidi="es-ES_tradnl"/>
              </w:rPr>
            </w:pPr>
            <w:r w:rsidRPr="00A94F5F">
              <w:rPr>
                <w:rFonts w:ascii="Arial" w:hAnsi="Arial"/>
                <w:b w:val="0"/>
                <w:bCs/>
                <w:sz w:val="20"/>
                <w:lang w:val="es-ES_tradnl" w:bidi="es-ES_tradnl"/>
              </w:rPr>
              <w:t>Reemplazo</w:t>
            </w:r>
          </w:p>
        </w:tc>
        <w:tc>
          <w:tcPr>
            <w:tcW w:w="1134" w:type="dxa"/>
          </w:tcPr>
          <w:p w14:paraId="3C5B2383" w14:textId="77777777" w:rsidR="004874C3" w:rsidRPr="00A94F5F" w:rsidRDefault="004874C3" w:rsidP="00B37C1C">
            <w:pPr>
              <w:tabs>
                <w:tab w:val="left" w:pos="284"/>
              </w:tabs>
              <w:jc w:val="center"/>
              <w:rPr>
                <w:rFonts w:ascii="Verdana" w:eastAsia="MS Mincho" w:hAnsi="Verdana" w:cs="Arial"/>
                <w:b/>
                <w:snapToGrid w:val="0"/>
                <w:sz w:val="20"/>
                <w:szCs w:val="20"/>
              </w:rPr>
            </w:pPr>
          </w:p>
          <w:p w14:paraId="0F6E35E1" w14:textId="77777777" w:rsidR="004874C3" w:rsidRPr="00A94F5F" w:rsidRDefault="004874C3" w:rsidP="00B37C1C">
            <w:pPr>
              <w:tabs>
                <w:tab w:val="left" w:pos="284"/>
              </w:tabs>
              <w:jc w:val="center"/>
              <w:rPr>
                <w:rFonts w:ascii="Verdana" w:eastAsia="MS Mincho" w:hAnsi="Verdana" w:cs="Arial"/>
                <w:b/>
                <w:snapToGrid w:val="0"/>
                <w:sz w:val="20"/>
                <w:szCs w:val="20"/>
              </w:rPr>
            </w:pPr>
            <w:r w:rsidRPr="00A94F5F">
              <w:rPr>
                <w:rFonts w:ascii="Verdana" w:eastAsia="MS Mincho" w:hAnsi="Verdana" w:cs="Arial"/>
                <w:b/>
                <w:snapToGrid w:val="0"/>
                <w:sz w:val="20"/>
                <w:szCs w:val="20"/>
              </w:rPr>
              <w:t>+ 0 %</w:t>
            </w:r>
          </w:p>
          <w:p w14:paraId="1215B1B0" w14:textId="77777777" w:rsidR="004874C3" w:rsidRPr="00A94F5F" w:rsidRDefault="004874C3" w:rsidP="00B37C1C">
            <w:pPr>
              <w:tabs>
                <w:tab w:val="left" w:pos="284"/>
              </w:tabs>
              <w:jc w:val="center"/>
              <w:rPr>
                <w:rFonts w:ascii="Verdana" w:eastAsia="MS Mincho" w:hAnsi="Verdana" w:cs="Arial"/>
                <w:b/>
                <w:snapToGrid w:val="0"/>
                <w:sz w:val="20"/>
                <w:szCs w:val="20"/>
              </w:rPr>
            </w:pPr>
          </w:p>
          <w:p w14:paraId="654E6236" w14:textId="77777777" w:rsidR="004874C3" w:rsidRPr="00A94F5F" w:rsidRDefault="004874C3" w:rsidP="00B37C1C">
            <w:pPr>
              <w:tabs>
                <w:tab w:val="left" w:pos="284"/>
              </w:tabs>
              <w:jc w:val="center"/>
              <w:rPr>
                <w:rFonts w:ascii="Verdana" w:eastAsia="MS Mincho" w:hAnsi="Verdana" w:cs="Arial"/>
                <w:b/>
                <w:snapToGrid w:val="0"/>
                <w:sz w:val="20"/>
                <w:szCs w:val="20"/>
              </w:rPr>
            </w:pPr>
            <w:r w:rsidRPr="00A94F5F">
              <w:rPr>
                <w:rFonts w:ascii="Verdana" w:eastAsia="MS Mincho" w:hAnsi="Verdana" w:cs="Arial"/>
                <w:b/>
                <w:snapToGrid w:val="0"/>
                <w:sz w:val="20"/>
                <w:szCs w:val="20"/>
              </w:rPr>
              <w:t>+ 1 %</w:t>
            </w:r>
          </w:p>
          <w:p w14:paraId="2405B5A2" w14:textId="77777777" w:rsidR="004874C3" w:rsidRPr="00A94F5F" w:rsidRDefault="004874C3" w:rsidP="00360759">
            <w:pPr>
              <w:tabs>
                <w:tab w:val="left" w:pos="284"/>
              </w:tabs>
              <w:jc w:val="center"/>
              <w:rPr>
                <w:rFonts w:ascii="Arial" w:hAnsi="Arial"/>
                <w:b/>
                <w:bCs/>
                <w:sz w:val="20"/>
                <w:szCs w:val="20"/>
                <w:lang w:bidi="es-ES_tradnl"/>
              </w:rPr>
            </w:pPr>
          </w:p>
        </w:tc>
        <w:tc>
          <w:tcPr>
            <w:tcW w:w="1275" w:type="dxa"/>
          </w:tcPr>
          <w:p w14:paraId="153C6F7B" w14:textId="77777777" w:rsidR="004874C3" w:rsidRPr="00A94F5F" w:rsidRDefault="004874C3" w:rsidP="00B37C1C">
            <w:pPr>
              <w:tabs>
                <w:tab w:val="left" w:pos="284"/>
              </w:tabs>
              <w:jc w:val="center"/>
              <w:rPr>
                <w:rFonts w:ascii="Verdana" w:eastAsia="MS Mincho" w:hAnsi="Verdana" w:cs="Arial"/>
                <w:b/>
                <w:snapToGrid w:val="0"/>
                <w:sz w:val="20"/>
                <w:szCs w:val="20"/>
              </w:rPr>
            </w:pPr>
          </w:p>
          <w:p w14:paraId="4A8D7289" w14:textId="77777777" w:rsidR="004874C3" w:rsidRPr="00A94F5F" w:rsidRDefault="004874C3" w:rsidP="00B37C1C">
            <w:pPr>
              <w:tabs>
                <w:tab w:val="left" w:pos="284"/>
              </w:tabs>
              <w:jc w:val="center"/>
              <w:rPr>
                <w:rFonts w:ascii="Verdana" w:eastAsia="MS Mincho" w:hAnsi="Verdana" w:cs="Arial"/>
                <w:b/>
                <w:snapToGrid w:val="0"/>
                <w:sz w:val="20"/>
                <w:szCs w:val="20"/>
              </w:rPr>
            </w:pPr>
            <w:r w:rsidRPr="00A94F5F">
              <w:rPr>
                <w:rFonts w:ascii="Verdana" w:eastAsia="MS Mincho" w:hAnsi="Verdana" w:cs="Arial"/>
                <w:b/>
                <w:snapToGrid w:val="0"/>
                <w:sz w:val="20"/>
                <w:szCs w:val="20"/>
              </w:rPr>
              <w:t>+ 7 %</w:t>
            </w:r>
          </w:p>
          <w:p w14:paraId="2F6FDC18" w14:textId="77777777" w:rsidR="004874C3" w:rsidRPr="00A94F5F" w:rsidRDefault="004874C3" w:rsidP="00B37C1C">
            <w:pPr>
              <w:tabs>
                <w:tab w:val="left" w:pos="284"/>
              </w:tabs>
              <w:jc w:val="center"/>
              <w:rPr>
                <w:rFonts w:ascii="Verdana" w:eastAsia="MS Mincho" w:hAnsi="Verdana" w:cs="Arial"/>
                <w:b/>
                <w:snapToGrid w:val="0"/>
                <w:sz w:val="20"/>
                <w:szCs w:val="20"/>
              </w:rPr>
            </w:pPr>
          </w:p>
          <w:p w14:paraId="36724869" w14:textId="715B54E4" w:rsidR="004874C3" w:rsidRPr="00A94F5F" w:rsidRDefault="004874C3" w:rsidP="00360759">
            <w:pPr>
              <w:tabs>
                <w:tab w:val="left" w:pos="284"/>
              </w:tabs>
              <w:jc w:val="center"/>
              <w:rPr>
                <w:rFonts w:ascii="Arial" w:hAnsi="Arial"/>
                <w:b/>
                <w:bCs/>
                <w:sz w:val="20"/>
                <w:szCs w:val="20"/>
                <w:lang w:bidi="es-ES_tradnl"/>
              </w:rPr>
            </w:pPr>
            <w:r w:rsidRPr="00A94F5F">
              <w:rPr>
                <w:rFonts w:ascii="Verdana" w:eastAsia="MS Mincho" w:hAnsi="Verdana" w:cs="Arial"/>
                <w:b/>
                <w:snapToGrid w:val="0"/>
                <w:sz w:val="20"/>
                <w:szCs w:val="20"/>
              </w:rPr>
              <w:t>+ 3 %</w:t>
            </w:r>
          </w:p>
        </w:tc>
        <w:tc>
          <w:tcPr>
            <w:tcW w:w="1276" w:type="dxa"/>
          </w:tcPr>
          <w:p w14:paraId="11970255" w14:textId="77777777" w:rsidR="004874C3" w:rsidRPr="00A94F5F" w:rsidRDefault="004874C3" w:rsidP="00B37C1C">
            <w:pPr>
              <w:tabs>
                <w:tab w:val="left" w:pos="284"/>
              </w:tabs>
              <w:jc w:val="center"/>
              <w:rPr>
                <w:rFonts w:ascii="Verdana" w:eastAsia="MS Mincho" w:hAnsi="Verdana" w:cs="Arial"/>
                <w:b/>
                <w:snapToGrid w:val="0"/>
                <w:sz w:val="20"/>
                <w:szCs w:val="20"/>
              </w:rPr>
            </w:pPr>
          </w:p>
          <w:p w14:paraId="6941421B" w14:textId="77777777" w:rsidR="004874C3" w:rsidRPr="00A94F5F" w:rsidRDefault="004874C3" w:rsidP="00B37C1C">
            <w:pPr>
              <w:tabs>
                <w:tab w:val="left" w:pos="284"/>
              </w:tabs>
              <w:jc w:val="center"/>
              <w:rPr>
                <w:rFonts w:ascii="Verdana" w:eastAsia="MS Mincho" w:hAnsi="Verdana" w:cs="Arial"/>
                <w:b/>
                <w:snapToGrid w:val="0"/>
                <w:sz w:val="20"/>
                <w:szCs w:val="20"/>
              </w:rPr>
            </w:pPr>
            <w:r w:rsidRPr="00A94F5F">
              <w:rPr>
                <w:rFonts w:ascii="Verdana" w:eastAsia="MS Mincho" w:hAnsi="Verdana" w:cs="Arial"/>
                <w:b/>
                <w:snapToGrid w:val="0"/>
                <w:sz w:val="20"/>
                <w:szCs w:val="20"/>
              </w:rPr>
              <w:t>+ 3 %</w:t>
            </w:r>
          </w:p>
          <w:p w14:paraId="0791EDBD" w14:textId="77777777" w:rsidR="004874C3" w:rsidRPr="00A94F5F" w:rsidRDefault="004874C3" w:rsidP="00B37C1C">
            <w:pPr>
              <w:tabs>
                <w:tab w:val="left" w:pos="284"/>
              </w:tabs>
              <w:jc w:val="center"/>
              <w:rPr>
                <w:rFonts w:ascii="Verdana" w:eastAsia="MS Mincho" w:hAnsi="Verdana" w:cs="Arial"/>
                <w:b/>
                <w:snapToGrid w:val="0"/>
                <w:sz w:val="20"/>
                <w:szCs w:val="20"/>
              </w:rPr>
            </w:pPr>
          </w:p>
          <w:p w14:paraId="5F5FC7B7" w14:textId="045A1CAB" w:rsidR="004874C3" w:rsidRPr="00A94F5F" w:rsidRDefault="004874C3" w:rsidP="00360759">
            <w:pPr>
              <w:tabs>
                <w:tab w:val="left" w:pos="284"/>
              </w:tabs>
              <w:jc w:val="center"/>
              <w:rPr>
                <w:rFonts w:ascii="Arial" w:hAnsi="Arial"/>
                <w:b/>
                <w:bCs/>
                <w:sz w:val="20"/>
                <w:szCs w:val="20"/>
                <w:lang w:bidi="es-ES_tradnl"/>
              </w:rPr>
            </w:pPr>
            <w:r w:rsidRPr="00A94F5F">
              <w:rPr>
                <w:rFonts w:ascii="Verdana" w:eastAsia="MS Mincho" w:hAnsi="Verdana" w:cs="Arial"/>
                <w:b/>
                <w:snapToGrid w:val="0"/>
                <w:sz w:val="20"/>
                <w:szCs w:val="20"/>
              </w:rPr>
              <w:t>+ 3 %</w:t>
            </w:r>
          </w:p>
        </w:tc>
        <w:tc>
          <w:tcPr>
            <w:tcW w:w="1276" w:type="dxa"/>
          </w:tcPr>
          <w:p w14:paraId="7C9D2FF6" w14:textId="77777777" w:rsidR="004874C3" w:rsidRPr="00A94F5F" w:rsidRDefault="004874C3" w:rsidP="00B37C1C">
            <w:pPr>
              <w:tabs>
                <w:tab w:val="left" w:pos="284"/>
              </w:tabs>
              <w:jc w:val="center"/>
              <w:rPr>
                <w:rFonts w:ascii="Verdana" w:eastAsia="MS Mincho" w:hAnsi="Verdana" w:cs="Arial"/>
                <w:b/>
                <w:snapToGrid w:val="0"/>
                <w:sz w:val="20"/>
                <w:szCs w:val="20"/>
              </w:rPr>
            </w:pPr>
          </w:p>
          <w:p w14:paraId="3545D898" w14:textId="77777777" w:rsidR="004874C3" w:rsidRPr="00A94F5F" w:rsidRDefault="004874C3" w:rsidP="00B37C1C">
            <w:pPr>
              <w:tabs>
                <w:tab w:val="left" w:pos="284"/>
              </w:tabs>
              <w:jc w:val="center"/>
              <w:rPr>
                <w:rFonts w:ascii="Verdana" w:eastAsia="MS Mincho" w:hAnsi="Verdana" w:cs="Arial"/>
                <w:b/>
                <w:snapToGrid w:val="0"/>
                <w:sz w:val="20"/>
                <w:szCs w:val="20"/>
              </w:rPr>
            </w:pPr>
            <w:r w:rsidRPr="00A94F5F">
              <w:rPr>
                <w:rFonts w:ascii="Verdana" w:eastAsia="MS Mincho" w:hAnsi="Verdana" w:cs="Arial"/>
                <w:b/>
                <w:snapToGrid w:val="0"/>
                <w:sz w:val="20"/>
                <w:szCs w:val="20"/>
              </w:rPr>
              <w:t>- 18 %</w:t>
            </w:r>
          </w:p>
          <w:p w14:paraId="53930C2B" w14:textId="77777777" w:rsidR="004874C3" w:rsidRPr="00A94F5F" w:rsidRDefault="004874C3" w:rsidP="00B37C1C">
            <w:pPr>
              <w:tabs>
                <w:tab w:val="left" w:pos="284"/>
              </w:tabs>
              <w:jc w:val="center"/>
              <w:rPr>
                <w:rFonts w:ascii="Verdana" w:eastAsia="MS Mincho" w:hAnsi="Verdana" w:cs="Arial"/>
                <w:b/>
                <w:snapToGrid w:val="0"/>
                <w:sz w:val="20"/>
                <w:szCs w:val="20"/>
              </w:rPr>
            </w:pPr>
          </w:p>
          <w:p w14:paraId="37EC66CF" w14:textId="4B46BC5D" w:rsidR="004874C3" w:rsidRPr="00A94F5F" w:rsidRDefault="004874C3" w:rsidP="00360759">
            <w:pPr>
              <w:tabs>
                <w:tab w:val="left" w:pos="284"/>
              </w:tabs>
              <w:jc w:val="center"/>
              <w:rPr>
                <w:rFonts w:ascii="Arial" w:hAnsi="Arial"/>
                <w:b/>
                <w:bCs/>
                <w:sz w:val="20"/>
                <w:szCs w:val="20"/>
                <w:lang w:bidi="es-ES_tradnl"/>
              </w:rPr>
            </w:pPr>
            <w:r w:rsidRPr="00A94F5F">
              <w:rPr>
                <w:rFonts w:ascii="Verdana" w:eastAsia="MS Mincho" w:hAnsi="Verdana" w:cs="Arial"/>
                <w:b/>
                <w:snapToGrid w:val="0"/>
                <w:sz w:val="20"/>
                <w:szCs w:val="20"/>
              </w:rPr>
              <w:t>+ 6 %</w:t>
            </w:r>
          </w:p>
        </w:tc>
        <w:tc>
          <w:tcPr>
            <w:tcW w:w="1417" w:type="dxa"/>
          </w:tcPr>
          <w:p w14:paraId="07B78E05" w14:textId="77777777" w:rsidR="004874C3" w:rsidRPr="00A94F5F" w:rsidRDefault="004874C3" w:rsidP="00B37C1C">
            <w:pPr>
              <w:tabs>
                <w:tab w:val="left" w:pos="284"/>
              </w:tabs>
              <w:jc w:val="center"/>
              <w:rPr>
                <w:rFonts w:ascii="Verdana" w:eastAsia="MS Mincho" w:hAnsi="Verdana" w:cs="Arial"/>
                <w:b/>
                <w:snapToGrid w:val="0"/>
                <w:sz w:val="20"/>
                <w:szCs w:val="20"/>
              </w:rPr>
            </w:pPr>
          </w:p>
          <w:p w14:paraId="27D0197A" w14:textId="77777777" w:rsidR="004874C3" w:rsidRPr="00A94F5F" w:rsidRDefault="004874C3" w:rsidP="00B37C1C">
            <w:pPr>
              <w:tabs>
                <w:tab w:val="left" w:pos="284"/>
              </w:tabs>
              <w:jc w:val="center"/>
              <w:rPr>
                <w:rFonts w:ascii="Verdana" w:eastAsia="MS Mincho" w:hAnsi="Verdana" w:cs="Arial"/>
                <w:b/>
                <w:snapToGrid w:val="0"/>
                <w:sz w:val="20"/>
                <w:szCs w:val="20"/>
              </w:rPr>
            </w:pPr>
            <w:r w:rsidRPr="00A94F5F">
              <w:rPr>
                <w:rFonts w:ascii="Verdana" w:eastAsia="MS Mincho" w:hAnsi="Verdana" w:cs="Arial"/>
                <w:b/>
                <w:snapToGrid w:val="0"/>
                <w:sz w:val="20"/>
                <w:szCs w:val="20"/>
              </w:rPr>
              <w:t>+ 4 %</w:t>
            </w:r>
          </w:p>
          <w:p w14:paraId="756E37FB" w14:textId="77777777" w:rsidR="004874C3" w:rsidRPr="00A94F5F" w:rsidRDefault="004874C3" w:rsidP="00B37C1C">
            <w:pPr>
              <w:tabs>
                <w:tab w:val="left" w:pos="284"/>
              </w:tabs>
              <w:jc w:val="center"/>
              <w:rPr>
                <w:rFonts w:ascii="Verdana" w:eastAsia="MS Mincho" w:hAnsi="Verdana" w:cs="Arial"/>
                <w:b/>
                <w:snapToGrid w:val="0"/>
                <w:sz w:val="20"/>
                <w:szCs w:val="20"/>
              </w:rPr>
            </w:pPr>
          </w:p>
          <w:p w14:paraId="496F835D" w14:textId="20669025" w:rsidR="004874C3" w:rsidRPr="00A94F5F" w:rsidRDefault="004874C3" w:rsidP="00360759">
            <w:pPr>
              <w:tabs>
                <w:tab w:val="left" w:pos="284"/>
              </w:tabs>
              <w:jc w:val="center"/>
              <w:rPr>
                <w:rFonts w:ascii="Arial" w:hAnsi="Arial"/>
                <w:b/>
                <w:bCs/>
                <w:sz w:val="20"/>
                <w:szCs w:val="20"/>
                <w:lang w:bidi="es-ES_tradnl"/>
              </w:rPr>
            </w:pPr>
            <w:r w:rsidRPr="00A94F5F">
              <w:rPr>
                <w:rFonts w:ascii="Verdana" w:eastAsia="MS Mincho" w:hAnsi="Verdana" w:cs="Arial"/>
                <w:b/>
                <w:snapToGrid w:val="0"/>
                <w:sz w:val="20"/>
                <w:szCs w:val="20"/>
              </w:rPr>
              <w:t>+ 4 %</w:t>
            </w:r>
          </w:p>
        </w:tc>
        <w:tc>
          <w:tcPr>
            <w:tcW w:w="993" w:type="dxa"/>
          </w:tcPr>
          <w:p w14:paraId="4381A981" w14:textId="77777777" w:rsidR="004874C3" w:rsidRPr="00A94F5F" w:rsidRDefault="004874C3" w:rsidP="00B37C1C">
            <w:pPr>
              <w:tabs>
                <w:tab w:val="left" w:pos="1168"/>
              </w:tabs>
              <w:ind w:right="-108"/>
              <w:jc w:val="center"/>
              <w:rPr>
                <w:rFonts w:ascii="Verdana" w:eastAsia="MS Mincho" w:hAnsi="Verdana" w:cs="Arial"/>
                <w:b/>
                <w:snapToGrid w:val="0"/>
                <w:sz w:val="20"/>
                <w:szCs w:val="20"/>
              </w:rPr>
            </w:pPr>
          </w:p>
          <w:p w14:paraId="6050811E" w14:textId="77777777" w:rsidR="004874C3" w:rsidRPr="00A94F5F" w:rsidRDefault="004874C3" w:rsidP="00B37C1C">
            <w:pPr>
              <w:tabs>
                <w:tab w:val="left" w:pos="1168"/>
              </w:tabs>
              <w:ind w:right="-108"/>
              <w:jc w:val="center"/>
              <w:rPr>
                <w:rFonts w:ascii="Verdana" w:eastAsia="MS Mincho" w:hAnsi="Verdana" w:cs="Arial"/>
                <w:b/>
                <w:snapToGrid w:val="0"/>
                <w:sz w:val="20"/>
                <w:szCs w:val="20"/>
              </w:rPr>
            </w:pPr>
            <w:r w:rsidRPr="00A94F5F">
              <w:rPr>
                <w:rFonts w:ascii="Verdana" w:eastAsia="MS Mincho" w:hAnsi="Verdana" w:cs="Arial"/>
                <w:b/>
                <w:snapToGrid w:val="0"/>
                <w:sz w:val="20"/>
                <w:szCs w:val="20"/>
              </w:rPr>
              <w:t>+ 2 %</w:t>
            </w:r>
          </w:p>
          <w:p w14:paraId="0B765224" w14:textId="77777777" w:rsidR="004874C3" w:rsidRPr="00A94F5F" w:rsidRDefault="004874C3" w:rsidP="00B37C1C">
            <w:pPr>
              <w:tabs>
                <w:tab w:val="left" w:pos="1168"/>
              </w:tabs>
              <w:ind w:right="-108"/>
              <w:jc w:val="center"/>
              <w:rPr>
                <w:rFonts w:ascii="Verdana" w:eastAsia="MS Mincho" w:hAnsi="Verdana" w:cs="Arial"/>
                <w:b/>
                <w:snapToGrid w:val="0"/>
                <w:sz w:val="20"/>
                <w:szCs w:val="20"/>
              </w:rPr>
            </w:pPr>
          </w:p>
          <w:p w14:paraId="460E67AF" w14:textId="5539D451" w:rsidR="004874C3" w:rsidRPr="00A94F5F" w:rsidRDefault="004874C3" w:rsidP="00360759">
            <w:pPr>
              <w:tabs>
                <w:tab w:val="left" w:pos="1168"/>
              </w:tabs>
              <w:ind w:right="-108"/>
              <w:jc w:val="center"/>
              <w:rPr>
                <w:rFonts w:ascii="Arial" w:hAnsi="Arial"/>
                <w:b/>
                <w:bCs/>
                <w:sz w:val="20"/>
                <w:szCs w:val="20"/>
                <w:lang w:bidi="es-ES_tradnl"/>
              </w:rPr>
            </w:pPr>
            <w:r w:rsidRPr="00A94F5F">
              <w:rPr>
                <w:rFonts w:ascii="Verdana" w:eastAsia="MS Mincho" w:hAnsi="Verdana" w:cs="Arial"/>
                <w:b/>
                <w:snapToGrid w:val="0"/>
                <w:sz w:val="20"/>
                <w:szCs w:val="20"/>
              </w:rPr>
              <w:t>+ 3 %</w:t>
            </w:r>
          </w:p>
        </w:tc>
      </w:tr>
    </w:tbl>
    <w:p w14:paraId="420473F9" w14:textId="77777777" w:rsidR="00BF4FFF" w:rsidRPr="00A94F5F" w:rsidRDefault="00BF4FFF" w:rsidP="00BF4FFF">
      <w:pPr>
        <w:numPr>
          <w:ilvl w:val="0"/>
          <w:numId w:val="5"/>
        </w:numPr>
        <w:spacing w:before="480" w:after="240" w:line="270" w:lineRule="atLeast"/>
        <w:jc w:val="both"/>
        <w:rPr>
          <w:rFonts w:ascii="Arial" w:hAnsi="Arial"/>
          <w:b/>
          <w:bCs/>
          <w:sz w:val="21"/>
          <w:u w:val="single"/>
          <w:lang w:bidi="es-ES_tradnl"/>
        </w:rPr>
      </w:pPr>
      <w:r w:rsidRPr="00A94F5F">
        <w:rPr>
          <w:rFonts w:ascii="Arial" w:hAnsi="Arial"/>
          <w:b/>
          <w:bCs/>
          <w:sz w:val="21"/>
          <w:lang w:bidi="es-ES_tradnl"/>
        </w:rPr>
        <w:t>Primeros Equipos</w:t>
      </w:r>
    </w:p>
    <w:p w14:paraId="3FE1EADA" w14:textId="41C835A2" w:rsidR="002D6DAE" w:rsidRPr="00A94F5F" w:rsidRDefault="006F2092" w:rsidP="0089790C">
      <w:pPr>
        <w:numPr>
          <w:ilvl w:val="1"/>
          <w:numId w:val="10"/>
        </w:numPr>
        <w:spacing w:before="480" w:after="120" w:line="270" w:lineRule="atLeast"/>
        <w:jc w:val="both"/>
        <w:rPr>
          <w:rFonts w:ascii="Arial" w:hAnsi="Arial"/>
        </w:rPr>
      </w:pPr>
      <w:r w:rsidRPr="00A94F5F">
        <w:rPr>
          <w:rFonts w:ascii="Arial" w:hAnsi="Arial"/>
          <w:bCs/>
          <w:sz w:val="21"/>
          <w:lang w:bidi="es-ES_tradnl"/>
        </w:rPr>
        <w:t>En Europ</w:t>
      </w:r>
      <w:r w:rsidR="002C158D" w:rsidRPr="00A94F5F">
        <w:rPr>
          <w:rFonts w:ascii="Arial" w:hAnsi="Arial"/>
          <w:bCs/>
          <w:sz w:val="21"/>
          <w:lang w:bidi="es-ES_tradnl"/>
        </w:rPr>
        <w:t>a</w:t>
      </w:r>
      <w:r w:rsidRPr="00A94F5F">
        <w:rPr>
          <w:rFonts w:ascii="Arial" w:hAnsi="Arial"/>
          <w:bCs/>
          <w:sz w:val="21"/>
          <w:lang w:bidi="es-ES_tradnl"/>
        </w:rPr>
        <w:t xml:space="preserve">, </w:t>
      </w:r>
      <w:r w:rsidR="002C158D" w:rsidRPr="00A94F5F">
        <w:rPr>
          <w:rFonts w:ascii="Arial" w:hAnsi="Arial"/>
          <w:bCs/>
          <w:sz w:val="21"/>
          <w:lang w:bidi="es-ES_tradnl"/>
        </w:rPr>
        <w:t xml:space="preserve">el mercado </w:t>
      </w:r>
      <w:r w:rsidR="00983D3C" w:rsidRPr="00A94F5F">
        <w:rPr>
          <w:rFonts w:ascii="Arial" w:hAnsi="Arial"/>
          <w:bCs/>
          <w:sz w:val="21"/>
          <w:lang w:bidi="es-ES_tradnl"/>
        </w:rPr>
        <w:t>muestra un cierto</w:t>
      </w:r>
      <w:r w:rsidR="002C158D" w:rsidRPr="00A94F5F">
        <w:rPr>
          <w:rFonts w:ascii="Arial" w:hAnsi="Arial"/>
          <w:bCs/>
          <w:sz w:val="21"/>
          <w:lang w:bidi="es-ES_tradnl"/>
        </w:rPr>
        <w:t xml:space="preserve"> retroceso </w:t>
      </w:r>
      <w:r w:rsidR="00983D3C" w:rsidRPr="00A94F5F">
        <w:rPr>
          <w:rFonts w:ascii="Arial" w:hAnsi="Arial"/>
          <w:bCs/>
          <w:sz w:val="21"/>
          <w:lang w:bidi="es-ES_tradnl"/>
        </w:rPr>
        <w:t xml:space="preserve">(+ 0 %) en el trimestre, relacionado con un control del stock por parte de los constructores </w:t>
      </w:r>
      <w:r w:rsidR="001D3038" w:rsidRPr="00A94F5F">
        <w:rPr>
          <w:rFonts w:ascii="Arial" w:hAnsi="Arial Unicode MS"/>
          <w:sz w:val="21"/>
        </w:rPr>
        <w:t>de veh</w:t>
      </w:r>
      <w:r w:rsidR="001D3038" w:rsidRPr="00A94F5F">
        <w:rPr>
          <w:rFonts w:ascii="Arial" w:hAnsi="Arial Unicode MS"/>
          <w:sz w:val="21"/>
        </w:rPr>
        <w:t>í</w:t>
      </w:r>
      <w:r w:rsidR="001D3038" w:rsidRPr="00A94F5F">
        <w:rPr>
          <w:rFonts w:ascii="Arial" w:hAnsi="Arial Unicode MS"/>
          <w:sz w:val="21"/>
        </w:rPr>
        <w:t>culos generalistas y de sus paradas de producci</w:t>
      </w:r>
      <w:r w:rsidR="001D3038" w:rsidRPr="00A94F5F">
        <w:rPr>
          <w:rFonts w:ascii="Arial" w:hAnsi="Arial Unicode MS"/>
          <w:sz w:val="21"/>
        </w:rPr>
        <w:t>ó</w:t>
      </w:r>
      <w:r w:rsidR="001D3038" w:rsidRPr="00A94F5F">
        <w:rPr>
          <w:rFonts w:ascii="Arial" w:hAnsi="Arial Unicode MS"/>
          <w:sz w:val="21"/>
        </w:rPr>
        <w:t>n.</w:t>
      </w:r>
      <w:r w:rsidR="002D6DAE" w:rsidRPr="00A94F5F">
        <w:rPr>
          <w:rFonts w:ascii="Arial" w:hAnsi="Arial Unicode MS"/>
          <w:sz w:val="21"/>
        </w:rPr>
        <w:t xml:space="preserve"> Los mercados de Europa del Este se han replegado un </w:t>
      </w:r>
      <w:r w:rsidR="0089790C" w:rsidRPr="00A94F5F">
        <w:rPr>
          <w:rFonts w:ascii="Arial" w:hAnsi="Arial Unicode MS"/>
          <w:sz w:val="21"/>
        </w:rPr>
        <w:t xml:space="preserve">8 </w:t>
      </w:r>
      <w:r w:rsidR="002D6DAE" w:rsidRPr="00A94F5F">
        <w:rPr>
          <w:rFonts w:ascii="Arial" w:hAnsi="Arial Unicode MS"/>
          <w:sz w:val="21"/>
        </w:rPr>
        <w:t>%</w:t>
      </w:r>
      <w:r w:rsidR="0089790C" w:rsidRPr="00A94F5F">
        <w:rPr>
          <w:rFonts w:ascii="Arial" w:hAnsi="Arial Unicode MS"/>
          <w:sz w:val="21"/>
        </w:rPr>
        <w:t xml:space="preserve"> en los nueve meses y un 13 % en el tercer trimestre, en un complicado contexto geopol</w:t>
      </w:r>
      <w:r w:rsidR="0089790C" w:rsidRPr="00A94F5F">
        <w:rPr>
          <w:rFonts w:ascii="Arial" w:hAnsi="Arial Unicode MS"/>
          <w:sz w:val="21"/>
        </w:rPr>
        <w:t>í</w:t>
      </w:r>
      <w:r w:rsidR="0089790C" w:rsidRPr="00A94F5F">
        <w:rPr>
          <w:rFonts w:ascii="Arial" w:hAnsi="Arial Unicode MS"/>
          <w:sz w:val="21"/>
        </w:rPr>
        <w:t>tico</w:t>
      </w:r>
      <w:r w:rsidR="002D6DAE" w:rsidRPr="00A94F5F">
        <w:rPr>
          <w:rFonts w:ascii="Arial" w:hAnsi="Arial Unicode MS"/>
          <w:sz w:val="21"/>
        </w:rPr>
        <w:t>.</w:t>
      </w:r>
    </w:p>
    <w:p w14:paraId="753528B3" w14:textId="43395ADC" w:rsidR="000D57CD" w:rsidRPr="00A94F5F" w:rsidRDefault="00B43C7A" w:rsidP="00502C49">
      <w:pPr>
        <w:pStyle w:val="Body1"/>
        <w:numPr>
          <w:ilvl w:val="1"/>
          <w:numId w:val="10"/>
        </w:numPr>
        <w:spacing w:before="480" w:after="120" w:line="270" w:lineRule="atLeast"/>
        <w:jc w:val="both"/>
        <w:rPr>
          <w:rFonts w:ascii="Arial" w:hAnsi="Arial Unicode MS"/>
          <w:sz w:val="21"/>
        </w:rPr>
      </w:pPr>
      <w:r w:rsidRPr="00A94F5F">
        <w:rPr>
          <w:rFonts w:ascii="Arial" w:hAnsi="Arial Unicode MS"/>
          <w:color w:val="auto"/>
          <w:sz w:val="21"/>
        </w:rPr>
        <w:t>E</w:t>
      </w:r>
      <w:r w:rsidR="0089790C" w:rsidRPr="00A94F5F">
        <w:rPr>
          <w:rFonts w:ascii="Arial" w:hAnsi="Arial Unicode MS"/>
          <w:color w:val="auto"/>
          <w:sz w:val="21"/>
        </w:rPr>
        <w:t>n</w:t>
      </w:r>
      <w:r w:rsidR="00D53854" w:rsidRPr="00A94F5F">
        <w:rPr>
          <w:rFonts w:ascii="Arial" w:hAnsi="Arial Unicode MS"/>
          <w:color w:val="auto"/>
          <w:sz w:val="21"/>
        </w:rPr>
        <w:t xml:space="preserve"> </w:t>
      </w:r>
      <w:r w:rsidRPr="00A94F5F">
        <w:rPr>
          <w:rFonts w:ascii="Arial" w:eastAsia="Times" w:hAnsi="Arial"/>
          <w:bCs/>
          <w:color w:val="auto"/>
          <w:sz w:val="21"/>
          <w:szCs w:val="24"/>
          <w:lang w:eastAsia="fr-FR" w:bidi="es-ES_tradnl"/>
        </w:rPr>
        <w:t xml:space="preserve">América </w:t>
      </w:r>
      <w:r w:rsidR="00972244" w:rsidRPr="00A94F5F">
        <w:rPr>
          <w:rFonts w:ascii="Arial" w:eastAsia="Times" w:hAnsi="Arial"/>
          <w:bCs/>
          <w:color w:val="auto"/>
          <w:sz w:val="21"/>
          <w:szCs w:val="24"/>
          <w:lang w:eastAsia="fr-FR" w:bidi="es-ES_tradnl"/>
        </w:rPr>
        <w:t>del Norte</w:t>
      </w:r>
      <w:r w:rsidR="0089790C" w:rsidRPr="00A94F5F">
        <w:rPr>
          <w:rFonts w:ascii="Arial" w:eastAsia="Times" w:hAnsi="Arial"/>
          <w:bCs/>
          <w:color w:val="auto"/>
          <w:sz w:val="21"/>
          <w:szCs w:val="24"/>
          <w:lang w:eastAsia="fr-FR" w:bidi="es-ES_tradnl"/>
        </w:rPr>
        <w:t>, el mercado</w:t>
      </w:r>
      <w:r w:rsidR="00502C49" w:rsidRPr="00A94F5F">
        <w:rPr>
          <w:rFonts w:ascii="Arial" w:eastAsia="Times" w:hAnsi="Arial"/>
          <w:bCs/>
          <w:color w:val="auto"/>
          <w:sz w:val="21"/>
          <w:szCs w:val="24"/>
          <w:lang w:eastAsia="fr-FR" w:bidi="es-ES_tradnl"/>
        </w:rPr>
        <w:t>,</w:t>
      </w:r>
      <w:r w:rsidR="0089790C" w:rsidRPr="00A94F5F">
        <w:rPr>
          <w:rFonts w:ascii="Arial" w:eastAsia="Times" w:hAnsi="Arial"/>
          <w:bCs/>
          <w:color w:val="auto"/>
          <w:sz w:val="21"/>
          <w:szCs w:val="24"/>
          <w:lang w:eastAsia="fr-FR" w:bidi="es-ES_tradnl"/>
        </w:rPr>
        <w:t xml:space="preserve"> </w:t>
      </w:r>
      <w:r w:rsidR="00972244" w:rsidRPr="00A94F5F">
        <w:rPr>
          <w:rFonts w:ascii="Arial" w:eastAsia="Times" w:hAnsi="Arial"/>
          <w:bCs/>
          <w:color w:val="auto"/>
          <w:sz w:val="21"/>
          <w:szCs w:val="24"/>
          <w:lang w:eastAsia="fr-FR" w:bidi="es-ES_tradnl"/>
        </w:rPr>
        <w:t xml:space="preserve">crece un </w:t>
      </w:r>
      <w:r w:rsidR="00502C49" w:rsidRPr="00A94F5F">
        <w:rPr>
          <w:rFonts w:ascii="Arial" w:eastAsia="Times" w:hAnsi="Arial"/>
          <w:bCs/>
          <w:color w:val="auto"/>
          <w:sz w:val="21"/>
          <w:szCs w:val="24"/>
          <w:lang w:eastAsia="fr-FR" w:bidi="es-ES_tradnl"/>
        </w:rPr>
        <w:t xml:space="preserve">5 </w:t>
      </w:r>
      <w:r w:rsidR="00972244" w:rsidRPr="00A94F5F">
        <w:rPr>
          <w:rFonts w:ascii="Arial" w:eastAsia="Times" w:hAnsi="Arial"/>
          <w:bCs/>
          <w:color w:val="auto"/>
          <w:sz w:val="21"/>
          <w:szCs w:val="24"/>
          <w:lang w:eastAsia="fr-FR" w:bidi="es-ES_tradnl"/>
        </w:rPr>
        <w:t>%</w:t>
      </w:r>
      <w:r w:rsidR="00502C49" w:rsidRPr="00A94F5F">
        <w:rPr>
          <w:rFonts w:ascii="Arial" w:eastAsia="Times" w:hAnsi="Arial"/>
          <w:bCs/>
          <w:color w:val="auto"/>
          <w:sz w:val="21"/>
          <w:szCs w:val="24"/>
          <w:lang w:eastAsia="fr-FR" w:bidi="es-ES_tradnl"/>
        </w:rPr>
        <w:t xml:space="preserve"> en los nueve primeros meses, sostenido por la demanda de vehículos</w:t>
      </w:r>
      <w:r w:rsidR="00972244" w:rsidRPr="00A94F5F">
        <w:rPr>
          <w:rFonts w:ascii="Arial" w:eastAsia="Times" w:hAnsi="Arial"/>
          <w:bCs/>
          <w:color w:val="auto"/>
          <w:sz w:val="21"/>
          <w:szCs w:val="24"/>
          <w:lang w:eastAsia="fr-FR" w:bidi="es-ES_tradnl"/>
        </w:rPr>
        <w:t xml:space="preserve">. </w:t>
      </w:r>
    </w:p>
    <w:p w14:paraId="456C8AF3" w14:textId="0A701945" w:rsidR="00DF213F" w:rsidRPr="00A94F5F" w:rsidRDefault="00B43C7A" w:rsidP="0032791B">
      <w:pPr>
        <w:numPr>
          <w:ilvl w:val="1"/>
          <w:numId w:val="10"/>
        </w:numPr>
        <w:spacing w:before="480" w:after="120" w:line="270" w:lineRule="atLeast"/>
        <w:jc w:val="both"/>
        <w:rPr>
          <w:rFonts w:ascii="Arial" w:hAnsi="Arial Unicode MS"/>
          <w:sz w:val="21"/>
        </w:rPr>
      </w:pPr>
      <w:r w:rsidRPr="00A94F5F">
        <w:rPr>
          <w:rFonts w:ascii="Arial" w:hAnsi="Arial Unicode MS"/>
          <w:sz w:val="21"/>
        </w:rPr>
        <w:t xml:space="preserve">En Asia (sin incluir India), la demanda experimenta un crecimiento global </w:t>
      </w:r>
      <w:r w:rsidR="004C25AB" w:rsidRPr="00A94F5F">
        <w:rPr>
          <w:rFonts w:ascii="Arial" w:hAnsi="Arial Unicode MS"/>
          <w:sz w:val="21"/>
        </w:rPr>
        <w:t xml:space="preserve">del </w:t>
      </w:r>
      <w:r w:rsidR="00CB17ED" w:rsidRPr="00A94F5F">
        <w:rPr>
          <w:rFonts w:ascii="Arial" w:hAnsi="Arial Unicode MS"/>
          <w:sz w:val="21"/>
        </w:rPr>
        <w:t xml:space="preserve">6 </w:t>
      </w:r>
      <w:r w:rsidR="004C25AB" w:rsidRPr="00A94F5F">
        <w:rPr>
          <w:rFonts w:ascii="Arial" w:hAnsi="Arial Unicode MS"/>
          <w:sz w:val="21"/>
        </w:rPr>
        <w:t>%</w:t>
      </w:r>
      <w:r w:rsidR="00CB17ED" w:rsidRPr="00A94F5F">
        <w:rPr>
          <w:rFonts w:ascii="Arial" w:hAnsi="Arial Unicode MS"/>
          <w:sz w:val="21"/>
        </w:rPr>
        <w:t xml:space="preserve"> hasta finales de septiembre</w:t>
      </w:r>
      <w:r w:rsidRPr="00A94F5F">
        <w:rPr>
          <w:rFonts w:ascii="Arial" w:hAnsi="Arial Unicode MS"/>
          <w:sz w:val="21"/>
        </w:rPr>
        <w:t xml:space="preserve">. </w:t>
      </w:r>
      <w:r w:rsidR="004C25AB" w:rsidRPr="00A94F5F">
        <w:rPr>
          <w:rFonts w:ascii="Arial" w:hAnsi="Arial Unicode MS"/>
          <w:sz w:val="21"/>
        </w:rPr>
        <w:t>En China, el mercado aument</w:t>
      </w:r>
      <w:r w:rsidR="00CB17ED" w:rsidRPr="00A94F5F">
        <w:rPr>
          <w:rFonts w:ascii="Arial" w:hAnsi="Arial Unicode MS"/>
          <w:sz w:val="21"/>
        </w:rPr>
        <w:t>a</w:t>
      </w:r>
      <w:r w:rsidR="004C25AB" w:rsidRPr="00A94F5F">
        <w:rPr>
          <w:rFonts w:ascii="Arial" w:hAnsi="Arial Unicode MS"/>
          <w:sz w:val="21"/>
        </w:rPr>
        <w:t xml:space="preserve"> </w:t>
      </w:r>
      <w:r w:rsidR="00CB17ED" w:rsidRPr="00A94F5F">
        <w:rPr>
          <w:rFonts w:ascii="Arial" w:hAnsi="Arial Unicode MS"/>
          <w:sz w:val="21"/>
        </w:rPr>
        <w:t>un</w:t>
      </w:r>
      <w:r w:rsidR="004C25AB" w:rsidRPr="00A94F5F">
        <w:rPr>
          <w:rFonts w:ascii="Arial" w:hAnsi="Arial Unicode MS"/>
          <w:sz w:val="21"/>
        </w:rPr>
        <w:t xml:space="preserve"> </w:t>
      </w:r>
      <w:r w:rsidR="00CB17ED" w:rsidRPr="00A94F5F">
        <w:rPr>
          <w:rFonts w:ascii="Arial" w:hAnsi="Arial Unicode MS"/>
          <w:sz w:val="21"/>
        </w:rPr>
        <w:br/>
      </w:r>
      <w:r w:rsidR="004C25AB" w:rsidRPr="00A94F5F">
        <w:rPr>
          <w:rFonts w:ascii="Arial" w:hAnsi="Arial Unicode MS"/>
          <w:sz w:val="21"/>
        </w:rPr>
        <w:t>10</w:t>
      </w:r>
      <w:r w:rsidR="00CB17ED" w:rsidRPr="00A94F5F">
        <w:rPr>
          <w:rFonts w:ascii="Arial" w:hAnsi="Arial Unicode MS"/>
          <w:sz w:val="21"/>
        </w:rPr>
        <w:t xml:space="preserve"> </w:t>
      </w:r>
      <w:r w:rsidR="004C25AB" w:rsidRPr="00A94F5F">
        <w:rPr>
          <w:rFonts w:ascii="Arial" w:hAnsi="Arial Unicode MS"/>
          <w:sz w:val="21"/>
        </w:rPr>
        <w:t xml:space="preserve">% en </w:t>
      </w:r>
      <w:r w:rsidR="00CB17ED" w:rsidRPr="00A94F5F">
        <w:rPr>
          <w:rFonts w:ascii="Arial" w:hAnsi="Arial Unicode MS"/>
          <w:sz w:val="21"/>
        </w:rPr>
        <w:t>los nueve meses</w:t>
      </w:r>
      <w:r w:rsidR="007F46A3" w:rsidRPr="00A94F5F">
        <w:rPr>
          <w:rFonts w:ascii="Arial" w:hAnsi="Arial Unicode MS"/>
          <w:sz w:val="21"/>
        </w:rPr>
        <w:t xml:space="preserve">. </w:t>
      </w:r>
      <w:r w:rsidRPr="00A94F5F">
        <w:rPr>
          <w:rFonts w:ascii="Arial" w:hAnsi="Arial Unicode MS"/>
          <w:sz w:val="21"/>
        </w:rPr>
        <w:t>El mercado japon</w:t>
      </w:r>
      <w:r w:rsidRPr="00A94F5F">
        <w:rPr>
          <w:rFonts w:ascii="Arial" w:hAnsi="Arial Unicode MS"/>
          <w:sz w:val="21"/>
        </w:rPr>
        <w:t>é</w:t>
      </w:r>
      <w:r w:rsidRPr="00A94F5F">
        <w:rPr>
          <w:rFonts w:ascii="Arial" w:hAnsi="Arial Unicode MS"/>
          <w:sz w:val="21"/>
        </w:rPr>
        <w:t>s</w:t>
      </w:r>
      <w:r w:rsidR="00205788" w:rsidRPr="00A94F5F">
        <w:rPr>
          <w:rFonts w:ascii="Arial" w:hAnsi="Arial Unicode MS"/>
          <w:sz w:val="21"/>
        </w:rPr>
        <w:t>, que sube un</w:t>
      </w:r>
      <w:r w:rsidRPr="00A94F5F">
        <w:rPr>
          <w:rFonts w:ascii="Arial" w:hAnsi="Arial Unicode MS"/>
          <w:sz w:val="21"/>
        </w:rPr>
        <w:t xml:space="preserve"> </w:t>
      </w:r>
      <w:r w:rsidR="00205788" w:rsidRPr="00A94F5F">
        <w:rPr>
          <w:rFonts w:ascii="Arial" w:hAnsi="Arial Unicode MS"/>
          <w:sz w:val="21"/>
        </w:rPr>
        <w:t xml:space="preserve">5 </w:t>
      </w:r>
      <w:r w:rsidR="00250B55" w:rsidRPr="00A94F5F">
        <w:rPr>
          <w:rFonts w:ascii="Arial" w:hAnsi="Arial Unicode MS"/>
          <w:sz w:val="21"/>
        </w:rPr>
        <w:t>%</w:t>
      </w:r>
      <w:r w:rsidR="00205788" w:rsidRPr="00A94F5F">
        <w:rPr>
          <w:rFonts w:ascii="Arial" w:hAnsi="Arial Unicode MS"/>
          <w:sz w:val="21"/>
        </w:rPr>
        <w:t xml:space="preserve"> </w:t>
      </w:r>
      <w:r w:rsidR="00DF213F" w:rsidRPr="00A94F5F">
        <w:rPr>
          <w:rFonts w:ascii="Arial" w:hAnsi="Arial Unicode MS"/>
          <w:sz w:val="21"/>
        </w:rPr>
        <w:t>hasta</w:t>
      </w:r>
      <w:r w:rsidR="00250B55" w:rsidRPr="00A94F5F">
        <w:rPr>
          <w:rFonts w:ascii="Arial" w:hAnsi="Arial Unicode MS"/>
          <w:sz w:val="21"/>
        </w:rPr>
        <w:t xml:space="preserve"> finales de septiembre, </w:t>
      </w:r>
      <w:r w:rsidR="00205788" w:rsidRPr="00A94F5F">
        <w:rPr>
          <w:rFonts w:ascii="Arial" w:hAnsi="Arial Unicode MS"/>
          <w:sz w:val="21"/>
        </w:rPr>
        <w:t xml:space="preserve">comienza a </w:t>
      </w:r>
      <w:r w:rsidR="002F4395" w:rsidRPr="00C5360F">
        <w:rPr>
          <w:rFonts w:ascii="Arial" w:hAnsi="Arial Unicode MS"/>
          <w:sz w:val="21"/>
        </w:rPr>
        <w:t>debilitarse</w:t>
      </w:r>
      <w:r w:rsidR="00205788" w:rsidRPr="00A94F5F">
        <w:rPr>
          <w:rFonts w:ascii="Arial" w:hAnsi="Arial Unicode MS"/>
          <w:sz w:val="21"/>
        </w:rPr>
        <w:t xml:space="preserve"> como consecuencia de </w:t>
      </w:r>
      <w:r w:rsidR="00DF213F" w:rsidRPr="00A94F5F">
        <w:rPr>
          <w:rFonts w:ascii="Arial" w:hAnsi="Arial Unicode MS"/>
          <w:sz w:val="21"/>
        </w:rPr>
        <w:t>la subida del IVA</w:t>
      </w:r>
      <w:r w:rsidR="007F3909">
        <w:rPr>
          <w:rFonts w:ascii="Arial" w:hAnsi="Arial Unicode MS"/>
          <w:sz w:val="21"/>
        </w:rPr>
        <w:t xml:space="preserve"> del pasado 1 de abril</w:t>
      </w:r>
      <w:r w:rsidR="00DF213F" w:rsidRPr="00A94F5F">
        <w:rPr>
          <w:rFonts w:ascii="Arial" w:hAnsi="Arial Unicode MS"/>
          <w:sz w:val="21"/>
        </w:rPr>
        <w:t xml:space="preserve">. El </w:t>
      </w:r>
      <w:r w:rsidR="00733335" w:rsidRPr="00A94F5F">
        <w:rPr>
          <w:rFonts w:ascii="Arial" w:hAnsi="Arial Unicode MS"/>
          <w:sz w:val="21"/>
        </w:rPr>
        <w:t xml:space="preserve">mercado del </w:t>
      </w:r>
      <w:r w:rsidR="00DF213F" w:rsidRPr="00A94F5F">
        <w:rPr>
          <w:rFonts w:ascii="Arial" w:hAnsi="Arial Unicode MS"/>
          <w:sz w:val="21"/>
        </w:rPr>
        <w:t>sudeste asi</w:t>
      </w:r>
      <w:r w:rsidR="00DF213F" w:rsidRPr="00A94F5F">
        <w:rPr>
          <w:rFonts w:ascii="Arial" w:hAnsi="Arial Unicode MS"/>
          <w:sz w:val="21"/>
        </w:rPr>
        <w:t>á</w:t>
      </w:r>
      <w:r w:rsidR="00DF213F" w:rsidRPr="00A94F5F">
        <w:rPr>
          <w:rFonts w:ascii="Arial" w:hAnsi="Arial Unicode MS"/>
          <w:sz w:val="21"/>
        </w:rPr>
        <w:t xml:space="preserve">tico </w:t>
      </w:r>
      <w:r w:rsidR="00076716">
        <w:rPr>
          <w:rFonts w:ascii="Arial" w:hAnsi="Arial Unicode MS"/>
          <w:sz w:val="21"/>
        </w:rPr>
        <w:br/>
      </w:r>
      <w:r w:rsidR="00DF213F" w:rsidRPr="00A94F5F">
        <w:rPr>
          <w:rFonts w:ascii="Arial" w:hAnsi="Arial Unicode MS"/>
          <w:sz w:val="21"/>
        </w:rPr>
        <w:t>(</w:t>
      </w:r>
      <w:r w:rsidR="00733335" w:rsidRPr="00A94F5F">
        <w:rPr>
          <w:rFonts w:ascii="Arial" w:hAnsi="Arial Unicode MS"/>
          <w:sz w:val="21"/>
        </w:rPr>
        <w:t>-</w:t>
      </w:r>
      <w:r w:rsidR="00DF213F" w:rsidRPr="00A94F5F">
        <w:rPr>
          <w:rFonts w:ascii="Arial" w:hAnsi="Arial Unicode MS"/>
          <w:sz w:val="21"/>
        </w:rPr>
        <w:t> </w:t>
      </w:r>
      <w:r w:rsidR="00733335" w:rsidRPr="00A94F5F">
        <w:rPr>
          <w:rFonts w:ascii="Arial" w:hAnsi="Arial Unicode MS"/>
          <w:sz w:val="21"/>
        </w:rPr>
        <w:t xml:space="preserve">8 </w:t>
      </w:r>
      <w:r w:rsidR="00DF213F" w:rsidRPr="00A94F5F">
        <w:rPr>
          <w:rFonts w:ascii="Arial" w:hAnsi="Arial Unicode MS"/>
          <w:sz w:val="21"/>
        </w:rPr>
        <w:t xml:space="preserve">%) </w:t>
      </w:r>
      <w:r w:rsidR="00733335" w:rsidRPr="00A94F5F">
        <w:rPr>
          <w:rFonts w:ascii="Arial" w:hAnsi="Arial Unicode MS"/>
          <w:sz w:val="21"/>
        </w:rPr>
        <w:t>refleja el elevado nivel de stocks de veh</w:t>
      </w:r>
      <w:r w:rsidR="00733335" w:rsidRPr="00A94F5F">
        <w:rPr>
          <w:rFonts w:ascii="Arial" w:hAnsi="Arial Unicode MS"/>
          <w:sz w:val="21"/>
        </w:rPr>
        <w:t>í</w:t>
      </w:r>
      <w:r w:rsidR="00107A76" w:rsidRPr="00A94F5F">
        <w:rPr>
          <w:rFonts w:ascii="Arial" w:hAnsi="Arial Unicode MS"/>
          <w:sz w:val="21"/>
        </w:rPr>
        <w:t>culos en el contexto pol</w:t>
      </w:r>
      <w:r w:rsidR="00107A76" w:rsidRPr="00A94F5F">
        <w:rPr>
          <w:rFonts w:ascii="Arial" w:hAnsi="Arial Unicode MS"/>
          <w:sz w:val="21"/>
        </w:rPr>
        <w:t>í</w:t>
      </w:r>
      <w:r w:rsidR="00107A76" w:rsidRPr="00A94F5F">
        <w:rPr>
          <w:rFonts w:ascii="Arial" w:hAnsi="Arial Unicode MS"/>
          <w:sz w:val="21"/>
        </w:rPr>
        <w:t>tico tailand</w:t>
      </w:r>
      <w:r w:rsidR="00107A76" w:rsidRPr="00A94F5F">
        <w:rPr>
          <w:rFonts w:ascii="Arial" w:hAnsi="Arial Unicode MS"/>
          <w:sz w:val="21"/>
        </w:rPr>
        <w:t>é</w:t>
      </w:r>
      <w:r w:rsidR="00107A76" w:rsidRPr="00A94F5F">
        <w:rPr>
          <w:rFonts w:ascii="Arial" w:hAnsi="Arial Unicode MS"/>
          <w:sz w:val="21"/>
        </w:rPr>
        <w:t xml:space="preserve">s. </w:t>
      </w:r>
    </w:p>
    <w:p w14:paraId="701B60A5" w14:textId="2B9716E5" w:rsidR="00544834" w:rsidRPr="00A94F5F" w:rsidRDefault="00544834" w:rsidP="0032791B">
      <w:pPr>
        <w:numPr>
          <w:ilvl w:val="1"/>
          <w:numId w:val="10"/>
        </w:numPr>
        <w:spacing w:before="480" w:after="120" w:line="270" w:lineRule="atLeast"/>
        <w:jc w:val="both"/>
        <w:rPr>
          <w:rFonts w:ascii="Arial" w:hAnsi="Arial Unicode MS"/>
          <w:sz w:val="21"/>
        </w:rPr>
      </w:pPr>
      <w:r w:rsidRPr="00A94F5F">
        <w:rPr>
          <w:rFonts w:ascii="Arial" w:hAnsi="Arial Unicode MS"/>
          <w:sz w:val="21"/>
        </w:rPr>
        <w:lastRenderedPageBreak/>
        <w:t>En Sudam</w:t>
      </w:r>
      <w:r w:rsidRPr="00A94F5F">
        <w:rPr>
          <w:rFonts w:ascii="Arial" w:hAnsi="Arial Unicode MS"/>
          <w:sz w:val="21"/>
        </w:rPr>
        <w:t>é</w:t>
      </w:r>
      <w:r w:rsidRPr="00A94F5F">
        <w:rPr>
          <w:rFonts w:ascii="Arial" w:hAnsi="Arial Unicode MS"/>
          <w:sz w:val="21"/>
        </w:rPr>
        <w:t>rica, la demanda</w:t>
      </w:r>
      <w:r w:rsidR="009D669D" w:rsidRPr="00A94F5F">
        <w:rPr>
          <w:rFonts w:ascii="Arial" w:hAnsi="Arial Unicode MS"/>
          <w:sz w:val="21"/>
        </w:rPr>
        <w:t xml:space="preserve"> (-</w:t>
      </w:r>
      <w:r w:rsidR="009D669D" w:rsidRPr="00A94F5F">
        <w:rPr>
          <w:rFonts w:ascii="Arial" w:hAnsi="Arial Unicode MS"/>
          <w:sz w:val="21"/>
        </w:rPr>
        <w:t> </w:t>
      </w:r>
      <w:r w:rsidR="009D669D" w:rsidRPr="00A94F5F">
        <w:rPr>
          <w:rFonts w:ascii="Arial" w:hAnsi="Arial Unicode MS"/>
          <w:sz w:val="21"/>
        </w:rPr>
        <w:t>18</w:t>
      </w:r>
      <w:r w:rsidR="009D669D" w:rsidRPr="00A94F5F">
        <w:rPr>
          <w:rFonts w:ascii="Arial" w:hAnsi="Arial Unicode MS"/>
          <w:sz w:val="21"/>
        </w:rPr>
        <w:t> </w:t>
      </w:r>
      <w:r w:rsidR="009D669D" w:rsidRPr="00A94F5F">
        <w:rPr>
          <w:rFonts w:ascii="Arial" w:hAnsi="Arial Unicode MS"/>
          <w:sz w:val="21"/>
        </w:rPr>
        <w:t>%)</w:t>
      </w:r>
      <w:r w:rsidRPr="00A94F5F">
        <w:rPr>
          <w:rFonts w:ascii="Arial" w:hAnsi="Arial Unicode MS"/>
          <w:sz w:val="21"/>
        </w:rPr>
        <w:t xml:space="preserve"> </w:t>
      </w:r>
      <w:r w:rsidR="009D669D" w:rsidRPr="00A94F5F">
        <w:rPr>
          <w:rFonts w:ascii="Arial" w:hAnsi="Arial Unicode MS"/>
          <w:sz w:val="21"/>
        </w:rPr>
        <w:t>baja fuertemente, con un acceso al cr</w:t>
      </w:r>
      <w:r w:rsidR="009D669D" w:rsidRPr="00A94F5F">
        <w:rPr>
          <w:rFonts w:ascii="Arial" w:hAnsi="Arial Unicode MS"/>
          <w:sz w:val="21"/>
        </w:rPr>
        <w:t>é</w:t>
      </w:r>
      <w:r w:rsidR="009D669D" w:rsidRPr="00A94F5F">
        <w:rPr>
          <w:rFonts w:ascii="Arial" w:hAnsi="Arial Unicode MS"/>
          <w:sz w:val="21"/>
        </w:rPr>
        <w:t>dito m</w:t>
      </w:r>
      <w:r w:rsidR="009D669D" w:rsidRPr="00A94F5F">
        <w:rPr>
          <w:rFonts w:ascii="Arial" w:hAnsi="Arial Unicode MS"/>
          <w:sz w:val="21"/>
        </w:rPr>
        <w:t>á</w:t>
      </w:r>
      <w:r w:rsidR="009D669D" w:rsidRPr="00A94F5F">
        <w:rPr>
          <w:rFonts w:ascii="Arial" w:hAnsi="Arial Unicode MS"/>
          <w:sz w:val="21"/>
        </w:rPr>
        <w:t>s restringido y la ca</w:t>
      </w:r>
      <w:r w:rsidR="009D669D" w:rsidRPr="00A94F5F">
        <w:rPr>
          <w:rFonts w:ascii="Arial" w:hAnsi="Arial Unicode MS"/>
          <w:sz w:val="21"/>
        </w:rPr>
        <w:t>í</w:t>
      </w:r>
      <w:r w:rsidR="009D669D" w:rsidRPr="00A94F5F">
        <w:rPr>
          <w:rFonts w:ascii="Arial" w:hAnsi="Arial Unicode MS"/>
          <w:sz w:val="21"/>
        </w:rPr>
        <w:t>da de la confianza de los consumidores en Brasil y la</w:t>
      </w:r>
      <w:r w:rsidR="00FF13CD" w:rsidRPr="00A94F5F">
        <w:rPr>
          <w:rFonts w:ascii="Arial" w:hAnsi="Arial Unicode MS"/>
          <w:sz w:val="21"/>
        </w:rPr>
        <w:t>s medidas econ</w:t>
      </w:r>
      <w:r w:rsidR="00FF13CD" w:rsidRPr="00A94F5F">
        <w:rPr>
          <w:rFonts w:ascii="Arial" w:hAnsi="Arial Unicode MS"/>
          <w:sz w:val="21"/>
        </w:rPr>
        <w:t>ó</w:t>
      </w:r>
      <w:r w:rsidR="00FF13CD" w:rsidRPr="00A94F5F">
        <w:rPr>
          <w:rFonts w:ascii="Arial" w:hAnsi="Arial Unicode MS"/>
          <w:sz w:val="21"/>
        </w:rPr>
        <w:t>micas y fiscales decididas en Argentina</w:t>
      </w:r>
      <w:r w:rsidRPr="00A94F5F">
        <w:rPr>
          <w:rFonts w:ascii="Arial" w:hAnsi="Arial Unicode MS"/>
          <w:sz w:val="21"/>
        </w:rPr>
        <w:t>.</w:t>
      </w:r>
    </w:p>
    <w:p w14:paraId="65578802" w14:textId="77777777" w:rsidR="00BF4FFF" w:rsidRPr="00A94F5F" w:rsidRDefault="00BF4FFF" w:rsidP="00BF4FFF">
      <w:pPr>
        <w:numPr>
          <w:ilvl w:val="0"/>
          <w:numId w:val="5"/>
        </w:numPr>
        <w:spacing w:before="480" w:after="240" w:line="270" w:lineRule="atLeast"/>
        <w:jc w:val="both"/>
        <w:rPr>
          <w:rFonts w:ascii="Arial" w:hAnsi="Arial"/>
          <w:b/>
          <w:bCs/>
          <w:sz w:val="21"/>
          <w:lang w:bidi="es-ES_tradnl"/>
        </w:rPr>
      </w:pPr>
      <w:r w:rsidRPr="00A94F5F">
        <w:rPr>
          <w:rFonts w:ascii="Arial" w:hAnsi="Arial"/>
          <w:b/>
          <w:bCs/>
          <w:sz w:val="21"/>
          <w:lang w:bidi="es-ES_tradnl"/>
        </w:rPr>
        <w:t>Reemplazo</w:t>
      </w:r>
    </w:p>
    <w:p w14:paraId="601735EA" w14:textId="6B0BB7FE" w:rsidR="00AE5508" w:rsidRPr="00A94F5F" w:rsidRDefault="00AE5508" w:rsidP="00370184">
      <w:pPr>
        <w:pStyle w:val="Body1"/>
        <w:numPr>
          <w:ilvl w:val="1"/>
          <w:numId w:val="10"/>
        </w:numPr>
        <w:spacing w:before="480" w:after="120" w:line="270" w:lineRule="atLeast"/>
        <w:jc w:val="both"/>
        <w:rPr>
          <w:rFonts w:ascii="Arial" w:hAnsi="Arial Unicode MS"/>
          <w:sz w:val="21"/>
        </w:rPr>
      </w:pPr>
      <w:r w:rsidRPr="00A94F5F">
        <w:rPr>
          <w:rFonts w:ascii="Arial" w:hAnsi="Arial Unicode MS"/>
          <w:color w:val="auto"/>
          <w:sz w:val="21"/>
        </w:rPr>
        <w:t>En</w:t>
      </w:r>
      <w:r w:rsidR="00D04B52" w:rsidRPr="00A94F5F">
        <w:rPr>
          <w:rFonts w:ascii="Arial" w:hAnsi="Arial Unicode MS"/>
          <w:color w:val="auto"/>
          <w:sz w:val="21"/>
        </w:rPr>
        <w:t xml:space="preserve"> Europa, el mercado </w:t>
      </w:r>
      <w:r w:rsidRPr="00A94F5F">
        <w:rPr>
          <w:rFonts w:ascii="Arial" w:hAnsi="Arial Unicode MS"/>
          <w:color w:val="auto"/>
          <w:sz w:val="21"/>
        </w:rPr>
        <w:t>aumenta</w:t>
      </w:r>
      <w:r w:rsidR="00D04B52" w:rsidRPr="00A94F5F">
        <w:rPr>
          <w:rFonts w:ascii="Arial" w:hAnsi="Arial Unicode MS"/>
          <w:color w:val="auto"/>
          <w:sz w:val="21"/>
        </w:rPr>
        <w:t xml:space="preserve"> un </w:t>
      </w:r>
      <w:r w:rsidRPr="00A94F5F">
        <w:rPr>
          <w:rFonts w:ascii="Arial" w:hAnsi="Arial Unicode MS"/>
          <w:color w:val="auto"/>
          <w:sz w:val="21"/>
        </w:rPr>
        <w:t xml:space="preserve">3 </w:t>
      </w:r>
      <w:r w:rsidR="00D04B52" w:rsidRPr="00A94F5F">
        <w:rPr>
          <w:rFonts w:ascii="Arial" w:hAnsi="Arial Unicode MS"/>
          <w:color w:val="auto"/>
          <w:sz w:val="21"/>
        </w:rPr>
        <w:t>% hasta finales de septiembre.</w:t>
      </w:r>
      <w:r w:rsidR="00AB2B46" w:rsidRPr="00A94F5F">
        <w:rPr>
          <w:rFonts w:ascii="Arial" w:hAnsi="Arial Unicode MS"/>
          <w:color w:val="auto"/>
          <w:sz w:val="21"/>
        </w:rPr>
        <w:t xml:space="preserve"> </w:t>
      </w:r>
      <w:r w:rsidR="00370184" w:rsidRPr="00A94F5F">
        <w:rPr>
          <w:rFonts w:ascii="Arial" w:hAnsi="Arial Unicode MS"/>
          <w:color w:val="auto"/>
          <w:sz w:val="21"/>
        </w:rPr>
        <w:t>La demanda en</w:t>
      </w:r>
      <w:r w:rsidR="00AB2B46" w:rsidRPr="00A94F5F">
        <w:rPr>
          <w:rFonts w:ascii="Arial" w:hAnsi="Arial Unicode MS"/>
          <w:color w:val="auto"/>
          <w:sz w:val="21"/>
        </w:rPr>
        <w:t xml:space="preserve"> Europa Occidental (+ </w:t>
      </w:r>
      <w:r w:rsidR="00370184" w:rsidRPr="00A94F5F">
        <w:rPr>
          <w:rFonts w:ascii="Arial" w:hAnsi="Arial Unicode MS"/>
          <w:color w:val="auto"/>
          <w:sz w:val="21"/>
        </w:rPr>
        <w:t xml:space="preserve">1 </w:t>
      </w:r>
      <w:r w:rsidR="00AB2B46" w:rsidRPr="00A94F5F">
        <w:rPr>
          <w:rFonts w:ascii="Arial" w:hAnsi="Arial Unicode MS"/>
          <w:color w:val="auto"/>
          <w:sz w:val="21"/>
        </w:rPr>
        <w:t xml:space="preserve">%) </w:t>
      </w:r>
      <w:r w:rsidR="00370184" w:rsidRPr="00A94F5F">
        <w:rPr>
          <w:rFonts w:ascii="Arial" w:hAnsi="Arial Unicode MS"/>
          <w:color w:val="auto"/>
          <w:sz w:val="21"/>
        </w:rPr>
        <w:t xml:space="preserve">se beneficia del dinamismo del segmento de invierno </w:t>
      </w:r>
      <w:r w:rsidR="00370184" w:rsidRPr="00A94F5F">
        <w:rPr>
          <w:rFonts w:ascii="Arial" w:hAnsi="Arial Unicode MS"/>
          <w:sz w:val="21"/>
        </w:rPr>
        <w:t>(+</w:t>
      </w:r>
      <w:r w:rsidR="00370184" w:rsidRPr="00A94F5F">
        <w:rPr>
          <w:rFonts w:ascii="Arial" w:hAnsi="Arial Unicode MS"/>
          <w:sz w:val="21"/>
        </w:rPr>
        <w:t> </w:t>
      </w:r>
      <w:r w:rsidR="00370184" w:rsidRPr="00A94F5F">
        <w:rPr>
          <w:rFonts w:ascii="Arial" w:hAnsi="Arial Unicode MS"/>
          <w:sz w:val="21"/>
        </w:rPr>
        <w:t>8</w:t>
      </w:r>
      <w:r w:rsidR="00370184" w:rsidRPr="00A94F5F">
        <w:rPr>
          <w:rFonts w:ascii="Arial" w:hAnsi="Arial Unicode MS"/>
          <w:sz w:val="21"/>
        </w:rPr>
        <w:t> </w:t>
      </w:r>
      <w:r w:rsidR="00370184" w:rsidRPr="00A94F5F">
        <w:rPr>
          <w:rFonts w:ascii="Arial" w:hAnsi="Arial Unicode MS"/>
          <w:sz w:val="21"/>
        </w:rPr>
        <w:t xml:space="preserve">%), mientras que en </w:t>
      </w:r>
      <w:r w:rsidR="003B7AE2" w:rsidRPr="00A94F5F">
        <w:rPr>
          <w:rFonts w:ascii="Arial" w:hAnsi="Arial Unicode MS"/>
          <w:color w:val="auto"/>
          <w:sz w:val="21"/>
        </w:rPr>
        <w:t xml:space="preserve">Europa del Este, el mercado </w:t>
      </w:r>
      <w:r w:rsidR="00480F86" w:rsidRPr="00A94F5F">
        <w:rPr>
          <w:rFonts w:ascii="Arial" w:hAnsi="Arial Unicode MS"/>
          <w:color w:val="auto"/>
          <w:sz w:val="21"/>
        </w:rPr>
        <w:t>se mantiene estable en relaci</w:t>
      </w:r>
      <w:r w:rsidR="00480F86" w:rsidRPr="00A94F5F">
        <w:rPr>
          <w:rFonts w:ascii="Arial" w:hAnsi="Arial Unicode MS"/>
          <w:color w:val="auto"/>
          <w:sz w:val="21"/>
        </w:rPr>
        <w:t>ó</w:t>
      </w:r>
      <w:r w:rsidR="00480F86" w:rsidRPr="00A94F5F">
        <w:rPr>
          <w:rFonts w:ascii="Arial" w:hAnsi="Arial Unicode MS"/>
          <w:color w:val="auto"/>
          <w:sz w:val="21"/>
        </w:rPr>
        <w:t xml:space="preserve">n con la significativa </w:t>
      </w:r>
      <w:r w:rsidR="003B7AE2" w:rsidRPr="00A94F5F">
        <w:rPr>
          <w:rFonts w:ascii="Arial" w:hAnsi="Arial Unicode MS"/>
          <w:color w:val="auto"/>
          <w:sz w:val="21"/>
        </w:rPr>
        <w:t>ca</w:t>
      </w:r>
      <w:r w:rsidR="003B7AE2" w:rsidRPr="00A94F5F">
        <w:rPr>
          <w:rFonts w:ascii="Arial" w:hAnsi="Arial Unicode MS"/>
          <w:color w:val="auto"/>
          <w:sz w:val="21"/>
        </w:rPr>
        <w:t>í</w:t>
      </w:r>
      <w:r w:rsidR="003B7AE2" w:rsidRPr="00A94F5F">
        <w:rPr>
          <w:rFonts w:ascii="Arial" w:hAnsi="Arial Unicode MS"/>
          <w:color w:val="auto"/>
          <w:sz w:val="21"/>
        </w:rPr>
        <w:t>da del tercer trimestre</w:t>
      </w:r>
      <w:r w:rsidR="00076716">
        <w:rPr>
          <w:rFonts w:ascii="Arial" w:hAnsi="Arial Unicode MS"/>
          <w:color w:val="auto"/>
          <w:sz w:val="21"/>
        </w:rPr>
        <w:t xml:space="preserve"> de 2013</w:t>
      </w:r>
      <w:r w:rsidR="003B7AE2" w:rsidRPr="00A94F5F">
        <w:rPr>
          <w:rFonts w:ascii="Arial" w:hAnsi="Arial Unicode MS"/>
          <w:color w:val="auto"/>
          <w:sz w:val="21"/>
        </w:rPr>
        <w:t>.</w:t>
      </w:r>
      <w:r w:rsidR="00927383" w:rsidRPr="00A94F5F">
        <w:rPr>
          <w:rFonts w:ascii="Arial" w:hAnsi="Arial Unicode MS"/>
          <w:color w:val="auto"/>
          <w:sz w:val="21"/>
        </w:rPr>
        <w:t xml:space="preserve"> </w:t>
      </w:r>
    </w:p>
    <w:p w14:paraId="1077AB42" w14:textId="77777777" w:rsidR="00360759" w:rsidRPr="00A94F5F" w:rsidRDefault="00360759" w:rsidP="00D04B52">
      <w:pPr>
        <w:spacing w:after="120" w:line="270" w:lineRule="atLeast"/>
        <w:ind w:left="720"/>
        <w:jc w:val="both"/>
        <w:rPr>
          <w:rFonts w:ascii="Arial" w:hAnsi="Arial"/>
          <w:bCs/>
          <w:sz w:val="21"/>
          <w:lang w:bidi="es-ES_tradnl"/>
        </w:rPr>
      </w:pPr>
    </w:p>
    <w:p w14:paraId="322D9039" w14:textId="7C2CE2AC" w:rsidR="00CA4A61" w:rsidRPr="00A94F5F" w:rsidRDefault="00CE7CF3" w:rsidP="00AE5508">
      <w:pPr>
        <w:numPr>
          <w:ilvl w:val="1"/>
          <w:numId w:val="10"/>
        </w:numPr>
        <w:spacing w:after="120" w:line="270" w:lineRule="atLeast"/>
        <w:jc w:val="both"/>
        <w:rPr>
          <w:rFonts w:ascii="Arial" w:hAnsi="Arial Unicode MS"/>
          <w:sz w:val="21"/>
        </w:rPr>
      </w:pPr>
      <w:r w:rsidRPr="00A94F5F">
        <w:rPr>
          <w:rFonts w:ascii="Arial" w:hAnsi="Arial Unicode MS"/>
          <w:sz w:val="21"/>
        </w:rPr>
        <w:t>En Am</w:t>
      </w:r>
      <w:r w:rsidRPr="00A94F5F">
        <w:rPr>
          <w:rFonts w:ascii="Arial" w:hAnsi="Arial Unicode MS"/>
          <w:sz w:val="21"/>
        </w:rPr>
        <w:t>é</w:t>
      </w:r>
      <w:r w:rsidRPr="00A94F5F">
        <w:rPr>
          <w:rFonts w:ascii="Arial" w:hAnsi="Arial Unicode MS"/>
          <w:sz w:val="21"/>
        </w:rPr>
        <w:t xml:space="preserve">rica del Norte, la demanda, en crecimiento del </w:t>
      </w:r>
      <w:r w:rsidR="00480F86" w:rsidRPr="00A94F5F">
        <w:rPr>
          <w:rFonts w:ascii="Arial" w:hAnsi="Arial Unicode MS"/>
          <w:sz w:val="21"/>
        </w:rPr>
        <w:t xml:space="preserve">5 </w:t>
      </w:r>
      <w:r w:rsidRPr="00A94F5F">
        <w:rPr>
          <w:rFonts w:ascii="Arial" w:hAnsi="Arial Unicode MS"/>
          <w:sz w:val="21"/>
        </w:rPr>
        <w:t xml:space="preserve">% </w:t>
      </w:r>
      <w:r w:rsidR="00CA4A61" w:rsidRPr="00A94F5F">
        <w:rPr>
          <w:rFonts w:ascii="Arial" w:hAnsi="Arial Unicode MS"/>
          <w:sz w:val="21"/>
        </w:rPr>
        <w:t>a finales de septiembre</w:t>
      </w:r>
      <w:r w:rsidRPr="00A94F5F">
        <w:rPr>
          <w:rFonts w:ascii="Arial" w:hAnsi="Arial Unicode MS"/>
          <w:sz w:val="21"/>
        </w:rPr>
        <w:t>,</w:t>
      </w:r>
      <w:r w:rsidR="00360759" w:rsidRPr="00A94F5F">
        <w:rPr>
          <w:rFonts w:ascii="Arial" w:hAnsi="Arial"/>
          <w:bCs/>
          <w:sz w:val="21"/>
          <w:lang w:bidi="es-ES_tradnl"/>
        </w:rPr>
        <w:t xml:space="preserve"> </w:t>
      </w:r>
      <w:r w:rsidR="00CA4A61" w:rsidRPr="00A94F5F">
        <w:rPr>
          <w:rFonts w:ascii="Arial" w:hAnsi="Arial"/>
          <w:bCs/>
          <w:sz w:val="21"/>
          <w:lang w:bidi="es-ES_tradnl"/>
        </w:rPr>
        <w:t xml:space="preserve">se mantiene dinámica, sostenida por el precio moderado </w:t>
      </w:r>
      <w:r w:rsidR="00CA4A61" w:rsidRPr="00A94F5F">
        <w:rPr>
          <w:rFonts w:ascii="Arial" w:hAnsi="Arial Unicode MS"/>
          <w:sz w:val="21"/>
        </w:rPr>
        <w:t>de los carburantes</w:t>
      </w:r>
      <w:r w:rsidR="00CA4A61" w:rsidRPr="00A94F5F">
        <w:rPr>
          <w:rFonts w:ascii="Arial" w:hAnsi="Arial"/>
          <w:bCs/>
          <w:sz w:val="21"/>
          <w:lang w:bidi="es-ES_tradnl"/>
        </w:rPr>
        <w:t xml:space="preserve"> y de la confianza de l</w:t>
      </w:r>
      <w:r w:rsidR="00281609" w:rsidRPr="00A94F5F">
        <w:rPr>
          <w:rFonts w:ascii="Arial" w:hAnsi="Arial"/>
          <w:bCs/>
          <w:sz w:val="21"/>
          <w:lang w:bidi="es-ES_tradnl"/>
        </w:rPr>
        <w:t>a</w:t>
      </w:r>
      <w:r w:rsidR="00CA4A61" w:rsidRPr="00A94F5F">
        <w:rPr>
          <w:rFonts w:ascii="Arial" w:hAnsi="Arial"/>
          <w:bCs/>
          <w:sz w:val="21"/>
          <w:lang w:bidi="es-ES_tradnl"/>
        </w:rPr>
        <w:t>s</w:t>
      </w:r>
      <w:r w:rsidR="00281609" w:rsidRPr="00A94F5F">
        <w:rPr>
          <w:rFonts w:ascii="Arial" w:hAnsi="Arial"/>
          <w:bCs/>
          <w:sz w:val="21"/>
          <w:lang w:bidi="es-ES_tradnl"/>
        </w:rPr>
        <w:t xml:space="preserve"> familias en un contexto económico siempre bien orientado.</w:t>
      </w:r>
      <w:r w:rsidR="00274F86" w:rsidRPr="00A94F5F">
        <w:rPr>
          <w:rFonts w:ascii="Arial" w:hAnsi="Arial"/>
          <w:bCs/>
          <w:sz w:val="21"/>
          <w:lang w:bidi="es-ES_tradnl"/>
        </w:rPr>
        <w:t xml:space="preserve"> El mercado e</w:t>
      </w:r>
      <w:r w:rsidR="00BA05B9" w:rsidRPr="00A94F5F">
        <w:rPr>
          <w:rFonts w:ascii="Arial" w:hAnsi="Arial"/>
          <w:bCs/>
          <w:sz w:val="21"/>
          <w:lang w:bidi="es-ES_tradnl"/>
        </w:rPr>
        <w:t>stá</w:t>
      </w:r>
      <w:r w:rsidR="00274F86" w:rsidRPr="00A94F5F">
        <w:rPr>
          <w:rFonts w:ascii="Arial" w:hAnsi="Arial"/>
          <w:bCs/>
          <w:sz w:val="21"/>
          <w:lang w:bidi="es-ES_tradnl"/>
        </w:rPr>
        <w:t xml:space="preserve"> también </w:t>
      </w:r>
      <w:r w:rsidR="00BA05B9" w:rsidRPr="00A94F5F">
        <w:rPr>
          <w:rFonts w:ascii="Arial" w:hAnsi="Arial"/>
          <w:bCs/>
          <w:sz w:val="21"/>
          <w:lang w:bidi="es-ES_tradnl"/>
        </w:rPr>
        <w:t xml:space="preserve">marcado por la subida de </w:t>
      </w:r>
      <w:r w:rsidR="00274F86" w:rsidRPr="00A94F5F">
        <w:rPr>
          <w:rFonts w:ascii="Arial" w:hAnsi="Arial"/>
          <w:bCs/>
          <w:sz w:val="21"/>
          <w:lang w:bidi="es-ES_tradnl"/>
        </w:rPr>
        <w:t xml:space="preserve">las importaciones de </w:t>
      </w:r>
      <w:r w:rsidR="00DF5258" w:rsidRPr="00A94F5F">
        <w:rPr>
          <w:rFonts w:ascii="Arial" w:hAnsi="Arial"/>
          <w:bCs/>
          <w:sz w:val="21"/>
          <w:lang w:bidi="es-ES_tradnl"/>
        </w:rPr>
        <w:t xml:space="preserve">neumáticos asiáticos </w:t>
      </w:r>
      <w:r w:rsidR="00BA05B9" w:rsidRPr="00A94F5F">
        <w:rPr>
          <w:rFonts w:ascii="Arial" w:hAnsi="Arial"/>
          <w:bCs/>
          <w:sz w:val="21"/>
          <w:lang w:bidi="es-ES_tradnl"/>
        </w:rPr>
        <w:t>y por el fuerte aumento del segmento de invierno en Canadá</w:t>
      </w:r>
      <w:r w:rsidR="003A2DD8" w:rsidRPr="00A94F5F">
        <w:rPr>
          <w:rFonts w:ascii="Arial" w:hAnsi="Arial"/>
          <w:bCs/>
          <w:sz w:val="21"/>
          <w:lang w:bidi="es-ES_tradnl"/>
        </w:rPr>
        <w:t>.</w:t>
      </w:r>
    </w:p>
    <w:p w14:paraId="066F4AF0" w14:textId="5449BA15" w:rsidR="00AF6CDA" w:rsidRPr="00A94F5F" w:rsidRDefault="008F1D3E" w:rsidP="00AF6CDA">
      <w:pPr>
        <w:pStyle w:val="Body1"/>
        <w:numPr>
          <w:ilvl w:val="1"/>
          <w:numId w:val="10"/>
        </w:numPr>
        <w:spacing w:before="480" w:after="120" w:line="270" w:lineRule="atLeast"/>
        <w:jc w:val="both"/>
        <w:rPr>
          <w:rFonts w:ascii="Arial" w:hAnsi="Arial Unicode MS"/>
          <w:sz w:val="21"/>
        </w:rPr>
      </w:pPr>
      <w:r w:rsidRPr="00A94F5F">
        <w:rPr>
          <w:rFonts w:ascii="Arial" w:hAnsi="Arial Unicode MS"/>
          <w:color w:val="auto"/>
          <w:sz w:val="21"/>
        </w:rPr>
        <w:t xml:space="preserve">En Asia (sin incluir India), los mercados crecen globalmente un </w:t>
      </w:r>
      <w:r w:rsidR="003A2DD8" w:rsidRPr="00A94F5F">
        <w:rPr>
          <w:rFonts w:ascii="Arial" w:hAnsi="Arial Unicode MS"/>
          <w:color w:val="auto"/>
          <w:sz w:val="21"/>
        </w:rPr>
        <w:t xml:space="preserve">5 </w:t>
      </w:r>
      <w:r w:rsidRPr="00A94F5F">
        <w:rPr>
          <w:rFonts w:ascii="Arial" w:hAnsi="Arial Unicode MS"/>
          <w:color w:val="auto"/>
          <w:sz w:val="21"/>
        </w:rPr>
        <w:t>%</w:t>
      </w:r>
      <w:r w:rsidR="003A2DD8" w:rsidRPr="00A94F5F">
        <w:rPr>
          <w:rFonts w:ascii="Arial" w:hAnsi="Arial Unicode MS"/>
          <w:color w:val="auto"/>
          <w:sz w:val="21"/>
        </w:rPr>
        <w:t xml:space="preserve"> en los nueves primeros meses</w:t>
      </w:r>
      <w:r w:rsidR="009863D2" w:rsidRPr="00A94F5F">
        <w:rPr>
          <w:rFonts w:ascii="Arial" w:hAnsi="Arial Unicode MS"/>
          <w:color w:val="auto"/>
          <w:sz w:val="21"/>
        </w:rPr>
        <w:t xml:space="preserve">. Con una subida del 5 % en el trimestre, la </w:t>
      </w:r>
      <w:r w:rsidRPr="00A94F5F">
        <w:rPr>
          <w:rFonts w:ascii="Arial" w:hAnsi="Arial Unicode MS"/>
          <w:color w:val="auto"/>
          <w:sz w:val="21"/>
        </w:rPr>
        <w:t xml:space="preserve">demanda china aumenta un </w:t>
      </w:r>
      <w:r w:rsidR="0091522E" w:rsidRPr="00A94F5F">
        <w:rPr>
          <w:rFonts w:ascii="Arial" w:hAnsi="Arial Unicode MS"/>
          <w:color w:val="auto"/>
          <w:sz w:val="21"/>
        </w:rPr>
        <w:t xml:space="preserve">7 </w:t>
      </w:r>
      <w:r w:rsidRPr="00A94F5F">
        <w:rPr>
          <w:rFonts w:ascii="Arial" w:hAnsi="Arial Unicode MS"/>
          <w:color w:val="auto"/>
          <w:sz w:val="21"/>
        </w:rPr>
        <w:t xml:space="preserve">% hasta finales de septiembre, </w:t>
      </w:r>
      <w:r w:rsidR="0091522E" w:rsidRPr="00A94F5F">
        <w:rPr>
          <w:rFonts w:ascii="Arial" w:hAnsi="Arial Unicode MS"/>
          <w:color w:val="auto"/>
          <w:sz w:val="21"/>
        </w:rPr>
        <w:t>mientras la distribuci</w:t>
      </w:r>
      <w:r w:rsidR="0091522E" w:rsidRPr="00A94F5F">
        <w:rPr>
          <w:rFonts w:ascii="Arial" w:hAnsi="Arial Unicode MS"/>
          <w:color w:val="auto"/>
          <w:sz w:val="21"/>
        </w:rPr>
        <w:t>ó</w:t>
      </w:r>
      <w:r w:rsidR="0091522E" w:rsidRPr="00A94F5F">
        <w:rPr>
          <w:rFonts w:ascii="Arial" w:hAnsi="Arial Unicode MS"/>
          <w:color w:val="auto"/>
          <w:sz w:val="21"/>
        </w:rPr>
        <w:t>n adopta pol</w:t>
      </w:r>
      <w:r w:rsidR="0091522E" w:rsidRPr="00A94F5F">
        <w:rPr>
          <w:rFonts w:ascii="Arial" w:hAnsi="Arial Unicode MS"/>
          <w:color w:val="auto"/>
          <w:sz w:val="21"/>
        </w:rPr>
        <w:t>í</w:t>
      </w:r>
      <w:r w:rsidR="0091522E" w:rsidRPr="00A94F5F">
        <w:rPr>
          <w:rFonts w:ascii="Arial" w:hAnsi="Arial Unicode MS"/>
          <w:color w:val="auto"/>
          <w:sz w:val="21"/>
        </w:rPr>
        <w:t>ticas m</w:t>
      </w:r>
      <w:r w:rsidR="0091522E" w:rsidRPr="00A94F5F">
        <w:rPr>
          <w:rFonts w:ascii="Arial" w:hAnsi="Arial Unicode MS"/>
          <w:color w:val="auto"/>
          <w:sz w:val="21"/>
        </w:rPr>
        <w:t>á</w:t>
      </w:r>
      <w:r w:rsidR="0091522E" w:rsidRPr="00A94F5F">
        <w:rPr>
          <w:rFonts w:ascii="Arial" w:hAnsi="Arial Unicode MS"/>
          <w:color w:val="auto"/>
          <w:sz w:val="21"/>
        </w:rPr>
        <w:t>s prudentes sobre los stocks. Tras haberse beneficiado en el primer trimestre de la perspectiva de la subida del IVA</w:t>
      </w:r>
      <w:r w:rsidR="007E00E0" w:rsidRPr="00A94F5F">
        <w:rPr>
          <w:rFonts w:ascii="Arial" w:hAnsi="Arial Unicode MS"/>
          <w:color w:val="auto"/>
          <w:sz w:val="21"/>
        </w:rPr>
        <w:t>, el mercado japon</w:t>
      </w:r>
      <w:r w:rsidR="007E00E0" w:rsidRPr="00A94F5F">
        <w:rPr>
          <w:rFonts w:ascii="Arial" w:hAnsi="Arial Unicode MS"/>
          <w:color w:val="auto"/>
          <w:sz w:val="21"/>
        </w:rPr>
        <w:t>é</w:t>
      </w:r>
      <w:r w:rsidR="007E00E0" w:rsidRPr="00A94F5F">
        <w:rPr>
          <w:rFonts w:ascii="Arial" w:hAnsi="Arial Unicode MS"/>
          <w:color w:val="auto"/>
          <w:sz w:val="21"/>
        </w:rPr>
        <w:t xml:space="preserve">s </w:t>
      </w:r>
      <w:r w:rsidR="00AE5508" w:rsidRPr="00A94F5F">
        <w:rPr>
          <w:rFonts w:ascii="Arial" w:hAnsi="Arial Unicode MS"/>
          <w:sz w:val="21"/>
        </w:rPr>
        <w:t>(+</w:t>
      </w:r>
      <w:r w:rsidR="00AE5508" w:rsidRPr="00A94F5F">
        <w:rPr>
          <w:rFonts w:ascii="Arial" w:hAnsi="Arial Unicode MS"/>
          <w:sz w:val="21"/>
        </w:rPr>
        <w:t> </w:t>
      </w:r>
      <w:r w:rsidR="00AE5508" w:rsidRPr="00A94F5F">
        <w:rPr>
          <w:rFonts w:ascii="Arial" w:hAnsi="Arial Unicode MS"/>
          <w:sz w:val="21"/>
        </w:rPr>
        <w:t>4</w:t>
      </w:r>
      <w:r w:rsidR="00AE5508" w:rsidRPr="00A94F5F">
        <w:rPr>
          <w:rFonts w:ascii="Arial" w:hAnsi="Arial Unicode MS"/>
          <w:sz w:val="21"/>
        </w:rPr>
        <w:t> </w:t>
      </w:r>
      <w:r w:rsidR="00AE5508" w:rsidRPr="00A94F5F">
        <w:rPr>
          <w:rFonts w:ascii="Arial" w:hAnsi="Arial Unicode MS"/>
          <w:sz w:val="21"/>
        </w:rPr>
        <w:t xml:space="preserve">%) </w:t>
      </w:r>
      <w:r w:rsidR="007E00E0" w:rsidRPr="00A94F5F">
        <w:rPr>
          <w:rFonts w:ascii="Arial" w:hAnsi="Arial Unicode MS"/>
          <w:sz w:val="21"/>
        </w:rPr>
        <w:t xml:space="preserve">registra un </w:t>
      </w:r>
      <w:r w:rsidR="009B73F7" w:rsidRPr="00A94F5F">
        <w:rPr>
          <w:rFonts w:ascii="Arial" w:hAnsi="Arial Unicode MS"/>
          <w:sz w:val="21"/>
        </w:rPr>
        <w:t>fuerte empuje de las ventas de neum</w:t>
      </w:r>
      <w:r w:rsidR="009B73F7" w:rsidRPr="00A94F5F">
        <w:rPr>
          <w:rFonts w:ascii="Arial" w:hAnsi="Arial Unicode MS"/>
          <w:sz w:val="21"/>
        </w:rPr>
        <w:t>á</w:t>
      </w:r>
      <w:r w:rsidR="009B73F7" w:rsidRPr="00A94F5F">
        <w:rPr>
          <w:rFonts w:ascii="Arial" w:hAnsi="Arial Unicode MS"/>
          <w:sz w:val="21"/>
        </w:rPr>
        <w:t xml:space="preserve">ticos de invierno. El crecimiento en el </w:t>
      </w:r>
      <w:r w:rsidR="0066336F">
        <w:rPr>
          <w:rFonts w:ascii="Arial" w:hAnsi="Arial Unicode MS"/>
          <w:sz w:val="21"/>
        </w:rPr>
        <w:t>s</w:t>
      </w:r>
      <w:r w:rsidR="009B73F7" w:rsidRPr="00A94F5F">
        <w:rPr>
          <w:rFonts w:ascii="Arial" w:hAnsi="Arial Unicode MS"/>
          <w:sz w:val="21"/>
        </w:rPr>
        <w:t>udeste asi</w:t>
      </w:r>
      <w:r w:rsidR="009B73F7" w:rsidRPr="00A94F5F">
        <w:rPr>
          <w:rFonts w:ascii="Arial" w:hAnsi="Arial Unicode MS"/>
          <w:sz w:val="21"/>
        </w:rPr>
        <w:t>á</w:t>
      </w:r>
      <w:r w:rsidR="009B73F7" w:rsidRPr="00A94F5F">
        <w:rPr>
          <w:rFonts w:ascii="Arial" w:hAnsi="Arial Unicode MS"/>
          <w:sz w:val="21"/>
        </w:rPr>
        <w:t xml:space="preserve">tico permanece estable </w:t>
      </w:r>
      <w:r w:rsidR="00AE5508" w:rsidRPr="00A94F5F">
        <w:rPr>
          <w:rFonts w:ascii="Arial" w:hAnsi="Arial Unicode MS"/>
          <w:sz w:val="21"/>
        </w:rPr>
        <w:t>(+</w:t>
      </w:r>
      <w:r w:rsidR="00AE5508" w:rsidRPr="00A94F5F">
        <w:rPr>
          <w:rFonts w:ascii="Arial" w:hAnsi="Arial Unicode MS"/>
          <w:sz w:val="21"/>
        </w:rPr>
        <w:t> </w:t>
      </w:r>
      <w:r w:rsidR="00AE5508" w:rsidRPr="00A94F5F">
        <w:rPr>
          <w:rFonts w:ascii="Arial" w:hAnsi="Arial Unicode MS"/>
          <w:sz w:val="21"/>
        </w:rPr>
        <w:t>4</w:t>
      </w:r>
      <w:r w:rsidR="00AE5508" w:rsidRPr="00A94F5F">
        <w:rPr>
          <w:rFonts w:ascii="Arial" w:hAnsi="Arial Unicode MS"/>
          <w:sz w:val="21"/>
        </w:rPr>
        <w:t> </w:t>
      </w:r>
      <w:r w:rsidR="00AE5508" w:rsidRPr="00A94F5F">
        <w:rPr>
          <w:rFonts w:ascii="Arial" w:hAnsi="Arial Unicode MS"/>
          <w:sz w:val="21"/>
        </w:rPr>
        <w:t xml:space="preserve">% </w:t>
      </w:r>
      <w:r w:rsidR="00AF6CDA" w:rsidRPr="00A94F5F">
        <w:rPr>
          <w:rFonts w:ascii="Arial" w:hAnsi="Arial Unicode MS"/>
          <w:sz w:val="21"/>
        </w:rPr>
        <w:t>hasta</w:t>
      </w:r>
      <w:r w:rsidR="00AE5508" w:rsidRPr="00A94F5F">
        <w:rPr>
          <w:rFonts w:ascii="Arial" w:hAnsi="Arial Unicode MS"/>
          <w:sz w:val="21"/>
        </w:rPr>
        <w:t xml:space="preserve"> fin </w:t>
      </w:r>
      <w:r w:rsidR="00AF6CDA" w:rsidRPr="00A94F5F">
        <w:rPr>
          <w:rFonts w:ascii="Arial" w:hAnsi="Arial Unicode MS"/>
          <w:sz w:val="21"/>
        </w:rPr>
        <w:t xml:space="preserve">de </w:t>
      </w:r>
      <w:r w:rsidR="00AE5508" w:rsidRPr="00A94F5F">
        <w:rPr>
          <w:rFonts w:ascii="Arial" w:hAnsi="Arial Unicode MS"/>
          <w:sz w:val="21"/>
        </w:rPr>
        <w:t>sept</w:t>
      </w:r>
      <w:r w:rsidR="00AF6CDA" w:rsidRPr="00A94F5F">
        <w:rPr>
          <w:rFonts w:ascii="Arial" w:hAnsi="Arial Unicode MS"/>
          <w:sz w:val="21"/>
        </w:rPr>
        <w:t>i</w:t>
      </w:r>
      <w:r w:rsidR="00AE5508" w:rsidRPr="00A94F5F">
        <w:rPr>
          <w:rFonts w:ascii="Arial" w:hAnsi="Arial Unicode MS"/>
          <w:sz w:val="21"/>
        </w:rPr>
        <w:t xml:space="preserve">embre) </w:t>
      </w:r>
      <w:r w:rsidR="00A94F5F" w:rsidRPr="00A94F5F">
        <w:rPr>
          <w:rFonts w:ascii="Arial" w:hAnsi="Arial Unicode MS"/>
          <w:sz w:val="21"/>
        </w:rPr>
        <w:t>a pesar de un cierta situaci</w:t>
      </w:r>
      <w:r w:rsidR="00A94F5F" w:rsidRPr="00A94F5F">
        <w:rPr>
          <w:rFonts w:ascii="Arial" w:hAnsi="Arial Unicode MS"/>
          <w:sz w:val="21"/>
        </w:rPr>
        <w:t>ó</w:t>
      </w:r>
      <w:r w:rsidR="00A94F5F" w:rsidRPr="00A94F5F">
        <w:rPr>
          <w:rFonts w:ascii="Arial" w:hAnsi="Arial Unicode MS"/>
          <w:sz w:val="21"/>
        </w:rPr>
        <w:t>n de espera ante las elecciones en Indonesia.</w:t>
      </w:r>
    </w:p>
    <w:p w14:paraId="437CFFAC" w14:textId="35C26083" w:rsidR="00AE5508" w:rsidRPr="00A94F5F" w:rsidRDefault="00D92AB7" w:rsidP="00AE5508">
      <w:pPr>
        <w:pStyle w:val="Body1"/>
        <w:numPr>
          <w:ilvl w:val="1"/>
          <w:numId w:val="10"/>
        </w:numPr>
        <w:spacing w:before="480" w:after="120" w:line="270" w:lineRule="atLeast"/>
        <w:jc w:val="both"/>
        <w:rPr>
          <w:rFonts w:ascii="Arial" w:hAnsi="Arial Unicode MS"/>
          <w:sz w:val="21"/>
        </w:rPr>
      </w:pPr>
      <w:r w:rsidRPr="00A94F5F">
        <w:rPr>
          <w:rFonts w:ascii="Arial" w:hAnsi="Arial Unicode MS"/>
          <w:color w:val="auto"/>
          <w:sz w:val="21"/>
        </w:rPr>
        <w:t>En Sudam</w:t>
      </w:r>
      <w:r w:rsidRPr="00A94F5F">
        <w:rPr>
          <w:rFonts w:ascii="Arial" w:hAnsi="Arial Unicode MS"/>
          <w:color w:val="auto"/>
          <w:sz w:val="21"/>
        </w:rPr>
        <w:t>é</w:t>
      </w:r>
      <w:r w:rsidRPr="00A94F5F">
        <w:rPr>
          <w:rFonts w:ascii="Arial" w:hAnsi="Arial Unicode MS"/>
          <w:color w:val="auto"/>
          <w:sz w:val="21"/>
        </w:rPr>
        <w:t>rica, el mercado</w:t>
      </w:r>
      <w:r w:rsidR="005444BA">
        <w:rPr>
          <w:rFonts w:ascii="Arial" w:hAnsi="Arial Unicode MS"/>
          <w:color w:val="auto"/>
          <w:sz w:val="21"/>
        </w:rPr>
        <w:t xml:space="preserve">, </w:t>
      </w:r>
      <w:r w:rsidR="00E156D4">
        <w:rPr>
          <w:rFonts w:ascii="Arial" w:hAnsi="Arial Unicode MS"/>
          <w:color w:val="auto"/>
          <w:sz w:val="21"/>
        </w:rPr>
        <w:t>al alza en un</w:t>
      </w:r>
      <w:r w:rsidR="005444BA">
        <w:rPr>
          <w:rFonts w:ascii="Arial" w:hAnsi="Arial Unicode MS"/>
          <w:color w:val="auto"/>
          <w:sz w:val="21"/>
        </w:rPr>
        <w:t xml:space="preserve"> </w:t>
      </w:r>
      <w:r w:rsidR="005444BA" w:rsidRPr="00A94F5F">
        <w:rPr>
          <w:rFonts w:ascii="Arial" w:hAnsi="Arial Unicode MS"/>
          <w:sz w:val="21"/>
        </w:rPr>
        <w:t>5 %</w:t>
      </w:r>
      <w:r w:rsidRPr="00A94F5F">
        <w:rPr>
          <w:rFonts w:ascii="Arial" w:hAnsi="Arial Unicode MS"/>
          <w:color w:val="auto"/>
          <w:sz w:val="21"/>
        </w:rPr>
        <w:t xml:space="preserve"> </w:t>
      </w:r>
      <w:r w:rsidR="005444BA">
        <w:rPr>
          <w:rFonts w:ascii="Arial" w:hAnsi="Arial Unicode MS"/>
          <w:color w:val="auto"/>
          <w:sz w:val="21"/>
        </w:rPr>
        <w:t>hasta finales de septiembre</w:t>
      </w:r>
      <w:r w:rsidRPr="00A94F5F">
        <w:rPr>
          <w:rFonts w:ascii="Arial" w:hAnsi="Arial Unicode MS"/>
          <w:color w:val="auto"/>
          <w:sz w:val="21"/>
        </w:rPr>
        <w:t xml:space="preserve">, </w:t>
      </w:r>
      <w:r w:rsidR="00E156D4">
        <w:rPr>
          <w:rFonts w:ascii="Arial" w:hAnsi="Arial Unicode MS"/>
          <w:color w:val="auto"/>
          <w:sz w:val="21"/>
        </w:rPr>
        <w:t>mantiene su din</w:t>
      </w:r>
      <w:r w:rsidR="00E156D4">
        <w:rPr>
          <w:rFonts w:ascii="Arial" w:hAnsi="Arial Unicode MS"/>
          <w:color w:val="auto"/>
          <w:sz w:val="21"/>
        </w:rPr>
        <w:t>á</w:t>
      </w:r>
      <w:r w:rsidR="00E156D4">
        <w:rPr>
          <w:rFonts w:ascii="Arial" w:hAnsi="Arial Unicode MS"/>
          <w:color w:val="auto"/>
          <w:sz w:val="21"/>
        </w:rPr>
        <w:t>mica de</w:t>
      </w:r>
      <w:r w:rsidRPr="00A94F5F">
        <w:rPr>
          <w:rFonts w:ascii="Arial" w:hAnsi="Arial Unicode MS"/>
          <w:color w:val="auto"/>
          <w:sz w:val="21"/>
        </w:rPr>
        <w:t xml:space="preserve"> crecimiento</w:t>
      </w:r>
      <w:r w:rsidR="00E156D4">
        <w:rPr>
          <w:rFonts w:ascii="Arial" w:hAnsi="Arial Unicode MS"/>
          <w:color w:val="auto"/>
          <w:sz w:val="21"/>
        </w:rPr>
        <w:t>, con un retroceso del segmento de neum</w:t>
      </w:r>
      <w:r w:rsidR="00E156D4">
        <w:rPr>
          <w:rFonts w:ascii="Arial" w:hAnsi="Arial Unicode MS"/>
          <w:color w:val="auto"/>
          <w:sz w:val="21"/>
        </w:rPr>
        <w:t>á</w:t>
      </w:r>
      <w:r w:rsidR="00E156D4">
        <w:rPr>
          <w:rFonts w:ascii="Arial" w:hAnsi="Arial Unicode MS"/>
          <w:color w:val="auto"/>
          <w:sz w:val="21"/>
        </w:rPr>
        <w:t>ticos importados</w:t>
      </w:r>
      <w:r w:rsidRPr="00A94F5F">
        <w:rPr>
          <w:rFonts w:ascii="Arial" w:hAnsi="Arial Unicode MS"/>
          <w:color w:val="auto"/>
          <w:sz w:val="21"/>
        </w:rPr>
        <w:t>.</w:t>
      </w:r>
      <w:r w:rsidR="00AE5508" w:rsidRPr="00A94F5F">
        <w:rPr>
          <w:rFonts w:ascii="Verdana" w:eastAsia="Times New Roman" w:hAnsi="Verdana" w:cs="Arial"/>
          <w:sz w:val="20"/>
        </w:rPr>
        <w:t xml:space="preserve"> </w:t>
      </w:r>
    </w:p>
    <w:p w14:paraId="3EA0C363" w14:textId="381CE523" w:rsidR="00BF4FFF" w:rsidRPr="00A94F5F" w:rsidRDefault="00071E6F" w:rsidP="00BF4FFF">
      <w:pPr>
        <w:spacing w:before="480" w:after="120" w:line="270" w:lineRule="atLeast"/>
        <w:rPr>
          <w:b/>
          <w:sz w:val="26"/>
        </w:rPr>
      </w:pPr>
      <w:r>
        <w:rPr>
          <w:b/>
          <w:sz w:val="26"/>
        </w:rPr>
        <w:br w:type="column"/>
      </w:r>
      <w:r w:rsidR="00BF4FFF" w:rsidRPr="00A94F5F">
        <w:rPr>
          <w:b/>
          <w:sz w:val="26"/>
        </w:rPr>
        <w:lastRenderedPageBreak/>
        <w:t>Camión</w:t>
      </w:r>
      <w:r w:rsidR="00BF4FFF" w:rsidRPr="00A94F5F">
        <w:rPr>
          <w:b/>
          <w:sz w:val="26"/>
        </w:rPr>
        <w:br/>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134"/>
        <w:gridCol w:w="1134"/>
        <w:gridCol w:w="1418"/>
        <w:gridCol w:w="1134"/>
        <w:gridCol w:w="1276"/>
        <w:gridCol w:w="992"/>
      </w:tblGrid>
      <w:tr w:rsidR="00BF4FFF" w:rsidRPr="00A94F5F" w14:paraId="1A22B3F1" w14:textId="77777777" w:rsidTr="00B37C1C">
        <w:trPr>
          <w:trHeight w:val="1002"/>
        </w:trPr>
        <w:tc>
          <w:tcPr>
            <w:tcW w:w="2376" w:type="dxa"/>
            <w:shd w:val="clear" w:color="auto" w:fill="E6E6E6"/>
          </w:tcPr>
          <w:p w14:paraId="38748635" w14:textId="77777777" w:rsidR="00BF4FFF" w:rsidRPr="00A94F5F" w:rsidRDefault="00BF4FFF" w:rsidP="00BF4FFF">
            <w:pPr>
              <w:pStyle w:val="LadilloMichelinDossier"/>
              <w:spacing w:before="0" w:after="0"/>
              <w:rPr>
                <w:rFonts w:ascii="Arial" w:hAnsi="Arial"/>
                <w:b w:val="0"/>
                <w:bCs/>
                <w:sz w:val="20"/>
                <w:lang w:val="es-ES_tradnl" w:bidi="es-ES_tradnl"/>
              </w:rPr>
            </w:pPr>
            <w:r w:rsidRPr="00A94F5F">
              <w:rPr>
                <w:rFonts w:ascii="Arial" w:hAnsi="Arial"/>
                <w:b w:val="0"/>
                <w:bCs/>
                <w:sz w:val="20"/>
                <w:lang w:val="es-ES_tradnl" w:bidi="es-ES_tradnl"/>
              </w:rPr>
              <w:t>Nueve primeros meses</w:t>
            </w:r>
          </w:p>
          <w:p w14:paraId="694D5F8A" w14:textId="0A5E2B97" w:rsidR="00BF4FFF" w:rsidRPr="00A94F5F" w:rsidRDefault="00DB7A7C" w:rsidP="002435F5">
            <w:pPr>
              <w:pStyle w:val="LadilloMichelinDossier"/>
              <w:spacing w:before="0" w:after="0"/>
              <w:jc w:val="both"/>
              <w:rPr>
                <w:b w:val="0"/>
                <w:bCs/>
                <w:sz w:val="20"/>
                <w:vertAlign w:val="superscript"/>
                <w:lang w:val="es-ES_tradnl" w:bidi="es-ES_tradnl"/>
              </w:rPr>
            </w:pPr>
            <w:r w:rsidRPr="00A94F5F">
              <w:rPr>
                <w:rFonts w:ascii="Arial" w:hAnsi="Arial"/>
                <w:b w:val="0"/>
                <w:bCs/>
                <w:sz w:val="20"/>
                <w:lang w:val="es-ES_tradnl" w:bidi="es-ES_tradnl"/>
              </w:rPr>
              <w:t>2014/2013</w:t>
            </w:r>
            <w:r w:rsidR="00BF4FFF" w:rsidRPr="00A94F5F">
              <w:rPr>
                <w:rFonts w:ascii="Arial" w:hAnsi="Arial"/>
                <w:b w:val="0"/>
                <w:bCs/>
                <w:sz w:val="20"/>
                <w:lang w:val="es-ES_tradnl" w:bidi="es-ES_tradnl"/>
              </w:rPr>
              <w:br/>
            </w:r>
            <w:r w:rsidR="00BF4FFF" w:rsidRPr="00A94F5F">
              <w:rPr>
                <w:rFonts w:ascii="Arial" w:hAnsi="Arial"/>
                <w:b w:val="0"/>
                <w:bCs/>
                <w:sz w:val="18"/>
                <w:lang w:val="es-ES_tradnl" w:bidi="es-ES_tradnl"/>
              </w:rPr>
              <w:t>(número de neumáticos)</w:t>
            </w:r>
          </w:p>
        </w:tc>
        <w:tc>
          <w:tcPr>
            <w:tcW w:w="1134" w:type="dxa"/>
            <w:shd w:val="clear" w:color="auto" w:fill="E6E6E6"/>
          </w:tcPr>
          <w:p w14:paraId="58572B7D" w14:textId="77777777" w:rsidR="00BF4FFF" w:rsidRPr="00A94F5F" w:rsidRDefault="00BF4FFF" w:rsidP="00BF4FFF">
            <w:pPr>
              <w:pStyle w:val="LadilloMichelinDossier"/>
              <w:spacing w:before="0" w:after="0"/>
              <w:jc w:val="both"/>
              <w:rPr>
                <w:b w:val="0"/>
                <w:bCs/>
                <w:sz w:val="20"/>
                <w:lang w:val="es-ES_tradnl" w:bidi="es-ES_tradnl"/>
              </w:rPr>
            </w:pPr>
            <w:r w:rsidRPr="00A94F5F">
              <w:rPr>
                <w:rFonts w:ascii="Arial" w:hAnsi="Arial"/>
                <w:b w:val="0"/>
                <w:bCs/>
                <w:sz w:val="20"/>
                <w:lang w:val="es-ES_tradnl" w:bidi="es-ES_tradnl"/>
              </w:rPr>
              <w:t>Europa</w:t>
            </w:r>
            <w:r w:rsidRPr="00A94F5F">
              <w:rPr>
                <w:rStyle w:val="Refdenotaalpie"/>
                <w:rFonts w:ascii="Arial" w:hAnsi="Arial"/>
                <w:b w:val="0"/>
                <w:bCs/>
                <w:sz w:val="32"/>
                <w:lang w:val="es-ES_tradnl" w:bidi="es-ES_tradnl"/>
              </w:rPr>
              <w:footnoteReference w:customMarkFollows="1" w:id="2"/>
              <w:sym w:font="Symbol" w:char="F02A"/>
            </w:r>
            <w:r w:rsidRPr="00A94F5F">
              <w:rPr>
                <w:rStyle w:val="Refdenotaalpie"/>
                <w:rFonts w:ascii="Arial" w:hAnsi="Arial"/>
                <w:b w:val="0"/>
                <w:bCs/>
                <w:sz w:val="32"/>
                <w:lang w:val="es-ES_tradnl" w:bidi="es-ES_tradnl"/>
              </w:rPr>
              <w:sym w:font="Symbol" w:char="F02A"/>
            </w:r>
          </w:p>
        </w:tc>
        <w:tc>
          <w:tcPr>
            <w:tcW w:w="1134" w:type="dxa"/>
            <w:shd w:val="clear" w:color="auto" w:fill="E6E6E6"/>
          </w:tcPr>
          <w:p w14:paraId="232C4C01" w14:textId="77777777" w:rsidR="00BF4FFF" w:rsidRPr="00A94F5F" w:rsidRDefault="00BF4FFF" w:rsidP="00BF4FFF">
            <w:pPr>
              <w:pStyle w:val="LadilloMichelinDossier"/>
              <w:spacing w:before="0" w:after="0"/>
              <w:jc w:val="both"/>
              <w:rPr>
                <w:b w:val="0"/>
                <w:bCs/>
                <w:sz w:val="20"/>
                <w:lang w:val="es-ES_tradnl" w:bidi="es-ES_tradnl"/>
              </w:rPr>
            </w:pPr>
            <w:r w:rsidRPr="00A94F5F">
              <w:rPr>
                <w:rFonts w:ascii="Arial" w:hAnsi="Arial"/>
                <w:b w:val="0"/>
                <w:bCs/>
                <w:sz w:val="20"/>
                <w:lang w:val="es-ES_tradnl" w:bidi="es-ES_tradnl"/>
              </w:rPr>
              <w:t>América del Norte</w:t>
            </w:r>
          </w:p>
        </w:tc>
        <w:tc>
          <w:tcPr>
            <w:tcW w:w="1418" w:type="dxa"/>
            <w:shd w:val="clear" w:color="auto" w:fill="E6E6E6"/>
          </w:tcPr>
          <w:p w14:paraId="756C83EC" w14:textId="77777777" w:rsidR="00BF4FFF" w:rsidRPr="00A94F5F" w:rsidRDefault="00BF4FFF" w:rsidP="00BF4FFF">
            <w:pPr>
              <w:pStyle w:val="LadilloMichelinDossier"/>
              <w:spacing w:before="0" w:after="0"/>
              <w:jc w:val="both"/>
              <w:rPr>
                <w:rFonts w:ascii="Arial" w:hAnsi="Arial"/>
                <w:b w:val="0"/>
                <w:bCs/>
                <w:sz w:val="20"/>
                <w:lang w:val="es-ES_tradnl" w:bidi="es-ES_tradnl"/>
              </w:rPr>
            </w:pPr>
            <w:r w:rsidRPr="00A94F5F">
              <w:rPr>
                <w:rFonts w:ascii="Arial" w:hAnsi="Arial"/>
                <w:b w:val="0"/>
                <w:bCs/>
                <w:sz w:val="20"/>
                <w:lang w:val="es-ES_tradnl" w:bidi="es-ES_tradnl"/>
              </w:rPr>
              <w:t>Asia</w:t>
            </w:r>
          </w:p>
          <w:p w14:paraId="5F0DF276" w14:textId="77777777" w:rsidR="00BF4FFF" w:rsidRPr="00A94F5F" w:rsidRDefault="00BF4FFF" w:rsidP="001E3147">
            <w:pPr>
              <w:pStyle w:val="LadilloMichelinDossier"/>
              <w:spacing w:before="0" w:after="0"/>
              <w:jc w:val="both"/>
              <w:rPr>
                <w:b w:val="0"/>
                <w:bCs/>
                <w:sz w:val="20"/>
                <w:lang w:val="es-ES_tradnl" w:bidi="es-ES_tradnl"/>
              </w:rPr>
            </w:pPr>
            <w:r w:rsidRPr="00A94F5F">
              <w:rPr>
                <w:rFonts w:ascii="Arial" w:hAnsi="Arial"/>
                <w:b w:val="0"/>
                <w:bCs/>
                <w:sz w:val="20"/>
                <w:lang w:val="es-ES_tradnl" w:bidi="es-ES_tradnl"/>
              </w:rPr>
              <w:t>(</w:t>
            </w:r>
            <w:r w:rsidR="001E3147" w:rsidRPr="00A94F5F">
              <w:rPr>
                <w:rFonts w:ascii="Arial" w:hAnsi="Arial"/>
                <w:b w:val="0"/>
                <w:bCs/>
                <w:sz w:val="20"/>
                <w:lang w:val="es-ES_tradnl" w:bidi="es-ES_tradnl"/>
              </w:rPr>
              <w:t xml:space="preserve">sin </w:t>
            </w:r>
            <w:r w:rsidRPr="00A94F5F">
              <w:rPr>
                <w:rFonts w:ascii="Arial" w:hAnsi="Arial"/>
                <w:b w:val="0"/>
                <w:bCs/>
                <w:sz w:val="20"/>
                <w:lang w:val="es-ES_tradnl" w:bidi="es-ES_tradnl"/>
              </w:rPr>
              <w:t>India)</w:t>
            </w:r>
          </w:p>
        </w:tc>
        <w:tc>
          <w:tcPr>
            <w:tcW w:w="1134" w:type="dxa"/>
            <w:shd w:val="clear" w:color="auto" w:fill="E6E6E6"/>
          </w:tcPr>
          <w:p w14:paraId="351B9147" w14:textId="77777777" w:rsidR="00BF4FFF" w:rsidRPr="00A94F5F" w:rsidRDefault="00BF4FFF" w:rsidP="00BF4FFF">
            <w:pPr>
              <w:pStyle w:val="LadilloMichelinDossier"/>
              <w:spacing w:before="0" w:after="0"/>
              <w:jc w:val="both"/>
              <w:rPr>
                <w:b w:val="0"/>
                <w:bCs/>
                <w:sz w:val="20"/>
                <w:lang w:val="es-ES_tradnl" w:bidi="es-ES_tradnl"/>
              </w:rPr>
            </w:pPr>
            <w:r w:rsidRPr="00A94F5F">
              <w:rPr>
                <w:rFonts w:ascii="Arial" w:hAnsi="Arial"/>
                <w:b w:val="0"/>
                <w:bCs/>
                <w:sz w:val="20"/>
                <w:lang w:val="es-ES_tradnl" w:bidi="es-ES_tradnl"/>
              </w:rPr>
              <w:t>América del Sur</w:t>
            </w:r>
          </w:p>
        </w:tc>
        <w:tc>
          <w:tcPr>
            <w:tcW w:w="1276" w:type="dxa"/>
            <w:shd w:val="clear" w:color="auto" w:fill="E6E6E6"/>
          </w:tcPr>
          <w:p w14:paraId="7DA126A8" w14:textId="77777777" w:rsidR="00BF4FFF" w:rsidRPr="00A94F5F" w:rsidRDefault="00BF4FFF" w:rsidP="00BF4FFF">
            <w:pPr>
              <w:pStyle w:val="LadilloMichelinDossier"/>
              <w:spacing w:before="0" w:after="0"/>
              <w:jc w:val="both"/>
              <w:rPr>
                <w:b w:val="0"/>
                <w:bCs/>
                <w:sz w:val="20"/>
                <w:lang w:val="es-ES_tradnl" w:bidi="es-ES_tradnl"/>
              </w:rPr>
            </w:pPr>
            <w:r w:rsidRPr="00A94F5F">
              <w:rPr>
                <w:rFonts w:ascii="Arial" w:hAnsi="Arial"/>
                <w:b w:val="0"/>
                <w:bCs/>
                <w:sz w:val="20"/>
                <w:lang w:val="es-ES_tradnl" w:bidi="es-ES_tradnl"/>
              </w:rPr>
              <w:t>África/India/ Oriente Medio</w:t>
            </w:r>
          </w:p>
        </w:tc>
        <w:tc>
          <w:tcPr>
            <w:tcW w:w="992" w:type="dxa"/>
            <w:shd w:val="clear" w:color="auto" w:fill="E6E6E6"/>
          </w:tcPr>
          <w:p w14:paraId="2A550161" w14:textId="77777777" w:rsidR="00BF4FFF" w:rsidRPr="00A94F5F" w:rsidRDefault="00BF4FFF" w:rsidP="00BF4FFF">
            <w:pPr>
              <w:pStyle w:val="LadilloMichelinDossier"/>
              <w:spacing w:before="0" w:after="0"/>
              <w:jc w:val="both"/>
              <w:rPr>
                <w:b w:val="0"/>
                <w:bCs/>
                <w:sz w:val="20"/>
                <w:lang w:val="es-ES_tradnl" w:bidi="es-ES_tradnl"/>
              </w:rPr>
            </w:pPr>
            <w:r w:rsidRPr="00A94F5F">
              <w:rPr>
                <w:rFonts w:ascii="Arial" w:hAnsi="Arial"/>
                <w:b w:val="0"/>
                <w:bCs/>
                <w:sz w:val="20"/>
                <w:lang w:val="es-ES_tradnl" w:bidi="es-ES_tradnl"/>
              </w:rPr>
              <w:t>Total</w:t>
            </w:r>
          </w:p>
        </w:tc>
      </w:tr>
      <w:tr w:rsidR="00B37C1C" w:rsidRPr="00A94F5F" w14:paraId="6296CA6C" w14:textId="77777777" w:rsidTr="00B37C1C">
        <w:tc>
          <w:tcPr>
            <w:tcW w:w="2376" w:type="dxa"/>
          </w:tcPr>
          <w:p w14:paraId="405DE5E3" w14:textId="77777777" w:rsidR="00B37C1C" w:rsidRPr="00A94F5F" w:rsidRDefault="00B37C1C" w:rsidP="00BF4FFF">
            <w:pPr>
              <w:pStyle w:val="LadilloMichelinDossier"/>
              <w:spacing w:before="0" w:after="0"/>
              <w:jc w:val="both"/>
              <w:rPr>
                <w:rFonts w:ascii="Arial" w:hAnsi="Arial"/>
                <w:b w:val="0"/>
                <w:bCs/>
                <w:sz w:val="20"/>
                <w:lang w:val="es-ES_tradnl" w:bidi="es-ES_tradnl"/>
              </w:rPr>
            </w:pPr>
            <w:r w:rsidRPr="00A94F5F">
              <w:rPr>
                <w:rFonts w:ascii="Arial" w:hAnsi="Arial"/>
                <w:b w:val="0"/>
                <w:bCs/>
                <w:sz w:val="20"/>
                <w:lang w:val="es-ES_tradnl" w:bidi="es-ES_tradnl"/>
              </w:rPr>
              <w:t>Primer equipo</w:t>
            </w:r>
            <w:r w:rsidRPr="00A94F5F">
              <w:rPr>
                <w:rStyle w:val="Refdenotaalpie"/>
                <w:rFonts w:ascii="Arial" w:hAnsi="Arial"/>
                <w:b w:val="0"/>
                <w:bCs/>
                <w:sz w:val="32"/>
                <w:lang w:val="es-ES_tradnl" w:bidi="es-ES_tradnl"/>
              </w:rPr>
              <w:footnoteReference w:customMarkFollows="1" w:id="3"/>
              <w:sym w:font="Symbol" w:char="F02A"/>
            </w:r>
          </w:p>
          <w:p w14:paraId="6D491E49" w14:textId="77777777" w:rsidR="00B37C1C" w:rsidRPr="00A94F5F" w:rsidRDefault="00B37C1C" w:rsidP="00BF4FFF">
            <w:pPr>
              <w:pStyle w:val="LadilloMichelinDossier"/>
              <w:spacing w:before="0" w:after="0"/>
              <w:jc w:val="both"/>
              <w:rPr>
                <w:rFonts w:ascii="Arial" w:hAnsi="Arial"/>
                <w:b w:val="0"/>
                <w:bCs/>
                <w:sz w:val="20"/>
                <w:lang w:val="es-ES_tradnl" w:bidi="es-ES_tradnl"/>
              </w:rPr>
            </w:pPr>
          </w:p>
          <w:p w14:paraId="291BDB25" w14:textId="77777777" w:rsidR="00B37C1C" w:rsidRPr="00A94F5F" w:rsidRDefault="00B37C1C" w:rsidP="00BF4FFF">
            <w:pPr>
              <w:pStyle w:val="LadilloMichelinDossier"/>
              <w:spacing w:before="0" w:after="0"/>
              <w:jc w:val="both"/>
              <w:rPr>
                <w:rFonts w:ascii="Arial" w:hAnsi="Arial"/>
                <w:b w:val="0"/>
                <w:bCs/>
                <w:sz w:val="20"/>
                <w:lang w:val="es-ES_tradnl" w:bidi="es-ES_tradnl"/>
              </w:rPr>
            </w:pPr>
            <w:r w:rsidRPr="00A94F5F">
              <w:rPr>
                <w:rFonts w:ascii="Arial" w:hAnsi="Arial"/>
                <w:b w:val="0"/>
                <w:bCs/>
                <w:sz w:val="20"/>
                <w:lang w:val="es-ES_tradnl" w:bidi="es-ES_tradnl"/>
              </w:rPr>
              <w:t>Reemplazo</w:t>
            </w:r>
            <w:r w:rsidRPr="00A94F5F">
              <w:rPr>
                <w:rStyle w:val="Refdenotaalpie"/>
                <w:rFonts w:ascii="Arial" w:hAnsi="Arial"/>
                <w:b w:val="0"/>
                <w:bCs/>
                <w:sz w:val="32"/>
                <w:lang w:val="es-ES_tradnl" w:bidi="es-ES_tradnl"/>
              </w:rPr>
              <w:footnoteReference w:customMarkFollows="1" w:id="4"/>
              <w:sym w:font="Symbol" w:char="F02A"/>
            </w:r>
          </w:p>
          <w:p w14:paraId="2CB2E166" w14:textId="77777777" w:rsidR="00B37C1C" w:rsidRPr="00A94F5F" w:rsidRDefault="00B37C1C" w:rsidP="00BF4FFF">
            <w:pPr>
              <w:pStyle w:val="LadilloMichelinDossier"/>
              <w:spacing w:before="0" w:after="0"/>
              <w:jc w:val="both"/>
              <w:rPr>
                <w:b w:val="0"/>
                <w:bCs/>
                <w:sz w:val="20"/>
                <w:lang w:val="es-ES_tradnl" w:bidi="es-ES_tradnl"/>
              </w:rPr>
            </w:pPr>
          </w:p>
        </w:tc>
        <w:tc>
          <w:tcPr>
            <w:tcW w:w="1134" w:type="dxa"/>
          </w:tcPr>
          <w:p w14:paraId="0842B512" w14:textId="77777777" w:rsidR="00B37C1C" w:rsidRPr="00A94F5F" w:rsidRDefault="00B37C1C" w:rsidP="00B37C1C">
            <w:pPr>
              <w:keepNext/>
              <w:tabs>
                <w:tab w:val="left" w:pos="284"/>
              </w:tabs>
              <w:jc w:val="center"/>
              <w:rPr>
                <w:rFonts w:ascii="Verdana" w:eastAsia="MS Mincho" w:hAnsi="Verdana" w:cs="Arial"/>
                <w:b/>
                <w:snapToGrid w:val="0"/>
                <w:sz w:val="20"/>
                <w:szCs w:val="20"/>
              </w:rPr>
            </w:pPr>
          </w:p>
          <w:p w14:paraId="02291DE1" w14:textId="77777777" w:rsidR="00B37C1C" w:rsidRPr="00A94F5F" w:rsidRDefault="00B37C1C" w:rsidP="00B37C1C">
            <w:pPr>
              <w:keepNext/>
              <w:tabs>
                <w:tab w:val="left" w:pos="284"/>
              </w:tabs>
              <w:jc w:val="center"/>
              <w:rPr>
                <w:rFonts w:ascii="Verdana" w:eastAsia="MS Mincho" w:hAnsi="Verdana" w:cs="Arial"/>
                <w:b/>
                <w:snapToGrid w:val="0"/>
                <w:sz w:val="20"/>
                <w:szCs w:val="20"/>
              </w:rPr>
            </w:pPr>
            <w:r w:rsidRPr="00A94F5F">
              <w:rPr>
                <w:rFonts w:ascii="Verdana" w:eastAsia="MS Mincho" w:hAnsi="Verdana" w:cs="Arial"/>
                <w:b/>
                <w:snapToGrid w:val="0"/>
                <w:sz w:val="20"/>
                <w:szCs w:val="20"/>
              </w:rPr>
              <w:t>- 8 %</w:t>
            </w:r>
          </w:p>
          <w:p w14:paraId="7E6BE5E6" w14:textId="77777777" w:rsidR="00B37C1C" w:rsidRPr="00A94F5F" w:rsidRDefault="00B37C1C" w:rsidP="00B37C1C">
            <w:pPr>
              <w:keepNext/>
              <w:tabs>
                <w:tab w:val="left" w:pos="284"/>
              </w:tabs>
              <w:jc w:val="center"/>
              <w:rPr>
                <w:rFonts w:ascii="Verdana" w:eastAsia="MS Mincho" w:hAnsi="Verdana" w:cs="Arial"/>
                <w:b/>
                <w:snapToGrid w:val="0"/>
                <w:sz w:val="20"/>
                <w:szCs w:val="20"/>
              </w:rPr>
            </w:pPr>
          </w:p>
          <w:p w14:paraId="0562B47F" w14:textId="0C5FAC5C" w:rsidR="00B37C1C" w:rsidRPr="00A94F5F" w:rsidRDefault="00B37C1C" w:rsidP="00360759">
            <w:pPr>
              <w:pStyle w:val="LadilloMichelinDossier"/>
              <w:spacing w:before="0" w:after="0"/>
              <w:jc w:val="center"/>
              <w:rPr>
                <w:rFonts w:ascii="Arial" w:hAnsi="Arial"/>
                <w:bCs/>
                <w:sz w:val="20"/>
                <w:szCs w:val="20"/>
                <w:lang w:val="es-ES_tradnl" w:bidi="es-ES_tradnl"/>
              </w:rPr>
            </w:pPr>
            <w:r w:rsidRPr="00A94F5F">
              <w:rPr>
                <w:rFonts w:ascii="Verdana" w:eastAsia="MS Mincho" w:hAnsi="Verdana" w:cs="Arial"/>
                <w:snapToGrid w:val="0"/>
                <w:sz w:val="20"/>
                <w:szCs w:val="20"/>
                <w:lang w:val="es-ES_tradnl"/>
              </w:rPr>
              <w:t>+ 3 %</w:t>
            </w:r>
          </w:p>
        </w:tc>
        <w:tc>
          <w:tcPr>
            <w:tcW w:w="1134" w:type="dxa"/>
          </w:tcPr>
          <w:p w14:paraId="0FEB9A3F" w14:textId="77777777" w:rsidR="00B37C1C" w:rsidRPr="00A94F5F" w:rsidRDefault="00B37C1C" w:rsidP="00B37C1C">
            <w:pPr>
              <w:keepNext/>
              <w:tabs>
                <w:tab w:val="left" w:pos="284"/>
              </w:tabs>
              <w:jc w:val="center"/>
              <w:rPr>
                <w:rFonts w:ascii="Verdana" w:eastAsia="MS Mincho" w:hAnsi="Verdana" w:cs="Arial"/>
                <w:b/>
                <w:snapToGrid w:val="0"/>
                <w:sz w:val="20"/>
                <w:szCs w:val="20"/>
              </w:rPr>
            </w:pPr>
          </w:p>
          <w:p w14:paraId="5C891D8E" w14:textId="77777777" w:rsidR="00B37C1C" w:rsidRPr="00A94F5F" w:rsidRDefault="00B37C1C" w:rsidP="00B37C1C">
            <w:pPr>
              <w:keepNext/>
              <w:tabs>
                <w:tab w:val="left" w:pos="284"/>
              </w:tabs>
              <w:jc w:val="center"/>
              <w:rPr>
                <w:rFonts w:ascii="Verdana" w:eastAsia="MS Mincho" w:hAnsi="Verdana" w:cs="Arial"/>
                <w:b/>
                <w:snapToGrid w:val="0"/>
                <w:sz w:val="20"/>
                <w:szCs w:val="20"/>
              </w:rPr>
            </w:pPr>
            <w:r w:rsidRPr="00A94F5F">
              <w:rPr>
                <w:rFonts w:ascii="Verdana" w:eastAsia="MS Mincho" w:hAnsi="Verdana" w:cs="Arial"/>
                <w:b/>
                <w:snapToGrid w:val="0"/>
                <w:sz w:val="20"/>
                <w:szCs w:val="20"/>
              </w:rPr>
              <w:t>+ 12 %</w:t>
            </w:r>
          </w:p>
          <w:p w14:paraId="133FB30B" w14:textId="77777777" w:rsidR="00B37C1C" w:rsidRPr="00A94F5F" w:rsidRDefault="00B37C1C" w:rsidP="00B37C1C">
            <w:pPr>
              <w:keepNext/>
              <w:tabs>
                <w:tab w:val="left" w:pos="284"/>
              </w:tabs>
              <w:jc w:val="center"/>
              <w:rPr>
                <w:rFonts w:ascii="Verdana" w:eastAsia="MS Mincho" w:hAnsi="Verdana" w:cs="Arial"/>
                <w:b/>
                <w:snapToGrid w:val="0"/>
                <w:sz w:val="20"/>
                <w:szCs w:val="20"/>
              </w:rPr>
            </w:pPr>
          </w:p>
          <w:p w14:paraId="359540DB" w14:textId="0DC47A67" w:rsidR="00B37C1C" w:rsidRPr="00A94F5F" w:rsidRDefault="00B37C1C" w:rsidP="00360759">
            <w:pPr>
              <w:pStyle w:val="LadilloMichelinDossier"/>
              <w:spacing w:before="0" w:after="0"/>
              <w:jc w:val="center"/>
              <w:rPr>
                <w:rFonts w:ascii="Arial" w:hAnsi="Arial"/>
                <w:bCs/>
                <w:sz w:val="20"/>
                <w:szCs w:val="20"/>
                <w:lang w:val="es-ES_tradnl" w:bidi="es-ES_tradnl"/>
              </w:rPr>
            </w:pPr>
            <w:r w:rsidRPr="00A94F5F">
              <w:rPr>
                <w:rFonts w:ascii="Verdana" w:eastAsia="MS Mincho" w:hAnsi="Verdana" w:cs="Arial"/>
                <w:snapToGrid w:val="0"/>
                <w:sz w:val="20"/>
                <w:szCs w:val="20"/>
                <w:lang w:val="es-ES_tradnl"/>
              </w:rPr>
              <w:t>+ 9 %</w:t>
            </w:r>
          </w:p>
        </w:tc>
        <w:tc>
          <w:tcPr>
            <w:tcW w:w="1418" w:type="dxa"/>
          </w:tcPr>
          <w:p w14:paraId="02AFBF0D" w14:textId="77777777" w:rsidR="00B37C1C" w:rsidRPr="00A94F5F" w:rsidRDefault="00B37C1C" w:rsidP="00B37C1C">
            <w:pPr>
              <w:keepNext/>
              <w:tabs>
                <w:tab w:val="left" w:pos="284"/>
              </w:tabs>
              <w:jc w:val="center"/>
              <w:rPr>
                <w:rFonts w:ascii="Verdana" w:eastAsia="MS Mincho" w:hAnsi="Verdana" w:cs="Arial"/>
                <w:b/>
                <w:snapToGrid w:val="0"/>
                <w:sz w:val="20"/>
                <w:szCs w:val="20"/>
              </w:rPr>
            </w:pPr>
          </w:p>
          <w:p w14:paraId="2B410C1F" w14:textId="77777777" w:rsidR="00B37C1C" w:rsidRPr="00A94F5F" w:rsidRDefault="00B37C1C" w:rsidP="00B37C1C">
            <w:pPr>
              <w:keepNext/>
              <w:tabs>
                <w:tab w:val="left" w:pos="284"/>
              </w:tabs>
              <w:jc w:val="center"/>
              <w:rPr>
                <w:rFonts w:ascii="Verdana" w:eastAsia="MS Mincho" w:hAnsi="Verdana" w:cs="Arial"/>
                <w:b/>
                <w:snapToGrid w:val="0"/>
                <w:sz w:val="20"/>
                <w:szCs w:val="20"/>
              </w:rPr>
            </w:pPr>
            <w:r w:rsidRPr="00A94F5F">
              <w:rPr>
                <w:rFonts w:ascii="Verdana" w:eastAsia="MS Mincho" w:hAnsi="Verdana" w:cs="Arial"/>
                <w:b/>
                <w:snapToGrid w:val="0"/>
                <w:sz w:val="20"/>
                <w:szCs w:val="20"/>
              </w:rPr>
              <w:t>+ 2 %</w:t>
            </w:r>
          </w:p>
          <w:p w14:paraId="797AD628" w14:textId="77777777" w:rsidR="00B37C1C" w:rsidRPr="00A94F5F" w:rsidRDefault="00B37C1C" w:rsidP="00B37C1C">
            <w:pPr>
              <w:keepNext/>
              <w:tabs>
                <w:tab w:val="left" w:pos="284"/>
              </w:tabs>
              <w:jc w:val="center"/>
              <w:rPr>
                <w:rFonts w:ascii="Verdana" w:eastAsia="MS Mincho" w:hAnsi="Verdana" w:cs="Arial"/>
                <w:b/>
                <w:snapToGrid w:val="0"/>
                <w:sz w:val="20"/>
                <w:szCs w:val="20"/>
              </w:rPr>
            </w:pPr>
          </w:p>
          <w:p w14:paraId="64A48497" w14:textId="7876A5A7" w:rsidR="00B37C1C" w:rsidRPr="00A94F5F" w:rsidRDefault="00B37C1C" w:rsidP="00360759">
            <w:pPr>
              <w:pStyle w:val="LadilloMichelinDossier"/>
              <w:spacing w:before="0" w:after="0"/>
              <w:jc w:val="center"/>
              <w:rPr>
                <w:rFonts w:ascii="Arial" w:hAnsi="Arial"/>
                <w:bCs/>
                <w:sz w:val="20"/>
                <w:szCs w:val="20"/>
                <w:lang w:val="es-ES_tradnl" w:bidi="es-ES_tradnl"/>
              </w:rPr>
            </w:pPr>
            <w:r w:rsidRPr="00A94F5F">
              <w:rPr>
                <w:rFonts w:ascii="Verdana" w:eastAsia="MS Mincho" w:hAnsi="Verdana" w:cs="Arial"/>
                <w:snapToGrid w:val="0"/>
                <w:sz w:val="20"/>
                <w:szCs w:val="20"/>
                <w:lang w:val="es-ES_tradnl"/>
              </w:rPr>
              <w:t>+ 3 %</w:t>
            </w:r>
          </w:p>
        </w:tc>
        <w:tc>
          <w:tcPr>
            <w:tcW w:w="1134" w:type="dxa"/>
          </w:tcPr>
          <w:p w14:paraId="63F5021A" w14:textId="77777777" w:rsidR="00B37C1C" w:rsidRPr="00A94F5F" w:rsidRDefault="00B37C1C" w:rsidP="00B37C1C">
            <w:pPr>
              <w:keepNext/>
              <w:tabs>
                <w:tab w:val="left" w:pos="284"/>
              </w:tabs>
              <w:jc w:val="center"/>
              <w:rPr>
                <w:rFonts w:ascii="Verdana" w:eastAsia="MS Mincho" w:hAnsi="Verdana" w:cs="Arial"/>
                <w:b/>
                <w:snapToGrid w:val="0"/>
                <w:sz w:val="20"/>
                <w:szCs w:val="20"/>
              </w:rPr>
            </w:pPr>
          </w:p>
          <w:p w14:paraId="495E96A8" w14:textId="77777777" w:rsidR="00B37C1C" w:rsidRPr="00A94F5F" w:rsidRDefault="00B37C1C" w:rsidP="00B37C1C">
            <w:pPr>
              <w:keepNext/>
              <w:tabs>
                <w:tab w:val="left" w:pos="284"/>
              </w:tabs>
              <w:jc w:val="center"/>
              <w:rPr>
                <w:rFonts w:ascii="Verdana" w:eastAsia="MS Mincho" w:hAnsi="Verdana" w:cs="Arial"/>
                <w:b/>
                <w:snapToGrid w:val="0"/>
                <w:sz w:val="20"/>
                <w:szCs w:val="20"/>
              </w:rPr>
            </w:pPr>
            <w:r w:rsidRPr="00A94F5F">
              <w:rPr>
                <w:rFonts w:ascii="Verdana" w:eastAsia="MS Mincho" w:hAnsi="Verdana" w:cs="Arial"/>
                <w:b/>
                <w:snapToGrid w:val="0"/>
                <w:sz w:val="20"/>
                <w:szCs w:val="20"/>
              </w:rPr>
              <w:t>- 17 %</w:t>
            </w:r>
          </w:p>
          <w:p w14:paraId="4CC6847F" w14:textId="77777777" w:rsidR="00B37C1C" w:rsidRPr="00A94F5F" w:rsidRDefault="00B37C1C" w:rsidP="00B37C1C">
            <w:pPr>
              <w:keepNext/>
              <w:tabs>
                <w:tab w:val="left" w:pos="284"/>
              </w:tabs>
              <w:jc w:val="center"/>
              <w:rPr>
                <w:rFonts w:ascii="Verdana" w:eastAsia="MS Mincho" w:hAnsi="Verdana" w:cs="Arial"/>
                <w:b/>
                <w:snapToGrid w:val="0"/>
                <w:sz w:val="20"/>
                <w:szCs w:val="20"/>
              </w:rPr>
            </w:pPr>
          </w:p>
          <w:p w14:paraId="1670F6C7" w14:textId="76D5D154" w:rsidR="00B37C1C" w:rsidRPr="00A94F5F" w:rsidRDefault="00B37C1C" w:rsidP="00360759">
            <w:pPr>
              <w:pStyle w:val="LadilloMichelinDossier"/>
              <w:spacing w:before="0" w:after="0"/>
              <w:jc w:val="center"/>
              <w:rPr>
                <w:rFonts w:ascii="Arial" w:hAnsi="Arial"/>
                <w:bCs/>
                <w:sz w:val="20"/>
                <w:szCs w:val="20"/>
                <w:lang w:val="es-ES_tradnl" w:bidi="es-ES_tradnl"/>
              </w:rPr>
            </w:pPr>
            <w:r w:rsidRPr="00A94F5F">
              <w:rPr>
                <w:rFonts w:ascii="Verdana" w:eastAsia="MS Mincho" w:hAnsi="Verdana" w:cs="Arial"/>
                <w:snapToGrid w:val="0"/>
                <w:sz w:val="20"/>
                <w:szCs w:val="20"/>
                <w:lang w:val="es-ES_tradnl"/>
              </w:rPr>
              <w:t>- 3 %</w:t>
            </w:r>
          </w:p>
        </w:tc>
        <w:tc>
          <w:tcPr>
            <w:tcW w:w="1276" w:type="dxa"/>
          </w:tcPr>
          <w:p w14:paraId="552B7AF1" w14:textId="77777777" w:rsidR="00B37C1C" w:rsidRPr="00A94F5F" w:rsidRDefault="00B37C1C" w:rsidP="00B37C1C">
            <w:pPr>
              <w:keepNext/>
              <w:tabs>
                <w:tab w:val="left" w:pos="284"/>
              </w:tabs>
              <w:jc w:val="center"/>
              <w:rPr>
                <w:rFonts w:ascii="Verdana" w:eastAsia="MS Mincho" w:hAnsi="Verdana" w:cs="Arial"/>
                <w:b/>
                <w:snapToGrid w:val="0"/>
                <w:sz w:val="20"/>
                <w:szCs w:val="20"/>
              </w:rPr>
            </w:pPr>
          </w:p>
          <w:p w14:paraId="00184CEA" w14:textId="77777777" w:rsidR="00B37C1C" w:rsidRPr="00A94F5F" w:rsidRDefault="00B37C1C" w:rsidP="00B37C1C">
            <w:pPr>
              <w:keepNext/>
              <w:tabs>
                <w:tab w:val="left" w:pos="284"/>
              </w:tabs>
              <w:jc w:val="center"/>
              <w:rPr>
                <w:rFonts w:ascii="Verdana" w:eastAsia="MS Mincho" w:hAnsi="Verdana" w:cs="Arial"/>
                <w:b/>
                <w:snapToGrid w:val="0"/>
                <w:sz w:val="20"/>
                <w:szCs w:val="20"/>
              </w:rPr>
            </w:pPr>
            <w:r w:rsidRPr="00A94F5F">
              <w:rPr>
                <w:rFonts w:ascii="Verdana" w:eastAsia="MS Mincho" w:hAnsi="Verdana" w:cs="Arial"/>
                <w:b/>
                <w:snapToGrid w:val="0"/>
                <w:sz w:val="20"/>
                <w:szCs w:val="20"/>
              </w:rPr>
              <w:t>+ 4 %</w:t>
            </w:r>
          </w:p>
          <w:p w14:paraId="3F4B6CEC" w14:textId="77777777" w:rsidR="00B37C1C" w:rsidRPr="00A94F5F" w:rsidRDefault="00B37C1C" w:rsidP="00B37C1C">
            <w:pPr>
              <w:keepNext/>
              <w:tabs>
                <w:tab w:val="left" w:pos="284"/>
              </w:tabs>
              <w:jc w:val="center"/>
              <w:rPr>
                <w:rFonts w:ascii="Verdana" w:eastAsia="MS Mincho" w:hAnsi="Verdana" w:cs="Arial"/>
                <w:b/>
                <w:snapToGrid w:val="0"/>
                <w:sz w:val="20"/>
                <w:szCs w:val="20"/>
              </w:rPr>
            </w:pPr>
          </w:p>
          <w:p w14:paraId="60640B17" w14:textId="4B9E7140" w:rsidR="00B37C1C" w:rsidRPr="00A94F5F" w:rsidRDefault="00B37C1C" w:rsidP="00360759">
            <w:pPr>
              <w:pStyle w:val="LadilloMichelinDossier"/>
              <w:spacing w:before="0" w:after="0"/>
              <w:jc w:val="center"/>
              <w:rPr>
                <w:rFonts w:ascii="Arial" w:hAnsi="Arial"/>
                <w:bCs/>
                <w:sz w:val="20"/>
                <w:szCs w:val="20"/>
                <w:lang w:val="es-ES_tradnl" w:bidi="es-ES_tradnl"/>
              </w:rPr>
            </w:pPr>
            <w:r w:rsidRPr="00A94F5F">
              <w:rPr>
                <w:rFonts w:ascii="Verdana" w:eastAsia="MS Mincho" w:hAnsi="Verdana" w:cs="Arial"/>
                <w:snapToGrid w:val="0"/>
                <w:sz w:val="20"/>
                <w:szCs w:val="20"/>
                <w:lang w:val="es-ES_tradnl"/>
              </w:rPr>
              <w:t>- 0 %</w:t>
            </w:r>
          </w:p>
        </w:tc>
        <w:tc>
          <w:tcPr>
            <w:tcW w:w="992" w:type="dxa"/>
          </w:tcPr>
          <w:p w14:paraId="71C22824" w14:textId="77777777" w:rsidR="00B37C1C" w:rsidRPr="00A94F5F" w:rsidRDefault="00B37C1C" w:rsidP="00B37C1C">
            <w:pPr>
              <w:keepNext/>
              <w:tabs>
                <w:tab w:val="left" w:pos="1168"/>
              </w:tabs>
              <w:ind w:right="-108"/>
              <w:jc w:val="center"/>
              <w:rPr>
                <w:rFonts w:ascii="Verdana" w:eastAsia="MS Mincho" w:hAnsi="Verdana" w:cs="Arial"/>
                <w:b/>
                <w:snapToGrid w:val="0"/>
                <w:sz w:val="20"/>
                <w:szCs w:val="20"/>
              </w:rPr>
            </w:pPr>
          </w:p>
          <w:p w14:paraId="408AE749" w14:textId="77777777" w:rsidR="00B37C1C" w:rsidRPr="00A94F5F" w:rsidRDefault="00B37C1C" w:rsidP="00B37C1C">
            <w:pPr>
              <w:keepNext/>
              <w:tabs>
                <w:tab w:val="left" w:pos="1168"/>
              </w:tabs>
              <w:ind w:right="-108"/>
              <w:jc w:val="center"/>
              <w:rPr>
                <w:rFonts w:ascii="Verdana" w:eastAsia="MS Mincho" w:hAnsi="Verdana" w:cs="Arial"/>
                <w:b/>
                <w:snapToGrid w:val="0"/>
                <w:sz w:val="20"/>
                <w:szCs w:val="20"/>
              </w:rPr>
            </w:pPr>
            <w:r w:rsidRPr="00A94F5F">
              <w:rPr>
                <w:rFonts w:ascii="Verdana" w:eastAsia="MS Mincho" w:hAnsi="Verdana" w:cs="Arial"/>
                <w:b/>
                <w:snapToGrid w:val="0"/>
                <w:sz w:val="20"/>
                <w:szCs w:val="20"/>
              </w:rPr>
              <w:t>+ 1 %</w:t>
            </w:r>
          </w:p>
          <w:p w14:paraId="2BD7BF40" w14:textId="77777777" w:rsidR="00B37C1C" w:rsidRPr="00A94F5F" w:rsidRDefault="00B37C1C" w:rsidP="00B37C1C">
            <w:pPr>
              <w:keepNext/>
              <w:tabs>
                <w:tab w:val="left" w:pos="1168"/>
              </w:tabs>
              <w:ind w:right="-108"/>
              <w:jc w:val="center"/>
              <w:rPr>
                <w:rFonts w:ascii="Verdana" w:eastAsia="MS Mincho" w:hAnsi="Verdana" w:cs="Arial"/>
                <w:b/>
                <w:snapToGrid w:val="0"/>
                <w:sz w:val="20"/>
                <w:szCs w:val="20"/>
              </w:rPr>
            </w:pPr>
          </w:p>
          <w:p w14:paraId="2A67939D" w14:textId="7B0977AC" w:rsidR="00B37C1C" w:rsidRPr="00A94F5F" w:rsidRDefault="00B37C1C" w:rsidP="00360759">
            <w:pPr>
              <w:pStyle w:val="LadilloMichelinDossier"/>
              <w:spacing w:before="0" w:after="0"/>
              <w:jc w:val="center"/>
              <w:rPr>
                <w:rFonts w:ascii="Arial" w:hAnsi="Arial"/>
                <w:bCs/>
                <w:sz w:val="20"/>
                <w:szCs w:val="20"/>
                <w:lang w:val="es-ES_tradnl" w:bidi="es-ES_tradnl"/>
              </w:rPr>
            </w:pPr>
            <w:r w:rsidRPr="00A94F5F">
              <w:rPr>
                <w:rFonts w:ascii="Verdana" w:eastAsia="MS Mincho" w:hAnsi="Verdana" w:cs="Arial"/>
                <w:snapToGrid w:val="0"/>
                <w:sz w:val="20"/>
                <w:szCs w:val="20"/>
                <w:lang w:val="es-ES_tradnl"/>
              </w:rPr>
              <w:t xml:space="preserve"> + 3 %</w:t>
            </w:r>
          </w:p>
        </w:tc>
      </w:tr>
    </w:tbl>
    <w:p w14:paraId="4DE069A6" w14:textId="77777777" w:rsidR="00BF4FFF" w:rsidRPr="00A94F5F" w:rsidRDefault="00BF4FFF" w:rsidP="00BF4FFF">
      <w:pPr>
        <w:spacing w:before="480" w:after="120" w:line="270" w:lineRule="atLeast"/>
        <w:rPr>
          <w:b/>
          <w:sz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134"/>
        <w:gridCol w:w="1275"/>
        <w:gridCol w:w="1276"/>
        <w:gridCol w:w="1276"/>
        <w:gridCol w:w="1417"/>
        <w:gridCol w:w="993"/>
      </w:tblGrid>
      <w:tr w:rsidR="00BF4FFF" w:rsidRPr="00A94F5F" w14:paraId="19634F89" w14:textId="77777777">
        <w:trPr>
          <w:trHeight w:val="890"/>
        </w:trPr>
        <w:tc>
          <w:tcPr>
            <w:tcW w:w="2235" w:type="dxa"/>
            <w:shd w:val="clear" w:color="auto" w:fill="E6E6E6"/>
          </w:tcPr>
          <w:p w14:paraId="3541EC08" w14:textId="77777777" w:rsidR="00BF4FFF" w:rsidRPr="00A94F5F" w:rsidRDefault="00BF4FFF" w:rsidP="00BF4FFF">
            <w:pPr>
              <w:pStyle w:val="LadilloMichelinDossier"/>
              <w:spacing w:before="0" w:after="0"/>
              <w:rPr>
                <w:rFonts w:ascii="Arial" w:hAnsi="Arial"/>
                <w:b w:val="0"/>
                <w:bCs/>
                <w:sz w:val="20"/>
                <w:lang w:val="es-ES_tradnl" w:bidi="es-ES_tradnl"/>
              </w:rPr>
            </w:pPr>
            <w:r w:rsidRPr="00A94F5F">
              <w:rPr>
                <w:rFonts w:ascii="Arial" w:hAnsi="Arial"/>
                <w:b w:val="0"/>
                <w:bCs/>
                <w:sz w:val="20"/>
                <w:lang w:val="es-ES_tradnl" w:bidi="es-ES_tradnl"/>
              </w:rPr>
              <w:t>Tercer trimestre</w:t>
            </w:r>
          </w:p>
          <w:p w14:paraId="3D08C9DF" w14:textId="72470A5F" w:rsidR="00BF4FFF" w:rsidRPr="00A94F5F" w:rsidRDefault="00DB7A7C" w:rsidP="002435F5">
            <w:pPr>
              <w:pStyle w:val="LadilloMichelinDossier"/>
              <w:spacing w:before="0" w:after="0"/>
              <w:rPr>
                <w:b w:val="0"/>
                <w:bCs/>
                <w:sz w:val="20"/>
                <w:lang w:val="es-ES_tradnl" w:bidi="es-ES_tradnl"/>
              </w:rPr>
            </w:pPr>
            <w:r w:rsidRPr="00A94F5F">
              <w:rPr>
                <w:rFonts w:ascii="Arial" w:hAnsi="Arial"/>
                <w:b w:val="0"/>
                <w:bCs/>
                <w:sz w:val="20"/>
                <w:lang w:val="es-ES_tradnl" w:bidi="es-ES_tradnl"/>
              </w:rPr>
              <w:t>2014/2013</w:t>
            </w:r>
            <w:r w:rsidR="00BF4FFF" w:rsidRPr="00A94F5F">
              <w:rPr>
                <w:rFonts w:ascii="Arial" w:hAnsi="Arial"/>
                <w:b w:val="0"/>
                <w:bCs/>
                <w:sz w:val="20"/>
                <w:lang w:val="es-ES_tradnl" w:bidi="es-ES_tradnl"/>
              </w:rPr>
              <w:br/>
            </w:r>
            <w:r w:rsidR="00BF4FFF" w:rsidRPr="00A94F5F">
              <w:rPr>
                <w:rFonts w:ascii="Arial" w:hAnsi="Arial"/>
                <w:b w:val="0"/>
                <w:bCs/>
                <w:sz w:val="18"/>
                <w:lang w:val="es-ES_tradnl" w:bidi="es-ES_tradnl"/>
              </w:rPr>
              <w:t>(número de neumáticos)</w:t>
            </w:r>
          </w:p>
        </w:tc>
        <w:tc>
          <w:tcPr>
            <w:tcW w:w="1134" w:type="dxa"/>
            <w:shd w:val="clear" w:color="auto" w:fill="E6E6E6"/>
          </w:tcPr>
          <w:p w14:paraId="1535371F" w14:textId="77777777" w:rsidR="00BF4FFF" w:rsidRPr="00A94F5F" w:rsidRDefault="00BF4FFF" w:rsidP="00BF4FFF">
            <w:pPr>
              <w:pStyle w:val="LadilloMichelinDossier"/>
              <w:spacing w:before="0" w:after="0"/>
              <w:rPr>
                <w:b w:val="0"/>
                <w:bCs/>
                <w:sz w:val="20"/>
                <w:lang w:val="es-ES_tradnl" w:bidi="es-ES_tradnl"/>
              </w:rPr>
            </w:pPr>
            <w:r w:rsidRPr="00A94F5F">
              <w:rPr>
                <w:rFonts w:ascii="Arial" w:hAnsi="Arial"/>
                <w:b w:val="0"/>
                <w:bCs/>
                <w:sz w:val="20"/>
                <w:lang w:val="es-ES_tradnl" w:bidi="es-ES_tradnl"/>
              </w:rPr>
              <w:t>Europa</w:t>
            </w:r>
            <w:r w:rsidRPr="00A94F5F">
              <w:rPr>
                <w:rStyle w:val="Refdenotaalpie"/>
                <w:rFonts w:ascii="Arial" w:hAnsi="Arial"/>
                <w:b w:val="0"/>
                <w:bCs/>
                <w:sz w:val="32"/>
                <w:lang w:val="es-ES_tradnl" w:bidi="es-ES_tradnl"/>
              </w:rPr>
              <w:footnoteReference w:customMarkFollows="1" w:id="5"/>
              <w:sym w:font="Symbol" w:char="F02A"/>
            </w:r>
            <w:r w:rsidRPr="00A94F5F">
              <w:rPr>
                <w:rStyle w:val="Refdenotaalpie"/>
                <w:rFonts w:ascii="Arial" w:hAnsi="Arial"/>
                <w:b w:val="0"/>
                <w:bCs/>
                <w:sz w:val="32"/>
                <w:lang w:val="es-ES_tradnl" w:bidi="es-ES_tradnl"/>
              </w:rPr>
              <w:sym w:font="Symbol" w:char="F02A"/>
            </w:r>
          </w:p>
        </w:tc>
        <w:tc>
          <w:tcPr>
            <w:tcW w:w="1275" w:type="dxa"/>
            <w:shd w:val="clear" w:color="auto" w:fill="E6E6E6"/>
          </w:tcPr>
          <w:p w14:paraId="35906233" w14:textId="77777777" w:rsidR="00BF4FFF" w:rsidRPr="00A94F5F" w:rsidRDefault="00BF4FFF" w:rsidP="00BF4FFF">
            <w:pPr>
              <w:pStyle w:val="LadilloMichelinDossier"/>
              <w:spacing w:before="0" w:after="0"/>
              <w:rPr>
                <w:b w:val="0"/>
                <w:bCs/>
                <w:sz w:val="20"/>
                <w:lang w:val="es-ES_tradnl" w:bidi="es-ES_tradnl"/>
              </w:rPr>
            </w:pPr>
            <w:r w:rsidRPr="00A94F5F">
              <w:rPr>
                <w:rFonts w:ascii="Arial" w:hAnsi="Arial"/>
                <w:b w:val="0"/>
                <w:bCs/>
                <w:sz w:val="20"/>
                <w:lang w:val="es-ES_tradnl" w:bidi="es-ES_tradnl"/>
              </w:rPr>
              <w:t xml:space="preserve">América </w:t>
            </w:r>
            <w:r w:rsidRPr="00A94F5F">
              <w:rPr>
                <w:rFonts w:ascii="Arial" w:hAnsi="Arial"/>
                <w:b w:val="0"/>
                <w:bCs/>
                <w:sz w:val="20"/>
                <w:lang w:val="es-ES_tradnl" w:bidi="es-ES_tradnl"/>
              </w:rPr>
              <w:br/>
              <w:t>del Norte</w:t>
            </w:r>
          </w:p>
        </w:tc>
        <w:tc>
          <w:tcPr>
            <w:tcW w:w="1276" w:type="dxa"/>
            <w:shd w:val="clear" w:color="auto" w:fill="E6E6E6"/>
          </w:tcPr>
          <w:p w14:paraId="7F14125E" w14:textId="77777777" w:rsidR="00BF4FFF" w:rsidRPr="00A94F5F" w:rsidRDefault="00BF4FFF" w:rsidP="00BF4FFF">
            <w:pPr>
              <w:pStyle w:val="LadilloMichelinDossier"/>
              <w:spacing w:before="0" w:after="0"/>
              <w:rPr>
                <w:rFonts w:ascii="Arial" w:hAnsi="Arial"/>
                <w:b w:val="0"/>
                <w:bCs/>
                <w:sz w:val="20"/>
                <w:lang w:val="es-ES_tradnl" w:bidi="es-ES_tradnl"/>
              </w:rPr>
            </w:pPr>
            <w:r w:rsidRPr="00A94F5F">
              <w:rPr>
                <w:rFonts w:ascii="Arial" w:hAnsi="Arial"/>
                <w:b w:val="0"/>
                <w:bCs/>
                <w:sz w:val="20"/>
                <w:lang w:val="es-ES_tradnl" w:bidi="es-ES_tradnl"/>
              </w:rPr>
              <w:t>Asia</w:t>
            </w:r>
          </w:p>
          <w:p w14:paraId="4011AA2B" w14:textId="77777777" w:rsidR="00BF4FFF" w:rsidRPr="00A94F5F" w:rsidRDefault="00BF4FFF" w:rsidP="001E3147">
            <w:pPr>
              <w:pStyle w:val="LadilloMichelinDossier"/>
              <w:spacing w:before="0" w:after="0"/>
              <w:rPr>
                <w:b w:val="0"/>
                <w:bCs/>
                <w:sz w:val="20"/>
                <w:lang w:val="es-ES_tradnl" w:bidi="es-ES_tradnl"/>
              </w:rPr>
            </w:pPr>
            <w:r w:rsidRPr="00A94F5F">
              <w:rPr>
                <w:rFonts w:ascii="Arial" w:hAnsi="Arial"/>
                <w:b w:val="0"/>
                <w:bCs/>
                <w:sz w:val="20"/>
                <w:lang w:val="es-ES_tradnl" w:bidi="es-ES_tradnl"/>
              </w:rPr>
              <w:t>(</w:t>
            </w:r>
            <w:r w:rsidR="001E3147" w:rsidRPr="00A94F5F">
              <w:rPr>
                <w:rFonts w:ascii="Arial" w:hAnsi="Arial"/>
                <w:b w:val="0"/>
                <w:bCs/>
                <w:sz w:val="20"/>
                <w:lang w:val="es-ES_tradnl" w:bidi="es-ES_tradnl"/>
              </w:rPr>
              <w:t xml:space="preserve">sin </w:t>
            </w:r>
            <w:r w:rsidRPr="00A94F5F">
              <w:rPr>
                <w:rFonts w:ascii="Arial" w:hAnsi="Arial"/>
                <w:b w:val="0"/>
                <w:bCs/>
                <w:sz w:val="20"/>
                <w:lang w:val="es-ES_tradnl" w:bidi="es-ES_tradnl"/>
              </w:rPr>
              <w:t>India)</w:t>
            </w:r>
          </w:p>
        </w:tc>
        <w:tc>
          <w:tcPr>
            <w:tcW w:w="1276" w:type="dxa"/>
            <w:shd w:val="clear" w:color="auto" w:fill="E6E6E6"/>
          </w:tcPr>
          <w:p w14:paraId="00B9FD94" w14:textId="77777777" w:rsidR="00BF4FFF" w:rsidRPr="00A94F5F" w:rsidRDefault="00BF4FFF" w:rsidP="00BF4FFF">
            <w:pPr>
              <w:pStyle w:val="LadilloMichelinDossier"/>
              <w:spacing w:before="0" w:after="0"/>
              <w:rPr>
                <w:b w:val="0"/>
                <w:bCs/>
                <w:sz w:val="20"/>
                <w:lang w:val="es-ES_tradnl" w:bidi="es-ES_tradnl"/>
              </w:rPr>
            </w:pPr>
            <w:r w:rsidRPr="00A94F5F">
              <w:rPr>
                <w:rFonts w:ascii="Arial" w:hAnsi="Arial"/>
                <w:b w:val="0"/>
                <w:bCs/>
                <w:sz w:val="20"/>
                <w:lang w:val="es-ES_tradnl" w:bidi="es-ES_tradnl"/>
              </w:rPr>
              <w:t xml:space="preserve">América </w:t>
            </w:r>
            <w:r w:rsidRPr="00A94F5F">
              <w:rPr>
                <w:rFonts w:ascii="Arial" w:hAnsi="Arial"/>
                <w:b w:val="0"/>
                <w:bCs/>
                <w:sz w:val="20"/>
                <w:lang w:val="es-ES_tradnl" w:bidi="es-ES_tradnl"/>
              </w:rPr>
              <w:br/>
              <w:t>del Sur</w:t>
            </w:r>
          </w:p>
        </w:tc>
        <w:tc>
          <w:tcPr>
            <w:tcW w:w="1417" w:type="dxa"/>
            <w:shd w:val="clear" w:color="auto" w:fill="E6E6E6"/>
          </w:tcPr>
          <w:p w14:paraId="7A41D4F4" w14:textId="77777777" w:rsidR="00BF4FFF" w:rsidRPr="00A94F5F" w:rsidRDefault="00BF4FFF" w:rsidP="00BF4FFF">
            <w:pPr>
              <w:pStyle w:val="LadilloMichelinDossier"/>
              <w:spacing w:before="0" w:after="0"/>
              <w:rPr>
                <w:b w:val="0"/>
                <w:bCs/>
                <w:sz w:val="20"/>
                <w:lang w:val="es-ES_tradnl" w:bidi="es-ES_tradnl"/>
              </w:rPr>
            </w:pPr>
            <w:r w:rsidRPr="00A94F5F">
              <w:rPr>
                <w:rFonts w:ascii="Arial" w:hAnsi="Arial"/>
                <w:b w:val="0"/>
                <w:bCs/>
                <w:sz w:val="20"/>
                <w:lang w:val="es-ES_tradnl" w:bidi="es-ES_tradnl"/>
              </w:rPr>
              <w:t>África/India/Oriente Medio</w:t>
            </w:r>
          </w:p>
        </w:tc>
        <w:tc>
          <w:tcPr>
            <w:tcW w:w="993" w:type="dxa"/>
            <w:shd w:val="clear" w:color="auto" w:fill="E6E6E6"/>
          </w:tcPr>
          <w:p w14:paraId="4A938BB4" w14:textId="77777777" w:rsidR="00BF4FFF" w:rsidRPr="00A94F5F" w:rsidRDefault="00BF4FFF" w:rsidP="00BF4FFF">
            <w:pPr>
              <w:pStyle w:val="LadilloMichelinDossier"/>
              <w:spacing w:before="0" w:after="0"/>
              <w:rPr>
                <w:b w:val="0"/>
                <w:bCs/>
                <w:sz w:val="20"/>
                <w:lang w:val="es-ES_tradnl" w:bidi="es-ES_tradnl"/>
              </w:rPr>
            </w:pPr>
            <w:r w:rsidRPr="00A94F5F">
              <w:rPr>
                <w:rFonts w:ascii="Arial" w:hAnsi="Arial"/>
                <w:b w:val="0"/>
                <w:bCs/>
                <w:sz w:val="20"/>
                <w:lang w:val="es-ES_tradnl" w:bidi="es-ES_tradnl"/>
              </w:rPr>
              <w:t>Total</w:t>
            </w:r>
          </w:p>
        </w:tc>
      </w:tr>
      <w:tr w:rsidR="004019D6" w:rsidRPr="00A94F5F" w14:paraId="50BDFB52" w14:textId="77777777">
        <w:trPr>
          <w:trHeight w:val="1271"/>
        </w:trPr>
        <w:tc>
          <w:tcPr>
            <w:tcW w:w="2235" w:type="dxa"/>
          </w:tcPr>
          <w:p w14:paraId="11EEF7C4" w14:textId="77777777" w:rsidR="004019D6" w:rsidRPr="00A94F5F" w:rsidRDefault="004019D6" w:rsidP="00BF4FFF">
            <w:pPr>
              <w:pStyle w:val="LadilloMichelinDossier"/>
              <w:spacing w:before="0" w:after="0"/>
              <w:jc w:val="both"/>
              <w:rPr>
                <w:rFonts w:ascii="Arial" w:hAnsi="Arial"/>
                <w:b w:val="0"/>
                <w:bCs/>
                <w:sz w:val="20"/>
                <w:lang w:val="es-ES_tradnl" w:bidi="es-ES_tradnl"/>
              </w:rPr>
            </w:pPr>
            <w:r w:rsidRPr="00A94F5F">
              <w:rPr>
                <w:rFonts w:ascii="Arial" w:hAnsi="Arial"/>
                <w:b w:val="0"/>
                <w:bCs/>
                <w:sz w:val="20"/>
                <w:lang w:val="es-ES_tradnl" w:bidi="es-ES_tradnl"/>
              </w:rPr>
              <w:t>Primer equipo</w:t>
            </w:r>
            <w:r w:rsidRPr="00A94F5F">
              <w:rPr>
                <w:rStyle w:val="Refdenotaalpie"/>
                <w:rFonts w:ascii="Arial" w:hAnsi="Arial"/>
                <w:b w:val="0"/>
                <w:bCs/>
                <w:sz w:val="32"/>
                <w:lang w:val="es-ES_tradnl" w:bidi="es-ES_tradnl"/>
              </w:rPr>
              <w:footnoteReference w:customMarkFollows="1" w:id="6"/>
              <w:sym w:font="Symbol" w:char="F02A"/>
            </w:r>
          </w:p>
          <w:p w14:paraId="17A3C823" w14:textId="77777777" w:rsidR="004019D6" w:rsidRPr="00A94F5F" w:rsidRDefault="004019D6" w:rsidP="00BF4FFF">
            <w:pPr>
              <w:pStyle w:val="LadilloMichelinDossier"/>
              <w:spacing w:before="0" w:after="0"/>
              <w:jc w:val="both"/>
              <w:rPr>
                <w:rFonts w:ascii="Arial" w:hAnsi="Arial"/>
                <w:b w:val="0"/>
                <w:bCs/>
                <w:sz w:val="20"/>
                <w:lang w:val="es-ES_tradnl" w:bidi="es-ES_tradnl"/>
              </w:rPr>
            </w:pPr>
            <w:r w:rsidRPr="00A94F5F">
              <w:rPr>
                <w:rFonts w:ascii="Arial" w:hAnsi="Arial"/>
                <w:b w:val="0"/>
                <w:bCs/>
                <w:sz w:val="20"/>
                <w:lang w:val="es-ES_tradnl" w:bidi="es-ES_tradnl"/>
              </w:rPr>
              <w:t xml:space="preserve">     </w:t>
            </w:r>
          </w:p>
          <w:p w14:paraId="0141A775" w14:textId="77777777" w:rsidR="004019D6" w:rsidRPr="00A94F5F" w:rsidRDefault="004019D6" w:rsidP="00BF4FFF">
            <w:pPr>
              <w:pStyle w:val="LadilloMichelinDossier"/>
              <w:spacing w:before="0" w:after="0"/>
              <w:jc w:val="both"/>
              <w:rPr>
                <w:b w:val="0"/>
                <w:bCs/>
                <w:sz w:val="20"/>
                <w:lang w:val="es-ES_tradnl" w:bidi="es-ES_tradnl"/>
              </w:rPr>
            </w:pPr>
            <w:r w:rsidRPr="00A94F5F">
              <w:rPr>
                <w:rFonts w:ascii="Arial" w:hAnsi="Arial"/>
                <w:b w:val="0"/>
                <w:bCs/>
                <w:sz w:val="20"/>
                <w:lang w:val="es-ES_tradnl" w:bidi="es-ES_tradnl"/>
              </w:rPr>
              <w:t>Reemplazo</w:t>
            </w:r>
            <w:r w:rsidRPr="00A94F5F">
              <w:rPr>
                <w:rStyle w:val="Refdenotaalpie"/>
                <w:rFonts w:ascii="Arial" w:hAnsi="Arial"/>
                <w:b w:val="0"/>
                <w:bCs/>
                <w:sz w:val="32"/>
                <w:lang w:val="es-ES_tradnl" w:bidi="es-ES_tradnl"/>
              </w:rPr>
              <w:footnoteReference w:customMarkFollows="1" w:id="7"/>
              <w:sym w:font="Symbol" w:char="F02A"/>
            </w:r>
          </w:p>
        </w:tc>
        <w:tc>
          <w:tcPr>
            <w:tcW w:w="1134" w:type="dxa"/>
          </w:tcPr>
          <w:p w14:paraId="68B7BA90" w14:textId="77777777" w:rsidR="004019D6" w:rsidRPr="00A94F5F" w:rsidRDefault="004019D6" w:rsidP="00E97CC8">
            <w:pPr>
              <w:tabs>
                <w:tab w:val="left" w:pos="284"/>
              </w:tabs>
              <w:jc w:val="center"/>
              <w:rPr>
                <w:rFonts w:ascii="Verdana" w:eastAsia="MS Mincho" w:hAnsi="Verdana" w:cs="Arial"/>
                <w:b/>
                <w:snapToGrid w:val="0"/>
                <w:sz w:val="20"/>
                <w:szCs w:val="20"/>
              </w:rPr>
            </w:pPr>
          </w:p>
          <w:p w14:paraId="6B7D2457" w14:textId="77777777" w:rsidR="004019D6" w:rsidRPr="00A94F5F" w:rsidRDefault="004019D6" w:rsidP="00E97CC8">
            <w:pPr>
              <w:tabs>
                <w:tab w:val="left" w:pos="284"/>
              </w:tabs>
              <w:jc w:val="center"/>
              <w:rPr>
                <w:rFonts w:ascii="Verdana" w:eastAsia="MS Mincho" w:hAnsi="Verdana" w:cs="Arial"/>
                <w:b/>
                <w:snapToGrid w:val="0"/>
                <w:sz w:val="20"/>
                <w:szCs w:val="20"/>
              </w:rPr>
            </w:pPr>
            <w:r w:rsidRPr="00A94F5F">
              <w:rPr>
                <w:rFonts w:ascii="Verdana" w:eastAsia="MS Mincho" w:hAnsi="Verdana" w:cs="Arial"/>
                <w:b/>
                <w:snapToGrid w:val="0"/>
                <w:sz w:val="20"/>
                <w:szCs w:val="20"/>
              </w:rPr>
              <w:t>- 10 %</w:t>
            </w:r>
          </w:p>
          <w:p w14:paraId="3AE80B60" w14:textId="77777777" w:rsidR="004019D6" w:rsidRPr="00A94F5F" w:rsidRDefault="004019D6" w:rsidP="00E97CC8">
            <w:pPr>
              <w:tabs>
                <w:tab w:val="left" w:pos="284"/>
              </w:tabs>
              <w:jc w:val="center"/>
              <w:rPr>
                <w:rFonts w:ascii="Verdana" w:eastAsia="MS Mincho" w:hAnsi="Verdana" w:cs="Arial"/>
                <w:b/>
                <w:snapToGrid w:val="0"/>
                <w:sz w:val="20"/>
                <w:szCs w:val="20"/>
              </w:rPr>
            </w:pPr>
          </w:p>
          <w:p w14:paraId="73093FC2" w14:textId="77777777" w:rsidR="004019D6" w:rsidRPr="00A94F5F" w:rsidRDefault="004019D6" w:rsidP="00E97CC8">
            <w:pPr>
              <w:tabs>
                <w:tab w:val="left" w:pos="284"/>
              </w:tabs>
              <w:jc w:val="center"/>
              <w:rPr>
                <w:rFonts w:ascii="Verdana" w:eastAsia="MS Mincho" w:hAnsi="Verdana" w:cs="Arial"/>
                <w:b/>
                <w:snapToGrid w:val="0"/>
                <w:sz w:val="20"/>
                <w:szCs w:val="20"/>
              </w:rPr>
            </w:pPr>
            <w:r w:rsidRPr="00A94F5F">
              <w:rPr>
                <w:rFonts w:ascii="Verdana" w:eastAsia="MS Mincho" w:hAnsi="Verdana" w:cs="Arial"/>
                <w:b/>
                <w:snapToGrid w:val="0"/>
                <w:sz w:val="20"/>
                <w:szCs w:val="20"/>
              </w:rPr>
              <w:t>- 3 %</w:t>
            </w:r>
          </w:p>
          <w:p w14:paraId="6970FBD2" w14:textId="77777777" w:rsidR="004019D6" w:rsidRPr="00A94F5F" w:rsidRDefault="004019D6" w:rsidP="00354077">
            <w:pPr>
              <w:pStyle w:val="LadilloMichelinDossier"/>
              <w:spacing w:before="0" w:after="0"/>
              <w:jc w:val="center"/>
              <w:rPr>
                <w:rFonts w:ascii="Arial" w:hAnsi="Arial"/>
                <w:bCs/>
                <w:sz w:val="20"/>
                <w:szCs w:val="20"/>
                <w:lang w:val="es-ES_tradnl" w:bidi="es-ES_tradnl"/>
              </w:rPr>
            </w:pPr>
          </w:p>
        </w:tc>
        <w:tc>
          <w:tcPr>
            <w:tcW w:w="1275" w:type="dxa"/>
          </w:tcPr>
          <w:p w14:paraId="5C8DE0A7" w14:textId="77777777" w:rsidR="004019D6" w:rsidRPr="00A94F5F" w:rsidRDefault="004019D6" w:rsidP="00E97CC8">
            <w:pPr>
              <w:tabs>
                <w:tab w:val="left" w:pos="284"/>
              </w:tabs>
              <w:jc w:val="center"/>
              <w:rPr>
                <w:rFonts w:ascii="Verdana" w:eastAsia="MS Mincho" w:hAnsi="Verdana" w:cs="Arial"/>
                <w:b/>
                <w:snapToGrid w:val="0"/>
                <w:sz w:val="20"/>
                <w:szCs w:val="20"/>
              </w:rPr>
            </w:pPr>
          </w:p>
          <w:p w14:paraId="49F04920" w14:textId="77777777" w:rsidR="004019D6" w:rsidRPr="00A94F5F" w:rsidRDefault="004019D6" w:rsidP="00E97CC8">
            <w:pPr>
              <w:tabs>
                <w:tab w:val="left" w:pos="284"/>
              </w:tabs>
              <w:jc w:val="center"/>
              <w:rPr>
                <w:rFonts w:ascii="Verdana" w:eastAsia="MS Mincho" w:hAnsi="Verdana" w:cs="Arial"/>
                <w:b/>
                <w:snapToGrid w:val="0"/>
                <w:sz w:val="20"/>
                <w:szCs w:val="20"/>
              </w:rPr>
            </w:pPr>
            <w:r w:rsidRPr="00A94F5F">
              <w:rPr>
                <w:rFonts w:ascii="Verdana" w:eastAsia="MS Mincho" w:hAnsi="Verdana" w:cs="Arial"/>
                <w:b/>
                <w:snapToGrid w:val="0"/>
                <w:sz w:val="20"/>
                <w:szCs w:val="20"/>
              </w:rPr>
              <w:t>+ 19 %</w:t>
            </w:r>
          </w:p>
          <w:p w14:paraId="22321E07" w14:textId="77777777" w:rsidR="004019D6" w:rsidRPr="00A94F5F" w:rsidRDefault="004019D6" w:rsidP="00E97CC8">
            <w:pPr>
              <w:tabs>
                <w:tab w:val="left" w:pos="284"/>
              </w:tabs>
              <w:jc w:val="center"/>
              <w:rPr>
                <w:rFonts w:ascii="Verdana" w:eastAsia="MS Mincho" w:hAnsi="Verdana" w:cs="Arial"/>
                <w:b/>
                <w:snapToGrid w:val="0"/>
                <w:sz w:val="20"/>
                <w:szCs w:val="20"/>
              </w:rPr>
            </w:pPr>
          </w:p>
          <w:p w14:paraId="57BA7431" w14:textId="77B6BE5E" w:rsidR="004019D6" w:rsidRPr="00A94F5F" w:rsidRDefault="004019D6" w:rsidP="00354077">
            <w:pPr>
              <w:pStyle w:val="LadilloMichelinDossier"/>
              <w:spacing w:before="0" w:after="0"/>
              <w:jc w:val="center"/>
              <w:rPr>
                <w:rFonts w:ascii="Arial" w:hAnsi="Arial"/>
                <w:bCs/>
                <w:sz w:val="20"/>
                <w:szCs w:val="20"/>
                <w:lang w:val="es-ES_tradnl" w:bidi="es-ES_tradnl"/>
              </w:rPr>
            </w:pPr>
            <w:r w:rsidRPr="00A94F5F">
              <w:rPr>
                <w:rFonts w:ascii="Verdana" w:eastAsia="MS Mincho" w:hAnsi="Verdana" w:cs="Arial"/>
                <w:snapToGrid w:val="0"/>
                <w:sz w:val="20"/>
                <w:szCs w:val="20"/>
                <w:lang w:val="es-ES_tradnl"/>
              </w:rPr>
              <w:t>+ 7 %</w:t>
            </w:r>
          </w:p>
        </w:tc>
        <w:tc>
          <w:tcPr>
            <w:tcW w:w="1276" w:type="dxa"/>
          </w:tcPr>
          <w:p w14:paraId="22EE0658" w14:textId="77777777" w:rsidR="004019D6" w:rsidRPr="00A94F5F" w:rsidRDefault="004019D6" w:rsidP="00E97CC8">
            <w:pPr>
              <w:tabs>
                <w:tab w:val="left" w:pos="284"/>
              </w:tabs>
              <w:jc w:val="center"/>
              <w:rPr>
                <w:rFonts w:ascii="Verdana" w:eastAsia="MS Mincho" w:hAnsi="Verdana" w:cs="Arial"/>
                <w:b/>
                <w:snapToGrid w:val="0"/>
                <w:sz w:val="20"/>
                <w:szCs w:val="20"/>
              </w:rPr>
            </w:pPr>
          </w:p>
          <w:p w14:paraId="20761378" w14:textId="77777777" w:rsidR="004019D6" w:rsidRPr="00A94F5F" w:rsidRDefault="004019D6" w:rsidP="00E97CC8">
            <w:pPr>
              <w:tabs>
                <w:tab w:val="left" w:pos="284"/>
              </w:tabs>
              <w:jc w:val="center"/>
              <w:rPr>
                <w:rFonts w:ascii="Verdana" w:eastAsia="MS Mincho" w:hAnsi="Verdana" w:cs="Arial"/>
                <w:b/>
                <w:snapToGrid w:val="0"/>
                <w:sz w:val="20"/>
                <w:szCs w:val="20"/>
              </w:rPr>
            </w:pPr>
            <w:r w:rsidRPr="00A94F5F">
              <w:rPr>
                <w:rFonts w:ascii="Verdana" w:eastAsia="MS Mincho" w:hAnsi="Verdana" w:cs="Arial"/>
                <w:b/>
                <w:snapToGrid w:val="0"/>
                <w:sz w:val="20"/>
                <w:szCs w:val="20"/>
              </w:rPr>
              <w:t>- 1 %</w:t>
            </w:r>
          </w:p>
          <w:p w14:paraId="6CD5B097" w14:textId="77777777" w:rsidR="004019D6" w:rsidRPr="00A94F5F" w:rsidRDefault="004019D6" w:rsidP="00E97CC8">
            <w:pPr>
              <w:tabs>
                <w:tab w:val="left" w:pos="284"/>
              </w:tabs>
              <w:jc w:val="center"/>
              <w:rPr>
                <w:rFonts w:ascii="Verdana" w:eastAsia="MS Mincho" w:hAnsi="Verdana" w:cs="Arial"/>
                <w:b/>
                <w:snapToGrid w:val="0"/>
                <w:sz w:val="20"/>
                <w:szCs w:val="20"/>
              </w:rPr>
            </w:pPr>
          </w:p>
          <w:p w14:paraId="578F6DF6" w14:textId="5CE4946E" w:rsidR="004019D6" w:rsidRPr="00A94F5F" w:rsidRDefault="004019D6" w:rsidP="00354077">
            <w:pPr>
              <w:pStyle w:val="LadilloMichelinDossier"/>
              <w:spacing w:before="0" w:after="0"/>
              <w:jc w:val="center"/>
              <w:rPr>
                <w:rFonts w:ascii="Arial" w:hAnsi="Arial"/>
                <w:bCs/>
                <w:sz w:val="20"/>
                <w:szCs w:val="20"/>
                <w:lang w:val="es-ES_tradnl" w:bidi="es-ES_tradnl"/>
              </w:rPr>
            </w:pPr>
            <w:r w:rsidRPr="00A94F5F">
              <w:rPr>
                <w:rFonts w:ascii="Verdana" w:eastAsia="MS Mincho" w:hAnsi="Verdana" w:cs="Arial"/>
                <w:snapToGrid w:val="0"/>
                <w:sz w:val="20"/>
                <w:szCs w:val="20"/>
                <w:lang w:val="es-ES_tradnl"/>
              </w:rPr>
              <w:t>+ 4 %</w:t>
            </w:r>
          </w:p>
        </w:tc>
        <w:tc>
          <w:tcPr>
            <w:tcW w:w="1276" w:type="dxa"/>
          </w:tcPr>
          <w:p w14:paraId="6BF421BB" w14:textId="77777777" w:rsidR="004019D6" w:rsidRPr="00A94F5F" w:rsidRDefault="004019D6" w:rsidP="00E97CC8">
            <w:pPr>
              <w:tabs>
                <w:tab w:val="left" w:pos="284"/>
              </w:tabs>
              <w:jc w:val="center"/>
              <w:rPr>
                <w:rFonts w:ascii="Verdana" w:eastAsia="MS Mincho" w:hAnsi="Verdana" w:cs="Arial"/>
                <w:b/>
                <w:snapToGrid w:val="0"/>
                <w:sz w:val="20"/>
                <w:szCs w:val="20"/>
              </w:rPr>
            </w:pPr>
          </w:p>
          <w:p w14:paraId="0FBEE205" w14:textId="77777777" w:rsidR="004019D6" w:rsidRPr="00A94F5F" w:rsidRDefault="004019D6" w:rsidP="00E97CC8">
            <w:pPr>
              <w:tabs>
                <w:tab w:val="left" w:pos="284"/>
              </w:tabs>
              <w:jc w:val="center"/>
              <w:rPr>
                <w:rFonts w:ascii="Verdana" w:eastAsia="MS Mincho" w:hAnsi="Verdana" w:cs="Arial"/>
                <w:b/>
                <w:snapToGrid w:val="0"/>
                <w:sz w:val="20"/>
                <w:szCs w:val="20"/>
              </w:rPr>
            </w:pPr>
            <w:r w:rsidRPr="00A94F5F">
              <w:rPr>
                <w:rFonts w:ascii="Verdana" w:eastAsia="MS Mincho" w:hAnsi="Verdana" w:cs="Arial"/>
                <w:b/>
                <w:snapToGrid w:val="0"/>
                <w:sz w:val="20"/>
                <w:szCs w:val="20"/>
              </w:rPr>
              <w:t>- 27 %</w:t>
            </w:r>
          </w:p>
          <w:p w14:paraId="28F1A0A0" w14:textId="77777777" w:rsidR="004019D6" w:rsidRPr="00A94F5F" w:rsidRDefault="004019D6" w:rsidP="00E97CC8">
            <w:pPr>
              <w:tabs>
                <w:tab w:val="left" w:pos="284"/>
              </w:tabs>
              <w:jc w:val="center"/>
              <w:rPr>
                <w:rFonts w:ascii="Verdana" w:eastAsia="MS Mincho" w:hAnsi="Verdana" w:cs="Arial"/>
                <w:b/>
                <w:snapToGrid w:val="0"/>
                <w:sz w:val="20"/>
                <w:szCs w:val="20"/>
              </w:rPr>
            </w:pPr>
          </w:p>
          <w:p w14:paraId="293C8741" w14:textId="58ABE68D" w:rsidR="004019D6" w:rsidRPr="00A94F5F" w:rsidRDefault="004019D6" w:rsidP="00354077">
            <w:pPr>
              <w:pStyle w:val="LadilloMichelinDossier"/>
              <w:spacing w:before="0" w:after="0"/>
              <w:jc w:val="center"/>
              <w:rPr>
                <w:rFonts w:ascii="Arial" w:hAnsi="Arial"/>
                <w:bCs/>
                <w:sz w:val="20"/>
                <w:szCs w:val="20"/>
                <w:lang w:val="es-ES_tradnl" w:bidi="es-ES_tradnl"/>
              </w:rPr>
            </w:pPr>
            <w:r w:rsidRPr="00A94F5F">
              <w:rPr>
                <w:rFonts w:ascii="Verdana" w:eastAsia="MS Mincho" w:hAnsi="Verdana" w:cs="Arial"/>
                <w:snapToGrid w:val="0"/>
                <w:sz w:val="20"/>
                <w:szCs w:val="20"/>
                <w:lang w:val="es-ES_tradnl"/>
              </w:rPr>
              <w:t>- 5 %</w:t>
            </w:r>
          </w:p>
        </w:tc>
        <w:tc>
          <w:tcPr>
            <w:tcW w:w="1417" w:type="dxa"/>
          </w:tcPr>
          <w:p w14:paraId="25016A61" w14:textId="77777777" w:rsidR="004019D6" w:rsidRPr="00A94F5F" w:rsidRDefault="004019D6" w:rsidP="00E97CC8">
            <w:pPr>
              <w:tabs>
                <w:tab w:val="left" w:pos="284"/>
              </w:tabs>
              <w:jc w:val="center"/>
              <w:rPr>
                <w:rFonts w:ascii="Verdana" w:eastAsia="MS Mincho" w:hAnsi="Verdana" w:cs="Arial"/>
                <w:b/>
                <w:snapToGrid w:val="0"/>
                <w:sz w:val="20"/>
                <w:szCs w:val="20"/>
              </w:rPr>
            </w:pPr>
          </w:p>
          <w:p w14:paraId="425AE321" w14:textId="77777777" w:rsidR="004019D6" w:rsidRPr="00A94F5F" w:rsidRDefault="004019D6" w:rsidP="00E97CC8">
            <w:pPr>
              <w:tabs>
                <w:tab w:val="left" w:pos="284"/>
              </w:tabs>
              <w:jc w:val="center"/>
              <w:rPr>
                <w:rFonts w:ascii="Verdana" w:eastAsia="MS Mincho" w:hAnsi="Verdana" w:cs="Arial"/>
                <w:b/>
                <w:snapToGrid w:val="0"/>
                <w:sz w:val="20"/>
                <w:szCs w:val="20"/>
              </w:rPr>
            </w:pPr>
            <w:r w:rsidRPr="00A94F5F">
              <w:rPr>
                <w:rFonts w:ascii="Verdana" w:eastAsia="MS Mincho" w:hAnsi="Verdana" w:cs="Arial"/>
                <w:b/>
                <w:snapToGrid w:val="0"/>
                <w:sz w:val="20"/>
                <w:szCs w:val="20"/>
              </w:rPr>
              <w:t>+ 16 %</w:t>
            </w:r>
          </w:p>
          <w:p w14:paraId="33C8454D" w14:textId="77777777" w:rsidR="004019D6" w:rsidRPr="00A94F5F" w:rsidRDefault="004019D6" w:rsidP="00E97CC8">
            <w:pPr>
              <w:tabs>
                <w:tab w:val="left" w:pos="284"/>
              </w:tabs>
              <w:jc w:val="center"/>
              <w:rPr>
                <w:rFonts w:ascii="Verdana" w:eastAsia="MS Mincho" w:hAnsi="Verdana" w:cs="Arial"/>
                <w:b/>
                <w:snapToGrid w:val="0"/>
                <w:sz w:val="20"/>
                <w:szCs w:val="20"/>
              </w:rPr>
            </w:pPr>
          </w:p>
          <w:p w14:paraId="242E87D5" w14:textId="25176C6C" w:rsidR="004019D6" w:rsidRPr="00A94F5F" w:rsidRDefault="004019D6" w:rsidP="00354077">
            <w:pPr>
              <w:pStyle w:val="LadilloMichelinDossier"/>
              <w:spacing w:before="0" w:after="0"/>
              <w:jc w:val="center"/>
              <w:rPr>
                <w:rFonts w:ascii="Arial" w:hAnsi="Arial"/>
                <w:bCs/>
                <w:sz w:val="20"/>
                <w:szCs w:val="20"/>
                <w:lang w:val="es-ES_tradnl" w:bidi="es-ES_tradnl"/>
              </w:rPr>
            </w:pPr>
            <w:r w:rsidRPr="00A94F5F">
              <w:rPr>
                <w:rFonts w:ascii="Verdana" w:eastAsia="MS Mincho" w:hAnsi="Verdana" w:cs="Arial"/>
                <w:snapToGrid w:val="0"/>
                <w:sz w:val="20"/>
                <w:szCs w:val="20"/>
                <w:lang w:val="es-ES_tradnl"/>
              </w:rPr>
              <w:t>- 1 %</w:t>
            </w:r>
          </w:p>
        </w:tc>
        <w:tc>
          <w:tcPr>
            <w:tcW w:w="993" w:type="dxa"/>
          </w:tcPr>
          <w:p w14:paraId="3EDE806F" w14:textId="77777777" w:rsidR="004019D6" w:rsidRPr="00A94F5F" w:rsidRDefault="004019D6" w:rsidP="00E97CC8">
            <w:pPr>
              <w:tabs>
                <w:tab w:val="left" w:pos="1168"/>
              </w:tabs>
              <w:ind w:right="-108"/>
              <w:jc w:val="center"/>
              <w:rPr>
                <w:rFonts w:ascii="Verdana" w:eastAsia="MS Mincho" w:hAnsi="Verdana" w:cs="Arial"/>
                <w:b/>
                <w:snapToGrid w:val="0"/>
                <w:sz w:val="20"/>
                <w:szCs w:val="20"/>
              </w:rPr>
            </w:pPr>
          </w:p>
          <w:p w14:paraId="78F1ECF3" w14:textId="77777777" w:rsidR="004019D6" w:rsidRPr="00A94F5F" w:rsidRDefault="004019D6" w:rsidP="00E97CC8">
            <w:pPr>
              <w:tabs>
                <w:tab w:val="left" w:pos="1168"/>
              </w:tabs>
              <w:ind w:right="-108"/>
              <w:jc w:val="center"/>
              <w:rPr>
                <w:rFonts w:ascii="Verdana" w:eastAsia="MS Mincho" w:hAnsi="Verdana" w:cs="Arial"/>
                <w:b/>
                <w:snapToGrid w:val="0"/>
                <w:sz w:val="20"/>
                <w:szCs w:val="20"/>
              </w:rPr>
            </w:pPr>
            <w:r w:rsidRPr="00A94F5F">
              <w:rPr>
                <w:rFonts w:ascii="Verdana" w:eastAsia="MS Mincho" w:hAnsi="Verdana" w:cs="Arial"/>
                <w:b/>
                <w:snapToGrid w:val="0"/>
                <w:sz w:val="20"/>
                <w:szCs w:val="20"/>
              </w:rPr>
              <w:t>+ 0 %</w:t>
            </w:r>
          </w:p>
          <w:p w14:paraId="741C232E" w14:textId="77777777" w:rsidR="004019D6" w:rsidRPr="00A94F5F" w:rsidRDefault="004019D6" w:rsidP="00E97CC8">
            <w:pPr>
              <w:tabs>
                <w:tab w:val="left" w:pos="1168"/>
              </w:tabs>
              <w:ind w:right="-108"/>
              <w:jc w:val="center"/>
              <w:rPr>
                <w:rFonts w:ascii="Verdana" w:eastAsia="MS Mincho" w:hAnsi="Verdana" w:cs="Arial"/>
                <w:b/>
                <w:snapToGrid w:val="0"/>
                <w:sz w:val="20"/>
                <w:szCs w:val="20"/>
              </w:rPr>
            </w:pPr>
          </w:p>
          <w:p w14:paraId="75D39311" w14:textId="71053F34" w:rsidR="004019D6" w:rsidRPr="00A94F5F" w:rsidRDefault="004019D6" w:rsidP="00354077">
            <w:pPr>
              <w:pStyle w:val="LadilloMichelinDossier"/>
              <w:spacing w:before="0" w:after="0"/>
              <w:jc w:val="center"/>
              <w:rPr>
                <w:rFonts w:ascii="Arial" w:hAnsi="Arial"/>
                <w:bCs/>
                <w:sz w:val="20"/>
                <w:szCs w:val="20"/>
                <w:lang w:val="es-ES_tradnl" w:bidi="es-ES_tradnl"/>
              </w:rPr>
            </w:pPr>
            <w:r w:rsidRPr="00A94F5F">
              <w:rPr>
                <w:rFonts w:ascii="Verdana" w:eastAsia="MS Mincho" w:hAnsi="Verdana" w:cs="Arial"/>
                <w:snapToGrid w:val="0"/>
                <w:sz w:val="20"/>
                <w:szCs w:val="20"/>
                <w:lang w:val="es-ES_tradnl"/>
              </w:rPr>
              <w:t xml:space="preserve"> + 2 %</w:t>
            </w:r>
          </w:p>
        </w:tc>
      </w:tr>
    </w:tbl>
    <w:p w14:paraId="235F5447" w14:textId="77777777" w:rsidR="00BF4FFF" w:rsidRPr="00A94F5F" w:rsidRDefault="00BF4FFF" w:rsidP="00BF4FFF">
      <w:pPr>
        <w:numPr>
          <w:ilvl w:val="0"/>
          <w:numId w:val="5"/>
        </w:numPr>
        <w:spacing w:before="480" w:after="240" w:line="270" w:lineRule="atLeast"/>
        <w:jc w:val="both"/>
        <w:rPr>
          <w:rFonts w:ascii="Arial" w:hAnsi="Arial"/>
          <w:b/>
          <w:bCs/>
          <w:sz w:val="21"/>
          <w:u w:val="single"/>
          <w:lang w:bidi="es-ES_tradnl"/>
        </w:rPr>
      </w:pPr>
      <w:r w:rsidRPr="00A94F5F">
        <w:rPr>
          <w:rFonts w:ascii="Arial" w:hAnsi="Arial"/>
          <w:b/>
          <w:bCs/>
          <w:sz w:val="21"/>
          <w:lang w:bidi="es-ES_tradnl"/>
        </w:rPr>
        <w:t>Primeros Equipos</w:t>
      </w:r>
    </w:p>
    <w:p w14:paraId="1B30F951" w14:textId="749043EF" w:rsidR="004624C7" w:rsidRPr="00A94F5F" w:rsidRDefault="004624C7" w:rsidP="00F3621F">
      <w:pPr>
        <w:numPr>
          <w:ilvl w:val="1"/>
          <w:numId w:val="10"/>
        </w:numPr>
        <w:spacing w:after="120" w:line="270" w:lineRule="atLeast"/>
        <w:jc w:val="both"/>
        <w:rPr>
          <w:rFonts w:ascii="Arial" w:hAnsi="Arial"/>
          <w:bCs/>
          <w:sz w:val="21"/>
          <w:lang w:bidi="es-ES_tradnl"/>
        </w:rPr>
      </w:pPr>
      <w:r w:rsidRPr="00A94F5F">
        <w:rPr>
          <w:rFonts w:ascii="Arial" w:hAnsi="Arial Unicode MS"/>
          <w:sz w:val="21"/>
        </w:rPr>
        <w:t>En Europa, en un contexto macroecon</w:t>
      </w:r>
      <w:r w:rsidRPr="00A94F5F">
        <w:rPr>
          <w:rFonts w:ascii="Arial" w:hAnsi="Arial Unicode MS"/>
          <w:sz w:val="21"/>
        </w:rPr>
        <w:t>ó</w:t>
      </w:r>
      <w:r w:rsidRPr="00A94F5F">
        <w:rPr>
          <w:rFonts w:ascii="Arial" w:hAnsi="Arial Unicode MS"/>
          <w:sz w:val="21"/>
        </w:rPr>
        <w:t xml:space="preserve">mico poco favorable, el mercado </w:t>
      </w:r>
      <w:r w:rsidR="00C43F91">
        <w:rPr>
          <w:rFonts w:ascii="Arial" w:hAnsi="Arial Unicode MS"/>
          <w:sz w:val="21"/>
        </w:rPr>
        <w:t>cae en un 8 %</w:t>
      </w:r>
      <w:r w:rsidRPr="00A94F5F">
        <w:rPr>
          <w:rFonts w:ascii="Arial" w:hAnsi="Arial Unicode MS"/>
          <w:sz w:val="21"/>
        </w:rPr>
        <w:t xml:space="preserve"> en el conjunto de los nueve primeros meses, </w:t>
      </w:r>
      <w:r w:rsidR="00F3621F">
        <w:rPr>
          <w:rFonts w:ascii="Arial" w:hAnsi="Arial Unicode MS"/>
          <w:sz w:val="21"/>
        </w:rPr>
        <w:t xml:space="preserve">con </w:t>
      </w:r>
      <w:r w:rsidR="00114BDA">
        <w:rPr>
          <w:rFonts w:ascii="Arial" w:hAnsi="Arial Unicode MS"/>
          <w:sz w:val="21"/>
        </w:rPr>
        <w:t>una</w:t>
      </w:r>
      <w:r w:rsidR="00F3621F">
        <w:rPr>
          <w:rFonts w:ascii="Arial" w:hAnsi="Arial Unicode MS"/>
          <w:sz w:val="21"/>
        </w:rPr>
        <w:t xml:space="preserve"> </w:t>
      </w:r>
      <w:r w:rsidR="00114BDA">
        <w:rPr>
          <w:rFonts w:ascii="Arial" w:hAnsi="Arial Unicode MS"/>
          <w:sz w:val="21"/>
        </w:rPr>
        <w:t xml:space="preserve">ligera bajada </w:t>
      </w:r>
      <w:r w:rsidR="00114BDA" w:rsidRPr="0058271E">
        <w:rPr>
          <w:rFonts w:ascii="Arial" w:hAnsi="Arial"/>
          <w:bCs/>
          <w:sz w:val="21"/>
          <w:lang w:bidi="es-ES_tradnl"/>
        </w:rPr>
        <w:t>(- 1 %)</w:t>
      </w:r>
      <w:r w:rsidR="00114BDA">
        <w:rPr>
          <w:rFonts w:ascii="Arial" w:hAnsi="Arial"/>
          <w:bCs/>
          <w:sz w:val="21"/>
          <w:lang w:bidi="es-ES_tradnl"/>
        </w:rPr>
        <w:t xml:space="preserve"> en Europa Occidental y una caída del 35 % en Europa del Este. </w:t>
      </w:r>
    </w:p>
    <w:p w14:paraId="5F2A83BE" w14:textId="71109A12" w:rsidR="0058271E" w:rsidRPr="0004225F" w:rsidRDefault="0032791B" w:rsidP="0058271E">
      <w:pPr>
        <w:pStyle w:val="Body1"/>
        <w:numPr>
          <w:ilvl w:val="1"/>
          <w:numId w:val="10"/>
        </w:numPr>
        <w:spacing w:before="480" w:after="120" w:line="270" w:lineRule="atLeast"/>
        <w:jc w:val="both"/>
        <w:rPr>
          <w:rFonts w:ascii="Arial" w:hAnsi="Arial Unicode MS"/>
          <w:sz w:val="21"/>
        </w:rPr>
      </w:pPr>
      <w:r w:rsidRPr="00D77DC5">
        <w:rPr>
          <w:rFonts w:ascii="Arial" w:hAnsi="Arial Unicode MS"/>
          <w:color w:val="auto"/>
          <w:sz w:val="21"/>
        </w:rPr>
        <w:t>En Am</w:t>
      </w:r>
      <w:r w:rsidRPr="00D77DC5">
        <w:rPr>
          <w:rFonts w:ascii="Arial" w:hAnsi="Arial Unicode MS"/>
          <w:color w:val="auto"/>
          <w:sz w:val="21"/>
        </w:rPr>
        <w:t>é</w:t>
      </w:r>
      <w:r w:rsidRPr="00D77DC5">
        <w:rPr>
          <w:rFonts w:ascii="Arial" w:hAnsi="Arial Unicode MS"/>
          <w:color w:val="auto"/>
          <w:sz w:val="21"/>
        </w:rPr>
        <w:t xml:space="preserve">rica del Norte, </w:t>
      </w:r>
      <w:r w:rsidR="00F3621F" w:rsidRPr="00D77DC5">
        <w:rPr>
          <w:rFonts w:ascii="Arial" w:hAnsi="Arial Unicode MS"/>
          <w:color w:val="auto"/>
          <w:sz w:val="21"/>
        </w:rPr>
        <w:t>el mercado contin</w:t>
      </w:r>
      <w:r w:rsidR="00F3621F" w:rsidRPr="00D77DC5">
        <w:rPr>
          <w:rFonts w:ascii="Arial" w:hAnsi="Arial Unicode MS"/>
          <w:color w:val="auto"/>
          <w:sz w:val="21"/>
        </w:rPr>
        <w:t>ú</w:t>
      </w:r>
      <w:r w:rsidR="00F3621F" w:rsidRPr="00D77DC5">
        <w:rPr>
          <w:rFonts w:ascii="Arial" w:hAnsi="Arial Unicode MS"/>
          <w:color w:val="auto"/>
          <w:sz w:val="21"/>
        </w:rPr>
        <w:t>a con fuerte crecimiento</w:t>
      </w:r>
      <w:r w:rsidR="00127A86" w:rsidRPr="00D77DC5">
        <w:rPr>
          <w:rFonts w:ascii="Arial" w:hAnsi="Arial Unicode MS"/>
          <w:color w:val="auto"/>
          <w:sz w:val="21"/>
        </w:rPr>
        <w:t xml:space="preserve"> </w:t>
      </w:r>
      <w:r w:rsidR="00D77DC5" w:rsidRPr="00D77DC5">
        <w:rPr>
          <w:rFonts w:ascii="Arial" w:hAnsi="Arial Unicode MS"/>
          <w:sz w:val="21"/>
        </w:rPr>
        <w:t>(+ 12 % hasta finales de septiembre) sostenido por una aceleraci</w:t>
      </w:r>
      <w:r w:rsidR="00D77DC5" w:rsidRPr="00D77DC5">
        <w:rPr>
          <w:rFonts w:ascii="Arial" w:hAnsi="Arial Unicode MS"/>
          <w:sz w:val="21"/>
        </w:rPr>
        <w:t>ó</w:t>
      </w:r>
      <w:r w:rsidR="00D77DC5">
        <w:rPr>
          <w:rFonts w:ascii="Arial" w:hAnsi="Arial Unicode MS"/>
          <w:sz w:val="21"/>
        </w:rPr>
        <w:t>n de las ventas de remolques</w:t>
      </w:r>
      <w:r w:rsidR="00D77DC5" w:rsidRPr="00D77DC5">
        <w:rPr>
          <w:rFonts w:ascii="Arial" w:hAnsi="Arial Unicode MS"/>
          <w:sz w:val="21"/>
        </w:rPr>
        <w:t xml:space="preserve"> </w:t>
      </w:r>
      <w:r w:rsidR="00127A86" w:rsidRPr="00D77DC5">
        <w:rPr>
          <w:rFonts w:ascii="Arial" w:hAnsi="Arial Unicode MS"/>
          <w:color w:val="auto"/>
          <w:sz w:val="21"/>
        </w:rPr>
        <w:t xml:space="preserve">y </w:t>
      </w:r>
      <w:r w:rsidR="00D77DC5">
        <w:rPr>
          <w:rFonts w:ascii="Arial" w:hAnsi="Arial Unicode MS"/>
          <w:color w:val="auto"/>
          <w:sz w:val="21"/>
        </w:rPr>
        <w:t xml:space="preserve">un aumento </w:t>
      </w:r>
      <w:r w:rsidR="0004225F">
        <w:rPr>
          <w:rFonts w:ascii="Arial" w:hAnsi="Arial Unicode MS"/>
          <w:color w:val="auto"/>
          <w:sz w:val="21"/>
        </w:rPr>
        <w:t>particular</w:t>
      </w:r>
      <w:r w:rsidR="00D77DC5">
        <w:rPr>
          <w:rFonts w:ascii="Arial" w:hAnsi="Arial Unicode MS"/>
          <w:color w:val="auto"/>
          <w:sz w:val="21"/>
        </w:rPr>
        <w:t xml:space="preserve">mente acentuado del segmento Clase 8. </w:t>
      </w:r>
    </w:p>
    <w:p w14:paraId="15202FA2" w14:textId="77777777" w:rsidR="0004225F" w:rsidRPr="00D77DC5" w:rsidRDefault="0004225F" w:rsidP="0004225F">
      <w:pPr>
        <w:pStyle w:val="Body1"/>
        <w:spacing w:before="480" w:after="120" w:line="270" w:lineRule="atLeast"/>
        <w:ind w:left="1440"/>
        <w:jc w:val="both"/>
        <w:rPr>
          <w:rFonts w:ascii="Arial" w:hAnsi="Arial Unicode MS"/>
          <w:sz w:val="21"/>
        </w:rPr>
      </w:pPr>
    </w:p>
    <w:p w14:paraId="7BD258A4" w14:textId="09861AE6" w:rsidR="00E64CC2" w:rsidRPr="00E64CC2" w:rsidRDefault="004E3B20" w:rsidP="0058271E">
      <w:pPr>
        <w:pStyle w:val="Body1"/>
        <w:numPr>
          <w:ilvl w:val="1"/>
          <w:numId w:val="10"/>
        </w:numPr>
        <w:spacing w:before="480" w:after="120" w:line="270" w:lineRule="atLeast"/>
        <w:jc w:val="both"/>
        <w:rPr>
          <w:rFonts w:ascii="Arial" w:hAnsi="Arial Unicode MS"/>
          <w:sz w:val="21"/>
          <w:u w:val="single"/>
        </w:rPr>
      </w:pPr>
      <w:r w:rsidRPr="00A94F5F">
        <w:rPr>
          <w:rFonts w:ascii="Arial" w:hAnsi="Arial Unicode MS"/>
          <w:color w:val="auto"/>
          <w:sz w:val="21"/>
        </w:rPr>
        <w:lastRenderedPageBreak/>
        <w:t xml:space="preserve">En Asia (sin incluir India), la demanda </w:t>
      </w:r>
      <w:r w:rsidR="0004225F">
        <w:rPr>
          <w:rFonts w:ascii="Arial" w:hAnsi="Arial Unicode MS"/>
          <w:color w:val="auto"/>
          <w:sz w:val="21"/>
        </w:rPr>
        <w:t xml:space="preserve">radial y diagonal </w:t>
      </w:r>
      <w:r w:rsidRPr="00A94F5F">
        <w:rPr>
          <w:rFonts w:ascii="Arial" w:hAnsi="Arial Unicode MS"/>
          <w:color w:val="auto"/>
          <w:sz w:val="21"/>
        </w:rPr>
        <w:t xml:space="preserve">crece un </w:t>
      </w:r>
      <w:r w:rsidR="0004225F">
        <w:rPr>
          <w:rFonts w:ascii="Arial" w:hAnsi="Arial Unicode MS"/>
          <w:color w:val="auto"/>
          <w:sz w:val="21"/>
        </w:rPr>
        <w:t xml:space="preserve">2 </w:t>
      </w:r>
      <w:r w:rsidRPr="00A94F5F">
        <w:rPr>
          <w:rFonts w:ascii="Arial" w:hAnsi="Arial Unicode MS"/>
          <w:color w:val="auto"/>
          <w:sz w:val="21"/>
        </w:rPr>
        <w:t>%</w:t>
      </w:r>
      <w:r w:rsidR="008D5BA0" w:rsidRPr="00A94F5F">
        <w:rPr>
          <w:rFonts w:ascii="Arial" w:hAnsi="Arial Unicode MS"/>
          <w:color w:val="auto"/>
          <w:sz w:val="21"/>
        </w:rPr>
        <w:t xml:space="preserve"> en los nueve meses.</w:t>
      </w:r>
      <w:r w:rsidRPr="00A94F5F">
        <w:rPr>
          <w:rFonts w:ascii="Arial" w:hAnsi="Arial Unicode MS"/>
          <w:color w:val="auto"/>
          <w:sz w:val="21"/>
        </w:rPr>
        <w:t xml:space="preserve"> En China, </w:t>
      </w:r>
      <w:r w:rsidR="008D5BA0" w:rsidRPr="00A94F5F">
        <w:rPr>
          <w:rFonts w:ascii="Arial" w:hAnsi="Arial Unicode MS"/>
          <w:color w:val="auto"/>
          <w:sz w:val="21"/>
        </w:rPr>
        <w:t>el mercado</w:t>
      </w:r>
      <w:r w:rsidR="0004225F">
        <w:rPr>
          <w:rFonts w:ascii="Arial" w:hAnsi="Arial Unicode MS"/>
          <w:color w:val="auto"/>
          <w:sz w:val="21"/>
        </w:rPr>
        <w:t xml:space="preserve">, en aumento </w:t>
      </w:r>
      <w:r w:rsidR="0004225F" w:rsidRPr="0058271E">
        <w:rPr>
          <w:rFonts w:ascii="Arial" w:hAnsi="Arial Unicode MS"/>
          <w:sz w:val="21"/>
        </w:rPr>
        <w:t>de</w:t>
      </w:r>
      <w:r w:rsidR="0004225F">
        <w:rPr>
          <w:rFonts w:ascii="Arial" w:hAnsi="Arial Unicode MS"/>
          <w:sz w:val="21"/>
        </w:rPr>
        <w:t>l</w:t>
      </w:r>
      <w:r w:rsidR="0004225F" w:rsidRPr="0058271E">
        <w:rPr>
          <w:rFonts w:ascii="Arial" w:hAnsi="Arial Unicode MS"/>
          <w:sz w:val="21"/>
        </w:rPr>
        <w:t xml:space="preserve"> 4 %,</w:t>
      </w:r>
      <w:r w:rsidR="00E64CC2">
        <w:rPr>
          <w:rFonts w:ascii="Arial" w:hAnsi="Arial Unicode MS"/>
          <w:sz w:val="21"/>
        </w:rPr>
        <w:t xml:space="preserve"> refleja la ralentizaci</w:t>
      </w:r>
      <w:r w:rsidR="00E64CC2">
        <w:rPr>
          <w:rFonts w:ascii="Arial" w:hAnsi="Arial Unicode MS"/>
          <w:sz w:val="21"/>
        </w:rPr>
        <w:t>ó</w:t>
      </w:r>
      <w:r w:rsidR="00E64CC2">
        <w:rPr>
          <w:rFonts w:ascii="Arial" w:hAnsi="Arial Unicode MS"/>
          <w:sz w:val="21"/>
        </w:rPr>
        <w:t>n de las ventas de veh</w:t>
      </w:r>
      <w:r w:rsidR="00E64CC2">
        <w:rPr>
          <w:rFonts w:ascii="Arial" w:hAnsi="Arial Unicode MS"/>
          <w:sz w:val="21"/>
        </w:rPr>
        <w:t>í</w:t>
      </w:r>
      <w:r w:rsidR="00E64CC2">
        <w:rPr>
          <w:rFonts w:ascii="Arial" w:hAnsi="Arial Unicode MS"/>
          <w:sz w:val="21"/>
        </w:rPr>
        <w:t>culos tras las compras anticipadas por la introducci</w:t>
      </w:r>
      <w:r w:rsidR="00E64CC2">
        <w:rPr>
          <w:rFonts w:ascii="Arial" w:hAnsi="Arial Unicode MS"/>
          <w:sz w:val="21"/>
        </w:rPr>
        <w:t>ó</w:t>
      </w:r>
      <w:r w:rsidR="00E64CC2">
        <w:rPr>
          <w:rFonts w:ascii="Arial" w:hAnsi="Arial Unicode MS"/>
          <w:sz w:val="21"/>
        </w:rPr>
        <w:t>n de las nuevas normas antipoluci</w:t>
      </w:r>
      <w:r w:rsidR="00E64CC2">
        <w:rPr>
          <w:rFonts w:ascii="Arial" w:hAnsi="Arial Unicode MS"/>
          <w:sz w:val="21"/>
        </w:rPr>
        <w:t>ó</w:t>
      </w:r>
      <w:r w:rsidR="00E64CC2">
        <w:rPr>
          <w:rFonts w:ascii="Arial" w:hAnsi="Arial Unicode MS"/>
          <w:sz w:val="21"/>
        </w:rPr>
        <w:t xml:space="preserve">n. </w:t>
      </w:r>
      <w:r w:rsidR="0066336F">
        <w:rPr>
          <w:rFonts w:ascii="Arial" w:hAnsi="Arial Unicode MS"/>
          <w:sz w:val="21"/>
        </w:rPr>
        <w:t xml:space="preserve">En </w:t>
      </w:r>
      <w:r w:rsidR="002F4395" w:rsidRPr="00C5360F">
        <w:rPr>
          <w:rFonts w:ascii="Arial" w:hAnsi="Arial Unicode MS"/>
          <w:color w:val="auto"/>
          <w:sz w:val="21"/>
        </w:rPr>
        <w:t xml:space="preserve">el </w:t>
      </w:r>
      <w:r w:rsidR="0066336F" w:rsidRPr="00A94F5F">
        <w:rPr>
          <w:rFonts w:ascii="Arial" w:hAnsi="Arial Unicode MS"/>
          <w:color w:val="auto"/>
          <w:sz w:val="21"/>
        </w:rPr>
        <w:t>sudeste asi</w:t>
      </w:r>
      <w:r w:rsidR="0066336F" w:rsidRPr="00A94F5F">
        <w:rPr>
          <w:rFonts w:ascii="Arial" w:hAnsi="Arial Unicode MS"/>
          <w:color w:val="auto"/>
          <w:sz w:val="21"/>
        </w:rPr>
        <w:t>á</w:t>
      </w:r>
      <w:r w:rsidR="0066336F" w:rsidRPr="00A94F5F">
        <w:rPr>
          <w:rFonts w:ascii="Arial" w:hAnsi="Arial Unicode MS"/>
          <w:color w:val="auto"/>
          <w:sz w:val="21"/>
        </w:rPr>
        <w:t>tico,</w:t>
      </w:r>
      <w:r w:rsidR="0066336F">
        <w:rPr>
          <w:rFonts w:ascii="Arial" w:hAnsi="Arial Unicode MS"/>
          <w:sz w:val="21"/>
        </w:rPr>
        <w:t xml:space="preserve"> </w:t>
      </w:r>
      <w:r w:rsidR="0074327B">
        <w:rPr>
          <w:rFonts w:ascii="Arial" w:hAnsi="Arial Unicode MS"/>
          <w:sz w:val="21"/>
        </w:rPr>
        <w:t>la demanda cae un 25 %, debido a las paradas de producci</w:t>
      </w:r>
      <w:r w:rsidR="0074327B">
        <w:rPr>
          <w:rFonts w:ascii="Arial" w:hAnsi="Arial Unicode MS"/>
          <w:sz w:val="21"/>
        </w:rPr>
        <w:t>ó</w:t>
      </w:r>
      <w:r w:rsidR="0074327B">
        <w:rPr>
          <w:rFonts w:ascii="Arial" w:hAnsi="Arial Unicode MS"/>
          <w:sz w:val="21"/>
        </w:rPr>
        <w:t>n por la situaci</w:t>
      </w:r>
      <w:r w:rsidR="0074327B">
        <w:rPr>
          <w:rFonts w:ascii="Arial" w:hAnsi="Arial Unicode MS"/>
          <w:sz w:val="21"/>
        </w:rPr>
        <w:t>ó</w:t>
      </w:r>
      <w:r w:rsidR="0074327B">
        <w:rPr>
          <w:rFonts w:ascii="Arial" w:hAnsi="Arial Unicode MS"/>
          <w:sz w:val="21"/>
        </w:rPr>
        <w:t>n pol</w:t>
      </w:r>
      <w:r w:rsidR="0074327B">
        <w:rPr>
          <w:rFonts w:ascii="Arial" w:hAnsi="Arial Unicode MS"/>
          <w:sz w:val="21"/>
        </w:rPr>
        <w:t>í</w:t>
      </w:r>
      <w:r w:rsidR="0074327B">
        <w:rPr>
          <w:rFonts w:ascii="Arial" w:hAnsi="Arial Unicode MS"/>
          <w:sz w:val="21"/>
        </w:rPr>
        <w:t>tica de Tailandia.</w:t>
      </w:r>
    </w:p>
    <w:p w14:paraId="29D80D42" w14:textId="305A61E5" w:rsidR="00692C86" w:rsidRPr="00753FC8" w:rsidRDefault="00692C86" w:rsidP="00753FC8">
      <w:pPr>
        <w:pStyle w:val="Body1"/>
        <w:numPr>
          <w:ilvl w:val="1"/>
          <w:numId w:val="10"/>
        </w:numPr>
        <w:spacing w:before="480" w:after="120" w:line="270" w:lineRule="atLeast"/>
        <w:jc w:val="both"/>
        <w:rPr>
          <w:rFonts w:ascii="Arial" w:hAnsi="Arial Unicode MS"/>
          <w:sz w:val="21"/>
          <w:u w:val="single"/>
        </w:rPr>
      </w:pPr>
      <w:r w:rsidRPr="00A94F5F">
        <w:rPr>
          <w:rFonts w:ascii="Arial" w:hAnsi="Arial Unicode MS"/>
          <w:color w:val="auto"/>
          <w:sz w:val="21"/>
        </w:rPr>
        <w:t>En Sudam</w:t>
      </w:r>
      <w:r w:rsidRPr="00A94F5F">
        <w:rPr>
          <w:rFonts w:ascii="Arial" w:hAnsi="Arial Unicode MS"/>
          <w:color w:val="auto"/>
          <w:sz w:val="21"/>
        </w:rPr>
        <w:t>é</w:t>
      </w:r>
      <w:r w:rsidRPr="00A94F5F">
        <w:rPr>
          <w:rFonts w:ascii="Arial" w:hAnsi="Arial Unicode MS"/>
          <w:color w:val="auto"/>
          <w:sz w:val="21"/>
        </w:rPr>
        <w:t xml:space="preserve">rica, </w:t>
      </w:r>
      <w:r w:rsidR="0074327B">
        <w:rPr>
          <w:rFonts w:ascii="Arial" w:hAnsi="Arial Unicode MS"/>
          <w:color w:val="auto"/>
          <w:sz w:val="21"/>
        </w:rPr>
        <w:t>en un contexto econ</w:t>
      </w:r>
      <w:r w:rsidR="0074327B">
        <w:rPr>
          <w:rFonts w:ascii="Arial" w:hAnsi="Arial Unicode MS"/>
          <w:color w:val="auto"/>
          <w:sz w:val="21"/>
        </w:rPr>
        <w:t>ó</w:t>
      </w:r>
      <w:r w:rsidR="0074327B">
        <w:rPr>
          <w:rFonts w:ascii="Arial" w:hAnsi="Arial Unicode MS"/>
          <w:color w:val="auto"/>
          <w:sz w:val="21"/>
        </w:rPr>
        <w:t xml:space="preserve">mico </w:t>
      </w:r>
      <w:r w:rsidR="00F15D82">
        <w:rPr>
          <w:rFonts w:ascii="Arial" w:hAnsi="Arial Unicode MS"/>
          <w:color w:val="auto"/>
          <w:sz w:val="21"/>
        </w:rPr>
        <w:t xml:space="preserve">de </w:t>
      </w:r>
      <w:r w:rsidR="0074327B">
        <w:rPr>
          <w:rFonts w:ascii="Arial" w:hAnsi="Arial Unicode MS"/>
          <w:color w:val="auto"/>
          <w:sz w:val="21"/>
        </w:rPr>
        <w:t>meno</w:t>
      </w:r>
      <w:r w:rsidR="00F15D82">
        <w:rPr>
          <w:rFonts w:ascii="Arial" w:hAnsi="Arial Unicode MS"/>
          <w:color w:val="auto"/>
          <w:sz w:val="21"/>
        </w:rPr>
        <w:t>r crecimiento, la demanda sufre una marcada ca</w:t>
      </w:r>
      <w:r w:rsidR="00F15D82">
        <w:rPr>
          <w:rFonts w:ascii="Arial" w:hAnsi="Arial Unicode MS"/>
          <w:color w:val="auto"/>
          <w:sz w:val="21"/>
        </w:rPr>
        <w:t>í</w:t>
      </w:r>
      <w:r w:rsidR="00F15D82">
        <w:rPr>
          <w:rFonts w:ascii="Arial" w:hAnsi="Arial Unicode MS"/>
          <w:color w:val="auto"/>
          <w:sz w:val="21"/>
        </w:rPr>
        <w:t>da (</w:t>
      </w:r>
      <w:r w:rsidR="00F15D82" w:rsidRPr="0058271E">
        <w:rPr>
          <w:rFonts w:ascii="Arial" w:hAnsi="Arial Unicode MS"/>
          <w:sz w:val="21"/>
        </w:rPr>
        <w:t>-</w:t>
      </w:r>
      <w:r w:rsidR="00F15D82" w:rsidRPr="0058271E">
        <w:rPr>
          <w:rFonts w:ascii="Arial" w:hAnsi="Arial Unicode MS"/>
          <w:sz w:val="21"/>
        </w:rPr>
        <w:t> </w:t>
      </w:r>
      <w:r w:rsidR="00F15D82" w:rsidRPr="0058271E">
        <w:rPr>
          <w:rFonts w:ascii="Arial" w:hAnsi="Arial Unicode MS"/>
          <w:sz w:val="21"/>
        </w:rPr>
        <w:t xml:space="preserve">17% </w:t>
      </w:r>
      <w:r w:rsidR="00F15D82">
        <w:rPr>
          <w:rFonts w:ascii="Arial" w:hAnsi="Arial Unicode MS"/>
          <w:sz w:val="21"/>
        </w:rPr>
        <w:t>hasta finales de septiembre</w:t>
      </w:r>
      <w:r w:rsidR="00F15D82" w:rsidRPr="0058271E">
        <w:rPr>
          <w:rFonts w:ascii="Arial" w:hAnsi="Arial Unicode MS"/>
          <w:sz w:val="21"/>
        </w:rPr>
        <w:t xml:space="preserve">, </w:t>
      </w:r>
      <w:r w:rsidR="00753FC8">
        <w:rPr>
          <w:rFonts w:ascii="Arial" w:hAnsi="Arial Unicode MS"/>
          <w:sz w:val="21"/>
        </w:rPr>
        <w:br/>
      </w:r>
      <w:r w:rsidR="00F15D82" w:rsidRPr="0058271E">
        <w:rPr>
          <w:rFonts w:ascii="Arial" w:hAnsi="Arial Unicode MS"/>
          <w:sz w:val="21"/>
        </w:rPr>
        <w:t>-</w:t>
      </w:r>
      <w:r w:rsidR="00F15D82" w:rsidRPr="0058271E">
        <w:rPr>
          <w:rFonts w:ascii="Arial" w:hAnsi="Arial Unicode MS"/>
          <w:sz w:val="21"/>
        </w:rPr>
        <w:t> </w:t>
      </w:r>
      <w:r w:rsidR="00F15D82" w:rsidRPr="0058271E">
        <w:rPr>
          <w:rFonts w:ascii="Arial" w:hAnsi="Arial Unicode MS"/>
          <w:sz w:val="21"/>
        </w:rPr>
        <w:t>27</w:t>
      </w:r>
      <w:r w:rsidR="00F15D82" w:rsidRPr="0058271E">
        <w:rPr>
          <w:rFonts w:ascii="Arial" w:hAnsi="Arial Unicode MS"/>
          <w:sz w:val="21"/>
        </w:rPr>
        <w:t> </w:t>
      </w:r>
      <w:r w:rsidR="00F15D82" w:rsidRPr="0058271E">
        <w:rPr>
          <w:rFonts w:ascii="Arial" w:hAnsi="Arial Unicode MS"/>
          <w:sz w:val="21"/>
        </w:rPr>
        <w:t xml:space="preserve">% </w:t>
      </w:r>
      <w:r w:rsidR="00753FC8">
        <w:rPr>
          <w:rFonts w:ascii="Arial" w:hAnsi="Arial Unicode MS"/>
          <w:sz w:val="21"/>
        </w:rPr>
        <w:t>en el</w:t>
      </w:r>
      <w:r w:rsidR="00F15D82" w:rsidRPr="0058271E">
        <w:rPr>
          <w:rFonts w:ascii="Arial" w:hAnsi="Arial Unicode MS"/>
          <w:sz w:val="21"/>
        </w:rPr>
        <w:t xml:space="preserve"> 3</w:t>
      </w:r>
      <w:r w:rsidR="00753FC8">
        <w:rPr>
          <w:rFonts w:ascii="Arial" w:hAnsi="Arial Unicode MS"/>
          <w:sz w:val="21"/>
          <w:vertAlign w:val="superscript"/>
        </w:rPr>
        <w:t>er</w:t>
      </w:r>
      <w:r w:rsidR="00F15D82" w:rsidRPr="0058271E">
        <w:rPr>
          <w:rFonts w:ascii="Arial" w:hAnsi="Arial Unicode MS"/>
          <w:sz w:val="21"/>
        </w:rPr>
        <w:t xml:space="preserve"> trimestre),</w:t>
      </w:r>
      <w:r w:rsidR="00753FC8">
        <w:rPr>
          <w:rFonts w:ascii="Arial" w:hAnsi="Arial Unicode MS"/>
          <w:sz w:val="21"/>
        </w:rPr>
        <w:t xml:space="preserve"> tras un a</w:t>
      </w:r>
      <w:r w:rsidR="00753FC8">
        <w:rPr>
          <w:rFonts w:ascii="Arial" w:hAnsi="Arial Unicode MS"/>
          <w:sz w:val="21"/>
        </w:rPr>
        <w:t>ñ</w:t>
      </w:r>
      <w:r w:rsidR="00753FC8">
        <w:rPr>
          <w:rFonts w:ascii="Arial" w:hAnsi="Arial Unicode MS"/>
          <w:sz w:val="21"/>
        </w:rPr>
        <w:t>o 2013 que registr</w:t>
      </w:r>
      <w:r w:rsidR="00753FC8">
        <w:rPr>
          <w:rFonts w:ascii="Arial" w:hAnsi="Arial Unicode MS"/>
          <w:sz w:val="21"/>
        </w:rPr>
        <w:t>ó</w:t>
      </w:r>
      <w:r w:rsidR="00753FC8">
        <w:rPr>
          <w:rFonts w:ascii="Arial" w:hAnsi="Arial Unicode MS"/>
          <w:sz w:val="21"/>
        </w:rPr>
        <w:t xml:space="preserve"> una fuerte demanda de camiones pesados para el sector agr</w:t>
      </w:r>
      <w:r w:rsidR="00753FC8">
        <w:rPr>
          <w:rFonts w:ascii="Arial" w:hAnsi="Arial Unicode MS"/>
          <w:sz w:val="21"/>
        </w:rPr>
        <w:t>í</w:t>
      </w:r>
      <w:r w:rsidR="00753FC8">
        <w:rPr>
          <w:rFonts w:ascii="Arial" w:hAnsi="Arial Unicode MS"/>
          <w:sz w:val="21"/>
        </w:rPr>
        <w:t>cola</w:t>
      </w:r>
      <w:r w:rsidR="002943F9" w:rsidRPr="002943F9">
        <w:rPr>
          <w:rFonts w:ascii="Arial" w:hAnsi="Arial Unicode MS"/>
          <w:sz w:val="21"/>
        </w:rPr>
        <w:t>.</w:t>
      </w:r>
    </w:p>
    <w:p w14:paraId="60817012" w14:textId="77777777" w:rsidR="00BF4FFF" w:rsidRPr="00A94F5F" w:rsidRDefault="00BF4FFF" w:rsidP="00BF4FFF">
      <w:pPr>
        <w:numPr>
          <w:ilvl w:val="0"/>
          <w:numId w:val="5"/>
        </w:numPr>
        <w:spacing w:before="480" w:after="240" w:line="270" w:lineRule="atLeast"/>
        <w:jc w:val="both"/>
        <w:rPr>
          <w:rFonts w:ascii="Arial" w:hAnsi="Arial"/>
          <w:b/>
          <w:bCs/>
          <w:sz w:val="21"/>
          <w:lang w:bidi="es-ES_tradnl"/>
        </w:rPr>
      </w:pPr>
      <w:r w:rsidRPr="00A94F5F">
        <w:rPr>
          <w:rFonts w:ascii="Arial" w:hAnsi="Arial"/>
          <w:b/>
          <w:bCs/>
          <w:sz w:val="21"/>
          <w:lang w:bidi="es-ES_tradnl"/>
        </w:rPr>
        <w:t>Reemplazo</w:t>
      </w:r>
    </w:p>
    <w:p w14:paraId="653DED74" w14:textId="0A5F75C1" w:rsidR="003237DA" w:rsidRPr="003237DA" w:rsidRDefault="00444F58" w:rsidP="00C9574B">
      <w:pPr>
        <w:pStyle w:val="Body1"/>
        <w:numPr>
          <w:ilvl w:val="1"/>
          <w:numId w:val="10"/>
        </w:numPr>
        <w:spacing w:before="480" w:after="120" w:line="270" w:lineRule="atLeast"/>
        <w:jc w:val="both"/>
        <w:rPr>
          <w:rFonts w:ascii="Arial" w:hAnsi="Arial Unicode MS"/>
          <w:sz w:val="21"/>
        </w:rPr>
      </w:pPr>
      <w:r w:rsidRPr="00A94F5F">
        <w:rPr>
          <w:rFonts w:ascii="Arial" w:hAnsi="Arial Unicode MS"/>
          <w:color w:val="auto"/>
          <w:sz w:val="21"/>
        </w:rPr>
        <w:t xml:space="preserve">En Europa, el mercado </w:t>
      </w:r>
      <w:r w:rsidR="0017609D">
        <w:rPr>
          <w:rFonts w:ascii="Arial" w:hAnsi="Arial Unicode MS"/>
          <w:color w:val="auto"/>
          <w:sz w:val="21"/>
        </w:rPr>
        <w:t>se mantiene al alza con un</w:t>
      </w:r>
      <w:r w:rsidRPr="00A94F5F">
        <w:rPr>
          <w:rFonts w:ascii="Arial" w:hAnsi="Arial Unicode MS"/>
          <w:color w:val="auto"/>
          <w:sz w:val="21"/>
        </w:rPr>
        <w:t xml:space="preserve"> </w:t>
      </w:r>
      <w:r w:rsidR="0017609D">
        <w:rPr>
          <w:rFonts w:ascii="Arial" w:hAnsi="Arial Unicode MS"/>
          <w:color w:val="auto"/>
          <w:sz w:val="21"/>
        </w:rPr>
        <w:t xml:space="preserve">3 </w:t>
      </w:r>
      <w:r w:rsidRPr="00A94F5F">
        <w:rPr>
          <w:rFonts w:ascii="Arial" w:hAnsi="Arial Unicode MS"/>
          <w:color w:val="auto"/>
          <w:sz w:val="21"/>
        </w:rPr>
        <w:t>%</w:t>
      </w:r>
      <w:r w:rsidR="00DD61D6" w:rsidRPr="00A94F5F">
        <w:rPr>
          <w:rFonts w:ascii="Arial" w:hAnsi="Arial Unicode MS"/>
          <w:color w:val="auto"/>
          <w:sz w:val="21"/>
        </w:rPr>
        <w:t xml:space="preserve"> hasta finales de septiembre</w:t>
      </w:r>
      <w:r w:rsidR="00EE58B0">
        <w:rPr>
          <w:rFonts w:ascii="Arial" w:hAnsi="Arial Unicode MS"/>
          <w:color w:val="auto"/>
          <w:sz w:val="21"/>
        </w:rPr>
        <w:t>, pero siempre muy por de</w:t>
      </w:r>
      <w:r w:rsidR="00FB09F5" w:rsidRPr="00A94F5F">
        <w:rPr>
          <w:rFonts w:ascii="Arial" w:hAnsi="Arial Unicode MS"/>
          <w:color w:val="auto"/>
          <w:sz w:val="21"/>
        </w:rPr>
        <w:t>bajo</w:t>
      </w:r>
      <w:r w:rsidR="00EE58B0">
        <w:rPr>
          <w:rFonts w:ascii="Arial" w:hAnsi="Arial Unicode MS"/>
          <w:color w:val="auto"/>
          <w:sz w:val="21"/>
        </w:rPr>
        <w:t xml:space="preserve"> del nivel de</w:t>
      </w:r>
      <w:r w:rsidR="00FB09F5" w:rsidRPr="00A94F5F">
        <w:rPr>
          <w:rFonts w:ascii="Arial" w:hAnsi="Arial Unicode MS"/>
          <w:color w:val="auto"/>
          <w:sz w:val="21"/>
        </w:rPr>
        <w:t xml:space="preserve"> 2007. </w:t>
      </w:r>
      <w:r w:rsidR="00EE58B0">
        <w:rPr>
          <w:rFonts w:ascii="Arial" w:hAnsi="Arial Unicode MS"/>
          <w:color w:val="auto"/>
          <w:sz w:val="21"/>
        </w:rPr>
        <w:t xml:space="preserve">En </w:t>
      </w:r>
      <w:r w:rsidR="00EE58B0" w:rsidRPr="00A94F5F">
        <w:rPr>
          <w:rFonts w:ascii="Arial" w:hAnsi="Arial Unicode MS"/>
          <w:color w:val="auto"/>
          <w:sz w:val="21"/>
        </w:rPr>
        <w:t xml:space="preserve">Europa </w:t>
      </w:r>
      <w:r w:rsidR="00C02106">
        <w:rPr>
          <w:rFonts w:ascii="Arial" w:hAnsi="Arial Unicode MS"/>
          <w:color w:val="auto"/>
          <w:sz w:val="21"/>
        </w:rPr>
        <w:t>Occidental</w:t>
      </w:r>
      <w:r w:rsidR="003237DA">
        <w:rPr>
          <w:rFonts w:ascii="Arial" w:hAnsi="Arial Unicode MS"/>
          <w:color w:val="auto"/>
          <w:sz w:val="21"/>
        </w:rPr>
        <w:t>, el mercado retrocede un 5 % en el tercer trimestre, tras unos meses de julio y agosto claramente orientados a la baja, y a pesar de las importaciones de neum</w:t>
      </w:r>
      <w:r w:rsidR="003237DA">
        <w:rPr>
          <w:rFonts w:ascii="Arial" w:hAnsi="Arial Unicode MS"/>
          <w:color w:val="auto"/>
          <w:sz w:val="21"/>
        </w:rPr>
        <w:t>á</w:t>
      </w:r>
      <w:r w:rsidR="003237DA">
        <w:rPr>
          <w:rFonts w:ascii="Arial" w:hAnsi="Arial Unicode MS"/>
          <w:color w:val="auto"/>
          <w:sz w:val="21"/>
        </w:rPr>
        <w:t>ticos asi</w:t>
      </w:r>
      <w:r w:rsidR="003237DA">
        <w:rPr>
          <w:rFonts w:ascii="Arial" w:hAnsi="Arial Unicode MS"/>
          <w:color w:val="auto"/>
          <w:sz w:val="21"/>
        </w:rPr>
        <w:t>á</w:t>
      </w:r>
      <w:r w:rsidR="003237DA">
        <w:rPr>
          <w:rFonts w:ascii="Arial" w:hAnsi="Arial Unicode MS"/>
          <w:color w:val="auto"/>
          <w:sz w:val="21"/>
        </w:rPr>
        <w:t>ticos, que</w:t>
      </w:r>
      <w:r w:rsidR="003237DA" w:rsidRPr="00C5360F">
        <w:rPr>
          <w:rFonts w:ascii="Arial" w:hAnsi="Arial Unicode MS"/>
          <w:color w:val="auto"/>
          <w:sz w:val="21"/>
        </w:rPr>
        <w:t xml:space="preserve"> </w:t>
      </w:r>
      <w:r w:rsidR="002F4395" w:rsidRPr="00C5360F">
        <w:rPr>
          <w:rFonts w:ascii="Arial" w:hAnsi="Arial Unicode MS"/>
          <w:color w:val="auto"/>
          <w:sz w:val="21"/>
        </w:rPr>
        <w:t>se</w:t>
      </w:r>
      <w:r w:rsidR="002F4395">
        <w:rPr>
          <w:rFonts w:ascii="Arial" w:hAnsi="Arial Unicode MS"/>
          <w:color w:val="auto"/>
          <w:sz w:val="21"/>
        </w:rPr>
        <w:t xml:space="preserve"> </w:t>
      </w:r>
      <w:r w:rsidR="003237DA">
        <w:rPr>
          <w:rFonts w:ascii="Arial" w:hAnsi="Arial Unicode MS"/>
          <w:color w:val="auto"/>
          <w:sz w:val="21"/>
        </w:rPr>
        <w:t xml:space="preserve">aceleraron en </w:t>
      </w:r>
      <w:r w:rsidR="00C02106">
        <w:rPr>
          <w:rFonts w:ascii="Arial" w:hAnsi="Arial Unicode MS"/>
          <w:color w:val="auto"/>
          <w:sz w:val="21"/>
        </w:rPr>
        <w:t>Centroe</w:t>
      </w:r>
      <w:r w:rsidR="003237DA">
        <w:rPr>
          <w:rFonts w:ascii="Arial" w:hAnsi="Arial Unicode MS"/>
          <w:color w:val="auto"/>
          <w:sz w:val="21"/>
        </w:rPr>
        <w:t>uropa.</w:t>
      </w:r>
      <w:r w:rsidR="00C02106">
        <w:rPr>
          <w:rFonts w:ascii="Arial" w:hAnsi="Arial Unicode MS"/>
          <w:color w:val="auto"/>
          <w:sz w:val="21"/>
        </w:rPr>
        <w:t xml:space="preserve"> En </w:t>
      </w:r>
      <w:r w:rsidR="00C02106" w:rsidRPr="00A94F5F">
        <w:rPr>
          <w:rFonts w:ascii="Arial" w:hAnsi="Arial Unicode MS"/>
          <w:color w:val="auto"/>
          <w:sz w:val="21"/>
        </w:rPr>
        <w:t>Europa del Este</w:t>
      </w:r>
      <w:r w:rsidR="00C02106">
        <w:rPr>
          <w:rFonts w:ascii="Arial" w:hAnsi="Arial Unicode MS"/>
          <w:color w:val="auto"/>
          <w:sz w:val="21"/>
        </w:rPr>
        <w:t>, la demanda permanece igualmente estable a finales de septiembre, a pesar de la ca</w:t>
      </w:r>
      <w:r w:rsidR="00C02106">
        <w:rPr>
          <w:rFonts w:ascii="Arial" w:hAnsi="Arial Unicode MS"/>
          <w:color w:val="auto"/>
          <w:sz w:val="21"/>
        </w:rPr>
        <w:t>í</w:t>
      </w:r>
      <w:r w:rsidR="00C02106">
        <w:rPr>
          <w:rFonts w:ascii="Arial" w:hAnsi="Arial Unicode MS"/>
          <w:color w:val="auto"/>
          <w:sz w:val="21"/>
        </w:rPr>
        <w:t>da del 6 % en el tercer trimestre.</w:t>
      </w:r>
    </w:p>
    <w:p w14:paraId="2F208FA2" w14:textId="77777777" w:rsidR="002943F9" w:rsidRDefault="00107C3F" w:rsidP="002943F9">
      <w:pPr>
        <w:pStyle w:val="Body1"/>
        <w:numPr>
          <w:ilvl w:val="1"/>
          <w:numId w:val="10"/>
        </w:numPr>
        <w:spacing w:before="480" w:after="120" w:line="270" w:lineRule="atLeast"/>
        <w:jc w:val="both"/>
        <w:rPr>
          <w:rFonts w:ascii="Arial" w:hAnsi="Arial Unicode MS"/>
          <w:sz w:val="21"/>
        </w:rPr>
      </w:pPr>
      <w:r w:rsidRPr="00A94F5F">
        <w:rPr>
          <w:rFonts w:ascii="Arial" w:hAnsi="Arial Unicode MS"/>
          <w:color w:val="auto"/>
          <w:sz w:val="21"/>
        </w:rPr>
        <w:t>En Am</w:t>
      </w:r>
      <w:r w:rsidRPr="00A94F5F">
        <w:rPr>
          <w:rFonts w:ascii="Arial" w:hAnsi="Arial Unicode MS"/>
          <w:color w:val="auto"/>
          <w:sz w:val="21"/>
        </w:rPr>
        <w:t>é</w:t>
      </w:r>
      <w:r w:rsidRPr="00A94F5F">
        <w:rPr>
          <w:rFonts w:ascii="Arial" w:hAnsi="Arial Unicode MS"/>
          <w:color w:val="auto"/>
          <w:sz w:val="21"/>
        </w:rPr>
        <w:t>rica del Norte, el mercado</w:t>
      </w:r>
      <w:r w:rsidR="00356BBC">
        <w:rPr>
          <w:rFonts w:ascii="Arial" w:hAnsi="Arial Unicode MS"/>
          <w:color w:val="auto"/>
          <w:sz w:val="21"/>
        </w:rPr>
        <w:t xml:space="preserve"> contin</w:t>
      </w:r>
      <w:r w:rsidR="00356BBC">
        <w:rPr>
          <w:rFonts w:ascii="Arial" w:hAnsi="Arial Unicode MS"/>
          <w:color w:val="auto"/>
          <w:sz w:val="21"/>
        </w:rPr>
        <w:t>ú</w:t>
      </w:r>
      <w:r w:rsidR="00356BBC">
        <w:rPr>
          <w:rFonts w:ascii="Arial" w:hAnsi="Arial Unicode MS"/>
          <w:color w:val="auto"/>
          <w:sz w:val="21"/>
        </w:rPr>
        <w:t>a su din</w:t>
      </w:r>
      <w:r w:rsidR="00356BBC">
        <w:rPr>
          <w:rFonts w:ascii="Arial" w:hAnsi="Arial Unicode MS"/>
          <w:color w:val="auto"/>
          <w:sz w:val="21"/>
        </w:rPr>
        <w:t>á</w:t>
      </w:r>
      <w:r w:rsidR="00356BBC">
        <w:rPr>
          <w:rFonts w:ascii="Arial" w:hAnsi="Arial Unicode MS"/>
          <w:color w:val="auto"/>
          <w:sz w:val="21"/>
        </w:rPr>
        <w:t xml:space="preserve">mica de crecimiento </w:t>
      </w:r>
      <w:r w:rsidR="00356BBC">
        <w:rPr>
          <w:rFonts w:ascii="Arial" w:hAnsi="Arial Unicode MS"/>
          <w:color w:val="auto"/>
          <w:sz w:val="21"/>
        </w:rPr>
        <w:br/>
      </w:r>
      <w:r w:rsidR="00356BBC" w:rsidRPr="00C9574B">
        <w:rPr>
          <w:rFonts w:ascii="Arial" w:hAnsi="Arial Unicode MS"/>
          <w:sz w:val="21"/>
        </w:rPr>
        <w:t>(+</w:t>
      </w:r>
      <w:r w:rsidR="00356BBC" w:rsidRPr="00C9574B">
        <w:rPr>
          <w:rFonts w:ascii="Arial" w:hAnsi="Arial Unicode MS"/>
          <w:sz w:val="21"/>
        </w:rPr>
        <w:t> </w:t>
      </w:r>
      <w:r w:rsidR="00356BBC" w:rsidRPr="00C9574B">
        <w:rPr>
          <w:rFonts w:ascii="Arial" w:hAnsi="Arial Unicode MS"/>
          <w:sz w:val="21"/>
        </w:rPr>
        <w:t xml:space="preserve">9 % </w:t>
      </w:r>
      <w:r w:rsidR="00356BBC">
        <w:rPr>
          <w:rFonts w:ascii="Arial" w:hAnsi="Arial Unicode MS"/>
          <w:sz w:val="21"/>
        </w:rPr>
        <w:t>en los nueve meses</w:t>
      </w:r>
      <w:r w:rsidR="00356BBC" w:rsidRPr="00C9574B">
        <w:rPr>
          <w:rFonts w:ascii="Arial" w:hAnsi="Arial Unicode MS"/>
          <w:sz w:val="21"/>
        </w:rPr>
        <w:t xml:space="preserve">) </w:t>
      </w:r>
      <w:r w:rsidR="00356BBC">
        <w:rPr>
          <w:rFonts w:ascii="Arial" w:hAnsi="Arial Unicode MS"/>
          <w:sz w:val="21"/>
        </w:rPr>
        <w:t xml:space="preserve">y recupera su nivel </w:t>
      </w:r>
      <w:r w:rsidR="00DA2BB9">
        <w:rPr>
          <w:rFonts w:ascii="Arial" w:hAnsi="Arial Unicode MS"/>
          <w:sz w:val="21"/>
        </w:rPr>
        <w:t>previo a la crisis</w:t>
      </w:r>
      <w:r w:rsidR="00356BBC">
        <w:rPr>
          <w:rFonts w:ascii="Arial" w:hAnsi="Arial Unicode MS"/>
          <w:color w:val="auto"/>
          <w:sz w:val="21"/>
        </w:rPr>
        <w:t xml:space="preserve"> </w:t>
      </w:r>
      <w:r w:rsidR="004C169B">
        <w:rPr>
          <w:rFonts w:ascii="Arial" w:hAnsi="Arial Unicode MS"/>
          <w:color w:val="auto"/>
          <w:sz w:val="21"/>
        </w:rPr>
        <w:t>sobre la base de la continua progresi</w:t>
      </w:r>
      <w:r w:rsidR="004C169B">
        <w:rPr>
          <w:rFonts w:ascii="Arial" w:hAnsi="Arial Unicode MS"/>
          <w:color w:val="auto"/>
          <w:sz w:val="21"/>
        </w:rPr>
        <w:t>ó</w:t>
      </w:r>
      <w:r w:rsidR="004C169B">
        <w:rPr>
          <w:rFonts w:ascii="Arial" w:hAnsi="Arial Unicode MS"/>
          <w:color w:val="auto"/>
          <w:sz w:val="21"/>
        </w:rPr>
        <w:t>n de los fletes y de la bajada de los costes de los carburantes</w:t>
      </w:r>
      <w:r w:rsidR="00215138">
        <w:rPr>
          <w:rFonts w:ascii="Arial" w:hAnsi="Arial Unicode MS"/>
          <w:color w:val="auto"/>
          <w:sz w:val="21"/>
        </w:rPr>
        <w:t>.</w:t>
      </w:r>
      <w:r w:rsidRPr="00A94F5F">
        <w:rPr>
          <w:rFonts w:ascii="Arial" w:hAnsi="Arial Unicode MS"/>
          <w:color w:val="auto"/>
          <w:sz w:val="21"/>
        </w:rPr>
        <w:t xml:space="preserve"> </w:t>
      </w:r>
    </w:p>
    <w:p w14:paraId="1A3E6E26" w14:textId="058604D3" w:rsidR="002943F9" w:rsidRPr="002943F9" w:rsidRDefault="006C21B6" w:rsidP="002943F9">
      <w:pPr>
        <w:pStyle w:val="Body1"/>
        <w:numPr>
          <w:ilvl w:val="1"/>
          <w:numId w:val="10"/>
        </w:numPr>
        <w:spacing w:before="480" w:after="120" w:line="270" w:lineRule="atLeast"/>
        <w:jc w:val="both"/>
        <w:rPr>
          <w:rFonts w:ascii="Arial" w:hAnsi="Arial Unicode MS"/>
          <w:sz w:val="21"/>
        </w:rPr>
      </w:pPr>
      <w:r w:rsidRPr="002943F9">
        <w:rPr>
          <w:rFonts w:ascii="Arial" w:hAnsi="Arial Unicode MS"/>
          <w:color w:val="auto"/>
          <w:sz w:val="21"/>
        </w:rPr>
        <w:t xml:space="preserve">Los mercados de Asia (sin incluir India) crecen un </w:t>
      </w:r>
      <w:r w:rsidR="00215138" w:rsidRPr="002943F9">
        <w:rPr>
          <w:rFonts w:ascii="Arial" w:hAnsi="Arial Unicode MS"/>
          <w:color w:val="auto"/>
          <w:sz w:val="21"/>
        </w:rPr>
        <w:t xml:space="preserve">3 </w:t>
      </w:r>
      <w:r w:rsidRPr="002943F9">
        <w:rPr>
          <w:rFonts w:ascii="Arial" w:hAnsi="Arial Unicode MS"/>
          <w:color w:val="auto"/>
          <w:sz w:val="21"/>
        </w:rPr>
        <w:t xml:space="preserve">% en </w:t>
      </w:r>
      <w:r w:rsidR="00215138" w:rsidRPr="002943F9">
        <w:rPr>
          <w:rFonts w:ascii="Arial" w:hAnsi="Arial Unicode MS"/>
          <w:color w:val="auto"/>
          <w:sz w:val="21"/>
        </w:rPr>
        <w:t>los nueve meses, con situaciones</w:t>
      </w:r>
      <w:r w:rsidR="00215138" w:rsidRPr="00C5360F">
        <w:rPr>
          <w:rFonts w:ascii="Arial" w:hAnsi="Arial Unicode MS"/>
          <w:color w:val="auto"/>
          <w:sz w:val="21"/>
        </w:rPr>
        <w:t xml:space="preserve"> </w:t>
      </w:r>
      <w:r w:rsidR="002F4395" w:rsidRPr="00C5360F">
        <w:rPr>
          <w:rFonts w:ascii="Arial" w:hAnsi="Arial Unicode MS"/>
          <w:color w:val="auto"/>
          <w:sz w:val="21"/>
        </w:rPr>
        <w:t>diferenciadas</w:t>
      </w:r>
      <w:r w:rsidR="00215138" w:rsidRPr="002943F9">
        <w:rPr>
          <w:rFonts w:ascii="Arial" w:hAnsi="Arial Unicode MS"/>
          <w:color w:val="auto"/>
          <w:sz w:val="21"/>
        </w:rPr>
        <w:t xml:space="preserve"> seg</w:t>
      </w:r>
      <w:r w:rsidR="00215138" w:rsidRPr="002943F9">
        <w:rPr>
          <w:rFonts w:ascii="Arial" w:hAnsi="Arial Unicode MS"/>
          <w:color w:val="auto"/>
          <w:sz w:val="21"/>
        </w:rPr>
        <w:t>ú</w:t>
      </w:r>
      <w:r w:rsidR="00215138" w:rsidRPr="002943F9">
        <w:rPr>
          <w:rFonts w:ascii="Arial" w:hAnsi="Arial Unicode MS"/>
          <w:color w:val="auto"/>
          <w:sz w:val="21"/>
        </w:rPr>
        <w:t>n los mercados</w:t>
      </w:r>
      <w:r w:rsidRPr="002943F9">
        <w:rPr>
          <w:rFonts w:ascii="Arial" w:hAnsi="Arial Unicode MS"/>
          <w:color w:val="auto"/>
          <w:sz w:val="21"/>
        </w:rPr>
        <w:t xml:space="preserve">. En China, el mercado </w:t>
      </w:r>
      <w:r w:rsidR="00044716" w:rsidRPr="002943F9">
        <w:rPr>
          <w:rFonts w:ascii="Arial" w:hAnsi="Arial Unicode MS"/>
          <w:color w:val="auto"/>
          <w:sz w:val="21"/>
        </w:rPr>
        <w:t>sigue progresando</w:t>
      </w:r>
      <w:r w:rsidRPr="002943F9">
        <w:rPr>
          <w:rFonts w:ascii="Arial" w:hAnsi="Arial Unicode MS"/>
          <w:color w:val="auto"/>
          <w:sz w:val="21"/>
        </w:rPr>
        <w:t xml:space="preserve"> </w:t>
      </w:r>
      <w:r w:rsidR="002C0D1C" w:rsidRPr="002943F9">
        <w:rPr>
          <w:rFonts w:ascii="Arial" w:hAnsi="Arial Unicode MS"/>
          <w:color w:val="auto"/>
          <w:sz w:val="21"/>
        </w:rPr>
        <w:t>(+</w:t>
      </w:r>
      <w:r w:rsidR="002C0D1C" w:rsidRPr="002943F9">
        <w:rPr>
          <w:rFonts w:ascii="Arial" w:hAnsi="Arial Unicode MS"/>
          <w:color w:val="auto"/>
          <w:sz w:val="21"/>
        </w:rPr>
        <w:t> </w:t>
      </w:r>
      <w:r w:rsidR="002C0D1C" w:rsidRPr="002943F9">
        <w:rPr>
          <w:rFonts w:ascii="Arial" w:hAnsi="Arial Unicode MS"/>
          <w:color w:val="auto"/>
          <w:sz w:val="21"/>
        </w:rPr>
        <w:t>3</w:t>
      </w:r>
      <w:r w:rsidR="002C0D1C" w:rsidRPr="002943F9">
        <w:rPr>
          <w:rFonts w:ascii="Arial" w:hAnsi="Arial Unicode MS"/>
          <w:color w:val="auto"/>
          <w:sz w:val="21"/>
        </w:rPr>
        <w:t> </w:t>
      </w:r>
      <w:r w:rsidR="002C0D1C" w:rsidRPr="002943F9">
        <w:rPr>
          <w:rFonts w:ascii="Arial" w:hAnsi="Arial Unicode MS"/>
          <w:color w:val="auto"/>
          <w:sz w:val="21"/>
        </w:rPr>
        <w:t xml:space="preserve">% </w:t>
      </w:r>
      <w:r w:rsidR="008D0B48" w:rsidRPr="002943F9">
        <w:rPr>
          <w:rFonts w:ascii="Arial" w:hAnsi="Arial Unicode MS"/>
          <w:color w:val="auto"/>
          <w:sz w:val="21"/>
        </w:rPr>
        <w:t>en los nueve meses</w:t>
      </w:r>
      <w:r w:rsidR="002C0D1C" w:rsidRPr="002943F9">
        <w:rPr>
          <w:rFonts w:ascii="Arial" w:hAnsi="Arial Unicode MS"/>
          <w:color w:val="auto"/>
          <w:sz w:val="21"/>
        </w:rPr>
        <w:t>), con</w:t>
      </w:r>
      <w:r w:rsidR="00044716" w:rsidRPr="002943F9">
        <w:rPr>
          <w:rFonts w:ascii="Arial" w:hAnsi="Arial Unicode MS"/>
          <w:color w:val="auto"/>
          <w:sz w:val="21"/>
        </w:rPr>
        <w:t xml:space="preserve"> </w:t>
      </w:r>
      <w:r w:rsidR="00594FDE" w:rsidRPr="002943F9">
        <w:rPr>
          <w:rFonts w:ascii="Arial" w:hAnsi="Arial Unicode MS"/>
          <w:color w:val="auto"/>
          <w:sz w:val="21"/>
        </w:rPr>
        <w:t>una ralentizaci</w:t>
      </w:r>
      <w:r w:rsidR="00594FDE" w:rsidRPr="002943F9">
        <w:rPr>
          <w:rFonts w:ascii="Arial" w:hAnsi="Arial Unicode MS"/>
          <w:color w:val="auto"/>
          <w:sz w:val="21"/>
        </w:rPr>
        <w:t>ó</w:t>
      </w:r>
      <w:r w:rsidR="00594FDE" w:rsidRPr="002943F9">
        <w:rPr>
          <w:rFonts w:ascii="Arial" w:hAnsi="Arial Unicode MS"/>
          <w:color w:val="auto"/>
          <w:sz w:val="21"/>
        </w:rPr>
        <w:t>n</w:t>
      </w:r>
      <w:r w:rsidR="008C015B" w:rsidRPr="002943F9">
        <w:rPr>
          <w:rFonts w:ascii="Arial" w:hAnsi="Arial Unicode MS"/>
          <w:color w:val="auto"/>
          <w:sz w:val="21"/>
        </w:rPr>
        <w:t>, sin embargo,</w:t>
      </w:r>
      <w:r w:rsidR="002C0D1C" w:rsidRPr="002943F9">
        <w:rPr>
          <w:rFonts w:ascii="Arial" w:hAnsi="Arial Unicode MS"/>
          <w:color w:val="auto"/>
          <w:sz w:val="21"/>
        </w:rPr>
        <w:t xml:space="preserve"> </w:t>
      </w:r>
      <w:r w:rsidR="00044716" w:rsidRPr="002943F9">
        <w:rPr>
          <w:rFonts w:ascii="Arial" w:hAnsi="Arial Unicode MS"/>
          <w:color w:val="auto"/>
          <w:sz w:val="21"/>
        </w:rPr>
        <w:t xml:space="preserve">de </w:t>
      </w:r>
      <w:r w:rsidR="008C015B" w:rsidRPr="002943F9">
        <w:rPr>
          <w:rFonts w:ascii="Arial" w:hAnsi="Arial Unicode MS"/>
          <w:color w:val="auto"/>
          <w:sz w:val="21"/>
        </w:rPr>
        <w:t>la demanda de transporte</w:t>
      </w:r>
      <w:r w:rsidRPr="002943F9">
        <w:rPr>
          <w:rFonts w:ascii="Arial" w:hAnsi="Arial Unicode MS"/>
          <w:color w:val="auto"/>
          <w:sz w:val="21"/>
        </w:rPr>
        <w:t>. En Jap</w:t>
      </w:r>
      <w:r w:rsidRPr="002943F9">
        <w:rPr>
          <w:rFonts w:ascii="Arial" w:hAnsi="Arial Unicode MS"/>
          <w:color w:val="auto"/>
          <w:sz w:val="21"/>
        </w:rPr>
        <w:t>ó</w:t>
      </w:r>
      <w:r w:rsidRPr="002943F9">
        <w:rPr>
          <w:rFonts w:ascii="Arial" w:hAnsi="Arial Unicode MS"/>
          <w:color w:val="auto"/>
          <w:sz w:val="21"/>
        </w:rPr>
        <w:t xml:space="preserve">n, el mercado </w:t>
      </w:r>
      <w:r w:rsidR="008C015B" w:rsidRPr="002943F9">
        <w:rPr>
          <w:rFonts w:ascii="Arial" w:hAnsi="Arial Unicode MS"/>
          <w:color w:val="auto"/>
          <w:sz w:val="21"/>
        </w:rPr>
        <w:t>se mantiene s</w:t>
      </w:r>
      <w:r w:rsidR="008C015B" w:rsidRPr="002943F9">
        <w:rPr>
          <w:rFonts w:ascii="Arial" w:hAnsi="Arial Unicode MS"/>
          <w:color w:val="auto"/>
          <w:sz w:val="21"/>
        </w:rPr>
        <w:t>ó</w:t>
      </w:r>
      <w:r w:rsidR="008C015B" w:rsidRPr="002943F9">
        <w:rPr>
          <w:rFonts w:ascii="Arial" w:hAnsi="Arial Unicode MS"/>
          <w:color w:val="auto"/>
          <w:sz w:val="21"/>
        </w:rPr>
        <w:t xml:space="preserve">lidamente orientado </w:t>
      </w:r>
      <w:r w:rsidR="00AC13EE" w:rsidRPr="002943F9">
        <w:rPr>
          <w:rFonts w:ascii="Arial" w:hAnsi="Arial Unicode MS"/>
          <w:color w:val="auto"/>
          <w:sz w:val="21"/>
        </w:rPr>
        <w:t xml:space="preserve">(+ </w:t>
      </w:r>
      <w:r w:rsidR="008C015B" w:rsidRPr="002943F9">
        <w:rPr>
          <w:rFonts w:ascii="Arial" w:hAnsi="Arial Unicode MS"/>
          <w:color w:val="auto"/>
          <w:sz w:val="21"/>
        </w:rPr>
        <w:t xml:space="preserve">13 </w:t>
      </w:r>
      <w:r w:rsidR="00AC13EE" w:rsidRPr="002943F9">
        <w:rPr>
          <w:rFonts w:ascii="Arial" w:hAnsi="Arial Unicode MS"/>
          <w:color w:val="auto"/>
          <w:sz w:val="21"/>
        </w:rPr>
        <w:t>% en los nueve meses)</w:t>
      </w:r>
      <w:r w:rsidR="008C015B" w:rsidRPr="002943F9">
        <w:rPr>
          <w:rFonts w:ascii="Arial" w:hAnsi="Arial Unicode MS"/>
          <w:color w:val="auto"/>
          <w:sz w:val="21"/>
        </w:rPr>
        <w:t>, sin</w:t>
      </w:r>
      <w:r w:rsidR="00E07F43" w:rsidRPr="002943F9">
        <w:rPr>
          <w:rFonts w:ascii="Arial" w:hAnsi="Arial Unicode MS"/>
          <w:color w:val="auto"/>
          <w:sz w:val="21"/>
        </w:rPr>
        <w:t xml:space="preserve"> consecuencias </w:t>
      </w:r>
      <w:r w:rsidR="00010858">
        <w:rPr>
          <w:rFonts w:ascii="Arial" w:hAnsi="Arial Unicode MS"/>
          <w:color w:val="auto"/>
          <w:sz w:val="21"/>
        </w:rPr>
        <w:t>por</w:t>
      </w:r>
      <w:r w:rsidR="00E07F43" w:rsidRPr="002943F9">
        <w:rPr>
          <w:rFonts w:ascii="Arial" w:hAnsi="Arial Unicode MS"/>
          <w:color w:val="auto"/>
          <w:sz w:val="21"/>
        </w:rPr>
        <w:t xml:space="preserve"> las compras anticipadas que hab</w:t>
      </w:r>
      <w:r w:rsidR="00E07F43" w:rsidRPr="002943F9">
        <w:rPr>
          <w:rFonts w:ascii="Arial" w:hAnsi="Arial Unicode MS"/>
          <w:color w:val="auto"/>
          <w:sz w:val="21"/>
        </w:rPr>
        <w:t>í</w:t>
      </w:r>
      <w:r w:rsidR="00E07F43" w:rsidRPr="002943F9">
        <w:rPr>
          <w:rFonts w:ascii="Arial" w:hAnsi="Arial Unicode MS"/>
          <w:color w:val="auto"/>
          <w:sz w:val="21"/>
        </w:rPr>
        <w:t>an precedido a la subida del IVA.</w:t>
      </w:r>
      <w:r w:rsidR="008C015B" w:rsidRPr="002943F9">
        <w:rPr>
          <w:rFonts w:ascii="Arial" w:hAnsi="Arial Unicode MS"/>
          <w:color w:val="auto"/>
          <w:sz w:val="21"/>
        </w:rPr>
        <w:t xml:space="preserve"> </w:t>
      </w:r>
      <w:r w:rsidR="006A23D9" w:rsidRPr="002943F9">
        <w:rPr>
          <w:rFonts w:ascii="Arial" w:hAnsi="Arial Unicode MS"/>
          <w:color w:val="auto"/>
          <w:sz w:val="21"/>
        </w:rPr>
        <w:t>En el sudeste asi</w:t>
      </w:r>
      <w:r w:rsidR="006A23D9" w:rsidRPr="002943F9">
        <w:rPr>
          <w:rFonts w:ascii="Arial" w:hAnsi="Arial Unicode MS"/>
          <w:color w:val="auto"/>
          <w:sz w:val="21"/>
        </w:rPr>
        <w:t>á</w:t>
      </w:r>
      <w:r w:rsidR="006A23D9" w:rsidRPr="002943F9">
        <w:rPr>
          <w:rFonts w:ascii="Arial" w:hAnsi="Arial Unicode MS"/>
          <w:color w:val="auto"/>
          <w:sz w:val="21"/>
        </w:rPr>
        <w:t>tico, (+</w:t>
      </w:r>
      <w:r w:rsidR="006A23D9" w:rsidRPr="002943F9">
        <w:rPr>
          <w:rFonts w:ascii="Arial" w:hAnsi="Arial Unicode MS"/>
          <w:color w:val="auto"/>
          <w:sz w:val="21"/>
        </w:rPr>
        <w:t> </w:t>
      </w:r>
      <w:r w:rsidR="006A23D9" w:rsidRPr="002943F9">
        <w:rPr>
          <w:rFonts w:ascii="Arial" w:hAnsi="Arial Unicode MS"/>
          <w:color w:val="auto"/>
          <w:sz w:val="21"/>
        </w:rPr>
        <w:t>1</w:t>
      </w:r>
      <w:r w:rsidR="006A23D9" w:rsidRPr="002943F9">
        <w:rPr>
          <w:rFonts w:ascii="Arial" w:hAnsi="Arial Unicode MS"/>
          <w:color w:val="auto"/>
          <w:sz w:val="21"/>
        </w:rPr>
        <w:t> </w:t>
      </w:r>
      <w:r w:rsidR="006A23D9" w:rsidRPr="002943F9">
        <w:rPr>
          <w:rFonts w:ascii="Arial" w:hAnsi="Arial Unicode MS"/>
          <w:color w:val="auto"/>
          <w:sz w:val="21"/>
        </w:rPr>
        <w:t>% a finales de septiembre), el dinamismo de la demanda en Indonesia compensa el retroceso del mercado</w:t>
      </w:r>
      <w:r w:rsidR="002943F9" w:rsidRPr="002943F9">
        <w:rPr>
          <w:rFonts w:ascii="Arial" w:hAnsi="Arial Unicode MS"/>
          <w:color w:val="auto"/>
          <w:sz w:val="21"/>
        </w:rPr>
        <w:t xml:space="preserve"> tailand</w:t>
      </w:r>
      <w:r w:rsidR="002943F9" w:rsidRPr="002943F9">
        <w:rPr>
          <w:rFonts w:ascii="Arial" w:hAnsi="Arial Unicode MS"/>
          <w:color w:val="auto"/>
          <w:sz w:val="21"/>
        </w:rPr>
        <w:t>é</w:t>
      </w:r>
      <w:r w:rsidR="002943F9" w:rsidRPr="002943F9">
        <w:rPr>
          <w:rFonts w:ascii="Arial" w:hAnsi="Arial Unicode MS"/>
          <w:color w:val="auto"/>
          <w:sz w:val="21"/>
        </w:rPr>
        <w:t>s.</w:t>
      </w:r>
    </w:p>
    <w:p w14:paraId="4A398877" w14:textId="4EAD7261" w:rsidR="002943F9" w:rsidRPr="002943F9" w:rsidRDefault="002943F9" w:rsidP="002943F9">
      <w:pPr>
        <w:pStyle w:val="Body1"/>
        <w:numPr>
          <w:ilvl w:val="1"/>
          <w:numId w:val="10"/>
        </w:numPr>
        <w:spacing w:before="480" w:after="120" w:line="270" w:lineRule="atLeast"/>
        <w:jc w:val="both"/>
        <w:rPr>
          <w:rFonts w:ascii="Arial" w:hAnsi="Arial Unicode MS"/>
          <w:sz w:val="21"/>
        </w:rPr>
      </w:pPr>
      <w:r w:rsidRPr="000E462D">
        <w:rPr>
          <w:rFonts w:ascii="Arial" w:hAnsi="Arial Unicode MS"/>
          <w:color w:val="auto"/>
          <w:sz w:val="21"/>
        </w:rPr>
        <w:t>En Sudam</w:t>
      </w:r>
      <w:r w:rsidRPr="000E462D">
        <w:rPr>
          <w:rFonts w:ascii="Arial" w:hAnsi="Arial Unicode MS"/>
          <w:color w:val="auto"/>
          <w:sz w:val="21"/>
        </w:rPr>
        <w:t>é</w:t>
      </w:r>
      <w:r w:rsidRPr="000E462D">
        <w:rPr>
          <w:rFonts w:ascii="Arial" w:hAnsi="Arial Unicode MS"/>
          <w:color w:val="auto"/>
          <w:sz w:val="21"/>
        </w:rPr>
        <w:t>rica, el mercado c</w:t>
      </w:r>
      <w:r>
        <w:rPr>
          <w:rFonts w:ascii="Arial" w:hAnsi="Arial Unicode MS"/>
          <w:color w:val="auto"/>
          <w:sz w:val="21"/>
        </w:rPr>
        <w:t xml:space="preserve">ae un 3 </w:t>
      </w:r>
      <w:r w:rsidRPr="000E462D">
        <w:rPr>
          <w:rFonts w:ascii="Arial" w:hAnsi="Arial Unicode MS"/>
          <w:color w:val="auto"/>
          <w:sz w:val="21"/>
        </w:rPr>
        <w:t>% hasta fin de septiembre, con evoluciones</w:t>
      </w:r>
      <w:r w:rsidRPr="00C5360F">
        <w:rPr>
          <w:rFonts w:ascii="Arial" w:hAnsi="Arial Unicode MS"/>
          <w:color w:val="auto"/>
          <w:sz w:val="21"/>
        </w:rPr>
        <w:t xml:space="preserve"> </w:t>
      </w:r>
      <w:r w:rsidR="002F4395" w:rsidRPr="00C5360F">
        <w:rPr>
          <w:rFonts w:ascii="Arial" w:hAnsi="Arial Unicode MS"/>
          <w:color w:val="auto"/>
          <w:sz w:val="21"/>
        </w:rPr>
        <w:t>diferentes</w:t>
      </w:r>
      <w:r w:rsidRPr="00C5360F">
        <w:rPr>
          <w:rFonts w:ascii="Arial" w:hAnsi="Arial Unicode MS"/>
          <w:color w:val="auto"/>
          <w:sz w:val="21"/>
        </w:rPr>
        <w:t xml:space="preserve"> </w:t>
      </w:r>
      <w:r w:rsidR="00AB375E" w:rsidRPr="00C5360F">
        <w:rPr>
          <w:rFonts w:ascii="Arial" w:hAnsi="Arial Unicode MS"/>
          <w:color w:val="auto"/>
          <w:sz w:val="21"/>
        </w:rPr>
        <w:t>por pa</w:t>
      </w:r>
      <w:r w:rsidR="00AB375E" w:rsidRPr="00C5360F">
        <w:rPr>
          <w:rFonts w:ascii="Arial" w:hAnsi="Arial Unicode MS"/>
          <w:color w:val="auto"/>
          <w:sz w:val="21"/>
        </w:rPr>
        <w:t>í</w:t>
      </w:r>
      <w:r w:rsidR="00AB375E" w:rsidRPr="00C5360F">
        <w:rPr>
          <w:rFonts w:ascii="Arial" w:hAnsi="Arial Unicode MS"/>
          <w:color w:val="auto"/>
          <w:sz w:val="21"/>
        </w:rPr>
        <w:t>s en funci</w:t>
      </w:r>
      <w:r w:rsidR="00AB375E" w:rsidRPr="00C5360F">
        <w:rPr>
          <w:rFonts w:ascii="Arial" w:hAnsi="Arial Unicode MS"/>
          <w:color w:val="auto"/>
          <w:sz w:val="21"/>
        </w:rPr>
        <w:t>ó</w:t>
      </w:r>
      <w:r w:rsidR="00AB375E" w:rsidRPr="00C5360F">
        <w:rPr>
          <w:rFonts w:ascii="Arial" w:hAnsi="Arial Unicode MS"/>
          <w:color w:val="auto"/>
          <w:sz w:val="21"/>
        </w:rPr>
        <w:t>n de los contextos econ</w:t>
      </w:r>
      <w:r w:rsidR="00AB375E" w:rsidRPr="00C5360F">
        <w:rPr>
          <w:rFonts w:ascii="Arial" w:hAnsi="Arial Unicode MS"/>
          <w:color w:val="auto"/>
          <w:sz w:val="21"/>
        </w:rPr>
        <w:t>ó</w:t>
      </w:r>
      <w:r w:rsidR="00AB375E" w:rsidRPr="00C5360F">
        <w:rPr>
          <w:rFonts w:ascii="Arial" w:hAnsi="Arial Unicode MS"/>
          <w:color w:val="auto"/>
          <w:sz w:val="21"/>
        </w:rPr>
        <w:t>micos y sociales.</w:t>
      </w:r>
    </w:p>
    <w:p w14:paraId="0754788D" w14:textId="45567C83" w:rsidR="002943F9" w:rsidRPr="002943F9" w:rsidRDefault="002943F9" w:rsidP="00AB375E">
      <w:pPr>
        <w:pStyle w:val="Body1"/>
        <w:spacing w:before="480" w:after="120" w:line="270" w:lineRule="atLeast"/>
        <w:ind w:left="1440"/>
        <w:jc w:val="both"/>
        <w:rPr>
          <w:rFonts w:ascii="Arial" w:hAnsi="Arial Unicode MS"/>
          <w:sz w:val="21"/>
        </w:rPr>
      </w:pPr>
    </w:p>
    <w:p w14:paraId="73968171" w14:textId="77777777" w:rsidR="002943F9" w:rsidRDefault="002943F9" w:rsidP="00FA5138">
      <w:pPr>
        <w:pStyle w:val="Body1"/>
        <w:tabs>
          <w:tab w:val="left" w:pos="360"/>
        </w:tabs>
        <w:spacing w:after="60"/>
        <w:ind w:left="720"/>
        <w:jc w:val="both"/>
        <w:rPr>
          <w:rFonts w:ascii="Arial" w:hAnsi="Arial Unicode MS"/>
          <w:color w:val="auto"/>
          <w:sz w:val="21"/>
        </w:rPr>
      </w:pPr>
    </w:p>
    <w:p w14:paraId="29FBBE63" w14:textId="16017283" w:rsidR="00440D50" w:rsidRPr="00AB154E" w:rsidRDefault="00B24343" w:rsidP="00440D50">
      <w:pPr>
        <w:tabs>
          <w:tab w:val="left" w:pos="284"/>
        </w:tabs>
        <w:jc w:val="both"/>
        <w:rPr>
          <w:b/>
          <w:sz w:val="26"/>
        </w:rPr>
      </w:pPr>
      <w:r>
        <w:rPr>
          <w:b/>
          <w:sz w:val="26"/>
        </w:rPr>
        <w:br w:type="column"/>
      </w:r>
      <w:r w:rsidR="00440D50" w:rsidRPr="00AB154E">
        <w:rPr>
          <w:b/>
          <w:sz w:val="26"/>
        </w:rPr>
        <w:lastRenderedPageBreak/>
        <w:t>Neumáticos de especialidades</w:t>
      </w:r>
    </w:p>
    <w:p w14:paraId="32CE44F2" w14:textId="77777777" w:rsidR="00440D50" w:rsidRDefault="00440D50" w:rsidP="00FA5138">
      <w:pPr>
        <w:pStyle w:val="Body1"/>
        <w:tabs>
          <w:tab w:val="left" w:pos="360"/>
        </w:tabs>
        <w:spacing w:after="60"/>
        <w:ind w:left="720"/>
        <w:jc w:val="both"/>
        <w:rPr>
          <w:rFonts w:ascii="Verdana" w:hAnsi="Verdana" w:cs="Arial"/>
        </w:rPr>
      </w:pPr>
    </w:p>
    <w:p w14:paraId="13CB3368" w14:textId="7D6934A0" w:rsidR="00440D50" w:rsidRPr="009E4FF9" w:rsidRDefault="00440D50" w:rsidP="00440D50">
      <w:pPr>
        <w:numPr>
          <w:ilvl w:val="0"/>
          <w:numId w:val="5"/>
        </w:numPr>
        <w:spacing w:after="60"/>
        <w:ind w:left="709" w:hanging="283"/>
        <w:jc w:val="both"/>
        <w:rPr>
          <w:rFonts w:ascii="Arial" w:hAnsi="Arial"/>
        </w:rPr>
      </w:pPr>
      <w:r w:rsidRPr="009E4FF9">
        <w:rPr>
          <w:rFonts w:ascii="Arial" w:hAnsi="Arial"/>
          <w:b/>
          <w:sz w:val="21"/>
        </w:rPr>
        <w:t>Ingeniería civil:</w:t>
      </w:r>
      <w:r w:rsidRPr="009E4FF9">
        <w:rPr>
          <w:rFonts w:ascii="Arial" w:hAnsi="Arial Unicode MS"/>
          <w:b/>
          <w:sz w:val="21"/>
        </w:rPr>
        <w:t xml:space="preserve"> </w:t>
      </w:r>
      <w:r w:rsidR="000E324E">
        <w:rPr>
          <w:rFonts w:ascii="Arial" w:hAnsi="Arial Unicode MS"/>
          <w:sz w:val="21"/>
        </w:rPr>
        <w:t>desde el cuarto trimestre de 2013, el</w:t>
      </w:r>
      <w:r w:rsidRPr="009E4FF9">
        <w:rPr>
          <w:rFonts w:ascii="Arial" w:hAnsi="Arial Unicode MS"/>
          <w:sz w:val="21"/>
        </w:rPr>
        <w:t xml:space="preserve"> mercado de neum</w:t>
      </w:r>
      <w:r w:rsidRPr="009E4FF9">
        <w:rPr>
          <w:rFonts w:ascii="Arial" w:hAnsi="Arial Unicode MS"/>
          <w:sz w:val="21"/>
        </w:rPr>
        <w:t>á</w:t>
      </w:r>
      <w:r w:rsidRPr="009E4FF9">
        <w:rPr>
          <w:rFonts w:ascii="Arial" w:hAnsi="Arial Unicode MS"/>
          <w:sz w:val="21"/>
        </w:rPr>
        <w:t>ticos para miner</w:t>
      </w:r>
      <w:r w:rsidRPr="009E4FF9">
        <w:rPr>
          <w:rFonts w:ascii="Arial" w:hAnsi="Arial Unicode MS"/>
          <w:sz w:val="21"/>
        </w:rPr>
        <w:t>í</w:t>
      </w:r>
      <w:r w:rsidRPr="009E4FF9">
        <w:rPr>
          <w:rFonts w:ascii="Arial" w:hAnsi="Arial Unicode MS"/>
          <w:sz w:val="21"/>
        </w:rPr>
        <w:t xml:space="preserve">a sigue </w:t>
      </w:r>
      <w:r w:rsidR="000E324E">
        <w:rPr>
          <w:rFonts w:ascii="Arial" w:hAnsi="Arial Unicode MS"/>
          <w:sz w:val="21"/>
        </w:rPr>
        <w:t>en retroceso en relaci</w:t>
      </w:r>
      <w:r w:rsidR="000E324E">
        <w:rPr>
          <w:rFonts w:ascii="Arial" w:hAnsi="Arial Unicode MS"/>
          <w:sz w:val="21"/>
        </w:rPr>
        <w:t>ó</w:t>
      </w:r>
      <w:r w:rsidR="000E324E">
        <w:rPr>
          <w:rFonts w:ascii="Arial" w:hAnsi="Arial Unicode MS"/>
          <w:sz w:val="21"/>
        </w:rPr>
        <w:t>n con el a</w:t>
      </w:r>
      <w:r w:rsidR="000E324E">
        <w:rPr>
          <w:rFonts w:ascii="Arial" w:hAnsi="Arial Unicode MS"/>
          <w:sz w:val="21"/>
        </w:rPr>
        <w:t>ñ</w:t>
      </w:r>
      <w:r w:rsidR="001E36CE">
        <w:rPr>
          <w:rFonts w:ascii="Arial" w:hAnsi="Arial Unicode MS"/>
          <w:sz w:val="21"/>
        </w:rPr>
        <w:t>o precedente, penalizado por la disminuci</w:t>
      </w:r>
      <w:r w:rsidR="001E36CE">
        <w:rPr>
          <w:rFonts w:ascii="Arial" w:hAnsi="Arial Unicode MS"/>
          <w:sz w:val="21"/>
        </w:rPr>
        <w:t>ó</w:t>
      </w:r>
      <w:r w:rsidR="001E36CE">
        <w:rPr>
          <w:rFonts w:ascii="Arial" w:hAnsi="Arial Unicode MS"/>
          <w:sz w:val="21"/>
        </w:rPr>
        <w:t>n del stock de las compa</w:t>
      </w:r>
      <w:r w:rsidR="001E36CE">
        <w:rPr>
          <w:rFonts w:ascii="Arial" w:hAnsi="Arial Unicode MS"/>
          <w:sz w:val="21"/>
        </w:rPr>
        <w:t>ñí</w:t>
      </w:r>
      <w:r w:rsidR="001E36CE">
        <w:rPr>
          <w:rFonts w:ascii="Arial" w:hAnsi="Arial Unicode MS"/>
          <w:sz w:val="21"/>
        </w:rPr>
        <w:t xml:space="preserve">as mineras. La bajada de </w:t>
      </w:r>
      <w:r w:rsidR="001136C4">
        <w:rPr>
          <w:rFonts w:ascii="Arial" w:hAnsi="Arial Unicode MS"/>
          <w:sz w:val="21"/>
        </w:rPr>
        <w:t>la cotizaci</w:t>
      </w:r>
      <w:r w:rsidR="001136C4">
        <w:rPr>
          <w:rFonts w:ascii="Arial" w:hAnsi="Arial Unicode MS"/>
          <w:sz w:val="21"/>
        </w:rPr>
        <w:t>ó</w:t>
      </w:r>
      <w:r w:rsidR="001136C4">
        <w:rPr>
          <w:rFonts w:ascii="Arial" w:hAnsi="Arial Unicode MS"/>
          <w:sz w:val="21"/>
        </w:rPr>
        <w:t>n de ciertos minerales (</w:t>
      </w:r>
      <w:r w:rsidR="00936DCA">
        <w:rPr>
          <w:rFonts w:ascii="Arial" w:hAnsi="Arial Unicode MS"/>
          <w:sz w:val="21"/>
        </w:rPr>
        <w:t>hierro,</w:t>
      </w:r>
      <w:r w:rsidR="001136C4">
        <w:rPr>
          <w:rFonts w:ascii="Arial" w:hAnsi="Arial Unicode MS"/>
          <w:sz w:val="21"/>
        </w:rPr>
        <w:t xml:space="preserve"> carb</w:t>
      </w:r>
      <w:r w:rsidR="001136C4">
        <w:rPr>
          <w:rFonts w:ascii="Arial" w:hAnsi="Arial Unicode MS"/>
          <w:sz w:val="21"/>
        </w:rPr>
        <w:t>ó</w:t>
      </w:r>
      <w:r w:rsidR="001136C4">
        <w:rPr>
          <w:rFonts w:ascii="Arial" w:hAnsi="Arial Unicode MS"/>
          <w:sz w:val="21"/>
        </w:rPr>
        <w:t xml:space="preserve">n) </w:t>
      </w:r>
      <w:r w:rsidR="00936DCA">
        <w:rPr>
          <w:rFonts w:ascii="Arial" w:hAnsi="Arial Unicode MS"/>
          <w:sz w:val="21"/>
        </w:rPr>
        <w:t>ha tenido un impacto sobre la actividad de extracci</w:t>
      </w:r>
      <w:r w:rsidR="00936DCA">
        <w:rPr>
          <w:rFonts w:ascii="Arial" w:hAnsi="Arial Unicode MS"/>
          <w:sz w:val="21"/>
        </w:rPr>
        <w:t>ó</w:t>
      </w:r>
      <w:r w:rsidR="00936DCA">
        <w:rPr>
          <w:rFonts w:ascii="Arial" w:hAnsi="Arial Unicode MS"/>
          <w:sz w:val="21"/>
        </w:rPr>
        <w:t>n</w:t>
      </w:r>
      <w:r w:rsidRPr="009E4FF9">
        <w:rPr>
          <w:rFonts w:ascii="Arial" w:hAnsi="Arial Unicode MS"/>
          <w:sz w:val="21"/>
        </w:rPr>
        <w:t xml:space="preserve">. </w:t>
      </w:r>
    </w:p>
    <w:p w14:paraId="757FD2E0" w14:textId="6701AA68" w:rsidR="00440D50" w:rsidRPr="009E4FF9" w:rsidRDefault="00440D50" w:rsidP="0014641C">
      <w:pPr>
        <w:pStyle w:val="Body1"/>
        <w:tabs>
          <w:tab w:val="left" w:pos="360"/>
        </w:tabs>
        <w:spacing w:after="60"/>
        <w:ind w:left="720"/>
        <w:jc w:val="both"/>
        <w:rPr>
          <w:rFonts w:ascii="Arial" w:hAnsi="Arial"/>
          <w:color w:val="auto"/>
        </w:rPr>
      </w:pPr>
      <w:r w:rsidRPr="009E4FF9">
        <w:rPr>
          <w:rFonts w:ascii="Arial" w:hAnsi="Arial Unicode MS"/>
          <w:color w:val="auto"/>
          <w:sz w:val="21"/>
        </w:rPr>
        <w:t>L</w:t>
      </w:r>
      <w:r w:rsidR="0014641C">
        <w:rPr>
          <w:rFonts w:ascii="Arial" w:hAnsi="Arial Unicode MS"/>
          <w:color w:val="auto"/>
          <w:sz w:val="21"/>
        </w:rPr>
        <w:t xml:space="preserve">os mercados de </w:t>
      </w:r>
      <w:r w:rsidRPr="009E4FF9">
        <w:rPr>
          <w:rFonts w:ascii="Arial" w:hAnsi="Arial Unicode MS"/>
          <w:color w:val="auto"/>
          <w:sz w:val="21"/>
        </w:rPr>
        <w:t xml:space="preserve">primeros equipos </w:t>
      </w:r>
      <w:r w:rsidR="0014641C">
        <w:rPr>
          <w:rFonts w:ascii="Arial" w:hAnsi="Arial Unicode MS"/>
          <w:color w:val="auto"/>
          <w:sz w:val="21"/>
        </w:rPr>
        <w:t>est</w:t>
      </w:r>
      <w:r w:rsidR="0014641C">
        <w:rPr>
          <w:rFonts w:ascii="Arial" w:hAnsi="Arial Unicode MS"/>
          <w:color w:val="auto"/>
          <w:sz w:val="21"/>
        </w:rPr>
        <w:t>á</w:t>
      </w:r>
      <w:r w:rsidR="0014641C">
        <w:rPr>
          <w:rFonts w:ascii="Arial" w:hAnsi="Arial Unicode MS"/>
          <w:color w:val="auto"/>
          <w:sz w:val="21"/>
        </w:rPr>
        <w:t>n en retroceso</w:t>
      </w:r>
      <w:r w:rsidR="002F4395" w:rsidRPr="007A2B37">
        <w:rPr>
          <w:rFonts w:ascii="Arial" w:hAnsi="Arial Unicode MS"/>
          <w:color w:val="auto"/>
          <w:sz w:val="21"/>
        </w:rPr>
        <w:t>,</w:t>
      </w:r>
      <w:r w:rsidR="0014641C">
        <w:rPr>
          <w:rFonts w:ascii="Arial" w:hAnsi="Arial Unicode MS"/>
          <w:color w:val="auto"/>
          <w:sz w:val="21"/>
        </w:rPr>
        <w:t xml:space="preserve"> desde comienzos del a</w:t>
      </w:r>
      <w:r w:rsidR="0014641C">
        <w:rPr>
          <w:rFonts w:ascii="Arial" w:hAnsi="Arial Unicode MS"/>
          <w:color w:val="auto"/>
          <w:sz w:val="21"/>
        </w:rPr>
        <w:t>ñ</w:t>
      </w:r>
      <w:r w:rsidR="00D9238E">
        <w:rPr>
          <w:rFonts w:ascii="Arial" w:hAnsi="Arial Unicode MS"/>
          <w:color w:val="auto"/>
          <w:sz w:val="21"/>
        </w:rPr>
        <w:t>o en las zonas maduras</w:t>
      </w:r>
      <w:r w:rsidR="002F4395" w:rsidRPr="007A2B37">
        <w:rPr>
          <w:rFonts w:ascii="Arial" w:hAnsi="Arial Unicode MS"/>
          <w:color w:val="auto"/>
          <w:sz w:val="21"/>
        </w:rPr>
        <w:t>,</w:t>
      </w:r>
      <w:r w:rsidR="00D9238E">
        <w:rPr>
          <w:rFonts w:ascii="Arial" w:hAnsi="Arial Unicode MS"/>
          <w:color w:val="auto"/>
          <w:sz w:val="21"/>
        </w:rPr>
        <w:t xml:space="preserve"> </w:t>
      </w:r>
      <w:r w:rsidRPr="009E4FF9">
        <w:rPr>
          <w:rFonts w:ascii="Arial" w:hAnsi="Arial Unicode MS"/>
          <w:color w:val="auto"/>
          <w:sz w:val="21"/>
        </w:rPr>
        <w:t>por la reducci</w:t>
      </w:r>
      <w:r w:rsidRPr="009E4FF9">
        <w:rPr>
          <w:rFonts w:ascii="Arial" w:hAnsi="Arial Unicode MS"/>
          <w:color w:val="auto"/>
          <w:sz w:val="21"/>
        </w:rPr>
        <w:t>ó</w:t>
      </w:r>
      <w:r w:rsidRPr="009E4FF9">
        <w:rPr>
          <w:rFonts w:ascii="Arial" w:hAnsi="Arial Unicode MS"/>
          <w:color w:val="auto"/>
          <w:sz w:val="21"/>
        </w:rPr>
        <w:t>n de stock</w:t>
      </w:r>
      <w:r w:rsidR="00D9238E">
        <w:rPr>
          <w:rFonts w:ascii="Arial" w:hAnsi="Arial Unicode MS"/>
          <w:color w:val="auto"/>
          <w:sz w:val="21"/>
        </w:rPr>
        <w:t xml:space="preserve"> realizado en 2013 por </w:t>
      </w:r>
      <w:r w:rsidRPr="009E4FF9">
        <w:rPr>
          <w:rFonts w:ascii="Arial" w:hAnsi="Arial Unicode MS"/>
          <w:color w:val="auto"/>
          <w:sz w:val="21"/>
        </w:rPr>
        <w:t>los constructores.</w:t>
      </w:r>
    </w:p>
    <w:p w14:paraId="18A630EB" w14:textId="2B7A459A" w:rsidR="006C08F0" w:rsidRDefault="00440D50" w:rsidP="006C08F0">
      <w:pPr>
        <w:pStyle w:val="Body1"/>
        <w:tabs>
          <w:tab w:val="left" w:pos="360"/>
        </w:tabs>
        <w:spacing w:after="60"/>
        <w:ind w:left="720"/>
        <w:jc w:val="both"/>
        <w:rPr>
          <w:rFonts w:ascii="Arial" w:hAnsi="Arial Unicode MS"/>
          <w:color w:val="auto"/>
          <w:sz w:val="21"/>
        </w:rPr>
      </w:pPr>
      <w:r w:rsidRPr="009E4FF9">
        <w:rPr>
          <w:rFonts w:ascii="Arial" w:hAnsi="Arial Unicode MS"/>
          <w:color w:val="auto"/>
          <w:sz w:val="21"/>
        </w:rPr>
        <w:t>El mercado de neum</w:t>
      </w:r>
      <w:r w:rsidRPr="009E4FF9">
        <w:rPr>
          <w:rFonts w:ascii="Arial" w:hAnsi="Arial Unicode MS"/>
          <w:color w:val="auto"/>
          <w:sz w:val="21"/>
        </w:rPr>
        <w:t>á</w:t>
      </w:r>
      <w:r w:rsidRPr="009E4FF9">
        <w:rPr>
          <w:rFonts w:ascii="Arial" w:hAnsi="Arial Unicode MS"/>
          <w:color w:val="auto"/>
          <w:sz w:val="21"/>
        </w:rPr>
        <w:t xml:space="preserve">ticos para infraestructuras y canteras </w:t>
      </w:r>
      <w:r w:rsidR="00CD640A">
        <w:rPr>
          <w:rFonts w:ascii="Arial" w:hAnsi="Arial Unicode MS"/>
          <w:color w:val="auto"/>
          <w:sz w:val="21"/>
        </w:rPr>
        <w:t xml:space="preserve">crece en </w:t>
      </w:r>
      <w:r w:rsidRPr="009E4FF9">
        <w:rPr>
          <w:rFonts w:ascii="Arial" w:hAnsi="Arial Unicode MS"/>
          <w:color w:val="auto"/>
          <w:sz w:val="21"/>
        </w:rPr>
        <w:t>los pa</w:t>
      </w:r>
      <w:r w:rsidRPr="009E4FF9">
        <w:rPr>
          <w:rFonts w:ascii="Arial" w:hAnsi="Arial Unicode MS"/>
          <w:color w:val="auto"/>
          <w:sz w:val="21"/>
        </w:rPr>
        <w:t>í</w:t>
      </w:r>
      <w:r w:rsidRPr="009E4FF9">
        <w:rPr>
          <w:rFonts w:ascii="Arial" w:hAnsi="Arial Unicode MS"/>
          <w:color w:val="auto"/>
          <w:sz w:val="21"/>
        </w:rPr>
        <w:t>ses maduros</w:t>
      </w:r>
      <w:r w:rsidR="00E17962">
        <w:rPr>
          <w:rFonts w:ascii="Arial" w:hAnsi="Arial Unicode MS"/>
          <w:color w:val="auto"/>
          <w:sz w:val="21"/>
        </w:rPr>
        <w:t>,</w:t>
      </w:r>
      <w:r w:rsidR="00CD640A">
        <w:rPr>
          <w:rFonts w:ascii="Arial" w:hAnsi="Arial Unicode MS"/>
          <w:color w:val="auto"/>
          <w:sz w:val="21"/>
        </w:rPr>
        <w:t xml:space="preserve"> gracias especialmente, al nivel de stock </w:t>
      </w:r>
      <w:r w:rsidR="00922876">
        <w:rPr>
          <w:rFonts w:ascii="Arial" w:hAnsi="Arial Unicode MS"/>
          <w:color w:val="auto"/>
          <w:sz w:val="21"/>
        </w:rPr>
        <w:t>de la distribuci</w:t>
      </w:r>
      <w:r w:rsidR="00922876">
        <w:rPr>
          <w:rFonts w:ascii="Arial" w:hAnsi="Arial Unicode MS"/>
          <w:color w:val="auto"/>
          <w:sz w:val="21"/>
        </w:rPr>
        <w:t>ó</w:t>
      </w:r>
      <w:r w:rsidR="00922876">
        <w:rPr>
          <w:rFonts w:ascii="Arial" w:hAnsi="Arial Unicode MS"/>
          <w:color w:val="auto"/>
          <w:sz w:val="21"/>
        </w:rPr>
        <w:t>n</w:t>
      </w:r>
      <w:r w:rsidR="002F4395" w:rsidRPr="007A2B37">
        <w:rPr>
          <w:rFonts w:ascii="Arial" w:hAnsi="Arial Unicode MS"/>
          <w:color w:val="auto"/>
          <w:sz w:val="21"/>
        </w:rPr>
        <w:t>,</w:t>
      </w:r>
      <w:r w:rsidR="00922876">
        <w:rPr>
          <w:rFonts w:ascii="Arial" w:hAnsi="Arial Unicode MS"/>
          <w:color w:val="auto"/>
          <w:sz w:val="21"/>
        </w:rPr>
        <w:t xml:space="preserve"> </w:t>
      </w:r>
      <w:r w:rsidR="00CD640A">
        <w:rPr>
          <w:rFonts w:ascii="Arial" w:hAnsi="Arial Unicode MS"/>
          <w:color w:val="auto"/>
          <w:sz w:val="21"/>
        </w:rPr>
        <w:t>m</w:t>
      </w:r>
      <w:r w:rsidR="00CD640A">
        <w:rPr>
          <w:rFonts w:ascii="Arial" w:hAnsi="Arial Unicode MS"/>
          <w:color w:val="auto"/>
          <w:sz w:val="21"/>
        </w:rPr>
        <w:t>á</w:t>
      </w:r>
      <w:r w:rsidR="00CD640A">
        <w:rPr>
          <w:rFonts w:ascii="Arial" w:hAnsi="Arial Unicode MS"/>
          <w:color w:val="auto"/>
          <w:sz w:val="21"/>
        </w:rPr>
        <w:t>s bajo que el a</w:t>
      </w:r>
      <w:r w:rsidR="00CD640A">
        <w:rPr>
          <w:rFonts w:ascii="Arial" w:hAnsi="Arial Unicode MS"/>
          <w:color w:val="auto"/>
          <w:sz w:val="21"/>
        </w:rPr>
        <w:t>ñ</w:t>
      </w:r>
      <w:r w:rsidR="00CD640A">
        <w:rPr>
          <w:rFonts w:ascii="Arial" w:hAnsi="Arial Unicode MS"/>
          <w:color w:val="auto"/>
          <w:sz w:val="21"/>
        </w:rPr>
        <w:t>o anterior</w:t>
      </w:r>
      <w:r w:rsidR="00E17962">
        <w:rPr>
          <w:rFonts w:ascii="Arial" w:hAnsi="Arial Unicode MS"/>
          <w:color w:val="auto"/>
          <w:sz w:val="21"/>
        </w:rPr>
        <w:t>. En las zonas emergentes, el mercado est</w:t>
      </w:r>
      <w:r w:rsidR="00E17962">
        <w:rPr>
          <w:rFonts w:ascii="Arial" w:hAnsi="Arial Unicode MS"/>
          <w:color w:val="auto"/>
          <w:sz w:val="21"/>
        </w:rPr>
        <w:t>á</w:t>
      </w:r>
      <w:r w:rsidR="00E17962">
        <w:rPr>
          <w:rFonts w:ascii="Arial" w:hAnsi="Arial Unicode MS"/>
          <w:color w:val="auto"/>
          <w:sz w:val="21"/>
        </w:rPr>
        <w:t xml:space="preserve"> a la baja</w:t>
      </w:r>
      <w:r>
        <w:rPr>
          <w:rFonts w:ascii="Arial" w:hAnsi="Arial Unicode MS"/>
          <w:color w:val="auto"/>
          <w:sz w:val="21"/>
        </w:rPr>
        <w:t>.</w:t>
      </w:r>
    </w:p>
    <w:p w14:paraId="10A48D3E" w14:textId="77777777" w:rsidR="00440D50" w:rsidRPr="00A94F5F" w:rsidRDefault="00440D50" w:rsidP="00FA5138">
      <w:pPr>
        <w:pStyle w:val="Body1"/>
        <w:tabs>
          <w:tab w:val="left" w:pos="360"/>
        </w:tabs>
        <w:spacing w:after="60"/>
        <w:ind w:left="720"/>
        <w:jc w:val="both"/>
        <w:rPr>
          <w:rFonts w:ascii="Arial" w:hAnsi="Arial Unicode MS"/>
          <w:color w:val="auto"/>
          <w:sz w:val="21"/>
        </w:rPr>
      </w:pPr>
    </w:p>
    <w:p w14:paraId="12E67F93" w14:textId="715B3969" w:rsidR="00A64967" w:rsidRPr="00A94F5F" w:rsidRDefault="00BF4FFF" w:rsidP="00A64967">
      <w:pPr>
        <w:numPr>
          <w:ilvl w:val="0"/>
          <w:numId w:val="5"/>
        </w:numPr>
        <w:spacing w:after="60"/>
        <w:ind w:left="720" w:hanging="283"/>
        <w:jc w:val="both"/>
        <w:rPr>
          <w:rFonts w:ascii="Verdana" w:hAnsi="Verdana"/>
          <w:smallCaps/>
        </w:rPr>
      </w:pPr>
      <w:r w:rsidRPr="00A94F5F">
        <w:rPr>
          <w:rFonts w:ascii="Arial" w:hAnsi="Arial"/>
          <w:b/>
          <w:bCs/>
          <w:sz w:val="21"/>
          <w:lang w:bidi="es-ES_tradnl"/>
        </w:rPr>
        <w:t>Agrícola:</w:t>
      </w:r>
      <w:r w:rsidRPr="00A94F5F">
        <w:rPr>
          <w:b/>
          <w:bCs/>
          <w:lang w:bidi="es-ES_tradnl"/>
        </w:rPr>
        <w:t xml:space="preserve"> </w:t>
      </w:r>
      <w:r w:rsidR="00E94A44">
        <w:rPr>
          <w:rFonts w:ascii="Arial" w:hAnsi="Arial Unicode MS"/>
          <w:sz w:val="21"/>
        </w:rPr>
        <w:t>l</w:t>
      </w:r>
      <w:r w:rsidR="003B7BF4" w:rsidRPr="00A94F5F">
        <w:rPr>
          <w:rFonts w:ascii="Arial" w:hAnsi="Arial Unicode MS"/>
          <w:sz w:val="21"/>
        </w:rPr>
        <w:t>a demanda mundial del mercado de primeros equipos retroce</w:t>
      </w:r>
      <w:r w:rsidR="006E703C">
        <w:rPr>
          <w:rFonts w:ascii="Arial" w:hAnsi="Arial Unicode MS"/>
          <w:sz w:val="21"/>
        </w:rPr>
        <w:t>de</w:t>
      </w:r>
      <w:r w:rsidR="003B7BF4" w:rsidRPr="00A94F5F">
        <w:rPr>
          <w:rFonts w:ascii="Arial" w:hAnsi="Arial Unicode MS"/>
          <w:sz w:val="21"/>
        </w:rPr>
        <w:t xml:space="preserve"> en los pa</w:t>
      </w:r>
      <w:r w:rsidR="003B7BF4" w:rsidRPr="00A94F5F">
        <w:rPr>
          <w:rFonts w:ascii="Arial" w:hAnsi="Arial Unicode MS"/>
          <w:sz w:val="21"/>
        </w:rPr>
        <w:t>í</w:t>
      </w:r>
      <w:r w:rsidR="003B7BF4" w:rsidRPr="00A94F5F">
        <w:rPr>
          <w:rFonts w:ascii="Arial" w:hAnsi="Arial Unicode MS"/>
          <w:sz w:val="21"/>
        </w:rPr>
        <w:t>ses maduros</w:t>
      </w:r>
      <w:r w:rsidR="006E703C">
        <w:rPr>
          <w:rFonts w:ascii="Arial" w:hAnsi="Arial Unicode MS"/>
          <w:sz w:val="21"/>
        </w:rPr>
        <w:t xml:space="preserve"> debido a una importante renovaci</w:t>
      </w:r>
      <w:r w:rsidR="006E703C">
        <w:rPr>
          <w:rFonts w:ascii="Arial" w:hAnsi="Arial Unicode MS"/>
          <w:sz w:val="21"/>
        </w:rPr>
        <w:t>ó</w:t>
      </w:r>
      <w:r w:rsidR="006E703C">
        <w:rPr>
          <w:rFonts w:ascii="Arial" w:hAnsi="Arial Unicode MS"/>
          <w:sz w:val="21"/>
        </w:rPr>
        <w:t xml:space="preserve">n del parque </w:t>
      </w:r>
      <w:r w:rsidR="0054114F">
        <w:rPr>
          <w:rFonts w:ascii="Arial" w:hAnsi="Arial Unicode MS"/>
          <w:sz w:val="21"/>
        </w:rPr>
        <w:t xml:space="preserve">en los </w:t>
      </w:r>
      <w:r w:rsidR="0054114F">
        <w:rPr>
          <w:rFonts w:ascii="Arial" w:hAnsi="Arial Unicode MS"/>
          <w:sz w:val="21"/>
        </w:rPr>
        <w:t>ú</w:t>
      </w:r>
      <w:r w:rsidR="0054114F">
        <w:rPr>
          <w:rFonts w:ascii="Arial" w:hAnsi="Arial Unicode MS"/>
          <w:sz w:val="21"/>
        </w:rPr>
        <w:t>ltimos a</w:t>
      </w:r>
      <w:r w:rsidR="0054114F">
        <w:rPr>
          <w:rFonts w:ascii="Arial" w:hAnsi="Arial Unicode MS"/>
          <w:sz w:val="21"/>
        </w:rPr>
        <w:t>ñ</w:t>
      </w:r>
      <w:r w:rsidR="0054114F">
        <w:rPr>
          <w:rFonts w:ascii="Arial" w:hAnsi="Arial Unicode MS"/>
          <w:sz w:val="21"/>
        </w:rPr>
        <w:t xml:space="preserve">os </w:t>
      </w:r>
      <w:r w:rsidR="0054114F" w:rsidRPr="00C5360F">
        <w:rPr>
          <w:rFonts w:ascii="Arial" w:hAnsi="Arial Unicode MS"/>
          <w:sz w:val="21"/>
        </w:rPr>
        <w:t xml:space="preserve">y </w:t>
      </w:r>
      <w:r w:rsidR="002F4395" w:rsidRPr="00C5360F">
        <w:rPr>
          <w:rFonts w:ascii="Arial" w:hAnsi="Arial Unicode MS"/>
          <w:sz w:val="21"/>
        </w:rPr>
        <w:t>a</w:t>
      </w:r>
      <w:r w:rsidR="0054114F" w:rsidRPr="00C5360F">
        <w:rPr>
          <w:rFonts w:ascii="Arial" w:hAnsi="Arial Unicode MS"/>
          <w:sz w:val="21"/>
        </w:rPr>
        <w:t xml:space="preserve"> la reducci</w:t>
      </w:r>
      <w:r w:rsidR="0054114F" w:rsidRPr="00C5360F">
        <w:rPr>
          <w:rFonts w:ascii="Arial" w:hAnsi="Arial Unicode MS"/>
          <w:sz w:val="21"/>
        </w:rPr>
        <w:t>ó</w:t>
      </w:r>
      <w:r w:rsidR="0054114F" w:rsidRPr="00C5360F">
        <w:rPr>
          <w:rFonts w:ascii="Arial" w:hAnsi="Arial Unicode MS"/>
          <w:sz w:val="21"/>
        </w:rPr>
        <w:t>n</w:t>
      </w:r>
      <w:r w:rsidR="0054114F">
        <w:rPr>
          <w:rFonts w:ascii="Arial" w:hAnsi="Arial Unicode MS"/>
          <w:sz w:val="21"/>
        </w:rPr>
        <w:t xml:space="preserve"> de los incentivos fiscales de ap</w:t>
      </w:r>
      <w:r w:rsidR="00F3390F">
        <w:rPr>
          <w:rFonts w:ascii="Arial" w:hAnsi="Arial Unicode MS"/>
          <w:sz w:val="21"/>
        </w:rPr>
        <w:t>oyo al sector en Estados Unidos.</w:t>
      </w:r>
    </w:p>
    <w:p w14:paraId="2FB8D483" w14:textId="5879A458" w:rsidR="003B7BF4" w:rsidRDefault="00F3390F" w:rsidP="00A64967">
      <w:pPr>
        <w:spacing w:after="60"/>
        <w:ind w:left="720"/>
        <w:jc w:val="both"/>
        <w:rPr>
          <w:rFonts w:ascii="Arial" w:hAnsi="Arial Unicode MS"/>
          <w:sz w:val="21"/>
        </w:rPr>
      </w:pPr>
      <w:r>
        <w:rPr>
          <w:rFonts w:ascii="Arial" w:hAnsi="Arial Unicode MS"/>
          <w:sz w:val="21"/>
        </w:rPr>
        <w:t xml:space="preserve">Tras una subida en el primer </w:t>
      </w:r>
      <w:r w:rsidR="00EB6D1C">
        <w:rPr>
          <w:rFonts w:ascii="Arial" w:hAnsi="Arial Unicode MS"/>
          <w:sz w:val="21"/>
        </w:rPr>
        <w:t>se</w:t>
      </w:r>
      <w:r>
        <w:rPr>
          <w:rFonts w:ascii="Arial" w:hAnsi="Arial Unicode MS"/>
          <w:sz w:val="21"/>
        </w:rPr>
        <w:t xml:space="preserve">mestre, el mercado de reemplazo en Europa baja en </w:t>
      </w:r>
      <w:r w:rsidR="009C0B59">
        <w:rPr>
          <w:rFonts w:ascii="Arial" w:hAnsi="Arial Unicode MS"/>
          <w:sz w:val="21"/>
        </w:rPr>
        <w:t>el tercer</w:t>
      </w:r>
      <w:r>
        <w:rPr>
          <w:rFonts w:ascii="Arial" w:hAnsi="Arial Unicode MS"/>
          <w:sz w:val="21"/>
        </w:rPr>
        <w:t xml:space="preserve"> trimestre. </w:t>
      </w:r>
      <w:r w:rsidR="00EB6D1C">
        <w:rPr>
          <w:rFonts w:ascii="Arial" w:hAnsi="Arial Unicode MS"/>
          <w:sz w:val="21"/>
        </w:rPr>
        <w:t>Tambi</w:t>
      </w:r>
      <w:r w:rsidR="00EB6D1C">
        <w:rPr>
          <w:rFonts w:ascii="Arial" w:hAnsi="Arial Unicode MS"/>
          <w:sz w:val="21"/>
        </w:rPr>
        <w:t>é</w:t>
      </w:r>
      <w:r w:rsidR="00EB6D1C">
        <w:rPr>
          <w:rFonts w:ascii="Arial" w:hAnsi="Arial Unicode MS"/>
          <w:sz w:val="21"/>
        </w:rPr>
        <w:t xml:space="preserve">n cae </w:t>
      </w:r>
      <w:r w:rsidR="006A065B" w:rsidRPr="00A94F5F">
        <w:rPr>
          <w:rFonts w:ascii="Arial" w:hAnsi="Arial Unicode MS"/>
          <w:sz w:val="21"/>
        </w:rPr>
        <w:t xml:space="preserve">en </w:t>
      </w:r>
      <w:r w:rsidR="003B7BF4" w:rsidRPr="00A94F5F">
        <w:rPr>
          <w:rFonts w:ascii="Arial" w:hAnsi="Arial Unicode MS"/>
          <w:sz w:val="21"/>
        </w:rPr>
        <w:t>Am</w:t>
      </w:r>
      <w:r w:rsidR="003B7BF4" w:rsidRPr="00A94F5F">
        <w:rPr>
          <w:rFonts w:ascii="Arial" w:hAnsi="Arial Unicode MS"/>
          <w:sz w:val="21"/>
        </w:rPr>
        <w:t>é</w:t>
      </w:r>
      <w:r w:rsidR="003B7BF4" w:rsidRPr="00A94F5F">
        <w:rPr>
          <w:rFonts w:ascii="Arial" w:hAnsi="Arial Unicode MS"/>
          <w:sz w:val="21"/>
        </w:rPr>
        <w:t>rica del Norte.</w:t>
      </w:r>
    </w:p>
    <w:p w14:paraId="60BD8293" w14:textId="77777777" w:rsidR="00BF4FFF" w:rsidRPr="00A94F5F" w:rsidRDefault="00BF4FFF" w:rsidP="00BF4FFF">
      <w:pPr>
        <w:spacing w:after="60"/>
        <w:ind w:left="709"/>
        <w:jc w:val="both"/>
        <w:rPr>
          <w:rFonts w:ascii="Arial" w:eastAsia="Times New Roman" w:hAnsi="Arial" w:cs="Arial"/>
          <w:highlight w:val="yellow"/>
        </w:rPr>
      </w:pPr>
    </w:p>
    <w:p w14:paraId="4D4F7F4A" w14:textId="22A1DB85" w:rsidR="00CB59BD" w:rsidRPr="00CB59BD" w:rsidRDefault="00BF4FFF" w:rsidP="00CB59BD">
      <w:pPr>
        <w:tabs>
          <w:tab w:val="num" w:pos="360"/>
        </w:tabs>
        <w:spacing w:after="60"/>
        <w:ind w:left="720"/>
        <w:jc w:val="both"/>
        <w:rPr>
          <w:rFonts w:ascii="Arial" w:hAnsi="Arial Unicode MS"/>
          <w:sz w:val="21"/>
        </w:rPr>
      </w:pPr>
      <w:r w:rsidRPr="00A94F5F">
        <w:rPr>
          <w:rFonts w:ascii="Arial" w:hAnsi="Arial"/>
          <w:b/>
          <w:bCs/>
          <w:sz w:val="21"/>
          <w:lang w:bidi="es-ES_tradnl"/>
        </w:rPr>
        <w:t>Dos ruedas</w:t>
      </w:r>
      <w:r w:rsidRPr="00A94F5F">
        <w:rPr>
          <w:rFonts w:ascii="Arial" w:hAnsi="Arial"/>
          <w:bCs/>
          <w:sz w:val="21"/>
          <w:lang w:bidi="es-ES_tradnl"/>
        </w:rPr>
        <w:t>:</w:t>
      </w:r>
      <w:r w:rsidR="00D44452" w:rsidRPr="00A94F5F">
        <w:rPr>
          <w:rFonts w:ascii="Arial" w:hAnsi="Arial"/>
          <w:bCs/>
          <w:sz w:val="21"/>
          <w:lang w:bidi="es-ES_tradnl"/>
        </w:rPr>
        <w:t xml:space="preserve"> </w:t>
      </w:r>
      <w:r w:rsidR="00245B87" w:rsidRPr="00A94F5F">
        <w:rPr>
          <w:rFonts w:ascii="Arial" w:hAnsi="Arial Unicode MS"/>
          <w:sz w:val="21"/>
        </w:rPr>
        <w:t xml:space="preserve">Los mercados de moto </w:t>
      </w:r>
      <w:r w:rsidR="002418D2">
        <w:rPr>
          <w:rFonts w:ascii="Arial" w:hAnsi="Arial Unicode MS"/>
          <w:sz w:val="21"/>
        </w:rPr>
        <w:t>progresa</w:t>
      </w:r>
      <w:r w:rsidR="00F247AB">
        <w:rPr>
          <w:rFonts w:ascii="Arial" w:hAnsi="Arial Unicode MS"/>
          <w:sz w:val="21"/>
        </w:rPr>
        <w:t>n</w:t>
      </w:r>
      <w:r w:rsidR="002418D2">
        <w:rPr>
          <w:rFonts w:ascii="Arial" w:hAnsi="Arial Unicode MS"/>
          <w:sz w:val="21"/>
        </w:rPr>
        <w:t xml:space="preserve"> </w:t>
      </w:r>
      <w:r w:rsidR="001C76EB" w:rsidRPr="00A94F5F">
        <w:rPr>
          <w:rFonts w:ascii="Arial" w:hAnsi="Arial Unicode MS"/>
          <w:sz w:val="21"/>
        </w:rPr>
        <w:t>en</w:t>
      </w:r>
      <w:r w:rsidR="00245B87" w:rsidRPr="00A94F5F">
        <w:rPr>
          <w:rFonts w:ascii="Arial" w:hAnsi="Arial Unicode MS"/>
          <w:sz w:val="21"/>
        </w:rPr>
        <w:t xml:space="preserve"> Europa</w:t>
      </w:r>
      <w:r w:rsidR="002418D2">
        <w:rPr>
          <w:rFonts w:ascii="Arial" w:hAnsi="Arial Unicode MS"/>
          <w:sz w:val="21"/>
        </w:rPr>
        <w:t xml:space="preserve"> hasta finales de septiembre, aunque </w:t>
      </w:r>
      <w:r w:rsidR="002418D2" w:rsidRPr="00C5360F">
        <w:rPr>
          <w:rFonts w:ascii="Arial" w:hAnsi="Arial Unicode MS"/>
          <w:sz w:val="21"/>
        </w:rPr>
        <w:t>muestra</w:t>
      </w:r>
      <w:r w:rsidR="000516E6" w:rsidRPr="00C5360F">
        <w:rPr>
          <w:rFonts w:ascii="Arial" w:hAnsi="Arial Unicode MS"/>
          <w:sz w:val="21"/>
        </w:rPr>
        <w:t>n</w:t>
      </w:r>
      <w:r w:rsidR="002418D2" w:rsidRPr="00C5360F">
        <w:rPr>
          <w:rFonts w:ascii="Arial" w:hAnsi="Arial Unicode MS"/>
          <w:sz w:val="21"/>
        </w:rPr>
        <w:t xml:space="preserve"> s</w:t>
      </w:r>
      <w:r w:rsidR="002418D2" w:rsidRPr="00C5360F">
        <w:rPr>
          <w:rFonts w:ascii="Arial" w:hAnsi="Arial Unicode MS"/>
          <w:sz w:val="21"/>
        </w:rPr>
        <w:t>í</w:t>
      </w:r>
      <w:r w:rsidR="002418D2" w:rsidRPr="00C5360F">
        <w:rPr>
          <w:rFonts w:ascii="Arial" w:hAnsi="Arial Unicode MS"/>
          <w:sz w:val="21"/>
        </w:rPr>
        <w:t>ntomas</w:t>
      </w:r>
      <w:r w:rsidR="002418D2">
        <w:rPr>
          <w:rFonts w:ascii="Arial" w:hAnsi="Arial Unicode MS"/>
          <w:sz w:val="21"/>
        </w:rPr>
        <w:t xml:space="preserve"> de debilidad en el tercer trimestre</w:t>
      </w:r>
      <w:r w:rsidR="00196232">
        <w:rPr>
          <w:rFonts w:ascii="Arial" w:hAnsi="Arial Unicode MS"/>
          <w:sz w:val="21"/>
        </w:rPr>
        <w:t xml:space="preserve">. Mientras, baja </w:t>
      </w:r>
      <w:r w:rsidR="00196232" w:rsidRPr="00A94F5F">
        <w:rPr>
          <w:rFonts w:ascii="Arial" w:hAnsi="Arial Unicode MS"/>
          <w:sz w:val="21"/>
        </w:rPr>
        <w:t>Am</w:t>
      </w:r>
      <w:r w:rsidR="00196232" w:rsidRPr="00A94F5F">
        <w:rPr>
          <w:rFonts w:ascii="Arial" w:hAnsi="Arial Unicode MS"/>
          <w:sz w:val="21"/>
        </w:rPr>
        <w:t>é</w:t>
      </w:r>
      <w:r w:rsidR="00196232" w:rsidRPr="00A94F5F">
        <w:rPr>
          <w:rFonts w:ascii="Arial" w:hAnsi="Arial Unicode MS"/>
          <w:sz w:val="21"/>
        </w:rPr>
        <w:t>rica del Norte.</w:t>
      </w:r>
    </w:p>
    <w:p w14:paraId="02512FA7" w14:textId="19D0F784" w:rsidR="00BF4FFF" w:rsidRPr="00A94F5F" w:rsidRDefault="00BF4FFF" w:rsidP="00196232">
      <w:pPr>
        <w:spacing w:after="60"/>
        <w:ind w:left="720"/>
        <w:jc w:val="both"/>
        <w:rPr>
          <w:rFonts w:ascii="Arial" w:hAnsi="Arial"/>
          <w:bCs/>
          <w:sz w:val="21"/>
          <w:lang w:bidi="es-ES_tradnl"/>
        </w:rPr>
      </w:pPr>
    </w:p>
    <w:p w14:paraId="49875795" w14:textId="2DE23382" w:rsidR="00CB59BD" w:rsidRPr="00CB59BD" w:rsidRDefault="00BF4FFF" w:rsidP="00D44452">
      <w:pPr>
        <w:numPr>
          <w:ilvl w:val="0"/>
          <w:numId w:val="5"/>
        </w:numPr>
        <w:spacing w:after="60"/>
        <w:ind w:left="709" w:hanging="284"/>
        <w:jc w:val="both"/>
        <w:rPr>
          <w:b/>
          <w:bCs/>
          <w:sz w:val="26"/>
        </w:rPr>
      </w:pPr>
      <w:r w:rsidRPr="00A94F5F">
        <w:rPr>
          <w:rFonts w:ascii="Arial" w:hAnsi="Arial"/>
          <w:b/>
          <w:bCs/>
          <w:sz w:val="21"/>
          <w:lang w:bidi="es-ES_tradnl"/>
        </w:rPr>
        <w:t>Avión:</w:t>
      </w:r>
      <w:r w:rsidRPr="00A94F5F">
        <w:rPr>
          <w:rFonts w:ascii="Arial" w:eastAsia="Times New Roman" w:hAnsi="Arial"/>
          <w:b/>
          <w:bCs/>
          <w:sz w:val="21"/>
          <w:lang w:bidi="es-ES_tradnl"/>
        </w:rPr>
        <w:t xml:space="preserve"> </w:t>
      </w:r>
      <w:r w:rsidR="00E640B0" w:rsidRPr="00A94F5F">
        <w:rPr>
          <w:rFonts w:ascii="Arial" w:hAnsi="Arial Unicode MS"/>
          <w:sz w:val="21"/>
        </w:rPr>
        <w:t xml:space="preserve">Los mercados de </w:t>
      </w:r>
      <w:r w:rsidR="00196232">
        <w:rPr>
          <w:rFonts w:ascii="Arial" w:hAnsi="Arial Unicode MS"/>
          <w:sz w:val="21"/>
        </w:rPr>
        <w:t>neum</w:t>
      </w:r>
      <w:r w:rsidR="00196232">
        <w:rPr>
          <w:rFonts w:ascii="Arial" w:hAnsi="Arial Unicode MS"/>
          <w:sz w:val="21"/>
        </w:rPr>
        <w:t>á</w:t>
      </w:r>
      <w:r w:rsidR="00196232">
        <w:rPr>
          <w:rFonts w:ascii="Arial" w:hAnsi="Arial Unicode MS"/>
          <w:sz w:val="21"/>
        </w:rPr>
        <w:t xml:space="preserve">ticos de </w:t>
      </w:r>
      <w:r w:rsidR="00E640B0" w:rsidRPr="00A94F5F">
        <w:rPr>
          <w:rFonts w:ascii="Arial" w:hAnsi="Arial Unicode MS"/>
          <w:sz w:val="21"/>
        </w:rPr>
        <w:t>aviaci</w:t>
      </w:r>
      <w:r w:rsidR="00E640B0" w:rsidRPr="00A94F5F">
        <w:rPr>
          <w:rFonts w:ascii="Arial" w:hAnsi="Arial Unicode MS"/>
          <w:sz w:val="21"/>
        </w:rPr>
        <w:t>ó</w:t>
      </w:r>
      <w:r w:rsidR="00E640B0" w:rsidRPr="00A94F5F">
        <w:rPr>
          <w:rFonts w:ascii="Arial" w:hAnsi="Arial Unicode MS"/>
          <w:sz w:val="21"/>
        </w:rPr>
        <w:t xml:space="preserve">n comercial </w:t>
      </w:r>
      <w:r w:rsidR="00196232">
        <w:rPr>
          <w:rFonts w:ascii="Arial" w:hAnsi="Arial Unicode MS"/>
          <w:sz w:val="21"/>
        </w:rPr>
        <w:t>crecen.</w:t>
      </w:r>
    </w:p>
    <w:p w14:paraId="41DD4478" w14:textId="77777777" w:rsidR="00CB59BD" w:rsidRPr="00CB59BD" w:rsidRDefault="00CB59BD" w:rsidP="00CB59BD">
      <w:pPr>
        <w:spacing w:after="60"/>
        <w:ind w:left="425"/>
        <w:jc w:val="both"/>
        <w:rPr>
          <w:b/>
          <w:bCs/>
          <w:sz w:val="26"/>
        </w:rPr>
      </w:pPr>
    </w:p>
    <w:p w14:paraId="7F9DD143" w14:textId="474BB5E2" w:rsidR="00BF4FFF" w:rsidRPr="00A94F5F" w:rsidRDefault="0050426F" w:rsidP="00CB59BD">
      <w:pPr>
        <w:spacing w:after="60"/>
        <w:jc w:val="both"/>
        <w:rPr>
          <w:b/>
          <w:bCs/>
          <w:sz w:val="26"/>
        </w:rPr>
      </w:pPr>
      <w:r>
        <w:rPr>
          <w:b/>
          <w:snapToGrid w:val="0"/>
          <w:color w:val="333399"/>
          <w:sz w:val="40"/>
          <w:szCs w:val="26"/>
        </w:rPr>
        <w:br w:type="column"/>
      </w:r>
      <w:r w:rsidR="00BF4FFF" w:rsidRPr="00A94F5F">
        <w:rPr>
          <w:b/>
          <w:snapToGrid w:val="0"/>
          <w:color w:val="333399"/>
          <w:sz w:val="40"/>
          <w:szCs w:val="26"/>
        </w:rPr>
        <w:lastRenderedPageBreak/>
        <w:t>Ventas netas de Michelin</w:t>
      </w:r>
      <w:r w:rsidR="00BF4FFF" w:rsidRPr="00A94F5F">
        <w:rPr>
          <w:b/>
          <w:bCs/>
          <w:sz w:val="26"/>
        </w:rPr>
        <w:t xml:space="preserve"> </w:t>
      </w:r>
    </w:p>
    <w:p w14:paraId="6471EF00" w14:textId="77777777" w:rsidR="00BF4FFF" w:rsidRPr="00A94F5F" w:rsidRDefault="00BF4FFF" w:rsidP="00BF4FFF">
      <w:pPr>
        <w:spacing w:line="270" w:lineRule="atLeast"/>
        <w:jc w:val="both"/>
        <w:rPr>
          <w:rFonts w:ascii="Arial" w:hAnsi="Arial"/>
          <w:b/>
          <w:sz w:val="21"/>
          <w:lang w:bidi="es-ES_tradnl"/>
        </w:rPr>
      </w:pPr>
    </w:p>
    <w:p w14:paraId="01EAC6EB" w14:textId="77777777" w:rsidR="00BF4FFF" w:rsidRPr="00A94F5F" w:rsidRDefault="00BF4FFF" w:rsidP="00BF4FFF">
      <w:pPr>
        <w:jc w:val="both"/>
        <w:rPr>
          <w:b/>
          <w:bCs/>
          <w:sz w:val="26"/>
        </w:rPr>
      </w:pPr>
      <w:r w:rsidRPr="00A94F5F">
        <w:rPr>
          <w:b/>
          <w:bCs/>
          <w:sz w:val="26"/>
        </w:rPr>
        <w:t>Evolución global</w:t>
      </w:r>
    </w:p>
    <w:p w14:paraId="26DDD8C6" w14:textId="77777777" w:rsidR="00BF4FFF" w:rsidRPr="00A94F5F" w:rsidRDefault="00BF4FFF" w:rsidP="00BF4FFF">
      <w:pPr>
        <w:jc w:val="both"/>
        <w:rPr>
          <w:b/>
          <w:bCs/>
          <w:sz w:val="26"/>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418"/>
        <w:gridCol w:w="1417"/>
        <w:gridCol w:w="1276"/>
        <w:gridCol w:w="1418"/>
      </w:tblGrid>
      <w:tr w:rsidR="00BF4FFF" w:rsidRPr="00A94F5F" w14:paraId="44380B90" w14:textId="77777777">
        <w:trPr>
          <w:trHeight w:val="433"/>
          <w:jc w:val="center"/>
        </w:trPr>
        <w:tc>
          <w:tcPr>
            <w:tcW w:w="3510" w:type="dxa"/>
            <w:shd w:val="clear" w:color="auto" w:fill="E6E6E6"/>
          </w:tcPr>
          <w:p w14:paraId="27D1EEA3" w14:textId="77777777" w:rsidR="00BF4FFF" w:rsidRPr="00A94F5F" w:rsidRDefault="00BF4FFF" w:rsidP="00BF4FFF">
            <w:pPr>
              <w:tabs>
                <w:tab w:val="left" w:pos="360"/>
              </w:tabs>
              <w:jc w:val="center"/>
              <w:rPr>
                <w:rFonts w:ascii="Arial" w:hAnsi="Arial" w:cs="Arial"/>
                <w:bCs/>
                <w:smallCaps/>
              </w:rPr>
            </w:pPr>
            <w:r w:rsidRPr="00A94F5F">
              <w:rPr>
                <w:rFonts w:ascii="Arial" w:eastAsia="Times New Roman" w:hAnsi="Arial" w:cs="Arial"/>
                <w:bCs/>
                <w:smallCaps/>
                <w:sz w:val="21"/>
                <w:szCs w:val="18"/>
              </w:rPr>
              <w:t>(millones de euros)</w:t>
            </w:r>
          </w:p>
        </w:tc>
        <w:tc>
          <w:tcPr>
            <w:tcW w:w="2835" w:type="dxa"/>
            <w:gridSpan w:val="2"/>
            <w:shd w:val="clear" w:color="auto" w:fill="E6E6E6"/>
          </w:tcPr>
          <w:p w14:paraId="3BBCB15E" w14:textId="1CFEF39E" w:rsidR="00BF4FFF" w:rsidRPr="00A94F5F" w:rsidRDefault="00BF4FFF" w:rsidP="00BF4FFF">
            <w:pPr>
              <w:tabs>
                <w:tab w:val="left" w:pos="360"/>
              </w:tabs>
              <w:jc w:val="center"/>
              <w:rPr>
                <w:rFonts w:ascii="Verdana" w:hAnsi="Verdana" w:cs="Arial"/>
                <w:bCs/>
              </w:rPr>
            </w:pPr>
            <w:r w:rsidRPr="00A94F5F">
              <w:rPr>
                <w:rFonts w:ascii="Arial" w:eastAsia="Times New Roman" w:hAnsi="Arial" w:cs="Arial"/>
                <w:bCs/>
                <w:sz w:val="21"/>
                <w:szCs w:val="18"/>
              </w:rPr>
              <w:t>3</w:t>
            </w:r>
            <w:r w:rsidRPr="00A94F5F">
              <w:rPr>
                <w:rFonts w:ascii="Arial" w:eastAsia="Times New Roman" w:hAnsi="Arial" w:cs="Arial"/>
                <w:bCs/>
                <w:sz w:val="21"/>
                <w:szCs w:val="18"/>
                <w:vertAlign w:val="superscript"/>
              </w:rPr>
              <w:t>er</w:t>
            </w:r>
            <w:r w:rsidRPr="00A94F5F">
              <w:rPr>
                <w:rFonts w:ascii="Arial" w:eastAsia="Times New Roman" w:hAnsi="Arial" w:cs="Arial"/>
                <w:bCs/>
                <w:sz w:val="21"/>
                <w:szCs w:val="18"/>
              </w:rPr>
              <w:t xml:space="preserve"> trimestre 201</w:t>
            </w:r>
            <w:r w:rsidR="00DB7A7C" w:rsidRPr="00A94F5F">
              <w:rPr>
                <w:rFonts w:ascii="Arial" w:eastAsia="Times New Roman" w:hAnsi="Arial" w:cs="Arial"/>
                <w:bCs/>
                <w:sz w:val="21"/>
                <w:szCs w:val="18"/>
              </w:rPr>
              <w:t>4</w:t>
            </w:r>
          </w:p>
          <w:p w14:paraId="50ED27EF" w14:textId="77777777" w:rsidR="00BF4FFF" w:rsidRPr="00A94F5F" w:rsidRDefault="00BF4FFF" w:rsidP="00BF4FFF">
            <w:pPr>
              <w:tabs>
                <w:tab w:val="left" w:pos="360"/>
              </w:tabs>
              <w:jc w:val="center"/>
              <w:rPr>
                <w:rFonts w:ascii="Arial" w:hAnsi="Arial" w:cs="Arial"/>
                <w:bCs/>
                <w:smallCaps/>
                <w:sz w:val="18"/>
                <w:szCs w:val="18"/>
              </w:rPr>
            </w:pPr>
          </w:p>
        </w:tc>
        <w:tc>
          <w:tcPr>
            <w:tcW w:w="2694" w:type="dxa"/>
            <w:gridSpan w:val="2"/>
            <w:shd w:val="clear" w:color="auto" w:fill="E6E6E6"/>
          </w:tcPr>
          <w:p w14:paraId="3521CBEC" w14:textId="2AE7F6E4" w:rsidR="00BF4FFF" w:rsidRPr="00A94F5F" w:rsidRDefault="00BF4FFF" w:rsidP="00BF4FFF">
            <w:pPr>
              <w:tabs>
                <w:tab w:val="left" w:pos="360"/>
              </w:tabs>
              <w:jc w:val="center"/>
              <w:rPr>
                <w:rFonts w:ascii="Verdana" w:hAnsi="Verdana" w:cs="Arial"/>
                <w:bCs/>
              </w:rPr>
            </w:pPr>
            <w:r w:rsidRPr="00A94F5F">
              <w:rPr>
                <w:rFonts w:ascii="Arial" w:eastAsia="Times New Roman" w:hAnsi="Arial" w:cs="Arial"/>
                <w:bCs/>
                <w:sz w:val="21"/>
                <w:szCs w:val="18"/>
              </w:rPr>
              <w:t>Nueve primeros meses 201</w:t>
            </w:r>
            <w:r w:rsidR="007D2421">
              <w:rPr>
                <w:rFonts w:ascii="Arial" w:eastAsia="Times New Roman" w:hAnsi="Arial" w:cs="Arial"/>
                <w:bCs/>
                <w:sz w:val="21"/>
                <w:szCs w:val="18"/>
              </w:rPr>
              <w:t>4</w:t>
            </w:r>
          </w:p>
          <w:p w14:paraId="6C98FD3D" w14:textId="77777777" w:rsidR="00BF4FFF" w:rsidRPr="00A94F5F" w:rsidRDefault="00BF4FFF" w:rsidP="00BF4FFF">
            <w:pPr>
              <w:tabs>
                <w:tab w:val="left" w:pos="360"/>
              </w:tabs>
              <w:jc w:val="center"/>
              <w:rPr>
                <w:rFonts w:ascii="Verdana" w:hAnsi="Verdana" w:cs="Arial"/>
                <w:sz w:val="18"/>
                <w:szCs w:val="18"/>
              </w:rPr>
            </w:pPr>
          </w:p>
        </w:tc>
      </w:tr>
      <w:tr w:rsidR="00E97CC8" w:rsidRPr="00A94F5F" w14:paraId="2BED2587" w14:textId="77777777">
        <w:trPr>
          <w:jc w:val="center"/>
        </w:trPr>
        <w:tc>
          <w:tcPr>
            <w:tcW w:w="3510" w:type="dxa"/>
          </w:tcPr>
          <w:p w14:paraId="35207DA3" w14:textId="77777777" w:rsidR="00E97CC8" w:rsidRPr="00A94F5F" w:rsidRDefault="00E97CC8" w:rsidP="00BF4FFF">
            <w:pPr>
              <w:pStyle w:val="LadilloMichelinDossier"/>
              <w:spacing w:before="0" w:after="0"/>
              <w:rPr>
                <w:rFonts w:ascii="Arial" w:hAnsi="Arial"/>
                <w:b w:val="0"/>
                <w:bCs/>
                <w:sz w:val="20"/>
                <w:lang w:val="es-ES_tradnl" w:bidi="es-ES_tradnl"/>
              </w:rPr>
            </w:pPr>
            <w:r w:rsidRPr="00A94F5F">
              <w:rPr>
                <w:rFonts w:ascii="Arial" w:eastAsia="Times New Roman" w:hAnsi="Arial" w:cs="Arial"/>
                <w:b w:val="0"/>
                <w:bCs/>
                <w:smallCaps/>
                <w:sz w:val="21"/>
                <w:szCs w:val="18"/>
                <w:lang w:val="es-ES_tradnl"/>
              </w:rPr>
              <w:t xml:space="preserve">VENTAS NETAS </w:t>
            </w:r>
          </w:p>
        </w:tc>
        <w:tc>
          <w:tcPr>
            <w:tcW w:w="2835" w:type="dxa"/>
            <w:gridSpan w:val="2"/>
          </w:tcPr>
          <w:p w14:paraId="294CC092" w14:textId="6E304770" w:rsidR="00E97CC8" w:rsidRPr="00A94F5F" w:rsidRDefault="00E97CC8" w:rsidP="00E97CC8">
            <w:pPr>
              <w:jc w:val="center"/>
              <w:rPr>
                <w:rFonts w:ascii="Verdana" w:hAnsi="Verdana" w:cs="Arial"/>
                <w:b/>
                <w:bCs/>
                <w:sz w:val="20"/>
                <w:szCs w:val="20"/>
              </w:rPr>
            </w:pPr>
            <w:r w:rsidRPr="00A94F5F">
              <w:rPr>
                <w:rFonts w:ascii="Verdana" w:hAnsi="Verdana" w:cs="Arial"/>
                <w:b/>
                <w:bCs/>
                <w:sz w:val="20"/>
                <w:szCs w:val="20"/>
              </w:rPr>
              <w:t>4.885</w:t>
            </w:r>
          </w:p>
          <w:p w14:paraId="747C0B70" w14:textId="77777777" w:rsidR="00E97CC8" w:rsidRPr="00A94F5F" w:rsidRDefault="00E97CC8" w:rsidP="007536A9">
            <w:pPr>
              <w:pStyle w:val="LadilloMichelinDossier"/>
              <w:spacing w:before="0" w:after="0"/>
              <w:jc w:val="center"/>
              <w:rPr>
                <w:rFonts w:ascii="Arial" w:hAnsi="Arial"/>
                <w:bCs/>
                <w:sz w:val="20"/>
                <w:szCs w:val="20"/>
                <w:lang w:val="es-ES_tradnl" w:bidi="es-ES_tradnl"/>
              </w:rPr>
            </w:pPr>
          </w:p>
        </w:tc>
        <w:tc>
          <w:tcPr>
            <w:tcW w:w="2694" w:type="dxa"/>
            <w:gridSpan w:val="2"/>
          </w:tcPr>
          <w:p w14:paraId="00847BA2" w14:textId="02931D1D" w:rsidR="00E97CC8" w:rsidRPr="00A94F5F" w:rsidRDefault="00E97CC8" w:rsidP="00E97CC8">
            <w:pPr>
              <w:jc w:val="center"/>
              <w:rPr>
                <w:rFonts w:ascii="Verdana" w:hAnsi="Verdana" w:cs="Arial"/>
                <w:b/>
                <w:bCs/>
                <w:sz w:val="20"/>
                <w:szCs w:val="20"/>
              </w:rPr>
            </w:pPr>
            <w:r w:rsidRPr="00A94F5F">
              <w:rPr>
                <w:rFonts w:ascii="Verdana" w:hAnsi="Verdana" w:cs="Arial"/>
                <w:b/>
                <w:bCs/>
                <w:sz w:val="20"/>
                <w:szCs w:val="20"/>
              </w:rPr>
              <w:t>14.558</w:t>
            </w:r>
          </w:p>
          <w:p w14:paraId="1E5131B8" w14:textId="77777777" w:rsidR="00E97CC8" w:rsidRPr="00A94F5F" w:rsidRDefault="00E97CC8" w:rsidP="007536A9">
            <w:pPr>
              <w:pStyle w:val="LadilloMichelinDossier"/>
              <w:spacing w:before="0" w:after="0"/>
              <w:jc w:val="center"/>
              <w:rPr>
                <w:rFonts w:ascii="Arial" w:hAnsi="Arial"/>
                <w:bCs/>
                <w:sz w:val="20"/>
                <w:szCs w:val="20"/>
                <w:lang w:val="es-ES_tradnl" w:bidi="es-ES_tradnl"/>
              </w:rPr>
            </w:pPr>
          </w:p>
        </w:tc>
      </w:tr>
      <w:tr w:rsidR="00BF4FFF" w:rsidRPr="00A94F5F" w14:paraId="4BF8F0DC" w14:textId="77777777">
        <w:trPr>
          <w:jc w:val="center"/>
        </w:trPr>
        <w:tc>
          <w:tcPr>
            <w:tcW w:w="3510" w:type="dxa"/>
          </w:tcPr>
          <w:p w14:paraId="43C58309" w14:textId="77777777" w:rsidR="00BF4FFF" w:rsidRPr="00A94F5F" w:rsidRDefault="00BF4FFF" w:rsidP="00BF4FFF">
            <w:pPr>
              <w:pStyle w:val="LadilloMichelinDossier"/>
              <w:spacing w:before="0" w:after="0"/>
              <w:rPr>
                <w:rFonts w:ascii="Arial" w:hAnsi="Arial"/>
                <w:b w:val="0"/>
                <w:bCs/>
                <w:sz w:val="20"/>
                <w:lang w:val="es-ES_tradnl" w:bidi="es-ES_tradnl"/>
              </w:rPr>
            </w:pPr>
          </w:p>
          <w:p w14:paraId="0B40C5B1" w14:textId="77777777" w:rsidR="00BF4FFF" w:rsidRPr="00A94F5F" w:rsidRDefault="00BF4FFF" w:rsidP="00BF4FFF">
            <w:pPr>
              <w:pStyle w:val="LadilloMichelinDossier"/>
              <w:spacing w:before="0" w:after="0"/>
              <w:rPr>
                <w:rFonts w:ascii="Arial" w:hAnsi="Arial"/>
                <w:b w:val="0"/>
                <w:bCs/>
                <w:sz w:val="20"/>
                <w:lang w:val="es-ES_tradnl" w:bidi="es-ES_tradnl"/>
              </w:rPr>
            </w:pPr>
          </w:p>
        </w:tc>
        <w:tc>
          <w:tcPr>
            <w:tcW w:w="2835" w:type="dxa"/>
            <w:gridSpan w:val="2"/>
          </w:tcPr>
          <w:p w14:paraId="4EECCD79" w14:textId="09837844" w:rsidR="00BF4FFF" w:rsidRPr="00A94F5F" w:rsidRDefault="00BF4FFF" w:rsidP="00BF4FFF">
            <w:pPr>
              <w:pStyle w:val="LadilloMichelinDossier"/>
              <w:spacing w:before="0" w:after="0"/>
              <w:rPr>
                <w:rFonts w:ascii="Arial" w:hAnsi="Arial"/>
                <w:b w:val="0"/>
                <w:bCs/>
                <w:sz w:val="20"/>
                <w:lang w:val="es-ES_tradnl" w:bidi="es-ES_tradnl"/>
              </w:rPr>
            </w:pPr>
            <w:r w:rsidRPr="00A94F5F">
              <w:rPr>
                <w:rFonts w:ascii="Arial" w:hAnsi="Arial"/>
                <w:b w:val="0"/>
                <w:bCs/>
                <w:sz w:val="20"/>
                <w:lang w:val="es-ES_tradnl" w:bidi="es-ES_tradnl"/>
              </w:rPr>
              <w:t>Variación</w:t>
            </w:r>
            <w:r w:rsidR="00C12509" w:rsidRPr="00A94F5F">
              <w:rPr>
                <w:rFonts w:ascii="Arial" w:hAnsi="Arial"/>
                <w:b w:val="0"/>
                <w:bCs/>
                <w:sz w:val="20"/>
                <w:lang w:val="es-ES_tradnl" w:bidi="es-ES_tradnl"/>
              </w:rPr>
              <w:t xml:space="preserve"> </w:t>
            </w:r>
          </w:p>
          <w:p w14:paraId="6D93814E" w14:textId="22E68442" w:rsidR="00BF4FFF" w:rsidRPr="00A94F5F" w:rsidRDefault="00F247AB" w:rsidP="002212B2">
            <w:pPr>
              <w:pStyle w:val="LadilloMichelinDossier"/>
              <w:spacing w:before="0" w:after="0"/>
              <w:rPr>
                <w:rFonts w:ascii="Arial" w:hAnsi="Arial"/>
                <w:b w:val="0"/>
                <w:bCs/>
                <w:sz w:val="20"/>
                <w:lang w:val="es-ES_tradnl" w:bidi="es-ES_tradnl"/>
              </w:rPr>
            </w:pPr>
            <w:r>
              <w:rPr>
                <w:rFonts w:ascii="Arial" w:hAnsi="Arial"/>
                <w:b w:val="0"/>
                <w:bCs/>
                <w:sz w:val="20"/>
                <w:lang w:val="es-ES_tradnl" w:bidi="es-ES_tradnl"/>
              </w:rPr>
              <w:t xml:space="preserve">T3 </w:t>
            </w:r>
            <w:r w:rsidR="00E57A03" w:rsidRPr="00A94F5F">
              <w:rPr>
                <w:rFonts w:ascii="Arial" w:hAnsi="Arial"/>
                <w:b w:val="0"/>
                <w:bCs/>
                <w:sz w:val="20"/>
                <w:lang w:val="es-ES_tradnl" w:bidi="es-ES_tradnl"/>
              </w:rPr>
              <w:t>2014</w:t>
            </w:r>
            <w:r w:rsidR="00560C29">
              <w:rPr>
                <w:rFonts w:ascii="Arial" w:hAnsi="Arial"/>
                <w:b w:val="0"/>
                <w:bCs/>
                <w:sz w:val="20"/>
                <w:lang w:val="es-ES_tradnl" w:bidi="es-ES_tradnl"/>
              </w:rPr>
              <w:t xml:space="preserve"> </w:t>
            </w:r>
            <w:r w:rsidR="00E57A03" w:rsidRPr="00A94F5F">
              <w:rPr>
                <w:rFonts w:ascii="Arial" w:hAnsi="Arial"/>
                <w:b w:val="0"/>
                <w:bCs/>
                <w:sz w:val="20"/>
                <w:lang w:val="es-ES_tradnl" w:bidi="es-ES_tradnl"/>
              </w:rPr>
              <w:t>/</w:t>
            </w:r>
            <w:r>
              <w:rPr>
                <w:rFonts w:ascii="Arial" w:hAnsi="Arial"/>
                <w:b w:val="0"/>
                <w:bCs/>
                <w:sz w:val="20"/>
                <w:lang w:val="es-ES_tradnl" w:bidi="es-ES_tradnl"/>
              </w:rPr>
              <w:t xml:space="preserve"> T3 </w:t>
            </w:r>
            <w:r w:rsidR="00E57A03" w:rsidRPr="00A94F5F">
              <w:rPr>
                <w:rFonts w:ascii="Arial" w:hAnsi="Arial"/>
                <w:b w:val="0"/>
                <w:bCs/>
                <w:sz w:val="20"/>
                <w:lang w:val="es-ES_tradnl" w:bidi="es-ES_tradnl"/>
              </w:rPr>
              <w:t>2013</w:t>
            </w:r>
          </w:p>
        </w:tc>
        <w:tc>
          <w:tcPr>
            <w:tcW w:w="2694" w:type="dxa"/>
            <w:gridSpan w:val="2"/>
          </w:tcPr>
          <w:p w14:paraId="4ED4922F" w14:textId="06C8465B" w:rsidR="00BF4FFF" w:rsidRPr="00A94F5F" w:rsidRDefault="00BF4FFF" w:rsidP="002212B2">
            <w:pPr>
              <w:pStyle w:val="LadilloMichelinDossier"/>
              <w:spacing w:before="0" w:after="0"/>
              <w:rPr>
                <w:rFonts w:ascii="Arial" w:hAnsi="Arial"/>
                <w:b w:val="0"/>
                <w:bCs/>
                <w:sz w:val="20"/>
                <w:lang w:val="es-ES_tradnl" w:bidi="es-ES_tradnl"/>
              </w:rPr>
            </w:pPr>
            <w:r w:rsidRPr="00A94F5F">
              <w:rPr>
                <w:rFonts w:ascii="Arial" w:hAnsi="Arial"/>
                <w:b w:val="0"/>
                <w:bCs/>
                <w:sz w:val="20"/>
                <w:lang w:val="es-ES_tradnl" w:bidi="es-ES_tradnl"/>
              </w:rPr>
              <w:t xml:space="preserve">Variación </w:t>
            </w:r>
            <w:r w:rsidR="00C12509" w:rsidRPr="00A94F5F">
              <w:rPr>
                <w:rFonts w:ascii="Arial" w:hAnsi="Arial"/>
                <w:b w:val="0"/>
                <w:bCs/>
                <w:sz w:val="20"/>
                <w:lang w:val="es-ES_tradnl" w:bidi="es-ES_tradnl"/>
              </w:rPr>
              <w:t>9 meses</w:t>
            </w:r>
            <w:r w:rsidRPr="00A94F5F">
              <w:rPr>
                <w:rFonts w:ascii="Arial" w:hAnsi="Arial"/>
                <w:b w:val="0"/>
                <w:bCs/>
                <w:sz w:val="20"/>
                <w:lang w:val="es-ES_tradnl" w:bidi="es-ES_tradnl"/>
              </w:rPr>
              <w:br/>
            </w:r>
            <w:r w:rsidR="00E57A03" w:rsidRPr="00A94F5F">
              <w:rPr>
                <w:rFonts w:ascii="Arial" w:hAnsi="Arial"/>
                <w:b w:val="0"/>
                <w:bCs/>
                <w:sz w:val="20"/>
                <w:lang w:val="es-ES_tradnl" w:bidi="es-ES_tradnl"/>
              </w:rPr>
              <w:t>2014/2013</w:t>
            </w:r>
          </w:p>
        </w:tc>
      </w:tr>
      <w:tr w:rsidR="00C508C9" w:rsidRPr="00A94F5F" w14:paraId="75AD8C99" w14:textId="77777777">
        <w:trPr>
          <w:jc w:val="center"/>
        </w:trPr>
        <w:tc>
          <w:tcPr>
            <w:tcW w:w="3510" w:type="dxa"/>
          </w:tcPr>
          <w:p w14:paraId="283D1552" w14:textId="77777777" w:rsidR="00C508C9" w:rsidRPr="00A94F5F" w:rsidRDefault="00C508C9" w:rsidP="00BF4FFF">
            <w:pPr>
              <w:pStyle w:val="LadilloMichelinDossier"/>
              <w:spacing w:before="0" w:after="0"/>
              <w:rPr>
                <w:rFonts w:ascii="Arial" w:hAnsi="Arial"/>
                <w:b w:val="0"/>
                <w:bCs/>
                <w:sz w:val="20"/>
                <w:lang w:val="es-ES_tradnl" w:bidi="es-ES_tradnl"/>
              </w:rPr>
            </w:pPr>
            <w:r w:rsidRPr="00A94F5F">
              <w:rPr>
                <w:rFonts w:ascii="Arial" w:hAnsi="Arial"/>
                <w:b w:val="0"/>
                <w:bCs/>
                <w:sz w:val="20"/>
                <w:lang w:val="es-ES_tradnl" w:bidi="es-ES_tradnl"/>
              </w:rPr>
              <w:t>Variación total</w:t>
            </w:r>
          </w:p>
          <w:p w14:paraId="4A67A5C2" w14:textId="77777777" w:rsidR="00C508C9" w:rsidRPr="00A94F5F" w:rsidRDefault="00C508C9" w:rsidP="00BF4FFF">
            <w:pPr>
              <w:pStyle w:val="LadilloMichelinDossier"/>
              <w:spacing w:before="0" w:after="0"/>
              <w:rPr>
                <w:rFonts w:ascii="Arial" w:hAnsi="Arial"/>
                <w:b w:val="0"/>
                <w:bCs/>
                <w:sz w:val="20"/>
                <w:lang w:val="es-ES_tradnl" w:bidi="es-ES_tradnl"/>
              </w:rPr>
            </w:pPr>
          </w:p>
        </w:tc>
        <w:tc>
          <w:tcPr>
            <w:tcW w:w="1418" w:type="dxa"/>
          </w:tcPr>
          <w:p w14:paraId="054EDB72" w14:textId="19052566" w:rsidR="00C508C9" w:rsidRPr="00A94F5F" w:rsidRDefault="00C508C9" w:rsidP="00C12509">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- 238</w:t>
            </w:r>
          </w:p>
        </w:tc>
        <w:tc>
          <w:tcPr>
            <w:tcW w:w="1417" w:type="dxa"/>
          </w:tcPr>
          <w:p w14:paraId="3D456155" w14:textId="2BCEE0E3" w:rsidR="00C508C9" w:rsidRPr="00A94F5F" w:rsidRDefault="00C508C9" w:rsidP="00C12509">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- 4,6 %</w:t>
            </w:r>
          </w:p>
        </w:tc>
        <w:tc>
          <w:tcPr>
            <w:tcW w:w="1276" w:type="dxa"/>
          </w:tcPr>
          <w:p w14:paraId="29B3C735" w14:textId="2BC242FB" w:rsidR="00C508C9" w:rsidRPr="00A94F5F" w:rsidRDefault="00C508C9" w:rsidP="00C12509">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- 724</w:t>
            </w:r>
          </w:p>
        </w:tc>
        <w:tc>
          <w:tcPr>
            <w:tcW w:w="1418" w:type="dxa"/>
          </w:tcPr>
          <w:p w14:paraId="70EE011C" w14:textId="7E2486A9" w:rsidR="00C508C9" w:rsidRPr="00A94F5F" w:rsidRDefault="00C508C9" w:rsidP="00C12509">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- 4,7 %</w:t>
            </w:r>
          </w:p>
        </w:tc>
      </w:tr>
      <w:tr w:rsidR="00C508C9" w:rsidRPr="00A94F5F" w14:paraId="05B75558" w14:textId="77777777">
        <w:trPr>
          <w:jc w:val="center"/>
        </w:trPr>
        <w:tc>
          <w:tcPr>
            <w:tcW w:w="3510" w:type="dxa"/>
          </w:tcPr>
          <w:p w14:paraId="1DF7CC7C" w14:textId="77777777" w:rsidR="00C508C9" w:rsidRPr="00A94F5F" w:rsidRDefault="00C508C9" w:rsidP="00BF4FFF">
            <w:pPr>
              <w:pStyle w:val="LadilloMichelinDossier"/>
              <w:spacing w:before="0" w:after="0"/>
              <w:rPr>
                <w:rFonts w:ascii="Arial" w:hAnsi="Arial"/>
                <w:b w:val="0"/>
                <w:bCs/>
                <w:sz w:val="20"/>
                <w:lang w:val="es-ES_tradnl" w:bidi="es-ES_tradnl"/>
              </w:rPr>
            </w:pPr>
            <w:r w:rsidRPr="00A94F5F">
              <w:rPr>
                <w:rFonts w:ascii="Arial" w:hAnsi="Arial"/>
                <w:b w:val="0"/>
                <w:bCs/>
                <w:sz w:val="20"/>
                <w:lang w:val="es-ES_tradnl" w:bidi="es-ES_tradnl"/>
              </w:rPr>
              <w:t>Volúmenes</w:t>
            </w:r>
            <w:r w:rsidRPr="00A94F5F">
              <w:rPr>
                <w:rStyle w:val="Refdenotaalpie"/>
                <w:rFonts w:ascii="Arial" w:hAnsi="Arial"/>
                <w:b w:val="0"/>
                <w:bCs/>
                <w:sz w:val="32"/>
                <w:lang w:val="es-ES_tradnl" w:bidi="es-ES_tradnl"/>
              </w:rPr>
              <w:footnoteReference w:customMarkFollows="1" w:id="8"/>
              <w:sym w:font="Symbol" w:char="F02A"/>
            </w:r>
          </w:p>
          <w:p w14:paraId="466C711C" w14:textId="77777777" w:rsidR="00C508C9" w:rsidRPr="00A94F5F" w:rsidRDefault="00C508C9" w:rsidP="00BF4FFF">
            <w:pPr>
              <w:pStyle w:val="LadilloMichelinDossier"/>
              <w:spacing w:before="0" w:after="0"/>
              <w:rPr>
                <w:rFonts w:ascii="Arial" w:hAnsi="Arial"/>
                <w:b w:val="0"/>
                <w:bCs/>
                <w:sz w:val="20"/>
                <w:lang w:val="es-ES_tradnl" w:bidi="es-ES_tradnl"/>
              </w:rPr>
            </w:pPr>
          </w:p>
        </w:tc>
        <w:tc>
          <w:tcPr>
            <w:tcW w:w="1418" w:type="dxa"/>
          </w:tcPr>
          <w:p w14:paraId="493C24A0" w14:textId="2111BDF5" w:rsidR="00C508C9" w:rsidRPr="00A94F5F" w:rsidRDefault="00C508C9" w:rsidP="00C12509">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- 62</w:t>
            </w:r>
          </w:p>
        </w:tc>
        <w:tc>
          <w:tcPr>
            <w:tcW w:w="1417" w:type="dxa"/>
          </w:tcPr>
          <w:p w14:paraId="2355E5B8" w14:textId="64D7C0C2" w:rsidR="00C508C9" w:rsidRPr="00A94F5F" w:rsidRDefault="00C508C9" w:rsidP="00C12509">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- 1,2 %</w:t>
            </w:r>
          </w:p>
        </w:tc>
        <w:tc>
          <w:tcPr>
            <w:tcW w:w="1276" w:type="dxa"/>
          </w:tcPr>
          <w:p w14:paraId="315A8449" w14:textId="6B6FAF57" w:rsidR="00C508C9" w:rsidRPr="00A94F5F" w:rsidRDefault="00C508C9" w:rsidP="00C12509">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+ 136</w:t>
            </w:r>
          </w:p>
        </w:tc>
        <w:tc>
          <w:tcPr>
            <w:tcW w:w="1418" w:type="dxa"/>
          </w:tcPr>
          <w:p w14:paraId="7891A016" w14:textId="3092A641" w:rsidR="00C508C9" w:rsidRPr="00A94F5F" w:rsidRDefault="00C508C9" w:rsidP="00C12509">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+ 0,9 %</w:t>
            </w:r>
          </w:p>
        </w:tc>
      </w:tr>
      <w:tr w:rsidR="00C508C9" w:rsidRPr="00A94F5F" w14:paraId="0FDBF646" w14:textId="77777777">
        <w:trPr>
          <w:jc w:val="center"/>
        </w:trPr>
        <w:tc>
          <w:tcPr>
            <w:tcW w:w="3510" w:type="dxa"/>
            <w:tcBorders>
              <w:top w:val="single" w:sz="4" w:space="0" w:color="auto"/>
              <w:left w:val="single" w:sz="4" w:space="0" w:color="auto"/>
              <w:bottom w:val="single" w:sz="4" w:space="0" w:color="auto"/>
              <w:right w:val="single" w:sz="4" w:space="0" w:color="auto"/>
            </w:tcBorders>
          </w:tcPr>
          <w:p w14:paraId="6551D36E" w14:textId="77777777" w:rsidR="00C508C9" w:rsidRPr="00A94F5F" w:rsidRDefault="00C508C9" w:rsidP="00BF4FFF">
            <w:pPr>
              <w:pStyle w:val="LadilloMichelinDossier"/>
              <w:spacing w:before="0" w:after="0"/>
              <w:rPr>
                <w:rFonts w:ascii="Arial" w:hAnsi="Arial"/>
                <w:b w:val="0"/>
                <w:bCs/>
                <w:sz w:val="20"/>
                <w:lang w:val="es-ES_tradnl" w:bidi="es-ES_tradnl"/>
              </w:rPr>
            </w:pPr>
            <w:r w:rsidRPr="00A94F5F">
              <w:rPr>
                <w:rFonts w:ascii="Arial" w:hAnsi="Arial"/>
                <w:b w:val="0"/>
                <w:bCs/>
                <w:sz w:val="20"/>
                <w:lang w:val="es-ES_tradnl" w:bidi="es-ES_tradnl"/>
              </w:rPr>
              <w:t xml:space="preserve">           Mix/precios</w:t>
            </w:r>
          </w:p>
          <w:p w14:paraId="0F290139" w14:textId="77777777" w:rsidR="00C508C9" w:rsidRPr="00A94F5F" w:rsidRDefault="00C508C9" w:rsidP="00BF4FFF">
            <w:pPr>
              <w:pStyle w:val="LadilloMichelinDossier"/>
              <w:spacing w:before="0" w:after="0"/>
              <w:rPr>
                <w:rFonts w:ascii="Arial" w:hAnsi="Arial"/>
                <w:b w:val="0"/>
                <w:bCs/>
                <w:sz w:val="20"/>
                <w:lang w:val="es-ES_tradnl" w:bidi="es-ES_tradnl"/>
              </w:rPr>
            </w:pPr>
          </w:p>
        </w:tc>
        <w:tc>
          <w:tcPr>
            <w:tcW w:w="1418" w:type="dxa"/>
            <w:tcBorders>
              <w:top w:val="single" w:sz="4" w:space="0" w:color="auto"/>
              <w:left w:val="single" w:sz="4" w:space="0" w:color="auto"/>
              <w:bottom w:val="single" w:sz="4" w:space="0" w:color="auto"/>
              <w:right w:val="single" w:sz="4" w:space="0" w:color="auto"/>
            </w:tcBorders>
          </w:tcPr>
          <w:p w14:paraId="3320AE84" w14:textId="0EA6025C" w:rsidR="00C508C9" w:rsidRPr="00A94F5F" w:rsidRDefault="00C508C9" w:rsidP="00C12509">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- 115</w:t>
            </w:r>
          </w:p>
        </w:tc>
        <w:tc>
          <w:tcPr>
            <w:tcW w:w="1417" w:type="dxa"/>
            <w:tcBorders>
              <w:top w:val="single" w:sz="4" w:space="0" w:color="auto"/>
              <w:left w:val="single" w:sz="4" w:space="0" w:color="auto"/>
              <w:bottom w:val="single" w:sz="4" w:space="0" w:color="auto"/>
              <w:right w:val="single" w:sz="4" w:space="0" w:color="auto"/>
            </w:tcBorders>
          </w:tcPr>
          <w:p w14:paraId="07D3CA62" w14:textId="6FBA4AB7" w:rsidR="00C508C9" w:rsidRPr="00A94F5F" w:rsidRDefault="00C508C9" w:rsidP="00C12509">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- 2,2 %</w:t>
            </w:r>
          </w:p>
        </w:tc>
        <w:tc>
          <w:tcPr>
            <w:tcW w:w="1276" w:type="dxa"/>
            <w:tcBorders>
              <w:top w:val="single" w:sz="4" w:space="0" w:color="auto"/>
              <w:left w:val="single" w:sz="4" w:space="0" w:color="auto"/>
              <w:bottom w:val="single" w:sz="4" w:space="0" w:color="auto"/>
              <w:right w:val="single" w:sz="4" w:space="0" w:color="auto"/>
            </w:tcBorders>
          </w:tcPr>
          <w:p w14:paraId="6307CF91" w14:textId="702088C4" w:rsidR="00C508C9" w:rsidRPr="00A94F5F" w:rsidRDefault="00C508C9" w:rsidP="00C12509">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- 284</w:t>
            </w:r>
          </w:p>
        </w:tc>
        <w:tc>
          <w:tcPr>
            <w:tcW w:w="1418" w:type="dxa"/>
            <w:tcBorders>
              <w:top w:val="single" w:sz="4" w:space="0" w:color="auto"/>
              <w:left w:val="single" w:sz="4" w:space="0" w:color="auto"/>
              <w:bottom w:val="single" w:sz="4" w:space="0" w:color="auto"/>
              <w:right w:val="single" w:sz="4" w:space="0" w:color="auto"/>
            </w:tcBorders>
          </w:tcPr>
          <w:p w14:paraId="3DB2CFD5" w14:textId="46887564" w:rsidR="00C508C9" w:rsidRPr="00A94F5F" w:rsidRDefault="00C508C9" w:rsidP="00C12509">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- 1,9 %</w:t>
            </w:r>
          </w:p>
        </w:tc>
      </w:tr>
      <w:tr w:rsidR="00C508C9" w:rsidRPr="00A94F5F" w14:paraId="7CFD41FF" w14:textId="77777777">
        <w:trPr>
          <w:jc w:val="center"/>
        </w:trPr>
        <w:tc>
          <w:tcPr>
            <w:tcW w:w="3510" w:type="dxa"/>
            <w:tcBorders>
              <w:top w:val="single" w:sz="4" w:space="0" w:color="auto"/>
              <w:left w:val="single" w:sz="4" w:space="0" w:color="auto"/>
              <w:bottom w:val="single" w:sz="4" w:space="0" w:color="auto"/>
              <w:right w:val="single" w:sz="4" w:space="0" w:color="auto"/>
            </w:tcBorders>
          </w:tcPr>
          <w:p w14:paraId="04839162" w14:textId="77777777" w:rsidR="00C508C9" w:rsidRPr="00A94F5F" w:rsidRDefault="00C508C9" w:rsidP="00BF4FFF">
            <w:pPr>
              <w:pStyle w:val="LadilloMichelinDossier"/>
              <w:spacing w:before="0" w:after="0"/>
              <w:rPr>
                <w:rFonts w:ascii="Arial" w:hAnsi="Arial"/>
                <w:b w:val="0"/>
                <w:bCs/>
                <w:sz w:val="20"/>
                <w:lang w:val="es-ES_tradnl" w:bidi="es-ES_tradnl"/>
              </w:rPr>
            </w:pPr>
            <w:r w:rsidRPr="00A94F5F">
              <w:rPr>
                <w:rFonts w:ascii="Arial" w:hAnsi="Arial"/>
                <w:b w:val="0"/>
                <w:bCs/>
                <w:sz w:val="20"/>
                <w:lang w:val="es-ES_tradnl" w:bidi="es-ES_tradnl"/>
              </w:rPr>
              <w:t xml:space="preserve">           Variación tasa de cambio</w:t>
            </w:r>
          </w:p>
          <w:p w14:paraId="466D07AF" w14:textId="77777777" w:rsidR="00C508C9" w:rsidRPr="00A94F5F" w:rsidRDefault="00C508C9" w:rsidP="00BF4FFF">
            <w:pPr>
              <w:pStyle w:val="LadilloMichelinDossier"/>
              <w:spacing w:before="0" w:after="0"/>
              <w:rPr>
                <w:rFonts w:ascii="Arial" w:hAnsi="Arial"/>
                <w:b w:val="0"/>
                <w:bCs/>
                <w:sz w:val="20"/>
                <w:lang w:val="es-ES_tradnl" w:bidi="es-ES_tradnl"/>
              </w:rPr>
            </w:pPr>
          </w:p>
        </w:tc>
        <w:tc>
          <w:tcPr>
            <w:tcW w:w="1418" w:type="dxa"/>
            <w:tcBorders>
              <w:top w:val="single" w:sz="4" w:space="0" w:color="auto"/>
              <w:left w:val="single" w:sz="4" w:space="0" w:color="auto"/>
              <w:bottom w:val="single" w:sz="4" w:space="0" w:color="auto"/>
              <w:right w:val="single" w:sz="4" w:space="0" w:color="auto"/>
            </w:tcBorders>
          </w:tcPr>
          <w:p w14:paraId="5FCCAF6C" w14:textId="01E5EDDF" w:rsidR="00C508C9" w:rsidRPr="00A94F5F" w:rsidRDefault="00C508C9" w:rsidP="00C12509">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- 27</w:t>
            </w:r>
          </w:p>
        </w:tc>
        <w:tc>
          <w:tcPr>
            <w:tcW w:w="1417" w:type="dxa"/>
            <w:tcBorders>
              <w:top w:val="single" w:sz="4" w:space="0" w:color="auto"/>
              <w:left w:val="single" w:sz="4" w:space="0" w:color="auto"/>
              <w:bottom w:val="single" w:sz="4" w:space="0" w:color="auto"/>
              <w:right w:val="single" w:sz="4" w:space="0" w:color="auto"/>
            </w:tcBorders>
          </w:tcPr>
          <w:p w14:paraId="4A729CD3" w14:textId="65D43110" w:rsidR="00C508C9" w:rsidRPr="00A94F5F" w:rsidRDefault="00C508C9" w:rsidP="00C12509">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- 0,6 %</w:t>
            </w:r>
          </w:p>
        </w:tc>
        <w:tc>
          <w:tcPr>
            <w:tcW w:w="1276" w:type="dxa"/>
            <w:tcBorders>
              <w:top w:val="single" w:sz="4" w:space="0" w:color="auto"/>
              <w:left w:val="single" w:sz="4" w:space="0" w:color="auto"/>
              <w:bottom w:val="single" w:sz="4" w:space="0" w:color="auto"/>
              <w:right w:val="single" w:sz="4" w:space="0" w:color="auto"/>
            </w:tcBorders>
          </w:tcPr>
          <w:p w14:paraId="29F71548" w14:textId="6083154D" w:rsidR="00C508C9" w:rsidRPr="00A94F5F" w:rsidRDefault="00C508C9" w:rsidP="00C12509">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- 484</w:t>
            </w:r>
          </w:p>
        </w:tc>
        <w:tc>
          <w:tcPr>
            <w:tcW w:w="1418" w:type="dxa"/>
            <w:tcBorders>
              <w:top w:val="single" w:sz="4" w:space="0" w:color="auto"/>
              <w:left w:val="single" w:sz="4" w:space="0" w:color="auto"/>
              <w:bottom w:val="single" w:sz="4" w:space="0" w:color="auto"/>
              <w:right w:val="single" w:sz="4" w:space="0" w:color="auto"/>
            </w:tcBorders>
          </w:tcPr>
          <w:p w14:paraId="06F841B4" w14:textId="4B572387" w:rsidR="00C508C9" w:rsidRPr="00A94F5F" w:rsidRDefault="00C508C9" w:rsidP="00C12509">
            <w:pPr>
              <w:pStyle w:val="LadilloMichelinDossier"/>
              <w:spacing w:before="0" w:after="0"/>
              <w:jc w:val="center"/>
              <w:rPr>
                <w:rFonts w:ascii="Arial" w:hAnsi="Arial"/>
                <w:bCs/>
                <w:sz w:val="20"/>
                <w:szCs w:val="20"/>
                <w:lang w:val="es-ES_tradnl" w:bidi="es-ES_tradnl"/>
              </w:rPr>
            </w:pPr>
            <w:r w:rsidRPr="00A94F5F">
              <w:rPr>
                <w:rFonts w:ascii="Verdana" w:hAnsi="Verdana" w:cs="Arial"/>
                <w:bCs/>
                <w:sz w:val="20"/>
                <w:szCs w:val="20"/>
                <w:lang w:val="es-ES_tradnl"/>
              </w:rPr>
              <w:t>- 3,2 %</w:t>
            </w:r>
          </w:p>
        </w:tc>
      </w:tr>
      <w:tr w:rsidR="003B6E33" w:rsidRPr="00A94F5F" w14:paraId="0DF17999" w14:textId="77777777">
        <w:trPr>
          <w:jc w:val="center"/>
        </w:trPr>
        <w:tc>
          <w:tcPr>
            <w:tcW w:w="3510" w:type="dxa"/>
            <w:tcBorders>
              <w:top w:val="single" w:sz="4" w:space="0" w:color="auto"/>
              <w:left w:val="single" w:sz="4" w:space="0" w:color="auto"/>
              <w:bottom w:val="single" w:sz="4" w:space="0" w:color="auto"/>
              <w:right w:val="single" w:sz="4" w:space="0" w:color="auto"/>
            </w:tcBorders>
          </w:tcPr>
          <w:p w14:paraId="2233E746" w14:textId="33DE6099" w:rsidR="003B6E33" w:rsidRPr="00A94F5F" w:rsidRDefault="003B6E33" w:rsidP="00BF4FFF">
            <w:pPr>
              <w:pStyle w:val="LadilloMichelinDossier"/>
              <w:spacing w:before="0" w:after="0"/>
              <w:rPr>
                <w:rFonts w:ascii="Arial" w:hAnsi="Arial"/>
                <w:b w:val="0"/>
                <w:bCs/>
                <w:sz w:val="20"/>
                <w:lang w:val="es-ES_tradnl" w:bidi="es-ES_tradnl"/>
              </w:rPr>
            </w:pPr>
            <w:r w:rsidRPr="00A94F5F">
              <w:rPr>
                <w:rFonts w:ascii="Arial" w:hAnsi="Arial"/>
                <w:b w:val="0"/>
                <w:bCs/>
                <w:sz w:val="20"/>
                <w:lang w:val="es-ES_tradnl" w:bidi="es-ES_tradnl"/>
              </w:rPr>
              <w:t xml:space="preserve">           Variación en el perímetro </w:t>
            </w:r>
            <w:r w:rsidRPr="00A94F5F">
              <w:rPr>
                <w:rFonts w:ascii="Arial" w:hAnsi="Arial"/>
                <w:b w:val="0"/>
                <w:bCs/>
                <w:sz w:val="20"/>
                <w:lang w:val="es-ES_tradnl" w:bidi="es-ES_tradnl"/>
              </w:rPr>
              <w:br/>
              <w:t xml:space="preserve">           de consolidación </w:t>
            </w:r>
          </w:p>
          <w:p w14:paraId="588E09C1" w14:textId="52084460" w:rsidR="003B6E33" w:rsidRPr="00A94F5F" w:rsidRDefault="003B6E33" w:rsidP="00BF4FFF">
            <w:pPr>
              <w:pStyle w:val="LadilloMichelinDossier"/>
              <w:spacing w:before="0" w:after="0"/>
              <w:rPr>
                <w:rFonts w:ascii="Arial" w:hAnsi="Arial"/>
                <w:b w:val="0"/>
                <w:bCs/>
                <w:sz w:val="20"/>
                <w:lang w:val="es-ES_tradnl" w:bidi="es-ES_tradnl"/>
              </w:rPr>
            </w:pPr>
          </w:p>
        </w:tc>
        <w:tc>
          <w:tcPr>
            <w:tcW w:w="1418" w:type="dxa"/>
            <w:tcBorders>
              <w:top w:val="single" w:sz="4" w:space="0" w:color="auto"/>
              <w:left w:val="single" w:sz="4" w:space="0" w:color="auto"/>
              <w:bottom w:val="single" w:sz="4" w:space="0" w:color="auto"/>
              <w:right w:val="single" w:sz="4" w:space="0" w:color="auto"/>
            </w:tcBorders>
          </w:tcPr>
          <w:p w14:paraId="5C1927B9" w14:textId="6BE629B7" w:rsidR="003B6E33" w:rsidRPr="00A94F5F" w:rsidRDefault="003B6E33" w:rsidP="00C12509">
            <w:pPr>
              <w:pStyle w:val="LadilloMichelinDossier"/>
              <w:spacing w:before="0" w:after="0"/>
              <w:jc w:val="center"/>
              <w:rPr>
                <w:rFonts w:ascii="Verdana" w:hAnsi="Verdana" w:cs="Arial"/>
                <w:bCs/>
                <w:sz w:val="20"/>
                <w:szCs w:val="20"/>
                <w:lang w:val="es-ES_tradnl"/>
              </w:rPr>
            </w:pPr>
            <w:r w:rsidRPr="00A94F5F">
              <w:rPr>
                <w:rFonts w:ascii="Verdana" w:hAnsi="Verdana" w:cs="Arial"/>
                <w:bCs/>
                <w:sz w:val="20"/>
                <w:szCs w:val="20"/>
                <w:lang w:val="es-ES_tradnl"/>
              </w:rPr>
              <w:t>- 34</w:t>
            </w:r>
          </w:p>
        </w:tc>
        <w:tc>
          <w:tcPr>
            <w:tcW w:w="1417" w:type="dxa"/>
            <w:tcBorders>
              <w:top w:val="single" w:sz="4" w:space="0" w:color="auto"/>
              <w:left w:val="single" w:sz="4" w:space="0" w:color="auto"/>
              <w:bottom w:val="single" w:sz="4" w:space="0" w:color="auto"/>
              <w:right w:val="single" w:sz="4" w:space="0" w:color="auto"/>
            </w:tcBorders>
          </w:tcPr>
          <w:p w14:paraId="4C15D2A7" w14:textId="77DB3B80" w:rsidR="003B6E33" w:rsidRPr="00A94F5F" w:rsidRDefault="003B6E33" w:rsidP="00C12509">
            <w:pPr>
              <w:pStyle w:val="LadilloMichelinDossier"/>
              <w:spacing w:before="0" w:after="0"/>
              <w:jc w:val="center"/>
              <w:rPr>
                <w:rFonts w:ascii="Verdana" w:hAnsi="Verdana" w:cs="Arial"/>
                <w:bCs/>
                <w:sz w:val="20"/>
                <w:szCs w:val="20"/>
                <w:lang w:val="es-ES_tradnl"/>
              </w:rPr>
            </w:pPr>
            <w:r w:rsidRPr="00A94F5F">
              <w:rPr>
                <w:rFonts w:ascii="Verdana" w:hAnsi="Verdana" w:cs="Arial"/>
                <w:bCs/>
                <w:sz w:val="20"/>
                <w:szCs w:val="20"/>
                <w:lang w:val="es-ES_tradnl"/>
              </w:rPr>
              <w:t>- 0,6 %</w:t>
            </w:r>
          </w:p>
        </w:tc>
        <w:tc>
          <w:tcPr>
            <w:tcW w:w="1276" w:type="dxa"/>
            <w:tcBorders>
              <w:top w:val="single" w:sz="4" w:space="0" w:color="auto"/>
              <w:left w:val="single" w:sz="4" w:space="0" w:color="auto"/>
              <w:bottom w:val="single" w:sz="4" w:space="0" w:color="auto"/>
              <w:right w:val="single" w:sz="4" w:space="0" w:color="auto"/>
            </w:tcBorders>
          </w:tcPr>
          <w:p w14:paraId="7C3F2077" w14:textId="30869E9A" w:rsidR="003B6E33" w:rsidRPr="00A94F5F" w:rsidRDefault="003B6E33" w:rsidP="00C12509">
            <w:pPr>
              <w:pStyle w:val="LadilloMichelinDossier"/>
              <w:spacing w:before="0" w:after="0"/>
              <w:jc w:val="center"/>
              <w:rPr>
                <w:rFonts w:ascii="Verdana" w:hAnsi="Verdana" w:cs="Arial"/>
                <w:bCs/>
                <w:sz w:val="20"/>
                <w:szCs w:val="20"/>
                <w:lang w:val="es-ES_tradnl"/>
              </w:rPr>
            </w:pPr>
            <w:r w:rsidRPr="00A94F5F">
              <w:rPr>
                <w:rFonts w:ascii="Verdana" w:hAnsi="Verdana" w:cs="Arial"/>
                <w:bCs/>
                <w:sz w:val="20"/>
                <w:szCs w:val="20"/>
                <w:lang w:val="es-ES_tradnl"/>
              </w:rPr>
              <w:t>- 92</w:t>
            </w:r>
          </w:p>
        </w:tc>
        <w:tc>
          <w:tcPr>
            <w:tcW w:w="1418" w:type="dxa"/>
            <w:tcBorders>
              <w:top w:val="single" w:sz="4" w:space="0" w:color="auto"/>
              <w:left w:val="single" w:sz="4" w:space="0" w:color="auto"/>
              <w:bottom w:val="single" w:sz="4" w:space="0" w:color="auto"/>
              <w:right w:val="single" w:sz="4" w:space="0" w:color="auto"/>
            </w:tcBorders>
          </w:tcPr>
          <w:p w14:paraId="1CCD603B" w14:textId="377F5296" w:rsidR="003B6E33" w:rsidRPr="00A94F5F" w:rsidRDefault="003B6E33" w:rsidP="00C12509">
            <w:pPr>
              <w:pStyle w:val="LadilloMichelinDossier"/>
              <w:spacing w:before="0" w:after="0"/>
              <w:jc w:val="center"/>
              <w:rPr>
                <w:rFonts w:ascii="Verdana" w:hAnsi="Verdana" w:cs="Arial"/>
                <w:bCs/>
                <w:sz w:val="20"/>
                <w:szCs w:val="20"/>
                <w:lang w:val="es-ES_tradnl"/>
              </w:rPr>
            </w:pPr>
            <w:r w:rsidRPr="00A94F5F">
              <w:rPr>
                <w:rFonts w:ascii="Verdana" w:hAnsi="Verdana" w:cs="Arial"/>
                <w:bCs/>
                <w:sz w:val="20"/>
                <w:szCs w:val="20"/>
                <w:lang w:val="es-ES_tradnl"/>
              </w:rPr>
              <w:t>- 0,6 %</w:t>
            </w:r>
          </w:p>
        </w:tc>
      </w:tr>
    </w:tbl>
    <w:p w14:paraId="1AD9C8E7" w14:textId="77777777" w:rsidR="00BF4FFF" w:rsidRPr="00A94F5F" w:rsidRDefault="00BF4FFF" w:rsidP="00BF4FFF">
      <w:pPr>
        <w:spacing w:line="270" w:lineRule="atLeast"/>
        <w:jc w:val="both"/>
        <w:rPr>
          <w:rFonts w:ascii="Arial" w:hAnsi="Arial"/>
          <w:b/>
          <w:sz w:val="21"/>
          <w:lang w:bidi="es-ES_tradnl"/>
        </w:rPr>
      </w:pPr>
    </w:p>
    <w:p w14:paraId="2FFD03BC" w14:textId="77777777" w:rsidR="00BF4FFF" w:rsidRPr="00A94F5F" w:rsidRDefault="00BF4FFF" w:rsidP="00BF4FFF">
      <w:pPr>
        <w:spacing w:line="270" w:lineRule="atLeast"/>
        <w:jc w:val="both"/>
        <w:rPr>
          <w:rFonts w:ascii="Arial" w:hAnsi="Arial"/>
          <w:b/>
          <w:sz w:val="21"/>
          <w:lang w:bidi="es-ES_tradnl"/>
        </w:rPr>
      </w:pPr>
    </w:p>
    <w:p w14:paraId="473EDACA" w14:textId="0E3EC10A" w:rsidR="00406D92" w:rsidRPr="002B49AF" w:rsidRDefault="00BF4FFF" w:rsidP="00406D92">
      <w:pPr>
        <w:jc w:val="both"/>
        <w:rPr>
          <w:rFonts w:ascii="Arial" w:hAnsi="Arial"/>
          <w:bCs/>
          <w:sz w:val="21"/>
          <w:szCs w:val="21"/>
          <w:lang w:val="es-ES"/>
        </w:rPr>
      </w:pPr>
      <w:r w:rsidRPr="002B49AF">
        <w:rPr>
          <w:rFonts w:ascii="Arial" w:hAnsi="Arial"/>
          <w:sz w:val="21"/>
          <w:szCs w:val="21"/>
          <w:lang w:bidi="es-ES_tradnl"/>
        </w:rPr>
        <w:t xml:space="preserve">En los nueve primeros meses del año, </w:t>
      </w:r>
      <w:r w:rsidRPr="002B49AF">
        <w:rPr>
          <w:rFonts w:ascii="Arial" w:hAnsi="Arial"/>
          <w:b/>
          <w:sz w:val="21"/>
          <w:szCs w:val="21"/>
          <w:lang w:bidi="es-ES_tradnl"/>
        </w:rPr>
        <w:t xml:space="preserve">las ventas netas alcanzan los </w:t>
      </w:r>
      <w:r w:rsidR="002B49AF" w:rsidRPr="002B49AF">
        <w:rPr>
          <w:rFonts w:ascii="Arial" w:hAnsi="Arial"/>
          <w:b/>
          <w:bCs/>
          <w:sz w:val="21"/>
          <w:szCs w:val="21"/>
          <w:lang w:val="es-ES" w:bidi="es-ES_tradnl"/>
        </w:rPr>
        <w:t xml:space="preserve">14.558 </w:t>
      </w:r>
      <w:r w:rsidRPr="002B49AF">
        <w:rPr>
          <w:rFonts w:ascii="Arial" w:hAnsi="Arial"/>
          <w:b/>
          <w:bCs/>
          <w:sz w:val="21"/>
          <w:szCs w:val="21"/>
          <w:lang w:bidi="es-ES_tradnl"/>
        </w:rPr>
        <w:t xml:space="preserve">millones de euros, </w:t>
      </w:r>
      <w:r w:rsidR="00B400C9" w:rsidRPr="002B49AF">
        <w:rPr>
          <w:rFonts w:ascii="Arial" w:hAnsi="Arial"/>
          <w:sz w:val="21"/>
          <w:szCs w:val="21"/>
        </w:rPr>
        <w:t xml:space="preserve">con un retroceso </w:t>
      </w:r>
      <w:r w:rsidRPr="002B49AF">
        <w:rPr>
          <w:rFonts w:ascii="Arial" w:hAnsi="Arial"/>
          <w:sz w:val="21"/>
          <w:szCs w:val="21"/>
        </w:rPr>
        <w:t xml:space="preserve">del </w:t>
      </w:r>
      <w:r w:rsidR="002B49AF">
        <w:rPr>
          <w:rFonts w:ascii="Arial" w:hAnsi="Arial"/>
          <w:sz w:val="21"/>
          <w:szCs w:val="21"/>
        </w:rPr>
        <w:t>4</w:t>
      </w:r>
      <w:r w:rsidRPr="002B49AF">
        <w:rPr>
          <w:rFonts w:ascii="Arial" w:hAnsi="Arial"/>
          <w:sz w:val="21"/>
          <w:szCs w:val="21"/>
        </w:rPr>
        <w:t>,</w:t>
      </w:r>
      <w:r w:rsidR="002B49AF">
        <w:rPr>
          <w:rFonts w:ascii="Arial" w:hAnsi="Arial"/>
          <w:sz w:val="21"/>
          <w:szCs w:val="21"/>
        </w:rPr>
        <w:t>7</w:t>
      </w:r>
      <w:r w:rsidRPr="002B49AF">
        <w:rPr>
          <w:rFonts w:ascii="Arial" w:hAnsi="Arial"/>
          <w:sz w:val="21"/>
          <w:szCs w:val="21"/>
        </w:rPr>
        <w:t>%, en relación con el mismo periodo de 201</w:t>
      </w:r>
      <w:r w:rsidR="002B49AF">
        <w:rPr>
          <w:rFonts w:ascii="Arial" w:hAnsi="Arial"/>
          <w:sz w:val="21"/>
          <w:szCs w:val="21"/>
        </w:rPr>
        <w:t>3</w:t>
      </w:r>
      <w:r w:rsidRPr="002B49AF">
        <w:rPr>
          <w:rFonts w:ascii="Arial" w:hAnsi="Arial"/>
          <w:sz w:val="21"/>
          <w:szCs w:val="21"/>
        </w:rPr>
        <w:t>, bajo el efecto de los siguientes factores</w:t>
      </w:r>
      <w:r w:rsidR="00406D92" w:rsidRPr="002B49AF">
        <w:rPr>
          <w:rFonts w:ascii="Arial" w:hAnsi="Arial"/>
          <w:bCs/>
          <w:sz w:val="21"/>
          <w:szCs w:val="21"/>
          <w:lang w:val="es-ES"/>
        </w:rPr>
        <w:t>:</w:t>
      </w:r>
    </w:p>
    <w:p w14:paraId="44E40316" w14:textId="77777777" w:rsidR="00BF4FFF" w:rsidRPr="00A94F5F" w:rsidRDefault="00BF4FFF" w:rsidP="0045220E">
      <w:pPr>
        <w:pStyle w:val="Prrafodelista"/>
        <w:spacing w:line="270" w:lineRule="atLeast"/>
        <w:ind w:left="782"/>
        <w:jc w:val="both"/>
        <w:rPr>
          <w:rFonts w:ascii="Arial" w:hAnsi="Arial"/>
          <w:bCs/>
          <w:sz w:val="21"/>
          <w:lang w:val="es-ES_tradnl"/>
        </w:rPr>
      </w:pPr>
    </w:p>
    <w:p w14:paraId="24B8BCE9" w14:textId="3352C6DC" w:rsidR="00BD1118" w:rsidRDefault="00705CDE" w:rsidP="006E662F">
      <w:pPr>
        <w:pStyle w:val="Prrafodelista"/>
        <w:numPr>
          <w:ilvl w:val="0"/>
          <w:numId w:val="24"/>
        </w:numPr>
        <w:jc w:val="both"/>
        <w:rPr>
          <w:rFonts w:ascii="Arial" w:hAnsi="Arial"/>
          <w:bCs/>
          <w:sz w:val="21"/>
        </w:rPr>
      </w:pPr>
      <w:r w:rsidRPr="00A94F5F">
        <w:rPr>
          <w:rFonts w:ascii="Arial" w:hAnsi="Arial"/>
          <w:b/>
          <w:sz w:val="21"/>
          <w:lang w:val="es-ES_tradnl"/>
        </w:rPr>
        <w:t xml:space="preserve">El </w:t>
      </w:r>
      <w:r w:rsidR="006E662F">
        <w:rPr>
          <w:rFonts w:ascii="Arial" w:hAnsi="Arial"/>
          <w:b/>
          <w:sz w:val="21"/>
          <w:lang w:val="es-ES_tradnl"/>
        </w:rPr>
        <w:t>crecimiento del 1 % de los volúmenes</w:t>
      </w:r>
      <w:r w:rsidR="00BD1118">
        <w:rPr>
          <w:rFonts w:ascii="Arial" w:hAnsi="Arial"/>
          <w:b/>
          <w:sz w:val="21"/>
          <w:lang w:val="es-ES_tradnl"/>
        </w:rPr>
        <w:t>,</w:t>
      </w:r>
      <w:r w:rsidR="006E662F">
        <w:rPr>
          <w:rFonts w:ascii="Arial" w:hAnsi="Arial"/>
          <w:b/>
          <w:sz w:val="21"/>
          <w:lang w:val="es-ES_tradnl"/>
        </w:rPr>
        <w:t xml:space="preserve"> hasta finales de septiembre</w:t>
      </w:r>
      <w:r w:rsidR="0045220E" w:rsidRPr="00A94F5F">
        <w:rPr>
          <w:rFonts w:ascii="Arial" w:hAnsi="Arial"/>
          <w:b/>
          <w:sz w:val="21"/>
          <w:lang w:val="es-ES_tradnl"/>
        </w:rPr>
        <w:t>,</w:t>
      </w:r>
      <w:r w:rsidR="0045220E" w:rsidRPr="00A94F5F">
        <w:rPr>
          <w:rFonts w:ascii="Arial" w:hAnsi="Arial"/>
          <w:bCs/>
          <w:sz w:val="21"/>
          <w:lang w:val="es-ES_tradnl"/>
        </w:rPr>
        <w:t xml:space="preserve"> </w:t>
      </w:r>
      <w:r w:rsidR="00BD1118">
        <w:rPr>
          <w:rFonts w:ascii="Arial" w:hAnsi="Arial"/>
          <w:bCs/>
          <w:sz w:val="21"/>
        </w:rPr>
        <w:t>r</w:t>
      </w:r>
      <w:r w:rsidR="006E662F">
        <w:rPr>
          <w:rFonts w:ascii="Arial" w:hAnsi="Arial"/>
          <w:bCs/>
          <w:sz w:val="21"/>
        </w:rPr>
        <w:t>e</w:t>
      </w:r>
      <w:r w:rsidR="00BD1118">
        <w:rPr>
          <w:rFonts w:ascii="Arial" w:hAnsi="Arial"/>
          <w:bCs/>
          <w:sz w:val="21"/>
        </w:rPr>
        <w:t>fleja la buena resistencia de la</w:t>
      </w:r>
      <w:r w:rsidR="00A30CDD">
        <w:rPr>
          <w:rFonts w:ascii="Arial" w:hAnsi="Arial"/>
          <w:bCs/>
          <w:sz w:val="21"/>
        </w:rPr>
        <w:t>s</w:t>
      </w:r>
      <w:r w:rsidR="00BD1118">
        <w:rPr>
          <w:rFonts w:ascii="Arial" w:hAnsi="Arial"/>
          <w:bCs/>
          <w:sz w:val="21"/>
        </w:rPr>
        <w:t xml:space="preserve"> cuota</w:t>
      </w:r>
      <w:r w:rsidR="00A30CDD">
        <w:rPr>
          <w:rFonts w:ascii="Arial" w:hAnsi="Arial"/>
          <w:bCs/>
          <w:sz w:val="21"/>
        </w:rPr>
        <w:t>s</w:t>
      </w:r>
      <w:r w:rsidR="00BD1118">
        <w:rPr>
          <w:rFonts w:ascii="Arial" w:hAnsi="Arial"/>
          <w:bCs/>
          <w:sz w:val="21"/>
        </w:rPr>
        <w:t xml:space="preserve"> de mercado de la marca MICHELIN en Turismo </w:t>
      </w:r>
      <w:r w:rsidR="000F37CE">
        <w:rPr>
          <w:rFonts w:ascii="Arial" w:hAnsi="Arial"/>
          <w:bCs/>
          <w:sz w:val="21"/>
        </w:rPr>
        <w:t xml:space="preserve">Camioneta y Camión, así como el incremento de las actividades de Ingeniería Civil en </w:t>
      </w:r>
      <w:r w:rsidR="00A30CDD">
        <w:rPr>
          <w:rFonts w:ascii="Arial" w:hAnsi="Arial"/>
          <w:bCs/>
          <w:sz w:val="21"/>
        </w:rPr>
        <w:t>P</w:t>
      </w:r>
      <w:r w:rsidR="000F37CE">
        <w:rPr>
          <w:rFonts w:ascii="Arial" w:hAnsi="Arial"/>
          <w:bCs/>
          <w:sz w:val="21"/>
        </w:rPr>
        <w:t xml:space="preserve">rimer equipo e Infraestructuras y </w:t>
      </w:r>
      <w:r w:rsidR="0050426F">
        <w:rPr>
          <w:rFonts w:ascii="Arial" w:hAnsi="Arial"/>
          <w:bCs/>
          <w:sz w:val="21"/>
        </w:rPr>
        <w:t>la continuidad de los</w:t>
      </w:r>
      <w:r w:rsidR="0050426F" w:rsidRPr="0050426F">
        <w:rPr>
          <w:rFonts w:ascii="Arial" w:hAnsi="Arial"/>
          <w:bCs/>
          <w:iCs/>
          <w:sz w:val="21"/>
          <w:lang w:bidi="es-ES_tradnl"/>
        </w:rPr>
        <w:t xml:space="preserve"> procesos de reducción del stock de neumáticos de minería.</w:t>
      </w:r>
    </w:p>
    <w:p w14:paraId="0A8F4315" w14:textId="77777777" w:rsidR="00BD1118" w:rsidRDefault="00BD1118" w:rsidP="00BD1118">
      <w:pPr>
        <w:pStyle w:val="Prrafodelista"/>
        <w:ind w:left="782"/>
        <w:jc w:val="both"/>
        <w:rPr>
          <w:rFonts w:ascii="Arial" w:hAnsi="Arial"/>
          <w:bCs/>
          <w:sz w:val="21"/>
        </w:rPr>
      </w:pPr>
    </w:p>
    <w:p w14:paraId="18E55E79" w14:textId="4A441F34" w:rsidR="009A76BF" w:rsidRPr="00E50D2E" w:rsidRDefault="00F644A6" w:rsidP="0045220E">
      <w:pPr>
        <w:pStyle w:val="Prrafodelista"/>
        <w:numPr>
          <w:ilvl w:val="0"/>
          <w:numId w:val="24"/>
        </w:numPr>
        <w:spacing w:line="270" w:lineRule="atLeast"/>
        <w:jc w:val="both"/>
        <w:rPr>
          <w:rFonts w:ascii="Arial" w:hAnsi="Arial"/>
          <w:bCs/>
          <w:sz w:val="21"/>
          <w:lang w:val="es-ES_tradnl"/>
        </w:rPr>
      </w:pPr>
      <w:r w:rsidRPr="00E50D2E">
        <w:rPr>
          <w:rFonts w:ascii="Arial" w:hAnsi="Arial"/>
          <w:b/>
          <w:sz w:val="21"/>
          <w:lang w:val="es-ES_tradnl"/>
        </w:rPr>
        <w:t xml:space="preserve">El efecto del mix de precios </w:t>
      </w:r>
      <w:r w:rsidR="009A76BF" w:rsidRPr="00E50D2E">
        <w:rPr>
          <w:rFonts w:ascii="Arial" w:hAnsi="Arial"/>
          <w:b/>
          <w:bCs/>
          <w:sz w:val="21"/>
        </w:rPr>
        <w:t xml:space="preserve">(- 1,9 % </w:t>
      </w:r>
      <w:r w:rsidRPr="00E50D2E">
        <w:rPr>
          <w:rFonts w:ascii="Arial" w:hAnsi="Arial"/>
          <w:b/>
          <w:sz w:val="21"/>
          <w:lang w:val="es-ES_tradnl"/>
        </w:rPr>
        <w:t xml:space="preserve">en </w:t>
      </w:r>
      <w:r w:rsidR="009A76BF" w:rsidRPr="00E50D2E">
        <w:rPr>
          <w:rFonts w:ascii="Arial" w:hAnsi="Arial"/>
          <w:b/>
          <w:sz w:val="21"/>
          <w:lang w:val="es-ES_tradnl"/>
        </w:rPr>
        <w:t>los nueve meses</w:t>
      </w:r>
      <w:r w:rsidR="0045220E" w:rsidRPr="00E50D2E">
        <w:rPr>
          <w:rFonts w:ascii="Arial" w:hAnsi="Arial"/>
          <w:b/>
          <w:sz w:val="21"/>
          <w:lang w:val="es-ES_tradnl"/>
        </w:rPr>
        <w:t>)</w:t>
      </w:r>
      <w:r w:rsidR="0045220E" w:rsidRPr="00E50D2E">
        <w:rPr>
          <w:rFonts w:ascii="Arial" w:hAnsi="Arial"/>
          <w:bCs/>
          <w:sz w:val="21"/>
          <w:lang w:val="es-ES_tradnl"/>
        </w:rPr>
        <w:t xml:space="preserve"> </w:t>
      </w:r>
      <w:r w:rsidR="005A33C5" w:rsidRPr="00E50D2E">
        <w:rPr>
          <w:rFonts w:ascii="Arial" w:hAnsi="Arial"/>
          <w:bCs/>
          <w:sz w:val="21"/>
          <w:lang w:val="es-ES_tradnl"/>
        </w:rPr>
        <w:t xml:space="preserve">refleja, en primer lugar, la </w:t>
      </w:r>
      <w:r w:rsidR="001D2A66" w:rsidRPr="00E50D2E">
        <w:rPr>
          <w:rFonts w:ascii="Arial" w:hAnsi="Arial"/>
          <w:bCs/>
          <w:sz w:val="21"/>
          <w:lang w:val="es-ES_tradnl"/>
        </w:rPr>
        <w:t>evolución</w:t>
      </w:r>
      <w:r w:rsidR="005A33C5" w:rsidRPr="00E50D2E">
        <w:rPr>
          <w:rFonts w:ascii="Arial" w:hAnsi="Arial"/>
          <w:bCs/>
          <w:sz w:val="21"/>
          <w:lang w:val="es-ES_tradnl"/>
        </w:rPr>
        <w:t xml:space="preserve"> de los precios </w:t>
      </w:r>
      <w:r w:rsidR="001D2A66" w:rsidRPr="00E50D2E">
        <w:rPr>
          <w:rFonts w:ascii="Arial" w:hAnsi="Arial"/>
          <w:bCs/>
          <w:sz w:val="21"/>
        </w:rPr>
        <w:t>(- 397 millones de euros)</w:t>
      </w:r>
      <w:r w:rsidR="00855CA4" w:rsidRPr="00E50D2E">
        <w:rPr>
          <w:rFonts w:ascii="Arial" w:hAnsi="Arial"/>
          <w:bCs/>
          <w:sz w:val="21"/>
          <w:lang w:val="es-ES_tradnl"/>
        </w:rPr>
        <w:t>,</w:t>
      </w:r>
      <w:r w:rsidR="008B1FB2" w:rsidRPr="00E50D2E">
        <w:rPr>
          <w:rFonts w:ascii="Arial" w:hAnsi="Arial"/>
          <w:bCs/>
          <w:sz w:val="21"/>
          <w:lang w:val="es-ES_tradnl"/>
        </w:rPr>
        <w:t xml:space="preserve"> del que alrededor de un 45 % corresponde a </w:t>
      </w:r>
      <w:r w:rsidR="009E6383" w:rsidRPr="00E50D2E">
        <w:rPr>
          <w:rFonts w:ascii="Arial" w:hAnsi="Arial"/>
          <w:bCs/>
          <w:sz w:val="21"/>
          <w:lang w:val="es-ES_tradnl"/>
        </w:rPr>
        <w:t xml:space="preserve">los ajustes por las cláusulas de indexación de precios de los costes de las materias primas. </w:t>
      </w:r>
      <w:r w:rsidR="00F944B0" w:rsidRPr="00E50D2E">
        <w:rPr>
          <w:rFonts w:ascii="Arial" w:hAnsi="Arial"/>
          <w:bCs/>
          <w:sz w:val="21"/>
          <w:lang w:val="es-ES_tradnl"/>
        </w:rPr>
        <w:t xml:space="preserve">El efecto del mix (+ </w:t>
      </w:r>
      <w:r w:rsidR="00E50D2E" w:rsidRPr="00E50D2E">
        <w:rPr>
          <w:rFonts w:ascii="Arial" w:hAnsi="Arial"/>
          <w:bCs/>
          <w:sz w:val="21"/>
          <w:lang w:val="es-ES_tradnl"/>
        </w:rPr>
        <w:t>113</w:t>
      </w:r>
      <w:r w:rsidR="00F944B0" w:rsidRPr="00E50D2E">
        <w:rPr>
          <w:rFonts w:ascii="Arial" w:hAnsi="Arial"/>
          <w:bCs/>
          <w:sz w:val="21"/>
          <w:lang w:val="es-ES_tradnl"/>
        </w:rPr>
        <w:t xml:space="preserve"> millones de euros a finales de septiembre) responde principalmente al </w:t>
      </w:r>
      <w:r w:rsidR="00E50D2E" w:rsidRPr="00E50D2E">
        <w:rPr>
          <w:rFonts w:ascii="Arial" w:hAnsi="Arial"/>
          <w:bCs/>
          <w:sz w:val="21"/>
          <w:lang w:val="es-ES_tradnl"/>
        </w:rPr>
        <w:t>éxito</w:t>
      </w:r>
      <w:r w:rsidR="000F42D3">
        <w:rPr>
          <w:rFonts w:ascii="Arial" w:hAnsi="Arial"/>
          <w:bCs/>
          <w:sz w:val="21"/>
          <w:lang w:val="es-ES_tradnl"/>
        </w:rPr>
        <w:t xml:space="preserve"> de la estrategi</w:t>
      </w:r>
      <w:r w:rsidR="00E50D2E" w:rsidRPr="00E50D2E">
        <w:rPr>
          <w:rFonts w:ascii="Arial" w:hAnsi="Arial"/>
          <w:bCs/>
          <w:sz w:val="21"/>
          <w:lang w:val="es-ES_tradnl"/>
        </w:rPr>
        <w:t>a</w:t>
      </w:r>
      <w:r w:rsidR="00F944B0" w:rsidRPr="00E50D2E">
        <w:rPr>
          <w:rFonts w:ascii="Arial" w:hAnsi="Arial"/>
          <w:bCs/>
          <w:sz w:val="21"/>
          <w:lang w:val="es-ES_tradnl"/>
        </w:rPr>
        <w:t xml:space="preserve"> premium de la marca MICHELIN.</w:t>
      </w:r>
      <w:r w:rsidR="009A76BF" w:rsidRPr="00E50D2E">
        <w:rPr>
          <w:rFonts w:ascii="Arial" w:hAnsi="Arial"/>
          <w:bCs/>
          <w:sz w:val="21"/>
          <w:lang w:val="es-ES_tradnl"/>
        </w:rPr>
        <w:t xml:space="preserve"> </w:t>
      </w:r>
    </w:p>
    <w:p w14:paraId="1EE07C9C" w14:textId="77777777" w:rsidR="0045220E" w:rsidRPr="00A94F5F" w:rsidRDefault="0045220E" w:rsidP="0045220E">
      <w:pPr>
        <w:pStyle w:val="Prrafodelista"/>
        <w:spacing w:line="270" w:lineRule="atLeast"/>
        <w:ind w:left="782"/>
        <w:jc w:val="both"/>
        <w:rPr>
          <w:rFonts w:ascii="Arial" w:hAnsi="Arial"/>
          <w:bCs/>
          <w:sz w:val="21"/>
          <w:lang w:val="es-ES_tradnl"/>
        </w:rPr>
      </w:pPr>
    </w:p>
    <w:p w14:paraId="25192DB6" w14:textId="25AF5526" w:rsidR="002318E6" w:rsidRPr="00A94F5F" w:rsidRDefault="00F944B0" w:rsidP="00030FE9">
      <w:pPr>
        <w:pStyle w:val="Prrafodelista"/>
        <w:numPr>
          <w:ilvl w:val="0"/>
          <w:numId w:val="24"/>
        </w:numPr>
        <w:spacing w:line="270" w:lineRule="atLeast"/>
        <w:jc w:val="both"/>
        <w:rPr>
          <w:rFonts w:ascii="Arial" w:hAnsi="Arial"/>
          <w:bCs/>
          <w:sz w:val="21"/>
          <w:lang w:val="es-ES_tradnl"/>
        </w:rPr>
      </w:pPr>
      <w:r w:rsidRPr="00A94F5F">
        <w:rPr>
          <w:rFonts w:ascii="Arial" w:hAnsi="Arial"/>
          <w:b/>
          <w:sz w:val="21"/>
          <w:lang w:val="es-ES_tradnl"/>
        </w:rPr>
        <w:t xml:space="preserve">El </w:t>
      </w:r>
      <w:r w:rsidR="002D4C72">
        <w:rPr>
          <w:rFonts w:ascii="Arial" w:hAnsi="Arial"/>
          <w:b/>
          <w:sz w:val="21"/>
          <w:lang w:val="es-ES_tradnl"/>
        </w:rPr>
        <w:t>impacto</w:t>
      </w:r>
      <w:r w:rsidRPr="00A94F5F">
        <w:rPr>
          <w:rFonts w:ascii="Arial" w:hAnsi="Arial"/>
          <w:b/>
          <w:sz w:val="21"/>
          <w:lang w:val="es-ES_tradnl"/>
        </w:rPr>
        <w:t xml:space="preserve"> </w:t>
      </w:r>
      <w:r w:rsidRPr="00A94F5F">
        <w:rPr>
          <w:rFonts w:ascii="Arial" w:eastAsia="Times" w:hAnsi="Arial" w:cs="Arial"/>
          <w:b/>
          <w:bCs/>
          <w:sz w:val="21"/>
          <w:szCs w:val="24"/>
          <w:lang w:val="es-ES_tradnl" w:bidi="es-ES_tradnl"/>
        </w:rPr>
        <w:t xml:space="preserve">de las paridades de cambio </w:t>
      </w:r>
      <w:r w:rsidR="00444E3F" w:rsidRPr="00A94F5F">
        <w:rPr>
          <w:rFonts w:ascii="Arial" w:hAnsi="Arial"/>
          <w:b/>
          <w:sz w:val="21"/>
          <w:lang w:val="es-ES_tradnl"/>
        </w:rPr>
        <w:t>(- </w:t>
      </w:r>
      <w:r w:rsidR="002D4C72">
        <w:rPr>
          <w:rFonts w:ascii="Arial" w:hAnsi="Arial"/>
          <w:b/>
          <w:sz w:val="21"/>
          <w:lang w:val="es-ES_tradnl"/>
        </w:rPr>
        <w:t xml:space="preserve">3,2 </w:t>
      </w:r>
      <w:r w:rsidR="0045220E" w:rsidRPr="00A94F5F">
        <w:rPr>
          <w:rFonts w:ascii="Arial" w:hAnsi="Arial"/>
          <w:b/>
          <w:sz w:val="21"/>
          <w:lang w:val="es-ES_tradnl"/>
        </w:rPr>
        <w:t xml:space="preserve">% </w:t>
      </w:r>
      <w:r w:rsidR="003778E2" w:rsidRPr="00A94F5F">
        <w:rPr>
          <w:rFonts w:ascii="Arial" w:hAnsi="Arial"/>
          <w:b/>
          <w:sz w:val="21"/>
          <w:lang w:val="es-ES_tradnl"/>
        </w:rPr>
        <w:t>a finales de septiembre</w:t>
      </w:r>
      <w:r w:rsidR="003778E2">
        <w:rPr>
          <w:rFonts w:ascii="Arial" w:hAnsi="Arial"/>
          <w:b/>
          <w:sz w:val="21"/>
          <w:lang w:val="es-ES_tradnl"/>
        </w:rPr>
        <w:t xml:space="preserve"> </w:t>
      </w:r>
      <w:r w:rsidR="00444E3F" w:rsidRPr="00A94F5F">
        <w:rPr>
          <w:rFonts w:ascii="Arial" w:hAnsi="Arial"/>
          <w:b/>
          <w:sz w:val="21"/>
          <w:lang w:val="es-ES_tradnl"/>
        </w:rPr>
        <w:t>y</w:t>
      </w:r>
      <w:r w:rsidR="003778E2">
        <w:rPr>
          <w:rFonts w:ascii="Arial" w:hAnsi="Arial"/>
          <w:b/>
          <w:sz w:val="21"/>
          <w:lang w:val="es-ES_tradnl"/>
        </w:rPr>
        <w:t xml:space="preserve"> </w:t>
      </w:r>
      <w:r w:rsidR="003778E2">
        <w:rPr>
          <w:rFonts w:ascii="Arial" w:hAnsi="Arial"/>
          <w:b/>
          <w:sz w:val="21"/>
          <w:lang w:val="es-ES_tradnl"/>
        </w:rPr>
        <w:br/>
        <w:t>-</w:t>
      </w:r>
      <w:r w:rsidR="00444E3F" w:rsidRPr="00A94F5F">
        <w:rPr>
          <w:rFonts w:ascii="Arial" w:hAnsi="Arial"/>
          <w:b/>
          <w:sz w:val="21"/>
          <w:lang w:val="es-ES_tradnl"/>
        </w:rPr>
        <w:t> </w:t>
      </w:r>
      <w:r w:rsidR="003778E2">
        <w:rPr>
          <w:rFonts w:ascii="Arial" w:hAnsi="Arial"/>
          <w:b/>
          <w:sz w:val="21"/>
          <w:lang w:val="es-ES_tradnl"/>
        </w:rPr>
        <w:t xml:space="preserve">0,6 </w:t>
      </w:r>
      <w:r w:rsidR="0045220E" w:rsidRPr="00A94F5F">
        <w:rPr>
          <w:rFonts w:ascii="Arial" w:hAnsi="Arial"/>
          <w:b/>
          <w:sz w:val="21"/>
          <w:lang w:val="es-ES_tradnl"/>
        </w:rPr>
        <w:t>%</w:t>
      </w:r>
      <w:r w:rsidR="003778E2" w:rsidRPr="003778E2">
        <w:rPr>
          <w:rFonts w:ascii="Arial" w:hAnsi="Arial"/>
          <w:b/>
          <w:sz w:val="21"/>
          <w:lang w:val="es-ES_tradnl"/>
        </w:rPr>
        <w:t xml:space="preserve"> </w:t>
      </w:r>
      <w:r w:rsidR="003778E2">
        <w:rPr>
          <w:rFonts w:ascii="Arial" w:hAnsi="Arial"/>
          <w:b/>
          <w:sz w:val="21"/>
          <w:lang w:val="es-ES_tradnl"/>
        </w:rPr>
        <w:t>en el tercer trimestre</w:t>
      </w:r>
      <w:r w:rsidR="0045220E" w:rsidRPr="00A94F5F">
        <w:rPr>
          <w:rFonts w:ascii="Arial" w:hAnsi="Arial"/>
          <w:b/>
          <w:sz w:val="21"/>
          <w:lang w:val="es-ES_tradnl"/>
        </w:rPr>
        <w:t>)</w:t>
      </w:r>
      <w:r w:rsidR="004E3C7B" w:rsidRPr="004E3C7B">
        <w:rPr>
          <w:rFonts w:ascii="Arial" w:hAnsi="Arial"/>
          <w:sz w:val="21"/>
          <w:lang w:val="es-ES_tradnl"/>
        </w:rPr>
        <w:t xml:space="preserve"> que</w:t>
      </w:r>
      <w:r w:rsidR="004E3C7B">
        <w:rPr>
          <w:rFonts w:ascii="Arial" w:hAnsi="Arial"/>
          <w:sz w:val="21"/>
          <w:lang w:val="es-ES_tradnl"/>
        </w:rPr>
        <w:t xml:space="preserve">, hasta el verano reflejó la subida del euro, en especial sobre el dólar americano, el </w:t>
      </w:r>
      <w:r w:rsidR="004E3C7B" w:rsidRPr="00A94F5F">
        <w:rPr>
          <w:rFonts w:ascii="Arial" w:hAnsi="Arial"/>
          <w:bCs/>
          <w:sz w:val="21"/>
          <w:lang w:val="es-ES_tradnl"/>
        </w:rPr>
        <w:t>real brasileño</w:t>
      </w:r>
      <w:r w:rsidR="004E3C7B">
        <w:rPr>
          <w:rFonts w:ascii="Arial" w:hAnsi="Arial"/>
          <w:bCs/>
          <w:sz w:val="21"/>
          <w:lang w:val="es-ES_tradnl"/>
        </w:rPr>
        <w:t xml:space="preserve">, el dólar canadiense y el </w:t>
      </w:r>
      <w:r w:rsidR="000C34E6" w:rsidRPr="00A94F5F">
        <w:rPr>
          <w:rFonts w:ascii="Arial" w:hAnsi="Arial"/>
          <w:bCs/>
          <w:sz w:val="21"/>
          <w:lang w:val="es-ES_tradnl"/>
        </w:rPr>
        <w:t>peso argentino</w:t>
      </w:r>
      <w:r w:rsidR="00362327">
        <w:rPr>
          <w:rFonts w:ascii="Arial" w:hAnsi="Arial"/>
          <w:bCs/>
          <w:sz w:val="21"/>
          <w:lang w:val="es-ES_tradnl"/>
        </w:rPr>
        <w:t>, se ha invertido hasta septiembre con la depreciación del euro frente al dólar americano.</w:t>
      </w:r>
    </w:p>
    <w:p w14:paraId="51FB6C11" w14:textId="77777777" w:rsidR="002318E6" w:rsidRPr="00A94F5F" w:rsidRDefault="002318E6" w:rsidP="002318E6">
      <w:pPr>
        <w:pStyle w:val="Prrafodelista"/>
        <w:spacing w:line="270" w:lineRule="atLeast"/>
        <w:ind w:left="0"/>
        <w:jc w:val="both"/>
        <w:rPr>
          <w:rFonts w:ascii="Arial" w:hAnsi="Arial"/>
          <w:bCs/>
          <w:sz w:val="21"/>
          <w:lang w:val="es-ES_tradnl"/>
        </w:rPr>
      </w:pPr>
    </w:p>
    <w:p w14:paraId="33B31FA9" w14:textId="77777777" w:rsidR="00406D92" w:rsidRPr="00406D92" w:rsidRDefault="00406D92" w:rsidP="00406D92">
      <w:pPr>
        <w:pStyle w:val="Prrafodelista"/>
        <w:spacing w:line="270" w:lineRule="atLeast"/>
        <w:ind w:left="782"/>
        <w:rPr>
          <w:rFonts w:ascii="Arial" w:hAnsi="Arial"/>
          <w:b/>
          <w:bCs/>
          <w:sz w:val="21"/>
        </w:rPr>
      </w:pPr>
    </w:p>
    <w:p w14:paraId="4D0F410B" w14:textId="0A3F73AD" w:rsidR="00BF4FFF" w:rsidRPr="00A94F5F" w:rsidRDefault="00BF4FFF" w:rsidP="00BF4FFF">
      <w:pPr>
        <w:spacing w:line="270" w:lineRule="atLeast"/>
        <w:jc w:val="both"/>
        <w:rPr>
          <w:b/>
          <w:sz w:val="26"/>
          <w:lang w:bidi="es-ES_tradnl"/>
        </w:rPr>
      </w:pPr>
      <w:r w:rsidRPr="00A94F5F">
        <w:rPr>
          <w:b/>
          <w:bCs/>
          <w:sz w:val="26"/>
        </w:rPr>
        <w:lastRenderedPageBreak/>
        <w:t>Ventas netas por segmento</w:t>
      </w:r>
      <w:r w:rsidRPr="00A94F5F">
        <w:rPr>
          <w:b/>
          <w:sz w:val="26"/>
          <w:lang w:bidi="es-ES_tradnl"/>
        </w:rPr>
        <w:t xml:space="preserve"> </w:t>
      </w:r>
    </w:p>
    <w:p w14:paraId="5D3F1D82" w14:textId="77777777" w:rsidR="00BF4FFF" w:rsidRPr="00A94F5F" w:rsidRDefault="00BF4FFF" w:rsidP="00BF4FFF">
      <w:pPr>
        <w:pStyle w:val="LadilloMichelinDossier"/>
        <w:numPr>
          <w:ilvl w:val="0"/>
          <w:numId w:val="27"/>
        </w:numPr>
        <w:spacing w:after="240"/>
        <w:jc w:val="both"/>
        <w:rPr>
          <w:rFonts w:ascii="Verdana" w:hAnsi="Verdana" w:cs="Arial"/>
          <w:smallCaps/>
          <w:u w:val="single"/>
          <w:lang w:val="es-ES_tradnl"/>
        </w:rPr>
      </w:pPr>
      <w:r w:rsidRPr="00A94F5F">
        <w:rPr>
          <w:rFonts w:ascii="Arial" w:hAnsi="Arial"/>
          <w:bCs/>
          <w:sz w:val="21"/>
          <w:lang w:val="es-ES_tradnl" w:bidi="es-ES_tradnl"/>
        </w:rPr>
        <w:t xml:space="preserve">Turismo, camioneta y distribución asociada </w:t>
      </w:r>
    </w:p>
    <w:p w14:paraId="30722F9D" w14:textId="72FF62D5" w:rsidR="007D2421" w:rsidRPr="002F4395" w:rsidRDefault="00BF4FFF" w:rsidP="007D2421">
      <w:pPr>
        <w:spacing w:line="270" w:lineRule="atLeast"/>
        <w:jc w:val="both"/>
        <w:rPr>
          <w:rFonts w:ascii="Arial" w:hAnsi="Arial"/>
          <w:bCs/>
          <w:sz w:val="21"/>
          <w:lang w:val="es-ES"/>
        </w:rPr>
      </w:pPr>
      <w:r w:rsidRPr="00A94F5F">
        <w:rPr>
          <w:rFonts w:ascii="Arial" w:hAnsi="Arial"/>
          <w:sz w:val="21"/>
          <w:lang w:bidi="es-ES_tradnl"/>
        </w:rPr>
        <w:t>Para los nueve primeros meses de 201</w:t>
      </w:r>
      <w:r w:rsidR="007D2421">
        <w:rPr>
          <w:rFonts w:ascii="Arial" w:hAnsi="Arial"/>
          <w:sz w:val="21"/>
          <w:lang w:bidi="es-ES_tradnl"/>
        </w:rPr>
        <w:t>4</w:t>
      </w:r>
      <w:r w:rsidRPr="00A94F5F">
        <w:rPr>
          <w:rFonts w:ascii="Arial" w:hAnsi="Arial"/>
          <w:sz w:val="21"/>
          <w:lang w:bidi="es-ES_tradnl"/>
        </w:rPr>
        <w:t>,</w:t>
      </w:r>
      <w:r w:rsidR="00F76EBE">
        <w:rPr>
          <w:rFonts w:ascii="Arial" w:hAnsi="Arial"/>
          <w:sz w:val="21"/>
          <w:lang w:bidi="es-ES_tradnl"/>
        </w:rPr>
        <w:t xml:space="preserve"> y teniendo en cuenta un efecto de cambio desfavorable</w:t>
      </w:r>
      <w:r w:rsidRPr="00A94F5F">
        <w:rPr>
          <w:rFonts w:ascii="Arial" w:hAnsi="Arial"/>
          <w:sz w:val="21"/>
          <w:lang w:bidi="es-ES_tradnl"/>
        </w:rPr>
        <w:t xml:space="preserve"> </w:t>
      </w:r>
      <w:r w:rsidR="00F76EBE">
        <w:rPr>
          <w:rFonts w:ascii="Arial" w:hAnsi="Arial"/>
          <w:sz w:val="21"/>
          <w:lang w:bidi="es-ES_tradnl"/>
        </w:rPr>
        <w:t xml:space="preserve">del 3 %, </w:t>
      </w:r>
      <w:r w:rsidRPr="00A94F5F">
        <w:rPr>
          <w:rFonts w:ascii="Arial" w:hAnsi="Arial"/>
          <w:sz w:val="21"/>
          <w:lang w:bidi="es-ES_tradnl"/>
        </w:rPr>
        <w:t xml:space="preserve">las ventas netas </w:t>
      </w:r>
      <w:r w:rsidR="0007577E" w:rsidRPr="00A94F5F">
        <w:rPr>
          <w:rFonts w:ascii="Arial" w:hAnsi="Arial"/>
          <w:sz w:val="21"/>
          <w:lang w:bidi="es-ES_tradnl"/>
        </w:rPr>
        <w:t>alcanzaron</w:t>
      </w:r>
      <w:r w:rsidRPr="00A94F5F">
        <w:rPr>
          <w:rFonts w:ascii="Arial" w:hAnsi="Arial"/>
          <w:sz w:val="21"/>
          <w:lang w:bidi="es-ES_tradnl"/>
        </w:rPr>
        <w:t xml:space="preserve"> los </w:t>
      </w:r>
      <w:r w:rsidR="00F76EBE" w:rsidRPr="002F4395">
        <w:rPr>
          <w:rFonts w:ascii="Arial" w:hAnsi="Arial"/>
          <w:bCs/>
          <w:sz w:val="21"/>
          <w:lang w:val="es-ES"/>
        </w:rPr>
        <w:t>7.759</w:t>
      </w:r>
      <w:r w:rsidR="0007577E" w:rsidRPr="00A94F5F">
        <w:rPr>
          <w:rFonts w:ascii="Arial" w:hAnsi="Arial"/>
          <w:bCs/>
          <w:sz w:val="21"/>
        </w:rPr>
        <w:t xml:space="preserve"> millones de euros</w:t>
      </w:r>
      <w:r w:rsidR="00FA313F" w:rsidRPr="00A94F5F">
        <w:rPr>
          <w:rFonts w:ascii="Arial" w:hAnsi="Arial"/>
          <w:bCs/>
          <w:sz w:val="21"/>
        </w:rPr>
        <w:t xml:space="preserve">, en comparación con los </w:t>
      </w:r>
      <w:r w:rsidRPr="00A94F5F">
        <w:rPr>
          <w:rFonts w:ascii="Arial" w:hAnsi="Arial"/>
          <w:bCs/>
          <w:sz w:val="21"/>
        </w:rPr>
        <w:t>8.</w:t>
      </w:r>
      <w:r w:rsidR="00F27D2C">
        <w:rPr>
          <w:rFonts w:ascii="Arial" w:hAnsi="Arial"/>
          <w:bCs/>
          <w:sz w:val="21"/>
        </w:rPr>
        <w:t>023</w:t>
      </w:r>
      <w:r w:rsidRPr="00A94F5F">
        <w:rPr>
          <w:rFonts w:ascii="Arial" w:hAnsi="Arial"/>
          <w:bCs/>
          <w:sz w:val="21"/>
        </w:rPr>
        <w:t xml:space="preserve"> </w:t>
      </w:r>
      <w:r w:rsidRPr="00A94F5F">
        <w:rPr>
          <w:rFonts w:ascii="Arial" w:hAnsi="Arial"/>
          <w:sz w:val="21"/>
        </w:rPr>
        <w:t>millones de euros</w:t>
      </w:r>
      <w:r w:rsidR="002E24D1" w:rsidRPr="00A94F5F">
        <w:rPr>
          <w:rFonts w:ascii="Arial" w:hAnsi="Arial"/>
          <w:sz w:val="21"/>
        </w:rPr>
        <w:t xml:space="preserve"> para el</w:t>
      </w:r>
      <w:r w:rsidRPr="00A94F5F">
        <w:rPr>
          <w:rFonts w:ascii="Arial" w:hAnsi="Arial"/>
          <w:sz w:val="21"/>
          <w:lang w:bidi="es-ES_tradnl"/>
        </w:rPr>
        <w:t xml:space="preserve"> mismo periodo de </w:t>
      </w:r>
      <w:r w:rsidRPr="00A94F5F">
        <w:rPr>
          <w:rFonts w:ascii="Arial" w:hAnsi="Arial"/>
          <w:sz w:val="21"/>
        </w:rPr>
        <w:t>201</w:t>
      </w:r>
      <w:r w:rsidR="00E57A03" w:rsidRPr="00A94F5F">
        <w:rPr>
          <w:rFonts w:ascii="Arial" w:hAnsi="Arial"/>
          <w:sz w:val="21"/>
        </w:rPr>
        <w:t xml:space="preserve">3 </w:t>
      </w:r>
      <w:r w:rsidR="002E24D1" w:rsidRPr="00A94F5F">
        <w:rPr>
          <w:rFonts w:ascii="Arial" w:hAnsi="Arial"/>
          <w:sz w:val="21"/>
          <w:lang w:bidi="es-ES_tradnl"/>
        </w:rPr>
        <w:t>(- 3,3</w:t>
      </w:r>
      <w:r w:rsidR="00A30E26">
        <w:rPr>
          <w:rFonts w:ascii="Arial" w:hAnsi="Arial"/>
          <w:sz w:val="21"/>
          <w:lang w:bidi="es-ES_tradnl"/>
        </w:rPr>
        <w:t xml:space="preserve"> </w:t>
      </w:r>
      <w:r w:rsidR="002E24D1" w:rsidRPr="00A94F5F">
        <w:rPr>
          <w:rFonts w:ascii="Arial" w:hAnsi="Arial"/>
          <w:sz w:val="21"/>
          <w:lang w:bidi="es-ES_tradnl"/>
        </w:rPr>
        <w:t>%).</w:t>
      </w:r>
      <w:r w:rsidRPr="00A94F5F">
        <w:rPr>
          <w:rFonts w:ascii="Arial" w:hAnsi="Arial"/>
          <w:sz w:val="21"/>
        </w:rPr>
        <w:t xml:space="preserve"> </w:t>
      </w:r>
    </w:p>
    <w:p w14:paraId="36CFE7EA" w14:textId="77777777" w:rsidR="00BF4FFF" w:rsidRPr="00A94F5F" w:rsidRDefault="00BF4FFF" w:rsidP="00BF4FFF">
      <w:pPr>
        <w:spacing w:line="270" w:lineRule="atLeast"/>
        <w:jc w:val="both"/>
        <w:rPr>
          <w:rFonts w:ascii="Arial" w:hAnsi="Arial"/>
          <w:sz w:val="21"/>
        </w:rPr>
      </w:pPr>
    </w:p>
    <w:p w14:paraId="28C6FDB6" w14:textId="4AADD579" w:rsidR="00D461D3" w:rsidRPr="00806CFC" w:rsidRDefault="00D461D3" w:rsidP="001E0A40">
      <w:pPr>
        <w:pStyle w:val="Prrafodelista"/>
        <w:numPr>
          <w:ilvl w:val="0"/>
          <w:numId w:val="25"/>
        </w:numPr>
        <w:spacing w:line="270" w:lineRule="atLeast"/>
        <w:jc w:val="both"/>
        <w:rPr>
          <w:rFonts w:ascii="Arial" w:hAnsi="Arial"/>
          <w:bCs/>
          <w:sz w:val="21"/>
          <w:lang w:val="es-ES_tradnl"/>
        </w:rPr>
      </w:pPr>
      <w:r w:rsidRPr="00806CFC">
        <w:rPr>
          <w:rFonts w:ascii="Arial" w:hAnsi="Arial"/>
          <w:sz w:val="21"/>
          <w:lang w:val="es-ES_tradnl"/>
        </w:rPr>
        <w:t>L</w:t>
      </w:r>
      <w:r w:rsidR="00F2115B" w:rsidRPr="00806CFC">
        <w:rPr>
          <w:rFonts w:ascii="Arial" w:hAnsi="Arial"/>
          <w:sz w:val="21"/>
          <w:lang w:val="es-ES_tradnl"/>
        </w:rPr>
        <w:t>os volúmenes de Turismo y Camioneta, aument</w:t>
      </w:r>
      <w:r w:rsidR="0007577E" w:rsidRPr="00806CFC">
        <w:rPr>
          <w:rFonts w:ascii="Arial" w:hAnsi="Arial"/>
          <w:sz w:val="21"/>
          <w:lang w:val="es-ES_tradnl"/>
        </w:rPr>
        <w:t>an</w:t>
      </w:r>
      <w:r w:rsidR="00F2115B" w:rsidRPr="00806CFC">
        <w:rPr>
          <w:rFonts w:ascii="Arial" w:hAnsi="Arial"/>
          <w:sz w:val="21"/>
          <w:lang w:val="es-ES_tradnl"/>
        </w:rPr>
        <w:t xml:space="preserve"> </w:t>
      </w:r>
      <w:r w:rsidR="0007577E" w:rsidRPr="00806CFC">
        <w:rPr>
          <w:rFonts w:ascii="Arial" w:hAnsi="Arial"/>
          <w:sz w:val="21"/>
          <w:lang w:val="es-ES_tradnl"/>
        </w:rPr>
        <w:t>un</w:t>
      </w:r>
      <w:r w:rsidR="00F2115B" w:rsidRPr="00806CFC">
        <w:rPr>
          <w:rFonts w:ascii="Arial" w:hAnsi="Arial"/>
          <w:sz w:val="21"/>
          <w:lang w:val="es-ES_tradnl"/>
        </w:rPr>
        <w:t xml:space="preserve"> </w:t>
      </w:r>
      <w:r w:rsidRPr="00806CFC">
        <w:rPr>
          <w:rFonts w:ascii="Arial" w:hAnsi="Arial"/>
          <w:sz w:val="21"/>
          <w:lang w:val="es-ES_tradnl"/>
        </w:rPr>
        <w:t xml:space="preserve">2 </w:t>
      </w:r>
      <w:r w:rsidR="00F2115B" w:rsidRPr="00806CFC">
        <w:rPr>
          <w:rFonts w:ascii="Arial" w:hAnsi="Arial"/>
          <w:sz w:val="21"/>
          <w:lang w:val="es-ES_tradnl"/>
        </w:rPr>
        <w:t xml:space="preserve">% hasta finales de septiembre, </w:t>
      </w:r>
      <w:r w:rsidR="008B3312" w:rsidRPr="00806CFC">
        <w:rPr>
          <w:rFonts w:ascii="Arial" w:hAnsi="Arial"/>
          <w:sz w:val="21"/>
          <w:lang w:val="es-ES_tradnl"/>
        </w:rPr>
        <w:t>reflejando un</w:t>
      </w:r>
      <w:r w:rsidR="001E0A40" w:rsidRPr="00806CFC">
        <w:rPr>
          <w:rFonts w:ascii="Arial" w:hAnsi="Arial"/>
          <w:sz w:val="21"/>
          <w:lang w:val="es-ES_tradnl"/>
        </w:rPr>
        <w:t xml:space="preserve"> crecimiento </w:t>
      </w:r>
      <w:r w:rsidR="00806CFC" w:rsidRPr="00806CFC">
        <w:rPr>
          <w:rFonts w:ascii="Arial" w:hAnsi="Arial"/>
          <w:bCs/>
          <w:sz w:val="21"/>
        </w:rPr>
        <w:t>del 3 % para la marca MICHELIN, así como una estabilización en el tercer trimestre para el resto de marcas</w:t>
      </w:r>
      <w:r w:rsidR="00806CFC" w:rsidRPr="00806CFC">
        <w:rPr>
          <w:rFonts w:ascii="Arial" w:hAnsi="Arial"/>
          <w:sz w:val="21"/>
          <w:lang w:val="es-ES_tradnl"/>
        </w:rPr>
        <w:t xml:space="preserve">. </w:t>
      </w:r>
    </w:p>
    <w:p w14:paraId="76DC85BA" w14:textId="77777777" w:rsidR="002318E6" w:rsidRPr="00A94F5F" w:rsidRDefault="002318E6" w:rsidP="002318E6">
      <w:pPr>
        <w:pStyle w:val="Prrafodelista"/>
        <w:spacing w:line="270" w:lineRule="atLeast"/>
        <w:ind w:left="1776"/>
        <w:jc w:val="both"/>
        <w:rPr>
          <w:rFonts w:ascii="Arial" w:hAnsi="Arial"/>
          <w:sz w:val="21"/>
          <w:lang w:val="es-ES_tradnl"/>
        </w:rPr>
      </w:pPr>
    </w:p>
    <w:p w14:paraId="431DFFAF" w14:textId="0EEEBDC2" w:rsidR="00EF0D8C" w:rsidRPr="00EF0D8C" w:rsidRDefault="00EF0D8C" w:rsidP="00EF0D8C">
      <w:pPr>
        <w:pStyle w:val="Prrafodelista"/>
        <w:numPr>
          <w:ilvl w:val="0"/>
          <w:numId w:val="25"/>
        </w:numPr>
        <w:spacing w:line="270" w:lineRule="atLeast"/>
        <w:jc w:val="both"/>
        <w:rPr>
          <w:rFonts w:ascii="Arial" w:hAnsi="Arial"/>
          <w:bCs/>
          <w:sz w:val="21"/>
        </w:rPr>
      </w:pPr>
      <w:r w:rsidRPr="00EF0D8C">
        <w:rPr>
          <w:rFonts w:ascii="Arial" w:hAnsi="Arial"/>
          <w:bCs/>
          <w:sz w:val="21"/>
        </w:rPr>
        <w:t>L</w:t>
      </w:r>
      <w:r>
        <w:rPr>
          <w:rFonts w:ascii="Arial" w:hAnsi="Arial"/>
          <w:bCs/>
          <w:sz w:val="21"/>
        </w:rPr>
        <w:t>os ajustes de precios correspond</w:t>
      </w:r>
      <w:r w:rsidR="002A59A5">
        <w:rPr>
          <w:rFonts w:ascii="Arial" w:hAnsi="Arial"/>
          <w:bCs/>
          <w:sz w:val="21"/>
        </w:rPr>
        <w:t>en</w:t>
      </w:r>
      <w:r>
        <w:rPr>
          <w:rFonts w:ascii="Arial" w:hAnsi="Arial"/>
          <w:bCs/>
          <w:sz w:val="21"/>
        </w:rPr>
        <w:t xml:space="preserve"> a la indexación de las materias primas para la actividad de Primeros equipos y </w:t>
      </w:r>
      <w:r w:rsidR="002A59A5">
        <w:rPr>
          <w:rFonts w:ascii="Arial" w:hAnsi="Arial"/>
          <w:bCs/>
          <w:sz w:val="21"/>
        </w:rPr>
        <w:t>a los reposicionamientos en Reemplazo</w:t>
      </w:r>
      <w:r w:rsidRPr="00EF0D8C">
        <w:rPr>
          <w:rFonts w:ascii="Arial" w:hAnsi="Arial"/>
          <w:bCs/>
          <w:sz w:val="21"/>
        </w:rPr>
        <w:t xml:space="preserve">. </w:t>
      </w:r>
    </w:p>
    <w:p w14:paraId="65537A9B" w14:textId="77777777" w:rsidR="00FA2357" w:rsidRPr="00A94F5F" w:rsidRDefault="00FA2357" w:rsidP="00FA2357">
      <w:pPr>
        <w:pStyle w:val="Prrafodelista"/>
        <w:spacing w:line="270" w:lineRule="atLeast"/>
        <w:ind w:left="1776"/>
        <w:jc w:val="both"/>
        <w:rPr>
          <w:rFonts w:ascii="Arial" w:hAnsi="Arial"/>
          <w:sz w:val="21"/>
          <w:lang w:val="es-ES_tradnl"/>
        </w:rPr>
      </w:pPr>
    </w:p>
    <w:p w14:paraId="0D00F516" w14:textId="5681DA65" w:rsidR="002318E6" w:rsidRPr="00A94F5F" w:rsidRDefault="00FA2357" w:rsidP="00F44721">
      <w:pPr>
        <w:pStyle w:val="Prrafodelista"/>
        <w:numPr>
          <w:ilvl w:val="0"/>
          <w:numId w:val="25"/>
        </w:numPr>
        <w:spacing w:line="270" w:lineRule="atLeast"/>
        <w:jc w:val="both"/>
        <w:rPr>
          <w:rFonts w:ascii="Arial" w:hAnsi="Arial"/>
          <w:sz w:val="21"/>
          <w:lang w:val="es-ES_tradnl"/>
        </w:rPr>
      </w:pPr>
      <w:r w:rsidRPr="00A94F5F">
        <w:rPr>
          <w:rFonts w:ascii="Arial" w:hAnsi="Arial"/>
          <w:sz w:val="21"/>
          <w:lang w:val="es-ES_tradnl"/>
        </w:rPr>
        <w:t>El efecto mix</w:t>
      </w:r>
      <w:r w:rsidR="00D53232" w:rsidRPr="00A94F5F">
        <w:rPr>
          <w:rFonts w:ascii="Arial" w:hAnsi="Arial"/>
          <w:sz w:val="21"/>
          <w:lang w:val="es-ES_tradnl"/>
        </w:rPr>
        <w:t xml:space="preserve"> sigue favorable, sostenido por </w:t>
      </w:r>
      <w:r w:rsidR="00F44721">
        <w:rPr>
          <w:rFonts w:ascii="Arial" w:hAnsi="Arial"/>
          <w:sz w:val="21"/>
          <w:lang w:val="es-ES_tradnl"/>
        </w:rPr>
        <w:t>crecimiento del 12 % de la marca MICHELIN en el segmento de Turismo Camioneta premium.</w:t>
      </w:r>
    </w:p>
    <w:p w14:paraId="78C6F9A5" w14:textId="77777777" w:rsidR="00BF4FFF" w:rsidRPr="00A94F5F" w:rsidRDefault="00BF4FFF" w:rsidP="00BF4FFF">
      <w:pPr>
        <w:pStyle w:val="LadilloMichelinDossier"/>
        <w:numPr>
          <w:ilvl w:val="0"/>
          <w:numId w:val="27"/>
        </w:numPr>
        <w:spacing w:after="240"/>
        <w:jc w:val="both"/>
        <w:rPr>
          <w:rFonts w:ascii="Arial" w:hAnsi="Arial"/>
          <w:bCs/>
          <w:sz w:val="21"/>
          <w:lang w:val="es-ES_tradnl" w:bidi="es-ES_tradnl"/>
        </w:rPr>
      </w:pPr>
      <w:r w:rsidRPr="00A94F5F">
        <w:rPr>
          <w:rFonts w:ascii="Arial" w:hAnsi="Arial"/>
          <w:bCs/>
          <w:sz w:val="21"/>
          <w:lang w:val="es-ES_tradnl" w:bidi="es-ES_tradnl"/>
        </w:rPr>
        <w:t xml:space="preserve">Camión y distribución asociada </w:t>
      </w:r>
    </w:p>
    <w:p w14:paraId="0464390A" w14:textId="53860919" w:rsidR="00060D6B" w:rsidRPr="00396B43" w:rsidRDefault="00BF4FFF" w:rsidP="00BF4FFF">
      <w:pPr>
        <w:spacing w:line="270" w:lineRule="atLeast"/>
        <w:jc w:val="both"/>
        <w:rPr>
          <w:rFonts w:ascii="Arial" w:hAnsi="Arial"/>
          <w:sz w:val="21"/>
          <w:lang w:bidi="es-ES_tradnl"/>
        </w:rPr>
      </w:pPr>
      <w:r w:rsidRPr="00A94F5F">
        <w:rPr>
          <w:rFonts w:ascii="Arial" w:hAnsi="Arial"/>
          <w:sz w:val="21"/>
          <w:lang w:bidi="es-ES_tradnl"/>
        </w:rPr>
        <w:t>A finales de septiembre de 201</w:t>
      </w:r>
      <w:r w:rsidR="00396B43">
        <w:rPr>
          <w:rFonts w:ascii="Arial" w:hAnsi="Arial"/>
          <w:sz w:val="21"/>
          <w:lang w:bidi="es-ES_tradnl"/>
        </w:rPr>
        <w:t>4</w:t>
      </w:r>
      <w:r w:rsidRPr="00A94F5F">
        <w:rPr>
          <w:rFonts w:ascii="Arial" w:hAnsi="Arial"/>
          <w:sz w:val="21"/>
          <w:lang w:bidi="es-ES_tradnl"/>
        </w:rPr>
        <w:t xml:space="preserve">, las ventas netas fueron de </w:t>
      </w:r>
      <w:r w:rsidR="00396B43" w:rsidRPr="00396B43">
        <w:rPr>
          <w:rFonts w:ascii="Arial" w:hAnsi="Arial"/>
          <w:sz w:val="21"/>
          <w:lang w:bidi="es-ES_tradnl"/>
        </w:rPr>
        <w:t>4</w:t>
      </w:r>
      <w:r w:rsidR="00396B43">
        <w:rPr>
          <w:rFonts w:ascii="Arial" w:hAnsi="Arial"/>
          <w:sz w:val="21"/>
          <w:lang w:bidi="es-ES_tradnl"/>
        </w:rPr>
        <w:t>.</w:t>
      </w:r>
      <w:r w:rsidR="00396B43" w:rsidRPr="00396B43">
        <w:rPr>
          <w:rFonts w:ascii="Arial" w:hAnsi="Arial"/>
          <w:sz w:val="21"/>
          <w:lang w:bidi="es-ES_tradnl"/>
        </w:rPr>
        <w:t>503</w:t>
      </w:r>
      <w:r w:rsidR="00396B43">
        <w:rPr>
          <w:rFonts w:ascii="Arial" w:hAnsi="Arial"/>
          <w:sz w:val="21"/>
          <w:lang w:bidi="es-ES_tradnl"/>
        </w:rPr>
        <w:t xml:space="preserve"> </w:t>
      </w:r>
      <w:r w:rsidR="003C77E2" w:rsidRPr="00A94F5F">
        <w:rPr>
          <w:rFonts w:ascii="Arial" w:hAnsi="Arial"/>
          <w:sz w:val="21"/>
          <w:lang w:bidi="es-ES_tradnl"/>
        </w:rPr>
        <w:t>millones de euros, cayendo u</w:t>
      </w:r>
      <w:r w:rsidR="00C74752" w:rsidRPr="00A94F5F">
        <w:rPr>
          <w:rFonts w:ascii="Arial" w:hAnsi="Arial"/>
          <w:sz w:val="21"/>
          <w:lang w:bidi="es-ES_tradnl"/>
        </w:rPr>
        <w:t>n</w:t>
      </w:r>
      <w:r w:rsidR="003C77E2" w:rsidRPr="00A94F5F">
        <w:rPr>
          <w:rFonts w:ascii="Arial" w:hAnsi="Arial"/>
          <w:sz w:val="21"/>
          <w:lang w:bidi="es-ES_tradnl"/>
        </w:rPr>
        <w:t xml:space="preserve"> 5,</w:t>
      </w:r>
      <w:r w:rsidR="0067477A">
        <w:rPr>
          <w:rFonts w:ascii="Arial" w:hAnsi="Arial"/>
          <w:sz w:val="21"/>
          <w:lang w:bidi="es-ES_tradnl"/>
        </w:rPr>
        <w:t xml:space="preserve">8 </w:t>
      </w:r>
      <w:r w:rsidR="003C77E2" w:rsidRPr="00A94F5F">
        <w:rPr>
          <w:rFonts w:ascii="Arial" w:hAnsi="Arial"/>
          <w:sz w:val="21"/>
          <w:lang w:bidi="es-ES_tradnl"/>
        </w:rPr>
        <w:t xml:space="preserve">%, en relación con los </w:t>
      </w:r>
      <w:r w:rsidR="00396B43" w:rsidRPr="00A94F5F">
        <w:rPr>
          <w:rFonts w:ascii="Arial" w:hAnsi="Arial"/>
          <w:sz w:val="21"/>
          <w:lang w:bidi="es-ES_tradnl"/>
        </w:rPr>
        <w:t xml:space="preserve">4.781 </w:t>
      </w:r>
      <w:r w:rsidRPr="00A94F5F">
        <w:rPr>
          <w:rFonts w:ascii="Arial" w:hAnsi="Arial"/>
          <w:sz w:val="21"/>
          <w:lang w:bidi="es-ES_tradnl"/>
        </w:rPr>
        <w:t>millones de euros</w:t>
      </w:r>
      <w:r w:rsidR="003C77E2" w:rsidRPr="00A94F5F">
        <w:rPr>
          <w:rFonts w:ascii="Arial" w:hAnsi="Arial"/>
          <w:sz w:val="21"/>
          <w:lang w:bidi="es-ES_tradnl"/>
        </w:rPr>
        <w:t xml:space="preserve"> para</w:t>
      </w:r>
      <w:r w:rsidRPr="00A94F5F">
        <w:rPr>
          <w:rFonts w:ascii="Arial" w:hAnsi="Arial"/>
          <w:sz w:val="21"/>
          <w:lang w:bidi="es-ES_tradnl"/>
        </w:rPr>
        <w:t xml:space="preserve"> los nueve primeros </w:t>
      </w:r>
      <w:r w:rsidRPr="00396B43">
        <w:rPr>
          <w:rFonts w:ascii="Arial" w:hAnsi="Arial"/>
          <w:sz w:val="21"/>
          <w:lang w:bidi="es-ES_tradnl"/>
        </w:rPr>
        <w:t>meses de 201</w:t>
      </w:r>
      <w:r w:rsidR="0067477A">
        <w:rPr>
          <w:rFonts w:ascii="Arial" w:hAnsi="Arial"/>
          <w:sz w:val="21"/>
          <w:lang w:bidi="es-ES_tradnl"/>
        </w:rPr>
        <w:t>3</w:t>
      </w:r>
      <w:r w:rsidRPr="00396B43">
        <w:rPr>
          <w:rFonts w:ascii="Arial" w:hAnsi="Arial"/>
          <w:sz w:val="21"/>
          <w:lang w:bidi="es-ES_tradnl"/>
        </w:rPr>
        <w:t>.</w:t>
      </w:r>
      <w:r w:rsidR="00396B43" w:rsidRPr="00396B43">
        <w:rPr>
          <w:rFonts w:ascii="Verdana" w:eastAsia="Times New Roman" w:hAnsi="Verdana" w:cs="Arial"/>
          <w:sz w:val="20"/>
          <w:szCs w:val="20"/>
        </w:rPr>
        <w:t xml:space="preserve"> </w:t>
      </w:r>
    </w:p>
    <w:p w14:paraId="13ECDF1F" w14:textId="77777777" w:rsidR="00BF4FFF" w:rsidRPr="00396B43" w:rsidRDefault="00BF4FFF" w:rsidP="00BF4FFF">
      <w:pPr>
        <w:spacing w:line="270" w:lineRule="atLeast"/>
        <w:jc w:val="both"/>
        <w:rPr>
          <w:rFonts w:ascii="Arial" w:hAnsi="Arial"/>
          <w:sz w:val="21"/>
          <w:lang w:bidi="es-ES_tradnl"/>
        </w:rPr>
      </w:pPr>
    </w:p>
    <w:p w14:paraId="01385B5E" w14:textId="1FD74A78" w:rsidR="007513F8" w:rsidRDefault="002935CF" w:rsidP="007513F8">
      <w:pPr>
        <w:pStyle w:val="Prrafodelista"/>
        <w:numPr>
          <w:ilvl w:val="0"/>
          <w:numId w:val="25"/>
        </w:numPr>
        <w:spacing w:line="270" w:lineRule="atLeast"/>
        <w:jc w:val="both"/>
        <w:rPr>
          <w:rFonts w:ascii="Arial" w:hAnsi="Arial"/>
          <w:sz w:val="21"/>
          <w:lang w:val="es-ES_tradnl"/>
        </w:rPr>
      </w:pPr>
      <w:r w:rsidRPr="00396B43">
        <w:rPr>
          <w:rFonts w:ascii="Arial" w:hAnsi="Arial"/>
          <w:sz w:val="21"/>
          <w:lang w:val="es-ES_tradnl"/>
        </w:rPr>
        <w:t>Reflejando la prioridad dada</w:t>
      </w:r>
      <w:r w:rsidRPr="00A94F5F">
        <w:rPr>
          <w:rFonts w:ascii="Arial" w:hAnsi="Arial"/>
          <w:sz w:val="21"/>
          <w:lang w:val="es-ES_tradnl"/>
        </w:rPr>
        <w:t xml:space="preserve"> a la mejora de la rentabilidad de la actividad de Camión, los volúmenes vendidos </w:t>
      </w:r>
      <w:r w:rsidR="009C252A">
        <w:rPr>
          <w:rFonts w:ascii="Arial" w:hAnsi="Arial"/>
          <w:sz w:val="21"/>
          <w:lang w:val="es-ES_tradnl"/>
        </w:rPr>
        <w:t>experimentan</w:t>
      </w:r>
      <w:r w:rsidRPr="00A94F5F">
        <w:rPr>
          <w:rFonts w:ascii="Arial" w:hAnsi="Arial"/>
          <w:sz w:val="21"/>
          <w:lang w:val="es-ES_tradnl"/>
        </w:rPr>
        <w:t xml:space="preserve"> un </w:t>
      </w:r>
      <w:r w:rsidR="000A7FA6">
        <w:rPr>
          <w:rFonts w:ascii="Arial" w:hAnsi="Arial"/>
          <w:sz w:val="21"/>
          <w:lang w:val="es-ES_tradnl"/>
        </w:rPr>
        <w:t>aumento</w:t>
      </w:r>
      <w:r w:rsidRPr="00A94F5F">
        <w:rPr>
          <w:rFonts w:ascii="Arial" w:hAnsi="Arial"/>
          <w:sz w:val="21"/>
          <w:lang w:val="es-ES_tradnl"/>
        </w:rPr>
        <w:t xml:space="preserve"> </w:t>
      </w:r>
      <w:r w:rsidR="000A7FA6">
        <w:rPr>
          <w:rFonts w:ascii="Arial" w:hAnsi="Arial"/>
          <w:sz w:val="21"/>
          <w:lang w:val="es-ES_tradnl"/>
        </w:rPr>
        <w:t xml:space="preserve">del 1 % </w:t>
      </w:r>
      <w:r w:rsidRPr="00A94F5F">
        <w:rPr>
          <w:rFonts w:ascii="Arial" w:hAnsi="Arial"/>
          <w:sz w:val="21"/>
          <w:lang w:val="es-ES_tradnl"/>
        </w:rPr>
        <w:t xml:space="preserve">en los nueve primeros </w:t>
      </w:r>
      <w:r w:rsidR="00926D20">
        <w:rPr>
          <w:rFonts w:ascii="Arial" w:hAnsi="Arial"/>
          <w:sz w:val="21"/>
          <w:lang w:val="es-ES_tradnl"/>
        </w:rPr>
        <w:t>meses.</w:t>
      </w:r>
    </w:p>
    <w:p w14:paraId="5A0BB816" w14:textId="77777777" w:rsidR="00EE38BE" w:rsidRDefault="00EE38BE" w:rsidP="00EE38BE">
      <w:pPr>
        <w:pStyle w:val="Prrafodelista"/>
        <w:spacing w:line="270" w:lineRule="atLeast"/>
        <w:ind w:left="1776"/>
        <w:jc w:val="both"/>
        <w:rPr>
          <w:rFonts w:ascii="Arial" w:hAnsi="Arial"/>
          <w:sz w:val="21"/>
          <w:lang w:val="es-ES_tradnl"/>
        </w:rPr>
      </w:pPr>
    </w:p>
    <w:p w14:paraId="468C65E9" w14:textId="658F8C4F" w:rsidR="00220016" w:rsidRDefault="00EE38BE" w:rsidP="007513F8">
      <w:pPr>
        <w:pStyle w:val="Prrafodelista"/>
        <w:numPr>
          <w:ilvl w:val="0"/>
          <w:numId w:val="25"/>
        </w:numPr>
        <w:spacing w:line="270" w:lineRule="atLeast"/>
        <w:jc w:val="both"/>
        <w:rPr>
          <w:rFonts w:ascii="Arial" w:hAnsi="Arial"/>
          <w:sz w:val="21"/>
          <w:lang w:val="es-ES_tradnl"/>
        </w:rPr>
      </w:pPr>
      <w:r w:rsidRPr="005160DC">
        <w:rPr>
          <w:rFonts w:ascii="Arial" w:hAnsi="Arial"/>
          <w:sz w:val="21"/>
          <w:lang w:val="es-ES_tradnl"/>
        </w:rPr>
        <w:t xml:space="preserve">La </w:t>
      </w:r>
      <w:r>
        <w:rPr>
          <w:rFonts w:ascii="Arial" w:hAnsi="Arial"/>
          <w:sz w:val="21"/>
          <w:lang w:val="es-ES_tradnl"/>
        </w:rPr>
        <w:t xml:space="preserve">buena resistencia de los precios en </w:t>
      </w:r>
      <w:r w:rsidRPr="00C5360F">
        <w:rPr>
          <w:rFonts w:ascii="Arial" w:hAnsi="Arial"/>
          <w:sz w:val="21"/>
          <w:lang w:val="es-ES_tradnl"/>
        </w:rPr>
        <w:t xml:space="preserve">Reemplazo, </w:t>
      </w:r>
      <w:r w:rsidR="000516E6" w:rsidRPr="00C5360F">
        <w:rPr>
          <w:rFonts w:ascii="Arial" w:hAnsi="Arial"/>
          <w:sz w:val="21"/>
          <w:lang w:val="es-ES_tradnl"/>
        </w:rPr>
        <w:t>reduce</w:t>
      </w:r>
      <w:r w:rsidR="00220016" w:rsidRPr="00C5360F">
        <w:rPr>
          <w:rFonts w:ascii="Arial" w:hAnsi="Arial"/>
          <w:sz w:val="21"/>
          <w:lang w:val="es-ES_tradnl"/>
        </w:rPr>
        <w:t xml:space="preserve"> el impacto</w:t>
      </w:r>
      <w:r w:rsidR="00220016">
        <w:rPr>
          <w:rFonts w:ascii="Arial" w:hAnsi="Arial"/>
          <w:sz w:val="21"/>
          <w:lang w:val="es-ES_tradnl"/>
        </w:rPr>
        <w:t xml:space="preserve"> de las cláusulas de </w:t>
      </w:r>
      <w:r w:rsidR="00220016">
        <w:rPr>
          <w:rFonts w:ascii="Arial" w:hAnsi="Arial"/>
          <w:bCs/>
          <w:sz w:val="21"/>
        </w:rPr>
        <w:t>indexación</w:t>
      </w:r>
      <w:r w:rsidR="00220016">
        <w:rPr>
          <w:rFonts w:ascii="Arial" w:hAnsi="Arial"/>
          <w:sz w:val="21"/>
          <w:lang w:val="es-ES_tradnl"/>
        </w:rPr>
        <w:t xml:space="preserve"> en Primeros equipos. </w:t>
      </w:r>
    </w:p>
    <w:p w14:paraId="6A15D3FA" w14:textId="77777777" w:rsidR="007513F8" w:rsidRPr="00A94F5F" w:rsidRDefault="007513F8" w:rsidP="007513F8">
      <w:pPr>
        <w:pStyle w:val="Prrafodelista"/>
        <w:spacing w:line="270" w:lineRule="atLeast"/>
        <w:ind w:left="1776"/>
        <w:jc w:val="both"/>
        <w:rPr>
          <w:rFonts w:ascii="Arial" w:hAnsi="Arial"/>
          <w:sz w:val="21"/>
          <w:lang w:val="es-ES_tradnl"/>
        </w:rPr>
      </w:pPr>
    </w:p>
    <w:p w14:paraId="4C3C28BE" w14:textId="292BC45D" w:rsidR="00BF4FFF" w:rsidRPr="00502DF3" w:rsidRDefault="004846D5" w:rsidP="00BF4FFF">
      <w:pPr>
        <w:pStyle w:val="Prrafodelista"/>
        <w:numPr>
          <w:ilvl w:val="0"/>
          <w:numId w:val="25"/>
        </w:numPr>
        <w:spacing w:line="270" w:lineRule="atLeast"/>
        <w:jc w:val="both"/>
        <w:rPr>
          <w:rFonts w:ascii="Arial" w:hAnsi="Arial"/>
          <w:sz w:val="21"/>
          <w:lang w:val="es-ES_tradnl"/>
        </w:rPr>
      </w:pPr>
      <w:r w:rsidRPr="00A94F5F">
        <w:rPr>
          <w:rFonts w:ascii="Arial" w:hAnsi="Arial"/>
          <w:sz w:val="21"/>
          <w:lang w:val="es-ES_tradnl"/>
        </w:rPr>
        <w:t>El efecto desfavorable de las paridades monetari</w:t>
      </w:r>
      <w:r w:rsidR="009E489C" w:rsidRPr="00A94F5F">
        <w:rPr>
          <w:rFonts w:ascii="Arial" w:hAnsi="Arial"/>
          <w:sz w:val="21"/>
          <w:lang w:val="es-ES_tradnl"/>
        </w:rPr>
        <w:t>a</w:t>
      </w:r>
      <w:r w:rsidRPr="00A94F5F">
        <w:rPr>
          <w:rFonts w:ascii="Arial" w:hAnsi="Arial"/>
          <w:sz w:val="21"/>
          <w:lang w:val="es-ES_tradnl"/>
        </w:rPr>
        <w:t xml:space="preserve">s </w:t>
      </w:r>
      <w:r w:rsidR="00EE38BE">
        <w:rPr>
          <w:rFonts w:ascii="Arial" w:hAnsi="Arial"/>
          <w:sz w:val="21"/>
          <w:lang w:val="es-ES_tradnl"/>
        </w:rPr>
        <w:t>alcanza el 4 %.</w:t>
      </w:r>
    </w:p>
    <w:p w14:paraId="4FB0EDBF" w14:textId="77777777" w:rsidR="005160DC" w:rsidRPr="005160DC" w:rsidRDefault="005160DC" w:rsidP="005160DC">
      <w:pPr>
        <w:pStyle w:val="Prrafodelista"/>
        <w:spacing w:line="270" w:lineRule="atLeast"/>
        <w:ind w:left="1776"/>
        <w:jc w:val="both"/>
        <w:rPr>
          <w:rFonts w:ascii="Arial" w:hAnsi="Arial"/>
          <w:sz w:val="21"/>
          <w:lang w:val="es-ES_tradnl"/>
        </w:rPr>
      </w:pPr>
    </w:p>
    <w:p w14:paraId="3AF3D65E" w14:textId="20752811" w:rsidR="007513F8" w:rsidRPr="00A94F5F" w:rsidRDefault="00BF4FFF" w:rsidP="00060D6B">
      <w:pPr>
        <w:pStyle w:val="LadilloMichelinDossier"/>
        <w:numPr>
          <w:ilvl w:val="0"/>
          <w:numId w:val="5"/>
        </w:numPr>
        <w:spacing w:after="240"/>
        <w:jc w:val="both"/>
        <w:rPr>
          <w:rFonts w:ascii="Arial" w:hAnsi="Arial"/>
          <w:b w:val="0"/>
          <w:bCs/>
          <w:sz w:val="21"/>
          <w:lang w:val="es-ES_tradnl" w:bidi="es-ES_tradnl"/>
        </w:rPr>
      </w:pPr>
      <w:r w:rsidRPr="00A94F5F">
        <w:rPr>
          <w:rFonts w:ascii="Arial" w:hAnsi="Arial"/>
          <w:bCs/>
          <w:sz w:val="21"/>
          <w:lang w:val="es-ES_tradnl" w:bidi="es-ES_tradnl"/>
        </w:rPr>
        <w:t>Actividades de especialidades</w:t>
      </w:r>
    </w:p>
    <w:p w14:paraId="4BCAD1DF" w14:textId="35308578" w:rsidR="00FB31E9" w:rsidRPr="002F4395" w:rsidRDefault="00BF4FFF" w:rsidP="00CA5B7F">
      <w:pPr>
        <w:pStyle w:val="LadilloMichelinDossier"/>
        <w:spacing w:before="0" w:after="0"/>
        <w:jc w:val="both"/>
        <w:rPr>
          <w:rFonts w:ascii="Arial" w:hAnsi="Arial"/>
          <w:b w:val="0"/>
          <w:bCs/>
          <w:sz w:val="21"/>
          <w:lang w:bidi="es-ES_tradnl"/>
        </w:rPr>
      </w:pPr>
      <w:r w:rsidRPr="00A94F5F">
        <w:rPr>
          <w:rFonts w:ascii="Arial" w:hAnsi="Arial"/>
          <w:b w:val="0"/>
          <w:bCs/>
          <w:sz w:val="21"/>
          <w:lang w:val="es-ES_tradnl" w:bidi="es-ES_tradnl"/>
        </w:rPr>
        <w:t>E</w:t>
      </w:r>
      <w:r w:rsidRPr="00A94F5F">
        <w:rPr>
          <w:rFonts w:ascii="Arial" w:hAnsi="Arial"/>
          <w:b w:val="0"/>
          <w:sz w:val="21"/>
          <w:lang w:val="es-ES_tradnl" w:bidi="es-ES_tradnl"/>
        </w:rPr>
        <w:t xml:space="preserve">n los nueve primeros meses del año, las ventas netas del segmento de </w:t>
      </w:r>
      <w:r w:rsidR="00AE4CC0" w:rsidRPr="00A94F5F">
        <w:rPr>
          <w:rFonts w:ascii="Arial" w:hAnsi="Arial"/>
          <w:b w:val="0"/>
          <w:sz w:val="21"/>
          <w:lang w:val="es-ES_tradnl" w:bidi="es-ES_tradnl"/>
        </w:rPr>
        <w:t>A</w:t>
      </w:r>
      <w:r w:rsidRPr="00A94F5F">
        <w:rPr>
          <w:rFonts w:ascii="Arial" w:hAnsi="Arial"/>
          <w:b w:val="0"/>
          <w:sz w:val="21"/>
          <w:lang w:val="es-ES_tradnl" w:bidi="es-ES_tradnl"/>
        </w:rPr>
        <w:t xml:space="preserve">ctividades de especialidades se elevan a </w:t>
      </w:r>
      <w:r w:rsidR="00FB31E9" w:rsidRPr="002F4395">
        <w:rPr>
          <w:rFonts w:ascii="Arial" w:hAnsi="Arial"/>
          <w:b w:val="0"/>
          <w:bCs/>
          <w:sz w:val="21"/>
          <w:lang w:bidi="es-ES_tradnl"/>
        </w:rPr>
        <w:t xml:space="preserve">2.296 </w:t>
      </w:r>
      <w:r w:rsidRPr="00A94F5F">
        <w:rPr>
          <w:rFonts w:ascii="Arial" w:hAnsi="Arial"/>
          <w:b w:val="0"/>
          <w:bCs/>
          <w:sz w:val="21"/>
          <w:lang w:val="es-ES_tradnl" w:bidi="es-ES_tradnl"/>
        </w:rPr>
        <w:t xml:space="preserve">millones de euros, </w:t>
      </w:r>
      <w:r w:rsidR="00AE4CC0" w:rsidRPr="00A94F5F">
        <w:rPr>
          <w:rFonts w:ascii="Arial" w:hAnsi="Arial"/>
          <w:b w:val="0"/>
          <w:bCs/>
          <w:sz w:val="21"/>
          <w:lang w:val="es-ES_tradnl" w:bidi="es-ES_tradnl"/>
        </w:rPr>
        <w:t xml:space="preserve">en comparación con los </w:t>
      </w:r>
      <w:r w:rsidR="00FB31E9" w:rsidRPr="00A94F5F">
        <w:rPr>
          <w:rFonts w:ascii="Arial" w:hAnsi="Arial"/>
          <w:b w:val="0"/>
          <w:sz w:val="21"/>
          <w:lang w:val="es-ES_tradnl" w:bidi="es-ES_tradnl"/>
        </w:rPr>
        <w:t xml:space="preserve">2.478 </w:t>
      </w:r>
      <w:r w:rsidR="00AE4CC0" w:rsidRPr="00A94F5F">
        <w:rPr>
          <w:rFonts w:ascii="Arial" w:hAnsi="Arial"/>
          <w:b w:val="0"/>
          <w:bCs/>
          <w:sz w:val="21"/>
          <w:lang w:val="es-ES_tradnl" w:bidi="es-ES_tradnl"/>
        </w:rPr>
        <w:t xml:space="preserve">millones de euros </w:t>
      </w:r>
      <w:r w:rsidR="00795FF8" w:rsidRPr="00A94F5F">
        <w:rPr>
          <w:rFonts w:ascii="Arial" w:hAnsi="Arial"/>
          <w:b w:val="0"/>
          <w:bCs/>
          <w:sz w:val="21"/>
          <w:lang w:val="es-ES_tradnl" w:bidi="es-ES_tradnl"/>
        </w:rPr>
        <w:t>para el mismo periodo de 201</w:t>
      </w:r>
      <w:r w:rsidR="00FB31E9">
        <w:rPr>
          <w:rFonts w:ascii="Arial" w:hAnsi="Arial"/>
          <w:b w:val="0"/>
          <w:bCs/>
          <w:sz w:val="21"/>
          <w:lang w:val="es-ES_tradnl" w:bidi="es-ES_tradnl"/>
        </w:rPr>
        <w:t>3</w:t>
      </w:r>
      <w:r w:rsidR="00795FF8" w:rsidRPr="00A94F5F">
        <w:rPr>
          <w:rFonts w:ascii="Arial" w:hAnsi="Arial"/>
          <w:b w:val="0"/>
          <w:bCs/>
          <w:sz w:val="21"/>
          <w:lang w:val="es-ES_tradnl" w:bidi="es-ES_tradnl"/>
        </w:rPr>
        <w:t xml:space="preserve">. </w:t>
      </w:r>
      <w:r w:rsidR="00483F11">
        <w:rPr>
          <w:rFonts w:ascii="Arial" w:hAnsi="Arial"/>
          <w:b w:val="0"/>
          <w:bCs/>
          <w:sz w:val="21"/>
          <w:lang w:val="es-ES_tradnl" w:bidi="es-ES_tradnl"/>
        </w:rPr>
        <w:t xml:space="preserve">Más allá de </w:t>
      </w:r>
      <w:r w:rsidR="00795FF8" w:rsidRPr="00A94F5F">
        <w:rPr>
          <w:rFonts w:ascii="Arial" w:hAnsi="Arial"/>
          <w:b w:val="0"/>
          <w:bCs/>
          <w:sz w:val="21"/>
          <w:lang w:val="es-ES_tradnl" w:bidi="es-ES_tradnl"/>
        </w:rPr>
        <w:t>los ajustes de precio relacionados con las cláusulas de indexación en los costes de las materias primas</w:t>
      </w:r>
      <w:r w:rsidR="00483F11" w:rsidRPr="00483F11">
        <w:rPr>
          <w:rFonts w:ascii="Arial" w:hAnsi="Arial"/>
          <w:b w:val="0"/>
          <w:bCs/>
          <w:sz w:val="21"/>
          <w:lang w:val="es-ES_tradnl" w:bidi="es-ES_tradnl"/>
        </w:rPr>
        <w:t xml:space="preserve"> </w:t>
      </w:r>
      <w:r w:rsidR="00483F11">
        <w:rPr>
          <w:rFonts w:ascii="Arial" w:hAnsi="Arial"/>
          <w:b w:val="0"/>
          <w:bCs/>
          <w:sz w:val="21"/>
          <w:lang w:val="es-ES_tradnl" w:bidi="es-ES_tradnl"/>
        </w:rPr>
        <w:t xml:space="preserve">y </w:t>
      </w:r>
      <w:r w:rsidR="00483F11" w:rsidRPr="00A94F5F">
        <w:rPr>
          <w:rFonts w:ascii="Arial" w:hAnsi="Arial"/>
          <w:b w:val="0"/>
          <w:bCs/>
          <w:sz w:val="21"/>
          <w:lang w:val="es-ES_tradnl" w:bidi="es-ES_tradnl"/>
        </w:rPr>
        <w:t>del efecto desfavorable de las paridades de cambio</w:t>
      </w:r>
      <w:r w:rsidR="00483F11">
        <w:rPr>
          <w:rFonts w:ascii="Arial" w:hAnsi="Arial"/>
          <w:b w:val="0"/>
          <w:bCs/>
          <w:sz w:val="21"/>
          <w:lang w:val="es-ES_tradnl" w:bidi="es-ES_tradnl"/>
        </w:rPr>
        <w:t xml:space="preserve"> </w:t>
      </w:r>
      <w:r w:rsidR="00483F11" w:rsidRPr="002F4395">
        <w:rPr>
          <w:rFonts w:ascii="Arial" w:hAnsi="Arial"/>
          <w:b w:val="0"/>
          <w:bCs/>
          <w:sz w:val="21"/>
          <w:lang w:bidi="es-ES_tradnl"/>
        </w:rPr>
        <w:t>(- 3 %),</w:t>
      </w:r>
      <w:r w:rsidR="00795FF8" w:rsidRPr="00A94F5F">
        <w:rPr>
          <w:rFonts w:ascii="Arial" w:hAnsi="Arial"/>
          <w:b w:val="0"/>
          <w:bCs/>
          <w:sz w:val="21"/>
          <w:lang w:val="es-ES_tradnl" w:bidi="es-ES_tradnl"/>
        </w:rPr>
        <w:t xml:space="preserve"> </w:t>
      </w:r>
      <w:r w:rsidR="00E135FE">
        <w:rPr>
          <w:rFonts w:ascii="Arial" w:hAnsi="Arial"/>
          <w:b w:val="0"/>
          <w:bCs/>
          <w:sz w:val="21"/>
          <w:lang w:val="es-ES_tradnl" w:bidi="es-ES_tradnl"/>
        </w:rPr>
        <w:t>este retroceso resulta de la</w:t>
      </w:r>
      <w:r w:rsidR="00795FF8" w:rsidRPr="00A94F5F">
        <w:rPr>
          <w:rFonts w:ascii="Arial" w:hAnsi="Arial"/>
          <w:b w:val="0"/>
          <w:bCs/>
          <w:sz w:val="21"/>
          <w:lang w:val="es-ES_tradnl" w:bidi="es-ES_tradnl"/>
        </w:rPr>
        <w:t xml:space="preserve"> bajada de los volúmenes</w:t>
      </w:r>
      <w:r w:rsidR="00E135FE">
        <w:rPr>
          <w:rFonts w:ascii="Arial" w:hAnsi="Arial"/>
          <w:b w:val="0"/>
          <w:bCs/>
          <w:sz w:val="21"/>
          <w:lang w:val="es-ES_tradnl" w:bidi="es-ES_tradnl"/>
        </w:rPr>
        <w:t xml:space="preserve">: a finales de septiembre, disminuyeron un 2 %, tras </w:t>
      </w:r>
      <w:r w:rsidR="00A0019E">
        <w:rPr>
          <w:rFonts w:ascii="Arial" w:hAnsi="Arial"/>
          <w:b w:val="0"/>
          <w:bCs/>
          <w:sz w:val="21"/>
          <w:lang w:val="es-ES_tradnl" w:bidi="es-ES_tradnl"/>
        </w:rPr>
        <w:t xml:space="preserve">registrar un + 1 % en el primer trimestre, un </w:t>
      </w:r>
      <w:r w:rsidR="001E6263">
        <w:rPr>
          <w:rFonts w:ascii="Arial" w:hAnsi="Arial"/>
          <w:b w:val="0"/>
          <w:bCs/>
          <w:sz w:val="21"/>
          <w:lang w:val="es-ES_tradnl" w:bidi="es-ES_tradnl"/>
        </w:rPr>
        <w:t>-</w:t>
      </w:r>
      <w:r w:rsidR="00A0019E">
        <w:rPr>
          <w:rFonts w:ascii="Arial" w:hAnsi="Arial"/>
          <w:b w:val="0"/>
          <w:bCs/>
          <w:sz w:val="21"/>
          <w:lang w:val="es-ES_tradnl" w:bidi="es-ES_tradnl"/>
        </w:rPr>
        <w:t xml:space="preserve"> 5 % en el segundo</w:t>
      </w:r>
      <w:r w:rsidR="001E6263">
        <w:rPr>
          <w:rFonts w:ascii="Arial" w:hAnsi="Arial"/>
          <w:b w:val="0"/>
          <w:bCs/>
          <w:sz w:val="21"/>
          <w:lang w:val="es-ES_tradnl" w:bidi="es-ES_tradnl"/>
        </w:rPr>
        <w:t>, y un - 2 % en el tercero, y deberían acabar el año en cifras próximas a las de 2013.</w:t>
      </w:r>
    </w:p>
    <w:p w14:paraId="3773A9B8" w14:textId="77777777" w:rsidR="00BF4FFF" w:rsidRPr="00A94F5F" w:rsidRDefault="00BF4FFF" w:rsidP="009E489C">
      <w:pPr>
        <w:pStyle w:val="LadilloMichelinDossier"/>
        <w:spacing w:before="0" w:after="240"/>
        <w:jc w:val="both"/>
        <w:rPr>
          <w:rFonts w:ascii="Arial" w:hAnsi="Arial"/>
          <w:b w:val="0"/>
          <w:bCs/>
          <w:sz w:val="21"/>
          <w:lang w:val="es-ES_tradnl" w:bidi="es-ES_tradnl"/>
        </w:rPr>
      </w:pPr>
    </w:p>
    <w:p w14:paraId="6B42BBF4" w14:textId="170B3262" w:rsidR="00BF7F71" w:rsidRPr="00A94F5F" w:rsidRDefault="009B3FDB" w:rsidP="00702659">
      <w:pPr>
        <w:pStyle w:val="Prrafodelista"/>
        <w:numPr>
          <w:ilvl w:val="0"/>
          <w:numId w:val="25"/>
        </w:numPr>
        <w:spacing w:line="270" w:lineRule="atLeast"/>
        <w:jc w:val="both"/>
        <w:rPr>
          <w:rFonts w:ascii="Arial" w:hAnsi="Arial"/>
          <w:bCs/>
          <w:sz w:val="21"/>
          <w:lang w:val="es-ES_tradnl" w:bidi="es-ES_tradnl"/>
        </w:rPr>
      </w:pPr>
      <w:r w:rsidRPr="00A94F5F">
        <w:rPr>
          <w:rFonts w:ascii="Arial" w:hAnsi="Arial"/>
          <w:b/>
          <w:bCs/>
          <w:sz w:val="21"/>
          <w:lang w:val="es-ES_tradnl" w:bidi="es-ES_tradnl"/>
        </w:rPr>
        <w:lastRenderedPageBreak/>
        <w:t>Ingeniería civil:</w:t>
      </w:r>
      <w:r w:rsidRPr="00A94F5F">
        <w:rPr>
          <w:rFonts w:ascii="Arial" w:hAnsi="Arial"/>
          <w:bCs/>
          <w:sz w:val="21"/>
          <w:lang w:val="es-ES_tradnl" w:bidi="es-ES_tradnl"/>
        </w:rPr>
        <w:t xml:space="preserve"> </w:t>
      </w:r>
      <w:r w:rsidR="00702659" w:rsidRPr="00A94F5F">
        <w:rPr>
          <w:rFonts w:ascii="Arial" w:hAnsi="Arial"/>
          <w:bCs/>
          <w:sz w:val="21"/>
          <w:lang w:val="es-ES_tradnl" w:bidi="es-ES_tradnl"/>
        </w:rPr>
        <w:t xml:space="preserve">las ventas netas </w:t>
      </w:r>
      <w:r w:rsidR="00702659" w:rsidRPr="00A94F5F">
        <w:rPr>
          <w:rFonts w:ascii="Arial" w:eastAsia="Times" w:hAnsi="Arial"/>
          <w:bCs/>
          <w:sz w:val="21"/>
          <w:szCs w:val="24"/>
          <w:lang w:val="es-ES_tradnl" w:bidi="es-ES_tradnl"/>
        </w:rPr>
        <w:t>caen</w:t>
      </w:r>
      <w:r w:rsidR="00617CF6">
        <w:rPr>
          <w:rFonts w:ascii="Arial" w:eastAsia="Times" w:hAnsi="Arial"/>
          <w:bCs/>
          <w:sz w:val="21"/>
          <w:szCs w:val="24"/>
          <w:lang w:val="es-ES_tradnl" w:bidi="es-ES_tradnl"/>
        </w:rPr>
        <w:t>, penalizadas por la disminución de los volúmene</w:t>
      </w:r>
      <w:r w:rsidR="00232ADB">
        <w:rPr>
          <w:rFonts w:ascii="Arial" w:eastAsia="Times" w:hAnsi="Arial"/>
          <w:bCs/>
          <w:sz w:val="21"/>
          <w:szCs w:val="24"/>
          <w:lang w:val="es-ES_tradnl" w:bidi="es-ES_tradnl"/>
        </w:rPr>
        <w:t xml:space="preserve">s y del efecto desfavorable </w:t>
      </w:r>
      <w:r w:rsidR="00702659" w:rsidRPr="00A94F5F">
        <w:rPr>
          <w:rFonts w:ascii="Arial" w:eastAsia="Times" w:hAnsi="Arial"/>
          <w:bCs/>
          <w:sz w:val="21"/>
          <w:szCs w:val="24"/>
          <w:lang w:val="es-ES_tradnl" w:bidi="es-ES_tradnl"/>
        </w:rPr>
        <w:t>de las cláusulas de indexación de las materias primas y los tipos de cambio. Las ventas en los seg</w:t>
      </w:r>
      <w:r w:rsidR="00BF7F71" w:rsidRPr="00A94F5F">
        <w:rPr>
          <w:rFonts w:ascii="Arial" w:eastAsia="Times" w:hAnsi="Arial"/>
          <w:bCs/>
          <w:sz w:val="21"/>
          <w:szCs w:val="24"/>
          <w:lang w:val="es-ES_tradnl" w:bidi="es-ES_tradnl"/>
        </w:rPr>
        <w:t xml:space="preserve">mentos de primeros equipos e Infraestructura </w:t>
      </w:r>
      <w:r w:rsidR="00232ADB">
        <w:rPr>
          <w:rFonts w:ascii="Arial" w:eastAsia="Times" w:hAnsi="Arial"/>
          <w:bCs/>
          <w:sz w:val="21"/>
          <w:szCs w:val="24"/>
          <w:lang w:val="es-ES_tradnl" w:bidi="es-ES_tradnl"/>
        </w:rPr>
        <w:t>crecen</w:t>
      </w:r>
      <w:r w:rsidR="00E3748A">
        <w:rPr>
          <w:rFonts w:ascii="Arial" w:eastAsia="Times" w:hAnsi="Arial"/>
          <w:bCs/>
          <w:sz w:val="21"/>
          <w:szCs w:val="24"/>
          <w:lang w:val="es-ES_tradnl" w:bidi="es-ES_tradnl"/>
        </w:rPr>
        <w:t>.</w:t>
      </w:r>
    </w:p>
    <w:p w14:paraId="7A315DBF" w14:textId="77777777" w:rsidR="00702659" w:rsidRPr="00A94F5F" w:rsidRDefault="00702659" w:rsidP="00BF7F71">
      <w:pPr>
        <w:pStyle w:val="Prrafodelista"/>
        <w:spacing w:line="270" w:lineRule="atLeast"/>
        <w:ind w:left="1776"/>
        <w:jc w:val="both"/>
        <w:rPr>
          <w:rFonts w:ascii="Arial" w:hAnsi="Arial"/>
          <w:bCs/>
          <w:sz w:val="21"/>
          <w:lang w:val="es-ES_tradnl" w:bidi="es-ES_tradnl"/>
        </w:rPr>
      </w:pPr>
    </w:p>
    <w:p w14:paraId="52E66DFC" w14:textId="26613982" w:rsidR="002420FF" w:rsidRPr="00A94F5F" w:rsidRDefault="007513F8" w:rsidP="007513F8">
      <w:pPr>
        <w:pStyle w:val="Prrafodelista"/>
        <w:numPr>
          <w:ilvl w:val="0"/>
          <w:numId w:val="25"/>
        </w:numPr>
        <w:spacing w:line="270" w:lineRule="atLeast"/>
        <w:jc w:val="both"/>
        <w:rPr>
          <w:rFonts w:ascii="Arial" w:hAnsi="Arial"/>
          <w:bCs/>
          <w:sz w:val="21"/>
          <w:lang w:val="es-ES_tradnl" w:bidi="es-ES_tradnl"/>
        </w:rPr>
      </w:pPr>
      <w:r w:rsidRPr="00A94F5F">
        <w:rPr>
          <w:rFonts w:ascii="Arial" w:hAnsi="Arial"/>
          <w:b/>
          <w:bCs/>
          <w:sz w:val="21"/>
          <w:lang w:val="es-ES_tradnl" w:bidi="es-ES_tradnl"/>
        </w:rPr>
        <w:t>Agr</w:t>
      </w:r>
      <w:r w:rsidR="00BF7F71" w:rsidRPr="00A94F5F">
        <w:rPr>
          <w:rFonts w:ascii="Arial" w:hAnsi="Arial"/>
          <w:b/>
          <w:bCs/>
          <w:sz w:val="21"/>
          <w:lang w:val="es-ES_tradnl" w:bidi="es-ES_tradnl"/>
        </w:rPr>
        <w:t>í</w:t>
      </w:r>
      <w:r w:rsidRPr="00A94F5F">
        <w:rPr>
          <w:rFonts w:ascii="Arial" w:hAnsi="Arial"/>
          <w:b/>
          <w:bCs/>
          <w:sz w:val="21"/>
          <w:lang w:val="es-ES_tradnl" w:bidi="es-ES_tradnl"/>
        </w:rPr>
        <w:t>col</w:t>
      </w:r>
      <w:r w:rsidR="00BF7F71" w:rsidRPr="00A94F5F">
        <w:rPr>
          <w:rFonts w:ascii="Arial" w:hAnsi="Arial"/>
          <w:b/>
          <w:bCs/>
          <w:sz w:val="21"/>
          <w:lang w:val="es-ES_tradnl" w:bidi="es-ES_tradnl"/>
        </w:rPr>
        <w:t>a</w:t>
      </w:r>
      <w:r w:rsidRPr="00A94F5F">
        <w:rPr>
          <w:rFonts w:ascii="Arial" w:hAnsi="Arial"/>
          <w:b/>
          <w:bCs/>
          <w:sz w:val="21"/>
          <w:lang w:val="es-ES_tradnl" w:bidi="es-ES_tradnl"/>
        </w:rPr>
        <w:t>:</w:t>
      </w:r>
      <w:r w:rsidRPr="00A94F5F">
        <w:rPr>
          <w:rFonts w:ascii="Arial" w:hAnsi="Arial"/>
          <w:bCs/>
          <w:sz w:val="21"/>
          <w:lang w:val="es-ES_tradnl" w:bidi="es-ES_tradnl"/>
        </w:rPr>
        <w:t xml:space="preserve"> </w:t>
      </w:r>
      <w:r w:rsidR="007B2378" w:rsidRPr="00A94F5F">
        <w:rPr>
          <w:rFonts w:ascii="Arial" w:hAnsi="Arial"/>
          <w:bCs/>
          <w:sz w:val="21"/>
          <w:lang w:val="es-ES_tradnl" w:bidi="es-ES_tradnl"/>
        </w:rPr>
        <w:t xml:space="preserve">las ventas netas </w:t>
      </w:r>
      <w:r w:rsidR="007B2378" w:rsidRPr="00A94F5F">
        <w:rPr>
          <w:rFonts w:ascii="Arial" w:eastAsia="Times" w:hAnsi="Arial"/>
          <w:bCs/>
          <w:sz w:val="21"/>
          <w:szCs w:val="24"/>
          <w:lang w:val="es-ES_tradnl" w:bidi="es-ES_tradnl"/>
        </w:rPr>
        <w:t>experimentan</w:t>
      </w:r>
      <w:r w:rsidR="007B2378" w:rsidRPr="00A94F5F">
        <w:rPr>
          <w:rFonts w:ascii="Arial" w:hAnsi="Arial"/>
          <w:bCs/>
          <w:sz w:val="21"/>
          <w:lang w:val="es-ES_tradnl" w:bidi="es-ES_tradnl"/>
        </w:rPr>
        <w:t xml:space="preserve"> u</w:t>
      </w:r>
      <w:r w:rsidR="002420FF" w:rsidRPr="00A94F5F">
        <w:rPr>
          <w:rFonts w:ascii="Arial" w:hAnsi="Arial"/>
          <w:bCs/>
          <w:sz w:val="21"/>
          <w:lang w:val="es-ES_tradnl" w:bidi="es-ES_tradnl"/>
        </w:rPr>
        <w:t>na</w:t>
      </w:r>
      <w:r w:rsidR="007B2378" w:rsidRPr="00A94F5F">
        <w:rPr>
          <w:rFonts w:ascii="Arial" w:hAnsi="Arial"/>
          <w:bCs/>
          <w:sz w:val="21"/>
          <w:lang w:val="es-ES_tradnl" w:bidi="es-ES_tradnl"/>
        </w:rPr>
        <w:t xml:space="preserve"> liger</w:t>
      </w:r>
      <w:r w:rsidR="002420FF" w:rsidRPr="00A94F5F">
        <w:rPr>
          <w:rFonts w:ascii="Arial" w:hAnsi="Arial"/>
          <w:bCs/>
          <w:sz w:val="21"/>
          <w:lang w:val="es-ES_tradnl" w:bidi="es-ES_tradnl"/>
        </w:rPr>
        <w:t xml:space="preserve">a </w:t>
      </w:r>
      <w:r w:rsidR="00F60592">
        <w:rPr>
          <w:rFonts w:ascii="Arial" w:hAnsi="Arial"/>
          <w:bCs/>
          <w:sz w:val="21"/>
          <w:lang w:val="es-ES_tradnl" w:bidi="es-ES_tradnl"/>
        </w:rPr>
        <w:t>bajada</w:t>
      </w:r>
      <w:r w:rsidR="007B2378" w:rsidRPr="00A94F5F">
        <w:rPr>
          <w:rFonts w:ascii="Arial" w:hAnsi="Arial"/>
          <w:bCs/>
          <w:sz w:val="21"/>
          <w:lang w:val="es-ES_tradnl" w:bidi="es-ES_tradnl"/>
        </w:rPr>
        <w:t xml:space="preserve">. </w:t>
      </w:r>
      <w:r w:rsidR="002420FF" w:rsidRPr="00A94F5F">
        <w:rPr>
          <w:rFonts w:ascii="Arial" w:hAnsi="Arial"/>
          <w:bCs/>
          <w:sz w:val="21"/>
          <w:lang w:val="es-ES_tradnl" w:bidi="es-ES_tradnl"/>
        </w:rPr>
        <w:t>El aumento</w:t>
      </w:r>
      <w:r w:rsidR="007B2378" w:rsidRPr="00A94F5F">
        <w:rPr>
          <w:rFonts w:ascii="Arial" w:hAnsi="Arial"/>
          <w:bCs/>
          <w:sz w:val="21"/>
          <w:lang w:val="es-ES_tradnl" w:bidi="es-ES_tradnl"/>
        </w:rPr>
        <w:t xml:space="preserve"> de los volúmenes </w:t>
      </w:r>
      <w:r w:rsidR="00F60592">
        <w:rPr>
          <w:rFonts w:ascii="Arial" w:hAnsi="Arial"/>
          <w:bCs/>
          <w:sz w:val="21"/>
          <w:lang w:val="es-ES_tradnl" w:bidi="es-ES_tradnl"/>
        </w:rPr>
        <w:t>en los países maduros y en los nuevos mercados</w:t>
      </w:r>
      <w:r w:rsidR="002420FF" w:rsidRPr="00A94F5F">
        <w:rPr>
          <w:rFonts w:ascii="Arial" w:hAnsi="Arial"/>
          <w:bCs/>
          <w:sz w:val="21"/>
          <w:lang w:val="es-ES_tradnl" w:bidi="es-ES_tradnl"/>
        </w:rPr>
        <w:t xml:space="preserve"> compensa la aplicación desfavorable de </w:t>
      </w:r>
      <w:r w:rsidR="002420FF" w:rsidRPr="00A94F5F">
        <w:rPr>
          <w:rFonts w:ascii="Arial" w:eastAsia="Times" w:hAnsi="Arial"/>
          <w:bCs/>
          <w:sz w:val="21"/>
          <w:szCs w:val="24"/>
          <w:lang w:val="es-ES_tradnl" w:bidi="es-ES_tradnl"/>
        </w:rPr>
        <w:t>las cláusulas de indexación de las materias primas y el impacto negativo de los tipos de cambio.</w:t>
      </w:r>
      <w:r w:rsidR="00F60592" w:rsidRPr="00F60592">
        <w:rPr>
          <w:rFonts w:ascii="Verdana" w:eastAsia="Times New Roman" w:hAnsi="Verdana" w:cs="Arial"/>
          <w:sz w:val="20"/>
          <w:szCs w:val="20"/>
          <w:lang w:val="es-ES_tradnl"/>
        </w:rPr>
        <w:t xml:space="preserve"> </w:t>
      </w:r>
    </w:p>
    <w:p w14:paraId="6D16314A" w14:textId="77777777" w:rsidR="009B3FDB" w:rsidRPr="00A94F5F" w:rsidRDefault="009B3FDB" w:rsidP="009B3FDB">
      <w:pPr>
        <w:pStyle w:val="Prrafodelista"/>
        <w:spacing w:line="270" w:lineRule="atLeast"/>
        <w:ind w:left="0"/>
        <w:jc w:val="both"/>
        <w:rPr>
          <w:rFonts w:ascii="Arial" w:hAnsi="Arial"/>
          <w:bCs/>
          <w:sz w:val="21"/>
          <w:lang w:val="es-ES_tradnl" w:bidi="es-ES_tradnl"/>
        </w:rPr>
      </w:pPr>
    </w:p>
    <w:p w14:paraId="076DCE6F" w14:textId="318DE5BA" w:rsidR="009C48BF" w:rsidRPr="00A94F5F" w:rsidRDefault="002420FF" w:rsidP="007513F8">
      <w:pPr>
        <w:pStyle w:val="Prrafodelista"/>
        <w:numPr>
          <w:ilvl w:val="0"/>
          <w:numId w:val="25"/>
        </w:numPr>
        <w:spacing w:line="270" w:lineRule="atLeast"/>
        <w:jc w:val="both"/>
        <w:rPr>
          <w:rFonts w:ascii="Arial" w:hAnsi="Arial"/>
          <w:bCs/>
          <w:sz w:val="21"/>
          <w:lang w:val="es-ES_tradnl" w:bidi="es-ES_tradnl"/>
        </w:rPr>
      </w:pPr>
      <w:r w:rsidRPr="00A94F5F">
        <w:rPr>
          <w:rFonts w:ascii="Arial" w:hAnsi="Arial"/>
          <w:b/>
          <w:bCs/>
          <w:sz w:val="21"/>
          <w:lang w:val="es-ES_tradnl" w:bidi="es-ES_tradnl"/>
        </w:rPr>
        <w:t>Dos ruedas</w:t>
      </w:r>
      <w:r w:rsidR="007513F8" w:rsidRPr="00A94F5F">
        <w:rPr>
          <w:rFonts w:ascii="Arial" w:hAnsi="Arial"/>
          <w:b/>
          <w:bCs/>
          <w:sz w:val="21"/>
          <w:lang w:val="es-ES_tradnl" w:bidi="es-ES_tradnl"/>
        </w:rPr>
        <w:t>:</w:t>
      </w:r>
      <w:r w:rsidR="007513F8" w:rsidRPr="00A94F5F">
        <w:rPr>
          <w:rFonts w:ascii="Arial" w:hAnsi="Arial"/>
          <w:bCs/>
          <w:sz w:val="21"/>
          <w:lang w:val="es-ES_tradnl" w:bidi="es-ES_tradnl"/>
        </w:rPr>
        <w:t xml:space="preserve"> </w:t>
      </w:r>
      <w:r w:rsidR="009C48BF" w:rsidRPr="00A94F5F">
        <w:rPr>
          <w:rFonts w:ascii="Arial" w:hAnsi="Arial"/>
          <w:bCs/>
          <w:sz w:val="21"/>
          <w:lang w:val="es-ES_tradnl" w:bidi="es-ES_tradnl"/>
        </w:rPr>
        <w:t xml:space="preserve">las ventas netas </w:t>
      </w:r>
      <w:r w:rsidR="00F10B05">
        <w:rPr>
          <w:rFonts w:ascii="Arial" w:hAnsi="Arial"/>
          <w:bCs/>
          <w:sz w:val="21"/>
          <w:lang w:val="es-ES_tradnl" w:bidi="es-ES_tradnl"/>
        </w:rPr>
        <w:t xml:space="preserve">aumentan, espoleadas por el </w:t>
      </w:r>
      <w:r w:rsidR="00AF6BFF">
        <w:rPr>
          <w:rFonts w:ascii="Arial" w:hAnsi="Arial"/>
          <w:bCs/>
          <w:sz w:val="21"/>
          <w:lang w:val="es-ES_tradnl" w:bidi="es-ES_tradnl"/>
        </w:rPr>
        <w:t>increm</w:t>
      </w:r>
      <w:r w:rsidR="00F10B05">
        <w:rPr>
          <w:rFonts w:ascii="Arial" w:hAnsi="Arial"/>
          <w:bCs/>
          <w:sz w:val="21"/>
          <w:lang w:val="es-ES_tradnl" w:bidi="es-ES_tradnl"/>
        </w:rPr>
        <w:t>ento de los volúmenes en las zona</w:t>
      </w:r>
      <w:r w:rsidR="00AF6BFF">
        <w:rPr>
          <w:rFonts w:ascii="Arial" w:hAnsi="Arial"/>
          <w:bCs/>
          <w:sz w:val="21"/>
          <w:lang w:val="es-ES_tradnl" w:bidi="es-ES_tradnl"/>
        </w:rPr>
        <w:t>s</w:t>
      </w:r>
      <w:r w:rsidR="00F10B05">
        <w:rPr>
          <w:rFonts w:ascii="Arial" w:hAnsi="Arial"/>
          <w:bCs/>
          <w:sz w:val="21"/>
          <w:lang w:val="es-ES_tradnl" w:bidi="es-ES_tradnl"/>
        </w:rPr>
        <w:t xml:space="preserve"> maduras y </w:t>
      </w:r>
      <w:r w:rsidR="00AF6BFF">
        <w:rPr>
          <w:rFonts w:ascii="Arial" w:hAnsi="Arial"/>
          <w:bCs/>
          <w:sz w:val="21"/>
          <w:lang w:val="es-ES_tradnl" w:bidi="es-ES_tradnl"/>
        </w:rPr>
        <w:t>en</w:t>
      </w:r>
      <w:r w:rsidR="00F10B05">
        <w:rPr>
          <w:rFonts w:ascii="Arial" w:hAnsi="Arial"/>
          <w:bCs/>
          <w:sz w:val="21"/>
          <w:lang w:val="es-ES_tradnl" w:bidi="es-ES_tradnl"/>
        </w:rPr>
        <w:t xml:space="preserve"> </w:t>
      </w:r>
      <w:r w:rsidR="00AF6BFF">
        <w:rPr>
          <w:rFonts w:ascii="Arial" w:hAnsi="Arial"/>
          <w:bCs/>
          <w:sz w:val="21"/>
          <w:lang w:val="es-ES_tradnl" w:bidi="es-ES_tradnl"/>
        </w:rPr>
        <w:t>crecimiento</w:t>
      </w:r>
      <w:r w:rsidR="009C48BF" w:rsidRPr="00A94F5F">
        <w:rPr>
          <w:rFonts w:ascii="Arial" w:hAnsi="Arial"/>
          <w:bCs/>
          <w:sz w:val="21"/>
          <w:lang w:val="es-ES_tradnl" w:bidi="es-ES_tradnl"/>
        </w:rPr>
        <w:t xml:space="preserve">, lo que </w:t>
      </w:r>
      <w:r w:rsidR="00A01143">
        <w:rPr>
          <w:rFonts w:ascii="Arial" w:hAnsi="Arial"/>
          <w:bCs/>
          <w:sz w:val="21"/>
          <w:lang w:val="es-ES_tradnl" w:bidi="es-ES_tradnl"/>
        </w:rPr>
        <w:t>compensa</w:t>
      </w:r>
      <w:r w:rsidR="009C48BF" w:rsidRPr="00A94F5F">
        <w:rPr>
          <w:rFonts w:ascii="Arial" w:hAnsi="Arial"/>
          <w:bCs/>
          <w:sz w:val="21"/>
          <w:lang w:val="es-ES_tradnl" w:bidi="es-ES_tradnl"/>
        </w:rPr>
        <w:t xml:space="preserve"> los efectos </w:t>
      </w:r>
      <w:r w:rsidR="00E3748A">
        <w:rPr>
          <w:rFonts w:ascii="Arial" w:hAnsi="Arial"/>
          <w:bCs/>
          <w:sz w:val="21"/>
          <w:lang w:val="es-ES_tradnl" w:bidi="es-ES_tradnl"/>
        </w:rPr>
        <w:t>negativos</w:t>
      </w:r>
      <w:r w:rsidR="009C48BF" w:rsidRPr="00A94F5F">
        <w:rPr>
          <w:rFonts w:ascii="Arial" w:hAnsi="Arial"/>
          <w:bCs/>
          <w:sz w:val="21"/>
          <w:lang w:val="es-ES_tradnl" w:bidi="es-ES_tradnl"/>
        </w:rPr>
        <w:t xml:space="preserve"> </w:t>
      </w:r>
      <w:r w:rsidR="00A01143">
        <w:rPr>
          <w:rFonts w:ascii="Arial" w:hAnsi="Arial"/>
          <w:bCs/>
          <w:sz w:val="21"/>
          <w:lang w:val="es-ES_tradnl" w:bidi="es-ES_tradnl"/>
        </w:rPr>
        <w:t>de las paridades.</w:t>
      </w:r>
    </w:p>
    <w:p w14:paraId="1A953731" w14:textId="77777777" w:rsidR="009C48BF" w:rsidRPr="00A94F5F" w:rsidRDefault="009C48BF" w:rsidP="009C48BF">
      <w:pPr>
        <w:pStyle w:val="Prrafodelista"/>
        <w:spacing w:line="270" w:lineRule="atLeast"/>
        <w:ind w:left="0"/>
        <w:jc w:val="both"/>
        <w:rPr>
          <w:rFonts w:ascii="Arial" w:hAnsi="Arial"/>
          <w:bCs/>
          <w:sz w:val="21"/>
          <w:lang w:val="es-ES_tradnl" w:bidi="es-ES_tradnl"/>
        </w:rPr>
      </w:pPr>
    </w:p>
    <w:p w14:paraId="7F0C2935" w14:textId="5E13E0B5" w:rsidR="00BF4FFF" w:rsidRPr="001E7965" w:rsidRDefault="00BF4FFF" w:rsidP="00BF4FFF">
      <w:pPr>
        <w:pStyle w:val="Prrafodelista"/>
        <w:numPr>
          <w:ilvl w:val="0"/>
          <w:numId w:val="25"/>
        </w:numPr>
        <w:spacing w:line="270" w:lineRule="atLeast"/>
        <w:jc w:val="both"/>
        <w:rPr>
          <w:rFonts w:ascii="Arial" w:hAnsi="Arial"/>
          <w:sz w:val="21"/>
        </w:rPr>
      </w:pPr>
      <w:r w:rsidRPr="001E7965">
        <w:rPr>
          <w:rFonts w:ascii="Arial" w:hAnsi="Arial"/>
          <w:b/>
          <w:bCs/>
          <w:sz w:val="21"/>
          <w:lang w:val="es-ES_tradnl" w:bidi="es-ES_tradnl"/>
        </w:rPr>
        <w:t xml:space="preserve">Avión: </w:t>
      </w:r>
      <w:r w:rsidRPr="001E7965">
        <w:rPr>
          <w:rFonts w:ascii="Arial" w:hAnsi="Arial"/>
          <w:bCs/>
          <w:sz w:val="21"/>
          <w:lang w:val="es-ES_tradnl" w:bidi="es-ES_tradnl"/>
        </w:rPr>
        <w:t xml:space="preserve">las ventas </w:t>
      </w:r>
      <w:r w:rsidR="00934029" w:rsidRPr="001E7965">
        <w:rPr>
          <w:rFonts w:ascii="Arial" w:hAnsi="Arial"/>
          <w:bCs/>
          <w:sz w:val="21"/>
          <w:lang w:val="es-ES_tradnl" w:bidi="es-ES_tradnl"/>
        </w:rPr>
        <w:t xml:space="preserve">netas </w:t>
      </w:r>
      <w:r w:rsidR="007A2F70" w:rsidRPr="001E7965">
        <w:rPr>
          <w:rFonts w:ascii="Arial" w:hAnsi="Arial"/>
          <w:bCs/>
          <w:sz w:val="21"/>
          <w:lang w:val="es-ES_tradnl" w:bidi="es-ES_tradnl"/>
        </w:rPr>
        <w:t>aumentan</w:t>
      </w:r>
      <w:r w:rsidR="00934029" w:rsidRPr="001E7965">
        <w:rPr>
          <w:rFonts w:ascii="Arial" w:hAnsi="Arial"/>
          <w:bCs/>
          <w:sz w:val="21"/>
          <w:lang w:val="es-ES_tradnl" w:bidi="es-ES_tradnl"/>
        </w:rPr>
        <w:t xml:space="preserve">, </w:t>
      </w:r>
      <w:r w:rsidR="007A2F70" w:rsidRPr="001E7965">
        <w:rPr>
          <w:rFonts w:ascii="Arial" w:hAnsi="Arial"/>
          <w:bCs/>
          <w:sz w:val="21"/>
          <w:lang w:val="es-ES_tradnl" w:bidi="es-ES_tradnl"/>
        </w:rPr>
        <w:t xml:space="preserve">gracias al crecimiento de los volúmenes y del proceso de </w:t>
      </w:r>
      <w:r w:rsidR="001E7965" w:rsidRPr="001E7965">
        <w:rPr>
          <w:rFonts w:ascii="Arial" w:hAnsi="Arial"/>
          <w:bCs/>
          <w:sz w:val="21"/>
          <w:lang w:val="es-ES_tradnl" w:bidi="es-ES_tradnl"/>
        </w:rPr>
        <w:t>‘</w:t>
      </w:r>
      <w:r w:rsidR="007A2F70" w:rsidRPr="001E7965">
        <w:rPr>
          <w:rFonts w:ascii="Arial" w:hAnsi="Arial"/>
          <w:bCs/>
          <w:sz w:val="21"/>
          <w:lang w:val="es-ES_tradnl" w:bidi="es-ES_tradnl"/>
        </w:rPr>
        <w:t>radialización</w:t>
      </w:r>
      <w:r w:rsidR="001E7965" w:rsidRPr="001E7965">
        <w:rPr>
          <w:rFonts w:ascii="Arial" w:hAnsi="Arial"/>
          <w:bCs/>
          <w:sz w:val="21"/>
          <w:lang w:val="es-ES_tradnl" w:bidi="es-ES_tradnl"/>
        </w:rPr>
        <w:t>’.</w:t>
      </w:r>
      <w:r w:rsidR="00934029" w:rsidRPr="001E7965">
        <w:rPr>
          <w:rFonts w:ascii="Arial" w:hAnsi="Arial"/>
          <w:bCs/>
          <w:sz w:val="21"/>
          <w:lang w:val="es-ES_tradnl" w:bidi="es-ES_tradnl"/>
        </w:rPr>
        <w:t xml:space="preserve"> </w:t>
      </w:r>
    </w:p>
    <w:p w14:paraId="1095DD6E" w14:textId="77777777" w:rsidR="00BF4FFF" w:rsidRPr="00A94F5F" w:rsidRDefault="00BF4FFF" w:rsidP="00BF4FFF">
      <w:pPr>
        <w:spacing w:line="270" w:lineRule="atLeast"/>
        <w:jc w:val="both"/>
        <w:rPr>
          <w:rFonts w:ascii="Arial" w:hAnsi="Arial"/>
          <w:sz w:val="21"/>
        </w:rPr>
      </w:pPr>
    </w:p>
    <w:p w14:paraId="605C6C26" w14:textId="77777777" w:rsidR="00BF4FFF" w:rsidRPr="00A94F5F" w:rsidRDefault="00BF4FFF" w:rsidP="00BF4FFF">
      <w:pPr>
        <w:spacing w:line="270" w:lineRule="atLeast"/>
        <w:jc w:val="both"/>
        <w:rPr>
          <w:rFonts w:ascii="Arial" w:hAnsi="Arial"/>
          <w:sz w:val="21"/>
          <w:lang w:bidi="es-ES_tradnl"/>
        </w:rPr>
      </w:pPr>
    </w:p>
    <w:p w14:paraId="54ADC791" w14:textId="2C379914" w:rsidR="00BF4FFF" w:rsidRPr="00A94F5F" w:rsidRDefault="00BF4FFF" w:rsidP="00BF4FFF">
      <w:pPr>
        <w:spacing w:after="240" w:line="360" w:lineRule="exact"/>
        <w:rPr>
          <w:rFonts w:cs="Arial"/>
          <w:b/>
          <w:bCs/>
          <w:snapToGrid w:val="0"/>
          <w:color w:val="333399"/>
          <w:sz w:val="40"/>
        </w:rPr>
      </w:pPr>
      <w:r w:rsidRPr="00A94F5F">
        <w:rPr>
          <w:rFonts w:cs="Arial"/>
          <w:b/>
          <w:bCs/>
          <w:snapToGrid w:val="0"/>
          <w:color w:val="333399"/>
          <w:sz w:val="40"/>
        </w:rPr>
        <w:br w:type="column"/>
      </w:r>
      <w:r w:rsidRPr="00A94F5F">
        <w:rPr>
          <w:rFonts w:cs="Arial"/>
          <w:b/>
          <w:bCs/>
          <w:snapToGrid w:val="0"/>
          <w:color w:val="333399"/>
          <w:sz w:val="40"/>
        </w:rPr>
        <w:lastRenderedPageBreak/>
        <w:t>Hechos destacados del tercer trimestre de 201</w:t>
      </w:r>
      <w:r w:rsidR="00E57A03" w:rsidRPr="00A94F5F">
        <w:rPr>
          <w:rFonts w:cs="Arial"/>
          <w:b/>
          <w:bCs/>
          <w:snapToGrid w:val="0"/>
          <w:color w:val="333399"/>
          <w:sz w:val="40"/>
        </w:rPr>
        <w:t>4</w:t>
      </w:r>
    </w:p>
    <w:p w14:paraId="01280822" w14:textId="76F153DF" w:rsidR="00CF72BB" w:rsidRPr="00A94F5F" w:rsidRDefault="00CF72BB" w:rsidP="00CF72BB">
      <w:pPr>
        <w:numPr>
          <w:ilvl w:val="0"/>
          <w:numId w:val="23"/>
        </w:numPr>
        <w:tabs>
          <w:tab w:val="num" w:pos="720"/>
        </w:tabs>
        <w:spacing w:after="240" w:line="270" w:lineRule="atLeast"/>
        <w:rPr>
          <w:rFonts w:ascii="Arial" w:hAnsi="Arial"/>
          <w:b/>
          <w:bCs/>
          <w:sz w:val="21"/>
          <w:lang w:bidi="es-ES_tradnl"/>
        </w:rPr>
      </w:pPr>
      <w:r w:rsidRPr="00A94F5F">
        <w:rPr>
          <w:rFonts w:ascii="Arial" w:hAnsi="Arial"/>
          <w:b/>
          <w:bCs/>
          <w:sz w:val="21"/>
          <w:lang w:bidi="es-ES_tradnl"/>
        </w:rPr>
        <w:t xml:space="preserve">Michelin </w:t>
      </w:r>
      <w:r w:rsidR="007E746F">
        <w:rPr>
          <w:rFonts w:ascii="Arial" w:hAnsi="Arial"/>
          <w:b/>
          <w:bCs/>
          <w:sz w:val="21"/>
          <w:lang w:bidi="es-ES_tradnl"/>
        </w:rPr>
        <w:t>finaliza la compra de</w:t>
      </w:r>
      <w:r w:rsidRPr="00A94F5F">
        <w:rPr>
          <w:rFonts w:ascii="Arial" w:hAnsi="Arial"/>
          <w:b/>
          <w:bCs/>
          <w:sz w:val="21"/>
          <w:lang w:bidi="es-ES_tradnl"/>
        </w:rPr>
        <w:t xml:space="preserve"> Sascar (1</w:t>
      </w:r>
      <w:r w:rsidR="007E746F">
        <w:rPr>
          <w:rFonts w:ascii="Arial" w:hAnsi="Arial"/>
          <w:b/>
          <w:bCs/>
          <w:sz w:val="21"/>
          <w:lang w:bidi="es-ES_tradnl"/>
        </w:rPr>
        <w:t xml:space="preserve"> de</w:t>
      </w:r>
      <w:r w:rsidRPr="00A94F5F">
        <w:rPr>
          <w:rFonts w:ascii="Arial" w:hAnsi="Arial"/>
          <w:b/>
          <w:bCs/>
          <w:sz w:val="21"/>
          <w:lang w:bidi="es-ES_tradnl"/>
        </w:rPr>
        <w:t xml:space="preserve"> </w:t>
      </w:r>
      <w:r w:rsidR="000061C2">
        <w:rPr>
          <w:rFonts w:ascii="Arial" w:hAnsi="Arial"/>
          <w:b/>
          <w:bCs/>
          <w:sz w:val="21"/>
          <w:lang w:bidi="es-ES_tradnl"/>
        </w:rPr>
        <w:t>septiembre</w:t>
      </w:r>
      <w:r w:rsidRPr="00A94F5F">
        <w:rPr>
          <w:rFonts w:ascii="Arial" w:hAnsi="Arial"/>
          <w:b/>
          <w:bCs/>
          <w:sz w:val="21"/>
          <w:lang w:bidi="es-ES_tradnl"/>
        </w:rPr>
        <w:t xml:space="preserve"> </w:t>
      </w:r>
      <w:r w:rsidR="003B5BDF">
        <w:rPr>
          <w:rFonts w:ascii="Arial" w:hAnsi="Arial"/>
          <w:b/>
          <w:bCs/>
          <w:sz w:val="21"/>
          <w:lang w:bidi="es-ES_tradnl"/>
        </w:rPr>
        <w:t xml:space="preserve">de </w:t>
      </w:r>
      <w:r w:rsidRPr="00A94F5F">
        <w:rPr>
          <w:rFonts w:ascii="Arial" w:hAnsi="Arial"/>
          <w:b/>
          <w:bCs/>
          <w:sz w:val="21"/>
          <w:lang w:bidi="es-ES_tradnl"/>
        </w:rPr>
        <w:t>2014)</w:t>
      </w:r>
      <w:r w:rsidR="003B5BDF">
        <w:rPr>
          <w:rFonts w:ascii="Arial" w:hAnsi="Arial"/>
          <w:b/>
          <w:bCs/>
          <w:sz w:val="21"/>
          <w:lang w:bidi="es-ES_tradnl"/>
        </w:rPr>
        <w:t>.</w:t>
      </w:r>
      <w:r w:rsidRPr="00A94F5F">
        <w:rPr>
          <w:rFonts w:ascii="Arial" w:hAnsi="Arial"/>
          <w:b/>
          <w:bCs/>
          <w:sz w:val="21"/>
          <w:lang w:bidi="es-ES_tradnl"/>
        </w:rPr>
        <w:t xml:space="preserve"> </w:t>
      </w:r>
    </w:p>
    <w:p w14:paraId="021BC934" w14:textId="3CC9771F" w:rsidR="00CF72BB" w:rsidRPr="00A94F5F" w:rsidRDefault="00CF72BB" w:rsidP="00CF72BB">
      <w:pPr>
        <w:numPr>
          <w:ilvl w:val="0"/>
          <w:numId w:val="23"/>
        </w:numPr>
        <w:tabs>
          <w:tab w:val="num" w:pos="720"/>
        </w:tabs>
        <w:spacing w:after="240" w:line="270" w:lineRule="atLeast"/>
        <w:rPr>
          <w:rFonts w:ascii="Arial" w:hAnsi="Arial"/>
          <w:b/>
          <w:bCs/>
          <w:sz w:val="21"/>
          <w:lang w:bidi="es-ES_tradnl"/>
        </w:rPr>
      </w:pPr>
      <w:r w:rsidRPr="00A94F5F">
        <w:rPr>
          <w:rFonts w:ascii="Arial" w:hAnsi="Arial"/>
          <w:b/>
          <w:bCs/>
          <w:sz w:val="21"/>
          <w:lang w:bidi="es-ES_tradnl"/>
        </w:rPr>
        <w:t>Distribu</w:t>
      </w:r>
      <w:r w:rsidR="000061C2">
        <w:rPr>
          <w:rFonts w:ascii="Arial" w:hAnsi="Arial"/>
          <w:b/>
          <w:bCs/>
          <w:sz w:val="21"/>
          <w:lang w:bidi="es-ES_tradnl"/>
        </w:rPr>
        <w:t>ció</w:t>
      </w:r>
      <w:r w:rsidRPr="00A94F5F">
        <w:rPr>
          <w:rFonts w:ascii="Arial" w:hAnsi="Arial"/>
          <w:b/>
          <w:bCs/>
          <w:sz w:val="21"/>
          <w:lang w:bidi="es-ES_tradnl"/>
        </w:rPr>
        <w:t xml:space="preserve">n: TYREPLUS </w:t>
      </w:r>
      <w:r w:rsidR="000516E6" w:rsidRPr="00C5360F">
        <w:rPr>
          <w:rFonts w:ascii="Arial" w:hAnsi="Arial"/>
          <w:b/>
          <w:bCs/>
          <w:sz w:val="21"/>
          <w:lang w:bidi="es-ES_tradnl"/>
        </w:rPr>
        <w:t xml:space="preserve">abre su centro </w:t>
      </w:r>
      <w:r w:rsidR="007E5870" w:rsidRPr="00C5360F">
        <w:rPr>
          <w:rFonts w:ascii="Arial" w:hAnsi="Arial"/>
          <w:b/>
          <w:bCs/>
          <w:sz w:val="21"/>
          <w:lang w:bidi="es-ES_tradnl"/>
        </w:rPr>
        <w:t>número 1.000</w:t>
      </w:r>
      <w:r w:rsidR="007E5870">
        <w:rPr>
          <w:rFonts w:ascii="Arial" w:hAnsi="Arial"/>
          <w:b/>
          <w:bCs/>
          <w:sz w:val="21"/>
          <w:lang w:bidi="es-ES_tradnl"/>
        </w:rPr>
        <w:t xml:space="preserve"> </w:t>
      </w:r>
      <w:r w:rsidRPr="00A94F5F">
        <w:rPr>
          <w:rFonts w:ascii="Arial" w:hAnsi="Arial"/>
          <w:b/>
          <w:bCs/>
          <w:sz w:val="21"/>
          <w:lang w:bidi="es-ES_tradnl"/>
        </w:rPr>
        <w:t>en Chin</w:t>
      </w:r>
      <w:r w:rsidR="003B5BDF">
        <w:rPr>
          <w:rFonts w:ascii="Arial" w:hAnsi="Arial"/>
          <w:b/>
          <w:bCs/>
          <w:sz w:val="21"/>
          <w:lang w:bidi="es-ES_tradnl"/>
        </w:rPr>
        <w:t>a</w:t>
      </w:r>
      <w:r w:rsidRPr="00A94F5F">
        <w:rPr>
          <w:rFonts w:ascii="Arial" w:hAnsi="Arial"/>
          <w:b/>
          <w:bCs/>
          <w:sz w:val="21"/>
          <w:lang w:bidi="es-ES_tradnl"/>
        </w:rPr>
        <w:t xml:space="preserve"> </w:t>
      </w:r>
      <w:r w:rsidR="0061224B">
        <w:rPr>
          <w:rFonts w:ascii="Arial" w:hAnsi="Arial"/>
          <w:b/>
          <w:bCs/>
          <w:sz w:val="21"/>
          <w:lang w:bidi="es-ES_tradnl"/>
        </w:rPr>
        <w:br/>
      </w:r>
      <w:bookmarkStart w:id="0" w:name="_GoBack"/>
      <w:bookmarkEnd w:id="0"/>
      <w:r w:rsidRPr="00A94F5F">
        <w:rPr>
          <w:rFonts w:ascii="Arial" w:hAnsi="Arial"/>
          <w:b/>
          <w:bCs/>
          <w:sz w:val="21"/>
          <w:lang w:bidi="es-ES_tradnl"/>
        </w:rPr>
        <w:t xml:space="preserve">(8 </w:t>
      </w:r>
      <w:r w:rsidR="003B5BDF">
        <w:rPr>
          <w:rFonts w:ascii="Arial" w:hAnsi="Arial"/>
          <w:b/>
          <w:bCs/>
          <w:sz w:val="21"/>
          <w:lang w:bidi="es-ES_tradnl"/>
        </w:rPr>
        <w:t xml:space="preserve">de </w:t>
      </w:r>
      <w:r w:rsidR="000061C2">
        <w:rPr>
          <w:rFonts w:ascii="Arial" w:hAnsi="Arial"/>
          <w:b/>
          <w:bCs/>
          <w:sz w:val="21"/>
          <w:lang w:bidi="es-ES_tradnl"/>
        </w:rPr>
        <w:t>septiembre</w:t>
      </w:r>
      <w:r w:rsidRPr="00A94F5F">
        <w:rPr>
          <w:rFonts w:ascii="Arial" w:hAnsi="Arial"/>
          <w:b/>
          <w:bCs/>
          <w:sz w:val="21"/>
          <w:lang w:bidi="es-ES_tradnl"/>
        </w:rPr>
        <w:t xml:space="preserve"> </w:t>
      </w:r>
      <w:r w:rsidR="003B5BDF">
        <w:rPr>
          <w:rFonts w:ascii="Arial" w:hAnsi="Arial"/>
          <w:b/>
          <w:bCs/>
          <w:sz w:val="21"/>
          <w:lang w:bidi="es-ES_tradnl"/>
        </w:rPr>
        <w:t xml:space="preserve">de </w:t>
      </w:r>
      <w:r w:rsidRPr="00A94F5F">
        <w:rPr>
          <w:rFonts w:ascii="Arial" w:hAnsi="Arial"/>
          <w:b/>
          <w:bCs/>
          <w:sz w:val="21"/>
          <w:lang w:bidi="es-ES_tradnl"/>
        </w:rPr>
        <w:t>2014)</w:t>
      </w:r>
      <w:r w:rsidR="003B5BDF">
        <w:rPr>
          <w:rFonts w:ascii="Arial" w:hAnsi="Arial"/>
          <w:b/>
          <w:bCs/>
          <w:sz w:val="21"/>
          <w:lang w:bidi="es-ES_tradnl"/>
        </w:rPr>
        <w:t>.</w:t>
      </w:r>
    </w:p>
    <w:p w14:paraId="1D9C08A7" w14:textId="30220E85" w:rsidR="00CF72BB" w:rsidRPr="00A94F5F" w:rsidRDefault="007E5870" w:rsidP="00CF72BB">
      <w:pPr>
        <w:numPr>
          <w:ilvl w:val="0"/>
          <w:numId w:val="23"/>
        </w:numPr>
        <w:tabs>
          <w:tab w:val="num" w:pos="720"/>
        </w:tabs>
        <w:spacing w:after="240" w:line="270" w:lineRule="atLeast"/>
        <w:rPr>
          <w:rFonts w:ascii="Arial" w:hAnsi="Arial"/>
          <w:b/>
          <w:bCs/>
          <w:sz w:val="21"/>
          <w:lang w:bidi="es-ES_tradnl"/>
        </w:rPr>
      </w:pPr>
      <w:r>
        <w:rPr>
          <w:rFonts w:ascii="Arial" w:hAnsi="Arial"/>
          <w:b/>
          <w:bCs/>
          <w:sz w:val="21"/>
          <w:lang w:bidi="es-ES_tradnl"/>
        </w:rPr>
        <w:t xml:space="preserve">Braskem, Amuyris y </w:t>
      </w:r>
      <w:r w:rsidR="00CF72BB" w:rsidRPr="00A94F5F">
        <w:rPr>
          <w:rFonts w:ascii="Arial" w:hAnsi="Arial"/>
          <w:b/>
          <w:bCs/>
          <w:sz w:val="21"/>
          <w:lang w:bidi="es-ES_tradnl"/>
        </w:rPr>
        <w:t xml:space="preserve">Michelin </w:t>
      </w:r>
      <w:r>
        <w:rPr>
          <w:rFonts w:ascii="Arial" w:hAnsi="Arial"/>
          <w:b/>
          <w:bCs/>
          <w:sz w:val="21"/>
          <w:lang w:bidi="es-ES_tradnl"/>
        </w:rPr>
        <w:t xml:space="preserve">se unen para acelerar </w:t>
      </w:r>
      <w:r w:rsidR="00CF72BB" w:rsidRPr="00A94F5F">
        <w:rPr>
          <w:rFonts w:ascii="Arial" w:hAnsi="Arial"/>
          <w:b/>
          <w:bCs/>
          <w:sz w:val="21"/>
          <w:lang w:bidi="es-ES_tradnl"/>
        </w:rPr>
        <w:t>la produc</w:t>
      </w:r>
      <w:r>
        <w:rPr>
          <w:rFonts w:ascii="Arial" w:hAnsi="Arial"/>
          <w:b/>
          <w:bCs/>
          <w:sz w:val="21"/>
          <w:lang w:bidi="es-ES_tradnl"/>
        </w:rPr>
        <w:t>ció</w:t>
      </w:r>
      <w:r w:rsidR="00CF72BB" w:rsidRPr="00A94F5F">
        <w:rPr>
          <w:rFonts w:ascii="Arial" w:hAnsi="Arial"/>
          <w:b/>
          <w:bCs/>
          <w:sz w:val="21"/>
          <w:lang w:bidi="es-ES_tradnl"/>
        </w:rPr>
        <w:t xml:space="preserve">n </w:t>
      </w:r>
      <w:r w:rsidR="000D00A2">
        <w:rPr>
          <w:rFonts w:ascii="Arial" w:hAnsi="Arial"/>
          <w:b/>
          <w:bCs/>
          <w:sz w:val="21"/>
          <w:lang w:bidi="es-ES_tradnl"/>
        </w:rPr>
        <w:br/>
      </w:r>
      <w:r>
        <w:rPr>
          <w:rFonts w:ascii="Arial" w:hAnsi="Arial"/>
          <w:b/>
          <w:bCs/>
          <w:sz w:val="21"/>
          <w:lang w:bidi="es-ES_tradnl"/>
        </w:rPr>
        <w:t>y comercialización de isopreno renovable</w:t>
      </w:r>
      <w:r w:rsidR="00CF72BB" w:rsidRPr="00A94F5F">
        <w:rPr>
          <w:rFonts w:ascii="Arial" w:hAnsi="Arial"/>
          <w:b/>
          <w:bCs/>
          <w:sz w:val="21"/>
          <w:lang w:bidi="es-ES_tradnl"/>
        </w:rPr>
        <w:t xml:space="preserve"> (9 </w:t>
      </w:r>
      <w:r w:rsidR="003B5BDF">
        <w:rPr>
          <w:rFonts w:ascii="Arial" w:hAnsi="Arial"/>
          <w:b/>
          <w:bCs/>
          <w:sz w:val="21"/>
          <w:lang w:bidi="es-ES_tradnl"/>
        </w:rPr>
        <w:t xml:space="preserve">de </w:t>
      </w:r>
      <w:r w:rsidR="000061C2">
        <w:rPr>
          <w:rFonts w:ascii="Arial" w:hAnsi="Arial"/>
          <w:b/>
          <w:bCs/>
          <w:sz w:val="21"/>
          <w:lang w:bidi="es-ES_tradnl"/>
        </w:rPr>
        <w:t>septiembre</w:t>
      </w:r>
      <w:r w:rsidR="00CF72BB" w:rsidRPr="00A94F5F">
        <w:rPr>
          <w:rFonts w:ascii="Arial" w:hAnsi="Arial"/>
          <w:b/>
          <w:bCs/>
          <w:sz w:val="21"/>
          <w:lang w:bidi="es-ES_tradnl"/>
        </w:rPr>
        <w:t xml:space="preserve"> </w:t>
      </w:r>
      <w:r w:rsidR="003B5BDF">
        <w:rPr>
          <w:rFonts w:ascii="Arial" w:hAnsi="Arial"/>
          <w:b/>
          <w:bCs/>
          <w:sz w:val="21"/>
          <w:lang w:bidi="es-ES_tradnl"/>
        </w:rPr>
        <w:t xml:space="preserve">de </w:t>
      </w:r>
      <w:r w:rsidR="00CF72BB" w:rsidRPr="00A94F5F">
        <w:rPr>
          <w:rFonts w:ascii="Arial" w:hAnsi="Arial"/>
          <w:b/>
          <w:bCs/>
          <w:sz w:val="21"/>
          <w:lang w:bidi="es-ES_tradnl"/>
        </w:rPr>
        <w:t>2014)</w:t>
      </w:r>
      <w:r w:rsidR="00F36EDD">
        <w:rPr>
          <w:rFonts w:ascii="Arial" w:hAnsi="Arial"/>
          <w:b/>
          <w:bCs/>
          <w:sz w:val="21"/>
          <w:lang w:bidi="es-ES_tradnl"/>
        </w:rPr>
        <w:t>.</w:t>
      </w:r>
    </w:p>
    <w:p w14:paraId="7F22C531" w14:textId="726F3A72" w:rsidR="00CF72BB" w:rsidRPr="00A94F5F" w:rsidRDefault="00CF72BB" w:rsidP="00CF72BB">
      <w:pPr>
        <w:numPr>
          <w:ilvl w:val="0"/>
          <w:numId w:val="23"/>
        </w:numPr>
        <w:tabs>
          <w:tab w:val="num" w:pos="720"/>
        </w:tabs>
        <w:spacing w:after="240" w:line="270" w:lineRule="atLeast"/>
        <w:rPr>
          <w:rFonts w:ascii="Arial" w:hAnsi="Arial"/>
          <w:b/>
          <w:bCs/>
          <w:sz w:val="21"/>
          <w:lang w:bidi="es-ES_tradnl"/>
        </w:rPr>
      </w:pPr>
      <w:r w:rsidRPr="00A94F5F">
        <w:rPr>
          <w:rFonts w:ascii="Arial" w:hAnsi="Arial"/>
          <w:b/>
          <w:bCs/>
          <w:sz w:val="21"/>
          <w:lang w:bidi="es-ES_tradnl"/>
        </w:rPr>
        <w:t>F</w:t>
      </w:r>
      <w:r w:rsidR="000061C2">
        <w:rPr>
          <w:rFonts w:ascii="Arial" w:hAnsi="Arial"/>
          <w:b/>
          <w:bCs/>
          <w:sz w:val="21"/>
          <w:lang w:bidi="es-ES_tradnl"/>
        </w:rPr>
        <w:t>ó</w:t>
      </w:r>
      <w:r w:rsidRPr="00A94F5F">
        <w:rPr>
          <w:rFonts w:ascii="Arial" w:hAnsi="Arial"/>
          <w:b/>
          <w:bCs/>
          <w:sz w:val="21"/>
          <w:lang w:bidi="es-ES_tradnl"/>
        </w:rPr>
        <w:t xml:space="preserve">rmula E: </w:t>
      </w:r>
      <w:r w:rsidR="00F36EDD">
        <w:rPr>
          <w:rFonts w:ascii="Arial" w:hAnsi="Arial"/>
          <w:b/>
          <w:bCs/>
          <w:sz w:val="21"/>
          <w:lang w:bidi="es-ES_tradnl"/>
        </w:rPr>
        <w:t xml:space="preserve">la primera carrera del Campeonato FIA de </w:t>
      </w:r>
      <w:r w:rsidRPr="00A94F5F">
        <w:rPr>
          <w:rFonts w:ascii="Arial" w:hAnsi="Arial"/>
          <w:b/>
          <w:bCs/>
          <w:sz w:val="21"/>
          <w:lang w:bidi="es-ES_tradnl"/>
        </w:rPr>
        <w:t>F</w:t>
      </w:r>
      <w:r w:rsidR="00F36EDD">
        <w:rPr>
          <w:rFonts w:ascii="Arial" w:hAnsi="Arial"/>
          <w:b/>
          <w:bCs/>
          <w:sz w:val="21"/>
          <w:lang w:bidi="es-ES_tradnl"/>
        </w:rPr>
        <w:t>ó</w:t>
      </w:r>
      <w:r w:rsidRPr="00A94F5F">
        <w:rPr>
          <w:rFonts w:ascii="Arial" w:hAnsi="Arial"/>
          <w:b/>
          <w:bCs/>
          <w:sz w:val="21"/>
          <w:lang w:bidi="es-ES_tradnl"/>
        </w:rPr>
        <w:t xml:space="preserve">rmula E </w:t>
      </w:r>
      <w:r w:rsidR="00F36EDD">
        <w:rPr>
          <w:rFonts w:ascii="Arial" w:hAnsi="Arial"/>
          <w:b/>
          <w:bCs/>
          <w:sz w:val="21"/>
          <w:lang w:bidi="es-ES_tradnl"/>
        </w:rPr>
        <w:t xml:space="preserve">tiene lugar al pie del estadio Olímpico de </w:t>
      </w:r>
      <w:r w:rsidR="007C0FB5">
        <w:rPr>
          <w:rFonts w:ascii="Arial" w:hAnsi="Arial"/>
          <w:b/>
          <w:bCs/>
          <w:sz w:val="21"/>
          <w:lang w:bidi="es-ES_tradnl"/>
        </w:rPr>
        <w:t>Pekín,</w:t>
      </w:r>
      <w:r w:rsidRPr="00A94F5F">
        <w:rPr>
          <w:rFonts w:ascii="Arial" w:hAnsi="Arial"/>
          <w:b/>
          <w:bCs/>
          <w:sz w:val="21"/>
          <w:lang w:bidi="es-ES_tradnl"/>
        </w:rPr>
        <w:t xml:space="preserve"> en Chin</w:t>
      </w:r>
      <w:r w:rsidR="007C0FB5">
        <w:rPr>
          <w:rFonts w:ascii="Arial" w:hAnsi="Arial"/>
          <w:b/>
          <w:bCs/>
          <w:sz w:val="21"/>
          <w:lang w:bidi="es-ES_tradnl"/>
        </w:rPr>
        <w:t>a</w:t>
      </w:r>
      <w:r w:rsidRPr="00A94F5F">
        <w:rPr>
          <w:rFonts w:ascii="Arial" w:hAnsi="Arial"/>
          <w:b/>
          <w:bCs/>
          <w:sz w:val="21"/>
          <w:lang w:bidi="es-ES_tradnl"/>
        </w:rPr>
        <w:t xml:space="preserve"> (13 </w:t>
      </w:r>
      <w:r w:rsidR="003B5BDF">
        <w:rPr>
          <w:rFonts w:ascii="Arial" w:hAnsi="Arial"/>
          <w:b/>
          <w:bCs/>
          <w:sz w:val="21"/>
          <w:lang w:bidi="es-ES_tradnl"/>
        </w:rPr>
        <w:t xml:space="preserve">de </w:t>
      </w:r>
      <w:r w:rsidR="000061C2">
        <w:rPr>
          <w:rFonts w:ascii="Arial" w:hAnsi="Arial"/>
          <w:b/>
          <w:bCs/>
          <w:sz w:val="21"/>
          <w:lang w:bidi="es-ES_tradnl"/>
        </w:rPr>
        <w:t>septiembre</w:t>
      </w:r>
      <w:r w:rsidRPr="00A94F5F">
        <w:rPr>
          <w:rFonts w:ascii="Arial" w:hAnsi="Arial"/>
          <w:b/>
          <w:bCs/>
          <w:sz w:val="21"/>
          <w:lang w:bidi="es-ES_tradnl"/>
        </w:rPr>
        <w:t xml:space="preserve"> </w:t>
      </w:r>
      <w:r w:rsidR="000D00A2">
        <w:rPr>
          <w:rFonts w:ascii="Arial" w:hAnsi="Arial"/>
          <w:b/>
          <w:bCs/>
          <w:sz w:val="21"/>
          <w:lang w:bidi="es-ES_tradnl"/>
        </w:rPr>
        <w:br/>
      </w:r>
      <w:r w:rsidR="003B5BDF">
        <w:rPr>
          <w:rFonts w:ascii="Arial" w:hAnsi="Arial"/>
          <w:b/>
          <w:bCs/>
          <w:sz w:val="21"/>
          <w:lang w:bidi="es-ES_tradnl"/>
        </w:rPr>
        <w:t xml:space="preserve">de </w:t>
      </w:r>
      <w:r w:rsidR="007C0FB5">
        <w:rPr>
          <w:rFonts w:ascii="Arial" w:hAnsi="Arial"/>
          <w:b/>
          <w:bCs/>
          <w:sz w:val="21"/>
          <w:lang w:bidi="es-ES_tradnl"/>
        </w:rPr>
        <w:t>2014).</w:t>
      </w:r>
    </w:p>
    <w:p w14:paraId="6C813CAA" w14:textId="59F6E164" w:rsidR="00CF72BB" w:rsidRPr="00A94F5F" w:rsidRDefault="00CF72BB" w:rsidP="00CF72BB">
      <w:pPr>
        <w:numPr>
          <w:ilvl w:val="0"/>
          <w:numId w:val="23"/>
        </w:numPr>
        <w:tabs>
          <w:tab w:val="num" w:pos="720"/>
        </w:tabs>
        <w:spacing w:after="240" w:line="270" w:lineRule="atLeast"/>
        <w:rPr>
          <w:rFonts w:ascii="Arial" w:hAnsi="Arial"/>
          <w:b/>
          <w:bCs/>
          <w:sz w:val="21"/>
          <w:lang w:bidi="es-ES_tradnl"/>
        </w:rPr>
      </w:pPr>
      <w:r w:rsidRPr="00A94F5F">
        <w:rPr>
          <w:rFonts w:ascii="Arial" w:hAnsi="Arial"/>
          <w:b/>
          <w:bCs/>
          <w:sz w:val="21"/>
          <w:lang w:bidi="es-ES_tradnl"/>
        </w:rPr>
        <w:t xml:space="preserve">24 </w:t>
      </w:r>
      <w:r w:rsidR="007C0FB5">
        <w:rPr>
          <w:rFonts w:ascii="Arial" w:hAnsi="Arial"/>
          <w:b/>
          <w:bCs/>
          <w:sz w:val="21"/>
          <w:lang w:bidi="es-ES_tradnl"/>
        </w:rPr>
        <w:t>Horas de Le</w:t>
      </w:r>
      <w:r w:rsidRPr="00A94F5F">
        <w:rPr>
          <w:rFonts w:ascii="Arial" w:hAnsi="Arial"/>
          <w:b/>
          <w:bCs/>
          <w:sz w:val="21"/>
          <w:lang w:bidi="es-ES_tradnl"/>
        </w:rPr>
        <w:t xml:space="preserve"> Mans </w:t>
      </w:r>
      <w:r w:rsidR="007C0FB5">
        <w:rPr>
          <w:rFonts w:ascii="Arial" w:hAnsi="Arial"/>
          <w:b/>
          <w:bCs/>
          <w:sz w:val="21"/>
          <w:lang w:bidi="es-ES_tradnl"/>
        </w:rPr>
        <w:t>Moto 2014</w:t>
      </w:r>
      <w:r w:rsidRPr="00A94F5F">
        <w:rPr>
          <w:rFonts w:ascii="Arial" w:hAnsi="Arial"/>
          <w:b/>
          <w:bCs/>
          <w:sz w:val="21"/>
          <w:lang w:bidi="es-ES_tradnl"/>
        </w:rPr>
        <w:t xml:space="preserve">: MICHELIN </w:t>
      </w:r>
      <w:r w:rsidR="007C0FB5">
        <w:rPr>
          <w:rFonts w:ascii="Arial" w:hAnsi="Arial"/>
          <w:b/>
          <w:bCs/>
          <w:sz w:val="21"/>
          <w:lang w:bidi="es-ES_tradnl"/>
        </w:rPr>
        <w:t>y el</w:t>
      </w:r>
      <w:r w:rsidRPr="00A94F5F">
        <w:rPr>
          <w:rFonts w:ascii="Arial" w:hAnsi="Arial"/>
          <w:b/>
          <w:bCs/>
          <w:sz w:val="21"/>
          <w:lang w:bidi="es-ES_tradnl"/>
        </w:rPr>
        <w:t xml:space="preserve"> </w:t>
      </w:r>
      <w:r w:rsidR="007C0FB5">
        <w:rPr>
          <w:rFonts w:ascii="Arial" w:hAnsi="Arial"/>
          <w:b/>
          <w:bCs/>
          <w:sz w:val="21"/>
          <w:lang w:bidi="es-ES_tradnl"/>
        </w:rPr>
        <w:t>equipo</w:t>
      </w:r>
      <w:r w:rsidRPr="00A94F5F">
        <w:rPr>
          <w:rFonts w:ascii="Arial" w:hAnsi="Arial"/>
          <w:b/>
          <w:bCs/>
          <w:sz w:val="21"/>
          <w:lang w:bidi="es-ES_tradnl"/>
        </w:rPr>
        <w:t xml:space="preserve"> Yamaha France GMT 94</w:t>
      </w:r>
      <w:r w:rsidR="007C0FB5">
        <w:rPr>
          <w:rFonts w:ascii="Arial" w:hAnsi="Arial"/>
          <w:b/>
          <w:bCs/>
          <w:sz w:val="21"/>
          <w:lang w:bidi="es-ES_tradnl"/>
        </w:rPr>
        <w:t>,</w:t>
      </w:r>
      <w:r w:rsidRPr="00A94F5F">
        <w:rPr>
          <w:rFonts w:ascii="Arial" w:hAnsi="Arial"/>
          <w:b/>
          <w:bCs/>
          <w:sz w:val="21"/>
          <w:lang w:bidi="es-ES_tradnl"/>
        </w:rPr>
        <w:t xml:space="preserve"> </w:t>
      </w:r>
      <w:r w:rsidR="007C0FB5">
        <w:rPr>
          <w:rFonts w:ascii="Arial" w:hAnsi="Arial"/>
          <w:b/>
          <w:bCs/>
          <w:sz w:val="21"/>
          <w:lang w:bidi="es-ES_tradnl"/>
        </w:rPr>
        <w:t>campeones del mundo</w:t>
      </w:r>
      <w:r w:rsidRPr="00A94F5F">
        <w:rPr>
          <w:rFonts w:ascii="Arial" w:hAnsi="Arial"/>
          <w:b/>
          <w:bCs/>
          <w:sz w:val="21"/>
          <w:lang w:bidi="es-ES_tradnl"/>
        </w:rPr>
        <w:t xml:space="preserve"> (22 </w:t>
      </w:r>
      <w:r w:rsidR="003B5BDF">
        <w:rPr>
          <w:rFonts w:ascii="Arial" w:hAnsi="Arial"/>
          <w:b/>
          <w:bCs/>
          <w:sz w:val="21"/>
          <w:lang w:bidi="es-ES_tradnl"/>
        </w:rPr>
        <w:t xml:space="preserve">de </w:t>
      </w:r>
      <w:r w:rsidR="000061C2">
        <w:rPr>
          <w:rFonts w:ascii="Arial" w:hAnsi="Arial"/>
          <w:b/>
          <w:bCs/>
          <w:sz w:val="21"/>
          <w:lang w:bidi="es-ES_tradnl"/>
        </w:rPr>
        <w:t>septiembre</w:t>
      </w:r>
      <w:r w:rsidRPr="00A94F5F">
        <w:rPr>
          <w:rFonts w:ascii="Arial" w:hAnsi="Arial"/>
          <w:b/>
          <w:bCs/>
          <w:sz w:val="21"/>
          <w:lang w:bidi="es-ES_tradnl"/>
        </w:rPr>
        <w:t xml:space="preserve"> </w:t>
      </w:r>
      <w:r w:rsidR="003B5BDF">
        <w:rPr>
          <w:rFonts w:ascii="Arial" w:hAnsi="Arial"/>
          <w:b/>
          <w:bCs/>
          <w:sz w:val="21"/>
          <w:lang w:bidi="es-ES_tradnl"/>
        </w:rPr>
        <w:t xml:space="preserve">de </w:t>
      </w:r>
      <w:r w:rsidRPr="00A94F5F">
        <w:rPr>
          <w:rFonts w:ascii="Arial" w:hAnsi="Arial"/>
          <w:b/>
          <w:bCs/>
          <w:sz w:val="21"/>
          <w:lang w:bidi="es-ES_tradnl"/>
        </w:rPr>
        <w:t>2014)</w:t>
      </w:r>
      <w:r w:rsidR="007C0FB5">
        <w:rPr>
          <w:rFonts w:ascii="Arial" w:hAnsi="Arial"/>
          <w:b/>
          <w:bCs/>
          <w:sz w:val="21"/>
          <w:lang w:bidi="es-ES_tradnl"/>
        </w:rPr>
        <w:t>.</w:t>
      </w:r>
    </w:p>
    <w:p w14:paraId="095968FC" w14:textId="39738EBC" w:rsidR="00CF72BB" w:rsidRPr="00A94F5F" w:rsidRDefault="00CF72BB" w:rsidP="00CF72BB">
      <w:pPr>
        <w:numPr>
          <w:ilvl w:val="0"/>
          <w:numId w:val="23"/>
        </w:numPr>
        <w:tabs>
          <w:tab w:val="num" w:pos="720"/>
        </w:tabs>
        <w:spacing w:after="240" w:line="270" w:lineRule="atLeast"/>
        <w:rPr>
          <w:rFonts w:ascii="Arial" w:hAnsi="Arial"/>
          <w:b/>
          <w:bCs/>
          <w:sz w:val="21"/>
          <w:lang w:bidi="es-ES_tradnl"/>
        </w:rPr>
      </w:pPr>
      <w:r w:rsidRPr="00A94F5F">
        <w:rPr>
          <w:rFonts w:ascii="Arial" w:hAnsi="Arial"/>
          <w:b/>
          <w:bCs/>
          <w:sz w:val="21"/>
          <w:lang w:bidi="es-ES_tradnl"/>
        </w:rPr>
        <w:t>MICHELIN</w:t>
      </w:r>
      <w:r w:rsidRPr="007C0FB5">
        <w:rPr>
          <w:rFonts w:ascii="Arial" w:hAnsi="Arial"/>
          <w:b/>
          <w:bCs/>
          <w:sz w:val="21"/>
          <w:szCs w:val="21"/>
          <w:vertAlign w:val="superscript"/>
          <w:lang w:bidi="es-ES_tradnl"/>
        </w:rPr>
        <w:t>®</w:t>
      </w:r>
      <w:r w:rsidRPr="00A94F5F">
        <w:rPr>
          <w:rFonts w:ascii="Arial" w:hAnsi="Arial"/>
          <w:b/>
          <w:bCs/>
          <w:sz w:val="21"/>
          <w:lang w:bidi="es-ES_tradnl"/>
        </w:rPr>
        <w:t xml:space="preserve"> </w:t>
      </w:r>
      <w:r w:rsidR="00CA5F4D">
        <w:rPr>
          <w:rFonts w:ascii="Arial" w:hAnsi="Arial"/>
          <w:b/>
          <w:bCs/>
          <w:sz w:val="21"/>
          <w:lang w:bidi="es-ES_tradnl"/>
        </w:rPr>
        <w:t>S</w:t>
      </w:r>
      <w:r w:rsidRPr="00A94F5F">
        <w:rPr>
          <w:rFonts w:ascii="Arial" w:hAnsi="Arial"/>
          <w:b/>
          <w:bCs/>
          <w:sz w:val="21"/>
          <w:lang w:bidi="es-ES_tradnl"/>
        </w:rPr>
        <w:t xml:space="preserve">olutions </w:t>
      </w:r>
      <w:r w:rsidR="007C0FB5">
        <w:rPr>
          <w:rFonts w:ascii="Arial" w:hAnsi="Arial"/>
          <w:b/>
          <w:bCs/>
          <w:sz w:val="21"/>
          <w:lang w:bidi="es-ES_tradnl"/>
        </w:rPr>
        <w:t>en el</w:t>
      </w:r>
      <w:r w:rsidRPr="00A94F5F">
        <w:rPr>
          <w:rFonts w:ascii="Arial" w:hAnsi="Arial"/>
          <w:b/>
          <w:bCs/>
          <w:sz w:val="21"/>
          <w:lang w:bidi="es-ES_tradnl"/>
        </w:rPr>
        <w:t xml:space="preserve"> Salon IAA d</w:t>
      </w:r>
      <w:r w:rsidR="007C0FB5">
        <w:rPr>
          <w:rFonts w:ascii="Arial" w:hAnsi="Arial"/>
          <w:b/>
          <w:bCs/>
          <w:sz w:val="21"/>
          <w:lang w:bidi="es-ES_tradnl"/>
        </w:rPr>
        <w:t xml:space="preserve">e </w:t>
      </w:r>
      <w:r w:rsidRPr="00A94F5F">
        <w:rPr>
          <w:rFonts w:ascii="Arial" w:hAnsi="Arial"/>
          <w:b/>
          <w:bCs/>
          <w:sz w:val="21"/>
          <w:lang w:bidi="es-ES_tradnl"/>
        </w:rPr>
        <w:t>Han</w:t>
      </w:r>
      <w:r w:rsidR="007C0FB5">
        <w:rPr>
          <w:rFonts w:ascii="Arial" w:hAnsi="Arial"/>
          <w:b/>
          <w:bCs/>
          <w:sz w:val="21"/>
          <w:lang w:bidi="es-ES_tradnl"/>
        </w:rPr>
        <w:t>óver</w:t>
      </w:r>
      <w:r w:rsidRPr="00A94F5F">
        <w:rPr>
          <w:rFonts w:ascii="Arial" w:hAnsi="Arial"/>
          <w:b/>
          <w:bCs/>
          <w:sz w:val="21"/>
          <w:lang w:bidi="es-ES_tradnl"/>
        </w:rPr>
        <w:t xml:space="preserve"> (A</w:t>
      </w:r>
      <w:r w:rsidR="007C0FB5">
        <w:rPr>
          <w:rFonts w:ascii="Arial" w:hAnsi="Arial"/>
          <w:b/>
          <w:bCs/>
          <w:sz w:val="21"/>
          <w:lang w:bidi="es-ES_tradnl"/>
        </w:rPr>
        <w:t>lemania</w:t>
      </w:r>
      <w:r w:rsidRPr="00A94F5F">
        <w:rPr>
          <w:rFonts w:ascii="Arial" w:hAnsi="Arial"/>
          <w:b/>
          <w:bCs/>
          <w:sz w:val="21"/>
          <w:lang w:bidi="es-ES_tradnl"/>
        </w:rPr>
        <w:t>): EFFIFUEL™ de MICHELIN</w:t>
      </w:r>
      <w:r w:rsidRPr="007C0FB5">
        <w:rPr>
          <w:rFonts w:ascii="Arial" w:hAnsi="Arial"/>
          <w:b/>
          <w:bCs/>
          <w:sz w:val="21"/>
          <w:szCs w:val="21"/>
          <w:vertAlign w:val="superscript"/>
          <w:lang w:bidi="es-ES_tradnl"/>
        </w:rPr>
        <w:t>®</w:t>
      </w:r>
      <w:r w:rsidRPr="00A94F5F">
        <w:rPr>
          <w:rFonts w:ascii="Arial" w:hAnsi="Arial"/>
          <w:b/>
          <w:bCs/>
          <w:sz w:val="21"/>
          <w:lang w:bidi="es-ES_tradnl"/>
        </w:rPr>
        <w:t xml:space="preserve"> </w:t>
      </w:r>
      <w:r w:rsidR="00DA054D">
        <w:rPr>
          <w:rFonts w:ascii="Arial" w:hAnsi="Arial"/>
          <w:b/>
          <w:bCs/>
          <w:sz w:val="21"/>
          <w:lang w:bidi="es-ES_tradnl"/>
        </w:rPr>
        <w:t>Solutions ofrece</w:t>
      </w:r>
      <w:r w:rsidR="00CA5F4D">
        <w:rPr>
          <w:rFonts w:ascii="Arial" w:hAnsi="Arial"/>
          <w:b/>
          <w:bCs/>
          <w:sz w:val="21"/>
          <w:lang w:bidi="es-ES_tradnl"/>
        </w:rPr>
        <w:t xml:space="preserve"> ahorros de carburante</w:t>
      </w:r>
      <w:r w:rsidRPr="00A94F5F">
        <w:rPr>
          <w:rFonts w:ascii="Arial" w:hAnsi="Arial"/>
          <w:b/>
          <w:bCs/>
          <w:sz w:val="21"/>
          <w:lang w:bidi="es-ES_tradnl"/>
        </w:rPr>
        <w:t xml:space="preserve"> (23 </w:t>
      </w:r>
      <w:r w:rsidR="003B5BDF">
        <w:rPr>
          <w:rFonts w:ascii="Arial" w:hAnsi="Arial"/>
          <w:b/>
          <w:bCs/>
          <w:sz w:val="21"/>
          <w:lang w:bidi="es-ES_tradnl"/>
        </w:rPr>
        <w:t xml:space="preserve">de </w:t>
      </w:r>
      <w:r w:rsidR="000061C2">
        <w:rPr>
          <w:rFonts w:ascii="Arial" w:hAnsi="Arial"/>
          <w:b/>
          <w:bCs/>
          <w:sz w:val="21"/>
          <w:lang w:bidi="es-ES_tradnl"/>
        </w:rPr>
        <w:t>septiembre</w:t>
      </w:r>
      <w:r w:rsidRPr="00A94F5F">
        <w:rPr>
          <w:rFonts w:ascii="Arial" w:hAnsi="Arial"/>
          <w:b/>
          <w:bCs/>
          <w:sz w:val="21"/>
          <w:lang w:bidi="es-ES_tradnl"/>
        </w:rPr>
        <w:t xml:space="preserve"> – 2 </w:t>
      </w:r>
      <w:r w:rsidR="003B5BDF">
        <w:rPr>
          <w:rFonts w:ascii="Arial" w:hAnsi="Arial"/>
          <w:b/>
          <w:bCs/>
          <w:sz w:val="21"/>
          <w:lang w:bidi="es-ES_tradnl"/>
        </w:rPr>
        <w:t xml:space="preserve">de </w:t>
      </w:r>
      <w:r w:rsidRPr="00A94F5F">
        <w:rPr>
          <w:rFonts w:ascii="Arial" w:hAnsi="Arial"/>
          <w:b/>
          <w:bCs/>
          <w:sz w:val="21"/>
          <w:lang w:bidi="es-ES_tradnl"/>
        </w:rPr>
        <w:t>oct</w:t>
      </w:r>
      <w:r w:rsidR="003B5BDF">
        <w:rPr>
          <w:rFonts w:ascii="Arial" w:hAnsi="Arial"/>
          <w:b/>
          <w:bCs/>
          <w:sz w:val="21"/>
          <w:lang w:bidi="es-ES_tradnl"/>
        </w:rPr>
        <w:t>u</w:t>
      </w:r>
      <w:r w:rsidRPr="00A94F5F">
        <w:rPr>
          <w:rFonts w:ascii="Arial" w:hAnsi="Arial"/>
          <w:b/>
          <w:bCs/>
          <w:sz w:val="21"/>
          <w:lang w:bidi="es-ES_tradnl"/>
        </w:rPr>
        <w:t xml:space="preserve">bre </w:t>
      </w:r>
      <w:r w:rsidR="003B5BDF">
        <w:rPr>
          <w:rFonts w:ascii="Arial" w:hAnsi="Arial"/>
          <w:b/>
          <w:bCs/>
          <w:sz w:val="21"/>
          <w:lang w:bidi="es-ES_tradnl"/>
        </w:rPr>
        <w:t xml:space="preserve">de </w:t>
      </w:r>
      <w:r w:rsidRPr="00A94F5F">
        <w:rPr>
          <w:rFonts w:ascii="Arial" w:hAnsi="Arial"/>
          <w:b/>
          <w:bCs/>
          <w:sz w:val="21"/>
          <w:lang w:bidi="es-ES_tradnl"/>
        </w:rPr>
        <w:t>2014)</w:t>
      </w:r>
    </w:p>
    <w:p w14:paraId="6BB13338" w14:textId="7E04D684" w:rsidR="00CF72BB" w:rsidRPr="00A94F5F" w:rsidRDefault="00CF72BB" w:rsidP="00CF72BB">
      <w:pPr>
        <w:numPr>
          <w:ilvl w:val="0"/>
          <w:numId w:val="23"/>
        </w:numPr>
        <w:tabs>
          <w:tab w:val="num" w:pos="720"/>
        </w:tabs>
        <w:spacing w:after="240" w:line="270" w:lineRule="atLeast"/>
        <w:rPr>
          <w:rFonts w:ascii="Arial" w:hAnsi="Arial"/>
          <w:b/>
          <w:bCs/>
          <w:sz w:val="21"/>
          <w:lang w:bidi="es-ES_tradnl"/>
        </w:rPr>
      </w:pPr>
      <w:r w:rsidRPr="00A94F5F">
        <w:rPr>
          <w:rFonts w:ascii="Arial" w:hAnsi="Arial"/>
          <w:b/>
          <w:bCs/>
          <w:sz w:val="21"/>
          <w:lang w:bidi="es-ES_tradnl"/>
        </w:rPr>
        <w:t>Michelin,</w:t>
      </w:r>
      <w:r w:rsidR="007C0FB5">
        <w:rPr>
          <w:rFonts w:ascii="Arial" w:hAnsi="Arial"/>
          <w:b/>
          <w:bCs/>
          <w:sz w:val="21"/>
          <w:lang w:bidi="es-ES_tradnl"/>
        </w:rPr>
        <w:t xml:space="preserve"> </w:t>
      </w:r>
      <w:r w:rsidR="00DA054D">
        <w:rPr>
          <w:rFonts w:ascii="Arial" w:hAnsi="Arial"/>
          <w:b/>
          <w:bCs/>
          <w:sz w:val="21"/>
          <w:lang w:bidi="es-ES_tradnl"/>
        </w:rPr>
        <w:t xml:space="preserve">socio oficial de </w:t>
      </w:r>
      <w:r w:rsidR="007C0FB5">
        <w:rPr>
          <w:rFonts w:ascii="Arial" w:hAnsi="Arial"/>
          <w:b/>
          <w:bCs/>
          <w:sz w:val="21"/>
          <w:lang w:bidi="es-ES_tradnl"/>
        </w:rPr>
        <w:t>A320neo</w:t>
      </w:r>
      <w:r w:rsidRPr="00A94F5F">
        <w:rPr>
          <w:rFonts w:ascii="Arial" w:hAnsi="Arial"/>
          <w:b/>
          <w:bCs/>
          <w:sz w:val="21"/>
          <w:lang w:bidi="es-ES_tradnl"/>
        </w:rPr>
        <w:t xml:space="preserve">: </w:t>
      </w:r>
      <w:r w:rsidR="009A682C">
        <w:rPr>
          <w:rFonts w:ascii="Arial" w:hAnsi="Arial"/>
          <w:b/>
          <w:bCs/>
          <w:sz w:val="21"/>
          <w:lang w:bidi="es-ES_tradnl"/>
        </w:rPr>
        <w:t>el primer vuelo</w:t>
      </w:r>
      <w:r w:rsidR="009A682C" w:rsidRPr="00A94F5F">
        <w:rPr>
          <w:rFonts w:ascii="Arial" w:hAnsi="Arial"/>
          <w:b/>
          <w:bCs/>
          <w:sz w:val="21"/>
          <w:lang w:bidi="es-ES_tradnl"/>
        </w:rPr>
        <w:t xml:space="preserve"> </w:t>
      </w:r>
      <w:r w:rsidR="009A682C">
        <w:rPr>
          <w:rFonts w:ascii="Arial" w:hAnsi="Arial"/>
          <w:b/>
          <w:bCs/>
          <w:sz w:val="21"/>
          <w:lang w:bidi="es-ES_tradnl"/>
        </w:rPr>
        <w:t xml:space="preserve">equipado con </w:t>
      </w:r>
      <w:r w:rsidRPr="00A94F5F">
        <w:rPr>
          <w:rFonts w:ascii="Arial" w:hAnsi="Arial"/>
          <w:b/>
          <w:bCs/>
          <w:sz w:val="21"/>
          <w:lang w:bidi="es-ES_tradnl"/>
        </w:rPr>
        <w:t>l</w:t>
      </w:r>
      <w:r w:rsidR="00DA054D">
        <w:rPr>
          <w:rFonts w:ascii="Arial" w:hAnsi="Arial"/>
          <w:b/>
          <w:bCs/>
          <w:sz w:val="21"/>
          <w:lang w:bidi="es-ES_tradnl"/>
        </w:rPr>
        <w:t>o</w:t>
      </w:r>
      <w:r w:rsidRPr="00A94F5F">
        <w:rPr>
          <w:rFonts w:ascii="Arial" w:hAnsi="Arial"/>
          <w:b/>
          <w:bCs/>
          <w:sz w:val="21"/>
          <w:lang w:bidi="es-ES_tradnl"/>
        </w:rPr>
        <w:t xml:space="preserve">s </w:t>
      </w:r>
      <w:r w:rsidR="00DA054D">
        <w:rPr>
          <w:rFonts w:ascii="Arial" w:hAnsi="Arial"/>
          <w:b/>
          <w:bCs/>
          <w:sz w:val="21"/>
          <w:lang w:bidi="es-ES_tradnl"/>
        </w:rPr>
        <w:t xml:space="preserve">neumáticos radiales </w:t>
      </w:r>
      <w:r w:rsidRPr="00A94F5F">
        <w:rPr>
          <w:rFonts w:ascii="Arial" w:hAnsi="Arial"/>
          <w:b/>
          <w:bCs/>
          <w:sz w:val="21"/>
          <w:lang w:bidi="es-ES_tradnl"/>
        </w:rPr>
        <w:t>MICHELIN</w:t>
      </w:r>
      <w:r w:rsidRPr="007C0FB5">
        <w:rPr>
          <w:rFonts w:ascii="Arial" w:hAnsi="Arial"/>
          <w:b/>
          <w:bCs/>
          <w:sz w:val="21"/>
          <w:szCs w:val="21"/>
          <w:vertAlign w:val="superscript"/>
          <w:lang w:bidi="es-ES_tradnl"/>
        </w:rPr>
        <w:t>®</w:t>
      </w:r>
      <w:r w:rsidRPr="00A94F5F">
        <w:rPr>
          <w:rFonts w:ascii="Arial" w:hAnsi="Arial"/>
          <w:b/>
          <w:bCs/>
          <w:sz w:val="21"/>
          <w:lang w:bidi="es-ES_tradnl"/>
        </w:rPr>
        <w:t xml:space="preserve"> AIR X</w:t>
      </w:r>
      <w:r w:rsidRPr="007C0FB5">
        <w:rPr>
          <w:rFonts w:ascii="Arial" w:hAnsi="Arial"/>
          <w:b/>
          <w:bCs/>
          <w:sz w:val="21"/>
          <w:szCs w:val="21"/>
          <w:vertAlign w:val="superscript"/>
          <w:lang w:bidi="es-ES_tradnl"/>
        </w:rPr>
        <w:t>®</w:t>
      </w:r>
      <w:r w:rsidR="00DA054D">
        <w:rPr>
          <w:rFonts w:ascii="Arial" w:hAnsi="Arial"/>
          <w:b/>
          <w:bCs/>
          <w:sz w:val="21"/>
          <w:lang w:bidi="es-ES_tradnl"/>
        </w:rPr>
        <w:t xml:space="preserve"> </w:t>
      </w:r>
      <w:r w:rsidRPr="00A94F5F">
        <w:rPr>
          <w:rFonts w:ascii="Arial" w:hAnsi="Arial"/>
          <w:b/>
          <w:bCs/>
          <w:sz w:val="21"/>
          <w:lang w:bidi="es-ES_tradnl"/>
        </w:rPr>
        <w:t xml:space="preserve">(25 </w:t>
      </w:r>
      <w:r w:rsidR="003B5BDF">
        <w:rPr>
          <w:rFonts w:ascii="Arial" w:hAnsi="Arial"/>
          <w:b/>
          <w:bCs/>
          <w:sz w:val="21"/>
          <w:lang w:bidi="es-ES_tradnl"/>
        </w:rPr>
        <w:t xml:space="preserve">de </w:t>
      </w:r>
      <w:r w:rsidR="000061C2">
        <w:rPr>
          <w:rFonts w:ascii="Arial" w:hAnsi="Arial"/>
          <w:b/>
          <w:bCs/>
          <w:sz w:val="21"/>
          <w:lang w:bidi="es-ES_tradnl"/>
        </w:rPr>
        <w:t>septiembre</w:t>
      </w:r>
      <w:r w:rsidRPr="00A94F5F">
        <w:rPr>
          <w:rFonts w:ascii="Arial" w:hAnsi="Arial"/>
          <w:b/>
          <w:bCs/>
          <w:sz w:val="21"/>
          <w:lang w:bidi="es-ES_tradnl"/>
        </w:rPr>
        <w:t xml:space="preserve"> </w:t>
      </w:r>
      <w:r w:rsidR="003B5BDF">
        <w:rPr>
          <w:rFonts w:ascii="Arial" w:hAnsi="Arial"/>
          <w:b/>
          <w:bCs/>
          <w:sz w:val="21"/>
          <w:lang w:bidi="es-ES_tradnl"/>
        </w:rPr>
        <w:t xml:space="preserve">de </w:t>
      </w:r>
      <w:r w:rsidRPr="00A94F5F">
        <w:rPr>
          <w:rFonts w:ascii="Arial" w:hAnsi="Arial"/>
          <w:b/>
          <w:bCs/>
          <w:sz w:val="21"/>
          <w:lang w:bidi="es-ES_tradnl"/>
        </w:rPr>
        <w:t>2014)</w:t>
      </w:r>
      <w:r w:rsidR="009A682C">
        <w:rPr>
          <w:rFonts w:ascii="Arial" w:hAnsi="Arial"/>
          <w:b/>
          <w:bCs/>
          <w:sz w:val="21"/>
          <w:lang w:bidi="es-ES_tradnl"/>
        </w:rPr>
        <w:t>.</w:t>
      </w:r>
    </w:p>
    <w:p w14:paraId="0A84A2AF" w14:textId="7DF5907D" w:rsidR="00CF72BB" w:rsidRPr="00A94F5F" w:rsidRDefault="00CF72BB" w:rsidP="00CF72BB">
      <w:pPr>
        <w:numPr>
          <w:ilvl w:val="0"/>
          <w:numId w:val="23"/>
        </w:numPr>
        <w:tabs>
          <w:tab w:val="num" w:pos="720"/>
        </w:tabs>
        <w:spacing w:after="240" w:line="270" w:lineRule="atLeast"/>
        <w:rPr>
          <w:rFonts w:ascii="Arial" w:hAnsi="Arial"/>
          <w:b/>
          <w:bCs/>
          <w:sz w:val="21"/>
          <w:lang w:bidi="es-ES_tradnl"/>
        </w:rPr>
      </w:pPr>
      <w:r w:rsidRPr="00A94F5F">
        <w:rPr>
          <w:rFonts w:ascii="Arial" w:hAnsi="Arial"/>
          <w:b/>
          <w:bCs/>
          <w:sz w:val="21"/>
          <w:lang w:bidi="es-ES_tradnl"/>
        </w:rPr>
        <w:t>MICHELIN Ultraflex Technologies</w:t>
      </w:r>
      <w:r w:rsidR="000D00A2">
        <w:rPr>
          <w:rFonts w:ascii="Arial" w:hAnsi="Arial"/>
          <w:b/>
          <w:bCs/>
          <w:sz w:val="21"/>
          <w:lang w:bidi="es-ES_tradnl"/>
        </w:rPr>
        <w:t>,</w:t>
      </w:r>
      <w:r w:rsidRPr="00A94F5F">
        <w:rPr>
          <w:rFonts w:ascii="Arial" w:hAnsi="Arial"/>
          <w:b/>
          <w:bCs/>
          <w:sz w:val="21"/>
          <w:lang w:bidi="es-ES_tradnl"/>
        </w:rPr>
        <w:t xml:space="preserve"> </w:t>
      </w:r>
      <w:r w:rsidR="000516E6" w:rsidRPr="00C5360F">
        <w:rPr>
          <w:rFonts w:ascii="Arial" w:hAnsi="Arial"/>
          <w:b/>
          <w:bCs/>
          <w:sz w:val="21"/>
          <w:lang w:bidi="es-ES_tradnl"/>
        </w:rPr>
        <w:t xml:space="preserve">mejora </w:t>
      </w:r>
      <w:r w:rsidR="004772F6" w:rsidRPr="00C5360F">
        <w:rPr>
          <w:rFonts w:ascii="Arial" w:hAnsi="Arial"/>
          <w:b/>
          <w:bCs/>
          <w:sz w:val="21"/>
          <w:lang w:bidi="es-ES_tradnl"/>
        </w:rPr>
        <w:t xml:space="preserve">hasta un 4 % </w:t>
      </w:r>
      <w:r w:rsidR="004772F6">
        <w:rPr>
          <w:rFonts w:ascii="Arial" w:hAnsi="Arial"/>
          <w:b/>
          <w:bCs/>
          <w:sz w:val="21"/>
          <w:lang w:bidi="es-ES_tradnl"/>
        </w:rPr>
        <w:t xml:space="preserve">el rendimiento </w:t>
      </w:r>
      <w:r w:rsidR="000516E6" w:rsidRPr="00C5360F">
        <w:rPr>
          <w:rFonts w:ascii="Arial" w:hAnsi="Arial"/>
          <w:b/>
          <w:bCs/>
          <w:sz w:val="21"/>
          <w:lang w:bidi="es-ES_tradnl"/>
        </w:rPr>
        <w:t xml:space="preserve">agrícola </w:t>
      </w:r>
      <w:r w:rsidRPr="00C5360F">
        <w:rPr>
          <w:rFonts w:ascii="Arial" w:hAnsi="Arial"/>
          <w:b/>
          <w:bCs/>
          <w:sz w:val="21"/>
          <w:lang w:bidi="es-ES_tradnl"/>
        </w:rPr>
        <w:t>(</w:t>
      </w:r>
      <w:r w:rsidRPr="00A94F5F">
        <w:rPr>
          <w:rFonts w:ascii="Arial" w:hAnsi="Arial"/>
          <w:b/>
          <w:bCs/>
          <w:sz w:val="21"/>
          <w:lang w:bidi="es-ES_tradnl"/>
        </w:rPr>
        <w:t xml:space="preserve">30 </w:t>
      </w:r>
      <w:r w:rsidR="003B5BDF">
        <w:rPr>
          <w:rFonts w:ascii="Arial" w:hAnsi="Arial"/>
          <w:b/>
          <w:bCs/>
          <w:sz w:val="21"/>
          <w:lang w:bidi="es-ES_tradnl"/>
        </w:rPr>
        <w:t xml:space="preserve">de </w:t>
      </w:r>
      <w:r w:rsidR="000061C2">
        <w:rPr>
          <w:rFonts w:ascii="Arial" w:hAnsi="Arial"/>
          <w:b/>
          <w:bCs/>
          <w:sz w:val="21"/>
          <w:lang w:bidi="es-ES_tradnl"/>
        </w:rPr>
        <w:t>septiembre</w:t>
      </w:r>
      <w:r w:rsidRPr="00A94F5F">
        <w:rPr>
          <w:rFonts w:ascii="Arial" w:hAnsi="Arial"/>
          <w:b/>
          <w:bCs/>
          <w:sz w:val="21"/>
          <w:lang w:bidi="es-ES_tradnl"/>
        </w:rPr>
        <w:t xml:space="preserve"> </w:t>
      </w:r>
      <w:r w:rsidR="003B5BDF">
        <w:rPr>
          <w:rFonts w:ascii="Arial" w:hAnsi="Arial"/>
          <w:b/>
          <w:bCs/>
          <w:sz w:val="21"/>
          <w:lang w:bidi="es-ES_tradnl"/>
        </w:rPr>
        <w:t xml:space="preserve">de </w:t>
      </w:r>
      <w:r w:rsidRPr="00A94F5F">
        <w:rPr>
          <w:rFonts w:ascii="Arial" w:hAnsi="Arial"/>
          <w:b/>
          <w:bCs/>
          <w:sz w:val="21"/>
          <w:lang w:bidi="es-ES_tradnl"/>
        </w:rPr>
        <w:t>2014)</w:t>
      </w:r>
      <w:r w:rsidR="004772F6">
        <w:rPr>
          <w:rFonts w:ascii="Arial" w:hAnsi="Arial"/>
          <w:b/>
          <w:bCs/>
          <w:sz w:val="21"/>
          <w:lang w:bidi="es-ES_tradnl"/>
        </w:rPr>
        <w:t>.</w:t>
      </w:r>
    </w:p>
    <w:p w14:paraId="4C5D210A" w14:textId="50B503E5" w:rsidR="00CF72BB" w:rsidRPr="00A94F5F" w:rsidRDefault="00CF72BB" w:rsidP="00CF72BB">
      <w:pPr>
        <w:numPr>
          <w:ilvl w:val="0"/>
          <w:numId w:val="23"/>
        </w:numPr>
        <w:tabs>
          <w:tab w:val="num" w:pos="720"/>
        </w:tabs>
        <w:spacing w:after="240" w:line="270" w:lineRule="atLeast"/>
        <w:rPr>
          <w:rFonts w:ascii="Arial" w:hAnsi="Arial"/>
          <w:b/>
          <w:bCs/>
          <w:sz w:val="21"/>
          <w:lang w:bidi="es-ES_tradnl"/>
        </w:rPr>
      </w:pPr>
      <w:r w:rsidRPr="00A94F5F">
        <w:rPr>
          <w:rFonts w:ascii="Arial" w:hAnsi="Arial"/>
          <w:b/>
          <w:bCs/>
          <w:sz w:val="21"/>
          <w:lang w:bidi="es-ES_tradnl"/>
        </w:rPr>
        <w:t>Lan</w:t>
      </w:r>
      <w:r w:rsidR="004772F6">
        <w:rPr>
          <w:rFonts w:ascii="Arial" w:hAnsi="Arial"/>
          <w:b/>
          <w:bCs/>
          <w:sz w:val="21"/>
          <w:lang w:bidi="es-ES_tradnl"/>
        </w:rPr>
        <w:t xml:space="preserve">zamiento de la gama </w:t>
      </w:r>
      <w:r w:rsidR="0082016C">
        <w:rPr>
          <w:rFonts w:ascii="Arial" w:hAnsi="Arial"/>
          <w:b/>
          <w:bCs/>
          <w:sz w:val="21"/>
          <w:lang w:bidi="es-ES_tradnl"/>
        </w:rPr>
        <w:t>de Camión</w:t>
      </w:r>
      <w:r w:rsidRPr="00A94F5F">
        <w:rPr>
          <w:rFonts w:ascii="Arial" w:hAnsi="Arial"/>
          <w:b/>
          <w:bCs/>
          <w:sz w:val="21"/>
          <w:lang w:bidi="es-ES_tradnl"/>
        </w:rPr>
        <w:t xml:space="preserve"> MICHELIN X</w:t>
      </w:r>
      <w:r w:rsidRPr="007C0FB5">
        <w:rPr>
          <w:rFonts w:ascii="Arial" w:hAnsi="Arial"/>
          <w:b/>
          <w:bCs/>
          <w:sz w:val="21"/>
          <w:szCs w:val="21"/>
          <w:vertAlign w:val="superscript"/>
          <w:lang w:bidi="es-ES_tradnl"/>
        </w:rPr>
        <w:t>®</w:t>
      </w:r>
      <w:r w:rsidRPr="00A94F5F">
        <w:rPr>
          <w:rFonts w:ascii="Arial" w:hAnsi="Arial"/>
          <w:b/>
          <w:bCs/>
          <w:sz w:val="21"/>
          <w:lang w:bidi="es-ES_tradnl"/>
        </w:rPr>
        <w:t xml:space="preserve"> MULTI</w:t>
      </w:r>
      <w:r w:rsidRPr="0082016C">
        <w:rPr>
          <w:rFonts w:ascii="Arial" w:hAnsi="Arial"/>
          <w:b/>
          <w:bCs/>
          <w:sz w:val="21"/>
          <w:szCs w:val="21"/>
          <w:vertAlign w:val="superscript"/>
          <w:lang w:bidi="es-ES_tradnl"/>
        </w:rPr>
        <w:t>TM</w:t>
      </w:r>
      <w:r w:rsidRPr="00A94F5F">
        <w:rPr>
          <w:rFonts w:ascii="Arial" w:hAnsi="Arial"/>
          <w:b/>
          <w:bCs/>
          <w:sz w:val="21"/>
          <w:lang w:bidi="es-ES_tradnl"/>
        </w:rPr>
        <w:t xml:space="preserve"> en Asi</w:t>
      </w:r>
      <w:r w:rsidR="0082016C">
        <w:rPr>
          <w:rFonts w:ascii="Arial" w:hAnsi="Arial"/>
          <w:b/>
          <w:bCs/>
          <w:sz w:val="21"/>
          <w:lang w:bidi="es-ES_tradnl"/>
        </w:rPr>
        <w:t>a</w:t>
      </w:r>
      <w:r w:rsidRPr="00A94F5F">
        <w:rPr>
          <w:rFonts w:ascii="Arial" w:hAnsi="Arial"/>
          <w:b/>
          <w:bCs/>
          <w:sz w:val="21"/>
          <w:lang w:bidi="es-ES_tradnl"/>
        </w:rPr>
        <w:t xml:space="preserve">: </w:t>
      </w:r>
      <w:r w:rsidR="00A143D6">
        <w:rPr>
          <w:rFonts w:ascii="Arial" w:hAnsi="Arial"/>
          <w:b/>
          <w:bCs/>
          <w:sz w:val="21"/>
          <w:lang w:bidi="es-ES_tradnl"/>
        </w:rPr>
        <w:t>diversas</w:t>
      </w:r>
      <w:r w:rsidR="0082016C">
        <w:rPr>
          <w:rFonts w:ascii="Arial" w:hAnsi="Arial"/>
          <w:b/>
          <w:bCs/>
          <w:sz w:val="21"/>
          <w:lang w:bidi="es-ES_tradnl"/>
        </w:rPr>
        <w:t xml:space="preserve"> dimensiones para responder a las diferentes necesidades de los clientes </w:t>
      </w:r>
      <w:r w:rsidRPr="00A94F5F">
        <w:rPr>
          <w:rFonts w:ascii="Arial" w:hAnsi="Arial"/>
          <w:b/>
          <w:bCs/>
          <w:sz w:val="21"/>
          <w:lang w:bidi="es-ES_tradnl"/>
        </w:rPr>
        <w:t xml:space="preserve">(7 </w:t>
      </w:r>
      <w:r w:rsidR="003B5BDF">
        <w:rPr>
          <w:rFonts w:ascii="Arial" w:hAnsi="Arial"/>
          <w:b/>
          <w:bCs/>
          <w:sz w:val="21"/>
          <w:lang w:bidi="es-ES_tradnl"/>
        </w:rPr>
        <w:t xml:space="preserve">de </w:t>
      </w:r>
      <w:r w:rsidRPr="00A94F5F">
        <w:rPr>
          <w:rFonts w:ascii="Arial" w:hAnsi="Arial"/>
          <w:b/>
          <w:bCs/>
          <w:sz w:val="21"/>
          <w:lang w:bidi="es-ES_tradnl"/>
        </w:rPr>
        <w:t>oct</w:t>
      </w:r>
      <w:r w:rsidR="003B5BDF">
        <w:rPr>
          <w:rFonts w:ascii="Arial" w:hAnsi="Arial"/>
          <w:b/>
          <w:bCs/>
          <w:sz w:val="21"/>
          <w:lang w:bidi="es-ES_tradnl"/>
        </w:rPr>
        <w:t>u</w:t>
      </w:r>
      <w:r w:rsidRPr="00A94F5F">
        <w:rPr>
          <w:rFonts w:ascii="Arial" w:hAnsi="Arial"/>
          <w:b/>
          <w:bCs/>
          <w:sz w:val="21"/>
          <w:lang w:bidi="es-ES_tradnl"/>
        </w:rPr>
        <w:t xml:space="preserve">bre </w:t>
      </w:r>
      <w:r w:rsidR="003B5BDF">
        <w:rPr>
          <w:rFonts w:ascii="Arial" w:hAnsi="Arial"/>
          <w:b/>
          <w:bCs/>
          <w:sz w:val="21"/>
          <w:lang w:bidi="es-ES_tradnl"/>
        </w:rPr>
        <w:t xml:space="preserve">de </w:t>
      </w:r>
      <w:r w:rsidRPr="00A94F5F">
        <w:rPr>
          <w:rFonts w:ascii="Arial" w:hAnsi="Arial"/>
          <w:b/>
          <w:bCs/>
          <w:sz w:val="21"/>
          <w:lang w:bidi="es-ES_tradnl"/>
        </w:rPr>
        <w:t>2014)</w:t>
      </w:r>
      <w:r w:rsidR="0082016C">
        <w:rPr>
          <w:rFonts w:ascii="Arial" w:hAnsi="Arial"/>
          <w:b/>
          <w:bCs/>
          <w:sz w:val="21"/>
          <w:lang w:bidi="es-ES_tradnl"/>
        </w:rPr>
        <w:t>.</w:t>
      </w:r>
    </w:p>
    <w:p w14:paraId="1E7DFBC5" w14:textId="77777777" w:rsidR="00BF4FFF" w:rsidRPr="00A94F5F" w:rsidRDefault="00BF4FFF" w:rsidP="00BF4FFF">
      <w:pPr>
        <w:tabs>
          <w:tab w:val="left" w:pos="284"/>
        </w:tabs>
        <w:jc w:val="both"/>
        <w:rPr>
          <w:rFonts w:ascii="Verdana" w:hAnsi="Verdana" w:cs="Arial"/>
          <w:b/>
        </w:rPr>
      </w:pPr>
    </w:p>
    <w:p w14:paraId="62307381" w14:textId="77777777" w:rsidR="00BF4FFF" w:rsidRPr="00A94F5F" w:rsidRDefault="00BF4FFF" w:rsidP="00BF4FFF">
      <w:pPr>
        <w:tabs>
          <w:tab w:val="left" w:pos="284"/>
        </w:tabs>
        <w:jc w:val="both"/>
        <w:rPr>
          <w:rFonts w:ascii="Verdana" w:hAnsi="Verdana" w:cs="Arial"/>
          <w:highlight w:val="yellow"/>
        </w:rPr>
      </w:pPr>
    </w:p>
    <w:p w14:paraId="77CC0BE1" w14:textId="77777777" w:rsidR="00BF4FFF" w:rsidRPr="00A94F5F" w:rsidRDefault="00BF4FFF" w:rsidP="00BF4FFF">
      <w:pPr>
        <w:keepNext/>
        <w:tabs>
          <w:tab w:val="left" w:pos="284"/>
        </w:tabs>
        <w:jc w:val="both"/>
        <w:rPr>
          <w:rFonts w:ascii="Verdana" w:eastAsia="Times New Roman" w:hAnsi="Verdana" w:cs="Arial"/>
        </w:rPr>
      </w:pPr>
    </w:p>
    <w:p w14:paraId="69F0A5C8" w14:textId="15EBF9AC" w:rsidR="00BF4FFF" w:rsidRPr="00A94F5F" w:rsidRDefault="00BF4FFF" w:rsidP="00BF4FFF">
      <w:pPr>
        <w:keepNext/>
        <w:pBdr>
          <w:top w:val="single" w:sz="4" w:space="1" w:color="auto"/>
          <w:left w:val="single" w:sz="4" w:space="4" w:color="auto"/>
          <w:bottom w:val="single" w:sz="4" w:space="1" w:color="auto"/>
          <w:right w:val="single" w:sz="4" w:space="4" w:color="auto"/>
        </w:pBdr>
        <w:jc w:val="center"/>
        <w:rPr>
          <w:rFonts w:ascii="Arial" w:eastAsia="Times New Roman" w:hAnsi="Arial" w:cs="Arial"/>
          <w:sz w:val="21"/>
          <w:u w:val="single"/>
        </w:rPr>
      </w:pPr>
      <w:r w:rsidRPr="00A94F5F">
        <w:rPr>
          <w:rFonts w:ascii="Arial" w:eastAsia="Times New Roman" w:hAnsi="Arial" w:cs="Arial"/>
          <w:sz w:val="21"/>
        </w:rPr>
        <w:t>La lista completa de los hechos destacados del tercer trimestre de 201</w:t>
      </w:r>
      <w:r w:rsidR="00E57A03" w:rsidRPr="00A94F5F">
        <w:rPr>
          <w:rFonts w:ascii="Arial" w:eastAsia="Times New Roman" w:hAnsi="Arial" w:cs="Arial"/>
          <w:sz w:val="21"/>
        </w:rPr>
        <w:t>4</w:t>
      </w:r>
      <w:r w:rsidRPr="00A94F5F">
        <w:rPr>
          <w:rFonts w:ascii="Arial" w:eastAsia="Times New Roman" w:hAnsi="Arial" w:cs="Arial"/>
          <w:sz w:val="21"/>
        </w:rPr>
        <w:t xml:space="preserve"> está disponible </w:t>
      </w:r>
      <w:r w:rsidRPr="00A94F5F">
        <w:rPr>
          <w:rFonts w:ascii="Arial" w:eastAsia="Times New Roman" w:hAnsi="Arial" w:cs="Arial"/>
          <w:sz w:val="21"/>
        </w:rPr>
        <w:br/>
        <w:t xml:space="preserve">en la web del Grupo: </w:t>
      </w:r>
      <w:hyperlink r:id="rId8" w:history="1">
        <w:r w:rsidRPr="00A94F5F">
          <w:rPr>
            <w:rFonts w:ascii="Arial" w:eastAsia="Times New Roman" w:hAnsi="Arial" w:cs="Arial"/>
            <w:color w:val="0000FF"/>
            <w:sz w:val="21"/>
            <w:u w:val="single"/>
          </w:rPr>
          <w:t>www.michelin.com/corporate</w:t>
        </w:r>
      </w:hyperlink>
    </w:p>
    <w:p w14:paraId="5014CAFD" w14:textId="77777777" w:rsidR="00BF4FFF" w:rsidRPr="00A94F5F" w:rsidRDefault="00BF4FFF" w:rsidP="00BF4FFF">
      <w:pPr>
        <w:tabs>
          <w:tab w:val="left" w:pos="360"/>
        </w:tabs>
        <w:jc w:val="both"/>
        <w:rPr>
          <w:rFonts w:ascii="Utopia" w:eastAsia="Times New Roman" w:hAnsi="Utopia"/>
          <w:i/>
          <w:iCs/>
        </w:rPr>
      </w:pPr>
    </w:p>
    <w:p w14:paraId="48BC23E0" w14:textId="6325A1C8" w:rsidR="008B152B" w:rsidRPr="00A94F5F" w:rsidRDefault="00986CF5" w:rsidP="008B152B">
      <w:pPr>
        <w:pStyle w:val="LadilloMichelinDossier"/>
        <w:spacing w:after="240"/>
        <w:jc w:val="both"/>
        <w:rPr>
          <w:rFonts w:ascii="Arial" w:hAnsi="Arial"/>
          <w:b w:val="0"/>
          <w:bCs/>
          <w:sz w:val="21"/>
          <w:lang w:val="es-ES_tradnl" w:bidi="es-ES_tradnl"/>
        </w:rPr>
      </w:pPr>
      <w:r w:rsidRPr="00A94F5F">
        <w:rPr>
          <w:rFonts w:ascii="Arial" w:eastAsia="Times New Roman" w:hAnsi="Arial" w:cs="Arial"/>
          <w:bCs/>
          <w:smallCaps/>
          <w:sz w:val="24"/>
          <w:lang w:val="es-ES_tradnl"/>
        </w:rPr>
        <w:t>Presentación</w:t>
      </w:r>
      <w:r w:rsidR="00BF4FFF" w:rsidRPr="00A94F5F">
        <w:rPr>
          <w:rFonts w:ascii="Arial" w:eastAsia="Times New Roman" w:hAnsi="Arial" w:cs="Arial"/>
          <w:b w:val="0"/>
          <w:bCs/>
          <w:smallCaps/>
          <w:lang w:val="es-ES_tradnl"/>
        </w:rPr>
        <w:br/>
      </w:r>
      <w:r w:rsidR="00135B6F" w:rsidRPr="00A94F5F">
        <w:rPr>
          <w:rFonts w:ascii="Arial" w:hAnsi="Arial"/>
          <w:b w:val="0"/>
          <w:bCs/>
          <w:sz w:val="21"/>
          <w:lang w:val="es-ES_tradnl" w:bidi="es-ES_tradnl"/>
        </w:rPr>
        <w:t xml:space="preserve">La presentación de los resultados </w:t>
      </w:r>
      <w:r w:rsidR="00917FBC" w:rsidRPr="00A94F5F">
        <w:rPr>
          <w:rFonts w:ascii="Arial" w:hAnsi="Arial"/>
          <w:b w:val="0"/>
          <w:bCs/>
          <w:sz w:val="21"/>
          <w:lang w:val="es-ES_tradnl" w:bidi="es-ES_tradnl"/>
        </w:rPr>
        <w:t xml:space="preserve">financieros a 30 de septiembre de </w:t>
      </w:r>
      <w:r w:rsidR="00135B6F" w:rsidRPr="00A94F5F">
        <w:rPr>
          <w:rFonts w:ascii="Arial" w:hAnsi="Arial"/>
          <w:b w:val="0"/>
          <w:bCs/>
          <w:sz w:val="21"/>
          <w:lang w:val="es-ES_tradnl" w:bidi="es-ES_tradnl"/>
        </w:rPr>
        <w:t>201</w:t>
      </w:r>
      <w:r w:rsidR="00E57A03" w:rsidRPr="00A94F5F">
        <w:rPr>
          <w:rFonts w:ascii="Arial" w:hAnsi="Arial"/>
          <w:b w:val="0"/>
          <w:bCs/>
          <w:sz w:val="21"/>
          <w:lang w:val="es-ES_tradnl" w:bidi="es-ES_tradnl"/>
        </w:rPr>
        <w:t>4</w:t>
      </w:r>
      <w:r w:rsidR="00135B6F" w:rsidRPr="00A94F5F">
        <w:rPr>
          <w:rFonts w:ascii="Arial" w:hAnsi="Arial"/>
          <w:b w:val="0"/>
          <w:bCs/>
          <w:sz w:val="21"/>
          <w:lang w:val="es-ES_tradnl" w:bidi="es-ES_tradnl"/>
        </w:rPr>
        <w:t xml:space="preserve"> puede consultarse en la página web </w:t>
      </w:r>
      <w:hyperlink r:id="rId9" w:history="1">
        <w:r w:rsidR="00135B6F" w:rsidRPr="00A94F5F">
          <w:rPr>
            <w:rStyle w:val="Hipervnculo"/>
            <w:rFonts w:ascii="Arial" w:hAnsi="Arial"/>
            <w:b w:val="0"/>
            <w:bCs/>
            <w:sz w:val="21"/>
            <w:lang w:val="es-ES_tradnl" w:bidi="es-ES_tradnl"/>
          </w:rPr>
          <w:t>www.michelin.com/corporate</w:t>
        </w:r>
      </w:hyperlink>
      <w:r w:rsidR="00C74752" w:rsidRPr="00A94F5F">
        <w:rPr>
          <w:rFonts w:ascii="Arial" w:hAnsi="Arial"/>
          <w:b w:val="0"/>
          <w:bCs/>
          <w:sz w:val="21"/>
          <w:lang w:val="es-ES_tradnl" w:bidi="es-ES_tradnl"/>
        </w:rPr>
        <w:t>.</w:t>
      </w:r>
    </w:p>
    <w:p w14:paraId="74B92BA7" w14:textId="77777777" w:rsidR="008B152B" w:rsidRPr="00A94F5F" w:rsidRDefault="008B152B" w:rsidP="00BF4FFF">
      <w:pPr>
        <w:tabs>
          <w:tab w:val="left" w:pos="360"/>
        </w:tabs>
        <w:jc w:val="both"/>
        <w:rPr>
          <w:rFonts w:ascii="Arial" w:eastAsia="Times New Roman" w:hAnsi="Arial" w:cs="Arial"/>
          <w:b/>
          <w:bCs/>
          <w:smallCaps/>
        </w:rPr>
      </w:pPr>
    </w:p>
    <w:p w14:paraId="7ECC995B" w14:textId="77777777" w:rsidR="008B152B" w:rsidRPr="00A94F5F" w:rsidRDefault="008B152B" w:rsidP="00BF4FFF">
      <w:pPr>
        <w:tabs>
          <w:tab w:val="left" w:pos="360"/>
        </w:tabs>
        <w:jc w:val="both"/>
        <w:rPr>
          <w:rFonts w:ascii="Arial" w:eastAsia="Times New Roman" w:hAnsi="Arial" w:cs="Arial"/>
          <w:b/>
          <w:bCs/>
          <w:smallCaps/>
        </w:rPr>
      </w:pPr>
    </w:p>
    <w:p w14:paraId="0A242349" w14:textId="77777777" w:rsidR="00BF4FFF" w:rsidRPr="00A94F5F" w:rsidRDefault="00BF4FFF" w:rsidP="00C74752">
      <w:pPr>
        <w:tabs>
          <w:tab w:val="left" w:pos="360"/>
        </w:tabs>
        <w:jc w:val="both"/>
        <w:rPr>
          <w:rFonts w:ascii="Arial" w:eastAsia="Times New Roman" w:hAnsi="Arial" w:cs="Arial"/>
          <w:sz w:val="21"/>
          <w:szCs w:val="21"/>
        </w:rPr>
      </w:pPr>
      <w:r w:rsidRPr="00A94F5F">
        <w:rPr>
          <w:rFonts w:ascii="Arial" w:eastAsia="Times New Roman" w:hAnsi="Arial" w:cs="Arial"/>
          <w:b/>
          <w:bCs/>
          <w:smallCaps/>
        </w:rPr>
        <w:t>Calendario</w:t>
      </w:r>
      <w:r w:rsidRPr="00A94F5F">
        <w:rPr>
          <w:rFonts w:ascii="Arial" w:eastAsia="Times New Roman" w:hAnsi="Arial" w:cs="Arial"/>
          <w:b/>
          <w:bCs/>
          <w:smallCaps/>
        </w:rPr>
        <w:br/>
      </w:r>
    </w:p>
    <w:p w14:paraId="276A584D" w14:textId="3296CB26" w:rsidR="00BF4FFF" w:rsidRPr="00A94F5F" w:rsidRDefault="00BF4FFF" w:rsidP="00BF4FFF">
      <w:pPr>
        <w:numPr>
          <w:ilvl w:val="0"/>
          <w:numId w:val="23"/>
        </w:numPr>
        <w:tabs>
          <w:tab w:val="left" w:pos="360"/>
        </w:tabs>
        <w:jc w:val="both"/>
        <w:rPr>
          <w:rFonts w:ascii="Arial" w:eastAsia="Times New Roman" w:hAnsi="Arial" w:cs="Arial"/>
          <w:b/>
          <w:sz w:val="21"/>
          <w:szCs w:val="21"/>
        </w:rPr>
      </w:pPr>
      <w:r w:rsidRPr="00A94F5F">
        <w:rPr>
          <w:rFonts w:ascii="Arial" w:eastAsia="Times New Roman" w:hAnsi="Arial" w:cs="Arial"/>
          <w:b/>
          <w:sz w:val="21"/>
          <w:szCs w:val="21"/>
        </w:rPr>
        <w:t>Ventas netas y resultados 201</w:t>
      </w:r>
      <w:r w:rsidR="00E57A03" w:rsidRPr="00A94F5F">
        <w:rPr>
          <w:rFonts w:ascii="Arial" w:eastAsia="Times New Roman" w:hAnsi="Arial" w:cs="Arial"/>
          <w:b/>
          <w:sz w:val="21"/>
          <w:szCs w:val="21"/>
        </w:rPr>
        <w:t>4</w:t>
      </w:r>
      <w:r w:rsidRPr="00A94F5F">
        <w:rPr>
          <w:rFonts w:ascii="Arial" w:eastAsia="Times New Roman" w:hAnsi="Arial" w:cs="Arial"/>
          <w:b/>
          <w:sz w:val="21"/>
          <w:szCs w:val="21"/>
        </w:rPr>
        <w:t>:</w:t>
      </w:r>
    </w:p>
    <w:p w14:paraId="35CA3EF7" w14:textId="6712D526" w:rsidR="00BF4FFF" w:rsidRPr="00A94F5F" w:rsidRDefault="00BF4FFF" w:rsidP="00BF4FFF">
      <w:pPr>
        <w:tabs>
          <w:tab w:val="left" w:pos="360"/>
        </w:tabs>
        <w:jc w:val="center"/>
        <w:rPr>
          <w:rFonts w:ascii="Arial" w:eastAsia="Times New Roman" w:hAnsi="Arial" w:cs="Arial"/>
          <w:sz w:val="21"/>
          <w:szCs w:val="21"/>
        </w:rPr>
      </w:pPr>
      <w:r w:rsidRPr="00A94F5F">
        <w:rPr>
          <w:rFonts w:ascii="Arial" w:eastAsia="Times New Roman" w:hAnsi="Arial" w:cs="Arial"/>
          <w:sz w:val="21"/>
          <w:szCs w:val="21"/>
        </w:rPr>
        <w:t>Martes 1</w:t>
      </w:r>
      <w:r w:rsidR="00D26DEA" w:rsidRPr="00A94F5F">
        <w:rPr>
          <w:rFonts w:ascii="Arial" w:eastAsia="Times New Roman" w:hAnsi="Arial" w:cs="Arial"/>
          <w:sz w:val="21"/>
          <w:szCs w:val="21"/>
        </w:rPr>
        <w:t>0</w:t>
      </w:r>
      <w:r w:rsidRPr="00A94F5F">
        <w:rPr>
          <w:rFonts w:ascii="Arial" w:eastAsia="Times New Roman" w:hAnsi="Arial" w:cs="Arial"/>
          <w:sz w:val="21"/>
          <w:szCs w:val="21"/>
        </w:rPr>
        <w:t xml:space="preserve"> febrero de 201</w:t>
      </w:r>
      <w:r w:rsidR="00E57A03" w:rsidRPr="00A94F5F">
        <w:rPr>
          <w:rFonts w:ascii="Arial" w:eastAsia="Times New Roman" w:hAnsi="Arial" w:cs="Arial"/>
          <w:sz w:val="21"/>
          <w:szCs w:val="21"/>
        </w:rPr>
        <w:t>5</w:t>
      </w:r>
      <w:r w:rsidRPr="00A94F5F">
        <w:rPr>
          <w:rFonts w:ascii="Arial" w:eastAsia="Times New Roman" w:hAnsi="Arial" w:cs="Arial"/>
          <w:sz w:val="21"/>
          <w:szCs w:val="21"/>
        </w:rPr>
        <w:t xml:space="preserve"> antes de la apertura de la bolsa</w:t>
      </w:r>
    </w:p>
    <w:p w14:paraId="2ADE5E07" w14:textId="77777777" w:rsidR="00BF4FFF" w:rsidRPr="00A94F5F" w:rsidRDefault="00BF4FFF" w:rsidP="00BF4FFF">
      <w:pPr>
        <w:tabs>
          <w:tab w:val="left" w:pos="360"/>
        </w:tabs>
        <w:jc w:val="center"/>
        <w:rPr>
          <w:rFonts w:ascii="Arial" w:eastAsia="Times New Roman" w:hAnsi="Arial" w:cs="Arial"/>
          <w:sz w:val="21"/>
          <w:szCs w:val="21"/>
        </w:rPr>
      </w:pPr>
    </w:p>
    <w:p w14:paraId="2FC9F348" w14:textId="77777777" w:rsidR="00BF4FFF" w:rsidRPr="00A94F5F" w:rsidRDefault="00BF4FFF" w:rsidP="00BF4FFF">
      <w:pPr>
        <w:tabs>
          <w:tab w:val="left" w:pos="360"/>
        </w:tabs>
        <w:jc w:val="both"/>
        <w:rPr>
          <w:rFonts w:ascii="Arial" w:eastAsia="Times New Roman" w:hAnsi="Arial" w:cs="Arial"/>
          <w:b/>
          <w:bCs/>
          <w:smallCaps/>
        </w:rPr>
      </w:pPr>
    </w:p>
    <w:p w14:paraId="7186E898" w14:textId="30C304E5" w:rsidR="00BF4FFF" w:rsidRPr="00A94F5F" w:rsidRDefault="00BF4FFF" w:rsidP="00BF4FFF">
      <w:pPr>
        <w:numPr>
          <w:ilvl w:val="0"/>
          <w:numId w:val="23"/>
        </w:numPr>
        <w:tabs>
          <w:tab w:val="left" w:pos="360"/>
        </w:tabs>
        <w:jc w:val="both"/>
        <w:rPr>
          <w:rFonts w:ascii="Arial" w:eastAsia="Times New Roman" w:hAnsi="Arial" w:cs="Arial"/>
          <w:b/>
          <w:sz w:val="21"/>
          <w:szCs w:val="21"/>
        </w:rPr>
      </w:pPr>
      <w:r w:rsidRPr="00A94F5F">
        <w:rPr>
          <w:rFonts w:ascii="Arial" w:eastAsia="Times New Roman" w:hAnsi="Arial" w:cs="Arial"/>
          <w:b/>
          <w:sz w:val="21"/>
          <w:szCs w:val="21"/>
        </w:rPr>
        <w:t>Información trimestral a 31 de marzo 201</w:t>
      </w:r>
      <w:r w:rsidR="00E57A03" w:rsidRPr="00A94F5F">
        <w:rPr>
          <w:rFonts w:ascii="Arial" w:eastAsia="Times New Roman" w:hAnsi="Arial" w:cs="Arial"/>
          <w:b/>
          <w:sz w:val="21"/>
          <w:szCs w:val="21"/>
        </w:rPr>
        <w:t>5</w:t>
      </w:r>
      <w:r w:rsidRPr="00A94F5F">
        <w:rPr>
          <w:rFonts w:ascii="Arial" w:eastAsia="Times New Roman" w:hAnsi="Arial" w:cs="Arial"/>
          <w:b/>
          <w:sz w:val="21"/>
          <w:szCs w:val="21"/>
        </w:rPr>
        <w:t>:</w:t>
      </w:r>
    </w:p>
    <w:p w14:paraId="5F960E72" w14:textId="72F87751" w:rsidR="00BF4FFF" w:rsidRPr="00A94F5F" w:rsidRDefault="0013210B" w:rsidP="00BF4FFF">
      <w:pPr>
        <w:tabs>
          <w:tab w:val="left" w:pos="360"/>
        </w:tabs>
        <w:jc w:val="center"/>
        <w:rPr>
          <w:rFonts w:ascii="Arial" w:eastAsia="Times New Roman" w:hAnsi="Arial" w:cs="Arial"/>
          <w:sz w:val="21"/>
          <w:szCs w:val="21"/>
        </w:rPr>
      </w:pPr>
      <w:r w:rsidRPr="00A94F5F">
        <w:rPr>
          <w:rFonts w:ascii="Arial" w:eastAsia="Times New Roman" w:hAnsi="Arial" w:cs="Arial"/>
          <w:sz w:val="21"/>
          <w:szCs w:val="21"/>
        </w:rPr>
        <w:t>Miércoles</w:t>
      </w:r>
      <w:r w:rsidR="00BF4FFF" w:rsidRPr="00A94F5F">
        <w:rPr>
          <w:rFonts w:ascii="Arial" w:eastAsia="Times New Roman" w:hAnsi="Arial" w:cs="Arial"/>
          <w:sz w:val="21"/>
          <w:szCs w:val="21"/>
        </w:rPr>
        <w:t xml:space="preserve"> 2</w:t>
      </w:r>
      <w:r w:rsidR="00D26DEA" w:rsidRPr="00A94F5F">
        <w:rPr>
          <w:rFonts w:ascii="Arial" w:eastAsia="Times New Roman" w:hAnsi="Arial" w:cs="Arial"/>
          <w:sz w:val="21"/>
          <w:szCs w:val="21"/>
        </w:rPr>
        <w:t>2</w:t>
      </w:r>
      <w:r w:rsidR="00BF4FFF" w:rsidRPr="00A94F5F">
        <w:rPr>
          <w:rFonts w:ascii="Arial" w:eastAsia="Times New Roman" w:hAnsi="Arial" w:cs="Arial"/>
          <w:sz w:val="21"/>
          <w:szCs w:val="21"/>
        </w:rPr>
        <w:t xml:space="preserve"> de abril de 201</w:t>
      </w:r>
      <w:r w:rsidR="00E57A03" w:rsidRPr="00A94F5F">
        <w:rPr>
          <w:rFonts w:ascii="Arial" w:eastAsia="Times New Roman" w:hAnsi="Arial" w:cs="Arial"/>
          <w:sz w:val="21"/>
          <w:szCs w:val="21"/>
        </w:rPr>
        <w:t>5</w:t>
      </w:r>
      <w:r w:rsidR="00BF4FFF" w:rsidRPr="00A94F5F">
        <w:rPr>
          <w:rFonts w:ascii="Arial" w:eastAsia="Times New Roman" w:hAnsi="Arial" w:cs="Arial"/>
          <w:sz w:val="21"/>
          <w:szCs w:val="21"/>
        </w:rPr>
        <w:t xml:space="preserve"> después del cierre de la bolsa</w:t>
      </w:r>
    </w:p>
    <w:p w14:paraId="1AB515BD" w14:textId="77777777" w:rsidR="00BF4FFF" w:rsidRPr="00A94F5F" w:rsidRDefault="00BF4FFF" w:rsidP="00BF4FFF">
      <w:pPr>
        <w:tabs>
          <w:tab w:val="left" w:pos="360"/>
        </w:tabs>
        <w:jc w:val="both"/>
        <w:rPr>
          <w:rFonts w:ascii="Arial" w:eastAsia="Times New Roman" w:hAnsi="Arial" w:cs="Arial"/>
          <w:sz w:val="21"/>
          <w:szCs w:val="21"/>
        </w:rPr>
      </w:pPr>
    </w:p>
    <w:p w14:paraId="300FC3D6" w14:textId="77777777" w:rsidR="00BF4FFF" w:rsidRPr="00A94F5F" w:rsidRDefault="00BF4FFF" w:rsidP="00BF4FFF">
      <w:pPr>
        <w:keepNext/>
        <w:tabs>
          <w:tab w:val="left" w:pos="360"/>
        </w:tabs>
        <w:rPr>
          <w:rFonts w:ascii="Verdana" w:eastAsia="Times New Roman" w:hAnsi="Verdana" w:cs="Arial"/>
          <w:b/>
          <w:sz w:val="16"/>
          <w:szCs w:val="16"/>
        </w:rPr>
      </w:pPr>
    </w:p>
    <w:p w14:paraId="67D8A9DA" w14:textId="77777777" w:rsidR="00BF4FFF" w:rsidRPr="00A94F5F" w:rsidRDefault="00BF4FFF" w:rsidP="00BF4FFF">
      <w:pPr>
        <w:keepNext/>
        <w:tabs>
          <w:tab w:val="left" w:pos="360"/>
        </w:tabs>
        <w:jc w:val="center"/>
        <w:rPr>
          <w:rFonts w:ascii="Arial" w:hAnsi="Arial" w:cs="Arial"/>
          <w:b/>
          <w:sz w:val="21"/>
        </w:rPr>
      </w:pPr>
      <w:r w:rsidRPr="00A94F5F">
        <w:rPr>
          <w:rFonts w:ascii="Arial" w:hAnsi="Arial" w:cs="Arial"/>
          <w:b/>
          <w:sz w:val="21"/>
        </w:rPr>
        <w:t>ADVERTENCIA</w:t>
      </w:r>
    </w:p>
    <w:p w14:paraId="7DF90A7A" w14:textId="77777777" w:rsidR="00BF4FFF" w:rsidRPr="00A94F5F" w:rsidRDefault="00BF4FFF" w:rsidP="00BF4FFF">
      <w:pPr>
        <w:keepNext/>
        <w:tabs>
          <w:tab w:val="left" w:pos="360"/>
        </w:tabs>
        <w:jc w:val="both"/>
        <w:rPr>
          <w:rFonts w:ascii="Verdana" w:hAnsi="Verdana"/>
          <w:sz w:val="16"/>
        </w:rPr>
      </w:pPr>
    </w:p>
    <w:p w14:paraId="5613D4F1" w14:textId="77777777" w:rsidR="00BF4FFF" w:rsidRPr="00A94F5F" w:rsidRDefault="00BF4FFF" w:rsidP="00BF4FFF">
      <w:pPr>
        <w:keepNext/>
        <w:tabs>
          <w:tab w:val="left" w:pos="360"/>
        </w:tabs>
        <w:jc w:val="both"/>
        <w:rPr>
          <w:rFonts w:ascii="Verdana" w:eastAsia="Times New Roman" w:hAnsi="Verdana"/>
        </w:rPr>
      </w:pPr>
      <w:r w:rsidRPr="00A94F5F">
        <w:rPr>
          <w:rFonts w:ascii="Arial" w:hAnsi="Arial" w:cs="Arial"/>
          <w:b/>
          <w:i/>
          <w:iCs/>
          <w:sz w:val="21"/>
        </w:rPr>
        <w:t xml:space="preserve">Este comunicado de prensa no constituye una oferta de venta o la solicitud de oferta de compra de acciones Michelin. Si desea obtener información más detallada acerca de Michelin, por favor consulte los documentos públicos depositados en l’Autorité des marchés financiers, en Francia. Igualmente puede consultarlos en nuestra página web: </w:t>
      </w:r>
      <w:hyperlink r:id="rId10" w:history="1">
        <w:r w:rsidRPr="00A94F5F">
          <w:rPr>
            <w:rFonts w:ascii="Arial" w:hAnsi="Arial" w:cs="Arial"/>
            <w:b/>
            <w:i/>
            <w:iCs/>
            <w:color w:val="0000FF"/>
            <w:sz w:val="21"/>
            <w:u w:val="single"/>
          </w:rPr>
          <w:t>www.michelin.com</w:t>
        </w:r>
      </w:hyperlink>
      <w:r w:rsidRPr="00A94F5F">
        <w:rPr>
          <w:rFonts w:ascii="Arial" w:hAnsi="Arial" w:cs="Arial"/>
          <w:b/>
          <w:i/>
          <w:iCs/>
          <w:sz w:val="21"/>
        </w:rPr>
        <w:t>. Este comunicado puede contener algunas declaraciones de carácter previsional. Si bien la compañía estima que sus declaraciones están basadas en hipótesis razonables a fecha de publicación del documento, éstas están inherentemente sujetas a riesgos e incertidumbres que pueden hacer que haya alguna diferencia entre los resultados reales y aquellos indicados o inducidos en estas declaraciones.</w:t>
      </w:r>
    </w:p>
    <w:p w14:paraId="51DD0DAC" w14:textId="77777777" w:rsidR="00541F4C" w:rsidRPr="00A94F5F" w:rsidRDefault="00541F4C" w:rsidP="00FC4CD7">
      <w:pPr>
        <w:pStyle w:val="TextoMichelin"/>
        <w:rPr>
          <w:bCs/>
          <w:lang w:val="es-ES_tradnl" w:bidi="es-ES_tradnl"/>
        </w:rPr>
      </w:pPr>
    </w:p>
    <w:p w14:paraId="28625D72" w14:textId="77777777" w:rsidR="005171A9" w:rsidRPr="00A94F5F" w:rsidRDefault="005171A9" w:rsidP="00FC4CD7">
      <w:pPr>
        <w:pStyle w:val="titulocapitulodossier"/>
        <w:rPr>
          <w:rFonts w:ascii="Arial" w:hAnsi="Arial"/>
          <w:bCs/>
          <w:color w:val="808080"/>
          <w:sz w:val="18"/>
          <w:szCs w:val="18"/>
          <w:lang w:val="es-ES_tradnl"/>
        </w:rPr>
      </w:pPr>
    </w:p>
    <w:p w14:paraId="60A7AFB6" w14:textId="77777777" w:rsidR="005171A9" w:rsidRPr="00A94F5F" w:rsidRDefault="005171A9" w:rsidP="00FC4CD7">
      <w:pPr>
        <w:pStyle w:val="titulocapitulodossier"/>
        <w:rPr>
          <w:rFonts w:ascii="Arial" w:hAnsi="Arial"/>
          <w:bCs/>
          <w:color w:val="808080"/>
          <w:sz w:val="18"/>
          <w:szCs w:val="18"/>
          <w:lang w:val="es-ES_tradnl"/>
        </w:rPr>
      </w:pPr>
    </w:p>
    <w:p w14:paraId="1C0CB608" w14:textId="77777777" w:rsidR="005171A9" w:rsidRPr="00A94F5F" w:rsidRDefault="005171A9" w:rsidP="00FC4CD7">
      <w:pPr>
        <w:pStyle w:val="titulocapitulodossier"/>
        <w:rPr>
          <w:rFonts w:ascii="Arial" w:hAnsi="Arial"/>
          <w:bCs/>
          <w:color w:val="808080"/>
          <w:sz w:val="18"/>
          <w:szCs w:val="18"/>
          <w:lang w:val="es-ES_tradnl"/>
        </w:rPr>
      </w:pPr>
    </w:p>
    <w:p w14:paraId="2EB00D60" w14:textId="77777777" w:rsidR="001466B0" w:rsidRPr="00A94F5F" w:rsidRDefault="001466B0" w:rsidP="00FC4CD7">
      <w:pPr>
        <w:pStyle w:val="titulocapitulodossier"/>
        <w:rPr>
          <w:rFonts w:ascii="Arial" w:hAnsi="Arial"/>
          <w:bCs/>
          <w:color w:val="808080"/>
          <w:sz w:val="18"/>
          <w:szCs w:val="18"/>
          <w:lang w:val="es-ES_tradnl"/>
        </w:rPr>
      </w:pPr>
    </w:p>
    <w:p w14:paraId="32FDE5C1" w14:textId="77777777" w:rsidR="001E5C06" w:rsidRPr="00A94F5F" w:rsidRDefault="00951E7D" w:rsidP="001E5C06">
      <w:pPr>
        <w:jc w:val="both"/>
        <w:rPr>
          <w:i/>
        </w:rPr>
      </w:pPr>
      <w:r w:rsidRPr="00A94F5F">
        <w:rPr>
          <w:i/>
        </w:rPr>
        <w:t xml:space="preserve">La misión de </w:t>
      </w:r>
      <w:r w:rsidRPr="00A94F5F">
        <w:rPr>
          <w:b/>
          <w:i/>
        </w:rPr>
        <w:t>Michelin,</w:t>
      </w:r>
      <w:r w:rsidRPr="00A94F5F">
        <w:rPr>
          <w:i/>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111.200 personas en todo el mundo y dispone de 67 centros de producción implantados en 17 países diferentes. El Grupo posee un Centro de Tecnología encargado de la investigación y desarrollo con implantación en Europa, América del Norte y Asia. (www.michelin.es).</w:t>
      </w:r>
    </w:p>
    <w:p w14:paraId="5163FAB3" w14:textId="77777777" w:rsidR="001E5C06" w:rsidRPr="00A94F5F" w:rsidRDefault="001E5C06" w:rsidP="001E5C06">
      <w:pPr>
        <w:jc w:val="both"/>
        <w:rPr>
          <w:i/>
        </w:rPr>
      </w:pPr>
    </w:p>
    <w:p w14:paraId="039579DA" w14:textId="77777777" w:rsidR="001E5C06" w:rsidRPr="00A94F5F" w:rsidRDefault="001E5C06" w:rsidP="001E5C06">
      <w:pPr>
        <w:jc w:val="both"/>
        <w:rPr>
          <w:i/>
        </w:rPr>
      </w:pPr>
    </w:p>
    <w:p w14:paraId="187044FD" w14:textId="77777777" w:rsidR="001E5C06" w:rsidRPr="00A94F5F" w:rsidRDefault="001E5C06" w:rsidP="001E5C06">
      <w:pPr>
        <w:jc w:val="both"/>
        <w:rPr>
          <w:i/>
        </w:rPr>
      </w:pPr>
    </w:p>
    <w:p w14:paraId="26135882" w14:textId="77777777" w:rsidR="001E5C06" w:rsidRPr="00A94F5F" w:rsidRDefault="001E5C06" w:rsidP="001E5C06">
      <w:pPr>
        <w:pStyle w:val="Piedepgina"/>
        <w:outlineLvl w:val="0"/>
        <w:rPr>
          <w:rFonts w:ascii="Arial" w:hAnsi="Arial"/>
          <w:b/>
          <w:bCs/>
          <w:color w:val="808080"/>
          <w:sz w:val="18"/>
          <w:szCs w:val="18"/>
        </w:rPr>
      </w:pPr>
    </w:p>
    <w:p w14:paraId="4F37285A" w14:textId="77777777" w:rsidR="001E5C06" w:rsidRPr="00A94F5F" w:rsidRDefault="001E5C06" w:rsidP="001E5C06">
      <w:pPr>
        <w:pStyle w:val="Piedepgina"/>
        <w:outlineLvl w:val="0"/>
        <w:rPr>
          <w:rFonts w:ascii="Arial" w:hAnsi="Arial"/>
          <w:b/>
          <w:bCs/>
          <w:color w:val="808080"/>
          <w:sz w:val="18"/>
          <w:szCs w:val="18"/>
        </w:rPr>
      </w:pPr>
    </w:p>
    <w:p w14:paraId="1213D638" w14:textId="77777777" w:rsidR="001E5C06" w:rsidRPr="00A94F5F" w:rsidRDefault="001E5C06" w:rsidP="001E5C06">
      <w:pPr>
        <w:pStyle w:val="Piedepgina"/>
        <w:outlineLvl w:val="0"/>
        <w:rPr>
          <w:rFonts w:ascii="Arial" w:hAnsi="Arial"/>
          <w:b/>
          <w:bCs/>
          <w:color w:val="808080"/>
          <w:sz w:val="18"/>
          <w:szCs w:val="18"/>
        </w:rPr>
      </w:pPr>
    </w:p>
    <w:p w14:paraId="1E0DEDCD" w14:textId="77777777" w:rsidR="001E5C06" w:rsidRPr="00A94F5F" w:rsidRDefault="001E5C06" w:rsidP="001E5C06">
      <w:pPr>
        <w:pStyle w:val="Piedepgina"/>
        <w:outlineLvl w:val="0"/>
        <w:rPr>
          <w:rFonts w:ascii="Arial" w:hAnsi="Arial"/>
          <w:b/>
          <w:bCs/>
          <w:color w:val="808080"/>
          <w:sz w:val="18"/>
          <w:szCs w:val="18"/>
        </w:rPr>
      </w:pPr>
      <w:r w:rsidRPr="00A94F5F">
        <w:rPr>
          <w:rFonts w:ascii="Arial" w:hAnsi="Arial"/>
          <w:b/>
          <w:bCs/>
          <w:color w:val="808080"/>
          <w:sz w:val="18"/>
          <w:szCs w:val="18"/>
        </w:rPr>
        <w:t>DEPARTAMENTO DE COMUNICACIÓN</w:t>
      </w:r>
    </w:p>
    <w:p w14:paraId="17688194" w14:textId="77777777" w:rsidR="001E5C06" w:rsidRPr="00A94F5F" w:rsidRDefault="001E5C06" w:rsidP="001E5C06">
      <w:pPr>
        <w:pStyle w:val="Piedepgina"/>
        <w:outlineLvl w:val="0"/>
        <w:rPr>
          <w:rFonts w:ascii="Arial" w:hAnsi="Arial"/>
          <w:bCs/>
          <w:color w:val="808080"/>
          <w:sz w:val="18"/>
          <w:szCs w:val="18"/>
        </w:rPr>
      </w:pPr>
      <w:r w:rsidRPr="00A94F5F">
        <w:rPr>
          <w:rFonts w:ascii="Arial" w:hAnsi="Arial"/>
          <w:bCs/>
          <w:color w:val="808080"/>
          <w:sz w:val="18"/>
          <w:szCs w:val="18"/>
        </w:rPr>
        <w:t>Avda. de Los Encuartes, 19</w:t>
      </w:r>
    </w:p>
    <w:p w14:paraId="1F3FD5C5" w14:textId="77777777" w:rsidR="001E5C06" w:rsidRPr="00A94F5F" w:rsidRDefault="001E5C06" w:rsidP="001E5C06">
      <w:pPr>
        <w:pStyle w:val="Piedepgina"/>
        <w:outlineLvl w:val="0"/>
        <w:rPr>
          <w:rFonts w:ascii="Arial" w:hAnsi="Arial"/>
          <w:bCs/>
          <w:color w:val="808080"/>
          <w:sz w:val="18"/>
          <w:szCs w:val="18"/>
        </w:rPr>
      </w:pPr>
      <w:r w:rsidRPr="00A94F5F">
        <w:rPr>
          <w:rFonts w:ascii="Arial" w:hAnsi="Arial"/>
          <w:bCs/>
          <w:color w:val="808080"/>
          <w:sz w:val="18"/>
          <w:szCs w:val="18"/>
        </w:rPr>
        <w:t>28760 Tres Cantos – Madrid – ESPAÑA</w:t>
      </w:r>
    </w:p>
    <w:p w14:paraId="6EF8B996" w14:textId="77777777" w:rsidR="001466B0" w:rsidRPr="00A94F5F" w:rsidRDefault="001E5C06" w:rsidP="0013303A">
      <w:pPr>
        <w:jc w:val="both"/>
        <w:rPr>
          <w:rFonts w:ascii="Arial" w:hAnsi="Arial"/>
          <w:bCs/>
          <w:color w:val="808080"/>
          <w:sz w:val="18"/>
          <w:szCs w:val="18"/>
        </w:rPr>
      </w:pPr>
      <w:r w:rsidRPr="00A94F5F">
        <w:rPr>
          <w:rFonts w:ascii="Arial" w:hAnsi="Arial"/>
          <w:bCs/>
          <w:color w:val="808080"/>
          <w:sz w:val="18"/>
          <w:szCs w:val="18"/>
        </w:rPr>
        <w:t>Tel: 0034 914 105 167 – Fax: 0034 914 105 293</w:t>
      </w:r>
    </w:p>
    <w:sectPr w:rsidR="001466B0" w:rsidRPr="00A94F5F" w:rsidSect="001466B0">
      <w:headerReference w:type="default" r:id="rId11"/>
      <w:footerReference w:type="even" r:id="rId12"/>
      <w:footerReference w:type="default" r:id="rId13"/>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8E778" w14:textId="77777777" w:rsidR="007A2B37" w:rsidRDefault="007A2B37" w:rsidP="001466B0">
      <w:r>
        <w:separator/>
      </w:r>
    </w:p>
  </w:endnote>
  <w:endnote w:type="continuationSeparator" w:id="0">
    <w:p w14:paraId="030232DA" w14:textId="77777777" w:rsidR="007A2B37" w:rsidRDefault="007A2B37"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altName w:val="Courier New"/>
    <w:panose1 w:val="00000000000000000000"/>
    <w:charset w:val="00"/>
    <w:family w:val="swiss"/>
    <w:notTrueType/>
    <w:pitch w:val="variable"/>
    <w:sig w:usb0="00000003" w:usb1="00000000" w:usb2="00000000" w:usb3="00000000" w:csb0="00000001" w:csb1="00000000"/>
  </w:font>
  <w:font w:name="Frutiger 45 Light">
    <w:altName w:val="Times New Roman"/>
    <w:charset w:val="00"/>
    <w:family w:val="auto"/>
    <w:pitch w:val="variable"/>
    <w:sig w:usb0="00000003" w:usb1="00000000" w:usb2="00000000" w:usb3="00000000" w:csb0="00000001" w:csb1="00000000"/>
  </w:font>
  <w:font w:name="Utopia">
    <w:altName w:val="Verdana"/>
    <w:panose1 w:val="00000000000000000000"/>
    <w:charset w:val="00"/>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Frutiger 95 UltraBlack">
    <w:altName w:val="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A00002BF" w:usb1="68C7FCFB" w:usb2="00000010" w:usb3="00000000" w:csb0="000200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E1892" w14:textId="77777777" w:rsidR="007A2B37" w:rsidRDefault="007A2B37"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604191E6" w14:textId="77777777" w:rsidR="007A2B37" w:rsidRDefault="007A2B37"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61B45" w14:textId="77777777" w:rsidR="007A2B37" w:rsidRDefault="007A2B37"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61224B">
      <w:rPr>
        <w:rStyle w:val="Nmerodepgina"/>
        <w:noProof/>
      </w:rPr>
      <w:t>1</w:t>
    </w:r>
    <w:r>
      <w:rPr>
        <w:rStyle w:val="Nmerodepgina"/>
      </w:rPr>
      <w:fldChar w:fldCharType="end"/>
    </w:r>
  </w:p>
  <w:p w14:paraId="6A10F5F0" w14:textId="77777777" w:rsidR="007A2B37" w:rsidRPr="00096802" w:rsidRDefault="007A2B37" w:rsidP="001A6210">
    <w:pPr>
      <w:pStyle w:val="Piedepgina"/>
      <w:ind w:left="1701" w:firstLine="360"/>
    </w:pPr>
    <w:r>
      <w:rPr>
        <w:noProof/>
        <w:szCs w:val="20"/>
        <w:lang w:val="es-ES"/>
      </w:rPr>
      <w:drawing>
        <wp:anchor distT="0" distB="0" distL="114300" distR="114300" simplePos="0" relativeHeight="251657728" behindDoc="1" locked="0" layoutInCell="1" allowOverlap="1" wp14:anchorId="4601D02A" wp14:editId="4E9BAF07">
          <wp:simplePos x="0" y="0"/>
          <wp:positionH relativeFrom="column">
            <wp:posOffset>-1080135</wp:posOffset>
          </wp:positionH>
          <wp:positionV relativeFrom="paragraph">
            <wp:posOffset>-448310</wp:posOffset>
          </wp:positionV>
          <wp:extent cx="7556500" cy="838200"/>
          <wp:effectExtent l="0" t="0" r="635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E1F7A" w14:textId="77777777" w:rsidR="007A2B37" w:rsidRDefault="007A2B37" w:rsidP="001466B0">
      <w:r>
        <w:separator/>
      </w:r>
    </w:p>
  </w:footnote>
  <w:footnote w:type="continuationSeparator" w:id="0">
    <w:p w14:paraId="05FB09F9" w14:textId="77777777" w:rsidR="007A2B37" w:rsidRDefault="007A2B37" w:rsidP="001466B0">
      <w:r>
        <w:continuationSeparator/>
      </w:r>
    </w:p>
  </w:footnote>
  <w:footnote w:id="1">
    <w:p w14:paraId="45967C3B" w14:textId="77777777" w:rsidR="007A2B37" w:rsidRDefault="007A2B37" w:rsidP="00BF4FFF">
      <w:pPr>
        <w:pStyle w:val="Textonotapie"/>
      </w:pPr>
      <w:r w:rsidRPr="00AB13DC">
        <w:rPr>
          <w:rStyle w:val="Refdenotaalpie"/>
          <w:sz w:val="32"/>
        </w:rPr>
        <w:sym w:font="Symbol" w:char="F02A"/>
      </w:r>
      <w:r w:rsidRPr="00AB13DC">
        <w:rPr>
          <w:sz w:val="32"/>
        </w:rPr>
        <w:t xml:space="preserve"> </w:t>
      </w:r>
      <w:r w:rsidRPr="00481429">
        <w:rPr>
          <w:sz w:val="16"/>
        </w:rPr>
        <w:t>Incluyendo Rusia y Turquía</w:t>
      </w:r>
      <w:r>
        <w:rPr>
          <w:sz w:val="16"/>
        </w:rPr>
        <w:t>.</w:t>
      </w:r>
    </w:p>
  </w:footnote>
  <w:footnote w:id="2">
    <w:p w14:paraId="6928ECAA" w14:textId="77777777" w:rsidR="007A2B37" w:rsidRDefault="007A2B37" w:rsidP="00BF4FFF">
      <w:pPr>
        <w:pStyle w:val="Textonotapie"/>
      </w:pPr>
      <w:r w:rsidRPr="00E559A3">
        <w:rPr>
          <w:sz w:val="30"/>
          <w:vertAlign w:val="superscript"/>
        </w:rPr>
        <w:sym w:font="Symbol" w:char="F02A"/>
      </w:r>
      <w:r w:rsidRPr="00E559A3">
        <w:rPr>
          <w:sz w:val="30"/>
        </w:rPr>
        <w:t xml:space="preserve"> </w:t>
      </w:r>
      <w:r>
        <w:rPr>
          <w:sz w:val="16"/>
        </w:rPr>
        <w:t>Mercado radial únicamente.</w:t>
      </w:r>
      <w:r>
        <w:rPr>
          <w:sz w:val="16"/>
        </w:rPr>
        <w:br/>
      </w:r>
      <w:r w:rsidRPr="00E559A3">
        <w:rPr>
          <w:sz w:val="30"/>
          <w:vertAlign w:val="superscript"/>
        </w:rPr>
        <w:sym w:font="Symbol" w:char="F02A"/>
      </w:r>
      <w:r w:rsidRPr="00E559A3">
        <w:rPr>
          <w:sz w:val="30"/>
          <w:vertAlign w:val="superscript"/>
        </w:rPr>
        <w:sym w:font="Symbol" w:char="F02A"/>
      </w:r>
      <w:r w:rsidRPr="00DF5AB1">
        <w:rPr>
          <w:sz w:val="20"/>
          <w:vertAlign w:val="superscript"/>
        </w:rPr>
        <w:t xml:space="preserve"> </w:t>
      </w:r>
      <w:r w:rsidRPr="00481429">
        <w:rPr>
          <w:sz w:val="16"/>
        </w:rPr>
        <w:t>Incluyendo Rusia y Turquía</w:t>
      </w:r>
      <w:r>
        <w:rPr>
          <w:sz w:val="16"/>
        </w:rPr>
        <w:t>.</w:t>
      </w:r>
    </w:p>
  </w:footnote>
  <w:footnote w:id="3">
    <w:p w14:paraId="620C1238" w14:textId="77777777" w:rsidR="007A2B37" w:rsidRDefault="007A2B37" w:rsidP="00BF4FFF">
      <w:pPr>
        <w:pStyle w:val="Textonotapie"/>
      </w:pPr>
    </w:p>
  </w:footnote>
  <w:footnote w:id="4">
    <w:p w14:paraId="0423CDBB" w14:textId="77777777" w:rsidR="007A2B37" w:rsidRDefault="007A2B37" w:rsidP="00BF4FFF">
      <w:pPr>
        <w:pStyle w:val="Textonotapie"/>
      </w:pPr>
    </w:p>
  </w:footnote>
  <w:footnote w:id="5">
    <w:p w14:paraId="6C983B2C" w14:textId="77777777" w:rsidR="007A2B37" w:rsidRDefault="007A2B37" w:rsidP="00BF4FFF">
      <w:pPr>
        <w:pStyle w:val="Textonotapie"/>
      </w:pPr>
    </w:p>
  </w:footnote>
  <w:footnote w:id="6">
    <w:p w14:paraId="272308B0" w14:textId="77777777" w:rsidR="007A2B37" w:rsidRDefault="007A2B37" w:rsidP="00BF4FFF">
      <w:pPr>
        <w:pStyle w:val="Textonotapie"/>
      </w:pPr>
    </w:p>
  </w:footnote>
  <w:footnote w:id="7">
    <w:p w14:paraId="06110B9A" w14:textId="77777777" w:rsidR="007A2B37" w:rsidRDefault="007A2B37" w:rsidP="00BF4FFF">
      <w:pPr>
        <w:pStyle w:val="Textonotapie"/>
      </w:pPr>
    </w:p>
  </w:footnote>
  <w:footnote w:id="8">
    <w:p w14:paraId="56F6C73F" w14:textId="77777777" w:rsidR="007A2B37" w:rsidRDefault="007A2B37" w:rsidP="00BF4FFF">
      <w:pPr>
        <w:pStyle w:val="Textonotapie"/>
      </w:pPr>
      <w:r w:rsidRPr="00571BF6">
        <w:rPr>
          <w:rStyle w:val="Refdenotaalpie"/>
          <w:sz w:val="30"/>
        </w:rPr>
        <w:sym w:font="Symbol" w:char="F02A"/>
      </w:r>
      <w:r w:rsidRPr="00571BF6">
        <w:rPr>
          <w:sz w:val="30"/>
        </w:rPr>
        <w:t xml:space="preserve"> </w:t>
      </w:r>
      <w:r w:rsidRPr="00571BF6">
        <w:rPr>
          <w:sz w:val="16"/>
        </w:rPr>
        <w:t>En toneladas.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48AEE" w14:textId="77777777" w:rsidR="007A2B37" w:rsidRDefault="007A2B37">
    <w:pPr>
      <w:pStyle w:val="Encabezado"/>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E0D80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12"/>
    <w:multiLevelType w:val="multilevel"/>
    <w:tmpl w:val="894EE884"/>
    <w:lvl w:ilvl="0">
      <w:start w:val="1"/>
      <w:numFmt w:val="bullet"/>
      <w:lvlText w:val="•"/>
      <w:lvlJc w:val="left"/>
      <w:pPr>
        <w:tabs>
          <w:tab w:val="num" w:pos="282"/>
        </w:tabs>
        <w:ind w:left="282" w:firstLine="426"/>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2">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BC5C6D"/>
    <w:multiLevelType w:val="hybridMultilevel"/>
    <w:tmpl w:val="80D03DF8"/>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nsid w:val="00C54104"/>
    <w:multiLevelType w:val="multilevel"/>
    <w:tmpl w:val="B9ACB336"/>
    <w:lvl w:ilvl="0">
      <w:start w:val="1"/>
      <w:numFmt w:val="bullet"/>
      <w:lvlText w:val=""/>
      <w:lvlJc w:val="left"/>
      <w:pPr>
        <w:tabs>
          <w:tab w:val="num" w:pos="360"/>
        </w:tabs>
        <w:ind w:left="360" w:hanging="360"/>
      </w:pPr>
      <w:rPr>
        <w:rFonts w:ascii="Wingdings" w:hAnsi="Wingdings" w:cs="Helvetica" w:hint="default"/>
      </w:rPr>
    </w:lvl>
    <w:lvl w:ilvl="1">
      <w:start w:val="1"/>
      <w:numFmt w:val="bullet"/>
      <w:lvlText w:val="o"/>
      <w:lvlJc w:val="left"/>
      <w:pPr>
        <w:tabs>
          <w:tab w:val="num" w:pos="1353"/>
        </w:tabs>
        <w:ind w:left="1353"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0E17814"/>
    <w:multiLevelType w:val="hybridMultilevel"/>
    <w:tmpl w:val="7C46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AD26DE"/>
    <w:multiLevelType w:val="hybridMultilevel"/>
    <w:tmpl w:val="8340B5BC"/>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7">
    <w:nsid w:val="07E515B0"/>
    <w:multiLevelType w:val="hybridMultilevel"/>
    <w:tmpl w:val="9B00B446"/>
    <w:lvl w:ilvl="0" w:tplc="04090005">
      <w:start w:val="1"/>
      <w:numFmt w:val="bullet"/>
      <w:lvlText w:val=""/>
      <w:lvlJc w:val="left"/>
      <w:pPr>
        <w:ind w:left="782" w:hanging="360"/>
      </w:pPr>
      <w:rPr>
        <w:rFonts w:ascii="Wingdings" w:hAnsi="Wingdings" w:hint="default"/>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8">
    <w:nsid w:val="08427172"/>
    <w:multiLevelType w:val="hybridMultilevel"/>
    <w:tmpl w:val="EDE4CA42"/>
    <w:lvl w:ilvl="0" w:tplc="000B040A">
      <w:start w:val="1"/>
      <w:numFmt w:val="bullet"/>
      <w:lvlText w:val=""/>
      <w:lvlJc w:val="left"/>
      <w:pPr>
        <w:tabs>
          <w:tab w:val="num" w:pos="720"/>
        </w:tabs>
        <w:ind w:left="720" w:hanging="360"/>
      </w:pPr>
      <w:rPr>
        <w:rFonts w:ascii="Wingdings" w:hAnsi="Wingding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9">
    <w:nsid w:val="0A685B57"/>
    <w:multiLevelType w:val="multilevel"/>
    <w:tmpl w:val="80D03DF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15AE7A75"/>
    <w:multiLevelType w:val="hybridMultilevel"/>
    <w:tmpl w:val="78F60AA4"/>
    <w:lvl w:ilvl="0" w:tplc="04090005">
      <w:start w:val="1"/>
      <w:numFmt w:val="bullet"/>
      <w:lvlText w:val=""/>
      <w:lvlJc w:val="left"/>
      <w:pPr>
        <w:ind w:left="1776" w:hanging="360"/>
      </w:pPr>
      <w:rPr>
        <w:rFonts w:ascii="Wingdings" w:hAnsi="Wingdings" w:hint="default"/>
      </w:rPr>
    </w:lvl>
    <w:lvl w:ilvl="1" w:tplc="04090003">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1">
    <w:nsid w:val="19CA036E"/>
    <w:multiLevelType w:val="hybridMultilevel"/>
    <w:tmpl w:val="9614184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1A4632"/>
    <w:multiLevelType w:val="hybridMultilevel"/>
    <w:tmpl w:val="517C87C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5A60CED"/>
    <w:multiLevelType w:val="hybridMultilevel"/>
    <w:tmpl w:val="F6908340"/>
    <w:lvl w:ilvl="0" w:tplc="FFFFFFFF">
      <w:start w:val="1"/>
      <w:numFmt w:val="bullet"/>
      <w:pStyle w:val="StyleTitre2Frutiger55Roman"/>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77E54A1"/>
    <w:multiLevelType w:val="hybridMultilevel"/>
    <w:tmpl w:val="D2A82BA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305C63A1"/>
    <w:multiLevelType w:val="hybridMultilevel"/>
    <w:tmpl w:val="C0C4C3A6"/>
    <w:lvl w:ilvl="0" w:tplc="04090005">
      <w:start w:val="1"/>
      <w:numFmt w:val="bullet"/>
      <w:lvlText w:val=""/>
      <w:lvlJc w:val="left"/>
      <w:pPr>
        <w:ind w:left="1713" w:hanging="360"/>
      </w:pPr>
      <w:rPr>
        <w:rFonts w:ascii="Wingdings" w:hAnsi="Wingdings" w:hint="default"/>
      </w:rPr>
    </w:lvl>
    <w:lvl w:ilvl="1" w:tplc="04090003">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6">
    <w:nsid w:val="34B545B3"/>
    <w:multiLevelType w:val="multilevel"/>
    <w:tmpl w:val="5AC84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6644F95"/>
    <w:multiLevelType w:val="hybridMultilevel"/>
    <w:tmpl w:val="4B10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30BFD"/>
    <w:multiLevelType w:val="multilevel"/>
    <w:tmpl w:val="80D03DF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386E1608"/>
    <w:multiLevelType w:val="multilevel"/>
    <w:tmpl w:val="D360CA6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Helvetic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Helvetica"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4CE12045"/>
    <w:multiLevelType w:val="multilevel"/>
    <w:tmpl w:val="1A40599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DD93FD6"/>
    <w:multiLevelType w:val="hybridMultilevel"/>
    <w:tmpl w:val="261C7500"/>
    <w:lvl w:ilvl="0" w:tplc="E5D0F60E">
      <w:start w:val="1"/>
      <w:numFmt w:val="bullet"/>
      <w:lvlText w:val=""/>
      <w:lvlJc w:val="left"/>
      <w:pPr>
        <w:tabs>
          <w:tab w:val="num" w:pos="360"/>
        </w:tabs>
        <w:ind w:left="360" w:hanging="360"/>
      </w:pPr>
      <w:rPr>
        <w:rFonts w:ascii="Wingdings" w:hAnsi="Wingdings" w:hint="default"/>
        <w:sz w:val="26"/>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Helvetica"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Helvetica"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53E822BE"/>
    <w:multiLevelType w:val="hybridMultilevel"/>
    <w:tmpl w:val="1DE2C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29E1330"/>
    <w:multiLevelType w:val="hybridMultilevel"/>
    <w:tmpl w:val="B9ACB336"/>
    <w:lvl w:ilvl="0" w:tplc="E8220E3E">
      <w:start w:val="1"/>
      <w:numFmt w:val="bullet"/>
      <w:pStyle w:val="Lista2"/>
      <w:lvlText w:val=""/>
      <w:lvlJc w:val="left"/>
      <w:pPr>
        <w:tabs>
          <w:tab w:val="num" w:pos="360"/>
        </w:tabs>
        <w:ind w:left="360" w:hanging="360"/>
      </w:pPr>
      <w:rPr>
        <w:rFonts w:ascii="Wingdings" w:hAnsi="Wingdings" w:cs="Helvetica" w:hint="default"/>
      </w:rPr>
    </w:lvl>
    <w:lvl w:ilvl="1" w:tplc="040C0003">
      <w:start w:val="1"/>
      <w:numFmt w:val="bullet"/>
      <w:lvlText w:val="o"/>
      <w:lvlJc w:val="left"/>
      <w:pPr>
        <w:tabs>
          <w:tab w:val="num" w:pos="1353"/>
        </w:tabs>
        <w:ind w:left="1353"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A840D5A"/>
    <w:multiLevelType w:val="hybridMultilevel"/>
    <w:tmpl w:val="AE7A1F10"/>
    <w:lvl w:ilvl="0" w:tplc="000B040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02F0B78"/>
    <w:multiLevelType w:val="hybridMultilevel"/>
    <w:tmpl w:val="9D44D6C4"/>
    <w:lvl w:ilvl="0" w:tplc="6D583218">
      <w:start w:val="1"/>
      <w:numFmt w:val="bullet"/>
      <w:lvlText w:val=""/>
      <w:lvlJc w:val="left"/>
      <w:pPr>
        <w:ind w:left="720" w:hanging="360"/>
      </w:pPr>
      <w:rPr>
        <w:rFonts w:ascii="Wingdings" w:hAnsi="Wingdings" w:hint="default"/>
        <w:sz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69708A"/>
    <w:multiLevelType w:val="hybridMultilevel"/>
    <w:tmpl w:val="5E74E388"/>
    <w:lvl w:ilvl="0" w:tplc="0A6AFBA8">
      <w:start w:val="1"/>
      <w:numFmt w:val="bullet"/>
      <w:lvlText w:val="o"/>
      <w:lvlJc w:val="left"/>
      <w:pPr>
        <w:tabs>
          <w:tab w:val="num" w:pos="1353"/>
        </w:tabs>
        <w:ind w:left="1353"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7978F0"/>
    <w:multiLevelType w:val="multilevel"/>
    <w:tmpl w:val="80D03DF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7B280744"/>
    <w:multiLevelType w:val="multilevel"/>
    <w:tmpl w:val="1A40599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7D366597"/>
    <w:multiLevelType w:val="hybridMultilevel"/>
    <w:tmpl w:val="56CAE766"/>
    <w:lvl w:ilvl="0" w:tplc="0001040A">
      <w:start w:val="1"/>
      <w:numFmt w:val="bullet"/>
      <w:lvlText w:val=""/>
      <w:lvlJc w:val="left"/>
      <w:pPr>
        <w:tabs>
          <w:tab w:val="num" w:pos="720"/>
        </w:tabs>
        <w:ind w:left="720" w:hanging="360"/>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30">
    <w:nsid w:val="7DD52932"/>
    <w:multiLevelType w:val="hybridMultilevel"/>
    <w:tmpl w:val="55704128"/>
    <w:lvl w:ilvl="0" w:tplc="FFFFFFFF">
      <w:start w:val="1"/>
      <w:numFmt w:val="bullet"/>
      <w:pStyle w:val="Bulletpoint"/>
      <w:lvlText w:val=""/>
      <w:lvlJc w:val="left"/>
      <w:pPr>
        <w:tabs>
          <w:tab w:val="num" w:pos="284"/>
        </w:tabs>
        <w:ind w:left="0" w:firstLine="0"/>
      </w:pPr>
      <w:rPr>
        <w:rFonts w:ascii="Wingdings" w:hAnsi="Wingdings" w:hint="default"/>
        <w:color w:val="33339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29"/>
  </w:num>
  <w:num w:numId="4">
    <w:abstractNumId w:val="8"/>
  </w:num>
  <w:num w:numId="5">
    <w:abstractNumId w:val="21"/>
  </w:num>
  <w:num w:numId="6">
    <w:abstractNumId w:val="30"/>
  </w:num>
  <w:num w:numId="7">
    <w:abstractNumId w:val="23"/>
  </w:num>
  <w:num w:numId="8">
    <w:abstractNumId w:val="6"/>
  </w:num>
  <w:num w:numId="9">
    <w:abstractNumId w:val="3"/>
  </w:num>
  <w:num w:numId="10">
    <w:abstractNumId w:val="12"/>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4"/>
  </w:num>
  <w:num w:numId="18">
    <w:abstractNumId w:val="26"/>
  </w:num>
  <w:num w:numId="19">
    <w:abstractNumId w:val="15"/>
  </w:num>
  <w:num w:numId="20">
    <w:abstractNumId w:val="27"/>
  </w:num>
  <w:num w:numId="21">
    <w:abstractNumId w:val="18"/>
  </w:num>
  <w:num w:numId="22">
    <w:abstractNumId w:val="9"/>
  </w:num>
  <w:num w:numId="23">
    <w:abstractNumId w:val="24"/>
  </w:num>
  <w:num w:numId="24">
    <w:abstractNumId w:val="7"/>
  </w:num>
  <w:num w:numId="25">
    <w:abstractNumId w:val="10"/>
  </w:num>
  <w:num w:numId="26">
    <w:abstractNumId w:val="19"/>
  </w:num>
  <w:num w:numId="27">
    <w:abstractNumId w:val="25"/>
  </w:num>
  <w:num w:numId="28">
    <w:abstractNumId w:val="28"/>
  </w:num>
  <w:num w:numId="29">
    <w:abstractNumId w:val="20"/>
  </w:num>
  <w:num w:numId="30">
    <w:abstractNumId w:val="14"/>
  </w:num>
  <w:num w:numId="31">
    <w:abstractNumId w:val="11"/>
  </w:num>
  <w:num w:numId="32">
    <w:abstractNumId w:val="1"/>
  </w:num>
  <w:num w:numId="33">
    <w:abstractNumId w:val="2"/>
  </w:num>
  <w:num w:numId="34">
    <w:abstractNumId w:val="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061C2"/>
    <w:rsid w:val="00007A97"/>
    <w:rsid w:val="00010858"/>
    <w:rsid w:val="00015E4A"/>
    <w:rsid w:val="0002104F"/>
    <w:rsid w:val="00030FE9"/>
    <w:rsid w:val="000339DF"/>
    <w:rsid w:val="00037AE7"/>
    <w:rsid w:val="00041DD1"/>
    <w:rsid w:val="0004225F"/>
    <w:rsid w:val="00044716"/>
    <w:rsid w:val="0004758F"/>
    <w:rsid w:val="000516E6"/>
    <w:rsid w:val="00057819"/>
    <w:rsid w:val="00060D6B"/>
    <w:rsid w:val="00071E6F"/>
    <w:rsid w:val="0007577E"/>
    <w:rsid w:val="00076716"/>
    <w:rsid w:val="0008016F"/>
    <w:rsid w:val="00085FBF"/>
    <w:rsid w:val="00090294"/>
    <w:rsid w:val="000949CF"/>
    <w:rsid w:val="000A7FA6"/>
    <w:rsid w:val="000B10AC"/>
    <w:rsid w:val="000C34E6"/>
    <w:rsid w:val="000C6EC8"/>
    <w:rsid w:val="000C7AD8"/>
    <w:rsid w:val="000D00A2"/>
    <w:rsid w:val="000D4F3F"/>
    <w:rsid w:val="000D57CD"/>
    <w:rsid w:val="000E1929"/>
    <w:rsid w:val="000E197B"/>
    <w:rsid w:val="000E324E"/>
    <w:rsid w:val="000E462D"/>
    <w:rsid w:val="000F37CE"/>
    <w:rsid w:val="000F42D3"/>
    <w:rsid w:val="00107A76"/>
    <w:rsid w:val="00107C3F"/>
    <w:rsid w:val="001136C4"/>
    <w:rsid w:val="00114BDA"/>
    <w:rsid w:val="00127A86"/>
    <w:rsid w:val="0013210B"/>
    <w:rsid w:val="0013303A"/>
    <w:rsid w:val="00135B6F"/>
    <w:rsid w:val="00143FBC"/>
    <w:rsid w:val="0014641C"/>
    <w:rsid w:val="001466B0"/>
    <w:rsid w:val="0017399C"/>
    <w:rsid w:val="0017609D"/>
    <w:rsid w:val="00181433"/>
    <w:rsid w:val="00190783"/>
    <w:rsid w:val="0019532C"/>
    <w:rsid w:val="00195E54"/>
    <w:rsid w:val="00196232"/>
    <w:rsid w:val="00197887"/>
    <w:rsid w:val="001A6210"/>
    <w:rsid w:val="001C4A05"/>
    <w:rsid w:val="001C518F"/>
    <w:rsid w:val="001C70DE"/>
    <w:rsid w:val="001C76EB"/>
    <w:rsid w:val="001D2A66"/>
    <w:rsid w:val="001D3038"/>
    <w:rsid w:val="001E0A40"/>
    <w:rsid w:val="001E3147"/>
    <w:rsid w:val="001E36CE"/>
    <w:rsid w:val="001E5C06"/>
    <w:rsid w:val="001E6263"/>
    <w:rsid w:val="001E7965"/>
    <w:rsid w:val="00205788"/>
    <w:rsid w:val="00210022"/>
    <w:rsid w:val="00215138"/>
    <w:rsid w:val="00220016"/>
    <w:rsid w:val="0022106F"/>
    <w:rsid w:val="002212B2"/>
    <w:rsid w:val="0022145A"/>
    <w:rsid w:val="00223CDE"/>
    <w:rsid w:val="00230E79"/>
    <w:rsid w:val="002318E6"/>
    <w:rsid w:val="00232ADB"/>
    <w:rsid w:val="00240601"/>
    <w:rsid w:val="002418D2"/>
    <w:rsid w:val="002420FF"/>
    <w:rsid w:val="00243244"/>
    <w:rsid w:val="002435F5"/>
    <w:rsid w:val="00245B87"/>
    <w:rsid w:val="00245F15"/>
    <w:rsid w:val="00250B55"/>
    <w:rsid w:val="0025594D"/>
    <w:rsid w:val="002725F7"/>
    <w:rsid w:val="00274F86"/>
    <w:rsid w:val="00281609"/>
    <w:rsid w:val="0028355D"/>
    <w:rsid w:val="002935CF"/>
    <w:rsid w:val="002943F9"/>
    <w:rsid w:val="002A59A5"/>
    <w:rsid w:val="002B49AF"/>
    <w:rsid w:val="002C0D1C"/>
    <w:rsid w:val="002C158D"/>
    <w:rsid w:val="002D4C72"/>
    <w:rsid w:val="002D6DAE"/>
    <w:rsid w:val="002D7F17"/>
    <w:rsid w:val="002E24D1"/>
    <w:rsid w:val="002E5CDD"/>
    <w:rsid w:val="002F41C9"/>
    <w:rsid w:val="002F4395"/>
    <w:rsid w:val="002F43CF"/>
    <w:rsid w:val="00317EA3"/>
    <w:rsid w:val="0032029D"/>
    <w:rsid w:val="003237DA"/>
    <w:rsid w:val="0032791B"/>
    <w:rsid w:val="00333B33"/>
    <w:rsid w:val="00335C44"/>
    <w:rsid w:val="003424E0"/>
    <w:rsid w:val="00346426"/>
    <w:rsid w:val="00347230"/>
    <w:rsid w:val="00353ABD"/>
    <w:rsid w:val="00354077"/>
    <w:rsid w:val="00356BBC"/>
    <w:rsid w:val="00360759"/>
    <w:rsid w:val="00362327"/>
    <w:rsid w:val="00370184"/>
    <w:rsid w:val="003778E2"/>
    <w:rsid w:val="003907E0"/>
    <w:rsid w:val="00396B43"/>
    <w:rsid w:val="003A2DD8"/>
    <w:rsid w:val="003B5B09"/>
    <w:rsid w:val="003B5BDF"/>
    <w:rsid w:val="003B6E33"/>
    <w:rsid w:val="003B75A5"/>
    <w:rsid w:val="003B7AE2"/>
    <w:rsid w:val="003B7BF4"/>
    <w:rsid w:val="003C77E2"/>
    <w:rsid w:val="003E244C"/>
    <w:rsid w:val="003E5696"/>
    <w:rsid w:val="004019D6"/>
    <w:rsid w:val="00406D92"/>
    <w:rsid w:val="00424758"/>
    <w:rsid w:val="00426890"/>
    <w:rsid w:val="004275D7"/>
    <w:rsid w:val="00440D50"/>
    <w:rsid w:val="00444E3F"/>
    <w:rsid w:val="00444F58"/>
    <w:rsid w:val="00445219"/>
    <w:rsid w:val="00447427"/>
    <w:rsid w:val="00451A2C"/>
    <w:rsid w:val="0045220E"/>
    <w:rsid w:val="004612EF"/>
    <w:rsid w:val="004624C7"/>
    <w:rsid w:val="00474C06"/>
    <w:rsid w:val="004772F6"/>
    <w:rsid w:val="00480F86"/>
    <w:rsid w:val="00483F11"/>
    <w:rsid w:val="004846D5"/>
    <w:rsid w:val="00485325"/>
    <w:rsid w:val="004874C3"/>
    <w:rsid w:val="004C169B"/>
    <w:rsid w:val="004C25AB"/>
    <w:rsid w:val="004D7256"/>
    <w:rsid w:val="004E1D73"/>
    <w:rsid w:val="004E3B20"/>
    <w:rsid w:val="004E3C7B"/>
    <w:rsid w:val="004F197A"/>
    <w:rsid w:val="00502C49"/>
    <w:rsid w:val="00502DF3"/>
    <w:rsid w:val="0050426F"/>
    <w:rsid w:val="005046D7"/>
    <w:rsid w:val="0051462D"/>
    <w:rsid w:val="005160DC"/>
    <w:rsid w:val="005171A9"/>
    <w:rsid w:val="0054114F"/>
    <w:rsid w:val="00541F4C"/>
    <w:rsid w:val="005444BA"/>
    <w:rsid w:val="00544834"/>
    <w:rsid w:val="00555192"/>
    <w:rsid w:val="0056033E"/>
    <w:rsid w:val="005607C4"/>
    <w:rsid w:val="00560C29"/>
    <w:rsid w:val="0058271E"/>
    <w:rsid w:val="005834C2"/>
    <w:rsid w:val="00585178"/>
    <w:rsid w:val="00594FDE"/>
    <w:rsid w:val="005A2A52"/>
    <w:rsid w:val="005A33C5"/>
    <w:rsid w:val="005A6799"/>
    <w:rsid w:val="005B5875"/>
    <w:rsid w:val="005C29EF"/>
    <w:rsid w:val="005E008B"/>
    <w:rsid w:val="005E0994"/>
    <w:rsid w:val="005E306E"/>
    <w:rsid w:val="005F7D53"/>
    <w:rsid w:val="0061224B"/>
    <w:rsid w:val="00617CF6"/>
    <w:rsid w:val="00626C26"/>
    <w:rsid w:val="00630B5D"/>
    <w:rsid w:val="0065522E"/>
    <w:rsid w:val="0066336F"/>
    <w:rsid w:val="006678D2"/>
    <w:rsid w:val="0067477A"/>
    <w:rsid w:val="006748AD"/>
    <w:rsid w:val="0067572B"/>
    <w:rsid w:val="0068371D"/>
    <w:rsid w:val="00684C91"/>
    <w:rsid w:val="00690983"/>
    <w:rsid w:val="00692C86"/>
    <w:rsid w:val="00695481"/>
    <w:rsid w:val="00697D71"/>
    <w:rsid w:val="006A065B"/>
    <w:rsid w:val="006A23D9"/>
    <w:rsid w:val="006C08F0"/>
    <w:rsid w:val="006C21B6"/>
    <w:rsid w:val="006C5630"/>
    <w:rsid w:val="006C75FE"/>
    <w:rsid w:val="006D2E90"/>
    <w:rsid w:val="006D3988"/>
    <w:rsid w:val="006D4B29"/>
    <w:rsid w:val="006E3A8B"/>
    <w:rsid w:val="006E662F"/>
    <w:rsid w:val="006E703C"/>
    <w:rsid w:val="006E7102"/>
    <w:rsid w:val="006F2092"/>
    <w:rsid w:val="006F6A50"/>
    <w:rsid w:val="00702659"/>
    <w:rsid w:val="00703CEA"/>
    <w:rsid w:val="00705CDE"/>
    <w:rsid w:val="007106B6"/>
    <w:rsid w:val="00733335"/>
    <w:rsid w:val="00736021"/>
    <w:rsid w:val="00737803"/>
    <w:rsid w:val="0074327B"/>
    <w:rsid w:val="007513F8"/>
    <w:rsid w:val="007536A9"/>
    <w:rsid w:val="00753FC8"/>
    <w:rsid w:val="00762935"/>
    <w:rsid w:val="007665E7"/>
    <w:rsid w:val="00777785"/>
    <w:rsid w:val="00795FF8"/>
    <w:rsid w:val="00797265"/>
    <w:rsid w:val="007A17D2"/>
    <w:rsid w:val="007A2B37"/>
    <w:rsid w:val="007A2F70"/>
    <w:rsid w:val="007B2378"/>
    <w:rsid w:val="007B44FB"/>
    <w:rsid w:val="007B6199"/>
    <w:rsid w:val="007C0FB5"/>
    <w:rsid w:val="007C57A5"/>
    <w:rsid w:val="007D2421"/>
    <w:rsid w:val="007E00E0"/>
    <w:rsid w:val="007E5870"/>
    <w:rsid w:val="007E746F"/>
    <w:rsid w:val="007F3442"/>
    <w:rsid w:val="007F3909"/>
    <w:rsid w:val="007F46A3"/>
    <w:rsid w:val="00806CFC"/>
    <w:rsid w:val="00807DCE"/>
    <w:rsid w:val="0082016C"/>
    <w:rsid w:val="00855CA4"/>
    <w:rsid w:val="00855CB0"/>
    <w:rsid w:val="008602B5"/>
    <w:rsid w:val="00895D5A"/>
    <w:rsid w:val="0089790C"/>
    <w:rsid w:val="008B152B"/>
    <w:rsid w:val="008B1FB2"/>
    <w:rsid w:val="008B3312"/>
    <w:rsid w:val="008C015B"/>
    <w:rsid w:val="008C02F6"/>
    <w:rsid w:val="008C54CE"/>
    <w:rsid w:val="008D0B48"/>
    <w:rsid w:val="008D5BA0"/>
    <w:rsid w:val="008F1D3E"/>
    <w:rsid w:val="008F1DE9"/>
    <w:rsid w:val="008F5110"/>
    <w:rsid w:val="008F740D"/>
    <w:rsid w:val="00902480"/>
    <w:rsid w:val="009026F0"/>
    <w:rsid w:val="0091522E"/>
    <w:rsid w:val="00917FBC"/>
    <w:rsid w:val="00922876"/>
    <w:rsid w:val="00926D20"/>
    <w:rsid w:val="00927383"/>
    <w:rsid w:val="00934029"/>
    <w:rsid w:val="00936DCA"/>
    <w:rsid w:val="00940D8D"/>
    <w:rsid w:val="00951E7D"/>
    <w:rsid w:val="00962600"/>
    <w:rsid w:val="00966434"/>
    <w:rsid w:val="009668B7"/>
    <w:rsid w:val="0097095B"/>
    <w:rsid w:val="00972244"/>
    <w:rsid w:val="00983D3C"/>
    <w:rsid w:val="0098598E"/>
    <w:rsid w:val="009863D2"/>
    <w:rsid w:val="00986CF5"/>
    <w:rsid w:val="009A0417"/>
    <w:rsid w:val="009A15E2"/>
    <w:rsid w:val="009A682C"/>
    <w:rsid w:val="009A76BF"/>
    <w:rsid w:val="009B0252"/>
    <w:rsid w:val="009B3FDB"/>
    <w:rsid w:val="009B73F7"/>
    <w:rsid w:val="009C0B59"/>
    <w:rsid w:val="009C1B89"/>
    <w:rsid w:val="009C252A"/>
    <w:rsid w:val="009C48BF"/>
    <w:rsid w:val="009D0195"/>
    <w:rsid w:val="009D4587"/>
    <w:rsid w:val="009D5894"/>
    <w:rsid w:val="009D669D"/>
    <w:rsid w:val="009D7626"/>
    <w:rsid w:val="009E37B8"/>
    <w:rsid w:val="009E489C"/>
    <w:rsid w:val="009E4A28"/>
    <w:rsid w:val="009E4FF9"/>
    <w:rsid w:val="009E6383"/>
    <w:rsid w:val="00A0019E"/>
    <w:rsid w:val="00A01143"/>
    <w:rsid w:val="00A01AEF"/>
    <w:rsid w:val="00A03A11"/>
    <w:rsid w:val="00A143D6"/>
    <w:rsid w:val="00A238E9"/>
    <w:rsid w:val="00A27E29"/>
    <w:rsid w:val="00A30CDD"/>
    <w:rsid w:val="00A30E26"/>
    <w:rsid w:val="00A32B12"/>
    <w:rsid w:val="00A368D4"/>
    <w:rsid w:val="00A42D25"/>
    <w:rsid w:val="00A45155"/>
    <w:rsid w:val="00A5211A"/>
    <w:rsid w:val="00A64967"/>
    <w:rsid w:val="00A73BBE"/>
    <w:rsid w:val="00A8133F"/>
    <w:rsid w:val="00A84066"/>
    <w:rsid w:val="00A94F5F"/>
    <w:rsid w:val="00A94F9D"/>
    <w:rsid w:val="00AB154E"/>
    <w:rsid w:val="00AB2B46"/>
    <w:rsid w:val="00AB375E"/>
    <w:rsid w:val="00AB6D7C"/>
    <w:rsid w:val="00AC13EE"/>
    <w:rsid w:val="00AC1460"/>
    <w:rsid w:val="00AE4CC0"/>
    <w:rsid w:val="00AE5508"/>
    <w:rsid w:val="00AF2864"/>
    <w:rsid w:val="00AF6BFF"/>
    <w:rsid w:val="00AF6CDA"/>
    <w:rsid w:val="00B1212B"/>
    <w:rsid w:val="00B121CD"/>
    <w:rsid w:val="00B16D65"/>
    <w:rsid w:val="00B20204"/>
    <w:rsid w:val="00B24343"/>
    <w:rsid w:val="00B310EA"/>
    <w:rsid w:val="00B37C1C"/>
    <w:rsid w:val="00B400C9"/>
    <w:rsid w:val="00B43C7A"/>
    <w:rsid w:val="00B5121E"/>
    <w:rsid w:val="00B527E0"/>
    <w:rsid w:val="00B7758D"/>
    <w:rsid w:val="00B97474"/>
    <w:rsid w:val="00BA05B9"/>
    <w:rsid w:val="00BA27C4"/>
    <w:rsid w:val="00BB0C8D"/>
    <w:rsid w:val="00BB21DF"/>
    <w:rsid w:val="00BD1118"/>
    <w:rsid w:val="00BD2C23"/>
    <w:rsid w:val="00BF0A95"/>
    <w:rsid w:val="00BF2585"/>
    <w:rsid w:val="00BF4FFF"/>
    <w:rsid w:val="00BF7F71"/>
    <w:rsid w:val="00C02106"/>
    <w:rsid w:val="00C07354"/>
    <w:rsid w:val="00C1248E"/>
    <w:rsid w:val="00C12509"/>
    <w:rsid w:val="00C16660"/>
    <w:rsid w:val="00C1752A"/>
    <w:rsid w:val="00C42E4C"/>
    <w:rsid w:val="00C43F91"/>
    <w:rsid w:val="00C508C9"/>
    <w:rsid w:val="00C52C7F"/>
    <w:rsid w:val="00C5360F"/>
    <w:rsid w:val="00C54867"/>
    <w:rsid w:val="00C554D1"/>
    <w:rsid w:val="00C74752"/>
    <w:rsid w:val="00C774E4"/>
    <w:rsid w:val="00C846BD"/>
    <w:rsid w:val="00C9574B"/>
    <w:rsid w:val="00CA4A61"/>
    <w:rsid w:val="00CA5B7F"/>
    <w:rsid w:val="00CA5F03"/>
    <w:rsid w:val="00CA5F4D"/>
    <w:rsid w:val="00CB17ED"/>
    <w:rsid w:val="00CB59BD"/>
    <w:rsid w:val="00CD640A"/>
    <w:rsid w:val="00CE028A"/>
    <w:rsid w:val="00CE2A7B"/>
    <w:rsid w:val="00CE7CF3"/>
    <w:rsid w:val="00CF72BB"/>
    <w:rsid w:val="00D04B52"/>
    <w:rsid w:val="00D2430F"/>
    <w:rsid w:val="00D26DEA"/>
    <w:rsid w:val="00D44452"/>
    <w:rsid w:val="00D461D3"/>
    <w:rsid w:val="00D53232"/>
    <w:rsid w:val="00D53854"/>
    <w:rsid w:val="00D5468B"/>
    <w:rsid w:val="00D753AD"/>
    <w:rsid w:val="00D77DC5"/>
    <w:rsid w:val="00D8177B"/>
    <w:rsid w:val="00D83C12"/>
    <w:rsid w:val="00D9238E"/>
    <w:rsid w:val="00D92AB7"/>
    <w:rsid w:val="00D92B83"/>
    <w:rsid w:val="00D930B6"/>
    <w:rsid w:val="00D9583B"/>
    <w:rsid w:val="00DA054D"/>
    <w:rsid w:val="00DA2BB9"/>
    <w:rsid w:val="00DB7A7C"/>
    <w:rsid w:val="00DC3264"/>
    <w:rsid w:val="00DC672A"/>
    <w:rsid w:val="00DD61D6"/>
    <w:rsid w:val="00DF0201"/>
    <w:rsid w:val="00DF213F"/>
    <w:rsid w:val="00DF5258"/>
    <w:rsid w:val="00E02024"/>
    <w:rsid w:val="00E07F43"/>
    <w:rsid w:val="00E10E70"/>
    <w:rsid w:val="00E135FE"/>
    <w:rsid w:val="00E156D4"/>
    <w:rsid w:val="00E17962"/>
    <w:rsid w:val="00E26978"/>
    <w:rsid w:val="00E33094"/>
    <w:rsid w:val="00E3355A"/>
    <w:rsid w:val="00E3748A"/>
    <w:rsid w:val="00E436E3"/>
    <w:rsid w:val="00E50D2E"/>
    <w:rsid w:val="00E51D0F"/>
    <w:rsid w:val="00E57A03"/>
    <w:rsid w:val="00E640B0"/>
    <w:rsid w:val="00E64CC2"/>
    <w:rsid w:val="00E675BF"/>
    <w:rsid w:val="00E72DEB"/>
    <w:rsid w:val="00E77DA1"/>
    <w:rsid w:val="00E92293"/>
    <w:rsid w:val="00E94A44"/>
    <w:rsid w:val="00E97CC8"/>
    <w:rsid w:val="00EB6D1C"/>
    <w:rsid w:val="00EE130E"/>
    <w:rsid w:val="00EE38BE"/>
    <w:rsid w:val="00EE454B"/>
    <w:rsid w:val="00EE5164"/>
    <w:rsid w:val="00EE58B0"/>
    <w:rsid w:val="00EF0D8C"/>
    <w:rsid w:val="00EF5613"/>
    <w:rsid w:val="00EF665E"/>
    <w:rsid w:val="00EF7CBB"/>
    <w:rsid w:val="00F07DB4"/>
    <w:rsid w:val="00F10B05"/>
    <w:rsid w:val="00F115C6"/>
    <w:rsid w:val="00F15D82"/>
    <w:rsid w:val="00F2115B"/>
    <w:rsid w:val="00F21DE2"/>
    <w:rsid w:val="00F23FDA"/>
    <w:rsid w:val="00F247AB"/>
    <w:rsid w:val="00F278D5"/>
    <w:rsid w:val="00F27D2C"/>
    <w:rsid w:val="00F31A38"/>
    <w:rsid w:val="00F332F7"/>
    <w:rsid w:val="00F3390F"/>
    <w:rsid w:val="00F34C43"/>
    <w:rsid w:val="00F3621F"/>
    <w:rsid w:val="00F36EDD"/>
    <w:rsid w:val="00F44721"/>
    <w:rsid w:val="00F44DD8"/>
    <w:rsid w:val="00F515CD"/>
    <w:rsid w:val="00F60592"/>
    <w:rsid w:val="00F64056"/>
    <w:rsid w:val="00F644A6"/>
    <w:rsid w:val="00F76EBE"/>
    <w:rsid w:val="00F944B0"/>
    <w:rsid w:val="00F97DCD"/>
    <w:rsid w:val="00FA0233"/>
    <w:rsid w:val="00FA1356"/>
    <w:rsid w:val="00FA2357"/>
    <w:rsid w:val="00FA2F3A"/>
    <w:rsid w:val="00FA313F"/>
    <w:rsid w:val="00FA5138"/>
    <w:rsid w:val="00FB09F5"/>
    <w:rsid w:val="00FB31E9"/>
    <w:rsid w:val="00FB488E"/>
    <w:rsid w:val="00FC4CD7"/>
    <w:rsid w:val="00FD5A60"/>
    <w:rsid w:val="00FF13CD"/>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4E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paragraph" w:styleId="Ttulo2">
    <w:name w:val="heading 2"/>
    <w:basedOn w:val="Normal"/>
    <w:next w:val="Normal"/>
    <w:link w:val="Ttulo2Car"/>
    <w:qFormat/>
    <w:rsid w:val="00BF4FFF"/>
    <w:pPr>
      <w:keepNext/>
      <w:spacing w:before="240" w:after="60"/>
      <w:outlineLvl w:val="1"/>
    </w:pPr>
    <w:rPr>
      <w:b/>
      <w:i/>
      <w:sz w:val="28"/>
    </w:rPr>
  </w:style>
  <w:style w:type="paragraph" w:styleId="Ttulo3">
    <w:name w:val="heading 3"/>
    <w:basedOn w:val="Normal"/>
    <w:next w:val="Normal"/>
    <w:link w:val="Ttulo3Car"/>
    <w:qFormat/>
    <w:rsid w:val="00BF4FFF"/>
    <w:pPr>
      <w:keepNext/>
      <w:spacing w:before="240" w:after="60"/>
      <w:outlineLvl w:val="2"/>
    </w:pPr>
    <w:rPr>
      <w:b/>
      <w:sz w:val="26"/>
      <w:szCs w:val="26"/>
    </w:rPr>
  </w:style>
  <w:style w:type="paragraph" w:styleId="Ttulo4">
    <w:name w:val="heading 4"/>
    <w:basedOn w:val="Normal"/>
    <w:next w:val="Normal"/>
    <w:link w:val="Ttulo4Car"/>
    <w:qFormat/>
    <w:rsid w:val="00BF4FFF"/>
    <w:pPr>
      <w:keepNext/>
      <w:jc w:val="center"/>
      <w:outlineLvl w:val="3"/>
    </w:pPr>
    <w:rPr>
      <w:rFonts w:ascii="Frutiger 45 Light" w:eastAsia="Times New Roman" w:hAnsi="Frutiger 45 Light"/>
      <w:b/>
      <w:color w:val="0000FF"/>
      <w:sz w:val="32"/>
    </w:rPr>
  </w:style>
  <w:style w:type="paragraph" w:styleId="Ttulo5">
    <w:name w:val="heading 5"/>
    <w:basedOn w:val="Normal"/>
    <w:next w:val="Normal"/>
    <w:link w:val="Ttulo5Car"/>
    <w:qFormat/>
    <w:rsid w:val="00BF4FFF"/>
    <w:pPr>
      <w:spacing w:before="240" w:after="60"/>
      <w:outlineLvl w:val="4"/>
    </w:pPr>
    <w:rPr>
      <w:b/>
      <w:i/>
      <w:sz w:val="26"/>
      <w:szCs w:val="26"/>
    </w:rPr>
  </w:style>
  <w:style w:type="paragraph" w:styleId="Ttulo6">
    <w:name w:val="heading 6"/>
    <w:basedOn w:val="Normal"/>
    <w:next w:val="Normal"/>
    <w:link w:val="Ttulo6Car"/>
    <w:qFormat/>
    <w:rsid w:val="00BF4FFF"/>
    <w:pPr>
      <w:keepNext/>
      <w:outlineLvl w:val="5"/>
    </w:pPr>
    <w:rPr>
      <w:rFonts w:ascii="Utopia" w:hAnsi="Utopia"/>
      <w:b/>
      <w:color w:val="FF6600"/>
      <w:sz w:val="22"/>
    </w:rPr>
  </w:style>
  <w:style w:type="paragraph" w:styleId="Ttulo8">
    <w:name w:val="heading 8"/>
    <w:basedOn w:val="Normal"/>
    <w:next w:val="Normal"/>
    <w:link w:val="Ttulo8Car"/>
    <w:qFormat/>
    <w:rsid w:val="00BF4FFF"/>
    <w:pPr>
      <w:spacing w:before="240" w:after="60"/>
      <w:outlineLvl w:val="7"/>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character" w:customStyle="1" w:styleId="Ttulo2Car">
    <w:name w:val="Título 2 Car"/>
    <w:basedOn w:val="Fuentedeprrafopredeter"/>
    <w:link w:val="Ttulo2"/>
    <w:rsid w:val="00BF4FFF"/>
    <w:rPr>
      <w:rFonts w:ascii="Times" w:eastAsia="Times" w:hAnsi="Times"/>
      <w:b/>
      <w:i/>
      <w:sz w:val="28"/>
      <w:lang w:eastAsia="fr-FR"/>
    </w:rPr>
  </w:style>
  <w:style w:type="character" w:customStyle="1" w:styleId="Ttulo3Car">
    <w:name w:val="Título 3 Car"/>
    <w:basedOn w:val="Fuentedeprrafopredeter"/>
    <w:link w:val="Ttulo3"/>
    <w:rsid w:val="00BF4FFF"/>
    <w:rPr>
      <w:rFonts w:ascii="Times" w:eastAsia="Times" w:hAnsi="Times"/>
      <w:b/>
      <w:sz w:val="26"/>
      <w:szCs w:val="26"/>
      <w:lang w:eastAsia="fr-FR"/>
    </w:rPr>
  </w:style>
  <w:style w:type="character" w:customStyle="1" w:styleId="Ttulo4Car">
    <w:name w:val="Título 4 Car"/>
    <w:basedOn w:val="Fuentedeprrafopredeter"/>
    <w:link w:val="Ttulo4"/>
    <w:rsid w:val="00BF4FFF"/>
    <w:rPr>
      <w:rFonts w:ascii="Frutiger 45 Light" w:hAnsi="Frutiger 45 Light"/>
      <w:b/>
      <w:color w:val="0000FF"/>
      <w:sz w:val="32"/>
      <w:lang w:eastAsia="fr-FR"/>
    </w:rPr>
  </w:style>
  <w:style w:type="character" w:customStyle="1" w:styleId="Ttulo5Car">
    <w:name w:val="Título 5 Car"/>
    <w:basedOn w:val="Fuentedeprrafopredeter"/>
    <w:link w:val="Ttulo5"/>
    <w:rsid w:val="00BF4FFF"/>
    <w:rPr>
      <w:rFonts w:ascii="Times" w:eastAsia="Times" w:hAnsi="Times"/>
      <w:b/>
      <w:i/>
      <w:sz w:val="26"/>
      <w:szCs w:val="26"/>
      <w:lang w:eastAsia="fr-FR"/>
    </w:rPr>
  </w:style>
  <w:style w:type="character" w:customStyle="1" w:styleId="Ttulo6Car">
    <w:name w:val="Título 6 Car"/>
    <w:basedOn w:val="Fuentedeprrafopredeter"/>
    <w:link w:val="Ttulo6"/>
    <w:rsid w:val="00BF4FFF"/>
    <w:rPr>
      <w:rFonts w:ascii="Utopia" w:eastAsia="Times" w:hAnsi="Utopia"/>
      <w:b/>
      <w:color w:val="FF6600"/>
      <w:sz w:val="22"/>
      <w:lang w:eastAsia="fr-FR"/>
    </w:rPr>
  </w:style>
  <w:style w:type="character" w:customStyle="1" w:styleId="Ttulo8Car">
    <w:name w:val="Título 8 Car"/>
    <w:basedOn w:val="Fuentedeprrafopredeter"/>
    <w:link w:val="Ttulo8"/>
    <w:rsid w:val="00BF4FFF"/>
    <w:rPr>
      <w:rFonts w:ascii="Times" w:eastAsia="Times" w:hAnsi="Times"/>
      <w:i/>
      <w:lang w:eastAsia="fr-FR"/>
    </w:rPr>
  </w:style>
  <w:style w:type="paragraph" w:styleId="Textodecuerpo">
    <w:name w:val="Body Text"/>
    <w:basedOn w:val="Normal"/>
    <w:link w:val="TextodecuerpoCar"/>
    <w:rsid w:val="00BF4FFF"/>
    <w:pPr>
      <w:spacing w:after="120"/>
    </w:pPr>
  </w:style>
  <w:style w:type="character" w:customStyle="1" w:styleId="TextodecuerpoCar">
    <w:name w:val="Texto de cuerpo Car"/>
    <w:basedOn w:val="Fuentedeprrafopredeter"/>
    <w:link w:val="Textodecuerpo"/>
    <w:rsid w:val="00BF4FFF"/>
    <w:rPr>
      <w:rFonts w:ascii="Times" w:eastAsia="Times" w:hAnsi="Times"/>
      <w:lang w:eastAsia="fr-FR"/>
    </w:rPr>
  </w:style>
  <w:style w:type="paragraph" w:customStyle="1" w:styleId="Headline">
    <w:name w:val="Headline"/>
    <w:rsid w:val="00BF4FFF"/>
    <w:pPr>
      <w:spacing w:line="360" w:lineRule="exact"/>
    </w:pPr>
    <w:rPr>
      <w:rFonts w:ascii="Frutiger 95 UltraBlack" w:hAnsi="Frutiger 95 UltraBlack"/>
      <w:snapToGrid w:val="0"/>
      <w:sz w:val="28"/>
    </w:rPr>
  </w:style>
  <w:style w:type="paragraph" w:customStyle="1" w:styleId="Subhead">
    <w:name w:val="Subhead"/>
    <w:rsid w:val="00BF4FFF"/>
    <w:pPr>
      <w:spacing w:line="360" w:lineRule="exact"/>
    </w:pPr>
    <w:rPr>
      <w:rFonts w:ascii="Frutiger 55 Roman" w:hAnsi="Frutiger 55 Roman"/>
      <w:b/>
      <w:snapToGrid w:val="0"/>
      <w:sz w:val="28"/>
    </w:rPr>
  </w:style>
  <w:style w:type="paragraph" w:customStyle="1" w:styleId="Flietext">
    <w:name w:val="Fließtext"/>
    <w:rsid w:val="00BF4FFF"/>
    <w:pPr>
      <w:spacing w:line="360" w:lineRule="exact"/>
      <w:jc w:val="both"/>
    </w:pPr>
    <w:rPr>
      <w:rFonts w:ascii="Utopia" w:hAnsi="Utopia"/>
      <w:snapToGrid w:val="0"/>
      <w:lang w:val="de-DE"/>
    </w:rPr>
  </w:style>
  <w:style w:type="paragraph" w:styleId="Listaconvietas">
    <w:name w:val="List Bullet"/>
    <w:basedOn w:val="Normal"/>
    <w:autoRedefine/>
    <w:rsid w:val="00BF4FFF"/>
    <w:pPr>
      <w:numPr>
        <w:numId w:val="1"/>
      </w:numPr>
    </w:pPr>
  </w:style>
  <w:style w:type="paragraph" w:customStyle="1" w:styleId="TextoCONTINENTAL">
    <w:name w:val="Texto CONTINENTAL"/>
    <w:basedOn w:val="Textodecuerpo"/>
    <w:rsid w:val="00BF4FFF"/>
    <w:pPr>
      <w:spacing w:after="240" w:line="360" w:lineRule="auto"/>
      <w:jc w:val="both"/>
    </w:pPr>
    <w:rPr>
      <w:color w:val="000000"/>
    </w:rPr>
  </w:style>
  <w:style w:type="character" w:styleId="Hipervnculo">
    <w:name w:val="Hyperlink"/>
    <w:basedOn w:val="Fuentedeprrafopredeter"/>
    <w:unhideWhenUsed/>
    <w:rsid w:val="00BF4FFF"/>
    <w:rPr>
      <w:color w:val="0000FF"/>
      <w:u w:val="single"/>
    </w:rPr>
  </w:style>
  <w:style w:type="paragraph" w:styleId="Textodecuerpo3">
    <w:name w:val="Body Text 3"/>
    <w:basedOn w:val="Normal"/>
    <w:link w:val="Textodecuerpo3Car"/>
    <w:rsid w:val="00BF4FFF"/>
    <w:pPr>
      <w:spacing w:after="120"/>
    </w:pPr>
    <w:rPr>
      <w:rFonts w:ascii="Times New Roman" w:hAnsi="Times New Roman"/>
      <w:snapToGrid w:val="0"/>
      <w:sz w:val="16"/>
      <w:szCs w:val="16"/>
      <w:lang w:val="fr-FR" w:eastAsia="es-ES"/>
    </w:rPr>
  </w:style>
  <w:style w:type="character" w:customStyle="1" w:styleId="Textodecuerpo3Car">
    <w:name w:val="Texto de cuerpo 3 Car"/>
    <w:basedOn w:val="Fuentedeprrafopredeter"/>
    <w:link w:val="Textodecuerpo3"/>
    <w:rsid w:val="00BF4FFF"/>
    <w:rPr>
      <w:rFonts w:ascii="Times New Roman" w:eastAsia="Times" w:hAnsi="Times New Roman"/>
      <w:snapToGrid w:val="0"/>
      <w:sz w:val="16"/>
      <w:szCs w:val="16"/>
      <w:lang w:val="fr-FR" w:eastAsia="es-ES"/>
    </w:rPr>
  </w:style>
  <w:style w:type="paragraph" w:styleId="NormalWeb">
    <w:name w:val="Normal (Web)"/>
    <w:basedOn w:val="Normal"/>
    <w:rsid w:val="00BF4FFF"/>
    <w:pPr>
      <w:spacing w:before="100" w:beforeAutospacing="1" w:after="100" w:afterAutospacing="1"/>
    </w:pPr>
    <w:rPr>
      <w:rFonts w:ascii="Times New Roman" w:hAnsi="Times New Roman"/>
      <w:snapToGrid w:val="0"/>
      <w:color w:val="000000"/>
      <w:lang w:val="fr-FR" w:eastAsia="es-ES"/>
    </w:rPr>
  </w:style>
  <w:style w:type="character" w:customStyle="1" w:styleId="style21">
    <w:name w:val="style21"/>
    <w:basedOn w:val="Fuentedeprrafopredeter"/>
    <w:rsid w:val="00BF4FFF"/>
    <w:rPr>
      <w:sz w:val="20"/>
      <w:szCs w:val="20"/>
    </w:rPr>
  </w:style>
  <w:style w:type="character" w:styleId="Textoennegrita">
    <w:name w:val="Strong"/>
    <w:basedOn w:val="Fuentedeprrafopredeter"/>
    <w:qFormat/>
    <w:rsid w:val="00BF4FFF"/>
    <w:rPr>
      <w:b/>
      <w:bCs/>
    </w:rPr>
  </w:style>
  <w:style w:type="paragraph" w:styleId="Prrafodelista">
    <w:name w:val="List Paragraph"/>
    <w:basedOn w:val="Normal"/>
    <w:uiPriority w:val="34"/>
    <w:qFormat/>
    <w:rsid w:val="00BF4FFF"/>
    <w:pPr>
      <w:spacing w:after="200" w:line="276" w:lineRule="auto"/>
      <w:ind w:left="720"/>
      <w:contextualSpacing/>
    </w:pPr>
    <w:rPr>
      <w:rFonts w:ascii="Times New Roman" w:eastAsia="Calibri" w:hAnsi="Times New Roman"/>
      <w:szCs w:val="22"/>
      <w:lang w:val="es-ES"/>
    </w:rPr>
  </w:style>
  <w:style w:type="character" w:styleId="Refdecomentario">
    <w:name w:val="annotation reference"/>
    <w:basedOn w:val="Fuentedeprrafopredeter"/>
    <w:rsid w:val="00BF4FFF"/>
    <w:rPr>
      <w:sz w:val="18"/>
    </w:rPr>
  </w:style>
  <w:style w:type="paragraph" w:styleId="Textocomentario">
    <w:name w:val="annotation text"/>
    <w:basedOn w:val="Normal"/>
    <w:link w:val="TextocomentarioCar"/>
    <w:rsid w:val="00BF4FFF"/>
  </w:style>
  <w:style w:type="character" w:customStyle="1" w:styleId="TextocomentarioCar">
    <w:name w:val="Texto comentario Car"/>
    <w:basedOn w:val="Fuentedeprrafopredeter"/>
    <w:link w:val="Textocomentario"/>
    <w:rsid w:val="00BF4FFF"/>
    <w:rPr>
      <w:rFonts w:ascii="Times" w:eastAsia="Times" w:hAnsi="Times"/>
      <w:lang w:eastAsia="fr-FR"/>
    </w:rPr>
  </w:style>
  <w:style w:type="paragraph" w:styleId="Asuntodelcomentario">
    <w:name w:val="annotation subject"/>
    <w:basedOn w:val="Textocomentario"/>
    <w:next w:val="Textocomentario"/>
    <w:link w:val="AsuntodelcomentarioCar"/>
    <w:rsid w:val="00BF4FFF"/>
    <w:rPr>
      <w:sz w:val="22"/>
      <w:szCs w:val="20"/>
    </w:rPr>
  </w:style>
  <w:style w:type="character" w:customStyle="1" w:styleId="AsuntodelcomentarioCar">
    <w:name w:val="Asunto del comentario Car"/>
    <w:basedOn w:val="TextocomentarioCar"/>
    <w:link w:val="Asuntodelcomentario"/>
    <w:rsid w:val="00BF4FFF"/>
    <w:rPr>
      <w:rFonts w:ascii="Times" w:eastAsia="Times" w:hAnsi="Times"/>
      <w:sz w:val="22"/>
      <w:szCs w:val="20"/>
      <w:lang w:eastAsia="fr-FR"/>
    </w:rPr>
  </w:style>
  <w:style w:type="paragraph" w:styleId="Textonotapie">
    <w:name w:val="footnote text"/>
    <w:basedOn w:val="Normal"/>
    <w:link w:val="TextonotapieCar"/>
    <w:rsid w:val="00BF4FFF"/>
  </w:style>
  <w:style w:type="character" w:customStyle="1" w:styleId="TextonotapieCar">
    <w:name w:val="Texto nota pie Car"/>
    <w:basedOn w:val="Fuentedeprrafopredeter"/>
    <w:link w:val="Textonotapie"/>
    <w:rsid w:val="00BF4FFF"/>
    <w:rPr>
      <w:rFonts w:ascii="Times" w:eastAsia="Times" w:hAnsi="Times"/>
      <w:lang w:eastAsia="fr-FR"/>
    </w:rPr>
  </w:style>
  <w:style w:type="character" w:styleId="Refdenotaalpie">
    <w:name w:val="footnote reference"/>
    <w:basedOn w:val="Fuentedeprrafopredeter"/>
    <w:rsid w:val="00BF4FFF"/>
    <w:rPr>
      <w:vertAlign w:val="superscript"/>
    </w:rPr>
  </w:style>
  <w:style w:type="character" w:styleId="Hipervnculovisitado">
    <w:name w:val="FollowedHyperlink"/>
    <w:basedOn w:val="Fuentedeprrafopredeter"/>
    <w:rsid w:val="00BF4FFF"/>
    <w:rPr>
      <w:color w:val="800080"/>
      <w:u w:val="single"/>
    </w:rPr>
  </w:style>
  <w:style w:type="paragraph" w:customStyle="1" w:styleId="EntradillaMICHELIN">
    <w:name w:val="Entradilla MICHELIN"/>
    <w:basedOn w:val="Normal"/>
    <w:rsid w:val="00BF4FFF"/>
    <w:pPr>
      <w:spacing w:line="240" w:lineRule="atLeast"/>
      <w:jc w:val="both"/>
    </w:pPr>
    <w:rPr>
      <w:rFonts w:ascii="Frutiger 45 Light" w:hAnsi="Frutiger 45 Light" w:cs="Frutiger 55 Roman"/>
      <w:b/>
      <w:bCs/>
      <w:i/>
      <w:snapToGrid w:val="0"/>
      <w:color w:val="333399"/>
      <w:szCs w:val="28"/>
      <w:lang w:eastAsia="es-ES"/>
    </w:rPr>
  </w:style>
  <w:style w:type="character" w:customStyle="1" w:styleId="hps">
    <w:name w:val="hps"/>
    <w:basedOn w:val="Fuentedeprrafopredeter"/>
    <w:rsid w:val="00BF4FFF"/>
  </w:style>
  <w:style w:type="paragraph" w:customStyle="1" w:styleId="SubheadMichelin">
    <w:name w:val="Subhead Michelin"/>
    <w:autoRedefine/>
    <w:rsid w:val="00BF4FFF"/>
    <w:pPr>
      <w:spacing w:line="360" w:lineRule="exact"/>
    </w:pPr>
    <w:rPr>
      <w:rFonts w:ascii="Frutiger 55 Roman" w:hAnsi="Frutiger 55 Roman"/>
      <w:b/>
      <w:snapToGrid w:val="0"/>
      <w:sz w:val="28"/>
    </w:rPr>
  </w:style>
  <w:style w:type="paragraph" w:customStyle="1" w:styleId="SUBTITULOMICHELIN">
    <w:name w:val="SUBTITULO MICHELIN"/>
    <w:basedOn w:val="Normal"/>
    <w:rsid w:val="00BF4FFF"/>
    <w:pPr>
      <w:spacing w:line="360" w:lineRule="exact"/>
    </w:pPr>
    <w:rPr>
      <w:rFonts w:ascii="Frutiger 45 Light" w:hAnsi="Frutiger 45 Light"/>
      <w:b/>
      <w:snapToGrid w:val="0"/>
      <w:sz w:val="36"/>
    </w:rPr>
  </w:style>
  <w:style w:type="paragraph" w:customStyle="1" w:styleId="TtuloDossier">
    <w:name w:val="Título Dossier"/>
    <w:basedOn w:val="Headline"/>
    <w:rsid w:val="00BF4FFF"/>
    <w:pPr>
      <w:spacing w:before="400" w:after="200" w:line="240" w:lineRule="auto"/>
      <w:jc w:val="center"/>
      <w:outlineLvl w:val="0"/>
    </w:pPr>
    <w:rPr>
      <w:color w:val="333399"/>
      <w:sz w:val="70"/>
    </w:rPr>
  </w:style>
  <w:style w:type="paragraph" w:customStyle="1" w:styleId="Dossierdeprensa">
    <w:name w:val="Dossier de prensa"/>
    <w:basedOn w:val="Headline"/>
    <w:rsid w:val="00BF4FFF"/>
    <w:pPr>
      <w:spacing w:before="300"/>
      <w:jc w:val="center"/>
      <w:outlineLvl w:val="0"/>
    </w:pPr>
    <w:rPr>
      <w:rFonts w:ascii="Frutiger 45 Light" w:hAnsi="Frutiger 45 Light"/>
      <w:b/>
      <w:color w:val="000000"/>
      <w:sz w:val="50"/>
      <w:lang w:val="es-ES"/>
    </w:rPr>
  </w:style>
  <w:style w:type="paragraph" w:customStyle="1" w:styleId="Fechadossier">
    <w:name w:val="Fecha dossier"/>
    <w:basedOn w:val="Headline"/>
    <w:rsid w:val="00BF4FFF"/>
    <w:pPr>
      <w:jc w:val="center"/>
    </w:pPr>
    <w:rPr>
      <w:rFonts w:ascii="Frutiger 45 Light" w:hAnsi="Frutiger 45 Light"/>
      <w:b/>
      <w:color w:val="000000"/>
      <w:sz w:val="36"/>
      <w:lang w:val="es-ES"/>
    </w:rPr>
  </w:style>
  <w:style w:type="paragraph" w:customStyle="1" w:styleId="Predeterminado">
    <w:name w:val="Predeterminado"/>
    <w:rsid w:val="00BF4FFF"/>
    <w:pPr>
      <w:widowControl w:val="0"/>
      <w:autoSpaceDE w:val="0"/>
      <w:autoSpaceDN w:val="0"/>
    </w:pPr>
    <w:rPr>
      <w:rFonts w:ascii="Times New Roman" w:hAnsi="Times New Roman"/>
      <w:lang w:eastAsia="es-ES"/>
    </w:rPr>
  </w:style>
  <w:style w:type="paragraph" w:styleId="Textodecuerpo2">
    <w:name w:val="Body Text 2"/>
    <w:basedOn w:val="Normal"/>
    <w:link w:val="Textodecuerpo2Car"/>
    <w:rsid w:val="00BF4FFF"/>
    <w:pPr>
      <w:spacing w:after="120" w:line="480" w:lineRule="auto"/>
    </w:pPr>
  </w:style>
  <w:style w:type="character" w:customStyle="1" w:styleId="Textodecuerpo2Car">
    <w:name w:val="Texto de cuerpo 2 Car"/>
    <w:basedOn w:val="Fuentedeprrafopredeter"/>
    <w:link w:val="Textodecuerpo2"/>
    <w:rsid w:val="00BF4FFF"/>
    <w:rPr>
      <w:rFonts w:ascii="Times" w:eastAsia="Times" w:hAnsi="Times"/>
      <w:lang w:eastAsia="fr-FR"/>
    </w:rPr>
  </w:style>
  <w:style w:type="paragraph" w:styleId="Sangradetdecuerpo">
    <w:name w:val="Body Text Indent"/>
    <w:basedOn w:val="Normal"/>
    <w:link w:val="SangradetdecuerpoCar"/>
    <w:rsid w:val="00BF4FFF"/>
    <w:pPr>
      <w:spacing w:after="120"/>
      <w:ind w:left="283"/>
    </w:pPr>
    <w:rPr>
      <w:rFonts w:ascii="Utopia" w:eastAsia="Times New Roman" w:hAnsi="Utopia"/>
      <w:sz w:val="20"/>
    </w:rPr>
  </w:style>
  <w:style w:type="character" w:customStyle="1" w:styleId="SangradetdecuerpoCar">
    <w:name w:val="Sangría de t. de cuerpo Car"/>
    <w:basedOn w:val="Fuentedeprrafopredeter"/>
    <w:link w:val="Sangradetdecuerpo"/>
    <w:rsid w:val="00BF4FFF"/>
    <w:rPr>
      <w:rFonts w:ascii="Utopia" w:hAnsi="Utopia"/>
      <w:sz w:val="20"/>
      <w:lang w:eastAsia="fr-FR"/>
    </w:rPr>
  </w:style>
  <w:style w:type="paragraph" w:styleId="Textodebloque">
    <w:name w:val="Block Text"/>
    <w:basedOn w:val="Normal"/>
    <w:rsid w:val="00BF4FFF"/>
    <w:pPr>
      <w:ind w:left="1800" w:right="1990"/>
      <w:jc w:val="center"/>
    </w:pPr>
    <w:rPr>
      <w:rFonts w:ascii="Utopia" w:eastAsia="Times New Roman" w:hAnsi="Utopia"/>
      <w:b/>
      <w:color w:val="333399"/>
      <w:sz w:val="40"/>
    </w:rPr>
  </w:style>
  <w:style w:type="paragraph" w:styleId="Ttulo">
    <w:name w:val="Title"/>
    <w:basedOn w:val="Normal"/>
    <w:link w:val="TtuloCar"/>
    <w:qFormat/>
    <w:rsid w:val="00BF4FFF"/>
    <w:pPr>
      <w:jc w:val="center"/>
    </w:pPr>
    <w:rPr>
      <w:rFonts w:ascii="Frutiger 55 Roman" w:eastAsia="Times New Roman" w:hAnsi="Frutiger 55 Roman"/>
      <w:b/>
      <w:sz w:val="32"/>
    </w:rPr>
  </w:style>
  <w:style w:type="character" w:customStyle="1" w:styleId="TtuloCar">
    <w:name w:val="Título Car"/>
    <w:basedOn w:val="Fuentedeprrafopredeter"/>
    <w:link w:val="Ttulo"/>
    <w:rsid w:val="00BF4FFF"/>
    <w:rPr>
      <w:rFonts w:ascii="Frutiger 55 Roman" w:hAnsi="Frutiger 55 Roman"/>
      <w:b/>
      <w:sz w:val="32"/>
      <w:lang w:eastAsia="fr-FR"/>
    </w:rPr>
  </w:style>
  <w:style w:type="paragraph" w:customStyle="1" w:styleId="StyleTitre2Frutiger55Roman">
    <w:name w:val="Style Titre 2 + Frutiger 55 Roman"/>
    <w:basedOn w:val="Ttulo2"/>
    <w:autoRedefine/>
    <w:rsid w:val="00BF4FFF"/>
    <w:pPr>
      <w:numPr>
        <w:numId w:val="2"/>
      </w:numPr>
      <w:tabs>
        <w:tab w:val="clear" w:pos="720"/>
      </w:tabs>
      <w:spacing w:before="0" w:after="0"/>
      <w:ind w:left="0" w:firstLine="0"/>
    </w:pPr>
    <w:rPr>
      <w:rFonts w:ascii="Utopia" w:hAnsi="Utopia"/>
      <w:i w:val="0"/>
      <w:snapToGrid w:val="0"/>
      <w:color w:val="0000FF"/>
      <w:sz w:val="22"/>
      <w:lang w:val="fr-FR"/>
    </w:rPr>
  </w:style>
  <w:style w:type="paragraph" w:customStyle="1" w:styleId="StyleTitreTimesNewRoman12ptNoirJustifi">
    <w:name w:val="Style Titre + Times New Roman 12 pt Noir Justifié"/>
    <w:basedOn w:val="Ttulo"/>
    <w:rsid w:val="00BF4FFF"/>
    <w:pPr>
      <w:autoSpaceDE w:val="0"/>
      <w:autoSpaceDN w:val="0"/>
      <w:jc w:val="both"/>
    </w:pPr>
    <w:rPr>
      <w:color w:val="000000"/>
      <w:sz w:val="24"/>
    </w:rPr>
  </w:style>
  <w:style w:type="paragraph" w:customStyle="1" w:styleId="TITULARBENDIX">
    <w:name w:val="TITULAR BENDIX"/>
    <w:basedOn w:val="Ttulo8"/>
    <w:rsid w:val="00BF4FFF"/>
    <w:pPr>
      <w:keepNext/>
      <w:spacing w:before="0" w:after="0"/>
      <w:ind w:right="11"/>
      <w:jc w:val="center"/>
    </w:pPr>
    <w:rPr>
      <w:rFonts w:eastAsia="Times New Roman"/>
      <w:b/>
      <w:i w:val="0"/>
      <w:caps/>
      <w:sz w:val="36"/>
    </w:rPr>
  </w:style>
  <w:style w:type="paragraph" w:customStyle="1" w:styleId="textoContinental0">
    <w:name w:val="texto Continental"/>
    <w:basedOn w:val="Normal"/>
    <w:rsid w:val="00BF4FFF"/>
    <w:pPr>
      <w:spacing w:after="240" w:line="360" w:lineRule="auto"/>
      <w:jc w:val="both"/>
    </w:pPr>
    <w:rPr>
      <w:rFonts w:ascii="Arial" w:hAnsi="Arial"/>
      <w:color w:val="000000"/>
      <w:sz w:val="22"/>
      <w:lang w:val="sl-SI"/>
    </w:rPr>
  </w:style>
  <w:style w:type="paragraph" w:customStyle="1" w:styleId="textocooper">
    <w:name w:val="texto cooper"/>
    <w:basedOn w:val="TextoCOOPER0"/>
    <w:rsid w:val="00BF4FFF"/>
    <w:pPr>
      <w:spacing w:line="360" w:lineRule="auto"/>
      <w:jc w:val="both"/>
    </w:pPr>
    <w:rPr>
      <w:b w:val="0"/>
      <w:sz w:val="24"/>
      <w:lang w:val="es-ES_tradnl"/>
    </w:rPr>
  </w:style>
  <w:style w:type="paragraph" w:customStyle="1" w:styleId="antetituloCONTINENTAL">
    <w:name w:val="antetitulo CONTINENTAL"/>
    <w:basedOn w:val="Ttulo2"/>
    <w:rsid w:val="00BF4FFF"/>
    <w:pPr>
      <w:spacing w:before="0" w:after="240" w:line="360" w:lineRule="auto"/>
    </w:pPr>
    <w:rPr>
      <w:rFonts w:ascii="Arial" w:hAnsi="Arial"/>
      <w:i w:val="0"/>
      <w:color w:val="000000"/>
      <w:sz w:val="22"/>
    </w:rPr>
  </w:style>
  <w:style w:type="paragraph" w:customStyle="1" w:styleId="titularCONTINENTAL">
    <w:name w:val="titular CONTINENTAL"/>
    <w:basedOn w:val="Normal"/>
    <w:rsid w:val="00BF4FFF"/>
    <w:pPr>
      <w:spacing w:after="240" w:line="360" w:lineRule="auto"/>
    </w:pPr>
    <w:rPr>
      <w:rFonts w:ascii="Arial" w:hAnsi="Arial"/>
      <w:b/>
      <w:color w:val="000000"/>
      <w:sz w:val="32"/>
    </w:rPr>
  </w:style>
  <w:style w:type="paragraph" w:customStyle="1" w:styleId="TextoCOOPER0">
    <w:name w:val="Texto COOPER"/>
    <w:basedOn w:val="Normal"/>
    <w:autoRedefine/>
    <w:rsid w:val="00BF4FFF"/>
    <w:pPr>
      <w:spacing w:after="240"/>
    </w:pPr>
    <w:rPr>
      <w:rFonts w:ascii="Arial" w:eastAsia="Times New Roman" w:hAnsi="Arial"/>
      <w:b/>
      <w:sz w:val="22"/>
      <w:lang w:val="de-DE"/>
    </w:rPr>
  </w:style>
  <w:style w:type="paragraph" w:customStyle="1" w:styleId="ENTRADILLABENDIX">
    <w:name w:val="ENTRADILLA BENDIX"/>
    <w:basedOn w:val="Normal"/>
    <w:rsid w:val="00BF4FFF"/>
    <w:pPr>
      <w:spacing w:after="240" w:line="360" w:lineRule="auto"/>
      <w:jc w:val="both"/>
    </w:pPr>
    <w:rPr>
      <w:rFonts w:eastAsia="Times New Roman"/>
      <w:b/>
    </w:rPr>
  </w:style>
  <w:style w:type="paragraph" w:customStyle="1" w:styleId="TEXTOBENDIX">
    <w:name w:val="TEXTO BENDIX"/>
    <w:basedOn w:val="Normal"/>
    <w:rsid w:val="00BF4FFF"/>
    <w:pPr>
      <w:spacing w:after="240" w:line="360" w:lineRule="auto"/>
      <w:jc w:val="both"/>
    </w:pPr>
    <w:rPr>
      <w:rFonts w:eastAsia="Times New Roman"/>
    </w:rPr>
  </w:style>
  <w:style w:type="paragraph" w:customStyle="1" w:styleId="TitularCOOPER">
    <w:name w:val="Titular COOPER"/>
    <w:basedOn w:val="Normal"/>
    <w:rsid w:val="00BF4FFF"/>
    <w:pPr>
      <w:spacing w:before="120" w:after="120"/>
      <w:jc w:val="center"/>
    </w:pPr>
    <w:rPr>
      <w:rFonts w:ascii="Arial" w:eastAsia="Times New Roman" w:hAnsi="Arial"/>
      <w:b/>
      <w:sz w:val="36"/>
    </w:rPr>
  </w:style>
  <w:style w:type="paragraph" w:customStyle="1" w:styleId="entradillaCOOPER">
    <w:name w:val="entradilla COOPER"/>
    <w:basedOn w:val="Ttulo2"/>
    <w:autoRedefine/>
    <w:rsid w:val="00BF4FFF"/>
    <w:pPr>
      <w:spacing w:before="100" w:beforeAutospacing="1" w:after="240" w:afterAutospacing="1"/>
    </w:pPr>
    <w:rPr>
      <w:rFonts w:ascii="Arial" w:eastAsia="Times New Roman" w:hAnsi="Arial"/>
      <w:i w:val="0"/>
      <w:lang w:val="de-DE"/>
    </w:rPr>
  </w:style>
  <w:style w:type="paragraph" w:customStyle="1" w:styleId="corporativoCOOPER">
    <w:name w:val="corporativo COOPER"/>
    <w:basedOn w:val="Normal"/>
    <w:autoRedefine/>
    <w:rsid w:val="00BF4FFF"/>
    <w:pPr>
      <w:spacing w:after="240" w:line="360" w:lineRule="auto"/>
      <w:jc w:val="both"/>
    </w:pPr>
    <w:rPr>
      <w:rFonts w:ascii="Arial" w:eastAsia="Times New Roman" w:hAnsi="Arial"/>
      <w:b/>
      <w:sz w:val="20"/>
      <w:lang w:val="de-DE"/>
    </w:rPr>
  </w:style>
  <w:style w:type="paragraph" w:customStyle="1" w:styleId="EntradillaCONTINENTAL">
    <w:name w:val="Entradilla CONTINENTAL"/>
    <w:basedOn w:val="textoContinental0"/>
    <w:autoRedefine/>
    <w:rsid w:val="00BF4FFF"/>
    <w:rPr>
      <w:lang w:val="es-ES_tradnl"/>
    </w:rPr>
  </w:style>
  <w:style w:type="paragraph" w:customStyle="1" w:styleId="corporativoCONTINENTAL">
    <w:name w:val="corporativo CONTINENTAL"/>
    <w:basedOn w:val="TextoCONTINENTAL"/>
    <w:rsid w:val="00BF4FFF"/>
    <w:rPr>
      <w:rFonts w:ascii="Arial" w:hAnsi="Arial" w:cs="Arial"/>
      <w:bCs/>
      <w:sz w:val="18"/>
      <w:lang w:val="es-ES" w:eastAsia="es-ES"/>
    </w:rPr>
  </w:style>
  <w:style w:type="paragraph" w:customStyle="1" w:styleId="LADILLOMICHELINOK">
    <w:name w:val="LADILLO MICHELIN OK"/>
    <w:basedOn w:val="Normal"/>
    <w:rsid w:val="00BF4FFF"/>
    <w:pPr>
      <w:spacing w:before="600" w:after="240" w:line="360" w:lineRule="exact"/>
    </w:pPr>
    <w:rPr>
      <w:rFonts w:ascii="Arial" w:hAnsi="Arial"/>
      <w:b/>
      <w:bCs/>
      <w:snapToGrid w:val="0"/>
      <w:color w:val="333399"/>
      <w:sz w:val="28"/>
      <w:lang w:val="es-ES"/>
    </w:rPr>
  </w:style>
  <w:style w:type="paragraph" w:customStyle="1" w:styleId="LadilloMichelinDossier">
    <w:name w:val="Ladillo Michelin Dossier"/>
    <w:basedOn w:val="TextoMichelin"/>
    <w:rsid w:val="00BF4FFF"/>
    <w:pPr>
      <w:spacing w:before="480" w:after="120"/>
      <w:jc w:val="left"/>
    </w:pPr>
    <w:rPr>
      <w:rFonts w:ascii="Times" w:hAnsi="Times"/>
      <w:b/>
      <w:sz w:val="26"/>
    </w:rPr>
  </w:style>
  <w:style w:type="table" w:styleId="Tablaconcuadrcula">
    <w:name w:val="Table Grid"/>
    <w:basedOn w:val="Tablanormal"/>
    <w:rsid w:val="00BF4FFF"/>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dillo">
    <w:name w:val="ladillo"/>
    <w:basedOn w:val="Normal"/>
    <w:autoRedefine/>
    <w:rsid w:val="00BF4FFF"/>
    <w:pPr>
      <w:jc w:val="both"/>
    </w:pPr>
    <w:rPr>
      <w:rFonts w:ascii="Trebuchet MS" w:eastAsia="Times New Roman" w:hAnsi="Trebuchet MS"/>
      <w:b/>
      <w:kern w:val="32"/>
      <w:sz w:val="22"/>
      <w:lang w:eastAsia="en-US"/>
    </w:rPr>
  </w:style>
  <w:style w:type="paragraph" w:customStyle="1" w:styleId="Normal2">
    <w:name w:val="Normal 2"/>
    <w:basedOn w:val="Normal"/>
    <w:autoRedefine/>
    <w:rsid w:val="00BF4FFF"/>
    <w:pPr>
      <w:jc w:val="both"/>
    </w:pPr>
    <w:rPr>
      <w:rFonts w:ascii="Helvetica" w:eastAsia="Times New Roman" w:hAnsi="Helvetica"/>
      <w:lang w:eastAsia="en-US"/>
    </w:rPr>
  </w:style>
  <w:style w:type="character" w:styleId="Enfasis">
    <w:name w:val="Emphasis"/>
    <w:basedOn w:val="Fuentedeprrafopredeter"/>
    <w:qFormat/>
    <w:rsid w:val="00BF4FFF"/>
    <w:rPr>
      <w:i/>
      <w:iCs/>
    </w:rPr>
  </w:style>
  <w:style w:type="character" w:customStyle="1" w:styleId="tw4winMark">
    <w:name w:val="tw4winMark"/>
    <w:rsid w:val="00BF4FFF"/>
    <w:rPr>
      <w:rFonts w:ascii="Courier New" w:hAnsi="Courier New" w:cs="Courier New"/>
      <w:vanish/>
      <w:color w:val="800080"/>
      <w:sz w:val="24"/>
      <w:szCs w:val="24"/>
      <w:vertAlign w:val="subscript"/>
    </w:rPr>
  </w:style>
  <w:style w:type="character" w:customStyle="1" w:styleId="tw4winError">
    <w:name w:val="tw4winError"/>
    <w:rsid w:val="00BF4FFF"/>
    <w:rPr>
      <w:rFonts w:ascii="Courier New" w:hAnsi="Courier New" w:cs="Courier New"/>
      <w:color w:val="00FF00"/>
      <w:sz w:val="40"/>
      <w:szCs w:val="40"/>
    </w:rPr>
  </w:style>
  <w:style w:type="character" w:customStyle="1" w:styleId="tw4winTerm">
    <w:name w:val="tw4winTerm"/>
    <w:rsid w:val="00BF4FFF"/>
    <w:rPr>
      <w:color w:val="0000FF"/>
    </w:rPr>
  </w:style>
  <w:style w:type="character" w:customStyle="1" w:styleId="tw4winPopup">
    <w:name w:val="tw4winPopup"/>
    <w:rsid w:val="00BF4FFF"/>
    <w:rPr>
      <w:rFonts w:ascii="Courier New" w:hAnsi="Courier New" w:cs="Courier New"/>
      <w:noProof/>
      <w:color w:val="008000"/>
    </w:rPr>
  </w:style>
  <w:style w:type="character" w:customStyle="1" w:styleId="tw4winJump">
    <w:name w:val="tw4winJump"/>
    <w:rsid w:val="00BF4FFF"/>
    <w:rPr>
      <w:rFonts w:ascii="Courier New" w:hAnsi="Courier New" w:cs="Courier New"/>
      <w:noProof/>
      <w:color w:val="008080"/>
    </w:rPr>
  </w:style>
  <w:style w:type="character" w:customStyle="1" w:styleId="tw4winExternal">
    <w:name w:val="tw4winExternal"/>
    <w:rsid w:val="00BF4FFF"/>
    <w:rPr>
      <w:rFonts w:ascii="Courier New" w:hAnsi="Courier New" w:cs="Courier New"/>
      <w:noProof/>
      <w:color w:val="808080"/>
    </w:rPr>
  </w:style>
  <w:style w:type="character" w:customStyle="1" w:styleId="tw4winInternal">
    <w:name w:val="tw4winInternal"/>
    <w:rsid w:val="00BF4FFF"/>
    <w:rPr>
      <w:rFonts w:ascii="Courier New" w:hAnsi="Courier New" w:cs="Courier New"/>
      <w:noProof/>
      <w:color w:val="FF0000"/>
    </w:rPr>
  </w:style>
  <w:style w:type="character" w:customStyle="1" w:styleId="DONOTTRANSLATE">
    <w:name w:val="DO_NOT_TRANSLATE"/>
    <w:rsid w:val="00BF4FFF"/>
    <w:rPr>
      <w:rFonts w:ascii="Courier New" w:hAnsi="Courier New" w:cs="Courier New"/>
      <w:noProof/>
      <w:color w:val="800000"/>
    </w:rPr>
  </w:style>
  <w:style w:type="paragraph" w:styleId="Textosinformato">
    <w:name w:val="Plain Text"/>
    <w:basedOn w:val="Normal"/>
    <w:link w:val="TextosinformatoCar"/>
    <w:rsid w:val="00BF4FFF"/>
    <w:rPr>
      <w:rFonts w:ascii="Courier New" w:eastAsia="Times New Roman" w:hAnsi="Courier New" w:cs="Courier New"/>
      <w:sz w:val="20"/>
      <w:lang w:val="fr-FR"/>
    </w:rPr>
  </w:style>
  <w:style w:type="character" w:customStyle="1" w:styleId="TextosinformatoCar">
    <w:name w:val="Texto sin formato Car"/>
    <w:basedOn w:val="Fuentedeprrafopredeter"/>
    <w:link w:val="Textosinformato"/>
    <w:rsid w:val="00BF4FFF"/>
    <w:rPr>
      <w:rFonts w:ascii="Courier New" w:hAnsi="Courier New" w:cs="Courier New"/>
      <w:sz w:val="20"/>
      <w:lang w:val="fr-FR" w:eastAsia="fr-FR"/>
    </w:rPr>
  </w:style>
  <w:style w:type="paragraph" w:customStyle="1" w:styleId="CarCarCarCarCarCarCarCarCar">
    <w:name w:val="Car Car Car Car Car Car Car Car Car"/>
    <w:basedOn w:val="Normal"/>
    <w:rsid w:val="00BF4FFF"/>
    <w:pPr>
      <w:spacing w:after="160" w:line="240" w:lineRule="exact"/>
    </w:pPr>
    <w:rPr>
      <w:rFonts w:ascii="Times New Roman" w:eastAsia="Times New Roman" w:hAnsi="Times New Roman"/>
      <w:sz w:val="20"/>
      <w:lang w:val="fr-FR" w:eastAsia="en-US"/>
    </w:rPr>
  </w:style>
  <w:style w:type="character" w:customStyle="1" w:styleId="CorpsdetexteCar">
    <w:name w:val="Corps de texte Car"/>
    <w:basedOn w:val="Fuentedeprrafopredeter"/>
    <w:rsid w:val="00BF4FFF"/>
    <w:rPr>
      <w:rFonts w:ascii="Arial" w:hAnsi="Arial"/>
      <w:szCs w:val="24"/>
      <w:lang w:val="fr-FR" w:eastAsia="en-GB" w:bidi="ar-SA"/>
    </w:rPr>
  </w:style>
  <w:style w:type="paragraph" w:customStyle="1" w:styleId="corpsdetexte">
    <w:name w:val="corps de texte"/>
    <w:basedOn w:val="Normal"/>
    <w:rsid w:val="00BF4FFF"/>
    <w:pPr>
      <w:ind w:right="7510"/>
      <w:jc w:val="both"/>
    </w:pPr>
    <w:rPr>
      <w:rFonts w:ascii="Arial" w:eastAsia="Times New Roman" w:hAnsi="Arial"/>
      <w:sz w:val="18"/>
      <w:szCs w:val="18"/>
      <w:lang w:val="fr-FR" w:eastAsia="en-GB"/>
    </w:rPr>
  </w:style>
  <w:style w:type="character" w:customStyle="1" w:styleId="corpsdetexteCar0">
    <w:name w:val="corps de texte Car"/>
    <w:basedOn w:val="Fuentedeprrafopredeter"/>
    <w:rsid w:val="00BF4FFF"/>
    <w:rPr>
      <w:rFonts w:ascii="Arial" w:hAnsi="Arial"/>
      <w:sz w:val="18"/>
      <w:szCs w:val="18"/>
      <w:lang w:val="fr-FR" w:eastAsia="en-GB" w:bidi="ar-SA"/>
    </w:rPr>
  </w:style>
  <w:style w:type="paragraph" w:customStyle="1" w:styleId="1">
    <w:name w:val="1"/>
    <w:basedOn w:val="Normal"/>
    <w:rsid w:val="00BF4FFF"/>
    <w:pPr>
      <w:spacing w:after="160" w:line="240" w:lineRule="exact"/>
    </w:pPr>
    <w:rPr>
      <w:rFonts w:ascii="Times New Roman" w:eastAsia="Times New Roman" w:hAnsi="Times New Roman"/>
      <w:sz w:val="20"/>
      <w:lang w:val="fr-FR" w:eastAsia="en-US"/>
    </w:rPr>
  </w:style>
  <w:style w:type="paragraph" w:customStyle="1" w:styleId="Note">
    <w:name w:val="Note"/>
    <w:basedOn w:val="Textodecuerpo"/>
    <w:rsid w:val="00BF4FFF"/>
    <w:pPr>
      <w:spacing w:before="60" w:after="0"/>
      <w:ind w:right="4649"/>
      <w:jc w:val="both"/>
    </w:pPr>
    <w:rPr>
      <w:rFonts w:ascii="Arial" w:eastAsia="Times New Roman" w:hAnsi="Arial" w:cs="Verdana"/>
      <w:i/>
      <w:sz w:val="16"/>
      <w:szCs w:val="16"/>
      <w:lang w:val="en-GB" w:eastAsia="en-GB" w:bidi="fr-FR"/>
    </w:rPr>
  </w:style>
  <w:style w:type="paragraph" w:customStyle="1" w:styleId="Bulletpoint">
    <w:name w:val="Bullet point"/>
    <w:basedOn w:val="Textodecuerpo"/>
    <w:rsid w:val="00BF4FFF"/>
    <w:pPr>
      <w:numPr>
        <w:numId w:val="6"/>
      </w:numPr>
      <w:spacing w:after="60"/>
      <w:ind w:right="4649"/>
      <w:jc w:val="both"/>
    </w:pPr>
    <w:rPr>
      <w:rFonts w:ascii="Arial" w:eastAsia="Times New Roman" w:hAnsi="Arial" w:cs="Verdana"/>
      <w:sz w:val="18"/>
      <w:szCs w:val="18"/>
      <w:lang w:val="fr-FR" w:eastAsia="en-GB" w:bidi="fr-FR"/>
    </w:rPr>
  </w:style>
  <w:style w:type="character" w:customStyle="1" w:styleId="BulletpointCar">
    <w:name w:val="Bullet point Car"/>
    <w:basedOn w:val="corpsdetexteCar0"/>
    <w:rsid w:val="00BF4FFF"/>
    <w:rPr>
      <w:rFonts w:ascii="Arial" w:hAnsi="Arial" w:cs="Verdana"/>
      <w:sz w:val="18"/>
      <w:szCs w:val="18"/>
      <w:lang w:val="fr-FR" w:eastAsia="en-GB" w:bidi="fr-FR"/>
    </w:rPr>
  </w:style>
  <w:style w:type="paragraph" w:customStyle="1" w:styleId="Titreinfo">
    <w:name w:val="Titre info"/>
    <w:basedOn w:val="Textodecuerpo"/>
    <w:next w:val="Textodecuerpo"/>
    <w:rsid w:val="00BF4FFF"/>
    <w:pPr>
      <w:keepNext/>
      <w:spacing w:after="60"/>
      <w:ind w:right="4649"/>
      <w:jc w:val="both"/>
    </w:pPr>
    <w:rPr>
      <w:rFonts w:ascii="Arial" w:eastAsia="Times New Roman" w:hAnsi="Arial" w:cs="Verdana"/>
      <w:b/>
      <w:color w:val="333399"/>
      <w:sz w:val="18"/>
      <w:szCs w:val="18"/>
      <w:lang w:val="fr-FR" w:eastAsia="en-GB" w:bidi="fr-FR"/>
    </w:rPr>
  </w:style>
  <w:style w:type="paragraph" w:customStyle="1" w:styleId="Titre4">
    <w:name w:val="Titre4"/>
    <w:basedOn w:val="Normal"/>
    <w:next w:val="Textodecuerpo"/>
    <w:rsid w:val="00BF4FFF"/>
    <w:pPr>
      <w:keepNext/>
      <w:spacing w:before="240" w:after="120"/>
      <w:ind w:right="4649"/>
    </w:pPr>
    <w:rPr>
      <w:rFonts w:ascii="Arial" w:eastAsia="Times New Roman" w:hAnsi="Arial"/>
      <w:b/>
      <w:bCs/>
      <w:color w:val="333399"/>
      <w:sz w:val="22"/>
      <w:lang w:val="fr-FR" w:eastAsia="en-GB"/>
    </w:rPr>
  </w:style>
  <w:style w:type="paragraph" w:customStyle="1" w:styleId="CarChar">
    <w:name w:val="Car Char"/>
    <w:basedOn w:val="Normal"/>
    <w:rsid w:val="00BF4FFF"/>
    <w:pPr>
      <w:spacing w:after="160" w:line="240" w:lineRule="exact"/>
    </w:pPr>
    <w:rPr>
      <w:rFonts w:ascii="Times New Roman" w:eastAsia="Times New Roman" w:hAnsi="Times New Roman"/>
      <w:sz w:val="20"/>
      <w:lang w:val="fr-FR" w:eastAsia="en-US"/>
    </w:rPr>
  </w:style>
  <w:style w:type="numbering" w:customStyle="1" w:styleId="NoList1">
    <w:name w:val="No List1"/>
    <w:next w:val="Sinlista"/>
    <w:semiHidden/>
    <w:unhideWhenUsed/>
    <w:rsid w:val="00BF4FFF"/>
  </w:style>
  <w:style w:type="table" w:customStyle="1" w:styleId="TableGrid1">
    <w:name w:val="Table Grid1"/>
    <w:basedOn w:val="Tablanormal"/>
    <w:next w:val="Tablaconcuadrcula"/>
    <w:rsid w:val="00BF4FFF"/>
    <w:rPr>
      <w:rFonts w:ascii="Times New Roman" w:eastAsia="MS Mincho" w:hAnsi="Times New Roman"/>
      <w:snapToGrid w:val="0"/>
      <w:lang w:val="fr-FR"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mmarynews1">
    <w:name w:val="summary_news1"/>
    <w:rsid w:val="00BF4FFF"/>
    <w:rPr>
      <w:rFonts w:ascii="Arial" w:hAnsi="Arial" w:cs="Arial" w:hint="default"/>
      <w:b w:val="0"/>
      <w:bCs w:val="0"/>
      <w:color w:val="666666"/>
      <w:sz w:val="21"/>
      <w:szCs w:val="21"/>
    </w:rPr>
  </w:style>
  <w:style w:type="paragraph" w:customStyle="1" w:styleId="Body1">
    <w:name w:val="Body 1"/>
    <w:rsid w:val="00D8177B"/>
    <w:pPr>
      <w:outlineLvl w:val="0"/>
    </w:pPr>
    <w:rPr>
      <w:rFonts w:ascii="Times New Roman" w:eastAsia="Arial Unicode MS" w:hAnsi="Times New Roman"/>
      <w:color w:val="000000"/>
      <w:szCs w:val="20"/>
      <w:u w:color="000000"/>
    </w:rPr>
  </w:style>
  <w:style w:type="paragraph" w:styleId="Lista2">
    <w:name w:val="List 2"/>
    <w:basedOn w:val="Normal"/>
    <w:rsid w:val="00B527E0"/>
    <w:pPr>
      <w:numPr>
        <w:numId w:val="7"/>
      </w:numPr>
    </w:pPr>
    <w:rPr>
      <w:rFonts w:ascii="Times New Roman" w:eastAsia="Times New Roman" w:hAnsi="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paragraph" w:styleId="Ttulo2">
    <w:name w:val="heading 2"/>
    <w:basedOn w:val="Normal"/>
    <w:next w:val="Normal"/>
    <w:link w:val="Ttulo2Car"/>
    <w:qFormat/>
    <w:rsid w:val="00BF4FFF"/>
    <w:pPr>
      <w:keepNext/>
      <w:spacing w:before="240" w:after="60"/>
      <w:outlineLvl w:val="1"/>
    </w:pPr>
    <w:rPr>
      <w:b/>
      <w:i/>
      <w:sz w:val="28"/>
    </w:rPr>
  </w:style>
  <w:style w:type="paragraph" w:styleId="Ttulo3">
    <w:name w:val="heading 3"/>
    <w:basedOn w:val="Normal"/>
    <w:next w:val="Normal"/>
    <w:link w:val="Ttulo3Car"/>
    <w:qFormat/>
    <w:rsid w:val="00BF4FFF"/>
    <w:pPr>
      <w:keepNext/>
      <w:spacing w:before="240" w:after="60"/>
      <w:outlineLvl w:val="2"/>
    </w:pPr>
    <w:rPr>
      <w:b/>
      <w:sz w:val="26"/>
      <w:szCs w:val="26"/>
    </w:rPr>
  </w:style>
  <w:style w:type="paragraph" w:styleId="Ttulo4">
    <w:name w:val="heading 4"/>
    <w:basedOn w:val="Normal"/>
    <w:next w:val="Normal"/>
    <w:link w:val="Ttulo4Car"/>
    <w:qFormat/>
    <w:rsid w:val="00BF4FFF"/>
    <w:pPr>
      <w:keepNext/>
      <w:jc w:val="center"/>
      <w:outlineLvl w:val="3"/>
    </w:pPr>
    <w:rPr>
      <w:rFonts w:ascii="Frutiger 45 Light" w:eastAsia="Times New Roman" w:hAnsi="Frutiger 45 Light"/>
      <w:b/>
      <w:color w:val="0000FF"/>
      <w:sz w:val="32"/>
    </w:rPr>
  </w:style>
  <w:style w:type="paragraph" w:styleId="Ttulo5">
    <w:name w:val="heading 5"/>
    <w:basedOn w:val="Normal"/>
    <w:next w:val="Normal"/>
    <w:link w:val="Ttulo5Car"/>
    <w:qFormat/>
    <w:rsid w:val="00BF4FFF"/>
    <w:pPr>
      <w:spacing w:before="240" w:after="60"/>
      <w:outlineLvl w:val="4"/>
    </w:pPr>
    <w:rPr>
      <w:b/>
      <w:i/>
      <w:sz w:val="26"/>
      <w:szCs w:val="26"/>
    </w:rPr>
  </w:style>
  <w:style w:type="paragraph" w:styleId="Ttulo6">
    <w:name w:val="heading 6"/>
    <w:basedOn w:val="Normal"/>
    <w:next w:val="Normal"/>
    <w:link w:val="Ttulo6Car"/>
    <w:qFormat/>
    <w:rsid w:val="00BF4FFF"/>
    <w:pPr>
      <w:keepNext/>
      <w:outlineLvl w:val="5"/>
    </w:pPr>
    <w:rPr>
      <w:rFonts w:ascii="Utopia" w:hAnsi="Utopia"/>
      <w:b/>
      <w:color w:val="FF6600"/>
      <w:sz w:val="22"/>
    </w:rPr>
  </w:style>
  <w:style w:type="paragraph" w:styleId="Ttulo8">
    <w:name w:val="heading 8"/>
    <w:basedOn w:val="Normal"/>
    <w:next w:val="Normal"/>
    <w:link w:val="Ttulo8Car"/>
    <w:qFormat/>
    <w:rsid w:val="00BF4FFF"/>
    <w:pPr>
      <w:spacing w:before="240" w:after="60"/>
      <w:outlineLvl w:val="7"/>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character" w:customStyle="1" w:styleId="Ttulo2Car">
    <w:name w:val="Título 2 Car"/>
    <w:basedOn w:val="Fuentedeprrafopredeter"/>
    <w:link w:val="Ttulo2"/>
    <w:rsid w:val="00BF4FFF"/>
    <w:rPr>
      <w:rFonts w:ascii="Times" w:eastAsia="Times" w:hAnsi="Times"/>
      <w:b/>
      <w:i/>
      <w:sz w:val="28"/>
      <w:lang w:eastAsia="fr-FR"/>
    </w:rPr>
  </w:style>
  <w:style w:type="character" w:customStyle="1" w:styleId="Ttulo3Car">
    <w:name w:val="Título 3 Car"/>
    <w:basedOn w:val="Fuentedeprrafopredeter"/>
    <w:link w:val="Ttulo3"/>
    <w:rsid w:val="00BF4FFF"/>
    <w:rPr>
      <w:rFonts w:ascii="Times" w:eastAsia="Times" w:hAnsi="Times"/>
      <w:b/>
      <w:sz w:val="26"/>
      <w:szCs w:val="26"/>
      <w:lang w:eastAsia="fr-FR"/>
    </w:rPr>
  </w:style>
  <w:style w:type="character" w:customStyle="1" w:styleId="Ttulo4Car">
    <w:name w:val="Título 4 Car"/>
    <w:basedOn w:val="Fuentedeprrafopredeter"/>
    <w:link w:val="Ttulo4"/>
    <w:rsid w:val="00BF4FFF"/>
    <w:rPr>
      <w:rFonts w:ascii="Frutiger 45 Light" w:hAnsi="Frutiger 45 Light"/>
      <w:b/>
      <w:color w:val="0000FF"/>
      <w:sz w:val="32"/>
      <w:lang w:eastAsia="fr-FR"/>
    </w:rPr>
  </w:style>
  <w:style w:type="character" w:customStyle="1" w:styleId="Ttulo5Car">
    <w:name w:val="Título 5 Car"/>
    <w:basedOn w:val="Fuentedeprrafopredeter"/>
    <w:link w:val="Ttulo5"/>
    <w:rsid w:val="00BF4FFF"/>
    <w:rPr>
      <w:rFonts w:ascii="Times" w:eastAsia="Times" w:hAnsi="Times"/>
      <w:b/>
      <w:i/>
      <w:sz w:val="26"/>
      <w:szCs w:val="26"/>
      <w:lang w:eastAsia="fr-FR"/>
    </w:rPr>
  </w:style>
  <w:style w:type="character" w:customStyle="1" w:styleId="Ttulo6Car">
    <w:name w:val="Título 6 Car"/>
    <w:basedOn w:val="Fuentedeprrafopredeter"/>
    <w:link w:val="Ttulo6"/>
    <w:rsid w:val="00BF4FFF"/>
    <w:rPr>
      <w:rFonts w:ascii="Utopia" w:eastAsia="Times" w:hAnsi="Utopia"/>
      <w:b/>
      <w:color w:val="FF6600"/>
      <w:sz w:val="22"/>
      <w:lang w:eastAsia="fr-FR"/>
    </w:rPr>
  </w:style>
  <w:style w:type="character" w:customStyle="1" w:styleId="Ttulo8Car">
    <w:name w:val="Título 8 Car"/>
    <w:basedOn w:val="Fuentedeprrafopredeter"/>
    <w:link w:val="Ttulo8"/>
    <w:rsid w:val="00BF4FFF"/>
    <w:rPr>
      <w:rFonts w:ascii="Times" w:eastAsia="Times" w:hAnsi="Times"/>
      <w:i/>
      <w:lang w:eastAsia="fr-FR"/>
    </w:rPr>
  </w:style>
  <w:style w:type="paragraph" w:styleId="Textodecuerpo">
    <w:name w:val="Body Text"/>
    <w:basedOn w:val="Normal"/>
    <w:link w:val="TextodecuerpoCar"/>
    <w:rsid w:val="00BF4FFF"/>
    <w:pPr>
      <w:spacing w:after="120"/>
    </w:pPr>
  </w:style>
  <w:style w:type="character" w:customStyle="1" w:styleId="TextodecuerpoCar">
    <w:name w:val="Texto de cuerpo Car"/>
    <w:basedOn w:val="Fuentedeprrafopredeter"/>
    <w:link w:val="Textodecuerpo"/>
    <w:rsid w:val="00BF4FFF"/>
    <w:rPr>
      <w:rFonts w:ascii="Times" w:eastAsia="Times" w:hAnsi="Times"/>
      <w:lang w:eastAsia="fr-FR"/>
    </w:rPr>
  </w:style>
  <w:style w:type="paragraph" w:customStyle="1" w:styleId="Headline">
    <w:name w:val="Headline"/>
    <w:rsid w:val="00BF4FFF"/>
    <w:pPr>
      <w:spacing w:line="360" w:lineRule="exact"/>
    </w:pPr>
    <w:rPr>
      <w:rFonts w:ascii="Frutiger 95 UltraBlack" w:hAnsi="Frutiger 95 UltraBlack"/>
      <w:snapToGrid w:val="0"/>
      <w:sz w:val="28"/>
    </w:rPr>
  </w:style>
  <w:style w:type="paragraph" w:customStyle="1" w:styleId="Subhead">
    <w:name w:val="Subhead"/>
    <w:rsid w:val="00BF4FFF"/>
    <w:pPr>
      <w:spacing w:line="360" w:lineRule="exact"/>
    </w:pPr>
    <w:rPr>
      <w:rFonts w:ascii="Frutiger 55 Roman" w:hAnsi="Frutiger 55 Roman"/>
      <w:b/>
      <w:snapToGrid w:val="0"/>
      <w:sz w:val="28"/>
    </w:rPr>
  </w:style>
  <w:style w:type="paragraph" w:customStyle="1" w:styleId="Flietext">
    <w:name w:val="Fließtext"/>
    <w:rsid w:val="00BF4FFF"/>
    <w:pPr>
      <w:spacing w:line="360" w:lineRule="exact"/>
      <w:jc w:val="both"/>
    </w:pPr>
    <w:rPr>
      <w:rFonts w:ascii="Utopia" w:hAnsi="Utopia"/>
      <w:snapToGrid w:val="0"/>
      <w:lang w:val="de-DE"/>
    </w:rPr>
  </w:style>
  <w:style w:type="paragraph" w:styleId="Listaconvietas">
    <w:name w:val="List Bullet"/>
    <w:basedOn w:val="Normal"/>
    <w:autoRedefine/>
    <w:rsid w:val="00BF4FFF"/>
    <w:pPr>
      <w:numPr>
        <w:numId w:val="1"/>
      </w:numPr>
    </w:pPr>
  </w:style>
  <w:style w:type="paragraph" w:customStyle="1" w:styleId="TextoCONTINENTAL">
    <w:name w:val="Texto CONTINENTAL"/>
    <w:basedOn w:val="Textodecuerpo"/>
    <w:rsid w:val="00BF4FFF"/>
    <w:pPr>
      <w:spacing w:after="240" w:line="360" w:lineRule="auto"/>
      <w:jc w:val="both"/>
    </w:pPr>
    <w:rPr>
      <w:color w:val="000000"/>
    </w:rPr>
  </w:style>
  <w:style w:type="character" w:styleId="Hipervnculo">
    <w:name w:val="Hyperlink"/>
    <w:basedOn w:val="Fuentedeprrafopredeter"/>
    <w:unhideWhenUsed/>
    <w:rsid w:val="00BF4FFF"/>
    <w:rPr>
      <w:color w:val="0000FF"/>
      <w:u w:val="single"/>
    </w:rPr>
  </w:style>
  <w:style w:type="paragraph" w:styleId="Textodecuerpo3">
    <w:name w:val="Body Text 3"/>
    <w:basedOn w:val="Normal"/>
    <w:link w:val="Textodecuerpo3Car"/>
    <w:rsid w:val="00BF4FFF"/>
    <w:pPr>
      <w:spacing w:after="120"/>
    </w:pPr>
    <w:rPr>
      <w:rFonts w:ascii="Times New Roman" w:hAnsi="Times New Roman"/>
      <w:snapToGrid w:val="0"/>
      <w:sz w:val="16"/>
      <w:szCs w:val="16"/>
      <w:lang w:val="fr-FR" w:eastAsia="es-ES"/>
    </w:rPr>
  </w:style>
  <w:style w:type="character" w:customStyle="1" w:styleId="Textodecuerpo3Car">
    <w:name w:val="Texto de cuerpo 3 Car"/>
    <w:basedOn w:val="Fuentedeprrafopredeter"/>
    <w:link w:val="Textodecuerpo3"/>
    <w:rsid w:val="00BF4FFF"/>
    <w:rPr>
      <w:rFonts w:ascii="Times New Roman" w:eastAsia="Times" w:hAnsi="Times New Roman"/>
      <w:snapToGrid w:val="0"/>
      <w:sz w:val="16"/>
      <w:szCs w:val="16"/>
      <w:lang w:val="fr-FR" w:eastAsia="es-ES"/>
    </w:rPr>
  </w:style>
  <w:style w:type="paragraph" w:styleId="NormalWeb">
    <w:name w:val="Normal (Web)"/>
    <w:basedOn w:val="Normal"/>
    <w:rsid w:val="00BF4FFF"/>
    <w:pPr>
      <w:spacing w:before="100" w:beforeAutospacing="1" w:after="100" w:afterAutospacing="1"/>
    </w:pPr>
    <w:rPr>
      <w:rFonts w:ascii="Times New Roman" w:hAnsi="Times New Roman"/>
      <w:snapToGrid w:val="0"/>
      <w:color w:val="000000"/>
      <w:lang w:val="fr-FR" w:eastAsia="es-ES"/>
    </w:rPr>
  </w:style>
  <w:style w:type="character" w:customStyle="1" w:styleId="style21">
    <w:name w:val="style21"/>
    <w:basedOn w:val="Fuentedeprrafopredeter"/>
    <w:rsid w:val="00BF4FFF"/>
    <w:rPr>
      <w:sz w:val="20"/>
      <w:szCs w:val="20"/>
    </w:rPr>
  </w:style>
  <w:style w:type="character" w:styleId="Textoennegrita">
    <w:name w:val="Strong"/>
    <w:basedOn w:val="Fuentedeprrafopredeter"/>
    <w:qFormat/>
    <w:rsid w:val="00BF4FFF"/>
    <w:rPr>
      <w:b/>
      <w:bCs/>
    </w:rPr>
  </w:style>
  <w:style w:type="paragraph" w:styleId="Prrafodelista">
    <w:name w:val="List Paragraph"/>
    <w:basedOn w:val="Normal"/>
    <w:uiPriority w:val="34"/>
    <w:qFormat/>
    <w:rsid w:val="00BF4FFF"/>
    <w:pPr>
      <w:spacing w:after="200" w:line="276" w:lineRule="auto"/>
      <w:ind w:left="720"/>
      <w:contextualSpacing/>
    </w:pPr>
    <w:rPr>
      <w:rFonts w:ascii="Times New Roman" w:eastAsia="Calibri" w:hAnsi="Times New Roman"/>
      <w:szCs w:val="22"/>
      <w:lang w:val="es-ES"/>
    </w:rPr>
  </w:style>
  <w:style w:type="character" w:styleId="Refdecomentario">
    <w:name w:val="annotation reference"/>
    <w:basedOn w:val="Fuentedeprrafopredeter"/>
    <w:rsid w:val="00BF4FFF"/>
    <w:rPr>
      <w:sz w:val="18"/>
    </w:rPr>
  </w:style>
  <w:style w:type="paragraph" w:styleId="Textocomentario">
    <w:name w:val="annotation text"/>
    <w:basedOn w:val="Normal"/>
    <w:link w:val="TextocomentarioCar"/>
    <w:rsid w:val="00BF4FFF"/>
  </w:style>
  <w:style w:type="character" w:customStyle="1" w:styleId="TextocomentarioCar">
    <w:name w:val="Texto comentario Car"/>
    <w:basedOn w:val="Fuentedeprrafopredeter"/>
    <w:link w:val="Textocomentario"/>
    <w:rsid w:val="00BF4FFF"/>
    <w:rPr>
      <w:rFonts w:ascii="Times" w:eastAsia="Times" w:hAnsi="Times"/>
      <w:lang w:eastAsia="fr-FR"/>
    </w:rPr>
  </w:style>
  <w:style w:type="paragraph" w:styleId="Asuntodelcomentario">
    <w:name w:val="annotation subject"/>
    <w:basedOn w:val="Textocomentario"/>
    <w:next w:val="Textocomentario"/>
    <w:link w:val="AsuntodelcomentarioCar"/>
    <w:rsid w:val="00BF4FFF"/>
    <w:rPr>
      <w:sz w:val="22"/>
      <w:szCs w:val="20"/>
    </w:rPr>
  </w:style>
  <w:style w:type="character" w:customStyle="1" w:styleId="AsuntodelcomentarioCar">
    <w:name w:val="Asunto del comentario Car"/>
    <w:basedOn w:val="TextocomentarioCar"/>
    <w:link w:val="Asuntodelcomentario"/>
    <w:rsid w:val="00BF4FFF"/>
    <w:rPr>
      <w:rFonts w:ascii="Times" w:eastAsia="Times" w:hAnsi="Times"/>
      <w:sz w:val="22"/>
      <w:szCs w:val="20"/>
      <w:lang w:eastAsia="fr-FR"/>
    </w:rPr>
  </w:style>
  <w:style w:type="paragraph" w:styleId="Textonotapie">
    <w:name w:val="footnote text"/>
    <w:basedOn w:val="Normal"/>
    <w:link w:val="TextonotapieCar"/>
    <w:rsid w:val="00BF4FFF"/>
  </w:style>
  <w:style w:type="character" w:customStyle="1" w:styleId="TextonotapieCar">
    <w:name w:val="Texto nota pie Car"/>
    <w:basedOn w:val="Fuentedeprrafopredeter"/>
    <w:link w:val="Textonotapie"/>
    <w:rsid w:val="00BF4FFF"/>
    <w:rPr>
      <w:rFonts w:ascii="Times" w:eastAsia="Times" w:hAnsi="Times"/>
      <w:lang w:eastAsia="fr-FR"/>
    </w:rPr>
  </w:style>
  <w:style w:type="character" w:styleId="Refdenotaalpie">
    <w:name w:val="footnote reference"/>
    <w:basedOn w:val="Fuentedeprrafopredeter"/>
    <w:rsid w:val="00BF4FFF"/>
    <w:rPr>
      <w:vertAlign w:val="superscript"/>
    </w:rPr>
  </w:style>
  <w:style w:type="character" w:styleId="Hipervnculovisitado">
    <w:name w:val="FollowedHyperlink"/>
    <w:basedOn w:val="Fuentedeprrafopredeter"/>
    <w:rsid w:val="00BF4FFF"/>
    <w:rPr>
      <w:color w:val="800080"/>
      <w:u w:val="single"/>
    </w:rPr>
  </w:style>
  <w:style w:type="paragraph" w:customStyle="1" w:styleId="EntradillaMICHELIN">
    <w:name w:val="Entradilla MICHELIN"/>
    <w:basedOn w:val="Normal"/>
    <w:rsid w:val="00BF4FFF"/>
    <w:pPr>
      <w:spacing w:line="240" w:lineRule="atLeast"/>
      <w:jc w:val="both"/>
    </w:pPr>
    <w:rPr>
      <w:rFonts w:ascii="Frutiger 45 Light" w:hAnsi="Frutiger 45 Light" w:cs="Frutiger 55 Roman"/>
      <w:b/>
      <w:bCs/>
      <w:i/>
      <w:snapToGrid w:val="0"/>
      <w:color w:val="333399"/>
      <w:szCs w:val="28"/>
      <w:lang w:eastAsia="es-ES"/>
    </w:rPr>
  </w:style>
  <w:style w:type="character" w:customStyle="1" w:styleId="hps">
    <w:name w:val="hps"/>
    <w:basedOn w:val="Fuentedeprrafopredeter"/>
    <w:rsid w:val="00BF4FFF"/>
  </w:style>
  <w:style w:type="paragraph" w:customStyle="1" w:styleId="SubheadMichelin">
    <w:name w:val="Subhead Michelin"/>
    <w:autoRedefine/>
    <w:rsid w:val="00BF4FFF"/>
    <w:pPr>
      <w:spacing w:line="360" w:lineRule="exact"/>
    </w:pPr>
    <w:rPr>
      <w:rFonts w:ascii="Frutiger 55 Roman" w:hAnsi="Frutiger 55 Roman"/>
      <w:b/>
      <w:snapToGrid w:val="0"/>
      <w:sz w:val="28"/>
    </w:rPr>
  </w:style>
  <w:style w:type="paragraph" w:customStyle="1" w:styleId="SUBTITULOMICHELIN">
    <w:name w:val="SUBTITULO MICHELIN"/>
    <w:basedOn w:val="Normal"/>
    <w:rsid w:val="00BF4FFF"/>
    <w:pPr>
      <w:spacing w:line="360" w:lineRule="exact"/>
    </w:pPr>
    <w:rPr>
      <w:rFonts w:ascii="Frutiger 45 Light" w:hAnsi="Frutiger 45 Light"/>
      <w:b/>
      <w:snapToGrid w:val="0"/>
      <w:sz w:val="36"/>
    </w:rPr>
  </w:style>
  <w:style w:type="paragraph" w:customStyle="1" w:styleId="TtuloDossier">
    <w:name w:val="Título Dossier"/>
    <w:basedOn w:val="Headline"/>
    <w:rsid w:val="00BF4FFF"/>
    <w:pPr>
      <w:spacing w:before="400" w:after="200" w:line="240" w:lineRule="auto"/>
      <w:jc w:val="center"/>
      <w:outlineLvl w:val="0"/>
    </w:pPr>
    <w:rPr>
      <w:color w:val="333399"/>
      <w:sz w:val="70"/>
    </w:rPr>
  </w:style>
  <w:style w:type="paragraph" w:customStyle="1" w:styleId="Dossierdeprensa">
    <w:name w:val="Dossier de prensa"/>
    <w:basedOn w:val="Headline"/>
    <w:rsid w:val="00BF4FFF"/>
    <w:pPr>
      <w:spacing w:before="300"/>
      <w:jc w:val="center"/>
      <w:outlineLvl w:val="0"/>
    </w:pPr>
    <w:rPr>
      <w:rFonts w:ascii="Frutiger 45 Light" w:hAnsi="Frutiger 45 Light"/>
      <w:b/>
      <w:color w:val="000000"/>
      <w:sz w:val="50"/>
      <w:lang w:val="es-ES"/>
    </w:rPr>
  </w:style>
  <w:style w:type="paragraph" w:customStyle="1" w:styleId="Fechadossier">
    <w:name w:val="Fecha dossier"/>
    <w:basedOn w:val="Headline"/>
    <w:rsid w:val="00BF4FFF"/>
    <w:pPr>
      <w:jc w:val="center"/>
    </w:pPr>
    <w:rPr>
      <w:rFonts w:ascii="Frutiger 45 Light" w:hAnsi="Frutiger 45 Light"/>
      <w:b/>
      <w:color w:val="000000"/>
      <w:sz w:val="36"/>
      <w:lang w:val="es-ES"/>
    </w:rPr>
  </w:style>
  <w:style w:type="paragraph" w:customStyle="1" w:styleId="Predeterminado">
    <w:name w:val="Predeterminado"/>
    <w:rsid w:val="00BF4FFF"/>
    <w:pPr>
      <w:widowControl w:val="0"/>
      <w:autoSpaceDE w:val="0"/>
      <w:autoSpaceDN w:val="0"/>
    </w:pPr>
    <w:rPr>
      <w:rFonts w:ascii="Times New Roman" w:hAnsi="Times New Roman"/>
      <w:lang w:eastAsia="es-ES"/>
    </w:rPr>
  </w:style>
  <w:style w:type="paragraph" w:styleId="Textodecuerpo2">
    <w:name w:val="Body Text 2"/>
    <w:basedOn w:val="Normal"/>
    <w:link w:val="Textodecuerpo2Car"/>
    <w:rsid w:val="00BF4FFF"/>
    <w:pPr>
      <w:spacing w:after="120" w:line="480" w:lineRule="auto"/>
    </w:pPr>
  </w:style>
  <w:style w:type="character" w:customStyle="1" w:styleId="Textodecuerpo2Car">
    <w:name w:val="Texto de cuerpo 2 Car"/>
    <w:basedOn w:val="Fuentedeprrafopredeter"/>
    <w:link w:val="Textodecuerpo2"/>
    <w:rsid w:val="00BF4FFF"/>
    <w:rPr>
      <w:rFonts w:ascii="Times" w:eastAsia="Times" w:hAnsi="Times"/>
      <w:lang w:eastAsia="fr-FR"/>
    </w:rPr>
  </w:style>
  <w:style w:type="paragraph" w:styleId="Sangradetdecuerpo">
    <w:name w:val="Body Text Indent"/>
    <w:basedOn w:val="Normal"/>
    <w:link w:val="SangradetdecuerpoCar"/>
    <w:rsid w:val="00BF4FFF"/>
    <w:pPr>
      <w:spacing w:after="120"/>
      <w:ind w:left="283"/>
    </w:pPr>
    <w:rPr>
      <w:rFonts w:ascii="Utopia" w:eastAsia="Times New Roman" w:hAnsi="Utopia"/>
      <w:sz w:val="20"/>
    </w:rPr>
  </w:style>
  <w:style w:type="character" w:customStyle="1" w:styleId="SangradetdecuerpoCar">
    <w:name w:val="Sangría de t. de cuerpo Car"/>
    <w:basedOn w:val="Fuentedeprrafopredeter"/>
    <w:link w:val="Sangradetdecuerpo"/>
    <w:rsid w:val="00BF4FFF"/>
    <w:rPr>
      <w:rFonts w:ascii="Utopia" w:hAnsi="Utopia"/>
      <w:sz w:val="20"/>
      <w:lang w:eastAsia="fr-FR"/>
    </w:rPr>
  </w:style>
  <w:style w:type="paragraph" w:styleId="Textodebloque">
    <w:name w:val="Block Text"/>
    <w:basedOn w:val="Normal"/>
    <w:rsid w:val="00BF4FFF"/>
    <w:pPr>
      <w:ind w:left="1800" w:right="1990"/>
      <w:jc w:val="center"/>
    </w:pPr>
    <w:rPr>
      <w:rFonts w:ascii="Utopia" w:eastAsia="Times New Roman" w:hAnsi="Utopia"/>
      <w:b/>
      <w:color w:val="333399"/>
      <w:sz w:val="40"/>
    </w:rPr>
  </w:style>
  <w:style w:type="paragraph" w:styleId="Ttulo">
    <w:name w:val="Title"/>
    <w:basedOn w:val="Normal"/>
    <w:link w:val="TtuloCar"/>
    <w:qFormat/>
    <w:rsid w:val="00BF4FFF"/>
    <w:pPr>
      <w:jc w:val="center"/>
    </w:pPr>
    <w:rPr>
      <w:rFonts w:ascii="Frutiger 55 Roman" w:eastAsia="Times New Roman" w:hAnsi="Frutiger 55 Roman"/>
      <w:b/>
      <w:sz w:val="32"/>
    </w:rPr>
  </w:style>
  <w:style w:type="character" w:customStyle="1" w:styleId="TtuloCar">
    <w:name w:val="Título Car"/>
    <w:basedOn w:val="Fuentedeprrafopredeter"/>
    <w:link w:val="Ttulo"/>
    <w:rsid w:val="00BF4FFF"/>
    <w:rPr>
      <w:rFonts w:ascii="Frutiger 55 Roman" w:hAnsi="Frutiger 55 Roman"/>
      <w:b/>
      <w:sz w:val="32"/>
      <w:lang w:eastAsia="fr-FR"/>
    </w:rPr>
  </w:style>
  <w:style w:type="paragraph" w:customStyle="1" w:styleId="StyleTitre2Frutiger55Roman">
    <w:name w:val="Style Titre 2 + Frutiger 55 Roman"/>
    <w:basedOn w:val="Ttulo2"/>
    <w:autoRedefine/>
    <w:rsid w:val="00BF4FFF"/>
    <w:pPr>
      <w:numPr>
        <w:numId w:val="2"/>
      </w:numPr>
      <w:tabs>
        <w:tab w:val="clear" w:pos="720"/>
      </w:tabs>
      <w:spacing w:before="0" w:after="0"/>
      <w:ind w:left="0" w:firstLine="0"/>
    </w:pPr>
    <w:rPr>
      <w:rFonts w:ascii="Utopia" w:hAnsi="Utopia"/>
      <w:i w:val="0"/>
      <w:snapToGrid w:val="0"/>
      <w:color w:val="0000FF"/>
      <w:sz w:val="22"/>
      <w:lang w:val="fr-FR"/>
    </w:rPr>
  </w:style>
  <w:style w:type="paragraph" w:customStyle="1" w:styleId="StyleTitreTimesNewRoman12ptNoirJustifi">
    <w:name w:val="Style Titre + Times New Roman 12 pt Noir Justifié"/>
    <w:basedOn w:val="Ttulo"/>
    <w:rsid w:val="00BF4FFF"/>
    <w:pPr>
      <w:autoSpaceDE w:val="0"/>
      <w:autoSpaceDN w:val="0"/>
      <w:jc w:val="both"/>
    </w:pPr>
    <w:rPr>
      <w:color w:val="000000"/>
      <w:sz w:val="24"/>
    </w:rPr>
  </w:style>
  <w:style w:type="paragraph" w:customStyle="1" w:styleId="TITULARBENDIX">
    <w:name w:val="TITULAR BENDIX"/>
    <w:basedOn w:val="Ttulo8"/>
    <w:rsid w:val="00BF4FFF"/>
    <w:pPr>
      <w:keepNext/>
      <w:spacing w:before="0" w:after="0"/>
      <w:ind w:right="11"/>
      <w:jc w:val="center"/>
    </w:pPr>
    <w:rPr>
      <w:rFonts w:eastAsia="Times New Roman"/>
      <w:b/>
      <w:i w:val="0"/>
      <w:caps/>
      <w:sz w:val="36"/>
    </w:rPr>
  </w:style>
  <w:style w:type="paragraph" w:customStyle="1" w:styleId="textoContinental0">
    <w:name w:val="texto Continental"/>
    <w:basedOn w:val="Normal"/>
    <w:rsid w:val="00BF4FFF"/>
    <w:pPr>
      <w:spacing w:after="240" w:line="360" w:lineRule="auto"/>
      <w:jc w:val="both"/>
    </w:pPr>
    <w:rPr>
      <w:rFonts w:ascii="Arial" w:hAnsi="Arial"/>
      <w:color w:val="000000"/>
      <w:sz w:val="22"/>
      <w:lang w:val="sl-SI"/>
    </w:rPr>
  </w:style>
  <w:style w:type="paragraph" w:customStyle="1" w:styleId="textocooper">
    <w:name w:val="texto cooper"/>
    <w:basedOn w:val="TextoCOOPER0"/>
    <w:rsid w:val="00BF4FFF"/>
    <w:pPr>
      <w:spacing w:line="360" w:lineRule="auto"/>
      <w:jc w:val="both"/>
    </w:pPr>
    <w:rPr>
      <w:b w:val="0"/>
      <w:sz w:val="24"/>
      <w:lang w:val="es-ES_tradnl"/>
    </w:rPr>
  </w:style>
  <w:style w:type="paragraph" w:customStyle="1" w:styleId="antetituloCONTINENTAL">
    <w:name w:val="antetitulo CONTINENTAL"/>
    <w:basedOn w:val="Ttulo2"/>
    <w:rsid w:val="00BF4FFF"/>
    <w:pPr>
      <w:spacing w:before="0" w:after="240" w:line="360" w:lineRule="auto"/>
    </w:pPr>
    <w:rPr>
      <w:rFonts w:ascii="Arial" w:hAnsi="Arial"/>
      <w:i w:val="0"/>
      <w:color w:val="000000"/>
      <w:sz w:val="22"/>
    </w:rPr>
  </w:style>
  <w:style w:type="paragraph" w:customStyle="1" w:styleId="titularCONTINENTAL">
    <w:name w:val="titular CONTINENTAL"/>
    <w:basedOn w:val="Normal"/>
    <w:rsid w:val="00BF4FFF"/>
    <w:pPr>
      <w:spacing w:after="240" w:line="360" w:lineRule="auto"/>
    </w:pPr>
    <w:rPr>
      <w:rFonts w:ascii="Arial" w:hAnsi="Arial"/>
      <w:b/>
      <w:color w:val="000000"/>
      <w:sz w:val="32"/>
    </w:rPr>
  </w:style>
  <w:style w:type="paragraph" w:customStyle="1" w:styleId="TextoCOOPER0">
    <w:name w:val="Texto COOPER"/>
    <w:basedOn w:val="Normal"/>
    <w:autoRedefine/>
    <w:rsid w:val="00BF4FFF"/>
    <w:pPr>
      <w:spacing w:after="240"/>
    </w:pPr>
    <w:rPr>
      <w:rFonts w:ascii="Arial" w:eastAsia="Times New Roman" w:hAnsi="Arial"/>
      <w:b/>
      <w:sz w:val="22"/>
      <w:lang w:val="de-DE"/>
    </w:rPr>
  </w:style>
  <w:style w:type="paragraph" w:customStyle="1" w:styleId="ENTRADILLABENDIX">
    <w:name w:val="ENTRADILLA BENDIX"/>
    <w:basedOn w:val="Normal"/>
    <w:rsid w:val="00BF4FFF"/>
    <w:pPr>
      <w:spacing w:after="240" w:line="360" w:lineRule="auto"/>
      <w:jc w:val="both"/>
    </w:pPr>
    <w:rPr>
      <w:rFonts w:eastAsia="Times New Roman"/>
      <w:b/>
    </w:rPr>
  </w:style>
  <w:style w:type="paragraph" w:customStyle="1" w:styleId="TEXTOBENDIX">
    <w:name w:val="TEXTO BENDIX"/>
    <w:basedOn w:val="Normal"/>
    <w:rsid w:val="00BF4FFF"/>
    <w:pPr>
      <w:spacing w:after="240" w:line="360" w:lineRule="auto"/>
      <w:jc w:val="both"/>
    </w:pPr>
    <w:rPr>
      <w:rFonts w:eastAsia="Times New Roman"/>
    </w:rPr>
  </w:style>
  <w:style w:type="paragraph" w:customStyle="1" w:styleId="TitularCOOPER">
    <w:name w:val="Titular COOPER"/>
    <w:basedOn w:val="Normal"/>
    <w:rsid w:val="00BF4FFF"/>
    <w:pPr>
      <w:spacing w:before="120" w:after="120"/>
      <w:jc w:val="center"/>
    </w:pPr>
    <w:rPr>
      <w:rFonts w:ascii="Arial" w:eastAsia="Times New Roman" w:hAnsi="Arial"/>
      <w:b/>
      <w:sz w:val="36"/>
    </w:rPr>
  </w:style>
  <w:style w:type="paragraph" w:customStyle="1" w:styleId="entradillaCOOPER">
    <w:name w:val="entradilla COOPER"/>
    <w:basedOn w:val="Ttulo2"/>
    <w:autoRedefine/>
    <w:rsid w:val="00BF4FFF"/>
    <w:pPr>
      <w:spacing w:before="100" w:beforeAutospacing="1" w:after="240" w:afterAutospacing="1"/>
    </w:pPr>
    <w:rPr>
      <w:rFonts w:ascii="Arial" w:eastAsia="Times New Roman" w:hAnsi="Arial"/>
      <w:i w:val="0"/>
      <w:lang w:val="de-DE"/>
    </w:rPr>
  </w:style>
  <w:style w:type="paragraph" w:customStyle="1" w:styleId="corporativoCOOPER">
    <w:name w:val="corporativo COOPER"/>
    <w:basedOn w:val="Normal"/>
    <w:autoRedefine/>
    <w:rsid w:val="00BF4FFF"/>
    <w:pPr>
      <w:spacing w:after="240" w:line="360" w:lineRule="auto"/>
      <w:jc w:val="both"/>
    </w:pPr>
    <w:rPr>
      <w:rFonts w:ascii="Arial" w:eastAsia="Times New Roman" w:hAnsi="Arial"/>
      <w:b/>
      <w:sz w:val="20"/>
      <w:lang w:val="de-DE"/>
    </w:rPr>
  </w:style>
  <w:style w:type="paragraph" w:customStyle="1" w:styleId="EntradillaCONTINENTAL">
    <w:name w:val="Entradilla CONTINENTAL"/>
    <w:basedOn w:val="textoContinental0"/>
    <w:autoRedefine/>
    <w:rsid w:val="00BF4FFF"/>
    <w:rPr>
      <w:lang w:val="es-ES_tradnl"/>
    </w:rPr>
  </w:style>
  <w:style w:type="paragraph" w:customStyle="1" w:styleId="corporativoCONTINENTAL">
    <w:name w:val="corporativo CONTINENTAL"/>
    <w:basedOn w:val="TextoCONTINENTAL"/>
    <w:rsid w:val="00BF4FFF"/>
    <w:rPr>
      <w:rFonts w:ascii="Arial" w:hAnsi="Arial" w:cs="Arial"/>
      <w:bCs/>
      <w:sz w:val="18"/>
      <w:lang w:val="es-ES" w:eastAsia="es-ES"/>
    </w:rPr>
  </w:style>
  <w:style w:type="paragraph" w:customStyle="1" w:styleId="LADILLOMICHELINOK">
    <w:name w:val="LADILLO MICHELIN OK"/>
    <w:basedOn w:val="Normal"/>
    <w:rsid w:val="00BF4FFF"/>
    <w:pPr>
      <w:spacing w:before="600" w:after="240" w:line="360" w:lineRule="exact"/>
    </w:pPr>
    <w:rPr>
      <w:rFonts w:ascii="Arial" w:hAnsi="Arial"/>
      <w:b/>
      <w:bCs/>
      <w:snapToGrid w:val="0"/>
      <w:color w:val="333399"/>
      <w:sz w:val="28"/>
      <w:lang w:val="es-ES"/>
    </w:rPr>
  </w:style>
  <w:style w:type="paragraph" w:customStyle="1" w:styleId="LadilloMichelinDossier">
    <w:name w:val="Ladillo Michelin Dossier"/>
    <w:basedOn w:val="TextoMichelin"/>
    <w:rsid w:val="00BF4FFF"/>
    <w:pPr>
      <w:spacing w:before="480" w:after="120"/>
      <w:jc w:val="left"/>
    </w:pPr>
    <w:rPr>
      <w:rFonts w:ascii="Times" w:hAnsi="Times"/>
      <w:b/>
      <w:sz w:val="26"/>
    </w:rPr>
  </w:style>
  <w:style w:type="table" w:styleId="Tablaconcuadrcula">
    <w:name w:val="Table Grid"/>
    <w:basedOn w:val="Tablanormal"/>
    <w:rsid w:val="00BF4FFF"/>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dillo">
    <w:name w:val="ladillo"/>
    <w:basedOn w:val="Normal"/>
    <w:autoRedefine/>
    <w:rsid w:val="00BF4FFF"/>
    <w:pPr>
      <w:jc w:val="both"/>
    </w:pPr>
    <w:rPr>
      <w:rFonts w:ascii="Trebuchet MS" w:eastAsia="Times New Roman" w:hAnsi="Trebuchet MS"/>
      <w:b/>
      <w:kern w:val="32"/>
      <w:sz w:val="22"/>
      <w:lang w:eastAsia="en-US"/>
    </w:rPr>
  </w:style>
  <w:style w:type="paragraph" w:customStyle="1" w:styleId="Normal2">
    <w:name w:val="Normal 2"/>
    <w:basedOn w:val="Normal"/>
    <w:autoRedefine/>
    <w:rsid w:val="00BF4FFF"/>
    <w:pPr>
      <w:jc w:val="both"/>
    </w:pPr>
    <w:rPr>
      <w:rFonts w:ascii="Helvetica" w:eastAsia="Times New Roman" w:hAnsi="Helvetica"/>
      <w:lang w:eastAsia="en-US"/>
    </w:rPr>
  </w:style>
  <w:style w:type="character" w:styleId="Enfasis">
    <w:name w:val="Emphasis"/>
    <w:basedOn w:val="Fuentedeprrafopredeter"/>
    <w:qFormat/>
    <w:rsid w:val="00BF4FFF"/>
    <w:rPr>
      <w:i/>
      <w:iCs/>
    </w:rPr>
  </w:style>
  <w:style w:type="character" w:customStyle="1" w:styleId="tw4winMark">
    <w:name w:val="tw4winMark"/>
    <w:rsid w:val="00BF4FFF"/>
    <w:rPr>
      <w:rFonts w:ascii="Courier New" w:hAnsi="Courier New" w:cs="Courier New"/>
      <w:vanish/>
      <w:color w:val="800080"/>
      <w:sz w:val="24"/>
      <w:szCs w:val="24"/>
      <w:vertAlign w:val="subscript"/>
    </w:rPr>
  </w:style>
  <w:style w:type="character" w:customStyle="1" w:styleId="tw4winError">
    <w:name w:val="tw4winError"/>
    <w:rsid w:val="00BF4FFF"/>
    <w:rPr>
      <w:rFonts w:ascii="Courier New" w:hAnsi="Courier New" w:cs="Courier New"/>
      <w:color w:val="00FF00"/>
      <w:sz w:val="40"/>
      <w:szCs w:val="40"/>
    </w:rPr>
  </w:style>
  <w:style w:type="character" w:customStyle="1" w:styleId="tw4winTerm">
    <w:name w:val="tw4winTerm"/>
    <w:rsid w:val="00BF4FFF"/>
    <w:rPr>
      <w:color w:val="0000FF"/>
    </w:rPr>
  </w:style>
  <w:style w:type="character" w:customStyle="1" w:styleId="tw4winPopup">
    <w:name w:val="tw4winPopup"/>
    <w:rsid w:val="00BF4FFF"/>
    <w:rPr>
      <w:rFonts w:ascii="Courier New" w:hAnsi="Courier New" w:cs="Courier New"/>
      <w:noProof/>
      <w:color w:val="008000"/>
    </w:rPr>
  </w:style>
  <w:style w:type="character" w:customStyle="1" w:styleId="tw4winJump">
    <w:name w:val="tw4winJump"/>
    <w:rsid w:val="00BF4FFF"/>
    <w:rPr>
      <w:rFonts w:ascii="Courier New" w:hAnsi="Courier New" w:cs="Courier New"/>
      <w:noProof/>
      <w:color w:val="008080"/>
    </w:rPr>
  </w:style>
  <w:style w:type="character" w:customStyle="1" w:styleId="tw4winExternal">
    <w:name w:val="tw4winExternal"/>
    <w:rsid w:val="00BF4FFF"/>
    <w:rPr>
      <w:rFonts w:ascii="Courier New" w:hAnsi="Courier New" w:cs="Courier New"/>
      <w:noProof/>
      <w:color w:val="808080"/>
    </w:rPr>
  </w:style>
  <w:style w:type="character" w:customStyle="1" w:styleId="tw4winInternal">
    <w:name w:val="tw4winInternal"/>
    <w:rsid w:val="00BF4FFF"/>
    <w:rPr>
      <w:rFonts w:ascii="Courier New" w:hAnsi="Courier New" w:cs="Courier New"/>
      <w:noProof/>
      <w:color w:val="FF0000"/>
    </w:rPr>
  </w:style>
  <w:style w:type="character" w:customStyle="1" w:styleId="DONOTTRANSLATE">
    <w:name w:val="DO_NOT_TRANSLATE"/>
    <w:rsid w:val="00BF4FFF"/>
    <w:rPr>
      <w:rFonts w:ascii="Courier New" w:hAnsi="Courier New" w:cs="Courier New"/>
      <w:noProof/>
      <w:color w:val="800000"/>
    </w:rPr>
  </w:style>
  <w:style w:type="paragraph" w:styleId="Textosinformato">
    <w:name w:val="Plain Text"/>
    <w:basedOn w:val="Normal"/>
    <w:link w:val="TextosinformatoCar"/>
    <w:rsid w:val="00BF4FFF"/>
    <w:rPr>
      <w:rFonts w:ascii="Courier New" w:eastAsia="Times New Roman" w:hAnsi="Courier New" w:cs="Courier New"/>
      <w:sz w:val="20"/>
      <w:lang w:val="fr-FR"/>
    </w:rPr>
  </w:style>
  <w:style w:type="character" w:customStyle="1" w:styleId="TextosinformatoCar">
    <w:name w:val="Texto sin formato Car"/>
    <w:basedOn w:val="Fuentedeprrafopredeter"/>
    <w:link w:val="Textosinformato"/>
    <w:rsid w:val="00BF4FFF"/>
    <w:rPr>
      <w:rFonts w:ascii="Courier New" w:hAnsi="Courier New" w:cs="Courier New"/>
      <w:sz w:val="20"/>
      <w:lang w:val="fr-FR" w:eastAsia="fr-FR"/>
    </w:rPr>
  </w:style>
  <w:style w:type="paragraph" w:customStyle="1" w:styleId="CarCarCarCarCarCarCarCarCar">
    <w:name w:val="Car Car Car Car Car Car Car Car Car"/>
    <w:basedOn w:val="Normal"/>
    <w:rsid w:val="00BF4FFF"/>
    <w:pPr>
      <w:spacing w:after="160" w:line="240" w:lineRule="exact"/>
    </w:pPr>
    <w:rPr>
      <w:rFonts w:ascii="Times New Roman" w:eastAsia="Times New Roman" w:hAnsi="Times New Roman"/>
      <w:sz w:val="20"/>
      <w:lang w:val="fr-FR" w:eastAsia="en-US"/>
    </w:rPr>
  </w:style>
  <w:style w:type="character" w:customStyle="1" w:styleId="CorpsdetexteCar">
    <w:name w:val="Corps de texte Car"/>
    <w:basedOn w:val="Fuentedeprrafopredeter"/>
    <w:rsid w:val="00BF4FFF"/>
    <w:rPr>
      <w:rFonts w:ascii="Arial" w:hAnsi="Arial"/>
      <w:szCs w:val="24"/>
      <w:lang w:val="fr-FR" w:eastAsia="en-GB" w:bidi="ar-SA"/>
    </w:rPr>
  </w:style>
  <w:style w:type="paragraph" w:customStyle="1" w:styleId="corpsdetexte">
    <w:name w:val="corps de texte"/>
    <w:basedOn w:val="Normal"/>
    <w:rsid w:val="00BF4FFF"/>
    <w:pPr>
      <w:ind w:right="7510"/>
      <w:jc w:val="both"/>
    </w:pPr>
    <w:rPr>
      <w:rFonts w:ascii="Arial" w:eastAsia="Times New Roman" w:hAnsi="Arial"/>
      <w:sz w:val="18"/>
      <w:szCs w:val="18"/>
      <w:lang w:val="fr-FR" w:eastAsia="en-GB"/>
    </w:rPr>
  </w:style>
  <w:style w:type="character" w:customStyle="1" w:styleId="corpsdetexteCar0">
    <w:name w:val="corps de texte Car"/>
    <w:basedOn w:val="Fuentedeprrafopredeter"/>
    <w:rsid w:val="00BF4FFF"/>
    <w:rPr>
      <w:rFonts w:ascii="Arial" w:hAnsi="Arial"/>
      <w:sz w:val="18"/>
      <w:szCs w:val="18"/>
      <w:lang w:val="fr-FR" w:eastAsia="en-GB" w:bidi="ar-SA"/>
    </w:rPr>
  </w:style>
  <w:style w:type="paragraph" w:customStyle="1" w:styleId="1">
    <w:name w:val="1"/>
    <w:basedOn w:val="Normal"/>
    <w:rsid w:val="00BF4FFF"/>
    <w:pPr>
      <w:spacing w:after="160" w:line="240" w:lineRule="exact"/>
    </w:pPr>
    <w:rPr>
      <w:rFonts w:ascii="Times New Roman" w:eastAsia="Times New Roman" w:hAnsi="Times New Roman"/>
      <w:sz w:val="20"/>
      <w:lang w:val="fr-FR" w:eastAsia="en-US"/>
    </w:rPr>
  </w:style>
  <w:style w:type="paragraph" w:customStyle="1" w:styleId="Note">
    <w:name w:val="Note"/>
    <w:basedOn w:val="Textodecuerpo"/>
    <w:rsid w:val="00BF4FFF"/>
    <w:pPr>
      <w:spacing w:before="60" w:after="0"/>
      <w:ind w:right="4649"/>
      <w:jc w:val="both"/>
    </w:pPr>
    <w:rPr>
      <w:rFonts w:ascii="Arial" w:eastAsia="Times New Roman" w:hAnsi="Arial" w:cs="Verdana"/>
      <w:i/>
      <w:sz w:val="16"/>
      <w:szCs w:val="16"/>
      <w:lang w:val="en-GB" w:eastAsia="en-GB" w:bidi="fr-FR"/>
    </w:rPr>
  </w:style>
  <w:style w:type="paragraph" w:customStyle="1" w:styleId="Bulletpoint">
    <w:name w:val="Bullet point"/>
    <w:basedOn w:val="Textodecuerpo"/>
    <w:rsid w:val="00BF4FFF"/>
    <w:pPr>
      <w:numPr>
        <w:numId w:val="6"/>
      </w:numPr>
      <w:spacing w:after="60"/>
      <w:ind w:right="4649"/>
      <w:jc w:val="both"/>
    </w:pPr>
    <w:rPr>
      <w:rFonts w:ascii="Arial" w:eastAsia="Times New Roman" w:hAnsi="Arial" w:cs="Verdana"/>
      <w:sz w:val="18"/>
      <w:szCs w:val="18"/>
      <w:lang w:val="fr-FR" w:eastAsia="en-GB" w:bidi="fr-FR"/>
    </w:rPr>
  </w:style>
  <w:style w:type="character" w:customStyle="1" w:styleId="BulletpointCar">
    <w:name w:val="Bullet point Car"/>
    <w:basedOn w:val="corpsdetexteCar0"/>
    <w:rsid w:val="00BF4FFF"/>
    <w:rPr>
      <w:rFonts w:ascii="Arial" w:hAnsi="Arial" w:cs="Verdana"/>
      <w:sz w:val="18"/>
      <w:szCs w:val="18"/>
      <w:lang w:val="fr-FR" w:eastAsia="en-GB" w:bidi="fr-FR"/>
    </w:rPr>
  </w:style>
  <w:style w:type="paragraph" w:customStyle="1" w:styleId="Titreinfo">
    <w:name w:val="Titre info"/>
    <w:basedOn w:val="Textodecuerpo"/>
    <w:next w:val="Textodecuerpo"/>
    <w:rsid w:val="00BF4FFF"/>
    <w:pPr>
      <w:keepNext/>
      <w:spacing w:after="60"/>
      <w:ind w:right="4649"/>
      <w:jc w:val="both"/>
    </w:pPr>
    <w:rPr>
      <w:rFonts w:ascii="Arial" w:eastAsia="Times New Roman" w:hAnsi="Arial" w:cs="Verdana"/>
      <w:b/>
      <w:color w:val="333399"/>
      <w:sz w:val="18"/>
      <w:szCs w:val="18"/>
      <w:lang w:val="fr-FR" w:eastAsia="en-GB" w:bidi="fr-FR"/>
    </w:rPr>
  </w:style>
  <w:style w:type="paragraph" w:customStyle="1" w:styleId="Titre4">
    <w:name w:val="Titre4"/>
    <w:basedOn w:val="Normal"/>
    <w:next w:val="Textodecuerpo"/>
    <w:rsid w:val="00BF4FFF"/>
    <w:pPr>
      <w:keepNext/>
      <w:spacing w:before="240" w:after="120"/>
      <w:ind w:right="4649"/>
    </w:pPr>
    <w:rPr>
      <w:rFonts w:ascii="Arial" w:eastAsia="Times New Roman" w:hAnsi="Arial"/>
      <w:b/>
      <w:bCs/>
      <w:color w:val="333399"/>
      <w:sz w:val="22"/>
      <w:lang w:val="fr-FR" w:eastAsia="en-GB"/>
    </w:rPr>
  </w:style>
  <w:style w:type="paragraph" w:customStyle="1" w:styleId="CarChar">
    <w:name w:val="Car Char"/>
    <w:basedOn w:val="Normal"/>
    <w:rsid w:val="00BF4FFF"/>
    <w:pPr>
      <w:spacing w:after="160" w:line="240" w:lineRule="exact"/>
    </w:pPr>
    <w:rPr>
      <w:rFonts w:ascii="Times New Roman" w:eastAsia="Times New Roman" w:hAnsi="Times New Roman"/>
      <w:sz w:val="20"/>
      <w:lang w:val="fr-FR" w:eastAsia="en-US"/>
    </w:rPr>
  </w:style>
  <w:style w:type="numbering" w:customStyle="1" w:styleId="NoList1">
    <w:name w:val="No List1"/>
    <w:next w:val="Sinlista"/>
    <w:semiHidden/>
    <w:unhideWhenUsed/>
    <w:rsid w:val="00BF4FFF"/>
  </w:style>
  <w:style w:type="table" w:customStyle="1" w:styleId="TableGrid1">
    <w:name w:val="Table Grid1"/>
    <w:basedOn w:val="Tablanormal"/>
    <w:next w:val="Tablaconcuadrcula"/>
    <w:rsid w:val="00BF4FFF"/>
    <w:rPr>
      <w:rFonts w:ascii="Times New Roman" w:eastAsia="MS Mincho" w:hAnsi="Times New Roman"/>
      <w:snapToGrid w:val="0"/>
      <w:lang w:val="fr-FR"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mmarynews1">
    <w:name w:val="summary_news1"/>
    <w:rsid w:val="00BF4FFF"/>
    <w:rPr>
      <w:rFonts w:ascii="Arial" w:hAnsi="Arial" w:cs="Arial" w:hint="default"/>
      <w:b w:val="0"/>
      <w:bCs w:val="0"/>
      <w:color w:val="666666"/>
      <w:sz w:val="21"/>
      <w:szCs w:val="21"/>
    </w:rPr>
  </w:style>
  <w:style w:type="paragraph" w:customStyle="1" w:styleId="Body1">
    <w:name w:val="Body 1"/>
    <w:rsid w:val="00D8177B"/>
    <w:pPr>
      <w:outlineLvl w:val="0"/>
    </w:pPr>
    <w:rPr>
      <w:rFonts w:ascii="Times New Roman" w:eastAsia="Arial Unicode MS" w:hAnsi="Times New Roman"/>
      <w:color w:val="000000"/>
      <w:szCs w:val="20"/>
      <w:u w:color="000000"/>
    </w:rPr>
  </w:style>
  <w:style w:type="paragraph" w:styleId="Lista2">
    <w:name w:val="List 2"/>
    <w:basedOn w:val="Normal"/>
    <w:rsid w:val="00B527E0"/>
    <w:pPr>
      <w:numPr>
        <w:numId w:val="7"/>
      </w:numPr>
    </w:pPr>
    <w:rPr>
      <w:rFonts w:ascii="Times New Roman" w:eastAsia="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6866">
      <w:bodyDiv w:val="1"/>
      <w:marLeft w:val="0"/>
      <w:marRight w:val="0"/>
      <w:marTop w:val="0"/>
      <w:marBottom w:val="0"/>
      <w:divBdr>
        <w:top w:val="none" w:sz="0" w:space="0" w:color="auto"/>
        <w:left w:val="none" w:sz="0" w:space="0" w:color="auto"/>
        <w:bottom w:val="none" w:sz="0" w:space="0" w:color="auto"/>
        <w:right w:val="none" w:sz="0" w:space="0" w:color="auto"/>
      </w:divBdr>
    </w:div>
    <w:div w:id="711464002">
      <w:bodyDiv w:val="1"/>
      <w:marLeft w:val="0"/>
      <w:marRight w:val="0"/>
      <w:marTop w:val="0"/>
      <w:marBottom w:val="0"/>
      <w:divBdr>
        <w:top w:val="none" w:sz="0" w:space="0" w:color="auto"/>
        <w:left w:val="none" w:sz="0" w:space="0" w:color="auto"/>
        <w:bottom w:val="none" w:sz="0" w:space="0" w:color="auto"/>
        <w:right w:val="none" w:sz="0" w:space="0" w:color="auto"/>
      </w:divBdr>
    </w:div>
    <w:div w:id="1900358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chelin.com/corporate" TargetMode="External"/><Relationship Id="rId9" Type="http://schemas.openxmlformats.org/officeDocument/2006/relationships/hyperlink" Target="http://www.michelin.com/corporate" TargetMode="External"/><Relationship Id="rId10" Type="http://schemas.openxmlformats.org/officeDocument/2006/relationships/hyperlink" Target="http://www.michelin.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2991</Words>
  <Characters>16456</Characters>
  <Application>Microsoft Macintosh Word</Application>
  <DocSecurity>0</DocSecurity>
  <Lines>137</Lines>
  <Paragraphs>38</Paragraphs>
  <ScaleCrop>false</ScaleCrop>
  <HeadingPairs>
    <vt:vector size="8" baseType="variant">
      <vt:variant>
        <vt:lpstr>Título</vt:lpstr>
      </vt:variant>
      <vt:variant>
        <vt:i4>1</vt:i4>
      </vt:variant>
      <vt:variant>
        <vt:lpstr>Títulos</vt:lpstr>
      </vt:variant>
      <vt:variant>
        <vt:i4>29</vt:i4>
      </vt:variant>
      <vt:variant>
        <vt:lpstr>Title</vt:lpstr>
      </vt:variant>
      <vt:variant>
        <vt:i4>1</vt:i4>
      </vt:variant>
      <vt:variant>
        <vt:lpstr>Headings</vt:lpstr>
      </vt:variant>
      <vt:variant>
        <vt:i4>8</vt:i4>
      </vt:variant>
    </vt:vector>
  </HeadingPairs>
  <TitlesOfParts>
    <vt:vector size="39" baseType="lpstr">
      <vt:lpstr/>
      <vt:lpstr>INFORMACIÓN DE PRENSA 23/10/2014</vt:lpstr>
      <vt:lpstr>En América del Norte, el mercado, siempre en progreso, crece un 5 % en los nueve</vt:lpstr>
      <vt:lpstr>En Europa, el mercado aumenta un 3 % hasta finales de septiembre. La demanda en </vt:lpstr>
      <vt:lpstr>En Asia (sin incluir India), los mercados crecen globalmente un 5 % en los nueve</vt:lpstr>
      <vt:lpstr>En Sudamérica, el mercado, al alza en un 5 % hasta finales de septiembre, mantie</vt:lpstr>
      <vt:lpstr>En América del Norte, el mercado continúa con fuerte crecimiento (+ 12 % hasta f</vt:lpstr>
      <vt:lpstr/>
      <vt:lpstr>En Asia (sin incluir India), la demanda radial y diagonal crece un 2 % en los nu</vt:lpstr>
      <vt:lpstr>En Sudamérica, en un contexto económico de menor crecimiento, la demanda sufre u</vt:lpstr>
      <vt:lpstr>En Europa, el mercado se mantiene al alza con un 3 % hasta finales de septiembre</vt:lpstr>
      <vt:lpstr>En América del Norte, el mercado continúa su dinámica de crecimiento  (+ 9 % en </vt:lpstr>
      <vt:lpstr>Los mercados de Asia (sin incluir India) crecen un 3 % en los nueve meses, con s</vt:lpstr>
      <vt:lpstr>En Sudamérica, el mercado cae un 3 % hasta fin de septiembre, con evoluciones di</vt:lpstr>
      <vt:lpstr/>
      <vt:lpstr/>
      <vt:lpstr/>
      <vt:lpstr>Los mercados de primeros equipos están en retroceso, desde comienzos del año en </vt:lpstr>
      <vt:lpstr>El mercado de neumáticos para infraestructuras y canteras crece en los países ma</vt:lpstr>
      <vt:lpstr/>
      <vt:lpstr/>
      <vt:lpstr/>
      <vt:lpstr/>
      <vt:lpstr/>
      <vt:lpstr/>
      <vt:lpstr/>
      <vt:lpstr/>
      <vt:lpstr>DEPARTAMENTO DE COMUNICACIÓN</vt:lpstr>
      <vt:lpstr>Avda. de Los Encuartes, 19</vt:lpstr>
      <vt:lpstr>28760 Tres Cantos – Madrid – ESPAÑA</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19409</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cp:lastModifiedBy>Julio</cp:lastModifiedBy>
  <cp:revision>4</cp:revision>
  <cp:lastPrinted>2013-10-28T21:42:00Z</cp:lastPrinted>
  <dcterms:created xsi:type="dcterms:W3CDTF">2014-10-23T14:30:00Z</dcterms:created>
  <dcterms:modified xsi:type="dcterms:W3CDTF">2014-10-23T14:40:00Z</dcterms:modified>
</cp:coreProperties>
</file>