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A0AB" w14:textId="77777777" w:rsidR="0013303A" w:rsidRPr="00A94F5F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015BBC">
        <w:rPr>
          <w:rFonts w:cs="Times"/>
          <w:noProof/>
          <w:color w:val="808080"/>
          <w:lang w:val="pt"/>
        </w:rPr>
        <w:t>24/10/2014</w:t>
      </w:r>
      <w:r>
        <w:rPr>
          <w:rFonts w:cs="Times"/>
          <w:color w:val="808080"/>
          <w:lang w:val="pt"/>
        </w:rPr>
        <w:fldChar w:fldCharType="end"/>
      </w:r>
    </w:p>
    <w:p w14:paraId="21CDA248" w14:textId="77777777" w:rsidR="001466B0" w:rsidRPr="00A94F5F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68D755AF" w14:textId="77777777" w:rsidR="00BF4FFF" w:rsidRPr="00A1677B" w:rsidRDefault="00BF4FFF" w:rsidP="00A1677B">
      <w:pPr>
        <w:jc w:val="center"/>
        <w:rPr>
          <w:rFonts w:ascii="Verdana" w:eastAsia="Times New Roman" w:hAnsi="Verdana"/>
          <w:b/>
          <w:sz w:val="18"/>
          <w:szCs w:val="18"/>
          <w:lang w:val="fr-FR"/>
        </w:rPr>
      </w:pPr>
      <w:proofErr w:type="spellStart"/>
      <w:r w:rsidRPr="00015BBC">
        <w:rPr>
          <w:b/>
          <w:snapToGrid w:val="0"/>
          <w:color w:val="333399"/>
          <w:sz w:val="40"/>
          <w:szCs w:val="26"/>
        </w:rPr>
        <w:t>Resultados</w:t>
      </w:r>
      <w:proofErr w:type="spellEnd"/>
      <w:r w:rsidRPr="00015BBC">
        <w:rPr>
          <w:b/>
          <w:snapToGrid w:val="0"/>
          <w:color w:val="333399"/>
          <w:sz w:val="40"/>
          <w:szCs w:val="26"/>
        </w:rPr>
        <w:t xml:space="preserve"> </w:t>
      </w:r>
      <w:proofErr w:type="spellStart"/>
      <w:r w:rsidRPr="00015BBC">
        <w:rPr>
          <w:b/>
          <w:snapToGrid w:val="0"/>
          <w:color w:val="333399"/>
          <w:sz w:val="40"/>
          <w:szCs w:val="26"/>
        </w:rPr>
        <w:t>financeiros</w:t>
      </w:r>
      <w:proofErr w:type="spellEnd"/>
      <w:r w:rsidRPr="00015BBC">
        <w:rPr>
          <w:b/>
          <w:snapToGrid w:val="0"/>
          <w:color w:val="333399"/>
          <w:sz w:val="40"/>
          <w:szCs w:val="26"/>
        </w:rPr>
        <w:t xml:space="preserve"> do </w:t>
      </w:r>
      <w:proofErr w:type="spellStart"/>
      <w:r w:rsidRPr="00015BBC">
        <w:rPr>
          <w:b/>
          <w:snapToGrid w:val="0"/>
          <w:color w:val="333399"/>
          <w:sz w:val="40"/>
          <w:szCs w:val="26"/>
        </w:rPr>
        <w:t>Grupo</w:t>
      </w:r>
      <w:proofErr w:type="spellEnd"/>
      <w:r w:rsidRPr="00015BBC">
        <w:rPr>
          <w:b/>
          <w:snapToGrid w:val="0"/>
          <w:color w:val="333399"/>
          <w:sz w:val="40"/>
          <w:szCs w:val="26"/>
        </w:rPr>
        <w:t xml:space="preserve"> Michelin</w:t>
      </w:r>
      <w:r w:rsidRPr="00A1677B">
        <w:rPr>
          <w:rFonts w:ascii="Verdana" w:eastAsia="Times New Roman" w:hAnsi="Verdana"/>
          <w:b/>
          <w:sz w:val="18"/>
          <w:szCs w:val="18"/>
          <w:lang w:val="fr-FR"/>
        </w:rPr>
        <w:t xml:space="preserve"> </w:t>
      </w:r>
      <w:r w:rsidRPr="00A1677B">
        <w:rPr>
          <w:rFonts w:ascii="Verdana" w:eastAsia="Times New Roman" w:hAnsi="Verdana"/>
          <w:b/>
          <w:sz w:val="18"/>
          <w:szCs w:val="18"/>
          <w:lang w:val="fr-FR"/>
        </w:rPr>
        <w:br/>
      </w:r>
      <w:proofErr w:type="spellStart"/>
      <w:r w:rsidRPr="00015BBC">
        <w:rPr>
          <w:b/>
          <w:color w:val="365F91" w:themeColor="accent1" w:themeShade="BF"/>
          <w:sz w:val="28"/>
          <w:szCs w:val="26"/>
        </w:rPr>
        <w:t>Informações</w:t>
      </w:r>
      <w:proofErr w:type="spellEnd"/>
      <w:r w:rsidRPr="00015BBC">
        <w:rPr>
          <w:b/>
          <w:color w:val="365F91" w:themeColor="accent1" w:themeShade="BF"/>
          <w:sz w:val="28"/>
          <w:szCs w:val="26"/>
        </w:rPr>
        <w:t xml:space="preserve"> </w:t>
      </w:r>
      <w:proofErr w:type="spellStart"/>
      <w:r w:rsidRPr="00015BBC">
        <w:rPr>
          <w:b/>
          <w:color w:val="365F91" w:themeColor="accent1" w:themeShade="BF"/>
          <w:sz w:val="28"/>
          <w:szCs w:val="26"/>
        </w:rPr>
        <w:t>financeiras</w:t>
      </w:r>
      <w:proofErr w:type="spellEnd"/>
      <w:r w:rsidRPr="00015BBC">
        <w:rPr>
          <w:b/>
          <w:color w:val="365F91" w:themeColor="accent1" w:themeShade="BF"/>
          <w:sz w:val="28"/>
          <w:szCs w:val="26"/>
        </w:rPr>
        <w:t xml:space="preserve"> para os nove </w:t>
      </w:r>
      <w:proofErr w:type="spellStart"/>
      <w:r w:rsidRPr="00015BBC">
        <w:rPr>
          <w:b/>
          <w:color w:val="365F91" w:themeColor="accent1" w:themeShade="BF"/>
          <w:sz w:val="28"/>
          <w:szCs w:val="26"/>
        </w:rPr>
        <w:t>meses</w:t>
      </w:r>
      <w:proofErr w:type="spellEnd"/>
      <w:r w:rsidRPr="00015BBC">
        <w:rPr>
          <w:b/>
          <w:color w:val="365F91" w:themeColor="accent1" w:themeShade="BF"/>
          <w:sz w:val="28"/>
          <w:szCs w:val="26"/>
        </w:rPr>
        <w:t xml:space="preserve"> </w:t>
      </w:r>
      <w:proofErr w:type="spellStart"/>
      <w:r w:rsidRPr="00015BBC">
        <w:rPr>
          <w:b/>
          <w:color w:val="365F91" w:themeColor="accent1" w:themeShade="BF"/>
          <w:sz w:val="28"/>
          <w:szCs w:val="26"/>
        </w:rPr>
        <w:t>encerrado</w:t>
      </w:r>
      <w:proofErr w:type="spellEnd"/>
      <w:r w:rsidRPr="00015BBC">
        <w:rPr>
          <w:b/>
          <w:color w:val="365F91" w:themeColor="accent1" w:themeShade="BF"/>
          <w:sz w:val="28"/>
          <w:szCs w:val="26"/>
        </w:rPr>
        <w:t xml:space="preserve"> </w:t>
      </w:r>
      <w:r w:rsidR="000B28D6">
        <w:rPr>
          <w:b/>
          <w:color w:val="365F91" w:themeColor="accent1" w:themeShade="BF"/>
          <w:sz w:val="28"/>
          <w:szCs w:val="26"/>
        </w:rPr>
        <w:br/>
      </w:r>
      <w:proofErr w:type="spellStart"/>
      <w:r w:rsidRPr="00015BBC">
        <w:rPr>
          <w:b/>
          <w:color w:val="365F91" w:themeColor="accent1" w:themeShade="BF"/>
          <w:sz w:val="28"/>
          <w:szCs w:val="26"/>
        </w:rPr>
        <w:t>em</w:t>
      </w:r>
      <w:proofErr w:type="spellEnd"/>
      <w:r w:rsidRPr="00015BBC">
        <w:rPr>
          <w:b/>
          <w:color w:val="365F91" w:themeColor="accent1" w:themeShade="BF"/>
          <w:sz w:val="28"/>
          <w:szCs w:val="26"/>
        </w:rPr>
        <w:t xml:space="preserve"> 30 de </w:t>
      </w:r>
      <w:proofErr w:type="spellStart"/>
      <w:r w:rsidRPr="00015BBC">
        <w:rPr>
          <w:b/>
          <w:color w:val="365F91" w:themeColor="accent1" w:themeShade="BF"/>
          <w:sz w:val="28"/>
          <w:szCs w:val="26"/>
        </w:rPr>
        <w:t>setembro</w:t>
      </w:r>
      <w:proofErr w:type="spellEnd"/>
      <w:r w:rsidRPr="00015BBC">
        <w:rPr>
          <w:b/>
          <w:color w:val="365F91" w:themeColor="accent1" w:themeShade="BF"/>
          <w:sz w:val="28"/>
          <w:szCs w:val="26"/>
        </w:rPr>
        <w:t xml:space="preserve"> de 2014</w:t>
      </w:r>
    </w:p>
    <w:p w14:paraId="27FEF6E3" w14:textId="77777777" w:rsidR="00BF4FFF" w:rsidRPr="00A94F5F" w:rsidRDefault="00BF4FFF" w:rsidP="00BF4FFF">
      <w:pPr>
        <w:jc w:val="center"/>
        <w:rPr>
          <w:rFonts w:ascii="Verdana" w:eastAsia="Times New Roman" w:hAnsi="Verdana"/>
          <w:b/>
          <w:sz w:val="18"/>
          <w:szCs w:val="18"/>
        </w:rPr>
      </w:pPr>
    </w:p>
    <w:p w14:paraId="7B5233E9" w14:textId="77777777" w:rsidR="00F515CD" w:rsidRPr="00A94F5F" w:rsidRDefault="00BF4FFF" w:rsidP="00F5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sz w:val="22"/>
          <w:szCs w:val="22"/>
        </w:rPr>
      </w:pPr>
      <w:r w:rsidRPr="000B28D6">
        <w:rPr>
          <w:rFonts w:ascii="Arial" w:hAnsi="Arial"/>
          <w:b/>
          <w:sz w:val="22"/>
          <w:szCs w:val="22"/>
        </w:rPr>
        <w:t xml:space="preserve">A Michelin anuncia umas vendas líquidas de 14.600 milhões de euros </w:t>
      </w:r>
      <w:r w:rsidRPr="000B28D6">
        <w:rPr>
          <w:rFonts w:ascii="Arial" w:hAnsi="Arial"/>
          <w:b/>
          <w:sz w:val="22"/>
          <w:szCs w:val="22"/>
        </w:rPr>
        <w:br/>
        <w:t xml:space="preserve"> e um aumento de 1% nos volumes até finais de setembro</w:t>
      </w:r>
    </w:p>
    <w:p w14:paraId="1B9E5C7F" w14:textId="77777777" w:rsidR="00BF4FFF" w:rsidRPr="00A94F5F" w:rsidRDefault="00BF4FFF" w:rsidP="00BF4FFF">
      <w:pPr>
        <w:jc w:val="center"/>
        <w:rPr>
          <w:rFonts w:ascii="Verdana" w:eastAsia="Times New Roman" w:hAnsi="Verdana"/>
          <w:b/>
          <w:sz w:val="18"/>
          <w:szCs w:val="18"/>
        </w:rPr>
      </w:pPr>
    </w:p>
    <w:p w14:paraId="254F2883" w14:textId="77777777" w:rsidR="00736021" w:rsidRPr="000B28D6" w:rsidRDefault="00EE5164" w:rsidP="000B28D6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A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desaceleração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mercado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observada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desde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segundo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trimestre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continuou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no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terceiro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:</w:t>
      </w:r>
    </w:p>
    <w:p w14:paraId="68D20227" w14:textId="77777777" w:rsidR="00736021" w:rsidRPr="000B28D6" w:rsidRDefault="00CE028A" w:rsidP="000B28D6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enfraquecimento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da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procura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proofErr w:type="gram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na</w:t>
      </w:r>
      <w:proofErr w:type="spellEnd"/>
      <w:proofErr w:type="gram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Europa, especialmente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em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pneus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camião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. </w:t>
      </w:r>
    </w:p>
    <w:p w14:paraId="5BA986D4" w14:textId="77777777" w:rsidR="00736021" w:rsidRPr="000B28D6" w:rsidRDefault="00CE028A" w:rsidP="000B28D6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A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contração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da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procura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equipamento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original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em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novos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mercados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, </w:t>
      </w:r>
      <w:proofErr w:type="gram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com</w:t>
      </w:r>
      <w:proofErr w:type="gram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exceção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da China.</w:t>
      </w:r>
    </w:p>
    <w:p w14:paraId="11A66C1A" w14:textId="77777777" w:rsidR="00A1677B" w:rsidRPr="000B28D6" w:rsidRDefault="00090294" w:rsidP="000B28D6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sustentado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crescimento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sólido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América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do Norte.</w:t>
      </w:r>
      <w:r w:rsidR="00FF00AE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br/>
      </w:r>
    </w:p>
    <w:p w14:paraId="388DE94D" w14:textId="77777777" w:rsidR="00736021" w:rsidRPr="000B28D6" w:rsidRDefault="00485325" w:rsidP="000B28D6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O volume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vendas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subiu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1%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em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finais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setembro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,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refletindo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: </w:t>
      </w:r>
    </w:p>
    <w:p w14:paraId="373C103B" w14:textId="77777777" w:rsidR="009D5894" w:rsidRPr="000B28D6" w:rsidRDefault="00A238E9" w:rsidP="000B28D6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A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resiliência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da quota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mercado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da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marca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MICHELIN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segmentos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Ligeiro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,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Camioneta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Camião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.</w:t>
      </w:r>
    </w:p>
    <w:p w14:paraId="1647786F" w14:textId="77777777" w:rsidR="00630B5D" w:rsidRPr="000B28D6" w:rsidRDefault="00A238E9" w:rsidP="000B28D6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crescimento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das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atividades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Engenharia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Civil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em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equipamento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original 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infraestrutura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amorteceu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processos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redução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do stock dos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clientes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pneus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minaria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.</w:t>
      </w:r>
    </w:p>
    <w:p w14:paraId="4EE3FB5D" w14:textId="77777777" w:rsidR="00A1677B" w:rsidRPr="00A1677B" w:rsidRDefault="00A1677B" w:rsidP="00A1677B">
      <w:pPr>
        <w:pStyle w:val="Lista2"/>
        <w:numPr>
          <w:ilvl w:val="0"/>
          <w:numId w:val="0"/>
        </w:numPr>
        <w:ind w:left="360"/>
        <w:rPr>
          <w:lang w:val="en-US"/>
        </w:rPr>
      </w:pPr>
    </w:p>
    <w:p w14:paraId="1B2EEBBD" w14:textId="77777777" w:rsidR="00585178" w:rsidRPr="000B28D6" w:rsidRDefault="00966434" w:rsidP="000B28D6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efeito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preço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-mix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foi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negativo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em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2%. </w:t>
      </w:r>
    </w:p>
    <w:p w14:paraId="72167A0A" w14:textId="77777777" w:rsidR="009D5894" w:rsidRPr="000B28D6" w:rsidRDefault="009D5894" w:rsidP="000B28D6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Aplicação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cláusulas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indexação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contratual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reposicionamentos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preços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,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num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momento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redução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dos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custos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matérias-primas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.</w:t>
      </w:r>
    </w:p>
    <w:p w14:paraId="6354BD4E" w14:textId="77777777" w:rsidR="00585178" w:rsidRPr="000B28D6" w:rsidRDefault="009D5894" w:rsidP="000B28D6">
      <w:pPr>
        <w:numPr>
          <w:ilvl w:val="1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Efeito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mix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favorável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graças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à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execução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sustentada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da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estratégia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premium. </w:t>
      </w:r>
    </w:p>
    <w:p w14:paraId="44EF33ED" w14:textId="77777777" w:rsidR="00A1677B" w:rsidRPr="00A1677B" w:rsidRDefault="00A1677B" w:rsidP="00A1677B">
      <w:pPr>
        <w:pStyle w:val="Lista2"/>
        <w:numPr>
          <w:ilvl w:val="0"/>
          <w:numId w:val="0"/>
        </w:numPr>
        <w:ind w:left="360"/>
        <w:rPr>
          <w:lang w:val="en-US"/>
        </w:rPr>
      </w:pPr>
    </w:p>
    <w:p w14:paraId="27A7D5BA" w14:textId="77777777" w:rsidR="00D5468B" w:rsidRPr="000B28D6" w:rsidRDefault="00C16660" w:rsidP="000B28D6">
      <w:pPr>
        <w:numPr>
          <w:ilvl w:val="0"/>
          <w:numId w:val="5"/>
        </w:num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</w:pPr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O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efeito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cambial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foi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negativo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ao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longo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dos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nove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meses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, </w:t>
      </w:r>
      <w:proofErr w:type="gram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mas</w:t>
      </w:r>
      <w:proofErr w:type="gram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tornou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-se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positivo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em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 </w:t>
      </w:r>
      <w:proofErr w:type="spellStart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>setembro</w:t>
      </w:r>
      <w:proofErr w:type="spellEnd"/>
      <w:r w:rsidRPr="000B28D6">
        <w:rPr>
          <w:rFonts w:cs="Frutiger 55 Roman"/>
          <w:b/>
          <w:bCs/>
          <w:i/>
          <w:iCs/>
          <w:snapToGrid w:val="0"/>
          <w:sz w:val="25"/>
          <w:szCs w:val="28"/>
          <w:lang w:eastAsia="es-ES" w:bidi="es-ES_tradnl"/>
        </w:rPr>
        <w:t xml:space="preserve">. </w:t>
      </w:r>
    </w:p>
    <w:p w14:paraId="6CBF171C" w14:textId="77777777" w:rsidR="00BF4FFF" w:rsidRPr="00A94F5F" w:rsidRDefault="00BF4FFF" w:rsidP="00BF4FFF">
      <w:p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</w:rPr>
      </w:pPr>
    </w:p>
    <w:p w14:paraId="79E68581" w14:textId="77777777" w:rsidR="00BF4FFF" w:rsidRPr="00A1677B" w:rsidRDefault="00DC672A" w:rsidP="00FF00AE">
      <w:pPr>
        <w:spacing w:after="240" w:line="270" w:lineRule="atLeast"/>
        <w:jc w:val="both"/>
        <w:rPr>
          <w:rFonts w:ascii="Verdana" w:eastAsia="Times New Roman" w:hAnsi="Verdana" w:cs="Arial"/>
          <w:b/>
          <w:sz w:val="20"/>
          <w:szCs w:val="18"/>
          <w:u w:val="single"/>
          <w:lang w:val="en-US"/>
        </w:rPr>
      </w:pPr>
      <w:r w:rsidRPr="00A1677B">
        <w:rPr>
          <w:rFonts w:ascii="Arial" w:hAnsi="Arial"/>
          <w:sz w:val="28"/>
          <w:lang w:val="pt"/>
        </w:rPr>
        <w:br w:type="column"/>
      </w:r>
      <w:proofErr w:type="spellStart"/>
      <w:r w:rsidRPr="00FF00AE">
        <w:rPr>
          <w:rFonts w:ascii="Arial" w:hAnsi="Arial"/>
          <w:b/>
          <w:bCs/>
          <w:sz w:val="28"/>
          <w:lang w:bidi="es-ES_tradnl"/>
        </w:rPr>
        <w:lastRenderedPageBreak/>
        <w:t>Perspetivas</w:t>
      </w:r>
      <w:proofErr w:type="spellEnd"/>
      <w:r w:rsidRPr="00FF00AE">
        <w:rPr>
          <w:rFonts w:ascii="Arial" w:hAnsi="Arial"/>
          <w:b/>
          <w:bCs/>
          <w:sz w:val="28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8"/>
          <w:lang w:bidi="es-ES_tradnl"/>
        </w:rPr>
        <w:t>para</w:t>
      </w:r>
      <w:proofErr w:type="spellEnd"/>
      <w:r w:rsidRPr="00FF00AE">
        <w:rPr>
          <w:rFonts w:ascii="Arial" w:hAnsi="Arial"/>
          <w:b/>
          <w:bCs/>
          <w:sz w:val="28"/>
          <w:lang w:bidi="es-ES_tradnl"/>
        </w:rPr>
        <w:t xml:space="preserve"> 2014</w:t>
      </w:r>
    </w:p>
    <w:p w14:paraId="1B9C9B47" w14:textId="77777777" w:rsidR="00E77DA1" w:rsidRPr="00FF00AE" w:rsidRDefault="0004758F" w:rsidP="001C518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  <w:lang w:bidi="es-ES_tradnl"/>
        </w:rPr>
      </w:pP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Num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ambiente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global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formado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pela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incerteza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económica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e as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dificuldades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geopolíticas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a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procura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automóveis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pneus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Ligeiro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Camioneta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Camião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deve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permanecer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flutuante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proofErr w:type="gramStart"/>
      <w:r w:rsidRPr="00FF00AE">
        <w:rPr>
          <w:rFonts w:ascii="Arial" w:hAnsi="Arial"/>
          <w:b/>
          <w:bCs/>
          <w:sz w:val="21"/>
          <w:lang w:bidi="es-ES_tradnl"/>
        </w:rPr>
        <w:t>na</w:t>
      </w:r>
      <w:proofErr w:type="spellEnd"/>
      <w:proofErr w:type="gram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América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do Norte e China 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estável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na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Europa.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Nos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novos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mercados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espera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-se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que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a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desaceleração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observada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especialmente no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segmento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equipamentos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originais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continue,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enquanto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a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demanda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reposição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pneus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deverá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continuar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robusta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no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segmento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Ligeiro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Camioneta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regressar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um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pouco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no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segmento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Camião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>.</w:t>
      </w:r>
    </w:p>
    <w:p w14:paraId="61FDBE8B" w14:textId="77777777" w:rsidR="0004758F" w:rsidRPr="00FF00AE" w:rsidRDefault="0004758F" w:rsidP="001C518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  <w:lang w:bidi="es-ES_tradnl"/>
        </w:rPr>
      </w:pPr>
    </w:p>
    <w:p w14:paraId="5E83CCD6" w14:textId="77777777" w:rsidR="00240601" w:rsidRPr="00FF00AE" w:rsidRDefault="00A8133F" w:rsidP="001C518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  <w:lang w:bidi="es-ES_tradnl"/>
        </w:rPr>
      </w:pPr>
      <w:r w:rsidRPr="00FF00AE">
        <w:rPr>
          <w:rFonts w:ascii="Arial" w:hAnsi="Arial"/>
          <w:b/>
          <w:bCs/>
          <w:sz w:val="21"/>
          <w:lang w:bidi="es-ES_tradnl"/>
        </w:rPr>
        <w:t xml:space="preserve">Dado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este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ambiente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a Michelin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reduziu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sua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previsão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para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crescimento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do volume,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linha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com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mercado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para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um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intervalo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1% a 2%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para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ano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inteiro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. As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tonelagens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pneus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especiais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devem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fechar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ano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a par </w:t>
      </w:r>
      <w:proofErr w:type="gramStart"/>
      <w:r w:rsidRPr="00FF00AE">
        <w:rPr>
          <w:rFonts w:ascii="Arial" w:hAnsi="Arial"/>
          <w:b/>
          <w:bCs/>
          <w:sz w:val="21"/>
          <w:lang w:bidi="es-ES_tradnl"/>
        </w:rPr>
        <w:t>com</w:t>
      </w:r>
      <w:proofErr w:type="gramEnd"/>
      <w:r w:rsidRPr="00FF00AE">
        <w:rPr>
          <w:rFonts w:ascii="Arial" w:hAnsi="Arial"/>
          <w:b/>
          <w:bCs/>
          <w:sz w:val="21"/>
          <w:lang w:bidi="es-ES_tradnl"/>
        </w:rPr>
        <w:t xml:space="preserve"> 2013, com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comparações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favoráveis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​​de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anos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anteriores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no quarto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trimestre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pneus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minaria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>.</w:t>
      </w:r>
    </w:p>
    <w:p w14:paraId="01560EA1" w14:textId="77777777" w:rsidR="00240601" w:rsidRPr="00FF00AE" w:rsidRDefault="00240601" w:rsidP="001C518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  <w:lang w:bidi="es-ES_tradnl"/>
        </w:rPr>
      </w:pPr>
    </w:p>
    <w:p w14:paraId="5D7BE4A5" w14:textId="77777777" w:rsidR="001C518F" w:rsidRPr="00FF00AE" w:rsidRDefault="00037AE7" w:rsidP="001C518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  <w:lang w:bidi="es-ES_tradnl"/>
        </w:rPr>
      </w:pPr>
      <w:r w:rsidRPr="00FF00AE">
        <w:rPr>
          <w:rFonts w:ascii="Arial" w:hAnsi="Arial"/>
          <w:b/>
          <w:bCs/>
          <w:sz w:val="21"/>
          <w:lang w:bidi="es-ES_tradnl"/>
        </w:rPr>
        <w:t xml:space="preserve">No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último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trimestre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2014, a Michelin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espera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ajustar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seu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processo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gestão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custos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resposta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às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mudanças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nas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condições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mercado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enquanto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desfruta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um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ambiente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moeda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mais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favorável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. O </w:t>
      </w:r>
      <w:proofErr w:type="spellStart"/>
      <w:proofErr w:type="gramStart"/>
      <w:r w:rsidRPr="00FF00AE">
        <w:rPr>
          <w:rFonts w:ascii="Arial" w:hAnsi="Arial"/>
          <w:b/>
          <w:bCs/>
          <w:sz w:val="21"/>
          <w:lang w:bidi="es-ES_tradnl"/>
        </w:rPr>
        <w:t>plano</w:t>
      </w:r>
      <w:proofErr w:type="spellEnd"/>
      <w:proofErr w:type="gram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competitividade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da Michelin, com € 169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milhões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poupança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longo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nove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meses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,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atesta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a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sua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eficiência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industrial.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Grupo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confirma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seu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objectivo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relatar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maior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resultado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operacional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antes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itens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não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recorrentes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taxas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câmbio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constantes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. </w:t>
      </w:r>
    </w:p>
    <w:p w14:paraId="74FF6395" w14:textId="77777777" w:rsidR="00037AE7" w:rsidRPr="00FF00AE" w:rsidRDefault="00037AE7" w:rsidP="001C518F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  <w:lang w:bidi="es-ES_tradnl"/>
        </w:rPr>
      </w:pPr>
    </w:p>
    <w:p w14:paraId="049C480A" w14:textId="77777777" w:rsidR="001C518F" w:rsidRPr="00FF00AE" w:rsidRDefault="00A94F9D" w:rsidP="00A94F9D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  <w:lang w:bidi="es-ES_tradnl"/>
        </w:rPr>
      </w:pPr>
      <w:r w:rsidRPr="00FF00AE">
        <w:rPr>
          <w:rFonts w:ascii="Arial" w:hAnsi="Arial"/>
          <w:b/>
          <w:bCs/>
          <w:sz w:val="21"/>
          <w:lang w:bidi="es-ES_tradnl"/>
        </w:rPr>
        <w:t xml:space="preserve">A Michelin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também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confirma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seu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objetivo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entregar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um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retorno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superior </w:t>
      </w:r>
      <w:proofErr w:type="gramStart"/>
      <w:r w:rsidRPr="00FF00AE">
        <w:rPr>
          <w:rFonts w:ascii="Arial" w:hAnsi="Arial"/>
          <w:b/>
          <w:bCs/>
          <w:sz w:val="21"/>
          <w:lang w:bidi="es-ES_tradnl"/>
        </w:rPr>
        <w:t>a</w:t>
      </w:r>
      <w:proofErr w:type="gramEnd"/>
      <w:r w:rsidRPr="00FF00AE">
        <w:rPr>
          <w:rFonts w:ascii="Arial" w:hAnsi="Arial"/>
          <w:b/>
          <w:bCs/>
          <w:sz w:val="21"/>
          <w:lang w:bidi="es-ES_tradnl"/>
        </w:rPr>
        <w:t xml:space="preserve"> 11%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sobre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o capital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empregado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gerar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fluxo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caixa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livre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estrutural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mais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€ 500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milhões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. O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programa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investimentos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é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mantido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cerca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de 2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biliões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€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2014 e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será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revisto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baixa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FF00AE">
        <w:rPr>
          <w:rFonts w:ascii="Arial" w:hAnsi="Arial"/>
          <w:b/>
          <w:bCs/>
          <w:sz w:val="21"/>
          <w:lang w:bidi="es-ES_tradnl"/>
        </w:rPr>
        <w:t>em</w:t>
      </w:r>
      <w:proofErr w:type="spellEnd"/>
      <w:r w:rsidRPr="00FF00AE">
        <w:rPr>
          <w:rFonts w:ascii="Arial" w:hAnsi="Arial"/>
          <w:b/>
          <w:bCs/>
          <w:sz w:val="21"/>
          <w:lang w:bidi="es-ES_tradnl"/>
        </w:rPr>
        <w:t xml:space="preserve"> 2015 e 2016.</w:t>
      </w:r>
    </w:p>
    <w:p w14:paraId="7A845350" w14:textId="77777777" w:rsidR="00057819" w:rsidRPr="00A94F5F" w:rsidRDefault="00057819" w:rsidP="00057819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1"/>
        </w:rPr>
      </w:pPr>
    </w:p>
    <w:p w14:paraId="417D204B" w14:textId="77777777" w:rsidR="00BF4FFF" w:rsidRPr="00A94F5F" w:rsidRDefault="00BF4FFF" w:rsidP="00BF4FFF">
      <w:pPr>
        <w:tabs>
          <w:tab w:val="left" w:pos="360"/>
        </w:tabs>
        <w:jc w:val="both"/>
        <w:rPr>
          <w:rFonts w:ascii="Verdana" w:eastAsia="Times New Roman" w:hAnsi="Verdana" w:cs="Arial"/>
          <w:b/>
          <w:bCs/>
          <w:highlight w:val="red"/>
        </w:rPr>
      </w:pPr>
    </w:p>
    <w:p w14:paraId="784CBD60" w14:textId="77777777" w:rsidR="001C518F" w:rsidRPr="00A94F5F" w:rsidRDefault="001C518F" w:rsidP="001C518F">
      <w:pPr>
        <w:spacing w:after="120" w:line="240" w:lineRule="atLeast"/>
        <w:rPr>
          <w:rFonts w:cs="Frutiger 55 Roman"/>
          <w:b/>
          <w:bCs/>
          <w:i/>
          <w:iCs/>
          <w:snapToGrid w:val="0"/>
          <w:sz w:val="25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078"/>
        <w:gridCol w:w="992"/>
        <w:gridCol w:w="1134"/>
        <w:gridCol w:w="1134"/>
        <w:gridCol w:w="1134"/>
        <w:gridCol w:w="1134"/>
      </w:tblGrid>
      <w:tr w:rsidR="001C518F" w:rsidRPr="00A94F5F" w14:paraId="3BB32070" w14:textId="77777777" w:rsidTr="001C518F">
        <w:tc>
          <w:tcPr>
            <w:tcW w:w="2291" w:type="dxa"/>
            <w:shd w:val="clear" w:color="auto" w:fill="E6E6E6"/>
          </w:tcPr>
          <w:p w14:paraId="330A0DCD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mallCaps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mallCaps/>
                <w:sz w:val="21"/>
                <w:szCs w:val="18"/>
                <w:lang w:val="pt"/>
              </w:rPr>
              <w:t>VENDAS LÍQUIDAS (milhões de euros)</w:t>
            </w:r>
          </w:p>
        </w:tc>
        <w:tc>
          <w:tcPr>
            <w:tcW w:w="3204" w:type="dxa"/>
            <w:gridSpan w:val="3"/>
            <w:shd w:val="clear" w:color="auto" w:fill="E6E6E6"/>
          </w:tcPr>
          <w:p w14:paraId="23C04A1D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Cs/>
                <w:smallCaps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 xml:space="preserve">3º trimestre </w:t>
            </w:r>
          </w:p>
        </w:tc>
        <w:tc>
          <w:tcPr>
            <w:tcW w:w="3402" w:type="dxa"/>
            <w:gridSpan w:val="3"/>
            <w:shd w:val="clear" w:color="auto" w:fill="E6E6E6"/>
          </w:tcPr>
          <w:p w14:paraId="22E80FCE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 xml:space="preserve">Nove primeiros meses </w:t>
            </w:r>
          </w:p>
        </w:tc>
      </w:tr>
      <w:tr w:rsidR="001C518F" w:rsidRPr="00A94F5F" w14:paraId="02498E8F" w14:textId="77777777" w:rsidTr="001C518F">
        <w:tc>
          <w:tcPr>
            <w:tcW w:w="2291" w:type="dxa"/>
            <w:shd w:val="clear" w:color="auto" w:fill="E6E6E6"/>
          </w:tcPr>
          <w:p w14:paraId="61F030EB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mallCaps/>
                <w:sz w:val="21"/>
                <w:szCs w:val="18"/>
              </w:rPr>
            </w:pPr>
          </w:p>
        </w:tc>
        <w:tc>
          <w:tcPr>
            <w:tcW w:w="1078" w:type="dxa"/>
            <w:shd w:val="clear" w:color="auto" w:fill="E6E6E6"/>
          </w:tcPr>
          <w:p w14:paraId="5691851B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2014</w:t>
            </w:r>
          </w:p>
        </w:tc>
        <w:tc>
          <w:tcPr>
            <w:tcW w:w="992" w:type="dxa"/>
            <w:shd w:val="clear" w:color="auto" w:fill="E6E6E6"/>
          </w:tcPr>
          <w:p w14:paraId="27AC3F91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2013</w:t>
            </w:r>
          </w:p>
        </w:tc>
        <w:tc>
          <w:tcPr>
            <w:tcW w:w="1134" w:type="dxa"/>
            <w:shd w:val="clear" w:color="auto" w:fill="E6E6E6"/>
          </w:tcPr>
          <w:p w14:paraId="160F6097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% Variação</w:t>
            </w:r>
          </w:p>
        </w:tc>
        <w:tc>
          <w:tcPr>
            <w:tcW w:w="1134" w:type="dxa"/>
            <w:shd w:val="clear" w:color="auto" w:fill="E6E6E6"/>
          </w:tcPr>
          <w:p w14:paraId="66F93C32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2014</w:t>
            </w:r>
          </w:p>
        </w:tc>
        <w:tc>
          <w:tcPr>
            <w:tcW w:w="1134" w:type="dxa"/>
            <w:shd w:val="clear" w:color="auto" w:fill="E6E6E6"/>
          </w:tcPr>
          <w:p w14:paraId="028744FA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2013</w:t>
            </w:r>
          </w:p>
        </w:tc>
        <w:tc>
          <w:tcPr>
            <w:tcW w:w="1134" w:type="dxa"/>
            <w:shd w:val="clear" w:color="auto" w:fill="E6E6E6"/>
          </w:tcPr>
          <w:p w14:paraId="1A6DD322" w14:textId="77777777" w:rsidR="001C518F" w:rsidRPr="00A94F5F" w:rsidRDefault="001C518F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% Variação</w:t>
            </w:r>
          </w:p>
        </w:tc>
      </w:tr>
      <w:tr w:rsidR="00230E79" w:rsidRPr="00A94F5F" w14:paraId="7B85989E" w14:textId="77777777" w:rsidTr="001C518F">
        <w:tc>
          <w:tcPr>
            <w:tcW w:w="2291" w:type="dxa"/>
          </w:tcPr>
          <w:p w14:paraId="5AEEA7D7" w14:textId="77777777" w:rsidR="00230E79" w:rsidRPr="00A94F5F" w:rsidRDefault="00230E79" w:rsidP="001C518F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rFonts w:ascii="Arial" w:hAnsi="Arial"/>
                <w:smallCaps/>
                <w:sz w:val="21"/>
                <w:szCs w:val="18"/>
                <w:lang w:val="pt"/>
              </w:rPr>
              <w:t>LIGEIRO, CAMIONETA E DISTRIBUIÇÃO ASSOCIADA</w:t>
            </w:r>
            <w:r>
              <w:rPr>
                <w:lang w:val="pt"/>
              </w:rPr>
              <w:t xml:space="preserve"> </w:t>
            </w:r>
          </w:p>
        </w:tc>
        <w:tc>
          <w:tcPr>
            <w:tcW w:w="1078" w:type="dxa"/>
          </w:tcPr>
          <w:p w14:paraId="10A9BD2D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2.592</w:t>
            </w:r>
          </w:p>
        </w:tc>
        <w:tc>
          <w:tcPr>
            <w:tcW w:w="992" w:type="dxa"/>
          </w:tcPr>
          <w:p w14:paraId="5ACB1833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2.702</w:t>
            </w:r>
          </w:p>
        </w:tc>
        <w:tc>
          <w:tcPr>
            <w:tcW w:w="1134" w:type="dxa"/>
          </w:tcPr>
          <w:p w14:paraId="3C6C46DA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- 4,1 %</w:t>
            </w:r>
          </w:p>
        </w:tc>
        <w:tc>
          <w:tcPr>
            <w:tcW w:w="1134" w:type="dxa"/>
          </w:tcPr>
          <w:p w14:paraId="20E6E95F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7.759</w:t>
            </w:r>
          </w:p>
        </w:tc>
        <w:tc>
          <w:tcPr>
            <w:tcW w:w="1134" w:type="dxa"/>
          </w:tcPr>
          <w:p w14:paraId="5593A2A0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8.023</w:t>
            </w:r>
          </w:p>
        </w:tc>
        <w:tc>
          <w:tcPr>
            <w:tcW w:w="1134" w:type="dxa"/>
          </w:tcPr>
          <w:p w14:paraId="1BD2A80C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- 3,3 %</w:t>
            </w:r>
          </w:p>
        </w:tc>
      </w:tr>
      <w:tr w:rsidR="00230E79" w:rsidRPr="00A94F5F" w14:paraId="4308540C" w14:textId="77777777" w:rsidTr="001C518F">
        <w:tc>
          <w:tcPr>
            <w:tcW w:w="2291" w:type="dxa"/>
          </w:tcPr>
          <w:p w14:paraId="4F3CD172" w14:textId="77777777" w:rsidR="00230E79" w:rsidRPr="00A94F5F" w:rsidRDefault="00230E79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smallCaps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mallCaps/>
                <w:sz w:val="21"/>
                <w:szCs w:val="18"/>
                <w:lang w:val="pt"/>
              </w:rPr>
              <w:t>CAMIÃO E DISTRIBUIÇÃO ASSOCIADA</w:t>
            </w:r>
          </w:p>
        </w:tc>
        <w:tc>
          <w:tcPr>
            <w:tcW w:w="1078" w:type="dxa"/>
          </w:tcPr>
          <w:p w14:paraId="6B3BD98E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1.576</w:t>
            </w:r>
          </w:p>
        </w:tc>
        <w:tc>
          <w:tcPr>
            <w:tcW w:w="992" w:type="dxa"/>
          </w:tcPr>
          <w:p w14:paraId="7215FFF0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1.660</w:t>
            </w:r>
          </w:p>
        </w:tc>
        <w:tc>
          <w:tcPr>
            <w:tcW w:w="1134" w:type="dxa"/>
          </w:tcPr>
          <w:p w14:paraId="510894FF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- 5,1 %</w:t>
            </w:r>
          </w:p>
        </w:tc>
        <w:tc>
          <w:tcPr>
            <w:tcW w:w="1134" w:type="dxa"/>
          </w:tcPr>
          <w:p w14:paraId="5148C963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4.503</w:t>
            </w:r>
          </w:p>
        </w:tc>
        <w:tc>
          <w:tcPr>
            <w:tcW w:w="1134" w:type="dxa"/>
          </w:tcPr>
          <w:p w14:paraId="7062B121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4.781</w:t>
            </w:r>
          </w:p>
        </w:tc>
        <w:tc>
          <w:tcPr>
            <w:tcW w:w="1134" w:type="dxa"/>
          </w:tcPr>
          <w:p w14:paraId="15323AD9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- 5,8 %</w:t>
            </w:r>
          </w:p>
        </w:tc>
      </w:tr>
      <w:tr w:rsidR="00230E79" w:rsidRPr="00A94F5F" w14:paraId="5A97D9D3" w14:textId="77777777" w:rsidTr="001C518F">
        <w:tc>
          <w:tcPr>
            <w:tcW w:w="2291" w:type="dxa"/>
          </w:tcPr>
          <w:p w14:paraId="318D398F" w14:textId="77777777" w:rsidR="00230E79" w:rsidRPr="00A94F5F" w:rsidRDefault="00230E79" w:rsidP="001C518F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rFonts w:ascii="Arial" w:eastAsia="Times New Roman" w:hAnsi="Arial" w:cs="Arial"/>
                <w:smallCaps/>
                <w:sz w:val="21"/>
                <w:szCs w:val="18"/>
                <w:lang w:val="pt"/>
              </w:rPr>
              <w:t>ATIVIDADES DE ESPECIALIDADES</w:t>
            </w:r>
            <w:r>
              <w:rPr>
                <w:rFonts w:ascii="Arial" w:eastAsia="Times New Roman" w:hAnsi="Arial" w:cs="Arial"/>
                <w:smallCaps/>
                <w:sz w:val="21"/>
                <w:szCs w:val="18"/>
                <w:vertAlign w:val="superscript"/>
                <w:lang w:val="pt"/>
              </w:rPr>
              <w:t>1</w:t>
            </w:r>
          </w:p>
        </w:tc>
        <w:tc>
          <w:tcPr>
            <w:tcW w:w="1078" w:type="dxa"/>
          </w:tcPr>
          <w:p w14:paraId="11E5FDB1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717</w:t>
            </w:r>
          </w:p>
        </w:tc>
        <w:tc>
          <w:tcPr>
            <w:tcW w:w="992" w:type="dxa"/>
          </w:tcPr>
          <w:p w14:paraId="3F422181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761</w:t>
            </w:r>
          </w:p>
        </w:tc>
        <w:tc>
          <w:tcPr>
            <w:tcW w:w="1134" w:type="dxa"/>
          </w:tcPr>
          <w:p w14:paraId="670C2029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- 5,8 %</w:t>
            </w:r>
          </w:p>
        </w:tc>
        <w:tc>
          <w:tcPr>
            <w:tcW w:w="1134" w:type="dxa"/>
          </w:tcPr>
          <w:p w14:paraId="573ABDFA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2.296</w:t>
            </w:r>
          </w:p>
        </w:tc>
        <w:tc>
          <w:tcPr>
            <w:tcW w:w="1134" w:type="dxa"/>
          </w:tcPr>
          <w:p w14:paraId="03970E0B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2.478</w:t>
            </w:r>
          </w:p>
        </w:tc>
        <w:tc>
          <w:tcPr>
            <w:tcW w:w="1134" w:type="dxa"/>
          </w:tcPr>
          <w:p w14:paraId="550276E4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- 7,3 %</w:t>
            </w:r>
          </w:p>
        </w:tc>
      </w:tr>
      <w:tr w:rsidR="00230E79" w:rsidRPr="00A94F5F" w14:paraId="62264A12" w14:textId="77777777" w:rsidTr="001C518F">
        <w:tc>
          <w:tcPr>
            <w:tcW w:w="2291" w:type="dxa"/>
          </w:tcPr>
          <w:p w14:paraId="0E8C5B0F" w14:textId="77777777" w:rsidR="00230E79" w:rsidRPr="00A94F5F" w:rsidRDefault="00230E79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Cs/>
                <w:smallCaps/>
                <w:sz w:val="21"/>
                <w:szCs w:val="18"/>
              </w:rPr>
            </w:pPr>
            <w:r>
              <w:rPr>
                <w:rFonts w:ascii="Arial" w:eastAsia="Times New Roman" w:hAnsi="Arial" w:cs="Arial"/>
                <w:smallCaps/>
                <w:sz w:val="21"/>
                <w:szCs w:val="18"/>
                <w:lang w:val="pt"/>
              </w:rPr>
              <w:t>TOTAL GRUPO</w:t>
            </w:r>
          </w:p>
          <w:p w14:paraId="398DF50A" w14:textId="77777777" w:rsidR="00230E79" w:rsidRPr="00A94F5F" w:rsidRDefault="00230E79" w:rsidP="001C518F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  <w:bCs/>
                <w:smallCaps/>
                <w:sz w:val="21"/>
                <w:szCs w:val="18"/>
              </w:rPr>
            </w:pPr>
          </w:p>
        </w:tc>
        <w:tc>
          <w:tcPr>
            <w:tcW w:w="1078" w:type="dxa"/>
          </w:tcPr>
          <w:p w14:paraId="15FE4904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4.885</w:t>
            </w:r>
          </w:p>
        </w:tc>
        <w:tc>
          <w:tcPr>
            <w:tcW w:w="992" w:type="dxa"/>
          </w:tcPr>
          <w:p w14:paraId="5743E3C3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5.123</w:t>
            </w:r>
          </w:p>
        </w:tc>
        <w:tc>
          <w:tcPr>
            <w:tcW w:w="1134" w:type="dxa"/>
          </w:tcPr>
          <w:p w14:paraId="62858A5A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- 4,6 %</w:t>
            </w:r>
          </w:p>
        </w:tc>
        <w:tc>
          <w:tcPr>
            <w:tcW w:w="1134" w:type="dxa"/>
          </w:tcPr>
          <w:p w14:paraId="381988B8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14.558</w:t>
            </w:r>
          </w:p>
        </w:tc>
        <w:tc>
          <w:tcPr>
            <w:tcW w:w="1134" w:type="dxa"/>
          </w:tcPr>
          <w:p w14:paraId="469ED582" w14:textId="77777777" w:rsidR="00230E79" w:rsidRPr="00A94F5F" w:rsidRDefault="00230E79" w:rsidP="00230E7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15.282</w:t>
            </w:r>
          </w:p>
        </w:tc>
        <w:tc>
          <w:tcPr>
            <w:tcW w:w="1134" w:type="dxa"/>
          </w:tcPr>
          <w:p w14:paraId="5671ADD3" w14:textId="77777777" w:rsidR="00230E79" w:rsidRPr="00A94F5F" w:rsidRDefault="00230E79" w:rsidP="001C518F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- 4,7 %</w:t>
            </w:r>
          </w:p>
        </w:tc>
      </w:tr>
    </w:tbl>
    <w:p w14:paraId="71F48D3F" w14:textId="77777777" w:rsidR="001C518F" w:rsidRPr="00A94F5F" w:rsidRDefault="001C518F" w:rsidP="001C518F">
      <w:pPr>
        <w:tabs>
          <w:tab w:val="left" w:pos="360"/>
        </w:tabs>
        <w:jc w:val="both"/>
        <w:rPr>
          <w:rStyle w:val="hps"/>
        </w:rPr>
      </w:pPr>
      <w:r>
        <w:rPr>
          <w:rFonts w:ascii="Arial" w:hAnsi="Arial"/>
          <w:sz w:val="16"/>
          <w:szCs w:val="16"/>
          <w:vertAlign w:val="superscript"/>
          <w:lang w:val="pt"/>
        </w:rPr>
        <w:t>1</w:t>
      </w:r>
      <w:r>
        <w:rPr>
          <w:rFonts w:ascii="Arial" w:hAnsi="Arial"/>
          <w:sz w:val="16"/>
          <w:szCs w:val="16"/>
          <w:lang w:val="pt"/>
        </w:rPr>
        <w:t xml:space="preserve"> </w:t>
      </w:r>
      <w:r>
        <w:rPr>
          <w:rStyle w:val="hps"/>
          <w:sz w:val="16"/>
          <w:lang w:val="pt"/>
        </w:rPr>
        <w:t xml:space="preserve"> Pneus de engenharia civil, agrícolas, duas rodas e avião; Michelin Travel Partner e Michelin Lifestyle.</w:t>
      </w:r>
    </w:p>
    <w:p w14:paraId="4DDB9BA1" w14:textId="77777777" w:rsidR="00BF4FFF" w:rsidRPr="00A94F5F" w:rsidRDefault="001C518F" w:rsidP="00A1677B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bCs/>
          <w:highlight w:val="red"/>
        </w:rPr>
      </w:pPr>
      <w:r>
        <w:rPr>
          <w:rFonts w:ascii="Verdana" w:eastAsia="Times New Roman" w:hAnsi="Verdana" w:cs="Arial"/>
          <w:b/>
          <w:bCs/>
          <w:highlight w:val="red"/>
          <w:lang w:val="pt"/>
        </w:rPr>
        <w:br w:type="column"/>
      </w:r>
    </w:p>
    <w:p w14:paraId="7CEE3F22" w14:textId="77777777" w:rsidR="00BF4FFF" w:rsidRPr="00FF00AE" w:rsidRDefault="00BF4FFF" w:rsidP="00EC211F">
      <w:pPr>
        <w:tabs>
          <w:tab w:val="left" w:pos="284"/>
        </w:tabs>
        <w:ind w:right="2691"/>
        <w:jc w:val="both"/>
        <w:rPr>
          <w:b/>
          <w:snapToGrid w:val="0"/>
          <w:color w:val="333399"/>
          <w:sz w:val="40"/>
          <w:szCs w:val="26"/>
        </w:rPr>
      </w:pPr>
      <w:proofErr w:type="spellStart"/>
      <w:r w:rsidRPr="00FF00AE">
        <w:rPr>
          <w:b/>
          <w:snapToGrid w:val="0"/>
          <w:color w:val="333399"/>
          <w:sz w:val="40"/>
          <w:szCs w:val="26"/>
        </w:rPr>
        <w:t>Evolução</w:t>
      </w:r>
      <w:proofErr w:type="spellEnd"/>
      <w:r w:rsidRPr="00FF00AE">
        <w:rPr>
          <w:b/>
          <w:snapToGrid w:val="0"/>
          <w:color w:val="333399"/>
          <w:sz w:val="40"/>
          <w:szCs w:val="26"/>
        </w:rPr>
        <w:t xml:space="preserve"> do </w:t>
      </w:r>
      <w:proofErr w:type="spellStart"/>
      <w:r w:rsidRPr="00FF00AE">
        <w:rPr>
          <w:b/>
          <w:snapToGrid w:val="0"/>
          <w:color w:val="333399"/>
          <w:sz w:val="40"/>
          <w:szCs w:val="26"/>
        </w:rPr>
        <w:t>mercado</w:t>
      </w:r>
      <w:proofErr w:type="spellEnd"/>
      <w:r w:rsidRPr="00FF00AE">
        <w:rPr>
          <w:b/>
          <w:snapToGrid w:val="0"/>
          <w:color w:val="333399"/>
          <w:sz w:val="40"/>
          <w:szCs w:val="26"/>
        </w:rPr>
        <w:t xml:space="preserve"> de </w:t>
      </w:r>
      <w:proofErr w:type="spellStart"/>
      <w:r w:rsidRPr="00FF00AE">
        <w:rPr>
          <w:b/>
          <w:snapToGrid w:val="0"/>
          <w:color w:val="333399"/>
          <w:sz w:val="40"/>
          <w:szCs w:val="26"/>
        </w:rPr>
        <w:t>pneus</w:t>
      </w:r>
      <w:proofErr w:type="spellEnd"/>
      <w:r w:rsidRPr="00FF00AE">
        <w:rPr>
          <w:b/>
          <w:snapToGrid w:val="0"/>
          <w:color w:val="333399"/>
          <w:sz w:val="40"/>
          <w:szCs w:val="26"/>
        </w:rPr>
        <w:t xml:space="preserve"> </w:t>
      </w:r>
    </w:p>
    <w:p w14:paraId="5AF8FEC6" w14:textId="77777777" w:rsidR="00A1677B" w:rsidRPr="00A1677B" w:rsidRDefault="00A1677B" w:rsidP="00A1677B">
      <w:pPr>
        <w:tabs>
          <w:tab w:val="left" w:pos="284"/>
          <w:tab w:val="num" w:pos="360"/>
        </w:tabs>
        <w:jc w:val="both"/>
        <w:rPr>
          <w:rFonts w:ascii="Arial" w:eastAsia="Times New Roman" w:hAnsi="Arial" w:cs="Arial"/>
          <w:smallCaps/>
          <w:lang w:val="en-US"/>
        </w:rPr>
      </w:pPr>
    </w:p>
    <w:p w14:paraId="1D52E2D9" w14:textId="77777777" w:rsidR="00A1677B" w:rsidRPr="00A1677B" w:rsidRDefault="00A1677B" w:rsidP="00A1677B">
      <w:pPr>
        <w:tabs>
          <w:tab w:val="left" w:pos="284"/>
          <w:tab w:val="num" w:pos="360"/>
        </w:tabs>
        <w:jc w:val="both"/>
        <w:rPr>
          <w:rFonts w:ascii="Arial" w:eastAsia="Times New Roman" w:hAnsi="Arial" w:cs="Arial"/>
          <w:smallCaps/>
          <w:lang w:val="en-US"/>
        </w:rPr>
      </w:pPr>
    </w:p>
    <w:p w14:paraId="0FD56E69" w14:textId="77777777" w:rsidR="00BF4FFF" w:rsidRPr="00EC211F" w:rsidRDefault="00BF4FFF" w:rsidP="00EC211F">
      <w:pPr>
        <w:tabs>
          <w:tab w:val="left" w:pos="284"/>
        </w:tabs>
        <w:jc w:val="both"/>
        <w:rPr>
          <w:b/>
          <w:sz w:val="26"/>
        </w:rPr>
      </w:pPr>
      <w:proofErr w:type="spellStart"/>
      <w:r w:rsidRPr="00EC211F">
        <w:rPr>
          <w:b/>
          <w:sz w:val="26"/>
        </w:rPr>
        <w:t>Ligeiro</w:t>
      </w:r>
      <w:proofErr w:type="spellEnd"/>
      <w:r w:rsidRPr="00EC211F">
        <w:rPr>
          <w:b/>
          <w:sz w:val="26"/>
        </w:rPr>
        <w:t xml:space="preserve"> e camioneta</w:t>
      </w:r>
    </w:p>
    <w:p w14:paraId="09F961E1" w14:textId="77777777" w:rsidR="00BF4FFF" w:rsidRPr="00A94F5F" w:rsidRDefault="00BF4FFF" w:rsidP="00BF4FFF">
      <w:pPr>
        <w:ind w:left="284"/>
        <w:jc w:val="both"/>
        <w:rPr>
          <w:rFonts w:ascii="Arial" w:eastAsia="Times New Roman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275"/>
        <w:gridCol w:w="1276"/>
        <w:gridCol w:w="1276"/>
        <w:gridCol w:w="1417"/>
        <w:gridCol w:w="993"/>
      </w:tblGrid>
      <w:tr w:rsidR="00BF4FFF" w:rsidRPr="00A94F5F" w14:paraId="4F2AC6BA" w14:textId="77777777">
        <w:trPr>
          <w:trHeight w:val="890"/>
        </w:trPr>
        <w:tc>
          <w:tcPr>
            <w:tcW w:w="2376" w:type="dxa"/>
            <w:shd w:val="clear" w:color="auto" w:fill="E6E6E6"/>
          </w:tcPr>
          <w:p w14:paraId="3F2C9CE6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Nove primeiros meses</w:t>
            </w:r>
          </w:p>
          <w:p w14:paraId="2D8C0B2F" w14:textId="77777777" w:rsidR="00BF4FFF" w:rsidRPr="00A94F5F" w:rsidRDefault="00BF4FFF" w:rsidP="00DB7A7C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2014/2013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</w:r>
            <w:r>
              <w:rPr>
                <w:rFonts w:ascii="Arial" w:hAnsi="Arial"/>
                <w:b w:val="0"/>
                <w:sz w:val="18"/>
                <w:lang w:val="pt"/>
              </w:rPr>
              <w:t>(número de pneus)</w:t>
            </w:r>
          </w:p>
        </w:tc>
        <w:tc>
          <w:tcPr>
            <w:tcW w:w="993" w:type="dxa"/>
            <w:shd w:val="clear" w:color="auto" w:fill="E6E6E6"/>
          </w:tcPr>
          <w:p w14:paraId="7095C591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Europa</w:t>
            </w:r>
            <w:r>
              <w:rPr>
                <w:rStyle w:val="Refdenotaalpie"/>
                <w:rFonts w:ascii="Arial" w:hAnsi="Arial"/>
                <w:b w:val="0"/>
                <w:sz w:val="32"/>
                <w:vertAlign w:val="baseline"/>
                <w:lang w:val="pt"/>
              </w:rPr>
              <w:sym w:font="Symbol" w:char="F02A"/>
            </w:r>
          </w:p>
        </w:tc>
        <w:tc>
          <w:tcPr>
            <w:tcW w:w="1275" w:type="dxa"/>
            <w:shd w:val="clear" w:color="auto" w:fill="E6E6E6"/>
          </w:tcPr>
          <w:p w14:paraId="3CC92E0F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footnoteReference w:customMarkFollows="1" w:id="1"/>
              <w:t xml:space="preserve">América 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>do Norte</w:t>
            </w:r>
          </w:p>
        </w:tc>
        <w:tc>
          <w:tcPr>
            <w:tcW w:w="1276" w:type="dxa"/>
            <w:shd w:val="clear" w:color="auto" w:fill="E6E6E6"/>
          </w:tcPr>
          <w:p w14:paraId="0CF8BBF6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Ásia</w:t>
            </w:r>
          </w:p>
          <w:p w14:paraId="3D4F7CEC" w14:textId="77777777" w:rsidR="00BF4FFF" w:rsidRPr="00A94F5F" w:rsidRDefault="00BF4FFF" w:rsidP="00DF0201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(sem a Índia)</w:t>
            </w:r>
          </w:p>
        </w:tc>
        <w:tc>
          <w:tcPr>
            <w:tcW w:w="1276" w:type="dxa"/>
            <w:shd w:val="clear" w:color="auto" w:fill="E6E6E6"/>
          </w:tcPr>
          <w:p w14:paraId="2D783830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América 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>do Sul</w:t>
            </w:r>
          </w:p>
        </w:tc>
        <w:tc>
          <w:tcPr>
            <w:tcW w:w="1417" w:type="dxa"/>
            <w:shd w:val="clear" w:color="auto" w:fill="E6E6E6"/>
          </w:tcPr>
          <w:p w14:paraId="781043BB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África/Índia/Médio Oriente</w:t>
            </w:r>
          </w:p>
        </w:tc>
        <w:tc>
          <w:tcPr>
            <w:tcW w:w="993" w:type="dxa"/>
            <w:shd w:val="clear" w:color="auto" w:fill="E6E6E6"/>
          </w:tcPr>
          <w:p w14:paraId="230342EA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Total</w:t>
            </w:r>
          </w:p>
        </w:tc>
      </w:tr>
      <w:tr w:rsidR="004874C3" w:rsidRPr="00A94F5F" w14:paraId="5A9A7187" w14:textId="77777777">
        <w:trPr>
          <w:trHeight w:val="1271"/>
        </w:trPr>
        <w:tc>
          <w:tcPr>
            <w:tcW w:w="2376" w:type="dxa"/>
          </w:tcPr>
          <w:p w14:paraId="37169E7E" w14:textId="77777777" w:rsidR="004874C3" w:rsidRPr="00A94F5F" w:rsidRDefault="004874C3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  <w:p w14:paraId="79CB2834" w14:textId="77777777" w:rsidR="004874C3" w:rsidRPr="00A94F5F" w:rsidRDefault="004874C3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Primeiro equipamento</w:t>
            </w:r>
          </w:p>
          <w:p w14:paraId="01D24A55" w14:textId="77777777" w:rsidR="004874C3" w:rsidRPr="00A94F5F" w:rsidRDefault="004874C3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  <w:p w14:paraId="7B7A40AB" w14:textId="77777777" w:rsidR="004874C3" w:rsidRPr="00A94F5F" w:rsidRDefault="004874C3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Substituição</w:t>
            </w:r>
          </w:p>
        </w:tc>
        <w:tc>
          <w:tcPr>
            <w:tcW w:w="993" w:type="dxa"/>
          </w:tcPr>
          <w:p w14:paraId="1C0FDD42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27A7DE35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+ 4%</w:t>
            </w:r>
          </w:p>
          <w:p w14:paraId="6E0457B1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7A5033C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+ 3%</w:t>
            </w:r>
          </w:p>
          <w:p w14:paraId="5079D7DB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5ADC33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51BE8318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+ 5 %</w:t>
            </w:r>
          </w:p>
          <w:p w14:paraId="14B7FF38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71C6D677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+ 5 %</w:t>
            </w:r>
          </w:p>
        </w:tc>
        <w:tc>
          <w:tcPr>
            <w:tcW w:w="1276" w:type="dxa"/>
          </w:tcPr>
          <w:p w14:paraId="741E8C3D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52F6E77C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+ 6 %</w:t>
            </w:r>
          </w:p>
          <w:p w14:paraId="651B6C77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681D0B10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+ 5%</w:t>
            </w:r>
          </w:p>
        </w:tc>
        <w:tc>
          <w:tcPr>
            <w:tcW w:w="1276" w:type="dxa"/>
          </w:tcPr>
          <w:p w14:paraId="3D3E4BFD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  <w:highlight w:val="yellow"/>
              </w:rPr>
            </w:pPr>
          </w:p>
          <w:p w14:paraId="19F60753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- 18 %</w:t>
            </w:r>
          </w:p>
          <w:p w14:paraId="0E83A989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6C0BB0F4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+ 5%</w:t>
            </w:r>
          </w:p>
        </w:tc>
        <w:tc>
          <w:tcPr>
            <w:tcW w:w="1417" w:type="dxa"/>
          </w:tcPr>
          <w:p w14:paraId="179065B9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  <w:highlight w:val="yellow"/>
              </w:rPr>
            </w:pPr>
          </w:p>
          <w:p w14:paraId="199B1F09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- 2 %</w:t>
            </w:r>
          </w:p>
          <w:p w14:paraId="6F0251EA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470D804F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+ 4%</w:t>
            </w:r>
          </w:p>
        </w:tc>
        <w:tc>
          <w:tcPr>
            <w:tcW w:w="993" w:type="dxa"/>
          </w:tcPr>
          <w:p w14:paraId="6C002BBE" w14:textId="77777777" w:rsidR="004874C3" w:rsidRPr="00A94F5F" w:rsidRDefault="004874C3" w:rsidP="00B37C1C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  <w:highlight w:val="yellow"/>
              </w:rPr>
            </w:pPr>
          </w:p>
          <w:p w14:paraId="5D9AF814" w14:textId="77777777" w:rsidR="004874C3" w:rsidRPr="00A94F5F" w:rsidRDefault="004874C3" w:rsidP="00B37C1C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+ 3%</w:t>
            </w:r>
          </w:p>
          <w:p w14:paraId="1D2C1260" w14:textId="77777777" w:rsidR="004874C3" w:rsidRPr="00A94F5F" w:rsidRDefault="004874C3" w:rsidP="00B37C1C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EC9B10F" w14:textId="77777777" w:rsidR="004874C3" w:rsidRPr="00A94F5F" w:rsidRDefault="004874C3" w:rsidP="00360759">
            <w:pPr>
              <w:tabs>
                <w:tab w:val="left" w:pos="1168"/>
              </w:tabs>
              <w:ind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+ 4%</w:t>
            </w:r>
          </w:p>
        </w:tc>
      </w:tr>
    </w:tbl>
    <w:p w14:paraId="72022327" w14:textId="77777777" w:rsidR="00BF4FFF" w:rsidRPr="00A94F5F" w:rsidRDefault="00BF4FFF" w:rsidP="00BF4FFF">
      <w:pPr>
        <w:ind w:left="284"/>
        <w:jc w:val="both"/>
        <w:rPr>
          <w:rFonts w:ascii="Arial" w:eastAsia="Times New Roman" w:hAnsi="Arial" w:cs="Arial"/>
        </w:rPr>
      </w:pPr>
    </w:p>
    <w:p w14:paraId="570B8A93" w14:textId="77777777" w:rsidR="00BF4FFF" w:rsidRPr="00A94F5F" w:rsidRDefault="00BF4FFF" w:rsidP="00BF4FFF">
      <w:pPr>
        <w:ind w:left="284"/>
        <w:jc w:val="both"/>
        <w:rPr>
          <w:rFonts w:ascii="Arial" w:eastAsia="Times New Roman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275"/>
        <w:gridCol w:w="1276"/>
        <w:gridCol w:w="1276"/>
        <w:gridCol w:w="1417"/>
        <w:gridCol w:w="993"/>
      </w:tblGrid>
      <w:tr w:rsidR="00BF4FFF" w:rsidRPr="00A94F5F" w14:paraId="7B19EBE2" w14:textId="77777777">
        <w:trPr>
          <w:trHeight w:val="890"/>
        </w:trPr>
        <w:tc>
          <w:tcPr>
            <w:tcW w:w="2235" w:type="dxa"/>
            <w:shd w:val="clear" w:color="auto" w:fill="E6E6E6"/>
          </w:tcPr>
          <w:p w14:paraId="70D00988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Terceiro trimestre</w:t>
            </w:r>
          </w:p>
          <w:p w14:paraId="780AA854" w14:textId="77777777" w:rsidR="00BF4FFF" w:rsidRPr="00A94F5F" w:rsidRDefault="00DB7A7C" w:rsidP="002435F5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2014/2013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</w:r>
            <w:r>
              <w:rPr>
                <w:rFonts w:ascii="Arial" w:hAnsi="Arial"/>
                <w:b w:val="0"/>
                <w:sz w:val="18"/>
                <w:lang w:val="pt"/>
              </w:rPr>
              <w:t>(número de pneus)</w:t>
            </w:r>
          </w:p>
        </w:tc>
        <w:tc>
          <w:tcPr>
            <w:tcW w:w="1134" w:type="dxa"/>
            <w:shd w:val="clear" w:color="auto" w:fill="E6E6E6"/>
          </w:tcPr>
          <w:p w14:paraId="4BE89D85" w14:textId="77777777" w:rsidR="00BF4FFF" w:rsidRPr="00A94F5F" w:rsidRDefault="00BF4FFF" w:rsidP="00927383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Europa</w:t>
            </w:r>
          </w:p>
        </w:tc>
        <w:tc>
          <w:tcPr>
            <w:tcW w:w="1275" w:type="dxa"/>
            <w:shd w:val="clear" w:color="auto" w:fill="E6E6E6"/>
          </w:tcPr>
          <w:p w14:paraId="35EFCCA9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América 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>do Norte</w:t>
            </w:r>
          </w:p>
        </w:tc>
        <w:tc>
          <w:tcPr>
            <w:tcW w:w="1276" w:type="dxa"/>
            <w:shd w:val="clear" w:color="auto" w:fill="E6E6E6"/>
          </w:tcPr>
          <w:p w14:paraId="4B8B44F6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Ásia</w:t>
            </w:r>
          </w:p>
          <w:p w14:paraId="38E17BD7" w14:textId="77777777" w:rsidR="00BF4FFF" w:rsidRPr="00A94F5F" w:rsidRDefault="00BF4FFF" w:rsidP="00DF0201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(sem a Índia)</w:t>
            </w:r>
          </w:p>
        </w:tc>
        <w:tc>
          <w:tcPr>
            <w:tcW w:w="1276" w:type="dxa"/>
            <w:shd w:val="clear" w:color="auto" w:fill="E6E6E6"/>
          </w:tcPr>
          <w:p w14:paraId="3D58C537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América 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>do Sul</w:t>
            </w:r>
          </w:p>
        </w:tc>
        <w:tc>
          <w:tcPr>
            <w:tcW w:w="1417" w:type="dxa"/>
            <w:shd w:val="clear" w:color="auto" w:fill="E6E6E6"/>
          </w:tcPr>
          <w:p w14:paraId="1192AE38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África/Índia/Médio Oriente</w:t>
            </w:r>
          </w:p>
        </w:tc>
        <w:tc>
          <w:tcPr>
            <w:tcW w:w="993" w:type="dxa"/>
            <w:shd w:val="clear" w:color="auto" w:fill="E6E6E6"/>
          </w:tcPr>
          <w:p w14:paraId="433248A6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Total</w:t>
            </w:r>
          </w:p>
        </w:tc>
      </w:tr>
      <w:tr w:rsidR="004874C3" w:rsidRPr="00A94F5F" w14:paraId="4BD68FD2" w14:textId="77777777">
        <w:trPr>
          <w:trHeight w:val="1271"/>
        </w:trPr>
        <w:tc>
          <w:tcPr>
            <w:tcW w:w="2235" w:type="dxa"/>
          </w:tcPr>
          <w:p w14:paraId="2C7B264D" w14:textId="77777777" w:rsidR="004874C3" w:rsidRPr="00A94F5F" w:rsidRDefault="004874C3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br/>
              <w:t>Primeiro equipamento</w:t>
            </w:r>
          </w:p>
          <w:p w14:paraId="0B7932B7" w14:textId="77777777" w:rsidR="004874C3" w:rsidRPr="00A94F5F" w:rsidRDefault="004874C3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     </w:t>
            </w:r>
          </w:p>
          <w:p w14:paraId="439B48AF" w14:textId="77777777" w:rsidR="004874C3" w:rsidRPr="00A94F5F" w:rsidRDefault="004874C3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Substituição</w:t>
            </w:r>
          </w:p>
        </w:tc>
        <w:tc>
          <w:tcPr>
            <w:tcW w:w="1134" w:type="dxa"/>
          </w:tcPr>
          <w:p w14:paraId="37402FE0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4797719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+0%</w:t>
            </w:r>
          </w:p>
          <w:p w14:paraId="32DAC1F0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D4EF573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+ 1%</w:t>
            </w:r>
          </w:p>
          <w:p w14:paraId="292AE76A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FC8E8B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CF55DD0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+ 7%</w:t>
            </w:r>
          </w:p>
          <w:p w14:paraId="3C1CBD05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58C3518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+ 3%</w:t>
            </w:r>
          </w:p>
        </w:tc>
        <w:tc>
          <w:tcPr>
            <w:tcW w:w="1276" w:type="dxa"/>
          </w:tcPr>
          <w:p w14:paraId="5EDDB01C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79BA0C91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+ 3%</w:t>
            </w:r>
          </w:p>
          <w:p w14:paraId="7181142E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7FF00C23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+ 3%</w:t>
            </w:r>
          </w:p>
        </w:tc>
        <w:tc>
          <w:tcPr>
            <w:tcW w:w="1276" w:type="dxa"/>
          </w:tcPr>
          <w:p w14:paraId="370E9C6B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46937888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- 18 %</w:t>
            </w:r>
          </w:p>
          <w:p w14:paraId="2283D412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66B8823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+ 6%</w:t>
            </w:r>
          </w:p>
        </w:tc>
        <w:tc>
          <w:tcPr>
            <w:tcW w:w="1417" w:type="dxa"/>
          </w:tcPr>
          <w:p w14:paraId="56527923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4FE0610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+ 4%</w:t>
            </w:r>
          </w:p>
          <w:p w14:paraId="103B5F32" w14:textId="77777777" w:rsidR="004874C3" w:rsidRPr="00A94F5F" w:rsidRDefault="004874C3" w:rsidP="00B37C1C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50BFAA4D" w14:textId="77777777" w:rsidR="004874C3" w:rsidRPr="00A94F5F" w:rsidRDefault="004874C3" w:rsidP="00360759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+ 4%</w:t>
            </w:r>
          </w:p>
        </w:tc>
        <w:tc>
          <w:tcPr>
            <w:tcW w:w="993" w:type="dxa"/>
          </w:tcPr>
          <w:p w14:paraId="63F51B18" w14:textId="77777777" w:rsidR="004874C3" w:rsidRPr="00A94F5F" w:rsidRDefault="004874C3" w:rsidP="00B37C1C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4D1D60BA" w14:textId="77777777" w:rsidR="004874C3" w:rsidRPr="00A94F5F" w:rsidRDefault="004874C3" w:rsidP="00B37C1C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+ 2%</w:t>
            </w:r>
          </w:p>
          <w:p w14:paraId="7B14A6D1" w14:textId="77777777" w:rsidR="004874C3" w:rsidRPr="00A94F5F" w:rsidRDefault="004874C3" w:rsidP="00B37C1C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6250ABAA" w14:textId="77777777" w:rsidR="004874C3" w:rsidRPr="00A94F5F" w:rsidRDefault="004874C3" w:rsidP="00360759">
            <w:pPr>
              <w:tabs>
                <w:tab w:val="left" w:pos="1168"/>
              </w:tabs>
              <w:ind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+ 3%</w:t>
            </w:r>
          </w:p>
        </w:tc>
      </w:tr>
    </w:tbl>
    <w:p w14:paraId="015836D2" w14:textId="77777777" w:rsidR="00A1677B" w:rsidRPr="00A1677B" w:rsidRDefault="00A1677B" w:rsidP="00A1677B">
      <w:pPr>
        <w:spacing w:after="240" w:line="270" w:lineRule="atLeast"/>
        <w:jc w:val="both"/>
        <w:rPr>
          <w:rFonts w:ascii="Arial" w:hAnsi="Arial"/>
          <w:b/>
          <w:bCs/>
          <w:sz w:val="21"/>
          <w:u w:val="single"/>
        </w:rPr>
      </w:pPr>
      <w:r w:rsidRPr="00BE6119">
        <w:rPr>
          <w:rFonts w:ascii="Verdana" w:hAnsi="Verdana" w:cs="Arial"/>
          <w:sz w:val="18"/>
          <w:szCs w:val="18"/>
          <w:lang w:val="pt-PT"/>
        </w:rPr>
        <w:t>*</w:t>
      </w:r>
      <w:r>
        <w:rPr>
          <w:rFonts w:ascii="Verdana" w:hAnsi="Verdana" w:cs="Arial"/>
          <w:sz w:val="18"/>
          <w:szCs w:val="18"/>
          <w:lang w:val="pt-PT"/>
        </w:rPr>
        <w:t xml:space="preserve"> </w:t>
      </w:r>
      <w:r w:rsidRPr="00BE6119">
        <w:rPr>
          <w:rFonts w:ascii="Verdana" w:hAnsi="Verdana" w:cs="Arial"/>
          <w:sz w:val="18"/>
          <w:szCs w:val="18"/>
          <w:lang w:val="pt-PT"/>
        </w:rPr>
        <w:t>Incluindo Rússia e Turquia</w:t>
      </w:r>
    </w:p>
    <w:p w14:paraId="303BCD5D" w14:textId="77777777" w:rsidR="00BF4FFF" w:rsidRPr="00EC211F" w:rsidRDefault="00BF4FFF" w:rsidP="00A1677B">
      <w:pPr>
        <w:numPr>
          <w:ilvl w:val="0"/>
          <w:numId w:val="5"/>
        </w:numPr>
        <w:tabs>
          <w:tab w:val="clear" w:pos="360"/>
          <w:tab w:val="num" w:pos="709"/>
        </w:tabs>
        <w:spacing w:after="60"/>
        <w:ind w:firstLine="66"/>
        <w:jc w:val="both"/>
        <w:rPr>
          <w:rFonts w:ascii="Arial" w:hAnsi="Arial"/>
          <w:b/>
          <w:bCs/>
          <w:sz w:val="21"/>
          <w:lang w:bidi="es-ES_tradnl"/>
        </w:rPr>
      </w:pPr>
      <w:r w:rsidRPr="00EC211F">
        <w:rPr>
          <w:rFonts w:ascii="Arial" w:hAnsi="Arial"/>
          <w:b/>
          <w:bCs/>
          <w:sz w:val="21"/>
          <w:lang w:bidi="es-ES_tradnl"/>
        </w:rPr>
        <w:t>Primeiros Equipamentos</w:t>
      </w:r>
    </w:p>
    <w:p w14:paraId="01422FAC" w14:textId="77777777" w:rsidR="002D6DAE" w:rsidRPr="0076510B" w:rsidRDefault="006F2092" w:rsidP="00A1677B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"/>
        </w:rPr>
      </w:pPr>
      <w:r>
        <w:rPr>
          <w:rFonts w:ascii="Arial" w:hAnsi="Arial"/>
          <w:sz w:val="21"/>
          <w:lang w:val="pt"/>
        </w:rPr>
        <w:t xml:space="preserve">Na Europa, o mercado mostra um certo retrocesso (+ 0 %) no trimestre, relacionado com um controlo do stock pelos construtores </w:t>
      </w:r>
      <w:r>
        <w:rPr>
          <w:rFonts w:ascii="Arial" w:hAnsi="Arial Unicode MS"/>
          <w:sz w:val="21"/>
          <w:lang w:val="pt"/>
        </w:rPr>
        <w:t>de ve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culos generalistas e das suas paragens de produ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o. Nos mercados da Europa do Leste, a situa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geopol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tica dif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cil fez com que a procura diminu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sse em 8% nos primeiros nove meses e 13% no terceiro trimestre.</w:t>
      </w:r>
    </w:p>
    <w:p w14:paraId="632B9204" w14:textId="77777777" w:rsidR="0076510B" w:rsidRPr="00A94F5F" w:rsidRDefault="0076510B" w:rsidP="0076510B">
      <w:pPr>
        <w:spacing w:before="120" w:after="120" w:line="270" w:lineRule="atLeast"/>
        <w:ind w:left="1434"/>
        <w:jc w:val="both"/>
        <w:rPr>
          <w:rFonts w:ascii="Arial" w:hAnsi="Arial"/>
        </w:rPr>
      </w:pPr>
    </w:p>
    <w:p w14:paraId="198D9250" w14:textId="77777777" w:rsidR="000D57CD" w:rsidRPr="0076510B" w:rsidRDefault="00B43C7A" w:rsidP="00A1677B">
      <w:pPr>
        <w:pStyle w:val="Body1"/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</w:rPr>
      </w:pPr>
      <w:r>
        <w:rPr>
          <w:rFonts w:ascii="Arial" w:hAnsi="Arial Unicode MS"/>
          <w:color w:val="auto"/>
          <w:sz w:val="21"/>
          <w:lang w:val="pt"/>
        </w:rPr>
        <w:t xml:space="preserve">Na </w:t>
      </w:r>
      <w:r>
        <w:rPr>
          <w:rFonts w:ascii="Arial" w:hAnsi="Arial"/>
          <w:color w:val="auto"/>
          <w:sz w:val="21"/>
          <w:szCs w:val="24"/>
          <w:lang w:val="pt"/>
        </w:rPr>
        <w:t xml:space="preserve">América do Norte, o mercado cresce 5 % nos nove primeiros meses, sustentado pela procura de veículos. </w:t>
      </w:r>
    </w:p>
    <w:p w14:paraId="6732CF24" w14:textId="77777777" w:rsidR="0076510B" w:rsidRPr="00A94F5F" w:rsidRDefault="0076510B" w:rsidP="0076510B">
      <w:pPr>
        <w:pStyle w:val="Body1"/>
        <w:spacing w:before="120" w:after="120" w:line="270" w:lineRule="atLeast"/>
        <w:ind w:left="1434"/>
        <w:jc w:val="both"/>
        <w:rPr>
          <w:rFonts w:ascii="Arial" w:hAnsi="Arial Unicode MS"/>
          <w:sz w:val="21"/>
        </w:rPr>
      </w:pPr>
    </w:p>
    <w:p w14:paraId="23418E3E" w14:textId="77777777" w:rsidR="00DF213F" w:rsidRPr="00A94F5F" w:rsidRDefault="00B43C7A" w:rsidP="00A1677B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  <w:lang w:val="pt"/>
        </w:rPr>
        <w:t xml:space="preserve">Na 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 xml:space="preserve">sia (sem incluir a 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ndia), a procura teve um crescimento global de 6%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finais de setembro. Na China, o mercado aumenta </w:t>
      </w:r>
      <w:r>
        <w:rPr>
          <w:rFonts w:ascii="Arial" w:hAnsi="Arial Unicode MS"/>
          <w:sz w:val="21"/>
          <w:lang w:val="pt"/>
        </w:rPr>
        <w:br/>
        <w:t>10% nos nove meses. Enquanto subiu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5%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finais de setembro meses, o mercado japon</w:t>
      </w:r>
      <w:r>
        <w:rPr>
          <w:rFonts w:ascii="Arial" w:hAnsi="Arial Unicode MS"/>
          <w:sz w:val="21"/>
          <w:lang w:val="pt"/>
        </w:rPr>
        <w:t>ê</w:t>
      </w:r>
      <w:r>
        <w:rPr>
          <w:rFonts w:ascii="Arial" w:hAnsi="Arial Unicode MS"/>
          <w:sz w:val="21"/>
          <w:lang w:val="pt"/>
        </w:rPr>
        <w:t>s est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 xml:space="preserve"> a come</w:t>
      </w:r>
      <w:r>
        <w:rPr>
          <w:rFonts w:ascii="Arial" w:hAnsi="Arial Unicode MS"/>
          <w:sz w:val="21"/>
          <w:lang w:val="pt"/>
        </w:rPr>
        <w:t>ç</w:t>
      </w:r>
      <w:r>
        <w:rPr>
          <w:rFonts w:ascii="Arial" w:hAnsi="Arial Unicode MS"/>
          <w:sz w:val="21"/>
          <w:lang w:val="pt"/>
        </w:rPr>
        <w:t>ar a suavizar sob o impacto da taxa de IVA mais elevada introduzida em 1 de abril passado. O mercado do sudeste asi</w:t>
      </w:r>
      <w:r>
        <w:rPr>
          <w:rFonts w:ascii="Arial" w:hAnsi="Arial Unicode MS"/>
          <w:sz w:val="21"/>
          <w:lang w:val="pt"/>
        </w:rPr>
        <w:t>á</w:t>
      </w:r>
      <w:r w:rsidR="00EC211F">
        <w:rPr>
          <w:rFonts w:ascii="Arial" w:hAnsi="Arial Unicode MS"/>
          <w:sz w:val="21"/>
          <w:lang w:val="pt"/>
        </w:rPr>
        <w:t xml:space="preserve">tico </w:t>
      </w:r>
      <w:r>
        <w:rPr>
          <w:rFonts w:ascii="Arial" w:hAnsi="Arial Unicode MS"/>
          <w:sz w:val="21"/>
          <w:lang w:val="pt"/>
        </w:rPr>
        <w:t>(- 8%) reflete o fato de que os stocks de ve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 xml:space="preserve">culos se mantivessem elevados, devido </w:t>
      </w:r>
      <w:r>
        <w:rPr>
          <w:rFonts w:ascii="Arial" w:hAnsi="Arial Unicode MS"/>
          <w:sz w:val="21"/>
          <w:lang w:val="pt"/>
        </w:rPr>
        <w:t>à</w:t>
      </w:r>
      <w:r>
        <w:rPr>
          <w:rFonts w:ascii="Arial" w:hAnsi="Arial Unicode MS"/>
          <w:sz w:val="21"/>
          <w:lang w:val="pt"/>
        </w:rPr>
        <w:t xml:space="preserve"> situa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pol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tica na Tail</w:t>
      </w:r>
      <w:r>
        <w:rPr>
          <w:rFonts w:ascii="Arial" w:hAnsi="Arial Unicode MS"/>
          <w:sz w:val="21"/>
          <w:lang w:val="pt"/>
        </w:rPr>
        <w:t>â</w:t>
      </w:r>
      <w:r>
        <w:rPr>
          <w:rFonts w:ascii="Arial" w:hAnsi="Arial Unicode MS"/>
          <w:sz w:val="21"/>
          <w:lang w:val="pt"/>
        </w:rPr>
        <w:t xml:space="preserve">ndia. </w:t>
      </w:r>
    </w:p>
    <w:p w14:paraId="24FAA529" w14:textId="77777777" w:rsidR="00544834" w:rsidRPr="00EC211F" w:rsidRDefault="00544834" w:rsidP="00A1677B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  <w:lang w:val="pt"/>
        </w:rPr>
        <w:lastRenderedPageBreak/>
        <w:t>Na Am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>rica do Sul, a demanda caiu 18%, com condi</w:t>
      </w:r>
      <w:r>
        <w:rPr>
          <w:rFonts w:ascii="Arial" w:hAnsi="Arial Unicode MS"/>
          <w:sz w:val="21"/>
          <w:lang w:val="pt"/>
        </w:rPr>
        <w:t>çõ</w:t>
      </w:r>
      <w:r>
        <w:rPr>
          <w:rFonts w:ascii="Arial" w:hAnsi="Arial Unicode MS"/>
          <w:sz w:val="21"/>
          <w:lang w:val="pt"/>
        </w:rPr>
        <w:t>es mais apertadas de cr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>dito e uma queda na confian</w:t>
      </w:r>
      <w:r>
        <w:rPr>
          <w:rFonts w:ascii="Arial" w:hAnsi="Arial Unicode MS"/>
          <w:sz w:val="21"/>
          <w:lang w:val="pt"/>
        </w:rPr>
        <w:t>ç</w:t>
      </w:r>
      <w:r>
        <w:rPr>
          <w:rFonts w:ascii="Arial" w:hAnsi="Arial Unicode MS"/>
          <w:sz w:val="21"/>
          <w:lang w:val="pt"/>
        </w:rPr>
        <w:t>a do consumidor no Brasil e da passagem de medidas econ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micas e fiscais na Argentina.</w:t>
      </w:r>
    </w:p>
    <w:p w14:paraId="3E9ED80E" w14:textId="77777777" w:rsidR="00EC211F" w:rsidRPr="00A94F5F" w:rsidRDefault="00EC211F" w:rsidP="00EC211F">
      <w:pPr>
        <w:spacing w:before="120" w:after="120" w:line="270" w:lineRule="atLeast"/>
        <w:ind w:left="1434"/>
        <w:jc w:val="both"/>
        <w:rPr>
          <w:rFonts w:ascii="Arial" w:hAnsi="Arial Unicode MS"/>
          <w:sz w:val="21"/>
        </w:rPr>
      </w:pPr>
    </w:p>
    <w:p w14:paraId="6ED379D5" w14:textId="77777777" w:rsidR="00BF4FFF" w:rsidRPr="00A1677B" w:rsidRDefault="00BF4FFF" w:rsidP="00A1677B">
      <w:pPr>
        <w:numPr>
          <w:ilvl w:val="0"/>
          <w:numId w:val="5"/>
        </w:numPr>
        <w:tabs>
          <w:tab w:val="clear" w:pos="360"/>
          <w:tab w:val="num" w:pos="709"/>
        </w:tabs>
        <w:spacing w:after="60"/>
        <w:ind w:firstLine="66"/>
        <w:jc w:val="both"/>
        <w:rPr>
          <w:rFonts w:ascii="Verdana" w:eastAsia="Times New Roman" w:hAnsi="Verdana" w:cs="Arial"/>
          <w:b/>
          <w:smallCaps/>
          <w:sz w:val="20"/>
          <w:szCs w:val="20"/>
          <w:lang w:val="pt-PT"/>
        </w:rPr>
      </w:pPr>
      <w:r w:rsidRPr="00EC211F">
        <w:rPr>
          <w:rFonts w:ascii="Arial" w:hAnsi="Arial"/>
          <w:b/>
          <w:bCs/>
          <w:sz w:val="21"/>
          <w:lang w:bidi="es-ES_tradnl"/>
        </w:rPr>
        <w:t>Substituição</w:t>
      </w:r>
    </w:p>
    <w:p w14:paraId="41F5DE09" w14:textId="77777777" w:rsidR="00AE5508" w:rsidRPr="00A1677B" w:rsidRDefault="00AE5508" w:rsidP="00A1677B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>Na Europa, o mercado aumenta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3%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finais de setembro. A procura subiu 1% na Europa Ocidental, liderada pelo r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pido crescimento de 8% nas vendas de pneus de inverno, e manteve-se est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vel na Europa do Leste em compara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com o decl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 xml:space="preserve">nio observado no terceiro trimestre do ano anterior. </w:t>
      </w:r>
    </w:p>
    <w:p w14:paraId="1053CA47" w14:textId="77777777" w:rsidR="00360759" w:rsidRPr="00A1677B" w:rsidRDefault="00360759" w:rsidP="0076510B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7983B272" w14:textId="77777777" w:rsidR="00CA4A61" w:rsidRDefault="00CE7CF3" w:rsidP="00A1677B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 w:rsidRPr="00A1677B">
        <w:rPr>
          <w:rFonts w:ascii="Arial" w:hAnsi="Arial Unicode MS"/>
          <w:sz w:val="21"/>
          <w:lang w:val="pt"/>
        </w:rPr>
        <w:t>A procura manteve-se forte na Am</w:t>
      </w:r>
      <w:r w:rsidRPr="00A1677B">
        <w:rPr>
          <w:rFonts w:ascii="Arial" w:hAnsi="Arial Unicode MS"/>
          <w:sz w:val="21"/>
          <w:lang w:val="pt"/>
        </w:rPr>
        <w:t>é</w:t>
      </w:r>
      <w:r w:rsidRPr="00A1677B">
        <w:rPr>
          <w:rFonts w:ascii="Arial" w:hAnsi="Arial Unicode MS"/>
          <w:sz w:val="21"/>
          <w:lang w:val="pt"/>
        </w:rPr>
        <w:t xml:space="preserve">rica do Norte, ganhando 5% no final de setembro, </w:t>
      </w:r>
      <w:r>
        <w:rPr>
          <w:rFonts w:ascii="Arial" w:hAnsi="Arial Unicode MS"/>
          <w:sz w:val="21"/>
          <w:lang w:val="pt"/>
        </w:rPr>
        <w:t>atr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s dos pre</w:t>
      </w:r>
      <w:r>
        <w:rPr>
          <w:rFonts w:ascii="Arial" w:hAnsi="Arial Unicode MS"/>
          <w:sz w:val="21"/>
          <w:lang w:val="pt"/>
        </w:rPr>
        <w:t>ç</w:t>
      </w:r>
      <w:r>
        <w:rPr>
          <w:rFonts w:ascii="Arial" w:hAnsi="Arial Unicode MS"/>
          <w:sz w:val="21"/>
          <w:lang w:val="pt"/>
        </w:rPr>
        <w:t>os dos combust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veis</w:t>
      </w:r>
      <w:r w:rsidRPr="00A1677B">
        <w:rPr>
          <w:rFonts w:ascii="Arial" w:hAnsi="Arial Unicode MS"/>
          <w:sz w:val="21"/>
          <w:lang w:val="pt"/>
        </w:rPr>
        <w:t xml:space="preserve"> a pre</w:t>
      </w:r>
      <w:r w:rsidRPr="00A1677B">
        <w:rPr>
          <w:rFonts w:ascii="Arial" w:hAnsi="Arial Unicode MS"/>
          <w:sz w:val="21"/>
          <w:lang w:val="pt"/>
        </w:rPr>
        <w:t>ç</w:t>
      </w:r>
      <w:r w:rsidRPr="00A1677B">
        <w:rPr>
          <w:rFonts w:ascii="Arial" w:hAnsi="Arial Unicode MS"/>
          <w:sz w:val="21"/>
          <w:lang w:val="pt"/>
        </w:rPr>
        <w:t>os acess</w:t>
      </w:r>
      <w:r w:rsidRPr="00A1677B">
        <w:rPr>
          <w:rFonts w:ascii="Arial" w:hAnsi="Arial Unicode MS"/>
          <w:sz w:val="21"/>
          <w:lang w:val="pt"/>
        </w:rPr>
        <w:t>í</w:t>
      </w:r>
      <w:r w:rsidRPr="00A1677B">
        <w:rPr>
          <w:rFonts w:ascii="Arial" w:hAnsi="Arial Unicode MS"/>
          <w:sz w:val="21"/>
          <w:lang w:val="pt"/>
        </w:rPr>
        <w:t>veis e de confian</w:t>
      </w:r>
      <w:r w:rsidRPr="00A1677B">
        <w:rPr>
          <w:rFonts w:ascii="Arial" w:hAnsi="Arial Unicode MS"/>
          <w:sz w:val="21"/>
          <w:lang w:val="pt"/>
        </w:rPr>
        <w:t>ç</w:t>
      </w:r>
      <w:r w:rsidRPr="00A1677B">
        <w:rPr>
          <w:rFonts w:ascii="Arial" w:hAnsi="Arial Unicode MS"/>
          <w:sz w:val="21"/>
          <w:lang w:val="pt"/>
        </w:rPr>
        <w:t>a dos consumidores, enquanto a economia continua a melhorar. O mercado tamb</w:t>
      </w:r>
      <w:r w:rsidRPr="00A1677B">
        <w:rPr>
          <w:rFonts w:ascii="Arial" w:hAnsi="Arial Unicode MS"/>
          <w:sz w:val="21"/>
          <w:lang w:val="pt"/>
        </w:rPr>
        <w:t>é</w:t>
      </w:r>
      <w:r w:rsidRPr="00A1677B">
        <w:rPr>
          <w:rFonts w:ascii="Arial" w:hAnsi="Arial Unicode MS"/>
          <w:sz w:val="21"/>
          <w:lang w:val="pt"/>
        </w:rPr>
        <w:t>m est</w:t>
      </w:r>
      <w:r w:rsidRPr="00A1677B">
        <w:rPr>
          <w:rFonts w:ascii="Arial" w:hAnsi="Arial Unicode MS"/>
          <w:sz w:val="21"/>
          <w:lang w:val="pt"/>
        </w:rPr>
        <w:t>á</w:t>
      </w:r>
      <w:r w:rsidRPr="00A1677B">
        <w:rPr>
          <w:rFonts w:ascii="Arial" w:hAnsi="Arial Unicode MS"/>
          <w:sz w:val="21"/>
          <w:lang w:val="pt"/>
        </w:rPr>
        <w:t xml:space="preserve"> a ser impulsionado pelo aumento das importa</w:t>
      </w:r>
      <w:r w:rsidRPr="00A1677B">
        <w:rPr>
          <w:rFonts w:ascii="Arial" w:hAnsi="Arial Unicode MS"/>
          <w:sz w:val="21"/>
          <w:lang w:val="pt"/>
        </w:rPr>
        <w:t>çõ</w:t>
      </w:r>
      <w:r w:rsidRPr="00A1677B">
        <w:rPr>
          <w:rFonts w:ascii="Arial" w:hAnsi="Arial Unicode MS"/>
          <w:sz w:val="21"/>
          <w:lang w:val="pt"/>
        </w:rPr>
        <w:t>es asi</w:t>
      </w:r>
      <w:r w:rsidRPr="00A1677B">
        <w:rPr>
          <w:rFonts w:ascii="Arial" w:hAnsi="Arial Unicode MS"/>
          <w:sz w:val="21"/>
          <w:lang w:val="pt"/>
        </w:rPr>
        <w:t>á</w:t>
      </w:r>
      <w:r w:rsidRPr="00A1677B">
        <w:rPr>
          <w:rFonts w:ascii="Arial" w:hAnsi="Arial Unicode MS"/>
          <w:sz w:val="21"/>
          <w:lang w:val="pt"/>
        </w:rPr>
        <w:t>ticas de pneus e forte crescimento no segmento de inverno no Canad</w:t>
      </w:r>
      <w:r w:rsidRPr="00A1677B">
        <w:rPr>
          <w:rFonts w:ascii="Arial" w:hAnsi="Arial Unicode MS"/>
          <w:sz w:val="21"/>
          <w:lang w:val="pt"/>
        </w:rPr>
        <w:t>á</w:t>
      </w:r>
      <w:r w:rsidRPr="00A1677B">
        <w:rPr>
          <w:rFonts w:ascii="Arial" w:hAnsi="Arial Unicode MS"/>
          <w:sz w:val="21"/>
          <w:lang w:val="pt"/>
        </w:rPr>
        <w:t>.</w:t>
      </w:r>
    </w:p>
    <w:p w14:paraId="4C61C982" w14:textId="77777777" w:rsidR="0076510B" w:rsidRPr="00A1677B" w:rsidRDefault="0076510B" w:rsidP="0076510B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5E7C5113" w14:textId="77777777" w:rsidR="00AF6CDA" w:rsidRDefault="008F1D3E" w:rsidP="00A1677B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 xml:space="preserve">Na 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 xml:space="preserve">sia (excluindo 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ndia), os mercados subiram 5% do total nos primeiros nove meses. A procura chinesa subiu 5% no terceiro trimestre, encerrando o per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odo de nove meses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7%, assim como os comerciantes implantaram pol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ticas de gest</w:t>
      </w:r>
      <w:r>
        <w:rPr>
          <w:rFonts w:ascii="Arial" w:hAnsi="Arial Unicode MS"/>
          <w:sz w:val="21"/>
          <w:lang w:val="pt"/>
        </w:rPr>
        <w:t>ã</w:t>
      </w:r>
      <w:r>
        <w:rPr>
          <w:rFonts w:ascii="Arial" w:hAnsi="Arial Unicode MS"/>
          <w:sz w:val="21"/>
          <w:lang w:val="pt"/>
        </w:rPr>
        <w:t>o de invent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rio mais conservadoras. Depois de ter sido levantado pelas compras de primeiro trimestre antes do aumento da taxa de IVA, o mercado japon</w:t>
      </w:r>
      <w:r>
        <w:rPr>
          <w:rFonts w:ascii="Arial" w:hAnsi="Arial Unicode MS"/>
          <w:sz w:val="21"/>
          <w:lang w:val="pt"/>
        </w:rPr>
        <w:t>ê</w:t>
      </w:r>
      <w:r>
        <w:rPr>
          <w:rFonts w:ascii="Arial" w:hAnsi="Arial Unicode MS"/>
          <w:sz w:val="21"/>
          <w:lang w:val="pt"/>
        </w:rPr>
        <w:t>s viu uma forte recupera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nas vendas de pneus de inverno, para acabar com os nove meses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4%. O crescimento no Sudeste Asi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tico era constante (at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4% no final de setembro) apesar dos sinais da hesita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do comprador pr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>-elei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na Indon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>sia.</w:t>
      </w:r>
    </w:p>
    <w:p w14:paraId="623F1F5D" w14:textId="77777777" w:rsidR="0076510B" w:rsidRPr="00A1677B" w:rsidRDefault="0076510B" w:rsidP="0076510B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2AA32E58" w14:textId="77777777" w:rsidR="00AE5508" w:rsidRPr="00A1677B" w:rsidRDefault="00D92AB7" w:rsidP="00A1677B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>O mercado sul-americano continua a expandir, com um ganho de 5% em rela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ao per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odo de nove meses e um decl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nio nas vendas de pneus importados.</w:t>
      </w:r>
      <w:r w:rsidRPr="00A1677B">
        <w:rPr>
          <w:rFonts w:ascii="Arial" w:hAnsi="Arial Unicode MS"/>
          <w:sz w:val="21"/>
          <w:lang w:val="pt"/>
        </w:rPr>
        <w:t xml:space="preserve"> </w:t>
      </w:r>
    </w:p>
    <w:p w14:paraId="5135AD99" w14:textId="77777777" w:rsidR="00BF4FFF" w:rsidRPr="00A1677B" w:rsidRDefault="00071E6F" w:rsidP="0076510B">
      <w:pPr>
        <w:tabs>
          <w:tab w:val="left" w:pos="284"/>
        </w:tabs>
        <w:jc w:val="both"/>
        <w:rPr>
          <w:b/>
          <w:sz w:val="26"/>
        </w:rPr>
      </w:pPr>
      <w:r w:rsidRPr="00A1677B">
        <w:rPr>
          <w:sz w:val="26"/>
          <w:lang w:val="pt"/>
        </w:rPr>
        <w:br w:type="column"/>
      </w:r>
      <w:proofErr w:type="spellStart"/>
      <w:r w:rsidRPr="0076510B">
        <w:rPr>
          <w:b/>
          <w:sz w:val="26"/>
        </w:rPr>
        <w:lastRenderedPageBreak/>
        <w:t>Camião</w:t>
      </w:r>
      <w:proofErr w:type="spellEnd"/>
      <w:r w:rsidRPr="00A1677B">
        <w:rPr>
          <w:rFonts w:ascii="Arial" w:eastAsia="Times New Roman" w:hAnsi="Arial" w:cs="Arial"/>
          <w:smallCaps/>
          <w:lang w:val="en-US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1418"/>
        <w:gridCol w:w="1134"/>
        <w:gridCol w:w="1276"/>
        <w:gridCol w:w="992"/>
      </w:tblGrid>
      <w:tr w:rsidR="00BF4FFF" w:rsidRPr="00A94F5F" w14:paraId="56EAF752" w14:textId="77777777" w:rsidTr="00B37C1C">
        <w:trPr>
          <w:trHeight w:val="1002"/>
        </w:trPr>
        <w:tc>
          <w:tcPr>
            <w:tcW w:w="2376" w:type="dxa"/>
            <w:shd w:val="clear" w:color="auto" w:fill="E6E6E6"/>
          </w:tcPr>
          <w:p w14:paraId="1351B94D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Nove primeiros meses</w:t>
            </w:r>
          </w:p>
          <w:p w14:paraId="413E75F8" w14:textId="77777777" w:rsidR="00BF4FFF" w:rsidRPr="00A94F5F" w:rsidRDefault="00DB7A7C" w:rsidP="002435F5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  <w:vertAlign w:val="superscript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2014/2013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</w:r>
            <w:r>
              <w:rPr>
                <w:rFonts w:ascii="Arial" w:hAnsi="Arial"/>
                <w:b w:val="0"/>
                <w:sz w:val="18"/>
                <w:lang w:val="pt"/>
              </w:rPr>
              <w:t>(número de pneus)</w:t>
            </w:r>
          </w:p>
        </w:tc>
        <w:tc>
          <w:tcPr>
            <w:tcW w:w="1134" w:type="dxa"/>
            <w:shd w:val="clear" w:color="auto" w:fill="E6E6E6"/>
          </w:tcPr>
          <w:p w14:paraId="14409160" w14:textId="77777777" w:rsidR="00BF4FFF" w:rsidRPr="00A94F5F" w:rsidRDefault="00BF4FFF" w:rsidP="00BA52C2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Europa</w:t>
            </w:r>
            <w:r w:rsidR="00BA52C2">
              <w:rPr>
                <w:rFonts w:ascii="Arial" w:hAnsi="Arial"/>
                <w:b w:val="0"/>
                <w:sz w:val="20"/>
                <w:lang w:val="pt"/>
              </w:rPr>
              <w:t>**</w:t>
            </w:r>
          </w:p>
        </w:tc>
        <w:tc>
          <w:tcPr>
            <w:tcW w:w="1134" w:type="dxa"/>
            <w:shd w:val="clear" w:color="auto" w:fill="E6E6E6"/>
          </w:tcPr>
          <w:p w14:paraId="0C15C108" w14:textId="77777777" w:rsidR="00BF4FFF" w:rsidRPr="00A94F5F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footnoteReference w:customMarkFollows="1" w:id="2"/>
              <w:t>América do Norte</w:t>
            </w:r>
          </w:p>
        </w:tc>
        <w:tc>
          <w:tcPr>
            <w:tcW w:w="1418" w:type="dxa"/>
            <w:shd w:val="clear" w:color="auto" w:fill="E6E6E6"/>
          </w:tcPr>
          <w:p w14:paraId="399B0961" w14:textId="77777777" w:rsidR="00BF4FFF" w:rsidRPr="00A94F5F" w:rsidRDefault="00BF4FFF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Ásia</w:t>
            </w:r>
          </w:p>
          <w:p w14:paraId="0BC38DEE" w14:textId="77777777" w:rsidR="00BF4FFF" w:rsidRPr="00A94F5F" w:rsidRDefault="00BF4FFF" w:rsidP="001E3147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(sem a Índia)</w:t>
            </w:r>
          </w:p>
        </w:tc>
        <w:tc>
          <w:tcPr>
            <w:tcW w:w="1134" w:type="dxa"/>
            <w:shd w:val="clear" w:color="auto" w:fill="E6E6E6"/>
          </w:tcPr>
          <w:p w14:paraId="6828A612" w14:textId="77777777" w:rsidR="00BF4FFF" w:rsidRPr="00A94F5F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América do Sul</w:t>
            </w:r>
          </w:p>
        </w:tc>
        <w:tc>
          <w:tcPr>
            <w:tcW w:w="1276" w:type="dxa"/>
            <w:shd w:val="clear" w:color="auto" w:fill="E6E6E6"/>
          </w:tcPr>
          <w:p w14:paraId="7A77ECBB" w14:textId="77777777" w:rsidR="00BF4FFF" w:rsidRPr="00A94F5F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África/Índia/ Médio Oriente</w:t>
            </w:r>
          </w:p>
        </w:tc>
        <w:tc>
          <w:tcPr>
            <w:tcW w:w="992" w:type="dxa"/>
            <w:shd w:val="clear" w:color="auto" w:fill="E6E6E6"/>
          </w:tcPr>
          <w:p w14:paraId="65C1CD39" w14:textId="77777777" w:rsidR="00BF4FFF" w:rsidRPr="00A94F5F" w:rsidRDefault="00BF4FFF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Total</w:t>
            </w:r>
          </w:p>
        </w:tc>
      </w:tr>
      <w:tr w:rsidR="00B37C1C" w:rsidRPr="00A94F5F" w14:paraId="1B2CC84B" w14:textId="77777777" w:rsidTr="00B37C1C">
        <w:tc>
          <w:tcPr>
            <w:tcW w:w="2376" w:type="dxa"/>
          </w:tcPr>
          <w:p w14:paraId="0F1EE90C" w14:textId="77777777" w:rsidR="00B37C1C" w:rsidRPr="00A94F5F" w:rsidRDefault="00B37C1C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Primeiro equipamento</w:t>
            </w:r>
            <w:r w:rsidR="00BA52C2">
              <w:rPr>
                <w:rFonts w:ascii="Arial" w:hAnsi="Arial"/>
                <w:b w:val="0"/>
                <w:sz w:val="20"/>
                <w:lang w:val="pt"/>
              </w:rPr>
              <w:t>*</w:t>
            </w:r>
          </w:p>
          <w:p w14:paraId="2FDF262F" w14:textId="77777777" w:rsidR="00B37C1C" w:rsidRPr="00A94F5F" w:rsidRDefault="00B37C1C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  <w:p w14:paraId="1EC8B517" w14:textId="77777777" w:rsidR="00B37C1C" w:rsidRPr="00A94F5F" w:rsidRDefault="00B37C1C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footnoteReference w:customMarkFollows="1" w:id="3"/>
              <w:t>Substituição</w:t>
            </w:r>
          </w:p>
          <w:p w14:paraId="14D7E8EF" w14:textId="77777777" w:rsidR="00B37C1C" w:rsidRPr="00A94F5F" w:rsidRDefault="00B37C1C" w:rsidP="00BF4FFF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1134" w:type="dxa"/>
          </w:tcPr>
          <w:p w14:paraId="3A0FC76E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A62A00E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footnoteReference w:customMarkFollows="1" w:id="4"/>
              <w:t>- 8%</w:t>
            </w:r>
          </w:p>
          <w:p w14:paraId="04A2EB71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792F03EC" w14:textId="77777777" w:rsidR="00B37C1C" w:rsidRPr="00A94F5F" w:rsidRDefault="00B37C1C" w:rsidP="0036075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+ 3%</w:t>
            </w:r>
          </w:p>
        </w:tc>
        <w:tc>
          <w:tcPr>
            <w:tcW w:w="1134" w:type="dxa"/>
          </w:tcPr>
          <w:p w14:paraId="1BB66594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F63A785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+ 12%</w:t>
            </w:r>
          </w:p>
          <w:p w14:paraId="6D1E8177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46599E80" w14:textId="77777777" w:rsidR="00B37C1C" w:rsidRPr="00A94F5F" w:rsidRDefault="00B37C1C" w:rsidP="0036075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+ 9%</w:t>
            </w:r>
          </w:p>
        </w:tc>
        <w:tc>
          <w:tcPr>
            <w:tcW w:w="1418" w:type="dxa"/>
          </w:tcPr>
          <w:p w14:paraId="77228078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1A771FC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+ 2%</w:t>
            </w:r>
          </w:p>
          <w:p w14:paraId="0FCC83BA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3E62C5F" w14:textId="77777777" w:rsidR="00B37C1C" w:rsidRPr="00A94F5F" w:rsidRDefault="00B37C1C" w:rsidP="0036075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+ 3%</w:t>
            </w:r>
          </w:p>
        </w:tc>
        <w:tc>
          <w:tcPr>
            <w:tcW w:w="1134" w:type="dxa"/>
          </w:tcPr>
          <w:p w14:paraId="20410787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79CA7B0D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- 18 %</w:t>
            </w:r>
          </w:p>
          <w:p w14:paraId="67DFA256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963A22D" w14:textId="77777777" w:rsidR="00B37C1C" w:rsidRPr="00A94F5F" w:rsidRDefault="00B37C1C" w:rsidP="0036075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- 3%</w:t>
            </w:r>
          </w:p>
        </w:tc>
        <w:tc>
          <w:tcPr>
            <w:tcW w:w="1276" w:type="dxa"/>
          </w:tcPr>
          <w:p w14:paraId="4E513F29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1DF0E52F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+ 4%</w:t>
            </w:r>
          </w:p>
          <w:p w14:paraId="3D94F505" w14:textId="77777777" w:rsidR="00B37C1C" w:rsidRPr="00A94F5F" w:rsidRDefault="00B37C1C" w:rsidP="00B37C1C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16889C75" w14:textId="77777777" w:rsidR="00B37C1C" w:rsidRPr="00A94F5F" w:rsidRDefault="00B37C1C" w:rsidP="0036075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- 0 %</w:t>
            </w:r>
          </w:p>
        </w:tc>
        <w:tc>
          <w:tcPr>
            <w:tcW w:w="992" w:type="dxa"/>
          </w:tcPr>
          <w:p w14:paraId="11E6ED9A" w14:textId="77777777" w:rsidR="00B37C1C" w:rsidRPr="00A94F5F" w:rsidRDefault="00B37C1C" w:rsidP="00B37C1C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6335F027" w14:textId="77777777" w:rsidR="00B37C1C" w:rsidRPr="00A94F5F" w:rsidRDefault="00B37C1C" w:rsidP="00B37C1C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+ 1%</w:t>
            </w:r>
          </w:p>
          <w:p w14:paraId="274B05C0" w14:textId="77777777" w:rsidR="00B37C1C" w:rsidRPr="00A94F5F" w:rsidRDefault="00B37C1C" w:rsidP="00B37C1C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4285AB7" w14:textId="77777777" w:rsidR="00B37C1C" w:rsidRPr="00A94F5F" w:rsidRDefault="00B37C1C" w:rsidP="0036075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 xml:space="preserve"> + 3%</w:t>
            </w:r>
          </w:p>
        </w:tc>
      </w:tr>
    </w:tbl>
    <w:p w14:paraId="200CA65C" w14:textId="77777777" w:rsidR="00BF4FFF" w:rsidRPr="00A94F5F" w:rsidRDefault="00BF4FFF" w:rsidP="00BF4FFF">
      <w:pPr>
        <w:spacing w:before="480" w:after="120" w:line="270" w:lineRule="atLeast"/>
        <w:rPr>
          <w:b/>
          <w:sz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275"/>
        <w:gridCol w:w="1276"/>
        <w:gridCol w:w="1276"/>
        <w:gridCol w:w="1417"/>
        <w:gridCol w:w="993"/>
      </w:tblGrid>
      <w:tr w:rsidR="00BF4FFF" w:rsidRPr="00A94F5F" w14:paraId="421ED0D5" w14:textId="77777777">
        <w:trPr>
          <w:trHeight w:val="890"/>
        </w:trPr>
        <w:tc>
          <w:tcPr>
            <w:tcW w:w="2235" w:type="dxa"/>
            <w:shd w:val="clear" w:color="auto" w:fill="E6E6E6"/>
          </w:tcPr>
          <w:p w14:paraId="2056EB58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Terceiro trimestre</w:t>
            </w:r>
          </w:p>
          <w:p w14:paraId="418F533B" w14:textId="77777777" w:rsidR="00BF4FFF" w:rsidRPr="00A94F5F" w:rsidRDefault="00DB7A7C" w:rsidP="002435F5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2014/2013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</w:r>
            <w:r>
              <w:rPr>
                <w:rFonts w:ascii="Arial" w:hAnsi="Arial"/>
                <w:b w:val="0"/>
                <w:sz w:val="18"/>
                <w:lang w:val="pt"/>
              </w:rPr>
              <w:t>(número de pneus)</w:t>
            </w:r>
          </w:p>
        </w:tc>
        <w:tc>
          <w:tcPr>
            <w:tcW w:w="1134" w:type="dxa"/>
            <w:shd w:val="clear" w:color="auto" w:fill="E6E6E6"/>
          </w:tcPr>
          <w:p w14:paraId="3278C41E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Europa</w:t>
            </w:r>
            <w:r>
              <w:rPr>
                <w:rStyle w:val="Refdenotaalpie"/>
                <w:rFonts w:ascii="Arial" w:hAnsi="Arial"/>
                <w:b w:val="0"/>
                <w:sz w:val="32"/>
                <w:vertAlign w:val="baseline"/>
                <w:lang w:val="pt"/>
              </w:rPr>
              <w:sym w:font="Symbol" w:char="F02A"/>
            </w:r>
            <w:r>
              <w:rPr>
                <w:rStyle w:val="Refdenotaalpie"/>
                <w:rFonts w:ascii="Arial" w:hAnsi="Arial"/>
                <w:b w:val="0"/>
                <w:sz w:val="32"/>
                <w:vertAlign w:val="baseline"/>
                <w:lang w:val="pt"/>
              </w:rPr>
              <w:sym w:font="Symbol" w:char="F02A"/>
            </w:r>
          </w:p>
        </w:tc>
        <w:tc>
          <w:tcPr>
            <w:tcW w:w="1275" w:type="dxa"/>
            <w:shd w:val="clear" w:color="auto" w:fill="E6E6E6"/>
          </w:tcPr>
          <w:p w14:paraId="5E0889E4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footnoteReference w:customMarkFollows="1" w:id="5"/>
              <w:t xml:space="preserve">América 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>do Norte</w:t>
            </w:r>
          </w:p>
        </w:tc>
        <w:tc>
          <w:tcPr>
            <w:tcW w:w="1276" w:type="dxa"/>
            <w:shd w:val="clear" w:color="auto" w:fill="E6E6E6"/>
          </w:tcPr>
          <w:p w14:paraId="089EC540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Ásia</w:t>
            </w:r>
          </w:p>
          <w:p w14:paraId="4E01DE6C" w14:textId="77777777" w:rsidR="00BF4FFF" w:rsidRPr="00A94F5F" w:rsidRDefault="00BF4FFF" w:rsidP="001E3147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(sem a Índia)</w:t>
            </w:r>
          </w:p>
        </w:tc>
        <w:tc>
          <w:tcPr>
            <w:tcW w:w="1276" w:type="dxa"/>
            <w:shd w:val="clear" w:color="auto" w:fill="E6E6E6"/>
          </w:tcPr>
          <w:p w14:paraId="38BEBB96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América 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>do Sul</w:t>
            </w:r>
          </w:p>
        </w:tc>
        <w:tc>
          <w:tcPr>
            <w:tcW w:w="1417" w:type="dxa"/>
            <w:shd w:val="clear" w:color="auto" w:fill="E6E6E6"/>
          </w:tcPr>
          <w:p w14:paraId="082F47FB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África/Índia/Médio Oriente</w:t>
            </w:r>
          </w:p>
        </w:tc>
        <w:tc>
          <w:tcPr>
            <w:tcW w:w="993" w:type="dxa"/>
            <w:shd w:val="clear" w:color="auto" w:fill="E6E6E6"/>
          </w:tcPr>
          <w:p w14:paraId="18E91D89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Total</w:t>
            </w:r>
          </w:p>
        </w:tc>
      </w:tr>
      <w:tr w:rsidR="004019D6" w:rsidRPr="00A94F5F" w14:paraId="4B4DA8C9" w14:textId="77777777">
        <w:trPr>
          <w:trHeight w:val="1271"/>
        </w:trPr>
        <w:tc>
          <w:tcPr>
            <w:tcW w:w="2235" w:type="dxa"/>
          </w:tcPr>
          <w:p w14:paraId="333E60D5" w14:textId="77777777" w:rsidR="004019D6" w:rsidRPr="00A94F5F" w:rsidRDefault="004019D6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Primeiro equipamento</w:t>
            </w:r>
            <w:r w:rsidR="00BA52C2">
              <w:rPr>
                <w:rFonts w:ascii="Arial" w:hAnsi="Arial"/>
                <w:b w:val="0"/>
                <w:sz w:val="20"/>
                <w:lang w:val="pt"/>
              </w:rPr>
              <w:t>*</w:t>
            </w:r>
          </w:p>
          <w:p w14:paraId="7B15A2F8" w14:textId="77777777" w:rsidR="004019D6" w:rsidRPr="00A94F5F" w:rsidRDefault="004019D6" w:rsidP="00BF4FFF">
            <w:pPr>
              <w:pStyle w:val="LadilloMichelinDossier"/>
              <w:spacing w:before="0" w:after="0"/>
              <w:jc w:val="both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footnoteReference w:customMarkFollows="1" w:id="6"/>
              <w:t xml:space="preserve">     </w:t>
            </w:r>
          </w:p>
          <w:p w14:paraId="0819EAE6" w14:textId="77777777" w:rsidR="004019D6" w:rsidRPr="00A94F5F" w:rsidRDefault="004019D6" w:rsidP="00BA52C2">
            <w:pPr>
              <w:pStyle w:val="LadilloMichelinDossier"/>
              <w:spacing w:before="0" w:after="0"/>
              <w:jc w:val="both"/>
              <w:rPr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Substituição</w:t>
            </w:r>
            <w:r w:rsidR="00BA52C2">
              <w:rPr>
                <w:rFonts w:ascii="Arial" w:hAnsi="Arial"/>
                <w:b w:val="0"/>
                <w:sz w:val="20"/>
                <w:lang w:val="pt"/>
              </w:rPr>
              <w:t>*</w:t>
            </w:r>
          </w:p>
        </w:tc>
        <w:tc>
          <w:tcPr>
            <w:tcW w:w="1134" w:type="dxa"/>
          </w:tcPr>
          <w:p w14:paraId="6555351F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10E3CF9D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footnoteReference w:customMarkFollows="1" w:id="7"/>
              <w:t>- 10%</w:t>
            </w:r>
          </w:p>
          <w:p w14:paraId="0EA07C5A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DCF32A8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- 3%</w:t>
            </w:r>
          </w:p>
          <w:p w14:paraId="50D72614" w14:textId="77777777" w:rsidR="004019D6" w:rsidRPr="00A94F5F" w:rsidRDefault="004019D6" w:rsidP="0035407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DCBF4E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77A3FEB5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+ 12%</w:t>
            </w:r>
          </w:p>
          <w:p w14:paraId="696F4AC1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6D93C89E" w14:textId="77777777" w:rsidR="004019D6" w:rsidRPr="00A94F5F" w:rsidRDefault="004019D6" w:rsidP="0035407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+ 7%</w:t>
            </w:r>
          </w:p>
        </w:tc>
        <w:tc>
          <w:tcPr>
            <w:tcW w:w="1276" w:type="dxa"/>
          </w:tcPr>
          <w:p w14:paraId="598454ED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44BAE7EE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- 1 %</w:t>
            </w:r>
          </w:p>
          <w:p w14:paraId="51607B83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7D6F3990" w14:textId="77777777" w:rsidR="004019D6" w:rsidRPr="00A94F5F" w:rsidRDefault="004019D6" w:rsidP="0035407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+ 4%</w:t>
            </w:r>
          </w:p>
        </w:tc>
        <w:tc>
          <w:tcPr>
            <w:tcW w:w="1276" w:type="dxa"/>
          </w:tcPr>
          <w:p w14:paraId="2F003583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3611A128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- 27%</w:t>
            </w:r>
          </w:p>
          <w:p w14:paraId="5D6048B5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51D2250A" w14:textId="77777777" w:rsidR="004019D6" w:rsidRPr="00A94F5F" w:rsidRDefault="004019D6" w:rsidP="0035407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- 5%</w:t>
            </w:r>
          </w:p>
        </w:tc>
        <w:tc>
          <w:tcPr>
            <w:tcW w:w="1417" w:type="dxa"/>
          </w:tcPr>
          <w:p w14:paraId="05E3CFF2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FAD2C31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+ 16%</w:t>
            </w:r>
          </w:p>
          <w:p w14:paraId="01850CE6" w14:textId="77777777" w:rsidR="004019D6" w:rsidRPr="00A94F5F" w:rsidRDefault="004019D6" w:rsidP="00E97CC8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684C96C3" w14:textId="77777777" w:rsidR="004019D6" w:rsidRPr="00A94F5F" w:rsidRDefault="004019D6" w:rsidP="0035407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>- 1 %</w:t>
            </w:r>
          </w:p>
        </w:tc>
        <w:tc>
          <w:tcPr>
            <w:tcW w:w="993" w:type="dxa"/>
          </w:tcPr>
          <w:p w14:paraId="5D40B46B" w14:textId="77777777" w:rsidR="004019D6" w:rsidRPr="00A94F5F" w:rsidRDefault="004019D6" w:rsidP="00E97CC8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165662A9" w14:textId="77777777" w:rsidR="004019D6" w:rsidRPr="00A94F5F" w:rsidRDefault="004019D6" w:rsidP="00E97CC8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20"/>
                <w:szCs w:val="20"/>
                <w:lang w:val="pt"/>
              </w:rPr>
              <w:t>+0%</w:t>
            </w:r>
          </w:p>
          <w:p w14:paraId="0B13B58E" w14:textId="77777777" w:rsidR="004019D6" w:rsidRPr="00A94F5F" w:rsidRDefault="004019D6" w:rsidP="00E97CC8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20"/>
                <w:szCs w:val="20"/>
              </w:rPr>
            </w:pPr>
          </w:p>
          <w:p w14:paraId="0E28B8FE" w14:textId="77777777" w:rsidR="004019D6" w:rsidRPr="00A94F5F" w:rsidRDefault="004019D6" w:rsidP="00354077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eastAsia="MS Mincho" w:hAnsi="Verdana" w:cs="Arial"/>
                <w:bCs/>
                <w:snapToGrid w:val="0"/>
                <w:sz w:val="20"/>
                <w:szCs w:val="20"/>
                <w:lang w:val="pt"/>
              </w:rPr>
              <w:t xml:space="preserve"> + 2%</w:t>
            </w:r>
          </w:p>
        </w:tc>
      </w:tr>
    </w:tbl>
    <w:p w14:paraId="7D510FEA" w14:textId="77777777" w:rsidR="00A1677B" w:rsidRPr="00A1677B" w:rsidRDefault="00A1677B" w:rsidP="00A1677B">
      <w:pPr>
        <w:spacing w:after="120" w:line="270" w:lineRule="atLeast"/>
        <w:rPr>
          <w:b/>
          <w:sz w:val="26"/>
        </w:rPr>
      </w:pPr>
    </w:p>
    <w:p w14:paraId="29DC8F9A" w14:textId="77777777" w:rsidR="00BF4FFF" w:rsidRPr="0076510B" w:rsidRDefault="00BF4FFF" w:rsidP="00BA52C2">
      <w:pPr>
        <w:numPr>
          <w:ilvl w:val="0"/>
          <w:numId w:val="5"/>
        </w:numPr>
        <w:tabs>
          <w:tab w:val="clear" w:pos="360"/>
          <w:tab w:val="num" w:pos="709"/>
        </w:tabs>
        <w:spacing w:after="60"/>
        <w:ind w:firstLine="66"/>
        <w:jc w:val="both"/>
        <w:rPr>
          <w:rFonts w:ascii="Arial" w:hAnsi="Arial"/>
          <w:b/>
          <w:bCs/>
          <w:sz w:val="21"/>
          <w:lang w:bidi="es-ES_tradnl"/>
        </w:rPr>
      </w:pPr>
      <w:proofErr w:type="spellStart"/>
      <w:r w:rsidRPr="0076510B">
        <w:rPr>
          <w:rFonts w:ascii="Arial" w:hAnsi="Arial"/>
          <w:b/>
          <w:bCs/>
          <w:sz w:val="21"/>
          <w:lang w:bidi="es-ES_tradnl"/>
        </w:rPr>
        <w:t>Primeiros</w:t>
      </w:r>
      <w:proofErr w:type="spellEnd"/>
      <w:r w:rsidRPr="0076510B">
        <w:rPr>
          <w:rFonts w:ascii="Arial" w:hAnsi="Arial"/>
          <w:b/>
          <w:bCs/>
          <w:sz w:val="21"/>
          <w:lang w:bidi="es-ES_tradnl"/>
        </w:rPr>
        <w:t xml:space="preserve"> </w:t>
      </w:r>
      <w:proofErr w:type="spellStart"/>
      <w:r w:rsidRPr="0076510B">
        <w:rPr>
          <w:rFonts w:ascii="Arial" w:hAnsi="Arial"/>
          <w:b/>
          <w:bCs/>
          <w:sz w:val="21"/>
          <w:lang w:bidi="es-ES_tradnl"/>
        </w:rPr>
        <w:t>Equipamentos</w:t>
      </w:r>
      <w:proofErr w:type="spellEnd"/>
    </w:p>
    <w:p w14:paraId="0D7DC9B6" w14:textId="77777777" w:rsidR="004624C7" w:rsidRDefault="004624C7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>Num ambiente econ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mico sofr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 xml:space="preserve">vel, o mercado europeu contraiu-se em 8% nos primeiros nove meses, com uma ligeira queda de 1% na Europa Ocidental e </w:t>
      </w:r>
      <w:r w:rsidRPr="00BA52C2">
        <w:rPr>
          <w:rFonts w:ascii="Arial" w:hAnsi="Arial Unicode MS"/>
          <w:sz w:val="21"/>
          <w:lang w:val="pt"/>
        </w:rPr>
        <w:t xml:space="preserve"> uma queda de 35% na Europa do Leste. </w:t>
      </w:r>
    </w:p>
    <w:p w14:paraId="2DAFF886" w14:textId="77777777" w:rsidR="0076510B" w:rsidRPr="00BA52C2" w:rsidRDefault="0076510B" w:rsidP="0076510B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52DE095D" w14:textId="77777777" w:rsidR="0058271E" w:rsidRDefault="0032791B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 xml:space="preserve">O mercado norte-americano continua a ver um forte crescimento, com um aumento de 12% nos primeiros nove meses apoiado por um aumento nas vendas de reboques e um aumento especialmente acentuado no segmento de classe 8. </w:t>
      </w:r>
    </w:p>
    <w:p w14:paraId="2B1A2913" w14:textId="77777777" w:rsidR="0076510B" w:rsidRPr="00BA52C2" w:rsidRDefault="0076510B" w:rsidP="0076510B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25A69426" w14:textId="77777777" w:rsidR="00E64CC2" w:rsidRPr="00BA52C2" w:rsidRDefault="004E3B20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 xml:space="preserve">A procura por pneus radiais e cross-ply na 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 xml:space="preserve">sia (excluindo 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ndia) aumentou 2% do total no per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odo de nove meses. O crescimento na China chegou a 4%, refletindo a desacelera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nas vendas de cami</w:t>
      </w:r>
      <w:r>
        <w:rPr>
          <w:rFonts w:ascii="Arial" w:hAnsi="Arial Unicode MS"/>
          <w:sz w:val="21"/>
          <w:lang w:val="pt"/>
        </w:rPr>
        <w:t>õ</w:t>
      </w:r>
      <w:r>
        <w:rPr>
          <w:rFonts w:ascii="Arial" w:hAnsi="Arial Unicode MS"/>
          <w:sz w:val="21"/>
          <w:lang w:val="pt"/>
        </w:rPr>
        <w:t>es ap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s o per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odo de prepara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antes da introdu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de novas normas de emiss</w:t>
      </w:r>
      <w:r>
        <w:rPr>
          <w:rFonts w:ascii="Arial" w:hAnsi="Arial Unicode MS"/>
          <w:sz w:val="21"/>
          <w:lang w:val="pt"/>
        </w:rPr>
        <w:t>õ</w:t>
      </w:r>
      <w:r>
        <w:rPr>
          <w:rFonts w:ascii="Arial" w:hAnsi="Arial Unicode MS"/>
          <w:sz w:val="21"/>
          <w:lang w:val="pt"/>
        </w:rPr>
        <w:t xml:space="preserve">es. A procura no sudeste da 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sia caiu 25% ap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s cortes de produ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 xml:space="preserve">o, devido </w:t>
      </w:r>
      <w:r>
        <w:rPr>
          <w:rFonts w:ascii="Arial" w:hAnsi="Arial Unicode MS"/>
          <w:sz w:val="21"/>
          <w:lang w:val="pt"/>
        </w:rPr>
        <w:t>à</w:t>
      </w:r>
      <w:r>
        <w:rPr>
          <w:rFonts w:ascii="Arial" w:hAnsi="Arial Unicode MS"/>
          <w:sz w:val="21"/>
          <w:lang w:val="pt"/>
        </w:rPr>
        <w:t xml:space="preserve"> situa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pol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tica na Tail</w:t>
      </w:r>
      <w:r>
        <w:rPr>
          <w:rFonts w:ascii="Arial" w:hAnsi="Arial Unicode MS"/>
          <w:sz w:val="21"/>
          <w:lang w:val="pt"/>
        </w:rPr>
        <w:t>â</w:t>
      </w:r>
      <w:r>
        <w:rPr>
          <w:rFonts w:ascii="Arial" w:hAnsi="Arial Unicode MS"/>
          <w:sz w:val="21"/>
          <w:lang w:val="pt"/>
        </w:rPr>
        <w:t>ndia.</w:t>
      </w:r>
    </w:p>
    <w:p w14:paraId="028E2BE8" w14:textId="77777777" w:rsidR="00692C86" w:rsidRDefault="00692C86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lastRenderedPageBreak/>
        <w:t>Na economia sul-americana menos din</w:t>
      </w:r>
      <w:r>
        <w:rPr>
          <w:rFonts w:ascii="Arial" w:hAnsi="Arial Unicode MS"/>
          <w:sz w:val="21"/>
          <w:lang w:val="pt"/>
        </w:rPr>
        <w:t>â</w:t>
      </w:r>
      <w:r>
        <w:rPr>
          <w:rFonts w:ascii="Arial" w:hAnsi="Arial Unicode MS"/>
          <w:sz w:val="21"/>
          <w:lang w:val="pt"/>
        </w:rPr>
        <w:t xml:space="preserve">mica, a demanda caiu drasticamente, de 17% nos primeiros nove meses,  </w:t>
      </w:r>
      <w:r>
        <w:rPr>
          <w:rFonts w:ascii="Arial" w:hAnsi="Arial Unicode MS"/>
          <w:sz w:val="21"/>
          <w:lang w:val="pt"/>
        </w:rPr>
        <w:br/>
        <w:t>e de 27% no terceiro trimestre, ap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s o forte crescimento em 2013, em forte procura por cami</w:t>
      </w:r>
      <w:r>
        <w:rPr>
          <w:rFonts w:ascii="Arial" w:hAnsi="Arial Unicode MS"/>
          <w:sz w:val="21"/>
          <w:lang w:val="pt"/>
        </w:rPr>
        <w:t>õ</w:t>
      </w:r>
      <w:r>
        <w:rPr>
          <w:rFonts w:ascii="Arial" w:hAnsi="Arial Unicode MS"/>
          <w:sz w:val="21"/>
          <w:lang w:val="pt"/>
        </w:rPr>
        <w:t xml:space="preserve">es pesados </w:t>
      </w:r>
      <w:r>
        <w:rPr>
          <w:rFonts w:ascii="Arial" w:hAnsi="Arial Unicode MS"/>
          <w:sz w:val="21"/>
          <w:lang w:val="pt"/>
        </w:rPr>
        <w:t>​​</w:t>
      </w:r>
      <w:r>
        <w:rPr>
          <w:rFonts w:ascii="Arial" w:hAnsi="Arial Unicode MS"/>
          <w:sz w:val="21"/>
          <w:lang w:val="pt"/>
        </w:rPr>
        <w:t>no setor da agricultura.</w:t>
      </w:r>
    </w:p>
    <w:p w14:paraId="23371C4E" w14:textId="77777777" w:rsidR="0076510B" w:rsidRPr="00BA52C2" w:rsidRDefault="0076510B" w:rsidP="007C20B9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14459895" w14:textId="77777777" w:rsidR="00BF4FFF" w:rsidRPr="0076510B" w:rsidRDefault="00BF4FFF" w:rsidP="00BA52C2">
      <w:pPr>
        <w:numPr>
          <w:ilvl w:val="0"/>
          <w:numId w:val="5"/>
        </w:numPr>
        <w:tabs>
          <w:tab w:val="clear" w:pos="360"/>
          <w:tab w:val="num" w:pos="709"/>
        </w:tabs>
        <w:spacing w:after="60"/>
        <w:ind w:firstLine="66"/>
        <w:jc w:val="both"/>
        <w:rPr>
          <w:rFonts w:ascii="Arial" w:hAnsi="Arial"/>
          <w:b/>
          <w:bCs/>
          <w:sz w:val="21"/>
          <w:lang w:bidi="es-ES_tradnl"/>
        </w:rPr>
      </w:pPr>
      <w:proofErr w:type="spellStart"/>
      <w:r w:rsidRPr="0076510B">
        <w:rPr>
          <w:rFonts w:ascii="Arial" w:hAnsi="Arial"/>
          <w:b/>
          <w:bCs/>
          <w:sz w:val="21"/>
          <w:lang w:bidi="es-ES_tradnl"/>
        </w:rPr>
        <w:t>Substituição</w:t>
      </w:r>
      <w:proofErr w:type="spellEnd"/>
    </w:p>
    <w:p w14:paraId="4CFB581B" w14:textId="77777777" w:rsidR="003237DA" w:rsidRDefault="00444F58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>O mercado de reposi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europeu terminou os primeiros nove meses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3% e manteve-se muito abaixo dos seus n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veis de 2007. Apesar do aumento mais r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pido em vendas de importa</w:t>
      </w:r>
      <w:r>
        <w:rPr>
          <w:rFonts w:ascii="Arial" w:hAnsi="Arial Unicode MS"/>
          <w:sz w:val="21"/>
          <w:lang w:val="pt"/>
        </w:rPr>
        <w:t>çõ</w:t>
      </w:r>
      <w:r>
        <w:rPr>
          <w:rFonts w:ascii="Arial" w:hAnsi="Arial Unicode MS"/>
          <w:sz w:val="21"/>
          <w:lang w:val="pt"/>
        </w:rPr>
        <w:t>es de pneus asi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ticos na Europa Central, a procura na Europa Ocidental recuou 5% em geral no terceiro trimestre ap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s forte tend</w:t>
      </w:r>
      <w:r>
        <w:rPr>
          <w:rFonts w:ascii="Arial" w:hAnsi="Arial Unicode MS"/>
          <w:sz w:val="21"/>
          <w:lang w:val="pt"/>
        </w:rPr>
        <w:t>ê</w:t>
      </w:r>
      <w:r>
        <w:rPr>
          <w:rFonts w:ascii="Arial" w:hAnsi="Arial Unicode MS"/>
          <w:sz w:val="21"/>
          <w:lang w:val="pt"/>
        </w:rPr>
        <w:t>ncia de queda em julho e agosto. A procura no Leste Europeu era praticamente est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vel ao longo dos primeiros nove meses, apesar de uma contra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de 6% no terceiro trimestre.</w:t>
      </w:r>
    </w:p>
    <w:p w14:paraId="616FE4B0" w14:textId="77777777" w:rsidR="007C20B9" w:rsidRPr="00BA52C2" w:rsidRDefault="007C20B9" w:rsidP="007C20B9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1CA52ED3" w14:textId="77777777" w:rsidR="002943F9" w:rsidRDefault="00107C3F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>Na Am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rica do Norte, o mercado radial cresceu </w:t>
      </w:r>
      <w:r>
        <w:rPr>
          <w:rFonts w:ascii="Arial" w:hAnsi="Arial Unicode MS"/>
          <w:sz w:val="21"/>
          <w:lang w:val="pt"/>
        </w:rPr>
        <w:br/>
        <w:t>9% nos primeiros nove meses, levantando-o para n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veis pr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>-recess</w:t>
      </w:r>
      <w:r>
        <w:rPr>
          <w:rFonts w:ascii="Arial" w:hAnsi="Arial Unicode MS"/>
          <w:sz w:val="21"/>
          <w:lang w:val="pt"/>
        </w:rPr>
        <w:t>ã</w:t>
      </w:r>
      <w:r>
        <w:rPr>
          <w:rFonts w:ascii="Arial" w:hAnsi="Arial Unicode MS"/>
          <w:sz w:val="21"/>
          <w:lang w:val="pt"/>
        </w:rPr>
        <w:t>o como a demanda de carga constante e os pre</w:t>
      </w:r>
      <w:r>
        <w:rPr>
          <w:rFonts w:ascii="Arial" w:hAnsi="Arial Unicode MS"/>
          <w:sz w:val="21"/>
          <w:lang w:val="pt"/>
        </w:rPr>
        <w:t>ç</w:t>
      </w:r>
      <w:r>
        <w:rPr>
          <w:rFonts w:ascii="Arial" w:hAnsi="Arial Unicode MS"/>
          <w:sz w:val="21"/>
          <w:lang w:val="pt"/>
        </w:rPr>
        <w:t>os dos combust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veis em decl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 xml:space="preserve">nio. </w:t>
      </w:r>
    </w:p>
    <w:p w14:paraId="080203F0" w14:textId="77777777" w:rsidR="007C20B9" w:rsidRPr="00BA52C2" w:rsidRDefault="007C20B9" w:rsidP="007C20B9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505DB2E7" w14:textId="77777777" w:rsidR="002943F9" w:rsidRDefault="006C21B6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>Os mercados asi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 xml:space="preserve">ticos (excluindo a 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ndia) subiram de 3% para o per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odo de nove meses, mas as tend</w:t>
      </w:r>
      <w:r>
        <w:rPr>
          <w:rFonts w:ascii="Arial" w:hAnsi="Arial Unicode MS"/>
          <w:sz w:val="21"/>
          <w:lang w:val="pt"/>
        </w:rPr>
        <w:t>ê</w:t>
      </w:r>
      <w:r>
        <w:rPr>
          <w:rFonts w:ascii="Arial" w:hAnsi="Arial Unicode MS"/>
          <w:sz w:val="21"/>
          <w:lang w:val="pt"/>
        </w:rPr>
        <w:t>ncias de demanda foram desiguais na regi</w:t>
      </w:r>
      <w:r>
        <w:rPr>
          <w:rFonts w:ascii="Arial" w:hAnsi="Arial Unicode MS"/>
          <w:sz w:val="21"/>
          <w:lang w:val="pt"/>
        </w:rPr>
        <w:t>ã</w:t>
      </w:r>
      <w:r>
        <w:rPr>
          <w:rFonts w:ascii="Arial" w:hAnsi="Arial Unicode MS"/>
          <w:sz w:val="21"/>
          <w:lang w:val="pt"/>
        </w:rPr>
        <w:t>o. Na China, o mercado ainda est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 xml:space="preserve"> a crescer (at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3% no final de setembro), com, no entanto, um abrandamento da procura de mercadorias. O mercado japon</w:t>
      </w:r>
      <w:r>
        <w:rPr>
          <w:rFonts w:ascii="Arial" w:hAnsi="Arial Unicode MS"/>
          <w:sz w:val="21"/>
          <w:lang w:val="pt"/>
        </w:rPr>
        <w:t>ê</w:t>
      </w:r>
      <w:r>
        <w:rPr>
          <w:rFonts w:ascii="Arial" w:hAnsi="Arial Unicode MS"/>
          <w:sz w:val="21"/>
          <w:lang w:val="pt"/>
        </w:rPr>
        <w:t>s continua numa tend</w:t>
      </w:r>
      <w:r>
        <w:rPr>
          <w:rFonts w:ascii="Arial" w:hAnsi="Arial Unicode MS"/>
          <w:sz w:val="21"/>
          <w:lang w:val="pt"/>
        </w:rPr>
        <w:t>ê</w:t>
      </w:r>
      <w:r>
        <w:rPr>
          <w:rFonts w:ascii="Arial" w:hAnsi="Arial Unicode MS"/>
          <w:sz w:val="21"/>
          <w:lang w:val="pt"/>
        </w:rPr>
        <w:t>ncia de alta s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lida, crescendo 13% em rela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aos primeiros nove meses, sem qualquer repercuss</w:t>
      </w:r>
      <w:r>
        <w:rPr>
          <w:rFonts w:ascii="Arial" w:hAnsi="Arial Unicode MS"/>
          <w:sz w:val="21"/>
          <w:lang w:val="pt"/>
        </w:rPr>
        <w:t>ã</w:t>
      </w:r>
      <w:r>
        <w:rPr>
          <w:rFonts w:ascii="Arial" w:hAnsi="Arial Unicode MS"/>
          <w:sz w:val="21"/>
          <w:lang w:val="pt"/>
        </w:rPr>
        <w:t>o de compras antes da subida das taxas de IVA. Os mercados do sudeste asi</w:t>
      </w:r>
      <w:r>
        <w:rPr>
          <w:rFonts w:ascii="Arial" w:hAnsi="Arial Unicode MS"/>
          <w:sz w:val="21"/>
          <w:lang w:val="pt"/>
        </w:rPr>
        <w:t>á</w:t>
      </w:r>
      <w:r>
        <w:rPr>
          <w:rFonts w:ascii="Arial" w:hAnsi="Arial Unicode MS"/>
          <w:sz w:val="21"/>
          <w:lang w:val="pt"/>
        </w:rPr>
        <w:t>tico encerraram os nove meses at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 xml:space="preserve"> 1%, enquanto a procura na Indon</w:t>
      </w:r>
      <w:r>
        <w:rPr>
          <w:rFonts w:ascii="Arial" w:hAnsi="Arial Unicode MS"/>
          <w:sz w:val="21"/>
          <w:lang w:val="pt"/>
        </w:rPr>
        <w:t>é</w:t>
      </w:r>
      <w:r>
        <w:rPr>
          <w:rFonts w:ascii="Arial" w:hAnsi="Arial Unicode MS"/>
          <w:sz w:val="21"/>
          <w:lang w:val="pt"/>
        </w:rPr>
        <w:t>sia compensou a contra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no mercado tailand</w:t>
      </w:r>
      <w:r>
        <w:rPr>
          <w:rFonts w:ascii="Arial" w:hAnsi="Arial Unicode MS"/>
          <w:sz w:val="21"/>
          <w:lang w:val="pt"/>
        </w:rPr>
        <w:t>ê</w:t>
      </w:r>
      <w:r>
        <w:rPr>
          <w:rFonts w:ascii="Arial" w:hAnsi="Arial Unicode MS"/>
          <w:sz w:val="21"/>
          <w:lang w:val="pt"/>
        </w:rPr>
        <w:t>s.</w:t>
      </w:r>
    </w:p>
    <w:p w14:paraId="35A521E8" w14:textId="77777777" w:rsidR="007C20B9" w:rsidRPr="00BA52C2" w:rsidRDefault="007C20B9" w:rsidP="007C20B9">
      <w:pPr>
        <w:spacing w:before="120" w:after="120" w:line="270" w:lineRule="atLeast"/>
        <w:ind w:left="1434"/>
        <w:jc w:val="both"/>
        <w:rPr>
          <w:rFonts w:ascii="Arial" w:hAnsi="Arial Unicode MS"/>
          <w:sz w:val="21"/>
          <w:lang w:val="pt"/>
        </w:rPr>
      </w:pPr>
    </w:p>
    <w:p w14:paraId="1B12A0E4" w14:textId="77777777" w:rsidR="002943F9" w:rsidRPr="00BA52C2" w:rsidRDefault="002943F9" w:rsidP="00BA52C2">
      <w:pPr>
        <w:numPr>
          <w:ilvl w:val="1"/>
          <w:numId w:val="10"/>
        </w:numPr>
        <w:spacing w:before="120" w:after="120" w:line="270" w:lineRule="atLeast"/>
        <w:ind w:left="1434" w:hanging="357"/>
        <w:jc w:val="both"/>
        <w:rPr>
          <w:rFonts w:ascii="Arial" w:hAnsi="Arial Unicode MS"/>
          <w:sz w:val="21"/>
          <w:lang w:val="pt"/>
        </w:rPr>
      </w:pPr>
      <w:r>
        <w:rPr>
          <w:rFonts w:ascii="Arial" w:hAnsi="Arial Unicode MS"/>
          <w:sz w:val="21"/>
          <w:lang w:val="pt"/>
        </w:rPr>
        <w:t>A procura Sul-americana caiu 3% para os primeiros nove meses, mas o crescimento variou por pa</w:t>
      </w:r>
      <w:r>
        <w:rPr>
          <w:rFonts w:ascii="Arial" w:hAnsi="Arial Unicode MS"/>
          <w:sz w:val="21"/>
          <w:lang w:val="pt"/>
        </w:rPr>
        <w:t>í</w:t>
      </w:r>
      <w:r>
        <w:rPr>
          <w:rFonts w:ascii="Arial" w:hAnsi="Arial Unicode MS"/>
          <w:sz w:val="21"/>
          <w:lang w:val="pt"/>
        </w:rPr>
        <w:t>s em fun</w:t>
      </w:r>
      <w:r>
        <w:rPr>
          <w:rFonts w:ascii="Arial" w:hAnsi="Arial Unicode MS"/>
          <w:sz w:val="21"/>
          <w:lang w:val="pt"/>
        </w:rPr>
        <w:t>çã</w:t>
      </w:r>
      <w:r>
        <w:rPr>
          <w:rFonts w:ascii="Arial" w:hAnsi="Arial Unicode MS"/>
          <w:sz w:val="21"/>
          <w:lang w:val="pt"/>
        </w:rPr>
        <w:t>o do ambiente econ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mico e de neg</w:t>
      </w:r>
      <w:r>
        <w:rPr>
          <w:rFonts w:ascii="Arial" w:hAnsi="Arial Unicode MS"/>
          <w:sz w:val="21"/>
          <w:lang w:val="pt"/>
        </w:rPr>
        <w:t>ó</w:t>
      </w:r>
      <w:r>
        <w:rPr>
          <w:rFonts w:ascii="Arial" w:hAnsi="Arial Unicode MS"/>
          <w:sz w:val="21"/>
          <w:lang w:val="pt"/>
        </w:rPr>
        <w:t>cios local.</w:t>
      </w:r>
    </w:p>
    <w:p w14:paraId="34B31BFA" w14:textId="77777777" w:rsidR="002943F9" w:rsidRPr="002943F9" w:rsidRDefault="002943F9" w:rsidP="00AB375E">
      <w:pPr>
        <w:pStyle w:val="Body1"/>
        <w:spacing w:before="480" w:after="120" w:line="270" w:lineRule="atLeast"/>
        <w:ind w:left="1440"/>
        <w:jc w:val="both"/>
        <w:rPr>
          <w:rFonts w:ascii="Arial" w:hAnsi="Arial Unicode MS"/>
          <w:sz w:val="21"/>
        </w:rPr>
      </w:pPr>
    </w:p>
    <w:p w14:paraId="564514CB" w14:textId="77777777" w:rsidR="002943F9" w:rsidRDefault="002943F9" w:rsidP="00FA5138">
      <w:pPr>
        <w:pStyle w:val="Body1"/>
        <w:tabs>
          <w:tab w:val="left" w:pos="360"/>
        </w:tabs>
        <w:spacing w:after="60"/>
        <w:ind w:left="720"/>
        <w:jc w:val="both"/>
        <w:rPr>
          <w:rFonts w:ascii="Arial" w:hAnsi="Arial Unicode MS"/>
          <w:color w:val="auto"/>
          <w:sz w:val="21"/>
        </w:rPr>
      </w:pPr>
    </w:p>
    <w:p w14:paraId="333B9AD2" w14:textId="77777777" w:rsidR="00440D50" w:rsidRPr="00A1677B" w:rsidRDefault="00B24343" w:rsidP="007C20B9">
      <w:pPr>
        <w:tabs>
          <w:tab w:val="left" w:pos="284"/>
        </w:tabs>
        <w:jc w:val="both"/>
        <w:rPr>
          <w:rFonts w:ascii="Arial" w:eastAsia="Times New Roman" w:hAnsi="Arial" w:cs="Arial"/>
          <w:smallCaps/>
          <w:lang w:val="en-US"/>
        </w:rPr>
      </w:pPr>
      <w:r>
        <w:rPr>
          <w:sz w:val="26"/>
          <w:lang w:val="pt"/>
        </w:rPr>
        <w:br w:type="column"/>
      </w:r>
      <w:proofErr w:type="spellStart"/>
      <w:r w:rsidRPr="007C20B9">
        <w:rPr>
          <w:b/>
          <w:sz w:val="26"/>
        </w:rPr>
        <w:lastRenderedPageBreak/>
        <w:t>Pneus</w:t>
      </w:r>
      <w:proofErr w:type="spellEnd"/>
      <w:r w:rsidRPr="007C20B9">
        <w:rPr>
          <w:b/>
          <w:sz w:val="26"/>
        </w:rPr>
        <w:t xml:space="preserve"> de especialidades</w:t>
      </w:r>
    </w:p>
    <w:p w14:paraId="10AF336C" w14:textId="77777777" w:rsidR="00440D50" w:rsidRDefault="00440D50" w:rsidP="00FA5138">
      <w:pPr>
        <w:pStyle w:val="Body1"/>
        <w:tabs>
          <w:tab w:val="left" w:pos="360"/>
        </w:tabs>
        <w:spacing w:after="60"/>
        <w:ind w:left="720"/>
        <w:jc w:val="both"/>
        <w:rPr>
          <w:rFonts w:ascii="Verdana" w:hAnsi="Verdana" w:cs="Arial"/>
        </w:rPr>
      </w:pPr>
    </w:p>
    <w:p w14:paraId="2C547480" w14:textId="77777777" w:rsidR="00440D50" w:rsidRDefault="00440D50" w:rsidP="00440D50">
      <w:pPr>
        <w:numPr>
          <w:ilvl w:val="0"/>
          <w:numId w:val="5"/>
        </w:numPr>
        <w:spacing w:after="60"/>
        <w:ind w:left="709" w:hanging="283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7C20B9">
        <w:rPr>
          <w:rFonts w:ascii="Arial" w:hAnsi="Arial" w:cs="Arial"/>
          <w:b/>
          <w:bCs/>
          <w:sz w:val="21"/>
          <w:szCs w:val="21"/>
          <w:lang w:val="pt"/>
        </w:rPr>
        <w:t>Engenharia civil:</w:t>
      </w:r>
      <w:r w:rsidR="00BA52C2" w:rsidRPr="007C20B9">
        <w:rPr>
          <w:rFonts w:ascii="Arial" w:hAnsi="Arial" w:cs="Arial"/>
          <w:b/>
          <w:bCs/>
          <w:sz w:val="21"/>
          <w:szCs w:val="21"/>
          <w:lang w:val="pt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Desde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o quarto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trimestre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2013, 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mercado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pneus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para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minaria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continua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em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contração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em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relação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ano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anterior,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penalizado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pela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atual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redução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stocks das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companhias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mineiras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. A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descida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preço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certos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minerais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(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ferro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carvão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)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teve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um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impacto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sobre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gramStart"/>
      <w:r w:rsidRPr="007C20B9">
        <w:rPr>
          <w:rFonts w:ascii="Arial" w:eastAsia="Times New Roman" w:hAnsi="Arial" w:cs="Arial"/>
          <w:sz w:val="21"/>
          <w:szCs w:val="21"/>
          <w:lang w:val="en-US"/>
        </w:rPr>
        <w:t>a</w:t>
      </w:r>
      <w:proofErr w:type="gram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atividade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extração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</w:p>
    <w:p w14:paraId="3F062A2B" w14:textId="77777777" w:rsidR="00440D50" w:rsidRDefault="00440D50" w:rsidP="0014641C">
      <w:pPr>
        <w:pStyle w:val="Body1"/>
        <w:tabs>
          <w:tab w:val="left" w:pos="360"/>
        </w:tabs>
        <w:spacing w:after="60"/>
        <w:ind w:left="720"/>
        <w:jc w:val="both"/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</w:pP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mercados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de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primeiros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equipamentos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estão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em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contração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,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desde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o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início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do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ano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nas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zonas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maduras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devido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à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redução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de stock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realizada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em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2013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pelos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construtores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.</w:t>
      </w:r>
    </w:p>
    <w:p w14:paraId="6A8C7B07" w14:textId="77777777" w:rsidR="006C08F0" w:rsidRPr="007C20B9" w:rsidRDefault="00440D50" w:rsidP="006C08F0">
      <w:pPr>
        <w:pStyle w:val="Body1"/>
        <w:tabs>
          <w:tab w:val="left" w:pos="360"/>
        </w:tabs>
        <w:spacing w:after="60"/>
        <w:ind w:left="720"/>
        <w:jc w:val="both"/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</w:pPr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O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mercado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de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pneus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para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infraestruturas e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pedreiras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aumenta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nos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países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maduros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,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graças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ao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nível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de stock da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distribuição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, inferior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ao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do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ano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anterior. </w:t>
      </w:r>
      <w:proofErr w:type="spellStart"/>
      <w:proofErr w:type="gram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Nas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zonas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emergentes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,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mercados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 xml:space="preserve"> </w:t>
      </w:r>
      <w:proofErr w:type="spellStart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caem</w:t>
      </w:r>
      <w:proofErr w:type="spellEnd"/>
      <w:r w:rsidRPr="007C20B9">
        <w:rPr>
          <w:rFonts w:ascii="Arial" w:eastAsia="Times New Roman" w:hAnsi="Arial" w:cs="Arial"/>
          <w:color w:val="auto"/>
          <w:sz w:val="21"/>
          <w:szCs w:val="21"/>
          <w:lang w:val="en-US" w:eastAsia="fr-FR"/>
        </w:rPr>
        <w:t>.</w:t>
      </w:r>
      <w:proofErr w:type="gramEnd"/>
    </w:p>
    <w:p w14:paraId="2A58995B" w14:textId="77777777" w:rsidR="00440D50" w:rsidRPr="007C20B9" w:rsidRDefault="00440D50" w:rsidP="00FA5138">
      <w:pPr>
        <w:pStyle w:val="Body1"/>
        <w:tabs>
          <w:tab w:val="left" w:pos="360"/>
        </w:tabs>
        <w:spacing w:after="60"/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14:paraId="23FFFB6C" w14:textId="77777777" w:rsidR="00A64967" w:rsidRDefault="00BF4FFF" w:rsidP="00A64967">
      <w:pPr>
        <w:numPr>
          <w:ilvl w:val="0"/>
          <w:numId w:val="5"/>
        </w:numPr>
        <w:spacing w:after="60"/>
        <w:ind w:left="720" w:hanging="283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7C20B9">
        <w:rPr>
          <w:rFonts w:ascii="Arial" w:hAnsi="Arial" w:cs="Arial"/>
          <w:b/>
          <w:bCs/>
          <w:sz w:val="21"/>
          <w:szCs w:val="21"/>
          <w:lang w:val="pt"/>
        </w:rPr>
        <w:t xml:space="preserve">Agrícola:  </w:t>
      </w:r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A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procura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mundial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mercado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primeiros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equipamentos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contrai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nos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países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maduros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devido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a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uma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importante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renovação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parque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nos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últimos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anos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e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por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uma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redução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nos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incentivos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fiscais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agrícolas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nos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Estados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Unidos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14:paraId="2E5D1D07" w14:textId="77777777" w:rsidR="007C20B9" w:rsidRDefault="00F3390F" w:rsidP="007C20B9">
      <w:pPr>
        <w:spacing w:after="60"/>
        <w:ind w:left="720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A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subir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no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primeiro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semestre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, 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mercado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substituição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7C20B9"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proofErr w:type="gram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Europa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decresce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no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terceiro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trimestre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Também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decresce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7C20B9"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proofErr w:type="gram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América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do Norte.</w:t>
      </w:r>
    </w:p>
    <w:p w14:paraId="452F5143" w14:textId="77777777" w:rsidR="007C20B9" w:rsidRDefault="007C20B9" w:rsidP="007C20B9">
      <w:pPr>
        <w:spacing w:after="60"/>
        <w:ind w:left="720"/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p w14:paraId="434D4843" w14:textId="77777777" w:rsidR="00CB59BD" w:rsidRPr="009B5399" w:rsidRDefault="00BF4FFF" w:rsidP="009B5399">
      <w:pPr>
        <w:numPr>
          <w:ilvl w:val="0"/>
          <w:numId w:val="5"/>
        </w:numPr>
        <w:spacing w:after="60"/>
        <w:ind w:left="720" w:hanging="283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9B5399">
        <w:rPr>
          <w:rFonts w:ascii="Arial" w:hAnsi="Arial" w:cs="Arial"/>
          <w:b/>
          <w:bCs/>
          <w:sz w:val="21"/>
          <w:szCs w:val="21"/>
          <w:lang w:val="pt"/>
        </w:rPr>
        <w:t xml:space="preserve">Duas rodas: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Os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mercados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moto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crescem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na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Europa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até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finais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setembro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embora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mostrem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sintomas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enfraquecimento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no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terceiro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trimestre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.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Entretanto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,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decresce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gramStart"/>
      <w:r w:rsidRPr="009B5399">
        <w:rPr>
          <w:rFonts w:ascii="Arial" w:eastAsia="Times New Roman" w:hAnsi="Arial" w:cs="Arial"/>
          <w:sz w:val="21"/>
          <w:szCs w:val="21"/>
          <w:lang w:val="en-US"/>
        </w:rPr>
        <w:t>a</w:t>
      </w:r>
      <w:proofErr w:type="gram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9B5399">
        <w:rPr>
          <w:rFonts w:ascii="Arial" w:eastAsia="Times New Roman" w:hAnsi="Arial" w:cs="Arial"/>
          <w:sz w:val="21"/>
          <w:szCs w:val="21"/>
          <w:lang w:val="en-US"/>
        </w:rPr>
        <w:t>América</w:t>
      </w:r>
      <w:proofErr w:type="spellEnd"/>
      <w:r w:rsidRPr="009B5399">
        <w:rPr>
          <w:rFonts w:ascii="Arial" w:eastAsia="Times New Roman" w:hAnsi="Arial" w:cs="Arial"/>
          <w:sz w:val="21"/>
          <w:szCs w:val="21"/>
          <w:lang w:val="en-US"/>
        </w:rPr>
        <w:t xml:space="preserve"> do Norte.</w:t>
      </w:r>
    </w:p>
    <w:p w14:paraId="06DA12C7" w14:textId="77777777" w:rsidR="00BF4FFF" w:rsidRPr="007C20B9" w:rsidRDefault="00BF4FFF" w:rsidP="00196232">
      <w:pPr>
        <w:spacing w:after="60"/>
        <w:ind w:left="720"/>
        <w:jc w:val="both"/>
        <w:rPr>
          <w:rFonts w:ascii="Arial" w:hAnsi="Arial" w:cs="Arial"/>
          <w:bCs/>
          <w:sz w:val="21"/>
          <w:szCs w:val="21"/>
        </w:rPr>
      </w:pPr>
    </w:p>
    <w:p w14:paraId="770F0700" w14:textId="77777777" w:rsidR="00CB59BD" w:rsidRPr="007C20B9" w:rsidRDefault="00BF4FFF" w:rsidP="00D44452">
      <w:pPr>
        <w:numPr>
          <w:ilvl w:val="0"/>
          <w:numId w:val="5"/>
        </w:numPr>
        <w:spacing w:after="60"/>
        <w:ind w:left="709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7C20B9">
        <w:rPr>
          <w:rFonts w:ascii="Arial" w:hAnsi="Arial" w:cs="Arial"/>
          <w:b/>
          <w:bCs/>
          <w:sz w:val="21"/>
          <w:szCs w:val="21"/>
          <w:lang w:val="pt"/>
        </w:rPr>
        <w:t xml:space="preserve">Avião: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mercados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de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pneus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aviação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comercial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7C20B9">
        <w:rPr>
          <w:rFonts w:ascii="Arial" w:eastAsia="Times New Roman" w:hAnsi="Arial" w:cs="Arial"/>
          <w:sz w:val="21"/>
          <w:szCs w:val="21"/>
          <w:lang w:val="en-US"/>
        </w:rPr>
        <w:t>crescem</w:t>
      </w:r>
      <w:proofErr w:type="spellEnd"/>
      <w:r w:rsidRPr="007C20B9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14:paraId="168C795F" w14:textId="77777777" w:rsidR="00CB59BD" w:rsidRPr="007C20B9" w:rsidRDefault="00CB59BD" w:rsidP="00CB59BD">
      <w:pPr>
        <w:spacing w:after="60"/>
        <w:ind w:left="425"/>
        <w:jc w:val="both"/>
        <w:rPr>
          <w:rFonts w:ascii="Arial" w:hAnsi="Arial" w:cs="Arial"/>
          <w:b/>
          <w:bCs/>
          <w:sz w:val="21"/>
          <w:szCs w:val="21"/>
        </w:rPr>
      </w:pPr>
    </w:p>
    <w:p w14:paraId="2618FA6B" w14:textId="77777777" w:rsidR="00BF4FFF" w:rsidRPr="00BA52C2" w:rsidRDefault="0050426F" w:rsidP="007D685D">
      <w:pPr>
        <w:ind w:right="3253"/>
        <w:jc w:val="both"/>
        <w:rPr>
          <w:rFonts w:ascii="Verdana" w:eastAsia="Times New Roman" w:hAnsi="Verdana" w:cs="Arial"/>
          <w:b/>
          <w:bCs/>
          <w:lang w:val="en-US"/>
        </w:rPr>
      </w:pPr>
      <w:r>
        <w:rPr>
          <w:snapToGrid w:val="0"/>
          <w:color w:val="333399"/>
          <w:sz w:val="40"/>
          <w:szCs w:val="26"/>
          <w:lang w:val="pt"/>
        </w:rPr>
        <w:br w:type="column"/>
      </w:r>
      <w:proofErr w:type="spellStart"/>
      <w:r w:rsidRPr="007D685D">
        <w:rPr>
          <w:b/>
          <w:snapToGrid w:val="0"/>
          <w:color w:val="333399"/>
          <w:sz w:val="40"/>
          <w:szCs w:val="26"/>
        </w:rPr>
        <w:lastRenderedPageBreak/>
        <w:t>Vendas</w:t>
      </w:r>
      <w:proofErr w:type="spellEnd"/>
      <w:r w:rsidRPr="007D685D">
        <w:rPr>
          <w:b/>
          <w:snapToGrid w:val="0"/>
          <w:color w:val="333399"/>
          <w:sz w:val="40"/>
          <w:szCs w:val="26"/>
        </w:rPr>
        <w:t xml:space="preserve"> </w:t>
      </w:r>
      <w:proofErr w:type="spellStart"/>
      <w:r w:rsidRPr="007D685D">
        <w:rPr>
          <w:b/>
          <w:snapToGrid w:val="0"/>
          <w:color w:val="333399"/>
          <w:sz w:val="40"/>
          <w:szCs w:val="26"/>
        </w:rPr>
        <w:t>líquidas</w:t>
      </w:r>
      <w:proofErr w:type="spellEnd"/>
      <w:r w:rsidRPr="007D685D">
        <w:rPr>
          <w:b/>
          <w:snapToGrid w:val="0"/>
          <w:color w:val="333399"/>
          <w:sz w:val="40"/>
          <w:szCs w:val="26"/>
        </w:rPr>
        <w:t xml:space="preserve"> da Michelin</w:t>
      </w:r>
      <w:r w:rsidRPr="00BA52C2">
        <w:rPr>
          <w:rFonts w:ascii="Verdana" w:eastAsia="Times New Roman" w:hAnsi="Verdana" w:cs="Arial"/>
          <w:b/>
          <w:bCs/>
          <w:lang w:val="en-US"/>
        </w:rPr>
        <w:t xml:space="preserve"> </w:t>
      </w:r>
    </w:p>
    <w:p w14:paraId="274BAA99" w14:textId="77777777" w:rsidR="00BF4FFF" w:rsidRPr="00A94F5F" w:rsidRDefault="00BF4FFF" w:rsidP="00BF4FFF">
      <w:pPr>
        <w:spacing w:line="270" w:lineRule="atLeast"/>
        <w:jc w:val="both"/>
        <w:rPr>
          <w:rFonts w:ascii="Arial" w:hAnsi="Arial"/>
          <w:b/>
          <w:sz w:val="21"/>
        </w:rPr>
      </w:pPr>
    </w:p>
    <w:p w14:paraId="1CDC6D40" w14:textId="77777777" w:rsidR="00BF4FFF" w:rsidRPr="007D685D" w:rsidRDefault="00BF4FFF" w:rsidP="007D685D">
      <w:pPr>
        <w:tabs>
          <w:tab w:val="left" w:pos="284"/>
        </w:tabs>
        <w:jc w:val="both"/>
        <w:rPr>
          <w:b/>
          <w:bCs/>
          <w:sz w:val="26"/>
        </w:rPr>
      </w:pPr>
      <w:proofErr w:type="spellStart"/>
      <w:r w:rsidRPr="007D685D">
        <w:rPr>
          <w:b/>
          <w:bCs/>
          <w:sz w:val="26"/>
        </w:rPr>
        <w:t>Evolução</w:t>
      </w:r>
      <w:proofErr w:type="spellEnd"/>
      <w:r w:rsidRPr="007D685D">
        <w:rPr>
          <w:b/>
          <w:bCs/>
          <w:sz w:val="26"/>
        </w:rPr>
        <w:t xml:space="preserve"> global</w:t>
      </w:r>
    </w:p>
    <w:p w14:paraId="4F57F688" w14:textId="77777777" w:rsidR="00BF4FFF" w:rsidRPr="00A94F5F" w:rsidRDefault="00BF4FFF" w:rsidP="00BF4FFF">
      <w:pPr>
        <w:jc w:val="both"/>
        <w:rPr>
          <w:b/>
          <w:bCs/>
          <w:sz w:val="26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417"/>
        <w:gridCol w:w="1276"/>
        <w:gridCol w:w="1418"/>
      </w:tblGrid>
      <w:tr w:rsidR="00BF4FFF" w:rsidRPr="00A94F5F" w14:paraId="0969CC2F" w14:textId="77777777">
        <w:trPr>
          <w:trHeight w:val="433"/>
          <w:jc w:val="center"/>
        </w:trPr>
        <w:tc>
          <w:tcPr>
            <w:tcW w:w="3510" w:type="dxa"/>
            <w:shd w:val="clear" w:color="auto" w:fill="E6E6E6"/>
          </w:tcPr>
          <w:p w14:paraId="7C99A7C7" w14:textId="77777777" w:rsidR="00BF4FFF" w:rsidRPr="00A94F5F" w:rsidRDefault="00BF4FFF" w:rsidP="00BF4FFF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eastAsia="Times New Roman" w:hAnsi="Arial" w:cs="Arial"/>
                <w:smallCaps/>
                <w:sz w:val="21"/>
                <w:szCs w:val="18"/>
                <w:lang w:val="pt"/>
              </w:rPr>
              <w:t>(milhões de euros)</w:t>
            </w:r>
          </w:p>
        </w:tc>
        <w:tc>
          <w:tcPr>
            <w:tcW w:w="2835" w:type="dxa"/>
            <w:gridSpan w:val="2"/>
            <w:shd w:val="clear" w:color="auto" w:fill="E6E6E6"/>
          </w:tcPr>
          <w:p w14:paraId="2DC67E79" w14:textId="77777777" w:rsidR="00BF4FFF" w:rsidRPr="00A94F5F" w:rsidRDefault="00BF4FFF" w:rsidP="00BF4FFF">
            <w:pPr>
              <w:tabs>
                <w:tab w:val="left" w:pos="360"/>
              </w:tabs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3º trimestre 2014</w:t>
            </w:r>
          </w:p>
          <w:p w14:paraId="32EEA121" w14:textId="77777777" w:rsidR="00BF4FFF" w:rsidRPr="00A94F5F" w:rsidRDefault="00BF4FFF" w:rsidP="00BF4FFF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E6E6E6"/>
          </w:tcPr>
          <w:p w14:paraId="07A8392C" w14:textId="77777777" w:rsidR="00BF4FFF" w:rsidRPr="00A94F5F" w:rsidRDefault="00BF4FFF" w:rsidP="00BF4FFF">
            <w:pPr>
              <w:tabs>
                <w:tab w:val="left" w:pos="360"/>
              </w:tabs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Arial" w:eastAsia="Times New Roman" w:hAnsi="Arial" w:cs="Arial"/>
                <w:sz w:val="21"/>
                <w:szCs w:val="18"/>
                <w:lang w:val="pt"/>
              </w:rPr>
              <w:t>Nove primeiros meses 2014</w:t>
            </w:r>
          </w:p>
          <w:p w14:paraId="5BA5F9B7" w14:textId="77777777" w:rsidR="00BF4FFF" w:rsidRPr="00A94F5F" w:rsidRDefault="00BF4FFF" w:rsidP="00BF4FFF">
            <w:pPr>
              <w:tabs>
                <w:tab w:val="left" w:pos="36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CC8" w:rsidRPr="00A94F5F" w14:paraId="562FD615" w14:textId="77777777">
        <w:trPr>
          <w:jc w:val="center"/>
        </w:trPr>
        <w:tc>
          <w:tcPr>
            <w:tcW w:w="3510" w:type="dxa"/>
          </w:tcPr>
          <w:p w14:paraId="3ACACD5D" w14:textId="77777777" w:rsidR="00E97CC8" w:rsidRPr="00A94F5F" w:rsidRDefault="00E97CC8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eastAsia="Times New Roman" w:hAnsi="Arial" w:cs="Arial"/>
                <w:b w:val="0"/>
                <w:smallCaps/>
                <w:sz w:val="21"/>
                <w:szCs w:val="18"/>
                <w:lang w:val="pt"/>
              </w:rPr>
              <w:t xml:space="preserve">VENDAS LÍQUIDAS </w:t>
            </w:r>
          </w:p>
        </w:tc>
        <w:tc>
          <w:tcPr>
            <w:tcW w:w="2835" w:type="dxa"/>
            <w:gridSpan w:val="2"/>
          </w:tcPr>
          <w:p w14:paraId="11353BA9" w14:textId="77777777" w:rsidR="00E97CC8" w:rsidRPr="00A94F5F" w:rsidRDefault="00E97CC8" w:rsidP="00E97C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"/>
              </w:rPr>
              <w:t>4.885</w:t>
            </w:r>
          </w:p>
          <w:p w14:paraId="423E71D3" w14:textId="77777777" w:rsidR="00E97CC8" w:rsidRPr="00A94F5F" w:rsidRDefault="00E97CC8" w:rsidP="007536A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70A184AA" w14:textId="77777777" w:rsidR="00E97CC8" w:rsidRPr="00A94F5F" w:rsidRDefault="00E97CC8" w:rsidP="00E97CC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pt"/>
              </w:rPr>
              <w:t>14.558</w:t>
            </w:r>
          </w:p>
          <w:p w14:paraId="7F6B65DD" w14:textId="77777777" w:rsidR="00E97CC8" w:rsidRPr="00A94F5F" w:rsidRDefault="00E97CC8" w:rsidP="007536A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BF4FFF" w:rsidRPr="00A94F5F" w14:paraId="5CD395D7" w14:textId="77777777">
        <w:trPr>
          <w:jc w:val="center"/>
        </w:trPr>
        <w:tc>
          <w:tcPr>
            <w:tcW w:w="3510" w:type="dxa"/>
          </w:tcPr>
          <w:p w14:paraId="0434B4C8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  <w:p w14:paraId="75080544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2835" w:type="dxa"/>
            <w:gridSpan w:val="2"/>
          </w:tcPr>
          <w:p w14:paraId="4FBEECC6" w14:textId="77777777" w:rsidR="00BF4FFF" w:rsidRPr="00A94F5F" w:rsidRDefault="00BF4FFF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Variação </w:t>
            </w:r>
          </w:p>
          <w:p w14:paraId="6A8E577F" w14:textId="77777777" w:rsidR="00BF4FFF" w:rsidRPr="00A94F5F" w:rsidRDefault="00F247AB" w:rsidP="002212B2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T3 2014 / T3 2013</w:t>
            </w:r>
          </w:p>
        </w:tc>
        <w:tc>
          <w:tcPr>
            <w:tcW w:w="2694" w:type="dxa"/>
            <w:gridSpan w:val="2"/>
          </w:tcPr>
          <w:p w14:paraId="71BF8EBB" w14:textId="77777777" w:rsidR="00BF4FFF" w:rsidRPr="00A94F5F" w:rsidRDefault="00BF4FFF" w:rsidP="002212B2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Variação 9 meses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>2014/2013</w:t>
            </w:r>
          </w:p>
        </w:tc>
      </w:tr>
      <w:tr w:rsidR="00C508C9" w:rsidRPr="00A94F5F" w14:paraId="4E371C2B" w14:textId="77777777">
        <w:trPr>
          <w:jc w:val="center"/>
        </w:trPr>
        <w:tc>
          <w:tcPr>
            <w:tcW w:w="3510" w:type="dxa"/>
          </w:tcPr>
          <w:p w14:paraId="3C284753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Variação total</w:t>
            </w:r>
          </w:p>
          <w:p w14:paraId="70451C68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418" w:type="dxa"/>
          </w:tcPr>
          <w:p w14:paraId="265FB925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- 238</w:t>
            </w:r>
          </w:p>
        </w:tc>
        <w:tc>
          <w:tcPr>
            <w:tcW w:w="1417" w:type="dxa"/>
          </w:tcPr>
          <w:p w14:paraId="414E818E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- 4,6%</w:t>
            </w:r>
          </w:p>
        </w:tc>
        <w:tc>
          <w:tcPr>
            <w:tcW w:w="1276" w:type="dxa"/>
          </w:tcPr>
          <w:p w14:paraId="7BCCF881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- 724</w:t>
            </w:r>
          </w:p>
        </w:tc>
        <w:tc>
          <w:tcPr>
            <w:tcW w:w="1418" w:type="dxa"/>
          </w:tcPr>
          <w:p w14:paraId="0166577E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- 4,7 %</w:t>
            </w:r>
          </w:p>
        </w:tc>
      </w:tr>
      <w:tr w:rsidR="00C508C9" w:rsidRPr="00A94F5F" w14:paraId="5D0FD7F3" w14:textId="77777777">
        <w:trPr>
          <w:jc w:val="center"/>
        </w:trPr>
        <w:tc>
          <w:tcPr>
            <w:tcW w:w="3510" w:type="dxa"/>
          </w:tcPr>
          <w:p w14:paraId="33407B95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>Volumes</w:t>
            </w:r>
            <w:r>
              <w:rPr>
                <w:rStyle w:val="Refdenotaalpie"/>
                <w:rFonts w:ascii="Arial" w:hAnsi="Arial"/>
                <w:b w:val="0"/>
                <w:sz w:val="32"/>
                <w:vertAlign w:val="baseline"/>
                <w:lang w:val="pt"/>
              </w:rPr>
              <w:sym w:font="Symbol" w:char="F02A"/>
            </w:r>
          </w:p>
          <w:p w14:paraId="4BD1DFE4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418" w:type="dxa"/>
          </w:tcPr>
          <w:p w14:paraId="4D8702B9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footnoteReference w:customMarkFollows="1" w:id="8"/>
              <w:t>- 62</w:t>
            </w:r>
          </w:p>
        </w:tc>
        <w:tc>
          <w:tcPr>
            <w:tcW w:w="1417" w:type="dxa"/>
          </w:tcPr>
          <w:p w14:paraId="4F804554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- 1,2 %</w:t>
            </w:r>
          </w:p>
        </w:tc>
        <w:tc>
          <w:tcPr>
            <w:tcW w:w="1276" w:type="dxa"/>
          </w:tcPr>
          <w:p w14:paraId="06F0845B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+ 136</w:t>
            </w:r>
          </w:p>
        </w:tc>
        <w:tc>
          <w:tcPr>
            <w:tcW w:w="1418" w:type="dxa"/>
          </w:tcPr>
          <w:p w14:paraId="54124C8E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+ 0,9 %</w:t>
            </w:r>
          </w:p>
        </w:tc>
      </w:tr>
      <w:tr w:rsidR="00C508C9" w:rsidRPr="00A94F5F" w14:paraId="55751988" w14:textId="7777777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27D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           Mix/preços</w:t>
            </w:r>
          </w:p>
          <w:p w14:paraId="78BB2DBF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FE82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076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- 2,2 %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38A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259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- 1,9 %</w:t>
            </w:r>
          </w:p>
        </w:tc>
      </w:tr>
      <w:tr w:rsidR="00C508C9" w:rsidRPr="00A94F5F" w14:paraId="383B1067" w14:textId="7777777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126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           Variação taxa de câmbio</w:t>
            </w:r>
          </w:p>
          <w:p w14:paraId="1872D102" w14:textId="77777777" w:rsidR="00C508C9" w:rsidRPr="00A94F5F" w:rsidRDefault="00C508C9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808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744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- 0,6 %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38E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636" w14:textId="77777777" w:rsidR="00C508C9" w:rsidRPr="00A94F5F" w:rsidRDefault="00C508C9" w:rsidP="00C12509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- 3,2 %</w:t>
            </w:r>
          </w:p>
        </w:tc>
      </w:tr>
      <w:tr w:rsidR="003B6E33" w:rsidRPr="00A94F5F" w14:paraId="02B3B330" w14:textId="7777777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E64" w14:textId="77777777" w:rsidR="003B6E33" w:rsidRPr="00A94F5F" w:rsidRDefault="003B6E33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  <w:lang w:val="pt"/>
              </w:rPr>
              <w:t xml:space="preserve">           Variação no perímetro </w:t>
            </w:r>
            <w:r>
              <w:rPr>
                <w:rFonts w:ascii="Arial" w:hAnsi="Arial"/>
                <w:b w:val="0"/>
                <w:sz w:val="20"/>
                <w:lang w:val="pt"/>
              </w:rPr>
              <w:br/>
              <w:t xml:space="preserve">           de consolidação </w:t>
            </w:r>
          </w:p>
          <w:p w14:paraId="56C1FD66" w14:textId="77777777" w:rsidR="003B6E33" w:rsidRPr="00A94F5F" w:rsidRDefault="003B6E33" w:rsidP="00BF4FFF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18C" w14:textId="77777777" w:rsidR="003B6E33" w:rsidRPr="00A94F5F" w:rsidRDefault="003B6E33" w:rsidP="00C12509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C7D" w14:textId="77777777" w:rsidR="003B6E33" w:rsidRPr="00A94F5F" w:rsidRDefault="003B6E33" w:rsidP="00C12509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- 0,6 %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F27" w14:textId="77777777" w:rsidR="003B6E33" w:rsidRPr="00A94F5F" w:rsidRDefault="003B6E33" w:rsidP="00C12509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98C" w14:textId="77777777" w:rsidR="003B6E33" w:rsidRPr="00A94F5F" w:rsidRDefault="003B6E33" w:rsidP="00C12509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pt"/>
              </w:rPr>
              <w:t>- 0,6 %</w:t>
            </w:r>
          </w:p>
        </w:tc>
      </w:tr>
    </w:tbl>
    <w:p w14:paraId="42EDFC2C" w14:textId="77777777" w:rsidR="00BF4FFF" w:rsidRPr="00A94F5F" w:rsidRDefault="00BF4FFF" w:rsidP="00BF4FFF">
      <w:pPr>
        <w:spacing w:line="270" w:lineRule="atLeast"/>
        <w:jc w:val="both"/>
        <w:rPr>
          <w:rFonts w:ascii="Arial" w:hAnsi="Arial"/>
          <w:b/>
          <w:sz w:val="21"/>
        </w:rPr>
      </w:pPr>
    </w:p>
    <w:p w14:paraId="3EF0059E" w14:textId="77777777" w:rsidR="00BF4FFF" w:rsidRPr="00A94F5F" w:rsidRDefault="00BF4FFF" w:rsidP="00BF4FFF">
      <w:pPr>
        <w:spacing w:line="270" w:lineRule="atLeast"/>
        <w:jc w:val="both"/>
        <w:rPr>
          <w:rFonts w:ascii="Arial" w:hAnsi="Arial"/>
          <w:b/>
          <w:sz w:val="21"/>
        </w:rPr>
      </w:pPr>
    </w:p>
    <w:p w14:paraId="191462E1" w14:textId="77777777" w:rsidR="00406D92" w:rsidRPr="00854FA3" w:rsidRDefault="00BF4FFF" w:rsidP="00854FA3">
      <w:pPr>
        <w:jc w:val="both"/>
        <w:rPr>
          <w:rFonts w:ascii="Arial" w:hAnsi="Arial"/>
          <w:sz w:val="21"/>
          <w:szCs w:val="21"/>
          <w:lang w:bidi="es-ES_tradnl"/>
        </w:rPr>
      </w:pPr>
      <w:proofErr w:type="spellStart"/>
      <w:r w:rsidRPr="00854FA3">
        <w:rPr>
          <w:rFonts w:ascii="Arial" w:hAnsi="Arial"/>
          <w:sz w:val="21"/>
          <w:szCs w:val="21"/>
          <w:lang w:bidi="es-ES_tradnl"/>
        </w:rPr>
        <w:t>Nos</w:t>
      </w:r>
      <w:proofErr w:type="spellEnd"/>
      <w:r w:rsidRPr="00854FA3">
        <w:rPr>
          <w:rFonts w:ascii="Arial" w:hAnsi="Arial"/>
          <w:sz w:val="21"/>
          <w:szCs w:val="21"/>
          <w:lang w:bidi="es-ES_tradnl"/>
        </w:rPr>
        <w:t xml:space="preserve"> nove primeiros meses do ano, </w:t>
      </w:r>
      <w:r w:rsidRPr="00854FA3">
        <w:rPr>
          <w:rFonts w:ascii="Arial" w:hAnsi="Arial"/>
          <w:b/>
          <w:sz w:val="21"/>
          <w:szCs w:val="21"/>
          <w:lang w:bidi="es-ES_tradnl"/>
        </w:rPr>
        <w:t>as vendas líquidas alcançam os 14.558 milhões de euros,</w:t>
      </w:r>
      <w:r w:rsidRPr="00854FA3">
        <w:rPr>
          <w:rFonts w:ascii="Arial" w:hAnsi="Arial"/>
          <w:sz w:val="21"/>
          <w:szCs w:val="21"/>
          <w:lang w:bidi="es-ES_tradnl"/>
        </w:rPr>
        <w:t xml:space="preserve"> com uma contração de 4,7%, em relação ao mesmo período de 2013, sob o efeito dos seguintes fatores:</w:t>
      </w:r>
    </w:p>
    <w:p w14:paraId="3E221B78" w14:textId="77777777" w:rsidR="00BF4FFF" w:rsidRPr="00BA52C2" w:rsidRDefault="00BF4FFF" w:rsidP="00BA52C2">
      <w:pPr>
        <w:tabs>
          <w:tab w:val="left" w:pos="284"/>
          <w:tab w:val="num" w:pos="360"/>
        </w:tabs>
        <w:jc w:val="both"/>
        <w:rPr>
          <w:rFonts w:ascii="Arial" w:hAnsi="Arial"/>
          <w:bCs/>
          <w:sz w:val="21"/>
        </w:rPr>
      </w:pPr>
    </w:p>
    <w:p w14:paraId="3D849A3E" w14:textId="77777777" w:rsidR="00BD1118" w:rsidRDefault="00705CDE" w:rsidP="006E662F">
      <w:pPr>
        <w:pStyle w:val="Prrafodelista"/>
        <w:numPr>
          <w:ilvl w:val="0"/>
          <w:numId w:val="24"/>
        </w:numPr>
        <w:jc w:val="both"/>
        <w:rPr>
          <w:rFonts w:ascii="Arial" w:hAnsi="Arial"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>O crescimento de 1 % dos volumes, até finais de setembro,</w:t>
      </w:r>
      <w:r>
        <w:rPr>
          <w:rFonts w:ascii="Arial" w:hAnsi="Arial"/>
          <w:sz w:val="21"/>
          <w:lang w:val="pt"/>
        </w:rPr>
        <w:t xml:space="preserve"> reflete a boa resistência das quotas de mercado da marca MICHELIN em Ligeiro, Camioneta e Camião, assim como o aumento das atividades de Engenharia Civil em Primeiro equipamento e Infraestruturas e a continuidade dos processos de redução do stock de pneus de minaria.</w:t>
      </w:r>
    </w:p>
    <w:p w14:paraId="231E1996" w14:textId="77777777" w:rsidR="00BD1118" w:rsidRDefault="00BD1118" w:rsidP="00BD1118">
      <w:pPr>
        <w:pStyle w:val="Prrafodelista"/>
        <w:ind w:left="782"/>
        <w:jc w:val="both"/>
        <w:rPr>
          <w:rFonts w:ascii="Arial" w:hAnsi="Arial"/>
          <w:bCs/>
          <w:sz w:val="21"/>
        </w:rPr>
      </w:pPr>
    </w:p>
    <w:p w14:paraId="54C859E5" w14:textId="77777777" w:rsidR="009A76BF" w:rsidRPr="00E50D2E" w:rsidRDefault="00F644A6" w:rsidP="0045220E">
      <w:pPr>
        <w:pStyle w:val="Prrafodelista"/>
        <w:numPr>
          <w:ilvl w:val="0"/>
          <w:numId w:val="24"/>
        </w:numPr>
        <w:spacing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>O efeito do mix de preços (- 1,9 % nos nove meses)</w:t>
      </w:r>
      <w:r>
        <w:rPr>
          <w:rFonts w:ascii="Arial" w:hAnsi="Arial"/>
          <w:sz w:val="21"/>
          <w:lang w:val="pt"/>
        </w:rPr>
        <w:t xml:space="preserve"> reflete, em primeiro lugar, a evolução dos preços (- 397 milhões de euros), do qual cerca de 45 % corresponde aos ajustamentos pelas cláusulas de indexação de preços dos custos das matérias-primas. O efeito favorável do mix (+ 113 milhões de euros em finais de setembro) é devido principalmente ao êxito da estratégia premium da marca MICHELIN. </w:t>
      </w:r>
    </w:p>
    <w:p w14:paraId="252D8E32" w14:textId="77777777" w:rsidR="0045220E" w:rsidRPr="00A94F5F" w:rsidRDefault="0045220E" w:rsidP="0045220E">
      <w:pPr>
        <w:pStyle w:val="Prrafodelista"/>
        <w:spacing w:line="270" w:lineRule="atLeast"/>
        <w:ind w:left="782"/>
        <w:jc w:val="both"/>
        <w:rPr>
          <w:rFonts w:ascii="Arial" w:hAnsi="Arial"/>
          <w:bCs/>
          <w:sz w:val="21"/>
        </w:rPr>
      </w:pPr>
    </w:p>
    <w:p w14:paraId="5FB4CC22" w14:textId="77777777" w:rsidR="002318E6" w:rsidRPr="00A94F5F" w:rsidRDefault="00F944B0" w:rsidP="00030FE9">
      <w:pPr>
        <w:pStyle w:val="Prrafodelista"/>
        <w:numPr>
          <w:ilvl w:val="0"/>
          <w:numId w:val="24"/>
        </w:numPr>
        <w:spacing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 xml:space="preserve">O impacto </w:t>
      </w:r>
      <w:r>
        <w:rPr>
          <w:rFonts w:ascii="Arial" w:hAnsi="Arial"/>
          <w:b/>
          <w:bCs/>
          <w:sz w:val="21"/>
          <w:szCs w:val="24"/>
          <w:lang w:val="pt"/>
        </w:rPr>
        <w:t xml:space="preserve">das paridades de câmbio </w:t>
      </w:r>
      <w:r>
        <w:rPr>
          <w:rFonts w:ascii="Arial" w:hAnsi="Arial"/>
          <w:b/>
          <w:bCs/>
          <w:sz w:val="21"/>
          <w:lang w:val="pt"/>
        </w:rPr>
        <w:t>(- 3,2%) em finais de setembro e</w:t>
      </w:r>
      <w:r>
        <w:rPr>
          <w:rFonts w:ascii="Arial" w:hAnsi="Arial"/>
          <w:sz w:val="21"/>
          <w:lang w:val="pt"/>
        </w:rPr>
        <w:t xml:space="preserve"> </w:t>
      </w:r>
      <w:r>
        <w:rPr>
          <w:rFonts w:ascii="Arial" w:hAnsi="Arial"/>
          <w:sz w:val="21"/>
          <w:lang w:val="pt"/>
        </w:rPr>
        <w:br/>
      </w:r>
      <w:r>
        <w:rPr>
          <w:rFonts w:ascii="Arial" w:hAnsi="Arial"/>
          <w:b/>
          <w:bCs/>
          <w:sz w:val="21"/>
          <w:lang w:val="pt"/>
        </w:rPr>
        <w:t>- 0,6 % no terceiro trimestre)</w:t>
      </w:r>
      <w:r>
        <w:rPr>
          <w:rFonts w:ascii="Arial" w:hAnsi="Arial"/>
          <w:sz w:val="21"/>
          <w:lang w:val="pt"/>
        </w:rPr>
        <w:t xml:space="preserve"> que, até ao verão refletiu a subida do euro, especialmente sobre o dólar americano, o real brasileiro, o dólar canadiano e o peso argentino, inverteu-se até setembro com a desvalorização do euro em relação ao dólar americano.</w:t>
      </w:r>
    </w:p>
    <w:p w14:paraId="3608287E" w14:textId="77777777" w:rsidR="002318E6" w:rsidRPr="00A94F5F" w:rsidRDefault="002318E6" w:rsidP="002318E6">
      <w:pPr>
        <w:pStyle w:val="Prrafodelista"/>
        <w:spacing w:line="270" w:lineRule="atLeast"/>
        <w:ind w:left="0"/>
        <w:jc w:val="both"/>
        <w:rPr>
          <w:rFonts w:ascii="Arial" w:hAnsi="Arial"/>
          <w:bCs/>
          <w:sz w:val="21"/>
        </w:rPr>
      </w:pPr>
    </w:p>
    <w:p w14:paraId="72063214" w14:textId="77777777" w:rsidR="00406D92" w:rsidRPr="00406D92" w:rsidRDefault="00406D92" w:rsidP="00406D92">
      <w:pPr>
        <w:pStyle w:val="Prrafodelista"/>
        <w:spacing w:line="270" w:lineRule="atLeast"/>
        <w:ind w:left="782"/>
        <w:rPr>
          <w:rFonts w:ascii="Arial" w:hAnsi="Arial"/>
          <w:b/>
          <w:bCs/>
          <w:sz w:val="21"/>
        </w:rPr>
      </w:pPr>
    </w:p>
    <w:p w14:paraId="258E7357" w14:textId="64EB9EFB" w:rsidR="00B54A11" w:rsidRDefault="00BF4FFF" w:rsidP="00B54A11">
      <w:pPr>
        <w:spacing w:line="270" w:lineRule="atLeast"/>
        <w:jc w:val="both"/>
        <w:rPr>
          <w:b/>
          <w:bCs/>
          <w:sz w:val="26"/>
        </w:rPr>
      </w:pPr>
      <w:proofErr w:type="spellStart"/>
      <w:r w:rsidRPr="00B54A11">
        <w:rPr>
          <w:b/>
          <w:bCs/>
          <w:sz w:val="26"/>
        </w:rPr>
        <w:lastRenderedPageBreak/>
        <w:t>Vendas</w:t>
      </w:r>
      <w:proofErr w:type="spellEnd"/>
      <w:r w:rsidRPr="00B54A11">
        <w:rPr>
          <w:b/>
          <w:bCs/>
          <w:sz w:val="26"/>
        </w:rPr>
        <w:t xml:space="preserve"> líquidas por segmento </w:t>
      </w:r>
    </w:p>
    <w:p w14:paraId="3370C1BB" w14:textId="77777777" w:rsidR="00BF4FFF" w:rsidRPr="00B54A11" w:rsidRDefault="00BF4FFF" w:rsidP="00B54A11">
      <w:pPr>
        <w:pStyle w:val="LadilloMichelinDossier"/>
        <w:numPr>
          <w:ilvl w:val="0"/>
          <w:numId w:val="27"/>
        </w:numPr>
        <w:spacing w:after="240"/>
        <w:jc w:val="both"/>
        <w:rPr>
          <w:rFonts w:ascii="Arial" w:hAnsi="Arial"/>
          <w:bCs/>
          <w:sz w:val="21"/>
          <w:lang w:val="es-ES_tradnl" w:bidi="es-ES_tradnl"/>
        </w:rPr>
      </w:pPr>
      <w:proofErr w:type="spellStart"/>
      <w:r w:rsidRPr="00B54A11">
        <w:rPr>
          <w:rFonts w:ascii="Arial" w:hAnsi="Arial"/>
          <w:bCs/>
          <w:sz w:val="21"/>
          <w:lang w:val="es-ES_tradnl" w:bidi="es-ES_tradnl"/>
        </w:rPr>
        <w:t>Ligeiro</w:t>
      </w:r>
      <w:proofErr w:type="spellEnd"/>
      <w:r w:rsidRPr="00B54A11">
        <w:rPr>
          <w:rFonts w:ascii="Arial" w:hAnsi="Arial"/>
          <w:bCs/>
          <w:sz w:val="21"/>
          <w:lang w:val="es-ES_tradnl" w:bidi="es-ES_tradnl"/>
        </w:rPr>
        <w:t xml:space="preserve">, camioneta e distribuição associada </w:t>
      </w:r>
    </w:p>
    <w:p w14:paraId="07C4E64C" w14:textId="77777777" w:rsidR="007D2421" w:rsidRPr="002F4395" w:rsidRDefault="00BF4FFF" w:rsidP="007D2421">
      <w:pPr>
        <w:spacing w:line="270" w:lineRule="atLeast"/>
        <w:jc w:val="both"/>
        <w:rPr>
          <w:rFonts w:ascii="Arial" w:hAnsi="Arial"/>
          <w:bCs/>
          <w:sz w:val="21"/>
        </w:rPr>
      </w:pPr>
      <w:r>
        <w:rPr>
          <w:rFonts w:ascii="Arial" w:hAnsi="Arial"/>
          <w:sz w:val="21"/>
          <w:lang w:val="pt"/>
        </w:rPr>
        <w:t xml:space="preserve">Para os nove primeiros meses de 2014, e tendo em conta um efeito de câmbio desfavorável de 3%, as vendas líquidas atingiram os 7.759 milhões de euros, em comparação com os 8.023 milhões de euros registados no mesmo período de 2013 (- 3,3%). </w:t>
      </w:r>
    </w:p>
    <w:p w14:paraId="27C3B067" w14:textId="77777777" w:rsidR="00BF4FFF" w:rsidRPr="006D6311" w:rsidRDefault="00BF4FFF" w:rsidP="00BF4FFF">
      <w:pPr>
        <w:spacing w:line="270" w:lineRule="atLeast"/>
        <w:jc w:val="both"/>
        <w:rPr>
          <w:rFonts w:ascii="Arial" w:hAnsi="Arial" w:cs="Arial"/>
          <w:sz w:val="21"/>
          <w:szCs w:val="21"/>
        </w:rPr>
      </w:pPr>
    </w:p>
    <w:p w14:paraId="19531B23" w14:textId="77777777" w:rsidR="00D461D3" w:rsidRPr="006D6311" w:rsidRDefault="00D461D3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volumes de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Ligeiro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Camioneta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aumentam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2 %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até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finais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setembro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refletindo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um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crescimento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3 %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para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marca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MICHELIN,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assim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proofErr w:type="gram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como</w:t>
      </w:r>
      <w:proofErr w:type="spellEnd"/>
      <w:proofErr w:type="gram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uma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estabilização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no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terceiro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trimestre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para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o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resto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marcas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. </w:t>
      </w:r>
    </w:p>
    <w:p w14:paraId="2444DEA4" w14:textId="77777777" w:rsidR="002318E6" w:rsidRPr="006D6311" w:rsidRDefault="002318E6" w:rsidP="006D6311">
      <w:pPr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14:paraId="011DF3A7" w14:textId="77777777" w:rsidR="00EF0D8C" w:rsidRPr="006D6311" w:rsidRDefault="00EF0D8C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ajustamentos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preços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correspondem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à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indexação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matérias-primas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para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gram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</w:t>
      </w:r>
      <w:proofErr w:type="gram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atividade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Primeiros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equipamentos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para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reposicionamentos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Substituição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. </w:t>
      </w:r>
    </w:p>
    <w:p w14:paraId="7518F860" w14:textId="77777777" w:rsidR="00FA2357" w:rsidRPr="006D6311" w:rsidRDefault="00FA2357" w:rsidP="006D6311">
      <w:pPr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14:paraId="59FD693F" w14:textId="77777777" w:rsidR="002318E6" w:rsidRDefault="00FA2357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O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efeito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mix continua 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ser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favorável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sustentado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pelo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crescimento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12 % da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marca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MICHELIN no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segmento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Ligeiro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Camioneta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premium.</w:t>
      </w:r>
    </w:p>
    <w:p w14:paraId="69BB6A54" w14:textId="77777777" w:rsidR="00BF4FFF" w:rsidRPr="006D6311" w:rsidRDefault="00BF4FFF" w:rsidP="006D6311">
      <w:pPr>
        <w:pStyle w:val="LadilloMichelinDossier"/>
        <w:numPr>
          <w:ilvl w:val="0"/>
          <w:numId w:val="27"/>
        </w:numPr>
        <w:spacing w:after="240"/>
        <w:jc w:val="both"/>
        <w:rPr>
          <w:rFonts w:ascii="Arial" w:hAnsi="Arial"/>
          <w:bCs/>
          <w:sz w:val="21"/>
          <w:lang w:val="es-ES_tradnl" w:bidi="es-ES_tradnl"/>
        </w:rPr>
      </w:pPr>
      <w:proofErr w:type="spellStart"/>
      <w:r w:rsidRPr="006D6311">
        <w:rPr>
          <w:rFonts w:ascii="Arial" w:hAnsi="Arial"/>
          <w:bCs/>
          <w:sz w:val="21"/>
          <w:lang w:val="es-ES_tradnl" w:bidi="es-ES_tradnl"/>
        </w:rPr>
        <w:t>Camião</w:t>
      </w:r>
      <w:proofErr w:type="spellEnd"/>
      <w:r w:rsidRPr="006D6311">
        <w:rPr>
          <w:rFonts w:ascii="Arial" w:hAnsi="Arial"/>
          <w:bCs/>
          <w:sz w:val="21"/>
          <w:lang w:val="es-ES_tradnl" w:bidi="es-ES_tradnl"/>
        </w:rPr>
        <w:t xml:space="preserve"> e distribuição associada </w:t>
      </w:r>
    </w:p>
    <w:p w14:paraId="55EB0D8D" w14:textId="77777777" w:rsidR="00060D6B" w:rsidRPr="006D6311" w:rsidRDefault="00BF4FFF" w:rsidP="00BF4FFF">
      <w:pPr>
        <w:spacing w:line="270" w:lineRule="atLeast"/>
        <w:jc w:val="both"/>
        <w:rPr>
          <w:rFonts w:ascii="Arial" w:hAnsi="Arial" w:cs="Arial"/>
          <w:sz w:val="21"/>
          <w:szCs w:val="21"/>
        </w:rPr>
      </w:pPr>
      <w:r w:rsidRPr="006D6311">
        <w:rPr>
          <w:rFonts w:ascii="Arial" w:hAnsi="Arial" w:cs="Arial"/>
          <w:sz w:val="21"/>
          <w:szCs w:val="21"/>
          <w:lang w:val="pt"/>
        </w:rPr>
        <w:t xml:space="preserve">No fim de setembro de 2014, as vendas líquidas foram de 4.503 milhões de euros, contraindo 5,8% em relação aos 4.781 milhões de euros para os nove primeiros meses de 2013. </w:t>
      </w:r>
    </w:p>
    <w:p w14:paraId="3573CFC9" w14:textId="77777777" w:rsidR="00BF4FFF" w:rsidRPr="006D6311" w:rsidRDefault="00BF4FFF" w:rsidP="00BF4FFF">
      <w:pPr>
        <w:spacing w:line="270" w:lineRule="atLeast"/>
        <w:jc w:val="both"/>
        <w:rPr>
          <w:rFonts w:ascii="Arial" w:hAnsi="Arial" w:cs="Arial"/>
          <w:sz w:val="21"/>
          <w:szCs w:val="21"/>
        </w:rPr>
      </w:pPr>
    </w:p>
    <w:p w14:paraId="36F72BA2" w14:textId="77777777" w:rsidR="007513F8" w:rsidRPr="006D6311" w:rsidRDefault="002935CF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Refletindo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prioridade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dada 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melhoria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rentabilidade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atividade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Camião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volumes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vendidos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aumentam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1%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nos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nove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primeiros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meses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.</w:t>
      </w:r>
    </w:p>
    <w:p w14:paraId="4351C8FB" w14:textId="77777777" w:rsidR="00EE38BE" w:rsidRPr="006D6311" w:rsidRDefault="00EE38BE" w:rsidP="00BA52C2">
      <w:pPr>
        <w:spacing w:after="60"/>
        <w:ind w:left="72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14:paraId="33982AF0" w14:textId="77777777" w:rsidR="00220016" w:rsidRPr="006D6311" w:rsidRDefault="00EE38BE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A boa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resistência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dos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preços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Substituição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reduz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o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impacto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cláusulas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indexação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Primeiros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equipamentos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. </w:t>
      </w:r>
    </w:p>
    <w:p w14:paraId="6FB40649" w14:textId="77777777" w:rsidR="007513F8" w:rsidRPr="006D6311" w:rsidRDefault="007513F8" w:rsidP="00BA52C2">
      <w:pPr>
        <w:spacing w:after="60"/>
        <w:ind w:left="72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14:paraId="68621B33" w14:textId="77777777" w:rsidR="00BF4FFF" w:rsidRPr="006D6311" w:rsidRDefault="004846D5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O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efeito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desfavorável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paridades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monetárias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situa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 xml:space="preserve">-se </w:t>
      </w:r>
      <w:proofErr w:type="spellStart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em</w:t>
      </w:r>
      <w:proofErr w:type="spellEnd"/>
      <w:r w:rsidRPr="006D6311">
        <w:rPr>
          <w:rFonts w:ascii="Arial" w:eastAsia="Times New Roman" w:hAnsi="Arial" w:cs="Arial"/>
          <w:bCs/>
          <w:sz w:val="21"/>
          <w:szCs w:val="21"/>
          <w:lang w:val="en-US"/>
        </w:rPr>
        <w:t> 4%.</w:t>
      </w:r>
    </w:p>
    <w:p w14:paraId="05A6D045" w14:textId="77777777" w:rsidR="007513F8" w:rsidRPr="006D6311" w:rsidRDefault="00BF4FFF" w:rsidP="006D6311">
      <w:pPr>
        <w:pStyle w:val="LadilloMichelinDossier"/>
        <w:numPr>
          <w:ilvl w:val="0"/>
          <w:numId w:val="5"/>
        </w:numPr>
        <w:spacing w:after="240"/>
        <w:jc w:val="both"/>
        <w:rPr>
          <w:rFonts w:ascii="Arial" w:hAnsi="Arial"/>
          <w:bCs/>
          <w:sz w:val="21"/>
          <w:lang w:val="es-ES_tradnl" w:bidi="es-ES_tradnl"/>
        </w:rPr>
      </w:pPr>
      <w:proofErr w:type="spellStart"/>
      <w:r w:rsidRPr="006D6311">
        <w:rPr>
          <w:rFonts w:ascii="Arial" w:hAnsi="Arial"/>
          <w:bCs/>
          <w:sz w:val="21"/>
          <w:lang w:val="es-ES_tradnl" w:bidi="es-ES_tradnl"/>
        </w:rPr>
        <w:t>Atividades</w:t>
      </w:r>
      <w:proofErr w:type="spellEnd"/>
      <w:r w:rsidRPr="006D6311">
        <w:rPr>
          <w:rFonts w:ascii="Arial" w:hAnsi="Arial"/>
          <w:bCs/>
          <w:sz w:val="21"/>
          <w:lang w:val="es-ES_tradnl" w:bidi="es-ES_tradnl"/>
        </w:rPr>
        <w:t xml:space="preserve"> de especialidades</w:t>
      </w:r>
    </w:p>
    <w:p w14:paraId="6B90A3AE" w14:textId="77777777" w:rsidR="00FB31E9" w:rsidRPr="006D6311" w:rsidRDefault="00BF4FFF" w:rsidP="00CA5B7F">
      <w:pPr>
        <w:pStyle w:val="LadilloMichelinDossier"/>
        <w:spacing w:before="0" w:after="0"/>
        <w:jc w:val="both"/>
        <w:rPr>
          <w:rFonts w:ascii="Arial" w:hAnsi="Arial" w:cs="Arial"/>
          <w:b w:val="0"/>
          <w:bCs/>
          <w:sz w:val="21"/>
          <w:szCs w:val="21"/>
        </w:rPr>
      </w:pPr>
      <w:r w:rsidRPr="006D6311">
        <w:rPr>
          <w:rFonts w:ascii="Arial" w:hAnsi="Arial" w:cs="Arial"/>
          <w:b w:val="0"/>
          <w:sz w:val="21"/>
          <w:szCs w:val="21"/>
          <w:lang w:val="pt"/>
        </w:rPr>
        <w:t>Nos nove primeiros meses do ano, as vendas líquidas do segmento de Atividades de especialidades ascendem a 2.296 milhões de euros, em relação aos 2.478 milhões de euros para o mesmo período de 2013. Para além dos ajustamentos de preços relacionados com as cláusulas de indexação nos custos das matérias-primas e do efeito desfavorável das paridades de câmbio (- 3 %), esta contração é devida à descida dos volumes: em finais de setembro, diminuíam 2 %, após registar + 1 % no primeiro trimestre, - 5 % no segundo, e - 2 % no terceiro, e deveriam acabar o ano em volumes próximos aos de 2013.</w:t>
      </w:r>
    </w:p>
    <w:p w14:paraId="26E44864" w14:textId="77777777" w:rsidR="00BF4FFF" w:rsidRPr="00EE1A36" w:rsidRDefault="00BF4FFF" w:rsidP="009E489C">
      <w:pPr>
        <w:pStyle w:val="LadilloMichelinDossier"/>
        <w:spacing w:before="0" w:after="240"/>
        <w:jc w:val="both"/>
        <w:rPr>
          <w:rFonts w:ascii="Arial" w:hAnsi="Arial" w:cs="Arial"/>
          <w:b w:val="0"/>
          <w:bCs/>
          <w:sz w:val="21"/>
          <w:szCs w:val="21"/>
        </w:rPr>
      </w:pPr>
    </w:p>
    <w:p w14:paraId="1EB9F9AC" w14:textId="77777777" w:rsidR="00BF7F71" w:rsidRPr="00EE1A36" w:rsidRDefault="009B3FDB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>Engenharia</w:t>
      </w:r>
      <w:proofErr w:type="spellEnd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 xml:space="preserve"> civil</w:t>
      </w:r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: 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vendas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líquidas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caem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penalizadas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pela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diminuição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dos volumes e do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efeito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desfavorável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cláusulas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indexação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matérias-primas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e das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taxas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câmbio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. 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vendas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nos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segmentos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primeiros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equipamentos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e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Infraestrutura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crescem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.</w:t>
      </w:r>
    </w:p>
    <w:p w14:paraId="5FAC110D" w14:textId="77777777" w:rsidR="00702659" w:rsidRPr="00EE1A36" w:rsidRDefault="00702659" w:rsidP="00BA52C2">
      <w:pPr>
        <w:spacing w:after="60"/>
        <w:ind w:left="72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14:paraId="67170A32" w14:textId="77777777" w:rsidR="002420FF" w:rsidRPr="00EE1A36" w:rsidRDefault="007513F8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>Agrícola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: 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vendas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líquidas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descem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ligeiramente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. O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progresso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dos volumes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nos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países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maduros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e </w:t>
      </w:r>
      <w:proofErr w:type="spellStart"/>
      <w:proofErr w:type="gram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nos</w:t>
      </w:r>
      <w:proofErr w:type="spellEnd"/>
      <w:proofErr w:type="gram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novos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mercados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compensa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a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aplicação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desfavorável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cláusulas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indexação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matérias-primas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assim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como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do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impacto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negativo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taxas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câmbio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. </w:t>
      </w:r>
    </w:p>
    <w:p w14:paraId="79EEFE45" w14:textId="77777777" w:rsidR="009B3FDB" w:rsidRPr="00EE1A36" w:rsidRDefault="009B3FDB" w:rsidP="00BA52C2">
      <w:pPr>
        <w:spacing w:after="60"/>
        <w:ind w:left="72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14:paraId="609DA2A9" w14:textId="77777777" w:rsidR="009C48BF" w:rsidRPr="00EE1A36" w:rsidRDefault="002420FF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>Duas</w:t>
      </w:r>
      <w:proofErr w:type="spellEnd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>rodas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: 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vendas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líquidas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aumentam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animadas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pelo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aumento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dos volumes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nas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zonas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maduras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e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em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crescimento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o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que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compensa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efeitos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negativos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paridades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.</w:t>
      </w:r>
    </w:p>
    <w:p w14:paraId="1A762881" w14:textId="77777777" w:rsidR="009C48BF" w:rsidRPr="00EE1A36" w:rsidRDefault="009C48BF" w:rsidP="00BA52C2">
      <w:pPr>
        <w:spacing w:after="60"/>
        <w:ind w:left="72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</w:p>
    <w:p w14:paraId="41FCA10C" w14:textId="77777777" w:rsidR="00BF4FFF" w:rsidRPr="00EE1A36" w:rsidRDefault="00BF4FFF" w:rsidP="00BA52C2">
      <w:pPr>
        <w:numPr>
          <w:ilvl w:val="0"/>
          <w:numId w:val="25"/>
        </w:numPr>
        <w:tabs>
          <w:tab w:val="num" w:pos="1080"/>
        </w:tabs>
        <w:spacing w:after="60"/>
        <w:ind w:left="1080"/>
        <w:jc w:val="both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>Avião</w:t>
      </w:r>
      <w:proofErr w:type="spellEnd"/>
      <w:r w:rsidRPr="00EE1A36">
        <w:rPr>
          <w:rFonts w:ascii="Arial" w:eastAsia="Times New Roman" w:hAnsi="Arial" w:cs="Arial"/>
          <w:b/>
          <w:bCs/>
          <w:sz w:val="21"/>
          <w:szCs w:val="21"/>
          <w:lang w:val="en-US"/>
        </w:rPr>
        <w:t>:</w:t>
      </w:r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as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vendas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líquidas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aumentam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,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graças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ao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crescimento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dos volumes e do 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processo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de «</w:t>
      </w:r>
      <w:proofErr w:type="spellStart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>radialização</w:t>
      </w:r>
      <w:proofErr w:type="spellEnd"/>
      <w:r w:rsidRPr="00EE1A36">
        <w:rPr>
          <w:rFonts w:ascii="Arial" w:eastAsia="Times New Roman" w:hAnsi="Arial" w:cs="Arial"/>
          <w:bCs/>
          <w:sz w:val="21"/>
          <w:szCs w:val="21"/>
          <w:lang w:val="en-US"/>
        </w:rPr>
        <w:t xml:space="preserve">». </w:t>
      </w:r>
    </w:p>
    <w:p w14:paraId="13BB2E71" w14:textId="77777777" w:rsidR="00BF4FFF" w:rsidRPr="00EE1A36" w:rsidRDefault="00BF4FFF" w:rsidP="00BF4FFF">
      <w:pPr>
        <w:spacing w:line="270" w:lineRule="atLeast"/>
        <w:jc w:val="both"/>
        <w:rPr>
          <w:rFonts w:ascii="Arial" w:hAnsi="Arial" w:cs="Arial"/>
          <w:sz w:val="21"/>
          <w:szCs w:val="21"/>
        </w:rPr>
      </w:pPr>
    </w:p>
    <w:p w14:paraId="0EF159CE" w14:textId="77777777" w:rsidR="00BF4FFF" w:rsidRPr="00EE1A36" w:rsidRDefault="00BF4FFF" w:rsidP="00BF4FFF">
      <w:pPr>
        <w:spacing w:line="270" w:lineRule="atLeast"/>
        <w:jc w:val="both"/>
        <w:rPr>
          <w:rFonts w:ascii="Arial" w:hAnsi="Arial" w:cs="Arial"/>
          <w:sz w:val="21"/>
          <w:szCs w:val="21"/>
        </w:rPr>
      </w:pPr>
    </w:p>
    <w:p w14:paraId="5C0EE284" w14:textId="77777777" w:rsidR="00BF4FFF" w:rsidRPr="00BA52C2" w:rsidRDefault="00BF4FFF" w:rsidP="00EE1A36">
      <w:pPr>
        <w:spacing w:after="240" w:line="360" w:lineRule="exact"/>
        <w:rPr>
          <w:rFonts w:ascii="Verdana" w:eastAsia="Times New Roman" w:hAnsi="Verdana"/>
          <w:b/>
          <w:lang w:val="en-US"/>
        </w:rPr>
      </w:pPr>
      <w:r w:rsidRPr="00EE1A36">
        <w:rPr>
          <w:rFonts w:ascii="Arial" w:hAnsi="Arial" w:cs="Arial"/>
          <w:snapToGrid w:val="0"/>
          <w:color w:val="333399"/>
          <w:sz w:val="21"/>
          <w:szCs w:val="21"/>
          <w:lang w:val="pt"/>
        </w:rPr>
        <w:br w:type="column"/>
      </w:r>
      <w:proofErr w:type="spellStart"/>
      <w:r w:rsidRPr="00EE1A36">
        <w:rPr>
          <w:rFonts w:cs="Arial"/>
          <w:b/>
          <w:bCs/>
          <w:snapToGrid w:val="0"/>
          <w:color w:val="333399"/>
          <w:sz w:val="40"/>
        </w:rPr>
        <w:lastRenderedPageBreak/>
        <w:t>Fatos</w:t>
      </w:r>
      <w:proofErr w:type="spellEnd"/>
      <w:r w:rsidRPr="00EE1A36">
        <w:rPr>
          <w:rFonts w:cs="Arial"/>
          <w:b/>
          <w:bCs/>
          <w:snapToGrid w:val="0"/>
          <w:color w:val="333399"/>
          <w:sz w:val="40"/>
        </w:rPr>
        <w:t xml:space="preserve"> </w:t>
      </w:r>
      <w:proofErr w:type="spellStart"/>
      <w:r w:rsidRPr="00EE1A36">
        <w:rPr>
          <w:rFonts w:cs="Arial"/>
          <w:b/>
          <w:bCs/>
          <w:snapToGrid w:val="0"/>
          <w:color w:val="333399"/>
          <w:sz w:val="40"/>
        </w:rPr>
        <w:t>destacados</w:t>
      </w:r>
      <w:proofErr w:type="spellEnd"/>
      <w:r w:rsidRPr="00EE1A36">
        <w:rPr>
          <w:rFonts w:cs="Arial"/>
          <w:b/>
          <w:bCs/>
          <w:snapToGrid w:val="0"/>
          <w:color w:val="333399"/>
          <w:sz w:val="40"/>
        </w:rPr>
        <w:t xml:space="preserve"> do </w:t>
      </w:r>
      <w:proofErr w:type="spellStart"/>
      <w:r w:rsidRPr="00EE1A36">
        <w:rPr>
          <w:rFonts w:cs="Arial"/>
          <w:b/>
          <w:bCs/>
          <w:snapToGrid w:val="0"/>
          <w:color w:val="333399"/>
          <w:sz w:val="40"/>
        </w:rPr>
        <w:t>terceiro</w:t>
      </w:r>
      <w:proofErr w:type="spellEnd"/>
      <w:r w:rsidRPr="00EE1A36">
        <w:rPr>
          <w:rFonts w:cs="Arial"/>
          <w:b/>
          <w:bCs/>
          <w:snapToGrid w:val="0"/>
          <w:color w:val="333399"/>
          <w:sz w:val="40"/>
        </w:rPr>
        <w:t xml:space="preserve"> </w:t>
      </w:r>
      <w:proofErr w:type="spellStart"/>
      <w:r w:rsidRPr="00EE1A36">
        <w:rPr>
          <w:rFonts w:cs="Arial"/>
          <w:b/>
          <w:bCs/>
          <w:snapToGrid w:val="0"/>
          <w:color w:val="333399"/>
          <w:sz w:val="40"/>
        </w:rPr>
        <w:t>trimestre</w:t>
      </w:r>
      <w:proofErr w:type="spellEnd"/>
      <w:r w:rsidRPr="00EE1A36">
        <w:rPr>
          <w:rFonts w:cs="Arial"/>
          <w:b/>
          <w:bCs/>
          <w:snapToGrid w:val="0"/>
          <w:color w:val="333399"/>
          <w:sz w:val="40"/>
        </w:rPr>
        <w:t xml:space="preserve"> de 2014</w:t>
      </w:r>
    </w:p>
    <w:p w14:paraId="4214C203" w14:textId="77777777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 xml:space="preserve">A Michelin finaliza a compra da Sascar (1 de setembro de 2014). </w:t>
      </w:r>
    </w:p>
    <w:p w14:paraId="3163C1AF" w14:textId="77777777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 xml:space="preserve">Distribuição: TYREPL abre o seu Centro Número 1.000 na China </w:t>
      </w:r>
      <w:r>
        <w:rPr>
          <w:rFonts w:ascii="Arial" w:hAnsi="Arial"/>
          <w:sz w:val="21"/>
          <w:lang w:val="pt"/>
        </w:rPr>
        <w:br/>
      </w:r>
      <w:r>
        <w:rPr>
          <w:rFonts w:ascii="Arial" w:hAnsi="Arial"/>
          <w:b/>
          <w:bCs/>
          <w:sz w:val="21"/>
          <w:lang w:val="pt"/>
        </w:rPr>
        <w:t>(8 de setembro de 2014).</w:t>
      </w:r>
    </w:p>
    <w:p w14:paraId="5B0A332F" w14:textId="77777777" w:rsidR="00CF72BB" w:rsidRPr="00A94F5F" w:rsidRDefault="007E5870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 xml:space="preserve">Braskem, Amuyris e a Michelin unem-se para acelerar a produção </w:t>
      </w:r>
      <w:r>
        <w:rPr>
          <w:rFonts w:ascii="Arial" w:hAnsi="Arial"/>
          <w:sz w:val="21"/>
          <w:lang w:val="pt"/>
        </w:rPr>
        <w:br/>
      </w:r>
      <w:r>
        <w:rPr>
          <w:rFonts w:ascii="Arial" w:hAnsi="Arial"/>
          <w:b/>
          <w:bCs/>
          <w:sz w:val="21"/>
          <w:lang w:val="pt"/>
        </w:rPr>
        <w:t>e comercialização de isopreno renovável (9 de setembro de 2014).</w:t>
      </w:r>
    </w:p>
    <w:p w14:paraId="315A7F65" w14:textId="77777777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 xml:space="preserve">Fórmula E: a primeira corrida do Campeonato FIA de Fórmula E decorre ao pé do estádio Olímpico de Pequim, na China (13 de setembro </w:t>
      </w:r>
      <w:r>
        <w:rPr>
          <w:rFonts w:ascii="Arial" w:hAnsi="Arial"/>
          <w:sz w:val="21"/>
          <w:lang w:val="pt"/>
        </w:rPr>
        <w:br/>
      </w:r>
      <w:r>
        <w:rPr>
          <w:rFonts w:ascii="Arial" w:hAnsi="Arial"/>
          <w:b/>
          <w:bCs/>
          <w:sz w:val="21"/>
          <w:lang w:val="pt"/>
        </w:rPr>
        <w:t>de 2014).</w:t>
      </w:r>
    </w:p>
    <w:p w14:paraId="77D6200D" w14:textId="77777777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>24 Horas de Le Mans Moto 2014: A MICHELIN e a equipa Yamaha France GMT 94, campeões do mundo (22 de setembro de 2014).</w:t>
      </w:r>
    </w:p>
    <w:p w14:paraId="6C98952C" w14:textId="0A34C10E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>MICHELIN</w:t>
      </w:r>
      <w:r>
        <w:rPr>
          <w:rFonts w:ascii="Arial" w:hAnsi="Arial"/>
          <w:b/>
          <w:bCs/>
          <w:sz w:val="21"/>
          <w:szCs w:val="21"/>
          <w:vertAlign w:val="superscript"/>
          <w:lang w:val="pt"/>
        </w:rPr>
        <w:t>®</w:t>
      </w:r>
      <w:r>
        <w:rPr>
          <w:rFonts w:ascii="Arial" w:hAnsi="Arial"/>
          <w:b/>
          <w:bCs/>
          <w:sz w:val="21"/>
          <w:lang w:val="pt"/>
        </w:rPr>
        <w:t xml:space="preserve"> Solutions no Salão IAA de Hannover (Alemanha): EFFIFUEL™ da MICHELIN</w:t>
      </w:r>
      <w:r>
        <w:rPr>
          <w:rFonts w:ascii="Arial" w:hAnsi="Arial"/>
          <w:b/>
          <w:bCs/>
          <w:sz w:val="21"/>
          <w:szCs w:val="21"/>
          <w:vertAlign w:val="superscript"/>
          <w:lang w:val="pt"/>
        </w:rPr>
        <w:t>®</w:t>
      </w:r>
      <w:r>
        <w:rPr>
          <w:rFonts w:ascii="Arial" w:hAnsi="Arial"/>
          <w:b/>
          <w:bCs/>
          <w:sz w:val="21"/>
          <w:lang w:val="pt"/>
        </w:rPr>
        <w:t xml:space="preserve"> Solutions oferece economia de combustível (23 de setembro – 2 de outubro de 2014)</w:t>
      </w:r>
      <w:r w:rsidR="00EE1A36">
        <w:rPr>
          <w:rFonts w:ascii="Arial" w:hAnsi="Arial"/>
          <w:b/>
          <w:bCs/>
          <w:sz w:val="21"/>
          <w:lang w:val="pt"/>
        </w:rPr>
        <w:t>.</w:t>
      </w:r>
    </w:p>
    <w:p w14:paraId="349F9BF7" w14:textId="77777777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>Michelin, parceiro oficial de A320neo: o primeiro voo equipado com os pneus radiais MICHELIN</w:t>
      </w:r>
      <w:r>
        <w:rPr>
          <w:rFonts w:ascii="Arial" w:hAnsi="Arial"/>
          <w:b/>
          <w:bCs/>
          <w:sz w:val="21"/>
          <w:szCs w:val="21"/>
          <w:vertAlign w:val="superscript"/>
          <w:lang w:val="pt"/>
        </w:rPr>
        <w:t>®</w:t>
      </w:r>
      <w:r>
        <w:rPr>
          <w:rFonts w:ascii="Arial" w:hAnsi="Arial"/>
          <w:b/>
          <w:bCs/>
          <w:sz w:val="21"/>
          <w:lang w:val="pt"/>
        </w:rPr>
        <w:t xml:space="preserve"> AIR X</w:t>
      </w:r>
      <w:r>
        <w:rPr>
          <w:rFonts w:ascii="Arial" w:hAnsi="Arial"/>
          <w:b/>
          <w:bCs/>
          <w:sz w:val="21"/>
          <w:szCs w:val="21"/>
          <w:vertAlign w:val="superscript"/>
          <w:lang w:val="pt"/>
        </w:rPr>
        <w:t>®</w:t>
      </w:r>
      <w:r>
        <w:rPr>
          <w:rFonts w:ascii="Arial" w:hAnsi="Arial"/>
          <w:b/>
          <w:bCs/>
          <w:sz w:val="21"/>
          <w:lang w:val="pt"/>
        </w:rPr>
        <w:t xml:space="preserve"> (25 de setembro de 2014).</w:t>
      </w:r>
    </w:p>
    <w:p w14:paraId="6A2F2A9E" w14:textId="77777777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>MICHELIN Ultraflex Technologies, melhora até 4 % o rendimento agrícola (30 de setembro de 2014).</w:t>
      </w:r>
    </w:p>
    <w:p w14:paraId="2E82F213" w14:textId="77777777" w:rsidR="00CF72BB" w:rsidRPr="00A94F5F" w:rsidRDefault="00CF72BB" w:rsidP="00CF72BB">
      <w:pPr>
        <w:numPr>
          <w:ilvl w:val="0"/>
          <w:numId w:val="23"/>
        </w:numPr>
        <w:tabs>
          <w:tab w:val="num" w:pos="720"/>
        </w:tabs>
        <w:spacing w:after="240" w:line="270" w:lineRule="atLeast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  <w:lang w:val="pt"/>
        </w:rPr>
        <w:t>Lançamento da gama de Camião MICHELIN X</w:t>
      </w:r>
      <w:r>
        <w:rPr>
          <w:rFonts w:ascii="Arial" w:hAnsi="Arial"/>
          <w:b/>
          <w:bCs/>
          <w:sz w:val="21"/>
          <w:szCs w:val="21"/>
          <w:vertAlign w:val="superscript"/>
          <w:lang w:val="pt"/>
        </w:rPr>
        <w:t>®</w:t>
      </w:r>
      <w:r>
        <w:rPr>
          <w:rFonts w:ascii="Arial" w:hAnsi="Arial"/>
          <w:b/>
          <w:bCs/>
          <w:sz w:val="21"/>
          <w:lang w:val="pt"/>
        </w:rPr>
        <w:t xml:space="preserve"> MULTI</w:t>
      </w:r>
      <w:r>
        <w:rPr>
          <w:rFonts w:ascii="Arial" w:hAnsi="Arial"/>
          <w:b/>
          <w:bCs/>
          <w:sz w:val="21"/>
          <w:szCs w:val="21"/>
          <w:vertAlign w:val="superscript"/>
          <w:lang w:val="pt"/>
        </w:rPr>
        <w:t>TM</w:t>
      </w:r>
      <w:r>
        <w:rPr>
          <w:rFonts w:ascii="Arial" w:hAnsi="Arial"/>
          <w:b/>
          <w:bCs/>
          <w:sz w:val="21"/>
          <w:lang w:val="pt"/>
        </w:rPr>
        <w:t xml:space="preserve"> na Ásia: diversas dimensões para responder às diferentes necessidades dos clientes (7 de outubro de 2014).</w:t>
      </w:r>
    </w:p>
    <w:p w14:paraId="708D9459" w14:textId="77777777" w:rsidR="00BF4FFF" w:rsidRPr="00A94F5F" w:rsidRDefault="00BF4FFF" w:rsidP="00BF4FFF">
      <w:pPr>
        <w:tabs>
          <w:tab w:val="left" w:pos="284"/>
        </w:tabs>
        <w:jc w:val="both"/>
        <w:rPr>
          <w:rFonts w:ascii="Verdana" w:hAnsi="Verdana" w:cs="Arial"/>
          <w:b/>
        </w:rPr>
      </w:pPr>
    </w:p>
    <w:p w14:paraId="0281052F" w14:textId="77777777" w:rsidR="00BF4FFF" w:rsidRPr="00A94F5F" w:rsidRDefault="00BF4FFF" w:rsidP="00BF4FFF">
      <w:pPr>
        <w:tabs>
          <w:tab w:val="left" w:pos="284"/>
        </w:tabs>
        <w:jc w:val="both"/>
        <w:rPr>
          <w:rFonts w:ascii="Verdana" w:hAnsi="Verdana" w:cs="Arial"/>
          <w:highlight w:val="yellow"/>
        </w:rPr>
      </w:pPr>
    </w:p>
    <w:p w14:paraId="2AB09073" w14:textId="77777777" w:rsidR="00BF4FFF" w:rsidRPr="00A94F5F" w:rsidRDefault="00BF4FFF" w:rsidP="00BF4FFF">
      <w:pPr>
        <w:keepNext/>
        <w:tabs>
          <w:tab w:val="left" w:pos="284"/>
        </w:tabs>
        <w:jc w:val="both"/>
        <w:rPr>
          <w:rFonts w:ascii="Verdana" w:eastAsia="Times New Roman" w:hAnsi="Verdana" w:cs="Arial"/>
        </w:rPr>
      </w:pPr>
    </w:p>
    <w:p w14:paraId="52A26458" w14:textId="77777777" w:rsidR="00BF4FFF" w:rsidRPr="00A94F5F" w:rsidRDefault="00BF4FFF" w:rsidP="00BF4FF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1"/>
          <w:u w:val="single"/>
        </w:rPr>
      </w:pPr>
      <w:r>
        <w:rPr>
          <w:rFonts w:ascii="Arial" w:eastAsia="Times New Roman" w:hAnsi="Arial" w:cs="Arial"/>
          <w:sz w:val="21"/>
          <w:lang w:val="pt"/>
        </w:rPr>
        <w:t xml:space="preserve">A lista completa dos fatos destacados do terceiro trimestre de 2014 está disponível </w:t>
      </w:r>
      <w:r>
        <w:rPr>
          <w:rFonts w:ascii="Arial" w:eastAsia="Times New Roman" w:hAnsi="Arial" w:cs="Arial"/>
          <w:sz w:val="21"/>
          <w:lang w:val="pt"/>
        </w:rPr>
        <w:br/>
        <w:t xml:space="preserve">no Site do Grupo: </w:t>
      </w:r>
      <w:r w:rsidR="00015BBC">
        <w:fldChar w:fldCharType="begin"/>
      </w:r>
      <w:r w:rsidR="00015BBC">
        <w:instrText xml:space="preserve"> HYPERLINK "http://www.michelin.com/corporate" </w:instrText>
      </w:r>
      <w:r w:rsidR="00015BBC">
        <w:fldChar w:fldCharType="separate"/>
      </w:r>
      <w:r>
        <w:rPr>
          <w:rFonts w:ascii="Arial" w:eastAsia="Times New Roman" w:hAnsi="Arial" w:cs="Arial"/>
          <w:color w:val="0000FF"/>
          <w:sz w:val="21"/>
          <w:u w:val="single"/>
          <w:lang w:val="pt"/>
        </w:rPr>
        <w:t>www.michelin.com/corporate</w:t>
      </w:r>
      <w:r w:rsidR="00015BBC">
        <w:rPr>
          <w:rFonts w:ascii="Arial" w:eastAsia="Times New Roman" w:hAnsi="Arial" w:cs="Arial"/>
          <w:color w:val="0000FF"/>
          <w:sz w:val="21"/>
          <w:u w:val="single"/>
          <w:lang w:val="pt"/>
        </w:rPr>
        <w:fldChar w:fldCharType="end"/>
      </w:r>
    </w:p>
    <w:p w14:paraId="3AF06946" w14:textId="77777777" w:rsidR="00BF4FFF" w:rsidRPr="00A94F5F" w:rsidRDefault="00BF4FFF" w:rsidP="00BF4FFF">
      <w:pPr>
        <w:tabs>
          <w:tab w:val="left" w:pos="360"/>
        </w:tabs>
        <w:jc w:val="both"/>
        <w:rPr>
          <w:rFonts w:ascii="Utopia" w:eastAsia="Times New Roman" w:hAnsi="Utopia"/>
          <w:i/>
          <w:iCs/>
        </w:rPr>
      </w:pPr>
    </w:p>
    <w:p w14:paraId="34036C16" w14:textId="65D5AEB1" w:rsidR="008B152B" w:rsidRPr="00A94F5F" w:rsidRDefault="00986CF5" w:rsidP="00275F6E">
      <w:pPr>
        <w:pStyle w:val="LadilloMichelinDossier"/>
        <w:spacing w:after="240"/>
        <w:rPr>
          <w:rFonts w:ascii="Arial" w:hAnsi="Arial"/>
          <w:b w:val="0"/>
          <w:bCs/>
          <w:sz w:val="21"/>
        </w:rPr>
      </w:pPr>
      <w:proofErr w:type="spellStart"/>
      <w:r w:rsidRPr="00EE1A36">
        <w:rPr>
          <w:rFonts w:ascii="Arial" w:eastAsia="Times New Roman" w:hAnsi="Arial" w:cs="Arial"/>
          <w:bCs/>
          <w:smallCaps/>
          <w:sz w:val="24"/>
          <w:lang w:val="es-ES_tradnl"/>
        </w:rPr>
        <w:t>Apresentação</w:t>
      </w:r>
      <w:proofErr w:type="spellEnd"/>
      <w:r w:rsidRPr="00BA52C2">
        <w:rPr>
          <w:rFonts w:ascii="Verdana" w:eastAsia="Times New Roman" w:hAnsi="Verdana" w:cs="Arial"/>
          <w:bCs/>
          <w:smallCaps/>
          <w:sz w:val="18"/>
          <w:szCs w:val="18"/>
          <w:lang w:val="en-US"/>
        </w:rPr>
        <w:br/>
      </w:r>
      <w:r>
        <w:rPr>
          <w:rFonts w:ascii="Arial" w:hAnsi="Arial"/>
          <w:b w:val="0"/>
          <w:sz w:val="21"/>
          <w:lang w:val="pt"/>
        </w:rPr>
        <w:t>A apresentação dos resultados em 30 de setembro de 2014 pode-se consultar no site</w:t>
      </w:r>
      <w:r w:rsidR="00015BBC">
        <w:fldChar w:fldCharType="begin"/>
      </w:r>
      <w:r w:rsidR="00015BBC">
        <w:instrText xml:space="preserve"> HYPERLINK "http://www.michelin.com/corporate" </w:instrText>
      </w:r>
      <w:r w:rsidR="00015BBC">
        <w:fldChar w:fldCharType="separate"/>
      </w:r>
      <w:r>
        <w:rPr>
          <w:b w:val="0"/>
          <w:lang w:val="pt"/>
        </w:rPr>
        <w:t xml:space="preserve"> </w:t>
      </w:r>
      <w:r>
        <w:rPr>
          <w:rStyle w:val="Hipervnculo"/>
          <w:rFonts w:ascii="Arial" w:hAnsi="Arial"/>
          <w:b w:val="0"/>
          <w:sz w:val="21"/>
          <w:lang w:val="pt"/>
        </w:rPr>
        <w:t>www.michelin.com/corporate</w:t>
      </w:r>
      <w:r>
        <w:rPr>
          <w:bCs/>
          <w:i/>
          <w:iCs/>
          <w:lang w:val="pt"/>
        </w:rPr>
        <w:t>.</w:t>
      </w:r>
      <w:r>
        <w:rPr>
          <w:bCs/>
          <w:i/>
          <w:iCs/>
          <w:lang w:val="pt"/>
        </w:rPr>
        <w:t xml:space="preserve"> </w:t>
      </w:r>
      <w:r w:rsidR="00015BBC">
        <w:rPr>
          <w:bCs/>
          <w:i/>
          <w:iCs/>
          <w:lang w:val="pt"/>
        </w:rPr>
        <w:fldChar w:fldCharType="end"/>
      </w:r>
    </w:p>
    <w:p w14:paraId="025650AD" w14:textId="77777777" w:rsidR="008B152B" w:rsidRPr="00A94F5F" w:rsidRDefault="008B152B" w:rsidP="00BF4FFF">
      <w:pPr>
        <w:tabs>
          <w:tab w:val="left" w:pos="360"/>
        </w:tabs>
        <w:jc w:val="both"/>
        <w:rPr>
          <w:rFonts w:ascii="Arial" w:eastAsia="Times New Roman" w:hAnsi="Arial" w:cs="Arial"/>
          <w:b/>
          <w:bCs/>
          <w:smallCaps/>
        </w:rPr>
      </w:pPr>
    </w:p>
    <w:p w14:paraId="4461B7AB" w14:textId="77777777" w:rsidR="008B152B" w:rsidRPr="00A94F5F" w:rsidRDefault="008B152B" w:rsidP="00BF4FFF">
      <w:pPr>
        <w:tabs>
          <w:tab w:val="left" w:pos="360"/>
        </w:tabs>
        <w:jc w:val="both"/>
        <w:rPr>
          <w:rFonts w:ascii="Arial" w:eastAsia="Times New Roman" w:hAnsi="Arial" w:cs="Arial"/>
          <w:b/>
          <w:bCs/>
          <w:smallCaps/>
        </w:rPr>
      </w:pPr>
    </w:p>
    <w:p w14:paraId="73CFE526" w14:textId="77777777" w:rsidR="00BF4FFF" w:rsidRPr="00A94F5F" w:rsidRDefault="00BF4FFF" w:rsidP="00C74752">
      <w:pPr>
        <w:tabs>
          <w:tab w:val="left" w:pos="360"/>
        </w:tabs>
        <w:jc w:val="both"/>
        <w:rPr>
          <w:rFonts w:ascii="Arial" w:eastAsia="Times New Roman" w:hAnsi="Arial" w:cs="Arial"/>
          <w:sz w:val="21"/>
          <w:szCs w:val="21"/>
        </w:rPr>
      </w:pPr>
      <w:r w:rsidRPr="00DA5777">
        <w:rPr>
          <w:rFonts w:ascii="Arial" w:eastAsia="Times New Roman" w:hAnsi="Arial" w:cs="Arial"/>
          <w:b/>
          <w:bCs/>
          <w:smallCaps/>
        </w:rPr>
        <w:t>Calendário</w:t>
      </w:r>
      <w:r>
        <w:rPr>
          <w:rFonts w:ascii="Arial" w:eastAsia="Times New Roman" w:hAnsi="Arial" w:cs="Arial"/>
          <w:smallCaps/>
          <w:lang w:val="pt"/>
        </w:rPr>
        <w:br/>
      </w:r>
    </w:p>
    <w:p w14:paraId="0996E555" w14:textId="77777777" w:rsidR="00BF4FFF" w:rsidRPr="00A94F5F" w:rsidRDefault="00BF4FFF" w:rsidP="00BF4FFF">
      <w:pPr>
        <w:numPr>
          <w:ilvl w:val="0"/>
          <w:numId w:val="23"/>
        </w:numPr>
        <w:tabs>
          <w:tab w:val="left" w:pos="360"/>
        </w:tabs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pt"/>
        </w:rPr>
        <w:t>Vendas líquidas e resultados 2014:</w:t>
      </w:r>
    </w:p>
    <w:p w14:paraId="7CE8B189" w14:textId="77777777" w:rsidR="00BF4FFF" w:rsidRPr="00A94F5F" w:rsidRDefault="00BF4FFF" w:rsidP="00BF4FFF">
      <w:pPr>
        <w:tabs>
          <w:tab w:val="left" w:pos="360"/>
        </w:tabs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val="pt"/>
        </w:rPr>
        <w:t>Terça-feira 10 de fevereiro de 2015 antes da abertura da Bolsa</w:t>
      </w:r>
    </w:p>
    <w:p w14:paraId="05EFD5CD" w14:textId="77777777" w:rsidR="00BF4FFF" w:rsidRPr="00A94F5F" w:rsidRDefault="00BF4FFF" w:rsidP="00BF4FFF">
      <w:pPr>
        <w:tabs>
          <w:tab w:val="left" w:pos="360"/>
        </w:tabs>
        <w:jc w:val="center"/>
        <w:rPr>
          <w:rFonts w:ascii="Arial" w:eastAsia="Times New Roman" w:hAnsi="Arial" w:cs="Arial"/>
          <w:sz w:val="21"/>
          <w:szCs w:val="21"/>
        </w:rPr>
      </w:pPr>
    </w:p>
    <w:p w14:paraId="5CE9C4DB" w14:textId="77777777" w:rsidR="00BF4FFF" w:rsidRPr="00A94F5F" w:rsidRDefault="00BF4FFF" w:rsidP="00BF4FFF">
      <w:pPr>
        <w:tabs>
          <w:tab w:val="left" w:pos="360"/>
        </w:tabs>
        <w:jc w:val="both"/>
        <w:rPr>
          <w:rFonts w:ascii="Arial" w:eastAsia="Times New Roman" w:hAnsi="Arial" w:cs="Arial"/>
          <w:b/>
          <w:bCs/>
          <w:smallCaps/>
        </w:rPr>
      </w:pPr>
    </w:p>
    <w:p w14:paraId="0F31E5EB" w14:textId="77777777" w:rsidR="00BF4FFF" w:rsidRPr="00A94F5F" w:rsidRDefault="00BF4FFF" w:rsidP="00BF4FFF">
      <w:pPr>
        <w:numPr>
          <w:ilvl w:val="0"/>
          <w:numId w:val="23"/>
        </w:numPr>
        <w:tabs>
          <w:tab w:val="left" w:pos="360"/>
        </w:tabs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pt"/>
        </w:rPr>
        <w:t>Informação trimestral a 31 de março de 2015:</w:t>
      </w:r>
    </w:p>
    <w:p w14:paraId="084E327B" w14:textId="77777777" w:rsidR="00BF4FFF" w:rsidRPr="00A94F5F" w:rsidRDefault="0013210B" w:rsidP="00BF4FFF">
      <w:pPr>
        <w:tabs>
          <w:tab w:val="left" w:pos="360"/>
        </w:tabs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val="pt"/>
        </w:rPr>
        <w:t>Quarta-feira 22 de abril de 2015 depois do encerramento da Bolsa</w:t>
      </w:r>
    </w:p>
    <w:p w14:paraId="3AF33E73" w14:textId="77777777" w:rsidR="00BF4FFF" w:rsidRPr="00A94F5F" w:rsidRDefault="00BF4FFF" w:rsidP="00BF4FFF">
      <w:pPr>
        <w:tabs>
          <w:tab w:val="left" w:pos="360"/>
        </w:tabs>
        <w:jc w:val="both"/>
        <w:rPr>
          <w:rFonts w:ascii="Arial" w:eastAsia="Times New Roman" w:hAnsi="Arial" w:cs="Arial"/>
          <w:sz w:val="21"/>
          <w:szCs w:val="21"/>
        </w:rPr>
      </w:pPr>
    </w:p>
    <w:p w14:paraId="20AF8A3C" w14:textId="77777777" w:rsidR="00BF4FFF" w:rsidRPr="00A94F5F" w:rsidRDefault="00BF4FFF" w:rsidP="00BF4FFF">
      <w:pPr>
        <w:keepNext/>
        <w:tabs>
          <w:tab w:val="left" w:pos="360"/>
        </w:tabs>
        <w:rPr>
          <w:rFonts w:ascii="Verdana" w:eastAsia="Times New Roman" w:hAnsi="Verdana" w:cs="Arial"/>
          <w:b/>
          <w:sz w:val="16"/>
          <w:szCs w:val="16"/>
        </w:rPr>
      </w:pPr>
    </w:p>
    <w:p w14:paraId="0956EC14" w14:textId="77777777" w:rsidR="00BF4FFF" w:rsidRPr="00A94F5F" w:rsidRDefault="00BF4FFF" w:rsidP="00BF4FFF">
      <w:pPr>
        <w:keepNext/>
        <w:tabs>
          <w:tab w:val="left" w:pos="360"/>
        </w:tabs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bCs/>
          <w:sz w:val="21"/>
          <w:lang w:val="pt"/>
        </w:rPr>
        <w:t>ADVERTÊNCIA</w:t>
      </w:r>
    </w:p>
    <w:p w14:paraId="66AB6B4B" w14:textId="77777777" w:rsidR="00BF4FFF" w:rsidRPr="00A94F5F" w:rsidRDefault="00BF4FFF" w:rsidP="00BF4FFF">
      <w:pPr>
        <w:keepNext/>
        <w:tabs>
          <w:tab w:val="left" w:pos="360"/>
        </w:tabs>
        <w:jc w:val="both"/>
        <w:rPr>
          <w:rFonts w:ascii="Verdana" w:hAnsi="Verdana"/>
          <w:sz w:val="16"/>
        </w:rPr>
      </w:pPr>
    </w:p>
    <w:p w14:paraId="594006A5" w14:textId="77777777" w:rsidR="00BF4FFF" w:rsidRPr="00BA52C2" w:rsidRDefault="00BF4FFF" w:rsidP="00BA52C2">
      <w:pPr>
        <w:adjustRightInd w:val="0"/>
        <w:snapToGrid w:val="0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</w:pPr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Este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comunicado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imprensa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não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constitui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uma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oferta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proofErr w:type="gram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venda</w:t>
      </w:r>
      <w:proofErr w:type="spellEnd"/>
      <w:proofErr w:type="gram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ou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a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solicitação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oferta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compra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ações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Michelin. Se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quiser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mais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informação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acerca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da Michelin,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por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favor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consulte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documentos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públicos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depositados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em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l’Autorité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des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marchés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financiers, </w:t>
      </w:r>
      <w:proofErr w:type="spellStart"/>
      <w:proofErr w:type="gram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na</w:t>
      </w:r>
      <w:proofErr w:type="spellEnd"/>
      <w:proofErr w:type="gram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França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.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Igualmente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pode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consultá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-los no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nosso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site: </w:t>
      </w:r>
      <w:hyperlink r:id="rId8" w:history="1">
        <w:r w:rsidRPr="00BA52C2">
          <w:rPr>
            <w:rFonts w:ascii="Arial" w:eastAsia="Times New Roman" w:hAnsi="Arial" w:cs="Arial"/>
            <w:b/>
            <w:i/>
            <w:iCs/>
            <w:sz w:val="20"/>
            <w:szCs w:val="20"/>
            <w:lang w:val="en-US"/>
          </w:rPr>
          <w:t>www.michelin.com</w:t>
        </w:r>
      </w:hyperlink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. </w:t>
      </w:r>
      <w:proofErr w:type="gram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Este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comunicado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pode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conter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algumas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declarações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caráter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provisório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.</w:t>
      </w:r>
      <w:proofErr w:type="gram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Embora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a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companhia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estime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que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as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suas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declarações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estão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baseadas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em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hipóteses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razoáveis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na</w:t>
      </w:r>
      <w:proofErr w:type="spellEnd"/>
      <w:proofErr w:type="gram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data de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publicação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do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documento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, as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mesmas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estão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inerentemente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sujeitas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a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riscos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incertezas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que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podem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fazer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com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que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haja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alguma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diferença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entre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resultados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reais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e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aqueles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indicados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ou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induzidos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nestas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declarações</w:t>
      </w:r>
      <w:proofErr w:type="spellEnd"/>
      <w:r w:rsidRPr="00BA52C2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.</w:t>
      </w:r>
    </w:p>
    <w:p w14:paraId="084BBF16" w14:textId="77777777" w:rsidR="00541F4C" w:rsidRPr="00A94F5F" w:rsidRDefault="00541F4C" w:rsidP="00FC4CD7">
      <w:pPr>
        <w:pStyle w:val="TextoMichelin"/>
        <w:rPr>
          <w:bCs/>
        </w:rPr>
      </w:pPr>
    </w:p>
    <w:p w14:paraId="5CEE6BFB" w14:textId="77777777" w:rsidR="005171A9" w:rsidRPr="00A94F5F" w:rsidRDefault="005171A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1B176D7" w14:textId="77777777" w:rsidR="005171A9" w:rsidRPr="00A94F5F" w:rsidRDefault="005171A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028FD35" w14:textId="77777777" w:rsidR="005171A9" w:rsidRPr="00A94F5F" w:rsidRDefault="005171A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F86B1B2" w14:textId="77777777" w:rsidR="001466B0" w:rsidRPr="00A94F5F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7D5BD287" w14:textId="77777777" w:rsidR="001E5C06" w:rsidRPr="00DA5777" w:rsidRDefault="00951E7D" w:rsidP="00DA5777">
      <w:pPr>
        <w:jc w:val="both"/>
        <w:rPr>
          <w:i/>
        </w:rPr>
      </w:pPr>
      <w:r w:rsidRPr="00DA5777">
        <w:rPr>
          <w:i/>
        </w:rPr>
        <w:t xml:space="preserve">A </w:t>
      </w:r>
      <w:proofErr w:type="spellStart"/>
      <w:r w:rsidRPr="00DA5777">
        <w:rPr>
          <w:i/>
        </w:rPr>
        <w:t>missão</w:t>
      </w:r>
      <w:proofErr w:type="spellEnd"/>
      <w:r w:rsidRPr="00DA5777">
        <w:rPr>
          <w:i/>
        </w:rPr>
        <w:t xml:space="preserve"> da </w:t>
      </w:r>
      <w:r w:rsidRPr="00DA5777">
        <w:rPr>
          <w:b/>
          <w:i/>
        </w:rPr>
        <w:t>Michelin,</w:t>
      </w:r>
      <w:r w:rsidRPr="00DA5777">
        <w:rPr>
          <w:i/>
        </w:rPr>
        <w:t xml:space="preserve"> </w:t>
      </w:r>
      <w:proofErr w:type="spellStart"/>
      <w:r w:rsidRPr="00DA5777">
        <w:rPr>
          <w:i/>
        </w:rPr>
        <w:t>líder</w:t>
      </w:r>
      <w:proofErr w:type="spellEnd"/>
      <w:r w:rsidRPr="00DA5777">
        <w:rPr>
          <w:i/>
        </w:rPr>
        <w:t xml:space="preserve"> do </w:t>
      </w:r>
      <w:proofErr w:type="spellStart"/>
      <w:r w:rsidRPr="00DA5777">
        <w:rPr>
          <w:i/>
        </w:rPr>
        <w:t>setor</w:t>
      </w:r>
      <w:proofErr w:type="spellEnd"/>
      <w:r w:rsidRPr="00DA5777">
        <w:rPr>
          <w:i/>
        </w:rPr>
        <w:t xml:space="preserve"> do </w:t>
      </w:r>
      <w:proofErr w:type="spellStart"/>
      <w:r w:rsidRPr="00DA5777">
        <w:rPr>
          <w:i/>
        </w:rPr>
        <w:t>pneu</w:t>
      </w:r>
      <w:proofErr w:type="spellEnd"/>
      <w:r w:rsidRPr="00DA5777">
        <w:rPr>
          <w:i/>
        </w:rPr>
        <w:t xml:space="preserve">, é </w:t>
      </w:r>
      <w:proofErr w:type="spellStart"/>
      <w:r w:rsidRPr="00DA5777">
        <w:rPr>
          <w:i/>
        </w:rPr>
        <w:t>contribuir</w:t>
      </w:r>
      <w:proofErr w:type="spellEnd"/>
      <w:r w:rsidRPr="00DA5777">
        <w:rPr>
          <w:i/>
        </w:rPr>
        <w:t xml:space="preserve"> de </w:t>
      </w:r>
      <w:proofErr w:type="spellStart"/>
      <w:r w:rsidRPr="00DA5777">
        <w:rPr>
          <w:i/>
        </w:rPr>
        <w:t>maneira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sustentável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para</w:t>
      </w:r>
      <w:proofErr w:type="spellEnd"/>
      <w:r w:rsidRPr="00DA5777">
        <w:rPr>
          <w:i/>
        </w:rPr>
        <w:t xml:space="preserve"> a </w:t>
      </w:r>
      <w:proofErr w:type="spellStart"/>
      <w:r w:rsidRPr="00DA5777">
        <w:rPr>
          <w:i/>
        </w:rPr>
        <w:t>mobilidade</w:t>
      </w:r>
      <w:proofErr w:type="spellEnd"/>
      <w:r w:rsidRPr="00DA5777">
        <w:rPr>
          <w:i/>
        </w:rPr>
        <w:t xml:space="preserve"> das </w:t>
      </w:r>
      <w:proofErr w:type="spellStart"/>
      <w:r w:rsidRPr="00DA5777">
        <w:rPr>
          <w:i/>
        </w:rPr>
        <w:t>pessoas</w:t>
      </w:r>
      <w:proofErr w:type="spellEnd"/>
      <w:r w:rsidRPr="00DA5777">
        <w:rPr>
          <w:i/>
        </w:rPr>
        <w:t xml:space="preserve"> e dos bens. </w:t>
      </w:r>
      <w:proofErr w:type="spellStart"/>
      <w:r w:rsidRPr="00DA5777">
        <w:rPr>
          <w:i/>
        </w:rPr>
        <w:t>Por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esta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razão</w:t>
      </w:r>
      <w:proofErr w:type="spellEnd"/>
      <w:r w:rsidRPr="00DA5777">
        <w:rPr>
          <w:i/>
        </w:rPr>
        <w:t xml:space="preserve">, o </w:t>
      </w:r>
      <w:proofErr w:type="spellStart"/>
      <w:r w:rsidRPr="00DA5777">
        <w:rPr>
          <w:i/>
        </w:rPr>
        <w:t>Grupo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fabrica</w:t>
      </w:r>
      <w:proofErr w:type="spellEnd"/>
      <w:r w:rsidRPr="00DA5777">
        <w:rPr>
          <w:i/>
        </w:rPr>
        <w:t xml:space="preserve"> e </w:t>
      </w:r>
      <w:proofErr w:type="spellStart"/>
      <w:r w:rsidRPr="00DA5777">
        <w:rPr>
          <w:i/>
        </w:rPr>
        <w:t>comercializa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pneus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para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todo</w:t>
      </w:r>
      <w:proofErr w:type="spellEnd"/>
      <w:r w:rsidRPr="00DA5777">
        <w:rPr>
          <w:i/>
        </w:rPr>
        <w:t xml:space="preserve"> o </w:t>
      </w:r>
      <w:proofErr w:type="spellStart"/>
      <w:r w:rsidRPr="00DA5777">
        <w:rPr>
          <w:i/>
        </w:rPr>
        <w:t>tipo</w:t>
      </w:r>
      <w:proofErr w:type="spellEnd"/>
      <w:r w:rsidRPr="00DA5777">
        <w:rPr>
          <w:i/>
        </w:rPr>
        <w:t xml:space="preserve"> de </w:t>
      </w:r>
      <w:proofErr w:type="spellStart"/>
      <w:r w:rsidRPr="00DA5777">
        <w:rPr>
          <w:i/>
        </w:rPr>
        <w:t>viaturas</w:t>
      </w:r>
      <w:proofErr w:type="spellEnd"/>
      <w:r w:rsidRPr="00DA5777">
        <w:rPr>
          <w:i/>
        </w:rPr>
        <w:t xml:space="preserve">, </w:t>
      </w:r>
      <w:proofErr w:type="spellStart"/>
      <w:r w:rsidRPr="00DA5777">
        <w:rPr>
          <w:i/>
        </w:rPr>
        <w:t>desde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aviões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até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automóveis</w:t>
      </w:r>
      <w:proofErr w:type="spellEnd"/>
      <w:r w:rsidRPr="00DA5777">
        <w:rPr>
          <w:i/>
        </w:rPr>
        <w:t xml:space="preserve">, </w:t>
      </w:r>
      <w:proofErr w:type="spellStart"/>
      <w:r w:rsidRPr="00DA5777">
        <w:rPr>
          <w:i/>
        </w:rPr>
        <w:t>veículos</w:t>
      </w:r>
      <w:proofErr w:type="spellEnd"/>
      <w:r w:rsidRPr="00DA5777">
        <w:rPr>
          <w:i/>
        </w:rPr>
        <w:t xml:space="preserve"> de </w:t>
      </w:r>
      <w:proofErr w:type="spellStart"/>
      <w:r w:rsidRPr="00DA5777">
        <w:rPr>
          <w:i/>
        </w:rPr>
        <w:t>duas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rodas</w:t>
      </w:r>
      <w:proofErr w:type="spellEnd"/>
      <w:r w:rsidRPr="00DA5777">
        <w:rPr>
          <w:i/>
        </w:rPr>
        <w:t xml:space="preserve">, </w:t>
      </w:r>
      <w:proofErr w:type="spellStart"/>
      <w:r w:rsidRPr="00DA5777">
        <w:rPr>
          <w:i/>
        </w:rPr>
        <w:t>engenharia</w:t>
      </w:r>
      <w:proofErr w:type="spellEnd"/>
      <w:r w:rsidRPr="00DA5777">
        <w:rPr>
          <w:i/>
        </w:rPr>
        <w:t xml:space="preserve"> civil, </w:t>
      </w:r>
      <w:proofErr w:type="spellStart"/>
      <w:r w:rsidRPr="00DA5777">
        <w:rPr>
          <w:i/>
        </w:rPr>
        <w:t>agricultura</w:t>
      </w:r>
      <w:proofErr w:type="spellEnd"/>
      <w:r w:rsidRPr="00DA5777">
        <w:rPr>
          <w:i/>
        </w:rPr>
        <w:t xml:space="preserve"> e </w:t>
      </w:r>
      <w:proofErr w:type="spellStart"/>
      <w:r w:rsidRPr="00DA5777">
        <w:rPr>
          <w:i/>
        </w:rPr>
        <w:t>camiões</w:t>
      </w:r>
      <w:proofErr w:type="spellEnd"/>
      <w:r w:rsidRPr="00DA5777">
        <w:rPr>
          <w:i/>
        </w:rPr>
        <w:t xml:space="preserve">. </w:t>
      </w:r>
      <w:proofErr w:type="gramStart"/>
      <w:r w:rsidRPr="00DA5777">
        <w:rPr>
          <w:i/>
        </w:rPr>
        <w:t xml:space="preserve">A Michelin </w:t>
      </w:r>
      <w:proofErr w:type="spellStart"/>
      <w:r w:rsidRPr="00DA5777">
        <w:rPr>
          <w:i/>
        </w:rPr>
        <w:t>também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propõe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serviços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informáticos</w:t>
      </w:r>
      <w:proofErr w:type="spellEnd"/>
      <w:r w:rsidRPr="00DA5777">
        <w:rPr>
          <w:i/>
        </w:rPr>
        <w:t xml:space="preserve"> de </w:t>
      </w:r>
      <w:proofErr w:type="spellStart"/>
      <w:r w:rsidRPr="00DA5777">
        <w:rPr>
          <w:i/>
        </w:rPr>
        <w:t>ajuda</w:t>
      </w:r>
      <w:proofErr w:type="spellEnd"/>
      <w:r w:rsidRPr="00DA5777">
        <w:rPr>
          <w:i/>
        </w:rPr>
        <w:t xml:space="preserve"> à </w:t>
      </w:r>
      <w:proofErr w:type="spellStart"/>
      <w:r w:rsidRPr="00DA5777">
        <w:rPr>
          <w:i/>
        </w:rPr>
        <w:t>mobilidade</w:t>
      </w:r>
      <w:proofErr w:type="spellEnd"/>
      <w:r w:rsidRPr="00DA5777">
        <w:rPr>
          <w:i/>
        </w:rPr>
        <w:t xml:space="preserve"> (ViaMichelin.com), e </w:t>
      </w:r>
      <w:proofErr w:type="spellStart"/>
      <w:r w:rsidRPr="00DA5777">
        <w:rPr>
          <w:i/>
        </w:rPr>
        <w:t>edita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guias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turísticos</w:t>
      </w:r>
      <w:proofErr w:type="spellEnd"/>
      <w:r w:rsidRPr="00DA5777">
        <w:rPr>
          <w:i/>
        </w:rPr>
        <w:t xml:space="preserve">, de </w:t>
      </w:r>
      <w:proofErr w:type="spellStart"/>
      <w:r w:rsidRPr="00DA5777">
        <w:rPr>
          <w:i/>
        </w:rPr>
        <w:t>hotéis</w:t>
      </w:r>
      <w:proofErr w:type="spellEnd"/>
      <w:r w:rsidRPr="00DA5777">
        <w:rPr>
          <w:i/>
        </w:rPr>
        <w:t xml:space="preserve"> e </w:t>
      </w:r>
      <w:proofErr w:type="spellStart"/>
      <w:r w:rsidRPr="00DA5777">
        <w:rPr>
          <w:i/>
        </w:rPr>
        <w:t>restaurantes</w:t>
      </w:r>
      <w:proofErr w:type="spellEnd"/>
      <w:r w:rsidRPr="00DA5777">
        <w:rPr>
          <w:i/>
        </w:rPr>
        <w:t xml:space="preserve">, </w:t>
      </w:r>
      <w:proofErr w:type="spellStart"/>
      <w:r w:rsidRPr="00DA5777">
        <w:rPr>
          <w:i/>
        </w:rPr>
        <w:t>mapas</w:t>
      </w:r>
      <w:proofErr w:type="spellEnd"/>
      <w:r w:rsidRPr="00DA5777">
        <w:rPr>
          <w:i/>
        </w:rPr>
        <w:t xml:space="preserve"> e Atlas de </w:t>
      </w:r>
      <w:proofErr w:type="spellStart"/>
      <w:r w:rsidRPr="00DA5777">
        <w:rPr>
          <w:i/>
        </w:rPr>
        <w:t>estradas</w:t>
      </w:r>
      <w:proofErr w:type="spellEnd"/>
      <w:r w:rsidRPr="00DA5777">
        <w:rPr>
          <w:i/>
        </w:rPr>
        <w:t>.</w:t>
      </w:r>
      <w:proofErr w:type="gramEnd"/>
      <w:r w:rsidRPr="00DA5777">
        <w:rPr>
          <w:i/>
        </w:rPr>
        <w:t xml:space="preserve"> O </w:t>
      </w:r>
      <w:proofErr w:type="spellStart"/>
      <w:r w:rsidRPr="00DA5777">
        <w:rPr>
          <w:i/>
        </w:rPr>
        <w:t>Grupo</w:t>
      </w:r>
      <w:proofErr w:type="spellEnd"/>
      <w:r w:rsidRPr="00DA5777">
        <w:rPr>
          <w:i/>
        </w:rPr>
        <w:t xml:space="preserve">, </w:t>
      </w:r>
      <w:proofErr w:type="spellStart"/>
      <w:r w:rsidRPr="00DA5777">
        <w:rPr>
          <w:i/>
        </w:rPr>
        <w:t>que</w:t>
      </w:r>
      <w:proofErr w:type="spellEnd"/>
      <w:r w:rsidRPr="00DA5777">
        <w:rPr>
          <w:i/>
        </w:rPr>
        <w:t xml:space="preserve"> tem a </w:t>
      </w:r>
      <w:proofErr w:type="spellStart"/>
      <w:r w:rsidRPr="00DA5777">
        <w:rPr>
          <w:i/>
        </w:rPr>
        <w:t>sua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sede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em</w:t>
      </w:r>
      <w:proofErr w:type="spellEnd"/>
      <w:r w:rsidRPr="00DA5777">
        <w:rPr>
          <w:i/>
        </w:rPr>
        <w:t xml:space="preserve"> Clermont-Ferrand (</w:t>
      </w:r>
      <w:proofErr w:type="spellStart"/>
      <w:r w:rsidRPr="00DA5777">
        <w:rPr>
          <w:i/>
        </w:rPr>
        <w:t>França</w:t>
      </w:r>
      <w:proofErr w:type="spellEnd"/>
      <w:r w:rsidRPr="00DA5777">
        <w:rPr>
          <w:i/>
        </w:rPr>
        <w:t xml:space="preserve">), </w:t>
      </w:r>
      <w:proofErr w:type="spellStart"/>
      <w:r w:rsidRPr="00DA5777">
        <w:rPr>
          <w:i/>
        </w:rPr>
        <w:t>está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presente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em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mais</w:t>
      </w:r>
      <w:proofErr w:type="spellEnd"/>
      <w:r w:rsidRPr="00DA5777">
        <w:rPr>
          <w:i/>
        </w:rPr>
        <w:t xml:space="preserve"> de 170 </w:t>
      </w:r>
      <w:proofErr w:type="spellStart"/>
      <w:r w:rsidRPr="00DA5777">
        <w:rPr>
          <w:i/>
        </w:rPr>
        <w:t>países</w:t>
      </w:r>
      <w:proofErr w:type="spellEnd"/>
      <w:r w:rsidRPr="00DA5777">
        <w:rPr>
          <w:i/>
        </w:rPr>
        <w:t xml:space="preserve">, </w:t>
      </w:r>
      <w:proofErr w:type="spellStart"/>
      <w:r w:rsidRPr="00DA5777">
        <w:rPr>
          <w:i/>
        </w:rPr>
        <w:t>emprega</w:t>
      </w:r>
      <w:proofErr w:type="spellEnd"/>
      <w:r w:rsidRPr="00DA5777">
        <w:rPr>
          <w:i/>
        </w:rPr>
        <w:t xml:space="preserve"> a 111.200 </w:t>
      </w:r>
      <w:proofErr w:type="spellStart"/>
      <w:r w:rsidRPr="00DA5777">
        <w:rPr>
          <w:i/>
        </w:rPr>
        <w:t>pessoas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em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todo</w:t>
      </w:r>
      <w:proofErr w:type="spellEnd"/>
      <w:r w:rsidRPr="00DA5777">
        <w:rPr>
          <w:i/>
        </w:rPr>
        <w:t xml:space="preserve"> o </w:t>
      </w:r>
      <w:proofErr w:type="spellStart"/>
      <w:r w:rsidRPr="00DA5777">
        <w:rPr>
          <w:i/>
        </w:rPr>
        <w:t>mundo</w:t>
      </w:r>
      <w:proofErr w:type="spellEnd"/>
      <w:r w:rsidRPr="00DA5777">
        <w:rPr>
          <w:i/>
        </w:rPr>
        <w:t xml:space="preserve"> e </w:t>
      </w:r>
      <w:proofErr w:type="spellStart"/>
      <w:r w:rsidRPr="00DA5777">
        <w:rPr>
          <w:i/>
        </w:rPr>
        <w:t>dispõe</w:t>
      </w:r>
      <w:proofErr w:type="spellEnd"/>
      <w:r w:rsidRPr="00DA5777">
        <w:rPr>
          <w:i/>
        </w:rPr>
        <w:t xml:space="preserve"> de 67 </w:t>
      </w:r>
      <w:proofErr w:type="spellStart"/>
      <w:r w:rsidRPr="00DA5777">
        <w:rPr>
          <w:i/>
        </w:rPr>
        <w:t>centros</w:t>
      </w:r>
      <w:proofErr w:type="spellEnd"/>
      <w:r w:rsidRPr="00DA5777">
        <w:rPr>
          <w:i/>
        </w:rPr>
        <w:t xml:space="preserve"> de </w:t>
      </w:r>
      <w:proofErr w:type="spellStart"/>
      <w:r w:rsidRPr="00DA5777">
        <w:rPr>
          <w:i/>
        </w:rPr>
        <w:t>produção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implantados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em</w:t>
      </w:r>
      <w:proofErr w:type="spellEnd"/>
      <w:r w:rsidRPr="00DA5777">
        <w:rPr>
          <w:i/>
        </w:rPr>
        <w:t xml:space="preserve"> 17 </w:t>
      </w:r>
      <w:proofErr w:type="spellStart"/>
      <w:r w:rsidRPr="00DA5777">
        <w:rPr>
          <w:i/>
        </w:rPr>
        <w:t>países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diferentes</w:t>
      </w:r>
      <w:proofErr w:type="spellEnd"/>
      <w:r w:rsidRPr="00DA5777">
        <w:rPr>
          <w:i/>
        </w:rPr>
        <w:t xml:space="preserve">. O </w:t>
      </w:r>
      <w:proofErr w:type="spellStart"/>
      <w:r w:rsidRPr="00DA5777">
        <w:rPr>
          <w:i/>
        </w:rPr>
        <w:t>Grupo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possui</w:t>
      </w:r>
      <w:proofErr w:type="spellEnd"/>
      <w:r w:rsidRPr="00DA5777">
        <w:rPr>
          <w:i/>
        </w:rPr>
        <w:t xml:space="preserve"> um Centro de </w:t>
      </w:r>
      <w:proofErr w:type="spellStart"/>
      <w:r w:rsidRPr="00DA5777">
        <w:rPr>
          <w:i/>
        </w:rPr>
        <w:t>Tecnologia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que</w:t>
      </w:r>
      <w:proofErr w:type="spellEnd"/>
      <w:r w:rsidRPr="00DA5777">
        <w:rPr>
          <w:i/>
        </w:rPr>
        <w:t xml:space="preserve"> se </w:t>
      </w:r>
      <w:proofErr w:type="spellStart"/>
      <w:r w:rsidRPr="00DA5777">
        <w:rPr>
          <w:i/>
        </w:rPr>
        <w:t>encarrega</w:t>
      </w:r>
      <w:proofErr w:type="spellEnd"/>
      <w:r w:rsidRPr="00DA5777">
        <w:rPr>
          <w:i/>
        </w:rPr>
        <w:t xml:space="preserve"> da </w:t>
      </w:r>
      <w:proofErr w:type="spellStart"/>
      <w:r w:rsidRPr="00DA5777">
        <w:rPr>
          <w:i/>
        </w:rPr>
        <w:t>investigação</w:t>
      </w:r>
      <w:proofErr w:type="spellEnd"/>
      <w:r w:rsidRPr="00DA5777">
        <w:rPr>
          <w:i/>
        </w:rPr>
        <w:t xml:space="preserve"> e </w:t>
      </w:r>
      <w:proofErr w:type="spellStart"/>
      <w:r w:rsidRPr="00DA5777">
        <w:rPr>
          <w:i/>
        </w:rPr>
        <w:t>desenvolvimento</w:t>
      </w:r>
      <w:proofErr w:type="spellEnd"/>
      <w:r w:rsidRPr="00DA5777">
        <w:rPr>
          <w:i/>
        </w:rPr>
        <w:t xml:space="preserve"> </w:t>
      </w:r>
      <w:proofErr w:type="gramStart"/>
      <w:r w:rsidRPr="00DA5777">
        <w:rPr>
          <w:i/>
        </w:rPr>
        <w:t>com</w:t>
      </w:r>
      <w:proofErr w:type="gram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implantação</w:t>
      </w:r>
      <w:proofErr w:type="spellEnd"/>
      <w:r w:rsidRPr="00DA5777">
        <w:rPr>
          <w:i/>
        </w:rPr>
        <w:t xml:space="preserve"> </w:t>
      </w:r>
      <w:proofErr w:type="spellStart"/>
      <w:r w:rsidRPr="00DA5777">
        <w:rPr>
          <w:i/>
        </w:rPr>
        <w:t>na</w:t>
      </w:r>
      <w:proofErr w:type="spellEnd"/>
      <w:r w:rsidRPr="00DA5777">
        <w:rPr>
          <w:i/>
        </w:rPr>
        <w:t xml:space="preserve"> Europa, </w:t>
      </w:r>
      <w:proofErr w:type="spellStart"/>
      <w:r w:rsidRPr="00DA5777">
        <w:rPr>
          <w:i/>
        </w:rPr>
        <w:t>América</w:t>
      </w:r>
      <w:proofErr w:type="spellEnd"/>
      <w:r w:rsidRPr="00DA5777">
        <w:rPr>
          <w:i/>
        </w:rPr>
        <w:t xml:space="preserve"> do Norte e </w:t>
      </w:r>
      <w:proofErr w:type="spellStart"/>
      <w:r w:rsidRPr="00DA5777">
        <w:rPr>
          <w:i/>
        </w:rPr>
        <w:t>Ásia</w:t>
      </w:r>
      <w:proofErr w:type="spellEnd"/>
      <w:r w:rsidRPr="00DA5777">
        <w:rPr>
          <w:i/>
        </w:rPr>
        <w:t xml:space="preserve"> (www.michelin.es).</w:t>
      </w:r>
    </w:p>
    <w:p w14:paraId="46A86F37" w14:textId="77777777" w:rsidR="001E5C06" w:rsidRPr="00BA52C2" w:rsidRDefault="001E5C06" w:rsidP="00BA52C2">
      <w:pPr>
        <w:adjustRightInd w:val="0"/>
        <w:snapToGrid w:val="0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46BF79A8" w14:textId="77777777" w:rsidR="001E5C06" w:rsidRPr="00BA52C2" w:rsidRDefault="001E5C06" w:rsidP="00BA52C2">
      <w:pPr>
        <w:adjustRightInd w:val="0"/>
        <w:snapToGrid w:val="0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3AAAF25B" w14:textId="77777777" w:rsidR="001E5C06" w:rsidRPr="00BA52C2" w:rsidRDefault="001E5C06" w:rsidP="00BA52C2">
      <w:pPr>
        <w:adjustRightInd w:val="0"/>
        <w:snapToGrid w:val="0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4B205C1C" w14:textId="77777777" w:rsidR="001E5C06" w:rsidRPr="00BA52C2" w:rsidRDefault="001E5C06" w:rsidP="00BA52C2">
      <w:pPr>
        <w:adjustRightInd w:val="0"/>
        <w:snapToGrid w:val="0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337A69DA" w14:textId="77777777" w:rsidR="001E5C06" w:rsidRPr="00BA52C2" w:rsidRDefault="001E5C06" w:rsidP="00BA52C2">
      <w:pPr>
        <w:adjustRightInd w:val="0"/>
        <w:snapToGrid w:val="0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</w:p>
    <w:p w14:paraId="7A3B9533" w14:textId="77777777" w:rsidR="001E5C06" w:rsidRPr="00BA52C2" w:rsidRDefault="001E5C06" w:rsidP="00BA52C2">
      <w:pPr>
        <w:adjustRightInd w:val="0"/>
        <w:snapToGrid w:val="0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bookmarkStart w:id="0" w:name="_GoBack"/>
      <w:bookmarkEnd w:id="0"/>
    </w:p>
    <w:p w14:paraId="5AD7D0E5" w14:textId="77777777" w:rsidR="001E5C06" w:rsidRPr="00DA5777" w:rsidRDefault="001E5C06" w:rsidP="00DA5777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DA5777">
        <w:rPr>
          <w:rFonts w:ascii="Arial" w:hAnsi="Arial"/>
          <w:b/>
          <w:bCs/>
          <w:color w:val="808080"/>
          <w:sz w:val="18"/>
          <w:szCs w:val="18"/>
        </w:rPr>
        <w:t>DEPARTAMENTO DE COMUNICAÇÃO</w:t>
      </w:r>
    </w:p>
    <w:p w14:paraId="2475B556" w14:textId="77777777" w:rsidR="001E5C06" w:rsidRPr="00DA5777" w:rsidRDefault="001E5C06" w:rsidP="00DA5777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DA5777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DA5777">
        <w:rPr>
          <w:rFonts w:ascii="Arial" w:hAnsi="Arial"/>
          <w:bCs/>
          <w:color w:val="808080"/>
          <w:sz w:val="18"/>
          <w:szCs w:val="18"/>
        </w:rPr>
        <w:t xml:space="preserve">. de Los </w:t>
      </w:r>
      <w:proofErr w:type="spellStart"/>
      <w:r w:rsidRPr="00DA5777">
        <w:rPr>
          <w:rFonts w:ascii="Arial" w:hAnsi="Arial"/>
          <w:bCs/>
          <w:color w:val="808080"/>
          <w:sz w:val="18"/>
          <w:szCs w:val="18"/>
        </w:rPr>
        <w:t>Encuartes</w:t>
      </w:r>
      <w:proofErr w:type="spellEnd"/>
      <w:r w:rsidRPr="00DA5777">
        <w:rPr>
          <w:rFonts w:ascii="Arial" w:hAnsi="Arial"/>
          <w:bCs/>
          <w:color w:val="808080"/>
          <w:sz w:val="18"/>
          <w:szCs w:val="18"/>
        </w:rPr>
        <w:t>, 19</w:t>
      </w:r>
    </w:p>
    <w:p w14:paraId="52BA7D68" w14:textId="77777777" w:rsidR="001E5C06" w:rsidRPr="00DA5777" w:rsidRDefault="001E5C06" w:rsidP="00DA5777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A5777">
        <w:rPr>
          <w:rFonts w:ascii="Arial" w:hAnsi="Arial"/>
          <w:bCs/>
          <w:color w:val="808080"/>
          <w:sz w:val="18"/>
          <w:szCs w:val="18"/>
        </w:rPr>
        <w:t xml:space="preserve">28760 </w:t>
      </w:r>
      <w:proofErr w:type="spellStart"/>
      <w:r w:rsidRPr="00DA5777">
        <w:rPr>
          <w:rFonts w:ascii="Arial" w:hAnsi="Arial"/>
          <w:bCs/>
          <w:color w:val="808080"/>
          <w:sz w:val="18"/>
          <w:szCs w:val="18"/>
        </w:rPr>
        <w:t>Tres</w:t>
      </w:r>
      <w:proofErr w:type="spellEnd"/>
      <w:r w:rsidRPr="00DA5777">
        <w:rPr>
          <w:rFonts w:ascii="Arial" w:hAnsi="Arial"/>
          <w:bCs/>
          <w:color w:val="808080"/>
          <w:sz w:val="18"/>
          <w:szCs w:val="18"/>
        </w:rPr>
        <w:t xml:space="preserve"> Cantos – Madrid – ESPANHA</w:t>
      </w:r>
    </w:p>
    <w:p w14:paraId="5769DE77" w14:textId="77777777" w:rsidR="001466B0" w:rsidRPr="00DA5777" w:rsidRDefault="001E5C06" w:rsidP="00DA5777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A5777">
        <w:rPr>
          <w:rFonts w:ascii="Arial" w:hAnsi="Arial"/>
          <w:bCs/>
          <w:color w:val="808080"/>
          <w:sz w:val="18"/>
          <w:szCs w:val="18"/>
        </w:rPr>
        <w:t>Tel.: 0034 914 105 167 – Fax: 0034 914 105 293</w:t>
      </w:r>
    </w:p>
    <w:sectPr w:rsidR="001466B0" w:rsidRPr="00DA5777" w:rsidSect="001466B0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66A6" w14:textId="77777777" w:rsidR="00DA5777" w:rsidRDefault="00DA5777" w:rsidP="001466B0">
      <w:r>
        <w:separator/>
      </w:r>
    </w:p>
  </w:endnote>
  <w:endnote w:type="continuationSeparator" w:id="0">
    <w:p w14:paraId="5B5753DB" w14:textId="77777777" w:rsidR="00DA5777" w:rsidRDefault="00DA5777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9FED" w14:textId="77777777" w:rsidR="00DA5777" w:rsidRDefault="00DA577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6841241" w14:textId="77777777" w:rsidR="00DA5777" w:rsidRDefault="00DA577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86BD" w14:textId="77777777" w:rsidR="00DA5777" w:rsidRDefault="00DA577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E0797">
      <w:rPr>
        <w:rStyle w:val="Nmerodepgina"/>
        <w:noProof/>
        <w:lang w:val="pt"/>
      </w:rPr>
      <w:t>11</w:t>
    </w:r>
    <w:r>
      <w:rPr>
        <w:rStyle w:val="Nmerodepgina"/>
        <w:lang w:val="pt"/>
      </w:rPr>
      <w:fldChar w:fldCharType="end"/>
    </w:r>
  </w:p>
  <w:p w14:paraId="5FDFF88B" w14:textId="77777777" w:rsidR="00DA5777" w:rsidRPr="00096802" w:rsidRDefault="00DA5777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A4A2168" wp14:editId="68F08C2A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5359" w14:textId="77777777" w:rsidR="00DA5777" w:rsidRDefault="00DA5777" w:rsidP="001466B0">
      <w:r>
        <w:separator/>
      </w:r>
    </w:p>
  </w:footnote>
  <w:footnote w:type="continuationSeparator" w:id="0">
    <w:p w14:paraId="3CC81E86" w14:textId="77777777" w:rsidR="00DA5777" w:rsidRDefault="00DA5777" w:rsidP="001466B0">
      <w:r>
        <w:continuationSeparator/>
      </w:r>
    </w:p>
  </w:footnote>
  <w:footnote w:id="1">
    <w:p w14:paraId="6F3E0AFC" w14:textId="77777777" w:rsidR="00DA5777" w:rsidRDefault="00DA5777" w:rsidP="00BF4FFF">
      <w:pPr>
        <w:pStyle w:val="Textonotapie"/>
      </w:pPr>
      <w:r>
        <w:rPr>
          <w:rStyle w:val="Refdenotaalpie"/>
          <w:sz w:val="32"/>
          <w:vertAlign w:val="baseline"/>
          <w:lang w:val="pt"/>
        </w:rPr>
        <w:sym w:font="Symbol" w:char="F02A"/>
      </w:r>
      <w:r>
        <w:rPr>
          <w:sz w:val="32"/>
          <w:lang w:val="pt"/>
        </w:rPr>
        <w:t xml:space="preserve"> </w:t>
      </w:r>
      <w:r>
        <w:rPr>
          <w:sz w:val="16"/>
          <w:lang w:val="pt"/>
        </w:rPr>
        <w:t>Incluindo a Rússia e a Turquia.</w:t>
      </w:r>
    </w:p>
  </w:footnote>
  <w:footnote w:id="2">
    <w:p w14:paraId="3A385CAF" w14:textId="77777777" w:rsidR="00DA5777" w:rsidRDefault="00DA5777" w:rsidP="00BF4FFF">
      <w:pPr>
        <w:pStyle w:val="Textonotapie"/>
      </w:pPr>
    </w:p>
  </w:footnote>
  <w:footnote w:id="3">
    <w:p w14:paraId="1F487839" w14:textId="77777777" w:rsidR="00DA5777" w:rsidRDefault="00DA5777" w:rsidP="00BF4FFF">
      <w:pPr>
        <w:pStyle w:val="Textonotapie"/>
      </w:pPr>
      <w:r>
        <w:rPr>
          <w:sz w:val="30"/>
          <w:lang w:val="pt"/>
        </w:rPr>
        <w:t xml:space="preserve">* </w:t>
      </w:r>
      <w:r>
        <w:rPr>
          <w:sz w:val="16"/>
          <w:lang w:val="pt"/>
        </w:rPr>
        <w:t>Mercado radial unicamente.</w:t>
      </w:r>
      <w:r>
        <w:rPr>
          <w:sz w:val="16"/>
          <w:lang w:val="pt"/>
        </w:rPr>
        <w:br/>
      </w:r>
      <w:r>
        <w:rPr>
          <w:sz w:val="30"/>
          <w:lang w:val="pt"/>
        </w:rPr>
        <w:t>**</w:t>
      </w:r>
      <w:r>
        <w:rPr>
          <w:sz w:val="16"/>
          <w:lang w:val="pt"/>
        </w:rPr>
        <w:t>Incluindo a Rússia e a Turquia.</w:t>
      </w:r>
    </w:p>
  </w:footnote>
  <w:footnote w:id="4">
    <w:p w14:paraId="3A38E398" w14:textId="77777777" w:rsidR="00DA5777" w:rsidRDefault="00DA5777" w:rsidP="00BF4FFF">
      <w:pPr>
        <w:pStyle w:val="Textonotapie"/>
      </w:pPr>
    </w:p>
  </w:footnote>
  <w:footnote w:id="5">
    <w:p w14:paraId="33802399" w14:textId="77777777" w:rsidR="00DA5777" w:rsidRDefault="00DA5777" w:rsidP="00BF4FFF">
      <w:pPr>
        <w:pStyle w:val="Textonotapie"/>
      </w:pPr>
    </w:p>
  </w:footnote>
  <w:footnote w:id="6">
    <w:p w14:paraId="55E27534" w14:textId="77777777" w:rsidR="00DA5777" w:rsidRDefault="00DA5777" w:rsidP="00BF4FFF">
      <w:pPr>
        <w:pStyle w:val="Textonotapie"/>
      </w:pPr>
    </w:p>
  </w:footnote>
  <w:footnote w:id="7">
    <w:p w14:paraId="6BB736D0" w14:textId="77777777" w:rsidR="00DA5777" w:rsidRDefault="00DA5777" w:rsidP="00BF4FFF">
      <w:pPr>
        <w:pStyle w:val="Textonotapie"/>
      </w:pPr>
    </w:p>
  </w:footnote>
  <w:footnote w:id="8">
    <w:p w14:paraId="6EBEAB1E" w14:textId="77777777" w:rsidR="00DA5777" w:rsidRDefault="00DA5777" w:rsidP="00BF4FFF">
      <w:pPr>
        <w:pStyle w:val="Textonotapie"/>
      </w:pPr>
      <w:r>
        <w:rPr>
          <w:rStyle w:val="Refdenotaalpie"/>
          <w:sz w:val="30"/>
          <w:vertAlign w:val="baseline"/>
          <w:lang w:val="pt"/>
        </w:rPr>
        <w:sym w:font="Symbol" w:char="F02A"/>
      </w:r>
      <w:r>
        <w:rPr>
          <w:sz w:val="30"/>
          <w:lang w:val="pt"/>
        </w:rPr>
        <w:t xml:space="preserve"> </w:t>
      </w:r>
      <w:r>
        <w:rPr>
          <w:sz w:val="16"/>
          <w:lang w:val="pt"/>
        </w:rPr>
        <w:t>Em toneladas.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535" w14:textId="77777777" w:rsidR="00DA5777" w:rsidRDefault="00DA5777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E0D8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894EE884"/>
    <w:lvl w:ilvl="0">
      <w:start w:val="1"/>
      <w:numFmt w:val="bullet"/>
      <w:lvlText w:val="•"/>
      <w:lvlJc w:val="left"/>
      <w:pPr>
        <w:tabs>
          <w:tab w:val="num" w:pos="282"/>
        </w:tabs>
        <w:ind w:left="282" w:firstLine="426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BC5C6D"/>
    <w:multiLevelType w:val="hybridMultilevel"/>
    <w:tmpl w:val="80D03DF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54104"/>
    <w:multiLevelType w:val="multilevel"/>
    <w:tmpl w:val="B9ACB3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Helvetica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E17814"/>
    <w:multiLevelType w:val="hybridMultilevel"/>
    <w:tmpl w:val="7C4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D26DE"/>
    <w:multiLevelType w:val="hybridMultilevel"/>
    <w:tmpl w:val="8340B5B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08427172"/>
    <w:multiLevelType w:val="hybridMultilevel"/>
    <w:tmpl w:val="EDE4CA4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685B57"/>
    <w:multiLevelType w:val="multilevel"/>
    <w:tmpl w:val="80D0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AE7A75"/>
    <w:multiLevelType w:val="hybridMultilevel"/>
    <w:tmpl w:val="78F60AA4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9CA036E"/>
    <w:multiLevelType w:val="hybridMultilevel"/>
    <w:tmpl w:val="96141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A4632"/>
    <w:multiLevelType w:val="hybridMultilevel"/>
    <w:tmpl w:val="FEF0FB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E54A1"/>
    <w:multiLevelType w:val="hybridMultilevel"/>
    <w:tmpl w:val="D2A82BA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5C63A1"/>
    <w:multiLevelType w:val="hybridMultilevel"/>
    <w:tmpl w:val="C0C4C3A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4B545B3"/>
    <w:multiLevelType w:val="multilevel"/>
    <w:tmpl w:val="5AC8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6644F95"/>
    <w:multiLevelType w:val="hybridMultilevel"/>
    <w:tmpl w:val="4B10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30BFD"/>
    <w:multiLevelType w:val="multilevel"/>
    <w:tmpl w:val="80D0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6E1608"/>
    <w:multiLevelType w:val="multilevel"/>
    <w:tmpl w:val="D360CA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E12045"/>
    <w:multiLevelType w:val="multilevel"/>
    <w:tmpl w:val="1A4059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93FD6"/>
    <w:multiLevelType w:val="hybridMultilevel"/>
    <w:tmpl w:val="261C7500"/>
    <w:lvl w:ilvl="0" w:tplc="E5D0F6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3C70D4"/>
    <w:multiLevelType w:val="hybridMultilevel"/>
    <w:tmpl w:val="AC469F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E822BE"/>
    <w:multiLevelType w:val="hybridMultilevel"/>
    <w:tmpl w:val="1DE2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E1330"/>
    <w:multiLevelType w:val="hybridMultilevel"/>
    <w:tmpl w:val="B9ACB336"/>
    <w:lvl w:ilvl="0" w:tplc="E8220E3E">
      <w:start w:val="1"/>
      <w:numFmt w:val="bullet"/>
      <w:pStyle w:val="List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840D5A"/>
    <w:multiLevelType w:val="hybridMultilevel"/>
    <w:tmpl w:val="AE7A1F10"/>
    <w:lvl w:ilvl="0" w:tplc="000B040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943B87"/>
    <w:multiLevelType w:val="hybridMultilevel"/>
    <w:tmpl w:val="75E07ACE"/>
    <w:lvl w:ilvl="0" w:tplc="E8220E3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95FA7"/>
    <w:multiLevelType w:val="hybridMultilevel"/>
    <w:tmpl w:val="383A7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F0B78"/>
    <w:multiLevelType w:val="hybridMultilevel"/>
    <w:tmpl w:val="9D44D6C4"/>
    <w:lvl w:ilvl="0" w:tplc="6D583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9708A"/>
    <w:multiLevelType w:val="hybridMultilevel"/>
    <w:tmpl w:val="5E74E388"/>
    <w:lvl w:ilvl="0" w:tplc="0A6AFBA8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978F0"/>
    <w:multiLevelType w:val="multilevel"/>
    <w:tmpl w:val="80D03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280744"/>
    <w:multiLevelType w:val="multilevel"/>
    <w:tmpl w:val="1A4059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66597"/>
    <w:multiLevelType w:val="hybridMultilevel"/>
    <w:tmpl w:val="56CAE76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D52932"/>
    <w:multiLevelType w:val="hybridMultilevel"/>
    <w:tmpl w:val="55704128"/>
    <w:lvl w:ilvl="0" w:tplc="FFFFFFFF">
      <w:start w:val="1"/>
      <w:numFmt w:val="bullet"/>
      <w:pStyle w:val="Bulletpoin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8"/>
  </w:num>
  <w:num w:numId="5">
    <w:abstractNumId w:val="21"/>
  </w:num>
  <w:num w:numId="6">
    <w:abstractNumId w:val="33"/>
  </w:num>
  <w:num w:numId="7">
    <w:abstractNumId w:val="24"/>
  </w:num>
  <w:num w:numId="8">
    <w:abstractNumId w:val="6"/>
  </w:num>
  <w:num w:numId="9">
    <w:abstractNumId w:val="3"/>
  </w:num>
  <w:num w:numId="10">
    <w:abstractNumId w:val="12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9"/>
  </w:num>
  <w:num w:numId="19">
    <w:abstractNumId w:val="15"/>
  </w:num>
  <w:num w:numId="20">
    <w:abstractNumId w:val="30"/>
  </w:num>
  <w:num w:numId="21">
    <w:abstractNumId w:val="18"/>
  </w:num>
  <w:num w:numId="22">
    <w:abstractNumId w:val="9"/>
  </w:num>
  <w:num w:numId="23">
    <w:abstractNumId w:val="25"/>
  </w:num>
  <w:num w:numId="24">
    <w:abstractNumId w:val="7"/>
  </w:num>
  <w:num w:numId="25">
    <w:abstractNumId w:val="10"/>
  </w:num>
  <w:num w:numId="26">
    <w:abstractNumId w:val="19"/>
  </w:num>
  <w:num w:numId="27">
    <w:abstractNumId w:val="28"/>
  </w:num>
  <w:num w:numId="28">
    <w:abstractNumId w:val="31"/>
  </w:num>
  <w:num w:numId="29">
    <w:abstractNumId w:val="20"/>
  </w:num>
  <w:num w:numId="30">
    <w:abstractNumId w:val="14"/>
  </w:num>
  <w:num w:numId="31">
    <w:abstractNumId w:val="11"/>
  </w:num>
  <w:num w:numId="32">
    <w:abstractNumId w:val="1"/>
  </w:num>
  <w:num w:numId="33">
    <w:abstractNumId w:val="2"/>
  </w:num>
  <w:num w:numId="34">
    <w:abstractNumId w:val="5"/>
  </w:num>
  <w:num w:numId="35">
    <w:abstractNumId w:val="17"/>
  </w:num>
  <w:num w:numId="36">
    <w:abstractNumId w:val="27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1C2"/>
    <w:rsid w:val="00007A97"/>
    <w:rsid w:val="00010858"/>
    <w:rsid w:val="00015BBC"/>
    <w:rsid w:val="00015E4A"/>
    <w:rsid w:val="0002104F"/>
    <w:rsid w:val="00030FE9"/>
    <w:rsid w:val="000339DF"/>
    <w:rsid w:val="00037AE7"/>
    <w:rsid w:val="00041DD1"/>
    <w:rsid w:val="0004225F"/>
    <w:rsid w:val="00044716"/>
    <w:rsid w:val="0004758F"/>
    <w:rsid w:val="000516E6"/>
    <w:rsid w:val="00057819"/>
    <w:rsid w:val="00060D6B"/>
    <w:rsid w:val="00071E6F"/>
    <w:rsid w:val="0007577E"/>
    <w:rsid w:val="00076716"/>
    <w:rsid w:val="0008016F"/>
    <w:rsid w:val="00085FBF"/>
    <w:rsid w:val="00090294"/>
    <w:rsid w:val="000949CF"/>
    <w:rsid w:val="000A7FA6"/>
    <w:rsid w:val="000B10AC"/>
    <w:rsid w:val="000B28D6"/>
    <w:rsid w:val="000C34E6"/>
    <w:rsid w:val="000C6EC8"/>
    <w:rsid w:val="000C7AD8"/>
    <w:rsid w:val="000D00A2"/>
    <w:rsid w:val="000D4F3F"/>
    <w:rsid w:val="000D57CD"/>
    <w:rsid w:val="000E1929"/>
    <w:rsid w:val="000E197B"/>
    <w:rsid w:val="000E324E"/>
    <w:rsid w:val="000E462D"/>
    <w:rsid w:val="000F37CE"/>
    <w:rsid w:val="000F42D3"/>
    <w:rsid w:val="00107A76"/>
    <w:rsid w:val="00107C3F"/>
    <w:rsid w:val="001136C4"/>
    <w:rsid w:val="00114BDA"/>
    <w:rsid w:val="00127A86"/>
    <w:rsid w:val="0013210B"/>
    <w:rsid w:val="0013303A"/>
    <w:rsid w:val="00135B6F"/>
    <w:rsid w:val="00143FBC"/>
    <w:rsid w:val="0014641C"/>
    <w:rsid w:val="001466B0"/>
    <w:rsid w:val="0017399C"/>
    <w:rsid w:val="0017609D"/>
    <w:rsid w:val="00181433"/>
    <w:rsid w:val="00190783"/>
    <w:rsid w:val="0019532C"/>
    <w:rsid w:val="00195E54"/>
    <w:rsid w:val="00196232"/>
    <w:rsid w:val="00197887"/>
    <w:rsid w:val="001A6210"/>
    <w:rsid w:val="001C4A05"/>
    <w:rsid w:val="001C518F"/>
    <w:rsid w:val="001C70DE"/>
    <w:rsid w:val="001C76EB"/>
    <w:rsid w:val="001D2A66"/>
    <w:rsid w:val="001D3038"/>
    <w:rsid w:val="001E0A40"/>
    <w:rsid w:val="001E3147"/>
    <w:rsid w:val="001E36CE"/>
    <w:rsid w:val="001E5C06"/>
    <w:rsid w:val="001E6263"/>
    <w:rsid w:val="001E7965"/>
    <w:rsid w:val="00205788"/>
    <w:rsid w:val="00210022"/>
    <w:rsid w:val="00215138"/>
    <w:rsid w:val="00220016"/>
    <w:rsid w:val="0022106F"/>
    <w:rsid w:val="002212B2"/>
    <w:rsid w:val="0022145A"/>
    <w:rsid w:val="00223CDE"/>
    <w:rsid w:val="00230E79"/>
    <w:rsid w:val="002318E6"/>
    <w:rsid w:val="00232ADB"/>
    <w:rsid w:val="00240601"/>
    <w:rsid w:val="002418D2"/>
    <w:rsid w:val="002420FF"/>
    <w:rsid w:val="00243244"/>
    <w:rsid w:val="002435F5"/>
    <w:rsid w:val="00245B87"/>
    <w:rsid w:val="00245F15"/>
    <w:rsid w:val="00250B55"/>
    <w:rsid w:val="0025594D"/>
    <w:rsid w:val="002725F7"/>
    <w:rsid w:val="00274F86"/>
    <w:rsid w:val="00275F6E"/>
    <w:rsid w:val="00281609"/>
    <w:rsid w:val="0028355D"/>
    <w:rsid w:val="002935CF"/>
    <w:rsid w:val="002943F9"/>
    <w:rsid w:val="002A59A5"/>
    <w:rsid w:val="002B49AF"/>
    <w:rsid w:val="002C0D1C"/>
    <w:rsid w:val="002C158D"/>
    <w:rsid w:val="002D4C72"/>
    <w:rsid w:val="002D6DAE"/>
    <w:rsid w:val="002D7F17"/>
    <w:rsid w:val="002E24D1"/>
    <w:rsid w:val="002E5CDD"/>
    <w:rsid w:val="002F41C9"/>
    <w:rsid w:val="002F4395"/>
    <w:rsid w:val="002F43CF"/>
    <w:rsid w:val="00317EA3"/>
    <w:rsid w:val="0032029D"/>
    <w:rsid w:val="003237DA"/>
    <w:rsid w:val="0032791B"/>
    <w:rsid w:val="00333B33"/>
    <w:rsid w:val="00335C44"/>
    <w:rsid w:val="003424E0"/>
    <w:rsid w:val="00346426"/>
    <w:rsid w:val="00347230"/>
    <w:rsid w:val="00353ABD"/>
    <w:rsid w:val="00354077"/>
    <w:rsid w:val="00356BBC"/>
    <w:rsid w:val="00360759"/>
    <w:rsid w:val="00362327"/>
    <w:rsid w:val="00370184"/>
    <w:rsid w:val="003778E2"/>
    <w:rsid w:val="003907E0"/>
    <w:rsid w:val="00396B43"/>
    <w:rsid w:val="003A2DD8"/>
    <w:rsid w:val="003B5B09"/>
    <w:rsid w:val="003B5BDF"/>
    <w:rsid w:val="003B6E33"/>
    <w:rsid w:val="003B75A5"/>
    <w:rsid w:val="003B7AE2"/>
    <w:rsid w:val="003B7BF4"/>
    <w:rsid w:val="003C77E2"/>
    <w:rsid w:val="003E244C"/>
    <w:rsid w:val="003E5696"/>
    <w:rsid w:val="004019D6"/>
    <w:rsid w:val="00406D92"/>
    <w:rsid w:val="00424758"/>
    <w:rsid w:val="00426890"/>
    <w:rsid w:val="004275D7"/>
    <w:rsid w:val="00440D50"/>
    <w:rsid w:val="00444E3F"/>
    <w:rsid w:val="00444F58"/>
    <w:rsid w:val="00445219"/>
    <w:rsid w:val="00447427"/>
    <w:rsid w:val="00451A2C"/>
    <w:rsid w:val="0045220E"/>
    <w:rsid w:val="004612EF"/>
    <w:rsid w:val="004624C7"/>
    <w:rsid w:val="00474C06"/>
    <w:rsid w:val="004772F6"/>
    <w:rsid w:val="00480F86"/>
    <w:rsid w:val="00483F11"/>
    <w:rsid w:val="004846D5"/>
    <w:rsid w:val="00485325"/>
    <w:rsid w:val="004874C3"/>
    <w:rsid w:val="004C169B"/>
    <w:rsid w:val="004C25AB"/>
    <w:rsid w:val="004D7256"/>
    <w:rsid w:val="004E1D73"/>
    <w:rsid w:val="004E3B20"/>
    <w:rsid w:val="004E3C7B"/>
    <w:rsid w:val="004F197A"/>
    <w:rsid w:val="00502C49"/>
    <w:rsid w:val="00502DF3"/>
    <w:rsid w:val="0050426F"/>
    <w:rsid w:val="005046D7"/>
    <w:rsid w:val="0051462D"/>
    <w:rsid w:val="005160DC"/>
    <w:rsid w:val="005171A9"/>
    <w:rsid w:val="0054114F"/>
    <w:rsid w:val="00541F4C"/>
    <w:rsid w:val="005444BA"/>
    <w:rsid w:val="00544834"/>
    <w:rsid w:val="00555192"/>
    <w:rsid w:val="0056033E"/>
    <w:rsid w:val="005607C4"/>
    <w:rsid w:val="00560C29"/>
    <w:rsid w:val="0058271E"/>
    <w:rsid w:val="005834C2"/>
    <w:rsid w:val="00585178"/>
    <w:rsid w:val="00594FDE"/>
    <w:rsid w:val="005A2A52"/>
    <w:rsid w:val="005A33C5"/>
    <w:rsid w:val="005A6799"/>
    <w:rsid w:val="005B5875"/>
    <w:rsid w:val="005C29EF"/>
    <w:rsid w:val="005E008B"/>
    <w:rsid w:val="005E0797"/>
    <w:rsid w:val="005E0994"/>
    <w:rsid w:val="005E306E"/>
    <w:rsid w:val="005F7D53"/>
    <w:rsid w:val="0061224B"/>
    <w:rsid w:val="00617CF6"/>
    <w:rsid w:val="00626C26"/>
    <w:rsid w:val="00630B5D"/>
    <w:rsid w:val="0065522E"/>
    <w:rsid w:val="0066336F"/>
    <w:rsid w:val="006678D2"/>
    <w:rsid w:val="0067477A"/>
    <w:rsid w:val="006748AD"/>
    <w:rsid w:val="0067572B"/>
    <w:rsid w:val="0068371D"/>
    <w:rsid w:val="00684C91"/>
    <w:rsid w:val="00690983"/>
    <w:rsid w:val="00692C86"/>
    <w:rsid w:val="00695481"/>
    <w:rsid w:val="00697D71"/>
    <w:rsid w:val="006A065B"/>
    <w:rsid w:val="006A23D9"/>
    <w:rsid w:val="006C08F0"/>
    <w:rsid w:val="006C21B6"/>
    <w:rsid w:val="006C5630"/>
    <w:rsid w:val="006C75FE"/>
    <w:rsid w:val="006D2E90"/>
    <w:rsid w:val="006D3988"/>
    <w:rsid w:val="006D4B29"/>
    <w:rsid w:val="006D6311"/>
    <w:rsid w:val="006E3A8B"/>
    <w:rsid w:val="006E662F"/>
    <w:rsid w:val="006E703C"/>
    <w:rsid w:val="006E7102"/>
    <w:rsid w:val="006F2092"/>
    <w:rsid w:val="006F6A50"/>
    <w:rsid w:val="00702659"/>
    <w:rsid w:val="00703CEA"/>
    <w:rsid w:val="00705CDE"/>
    <w:rsid w:val="007106B6"/>
    <w:rsid w:val="00733335"/>
    <w:rsid w:val="00736021"/>
    <w:rsid w:val="00737803"/>
    <w:rsid w:val="0074327B"/>
    <w:rsid w:val="007513F8"/>
    <w:rsid w:val="007536A9"/>
    <w:rsid w:val="00753FC8"/>
    <w:rsid w:val="00762935"/>
    <w:rsid w:val="0076510B"/>
    <w:rsid w:val="007665E7"/>
    <w:rsid w:val="00777785"/>
    <w:rsid w:val="00795FF8"/>
    <w:rsid w:val="00797265"/>
    <w:rsid w:val="007A17D2"/>
    <w:rsid w:val="007A2B37"/>
    <w:rsid w:val="007A2F70"/>
    <w:rsid w:val="007B2378"/>
    <w:rsid w:val="007B44FB"/>
    <w:rsid w:val="007B6199"/>
    <w:rsid w:val="007C0FB5"/>
    <w:rsid w:val="007C20B9"/>
    <w:rsid w:val="007C57A5"/>
    <w:rsid w:val="007D2421"/>
    <w:rsid w:val="007D685D"/>
    <w:rsid w:val="007E00E0"/>
    <w:rsid w:val="007E5870"/>
    <w:rsid w:val="007E746F"/>
    <w:rsid w:val="007F3442"/>
    <w:rsid w:val="007F3909"/>
    <w:rsid w:val="007F46A3"/>
    <w:rsid w:val="00806CFC"/>
    <w:rsid w:val="00807DCE"/>
    <w:rsid w:val="0082016C"/>
    <w:rsid w:val="00854FA3"/>
    <w:rsid w:val="00855CA4"/>
    <w:rsid w:val="00855CB0"/>
    <w:rsid w:val="008602B5"/>
    <w:rsid w:val="00895D5A"/>
    <w:rsid w:val="0089790C"/>
    <w:rsid w:val="008B152B"/>
    <w:rsid w:val="008B1FB2"/>
    <w:rsid w:val="008B3312"/>
    <w:rsid w:val="008C015B"/>
    <w:rsid w:val="008C02F6"/>
    <w:rsid w:val="008C54CE"/>
    <w:rsid w:val="008D0B48"/>
    <w:rsid w:val="008D5BA0"/>
    <w:rsid w:val="008F1D3E"/>
    <w:rsid w:val="008F1DE9"/>
    <w:rsid w:val="008F5110"/>
    <w:rsid w:val="008F740D"/>
    <w:rsid w:val="00902480"/>
    <w:rsid w:val="009026F0"/>
    <w:rsid w:val="0091522E"/>
    <w:rsid w:val="00917FBC"/>
    <w:rsid w:val="00922876"/>
    <w:rsid w:val="00926D20"/>
    <w:rsid w:val="00927383"/>
    <w:rsid w:val="00934029"/>
    <w:rsid w:val="00936DCA"/>
    <w:rsid w:val="00940D8D"/>
    <w:rsid w:val="00951E7D"/>
    <w:rsid w:val="00962600"/>
    <w:rsid w:val="00966434"/>
    <w:rsid w:val="009668B7"/>
    <w:rsid w:val="0097095B"/>
    <w:rsid w:val="00972244"/>
    <w:rsid w:val="00983D3C"/>
    <w:rsid w:val="0098598E"/>
    <w:rsid w:val="009863D2"/>
    <w:rsid w:val="00986CF5"/>
    <w:rsid w:val="009A0417"/>
    <w:rsid w:val="009A15E2"/>
    <w:rsid w:val="009A682C"/>
    <w:rsid w:val="009A76BF"/>
    <w:rsid w:val="009B0252"/>
    <w:rsid w:val="009B3FDB"/>
    <w:rsid w:val="009B5399"/>
    <w:rsid w:val="009B73F7"/>
    <w:rsid w:val="009C0B59"/>
    <w:rsid w:val="009C1B89"/>
    <w:rsid w:val="009C252A"/>
    <w:rsid w:val="009C48BF"/>
    <w:rsid w:val="009D0195"/>
    <w:rsid w:val="009D4587"/>
    <w:rsid w:val="009D5894"/>
    <w:rsid w:val="009D669D"/>
    <w:rsid w:val="009D7626"/>
    <w:rsid w:val="009E37B8"/>
    <w:rsid w:val="009E489C"/>
    <w:rsid w:val="009E4A28"/>
    <w:rsid w:val="009E4FF9"/>
    <w:rsid w:val="009E6383"/>
    <w:rsid w:val="00A0019E"/>
    <w:rsid w:val="00A01143"/>
    <w:rsid w:val="00A01AEF"/>
    <w:rsid w:val="00A03A11"/>
    <w:rsid w:val="00A143D6"/>
    <w:rsid w:val="00A1677B"/>
    <w:rsid w:val="00A238E9"/>
    <w:rsid w:val="00A27E29"/>
    <w:rsid w:val="00A30CDD"/>
    <w:rsid w:val="00A30E26"/>
    <w:rsid w:val="00A32B12"/>
    <w:rsid w:val="00A368D4"/>
    <w:rsid w:val="00A42D25"/>
    <w:rsid w:val="00A45155"/>
    <w:rsid w:val="00A5211A"/>
    <w:rsid w:val="00A64967"/>
    <w:rsid w:val="00A73BBE"/>
    <w:rsid w:val="00A74F88"/>
    <w:rsid w:val="00A8133F"/>
    <w:rsid w:val="00A84066"/>
    <w:rsid w:val="00A94F5F"/>
    <w:rsid w:val="00A94F9D"/>
    <w:rsid w:val="00AB154E"/>
    <w:rsid w:val="00AB2B46"/>
    <w:rsid w:val="00AB375E"/>
    <w:rsid w:val="00AB6D7C"/>
    <w:rsid w:val="00AC13EE"/>
    <w:rsid w:val="00AC1460"/>
    <w:rsid w:val="00AE4CC0"/>
    <w:rsid w:val="00AE5508"/>
    <w:rsid w:val="00AF2864"/>
    <w:rsid w:val="00AF6BFF"/>
    <w:rsid w:val="00AF6CDA"/>
    <w:rsid w:val="00B1212B"/>
    <w:rsid w:val="00B121CD"/>
    <w:rsid w:val="00B16D65"/>
    <w:rsid w:val="00B20204"/>
    <w:rsid w:val="00B24343"/>
    <w:rsid w:val="00B310EA"/>
    <w:rsid w:val="00B37C1C"/>
    <w:rsid w:val="00B400C9"/>
    <w:rsid w:val="00B43C7A"/>
    <w:rsid w:val="00B5121E"/>
    <w:rsid w:val="00B527E0"/>
    <w:rsid w:val="00B54A11"/>
    <w:rsid w:val="00B7758D"/>
    <w:rsid w:val="00B97474"/>
    <w:rsid w:val="00BA05B9"/>
    <w:rsid w:val="00BA27C4"/>
    <w:rsid w:val="00BA52C2"/>
    <w:rsid w:val="00BB0C8D"/>
    <w:rsid w:val="00BB21DF"/>
    <w:rsid w:val="00BD1118"/>
    <w:rsid w:val="00BD2C23"/>
    <w:rsid w:val="00BF0A95"/>
    <w:rsid w:val="00BF2585"/>
    <w:rsid w:val="00BF4FFF"/>
    <w:rsid w:val="00BF7F71"/>
    <w:rsid w:val="00C02106"/>
    <w:rsid w:val="00C07354"/>
    <w:rsid w:val="00C1248E"/>
    <w:rsid w:val="00C12509"/>
    <w:rsid w:val="00C16660"/>
    <w:rsid w:val="00C1752A"/>
    <w:rsid w:val="00C42E4C"/>
    <w:rsid w:val="00C43F91"/>
    <w:rsid w:val="00C508C9"/>
    <w:rsid w:val="00C52C7F"/>
    <w:rsid w:val="00C5360F"/>
    <w:rsid w:val="00C54867"/>
    <w:rsid w:val="00C554D1"/>
    <w:rsid w:val="00C74752"/>
    <w:rsid w:val="00C774E4"/>
    <w:rsid w:val="00C846BD"/>
    <w:rsid w:val="00C9574B"/>
    <w:rsid w:val="00CA4A61"/>
    <w:rsid w:val="00CA5B7F"/>
    <w:rsid w:val="00CA5F03"/>
    <w:rsid w:val="00CA5F4D"/>
    <w:rsid w:val="00CB17ED"/>
    <w:rsid w:val="00CB59BD"/>
    <w:rsid w:val="00CD640A"/>
    <w:rsid w:val="00CE028A"/>
    <w:rsid w:val="00CE2A7B"/>
    <w:rsid w:val="00CE7CF3"/>
    <w:rsid w:val="00CF72BB"/>
    <w:rsid w:val="00D04B52"/>
    <w:rsid w:val="00D2430F"/>
    <w:rsid w:val="00D26DEA"/>
    <w:rsid w:val="00D44452"/>
    <w:rsid w:val="00D461D3"/>
    <w:rsid w:val="00D53232"/>
    <w:rsid w:val="00D53854"/>
    <w:rsid w:val="00D5468B"/>
    <w:rsid w:val="00D753AD"/>
    <w:rsid w:val="00D77DC5"/>
    <w:rsid w:val="00D8177B"/>
    <w:rsid w:val="00D83C12"/>
    <w:rsid w:val="00D9238E"/>
    <w:rsid w:val="00D92AB7"/>
    <w:rsid w:val="00D92B83"/>
    <w:rsid w:val="00D930B6"/>
    <w:rsid w:val="00D948C7"/>
    <w:rsid w:val="00D9583B"/>
    <w:rsid w:val="00DA054D"/>
    <w:rsid w:val="00DA2BB9"/>
    <w:rsid w:val="00DA5777"/>
    <w:rsid w:val="00DB7A7C"/>
    <w:rsid w:val="00DC3264"/>
    <w:rsid w:val="00DC672A"/>
    <w:rsid w:val="00DD61D6"/>
    <w:rsid w:val="00DF0201"/>
    <w:rsid w:val="00DF213F"/>
    <w:rsid w:val="00DF5258"/>
    <w:rsid w:val="00E02024"/>
    <w:rsid w:val="00E07F43"/>
    <w:rsid w:val="00E10E70"/>
    <w:rsid w:val="00E135FE"/>
    <w:rsid w:val="00E156D4"/>
    <w:rsid w:val="00E17962"/>
    <w:rsid w:val="00E26978"/>
    <w:rsid w:val="00E33094"/>
    <w:rsid w:val="00E3355A"/>
    <w:rsid w:val="00E3748A"/>
    <w:rsid w:val="00E436E3"/>
    <w:rsid w:val="00E50D2E"/>
    <w:rsid w:val="00E51D0F"/>
    <w:rsid w:val="00E57A03"/>
    <w:rsid w:val="00E640B0"/>
    <w:rsid w:val="00E64CC2"/>
    <w:rsid w:val="00E675BF"/>
    <w:rsid w:val="00E72DEB"/>
    <w:rsid w:val="00E77DA1"/>
    <w:rsid w:val="00E92293"/>
    <w:rsid w:val="00E94A44"/>
    <w:rsid w:val="00E97CC8"/>
    <w:rsid w:val="00EB6D1C"/>
    <w:rsid w:val="00EC211F"/>
    <w:rsid w:val="00EE130E"/>
    <w:rsid w:val="00EE1A36"/>
    <w:rsid w:val="00EE38BE"/>
    <w:rsid w:val="00EE454B"/>
    <w:rsid w:val="00EE5164"/>
    <w:rsid w:val="00EE58B0"/>
    <w:rsid w:val="00EF0D8C"/>
    <w:rsid w:val="00EF5613"/>
    <w:rsid w:val="00EF665E"/>
    <w:rsid w:val="00EF7CBB"/>
    <w:rsid w:val="00F07DB4"/>
    <w:rsid w:val="00F10B05"/>
    <w:rsid w:val="00F115C6"/>
    <w:rsid w:val="00F15D82"/>
    <w:rsid w:val="00F2115B"/>
    <w:rsid w:val="00F21DE2"/>
    <w:rsid w:val="00F23FDA"/>
    <w:rsid w:val="00F247AB"/>
    <w:rsid w:val="00F278D5"/>
    <w:rsid w:val="00F27D2C"/>
    <w:rsid w:val="00F31A38"/>
    <w:rsid w:val="00F332F7"/>
    <w:rsid w:val="00F3390F"/>
    <w:rsid w:val="00F34C43"/>
    <w:rsid w:val="00F3621F"/>
    <w:rsid w:val="00F36EDD"/>
    <w:rsid w:val="00F44721"/>
    <w:rsid w:val="00F44DD8"/>
    <w:rsid w:val="00F515CD"/>
    <w:rsid w:val="00F60592"/>
    <w:rsid w:val="00F64056"/>
    <w:rsid w:val="00F644A6"/>
    <w:rsid w:val="00F76EBE"/>
    <w:rsid w:val="00F944B0"/>
    <w:rsid w:val="00F97DCD"/>
    <w:rsid w:val="00FA0233"/>
    <w:rsid w:val="00FA1356"/>
    <w:rsid w:val="00FA2357"/>
    <w:rsid w:val="00FA2F3A"/>
    <w:rsid w:val="00FA313F"/>
    <w:rsid w:val="00FA5138"/>
    <w:rsid w:val="00FB09F5"/>
    <w:rsid w:val="00FB31E9"/>
    <w:rsid w:val="00FB488E"/>
    <w:rsid w:val="00FC4CD7"/>
    <w:rsid w:val="00FD5A60"/>
    <w:rsid w:val="00FF00AE"/>
    <w:rsid w:val="00FF13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B7D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BF4FFF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link w:val="Ttulo3Car"/>
    <w:qFormat/>
    <w:rsid w:val="00BF4FFF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F4FFF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link w:val="Ttulo5Car"/>
    <w:qFormat/>
    <w:rsid w:val="00BF4FF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F4FFF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link w:val="Ttulo8Car"/>
    <w:qFormat/>
    <w:rsid w:val="00BF4FFF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tulo2Car">
    <w:name w:val="Título 2 Car"/>
    <w:basedOn w:val="Fuentedeprrafopredeter"/>
    <w:link w:val="Ttulo2"/>
    <w:rsid w:val="00BF4FFF"/>
    <w:rPr>
      <w:rFonts w:ascii="Times" w:eastAsia="Times" w:hAnsi="Times"/>
      <w:b/>
      <w:i/>
      <w:sz w:val="28"/>
      <w:lang w:eastAsia="fr-FR"/>
    </w:rPr>
  </w:style>
  <w:style w:type="character" w:customStyle="1" w:styleId="Ttulo3Car">
    <w:name w:val="Título 3 Car"/>
    <w:basedOn w:val="Fuentedeprrafopredeter"/>
    <w:link w:val="Ttulo3"/>
    <w:rsid w:val="00BF4FFF"/>
    <w:rPr>
      <w:rFonts w:ascii="Times" w:eastAsia="Times" w:hAnsi="Times"/>
      <w:b/>
      <w:sz w:val="26"/>
      <w:szCs w:val="26"/>
      <w:lang w:eastAsia="fr-FR"/>
    </w:rPr>
  </w:style>
  <w:style w:type="character" w:customStyle="1" w:styleId="Ttulo4Car">
    <w:name w:val="Título 4 Car"/>
    <w:basedOn w:val="Fuentedeprrafopredeter"/>
    <w:link w:val="Ttulo4"/>
    <w:rsid w:val="00BF4FFF"/>
    <w:rPr>
      <w:rFonts w:ascii="Frutiger 45 Light" w:hAnsi="Frutiger 45 Light"/>
      <w:b/>
      <w:color w:val="0000FF"/>
      <w:sz w:val="32"/>
      <w:lang w:eastAsia="fr-FR"/>
    </w:rPr>
  </w:style>
  <w:style w:type="character" w:customStyle="1" w:styleId="Ttulo5Car">
    <w:name w:val="Título 5 Car"/>
    <w:basedOn w:val="Fuentedeprrafopredeter"/>
    <w:link w:val="Ttulo5"/>
    <w:rsid w:val="00BF4FFF"/>
    <w:rPr>
      <w:rFonts w:ascii="Times" w:eastAsia="Times" w:hAnsi="Times"/>
      <w:b/>
      <w:i/>
      <w:sz w:val="26"/>
      <w:szCs w:val="26"/>
      <w:lang w:eastAsia="fr-FR"/>
    </w:rPr>
  </w:style>
  <w:style w:type="character" w:customStyle="1" w:styleId="Ttulo6Car">
    <w:name w:val="Título 6 Car"/>
    <w:basedOn w:val="Fuentedeprrafopredeter"/>
    <w:link w:val="Ttulo6"/>
    <w:rsid w:val="00BF4FFF"/>
    <w:rPr>
      <w:rFonts w:ascii="Utopia" w:eastAsia="Times" w:hAnsi="Utopia"/>
      <w:b/>
      <w:color w:val="FF6600"/>
      <w:sz w:val="22"/>
      <w:lang w:eastAsia="fr-FR"/>
    </w:rPr>
  </w:style>
  <w:style w:type="character" w:customStyle="1" w:styleId="Ttulo8Car">
    <w:name w:val="Título 8 Car"/>
    <w:basedOn w:val="Fuentedeprrafopredeter"/>
    <w:link w:val="Ttulo8"/>
    <w:rsid w:val="00BF4FFF"/>
    <w:rPr>
      <w:rFonts w:ascii="Times" w:eastAsia="Times" w:hAnsi="Times"/>
      <w:i/>
      <w:lang w:eastAsia="fr-FR"/>
    </w:rPr>
  </w:style>
  <w:style w:type="paragraph" w:styleId="Textodecuerpo">
    <w:name w:val="Body Text"/>
    <w:basedOn w:val="Normal"/>
    <w:link w:val="TextodecuerpoCar"/>
    <w:rsid w:val="00BF4FFF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BF4FFF"/>
    <w:rPr>
      <w:rFonts w:ascii="Times" w:eastAsia="Times" w:hAnsi="Times"/>
      <w:lang w:eastAsia="fr-FR"/>
    </w:rPr>
  </w:style>
  <w:style w:type="paragraph" w:customStyle="1" w:styleId="Headline">
    <w:name w:val="Headline"/>
    <w:rsid w:val="00BF4FFF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BF4FFF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BF4FFF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BF4FFF"/>
    <w:pPr>
      <w:numPr>
        <w:numId w:val="1"/>
      </w:numPr>
    </w:pPr>
  </w:style>
  <w:style w:type="paragraph" w:customStyle="1" w:styleId="TextoCONTINENTAL">
    <w:name w:val="Texto CONTINENTAL"/>
    <w:basedOn w:val="Textodecuerpo"/>
    <w:rsid w:val="00BF4FFF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nhideWhenUsed/>
    <w:rsid w:val="00BF4FFF"/>
    <w:rPr>
      <w:color w:val="0000FF"/>
      <w:u w:val="single"/>
    </w:rPr>
  </w:style>
  <w:style w:type="paragraph" w:styleId="Textodecuerpo3">
    <w:name w:val="Body Text 3"/>
    <w:basedOn w:val="Normal"/>
    <w:link w:val="Textodecuerpo3Car"/>
    <w:rsid w:val="00BF4FFF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decuerpo3Car">
    <w:name w:val="Texto de cuerpo 3 Car"/>
    <w:basedOn w:val="Fuentedeprrafopredeter"/>
    <w:link w:val="Textodecuerpo3"/>
    <w:rsid w:val="00BF4FFF"/>
    <w:rPr>
      <w:rFonts w:ascii="Times New Roman" w:eastAsia="Times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BF4FFF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BF4FFF"/>
    <w:rPr>
      <w:sz w:val="20"/>
      <w:szCs w:val="20"/>
    </w:rPr>
  </w:style>
  <w:style w:type="character" w:styleId="Textoennegrita">
    <w:name w:val="Strong"/>
    <w:basedOn w:val="Fuentedeprrafopredeter"/>
    <w:qFormat/>
    <w:rsid w:val="00BF4FFF"/>
    <w:rPr>
      <w:b/>
      <w:bCs/>
    </w:rPr>
  </w:style>
  <w:style w:type="paragraph" w:styleId="Prrafodelista">
    <w:name w:val="List Paragraph"/>
    <w:basedOn w:val="Normal"/>
    <w:uiPriority w:val="34"/>
    <w:qFormat/>
    <w:rsid w:val="00BF4FFF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rsid w:val="00BF4FFF"/>
    <w:rPr>
      <w:sz w:val="18"/>
    </w:rPr>
  </w:style>
  <w:style w:type="paragraph" w:styleId="Textocomentario">
    <w:name w:val="annotation text"/>
    <w:basedOn w:val="Normal"/>
    <w:link w:val="TextocomentarioCar"/>
    <w:rsid w:val="00BF4FFF"/>
  </w:style>
  <w:style w:type="character" w:customStyle="1" w:styleId="TextocomentarioCar">
    <w:name w:val="Texto comentario Car"/>
    <w:basedOn w:val="Fuentedeprrafopredeter"/>
    <w:link w:val="Textocomentario"/>
    <w:rsid w:val="00BF4FFF"/>
    <w:rPr>
      <w:rFonts w:ascii="Times" w:eastAsia="Times" w:hAnsi="Times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F4FFF"/>
    <w:rPr>
      <w:sz w:val="22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F4FFF"/>
    <w:rPr>
      <w:rFonts w:ascii="Times" w:eastAsia="Times" w:hAnsi="Times"/>
      <w:sz w:val="22"/>
      <w:szCs w:val="20"/>
      <w:lang w:eastAsia="fr-FR"/>
    </w:rPr>
  </w:style>
  <w:style w:type="paragraph" w:styleId="Textonotapie">
    <w:name w:val="footnote text"/>
    <w:basedOn w:val="Normal"/>
    <w:link w:val="TextonotapieCar"/>
    <w:rsid w:val="00BF4FFF"/>
  </w:style>
  <w:style w:type="character" w:customStyle="1" w:styleId="TextonotapieCar">
    <w:name w:val="Texto nota pie Car"/>
    <w:basedOn w:val="Fuentedeprrafopredeter"/>
    <w:link w:val="Textonotapie"/>
    <w:rsid w:val="00BF4FFF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BF4FFF"/>
    <w:rPr>
      <w:vertAlign w:val="superscript"/>
    </w:rPr>
  </w:style>
  <w:style w:type="character" w:styleId="Hipervnculovisitado">
    <w:name w:val="FollowedHyperlink"/>
    <w:basedOn w:val="Fuentedeprrafopredeter"/>
    <w:rsid w:val="00BF4FFF"/>
    <w:rPr>
      <w:color w:val="800080"/>
      <w:u w:val="single"/>
    </w:rPr>
  </w:style>
  <w:style w:type="paragraph" w:customStyle="1" w:styleId="EntradillaMICHELIN">
    <w:name w:val="Entradilla MICHELIN"/>
    <w:basedOn w:val="Normal"/>
    <w:rsid w:val="00BF4FFF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character" w:customStyle="1" w:styleId="hps">
    <w:name w:val="hps"/>
    <w:basedOn w:val="Fuentedeprrafopredeter"/>
    <w:rsid w:val="00BF4FFF"/>
  </w:style>
  <w:style w:type="paragraph" w:customStyle="1" w:styleId="SubheadMichelin">
    <w:name w:val="Subhead Michelin"/>
    <w:autoRedefine/>
    <w:rsid w:val="00BF4FFF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BF4FFF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tuloDossier">
    <w:name w:val="Título Dossier"/>
    <w:basedOn w:val="Headline"/>
    <w:rsid w:val="00BF4FFF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BF4FFF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BF4FFF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Predeterminado">
    <w:name w:val="Predeterminado"/>
    <w:rsid w:val="00BF4FFF"/>
    <w:pPr>
      <w:widowControl w:val="0"/>
      <w:autoSpaceDE w:val="0"/>
      <w:autoSpaceDN w:val="0"/>
    </w:pPr>
    <w:rPr>
      <w:rFonts w:ascii="Times New Roman" w:hAnsi="Times New Roman"/>
      <w:lang w:eastAsia="es-ES"/>
    </w:rPr>
  </w:style>
  <w:style w:type="paragraph" w:styleId="Textodecuerpo2">
    <w:name w:val="Body Text 2"/>
    <w:basedOn w:val="Normal"/>
    <w:link w:val="Textodecuerpo2Car"/>
    <w:rsid w:val="00BF4FFF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rsid w:val="00BF4FFF"/>
    <w:rPr>
      <w:rFonts w:ascii="Times" w:eastAsia="Times" w:hAnsi="Times"/>
      <w:lang w:eastAsia="fr-FR"/>
    </w:rPr>
  </w:style>
  <w:style w:type="paragraph" w:styleId="Sangradetdecuerpo">
    <w:name w:val="Body Text Indent"/>
    <w:basedOn w:val="Normal"/>
    <w:link w:val="SangradetdecuerpoCar"/>
    <w:rsid w:val="00BF4FFF"/>
    <w:pPr>
      <w:spacing w:after="120"/>
      <w:ind w:left="283"/>
    </w:pPr>
    <w:rPr>
      <w:rFonts w:ascii="Utopia" w:eastAsia="Times New Roman" w:hAnsi="Utopia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BF4FFF"/>
    <w:rPr>
      <w:rFonts w:ascii="Utopia" w:hAnsi="Utopia"/>
      <w:sz w:val="20"/>
      <w:lang w:eastAsia="fr-FR"/>
    </w:rPr>
  </w:style>
  <w:style w:type="paragraph" w:styleId="Textodebloque">
    <w:name w:val="Block Text"/>
    <w:basedOn w:val="Normal"/>
    <w:rsid w:val="00BF4FFF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link w:val="TtuloCar"/>
    <w:qFormat/>
    <w:rsid w:val="00BF4FFF"/>
    <w:pPr>
      <w:jc w:val="center"/>
    </w:pPr>
    <w:rPr>
      <w:rFonts w:ascii="Frutiger 55 Roman" w:eastAsia="Times New Roman" w:hAnsi="Frutiger 55 Roman"/>
      <w:b/>
      <w:sz w:val="32"/>
    </w:rPr>
  </w:style>
  <w:style w:type="character" w:customStyle="1" w:styleId="TtuloCar">
    <w:name w:val="Título Car"/>
    <w:basedOn w:val="Fuentedeprrafopredeter"/>
    <w:link w:val="Ttulo"/>
    <w:rsid w:val="00BF4FFF"/>
    <w:rPr>
      <w:rFonts w:ascii="Frutiger 55 Roman" w:hAnsi="Frutiger 55 Roman"/>
      <w:b/>
      <w:sz w:val="32"/>
      <w:lang w:eastAsia="fr-FR"/>
    </w:rPr>
  </w:style>
  <w:style w:type="paragraph" w:customStyle="1" w:styleId="StyleTitre2Frutiger55Roman">
    <w:name w:val="Style Titre 2 + Frutiger 55 Roman"/>
    <w:basedOn w:val="Ttulo2"/>
    <w:autoRedefine/>
    <w:rsid w:val="00BF4FFF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BF4FFF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F4FFF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BF4FFF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BF4FFF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BF4FFF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BF4FFF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BF4FFF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BF4FFF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BF4FFF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BF4FFF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BF4FFF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BF4FFF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BF4FFF"/>
    <w:rPr>
      <w:lang w:val="es-ES_tradnl"/>
    </w:rPr>
  </w:style>
  <w:style w:type="paragraph" w:customStyle="1" w:styleId="corporativoCONTINENTAL">
    <w:name w:val="corporativo CONTINENTAL"/>
    <w:basedOn w:val="TextoCONTINENTAL"/>
    <w:rsid w:val="00BF4FFF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BF4FFF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LadilloMichelinDossier">
    <w:name w:val="Ladillo Michelin Dossier"/>
    <w:basedOn w:val="TextoMichelin"/>
    <w:rsid w:val="00BF4FFF"/>
    <w:pPr>
      <w:spacing w:before="480" w:after="120"/>
      <w:jc w:val="left"/>
    </w:pPr>
    <w:rPr>
      <w:rFonts w:ascii="Times" w:hAnsi="Times"/>
      <w:b/>
      <w:sz w:val="26"/>
    </w:rPr>
  </w:style>
  <w:style w:type="table" w:styleId="Tablaconcuadrcula">
    <w:name w:val="Table Grid"/>
    <w:basedOn w:val="Tablanormal"/>
    <w:rsid w:val="00BF4FF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autoRedefine/>
    <w:rsid w:val="00BF4FFF"/>
    <w:pPr>
      <w:jc w:val="both"/>
    </w:pPr>
    <w:rPr>
      <w:rFonts w:ascii="Trebuchet MS" w:eastAsia="Times New Roman" w:hAnsi="Trebuchet MS"/>
      <w:b/>
      <w:kern w:val="32"/>
      <w:sz w:val="22"/>
      <w:lang w:eastAsia="en-US"/>
    </w:rPr>
  </w:style>
  <w:style w:type="paragraph" w:customStyle="1" w:styleId="Normal2">
    <w:name w:val="Normal 2"/>
    <w:basedOn w:val="Normal"/>
    <w:autoRedefine/>
    <w:rsid w:val="00BF4FFF"/>
    <w:pPr>
      <w:jc w:val="both"/>
    </w:pPr>
    <w:rPr>
      <w:rFonts w:ascii="Helvetica" w:eastAsia="Times New Roman" w:hAnsi="Helvetica"/>
      <w:lang w:eastAsia="en-US"/>
    </w:rPr>
  </w:style>
  <w:style w:type="character" w:styleId="Enfasis">
    <w:name w:val="Emphasis"/>
    <w:basedOn w:val="Fuentedeprrafopredeter"/>
    <w:qFormat/>
    <w:rsid w:val="00BF4FFF"/>
    <w:rPr>
      <w:i/>
      <w:iCs/>
    </w:rPr>
  </w:style>
  <w:style w:type="character" w:customStyle="1" w:styleId="tw4winMark">
    <w:name w:val="tw4winMark"/>
    <w:rsid w:val="00BF4FF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F4FF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F4FFF"/>
    <w:rPr>
      <w:color w:val="0000FF"/>
    </w:rPr>
  </w:style>
  <w:style w:type="character" w:customStyle="1" w:styleId="tw4winPopup">
    <w:name w:val="tw4winPopup"/>
    <w:rsid w:val="00BF4FF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F4FF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F4FF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F4FF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F4FFF"/>
    <w:rPr>
      <w:rFonts w:ascii="Courier New" w:hAnsi="Courier New" w:cs="Courier New"/>
      <w:noProof/>
      <w:color w:val="800000"/>
    </w:rPr>
  </w:style>
  <w:style w:type="paragraph" w:styleId="Textosinformato">
    <w:name w:val="Plain Text"/>
    <w:basedOn w:val="Normal"/>
    <w:link w:val="TextosinformatoCar"/>
    <w:rsid w:val="00BF4FFF"/>
    <w:rPr>
      <w:rFonts w:ascii="Courier New" w:eastAsia="Times New Roman" w:hAnsi="Courier New" w:cs="Courier New"/>
      <w:sz w:val="20"/>
      <w:lang w:val="fr-FR"/>
    </w:rPr>
  </w:style>
  <w:style w:type="character" w:customStyle="1" w:styleId="TextosinformatoCar">
    <w:name w:val="Texto sin formato Car"/>
    <w:basedOn w:val="Fuentedeprrafopredeter"/>
    <w:link w:val="Textosinformato"/>
    <w:rsid w:val="00BF4FFF"/>
    <w:rPr>
      <w:rFonts w:ascii="Courier New" w:hAnsi="Courier New" w:cs="Courier New"/>
      <w:sz w:val="20"/>
      <w:lang w:val="fr-FR" w:eastAsia="fr-FR"/>
    </w:rPr>
  </w:style>
  <w:style w:type="paragraph" w:customStyle="1" w:styleId="CarCarCarCarCarCarCarCarCar">
    <w:name w:val="Car Car Car Car Car Car Car Car Car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CorpsdetexteCar">
    <w:name w:val="Corps de texte Car"/>
    <w:basedOn w:val="Fuentedeprrafopredeter"/>
    <w:rsid w:val="00BF4FFF"/>
    <w:rPr>
      <w:rFonts w:ascii="Arial" w:hAnsi="Arial"/>
      <w:szCs w:val="24"/>
      <w:lang w:val="fr-FR" w:eastAsia="en-GB" w:bidi="ar-SA"/>
    </w:rPr>
  </w:style>
  <w:style w:type="paragraph" w:customStyle="1" w:styleId="corpsdetexte">
    <w:name w:val="corps de texte"/>
    <w:basedOn w:val="Normal"/>
    <w:rsid w:val="00BF4FFF"/>
    <w:pPr>
      <w:ind w:right="7510"/>
      <w:jc w:val="both"/>
    </w:pPr>
    <w:rPr>
      <w:rFonts w:ascii="Arial" w:eastAsia="Times New Roman" w:hAnsi="Arial"/>
      <w:sz w:val="18"/>
      <w:szCs w:val="18"/>
      <w:lang w:val="fr-FR" w:eastAsia="en-GB"/>
    </w:rPr>
  </w:style>
  <w:style w:type="character" w:customStyle="1" w:styleId="corpsdetexteCar0">
    <w:name w:val="corps de texte Car"/>
    <w:basedOn w:val="Fuentedeprrafopredeter"/>
    <w:rsid w:val="00BF4FFF"/>
    <w:rPr>
      <w:rFonts w:ascii="Arial" w:hAnsi="Arial"/>
      <w:sz w:val="18"/>
      <w:szCs w:val="18"/>
      <w:lang w:val="fr-FR" w:eastAsia="en-GB" w:bidi="ar-SA"/>
    </w:rPr>
  </w:style>
  <w:style w:type="paragraph" w:customStyle="1" w:styleId="1">
    <w:name w:val="1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paragraph" w:customStyle="1" w:styleId="Note">
    <w:name w:val="Note"/>
    <w:basedOn w:val="Textodecuerpo"/>
    <w:rsid w:val="00BF4FFF"/>
    <w:pPr>
      <w:spacing w:before="60" w:after="0"/>
      <w:ind w:right="4649"/>
      <w:jc w:val="both"/>
    </w:pPr>
    <w:rPr>
      <w:rFonts w:ascii="Arial" w:eastAsia="Times New Roman" w:hAnsi="Arial" w:cs="Verdana"/>
      <w:i/>
      <w:sz w:val="16"/>
      <w:szCs w:val="16"/>
      <w:lang w:val="en-GB" w:eastAsia="en-GB" w:bidi="fr-FR"/>
    </w:rPr>
  </w:style>
  <w:style w:type="paragraph" w:customStyle="1" w:styleId="Bulletpoint">
    <w:name w:val="Bullet point"/>
    <w:basedOn w:val="Textodecuerpo"/>
    <w:rsid w:val="00BF4FFF"/>
    <w:pPr>
      <w:numPr>
        <w:numId w:val="6"/>
      </w:numPr>
      <w:spacing w:after="60"/>
      <w:ind w:right="4649"/>
      <w:jc w:val="both"/>
    </w:pPr>
    <w:rPr>
      <w:rFonts w:ascii="Arial" w:eastAsia="Times New Roman" w:hAnsi="Arial" w:cs="Verdana"/>
      <w:sz w:val="18"/>
      <w:szCs w:val="18"/>
      <w:lang w:val="fr-FR" w:eastAsia="en-GB" w:bidi="fr-FR"/>
    </w:rPr>
  </w:style>
  <w:style w:type="character" w:customStyle="1" w:styleId="BulletpointCar">
    <w:name w:val="Bullet point Car"/>
    <w:basedOn w:val="corpsdetexteCar0"/>
    <w:rsid w:val="00BF4FFF"/>
    <w:rPr>
      <w:rFonts w:ascii="Arial" w:hAnsi="Arial" w:cs="Verdana"/>
      <w:sz w:val="18"/>
      <w:szCs w:val="18"/>
      <w:lang w:val="fr-FR" w:eastAsia="en-GB" w:bidi="fr-FR"/>
    </w:rPr>
  </w:style>
  <w:style w:type="paragraph" w:customStyle="1" w:styleId="Titreinfo">
    <w:name w:val="Titre info"/>
    <w:basedOn w:val="Textodecuerpo"/>
    <w:next w:val="Textodecuerpo"/>
    <w:rsid w:val="00BF4FFF"/>
    <w:pPr>
      <w:keepNext/>
      <w:spacing w:after="60"/>
      <w:ind w:right="4649"/>
      <w:jc w:val="both"/>
    </w:pPr>
    <w:rPr>
      <w:rFonts w:ascii="Arial" w:eastAsia="Times New Roman" w:hAnsi="Arial" w:cs="Verdana"/>
      <w:b/>
      <w:color w:val="333399"/>
      <w:sz w:val="18"/>
      <w:szCs w:val="18"/>
      <w:lang w:val="fr-FR" w:eastAsia="en-GB" w:bidi="fr-FR"/>
    </w:rPr>
  </w:style>
  <w:style w:type="paragraph" w:customStyle="1" w:styleId="Titre4">
    <w:name w:val="Titre4"/>
    <w:basedOn w:val="Normal"/>
    <w:next w:val="Textodecuerpo"/>
    <w:rsid w:val="00BF4FFF"/>
    <w:pPr>
      <w:keepNext/>
      <w:spacing w:before="240" w:after="120"/>
      <w:ind w:right="4649"/>
    </w:pPr>
    <w:rPr>
      <w:rFonts w:ascii="Arial" w:eastAsia="Times New Roman" w:hAnsi="Arial"/>
      <w:b/>
      <w:bCs/>
      <w:color w:val="333399"/>
      <w:sz w:val="22"/>
      <w:lang w:val="fr-FR" w:eastAsia="en-GB"/>
    </w:rPr>
  </w:style>
  <w:style w:type="paragraph" w:customStyle="1" w:styleId="CarChar">
    <w:name w:val="Car Char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numbering" w:customStyle="1" w:styleId="NoList1">
    <w:name w:val="No List1"/>
    <w:next w:val="Sinlista"/>
    <w:semiHidden/>
    <w:unhideWhenUsed/>
    <w:rsid w:val="00BF4FFF"/>
  </w:style>
  <w:style w:type="table" w:customStyle="1" w:styleId="TableGrid1">
    <w:name w:val="Table Grid1"/>
    <w:basedOn w:val="Tablanormal"/>
    <w:next w:val="Tablaconcuadrcula"/>
    <w:rsid w:val="00BF4FFF"/>
    <w:rPr>
      <w:rFonts w:ascii="Times New Roman" w:eastAsia="MS Mincho" w:hAnsi="Times New Roman"/>
      <w:snapToGrid w:val="0"/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news1">
    <w:name w:val="summary_news1"/>
    <w:rsid w:val="00BF4FFF"/>
    <w:rPr>
      <w:rFonts w:ascii="Arial" w:hAnsi="Arial" w:cs="Arial" w:hint="default"/>
      <w:b w:val="0"/>
      <w:bCs w:val="0"/>
      <w:color w:val="666666"/>
      <w:sz w:val="21"/>
      <w:szCs w:val="21"/>
    </w:rPr>
  </w:style>
  <w:style w:type="paragraph" w:customStyle="1" w:styleId="Body1">
    <w:name w:val="Body 1"/>
    <w:rsid w:val="00D8177B"/>
    <w:pPr>
      <w:outlineLvl w:val="0"/>
    </w:pPr>
    <w:rPr>
      <w:rFonts w:ascii="Times New Roman" w:eastAsia="Arial Unicode MS" w:hAnsi="Times New Roman"/>
      <w:color w:val="000000"/>
      <w:szCs w:val="20"/>
      <w:u w:color="000000"/>
    </w:rPr>
  </w:style>
  <w:style w:type="paragraph" w:styleId="Lista2">
    <w:name w:val="List 2"/>
    <w:basedOn w:val="Normal"/>
    <w:rsid w:val="00B527E0"/>
    <w:pPr>
      <w:numPr>
        <w:numId w:val="7"/>
      </w:numPr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BF4FFF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link w:val="Ttulo3Car"/>
    <w:qFormat/>
    <w:rsid w:val="00BF4FFF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F4FFF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link w:val="Ttulo5Car"/>
    <w:qFormat/>
    <w:rsid w:val="00BF4FF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F4FFF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link w:val="Ttulo8Car"/>
    <w:qFormat/>
    <w:rsid w:val="00BF4FFF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tulo2Car">
    <w:name w:val="Título 2 Car"/>
    <w:basedOn w:val="Fuentedeprrafopredeter"/>
    <w:link w:val="Ttulo2"/>
    <w:rsid w:val="00BF4FFF"/>
    <w:rPr>
      <w:rFonts w:ascii="Times" w:eastAsia="Times" w:hAnsi="Times"/>
      <w:b/>
      <w:i/>
      <w:sz w:val="28"/>
      <w:lang w:eastAsia="fr-FR"/>
    </w:rPr>
  </w:style>
  <w:style w:type="character" w:customStyle="1" w:styleId="Ttulo3Car">
    <w:name w:val="Título 3 Car"/>
    <w:basedOn w:val="Fuentedeprrafopredeter"/>
    <w:link w:val="Ttulo3"/>
    <w:rsid w:val="00BF4FFF"/>
    <w:rPr>
      <w:rFonts w:ascii="Times" w:eastAsia="Times" w:hAnsi="Times"/>
      <w:b/>
      <w:sz w:val="26"/>
      <w:szCs w:val="26"/>
      <w:lang w:eastAsia="fr-FR"/>
    </w:rPr>
  </w:style>
  <w:style w:type="character" w:customStyle="1" w:styleId="Ttulo4Car">
    <w:name w:val="Título 4 Car"/>
    <w:basedOn w:val="Fuentedeprrafopredeter"/>
    <w:link w:val="Ttulo4"/>
    <w:rsid w:val="00BF4FFF"/>
    <w:rPr>
      <w:rFonts w:ascii="Frutiger 45 Light" w:hAnsi="Frutiger 45 Light"/>
      <w:b/>
      <w:color w:val="0000FF"/>
      <w:sz w:val="32"/>
      <w:lang w:eastAsia="fr-FR"/>
    </w:rPr>
  </w:style>
  <w:style w:type="character" w:customStyle="1" w:styleId="Ttulo5Car">
    <w:name w:val="Título 5 Car"/>
    <w:basedOn w:val="Fuentedeprrafopredeter"/>
    <w:link w:val="Ttulo5"/>
    <w:rsid w:val="00BF4FFF"/>
    <w:rPr>
      <w:rFonts w:ascii="Times" w:eastAsia="Times" w:hAnsi="Times"/>
      <w:b/>
      <w:i/>
      <w:sz w:val="26"/>
      <w:szCs w:val="26"/>
      <w:lang w:eastAsia="fr-FR"/>
    </w:rPr>
  </w:style>
  <w:style w:type="character" w:customStyle="1" w:styleId="Ttulo6Car">
    <w:name w:val="Título 6 Car"/>
    <w:basedOn w:val="Fuentedeprrafopredeter"/>
    <w:link w:val="Ttulo6"/>
    <w:rsid w:val="00BF4FFF"/>
    <w:rPr>
      <w:rFonts w:ascii="Utopia" w:eastAsia="Times" w:hAnsi="Utopia"/>
      <w:b/>
      <w:color w:val="FF6600"/>
      <w:sz w:val="22"/>
      <w:lang w:eastAsia="fr-FR"/>
    </w:rPr>
  </w:style>
  <w:style w:type="character" w:customStyle="1" w:styleId="Ttulo8Car">
    <w:name w:val="Título 8 Car"/>
    <w:basedOn w:val="Fuentedeprrafopredeter"/>
    <w:link w:val="Ttulo8"/>
    <w:rsid w:val="00BF4FFF"/>
    <w:rPr>
      <w:rFonts w:ascii="Times" w:eastAsia="Times" w:hAnsi="Times"/>
      <w:i/>
      <w:lang w:eastAsia="fr-FR"/>
    </w:rPr>
  </w:style>
  <w:style w:type="paragraph" w:styleId="Textodecuerpo">
    <w:name w:val="Body Text"/>
    <w:basedOn w:val="Normal"/>
    <w:link w:val="TextodecuerpoCar"/>
    <w:rsid w:val="00BF4FFF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BF4FFF"/>
    <w:rPr>
      <w:rFonts w:ascii="Times" w:eastAsia="Times" w:hAnsi="Times"/>
      <w:lang w:eastAsia="fr-FR"/>
    </w:rPr>
  </w:style>
  <w:style w:type="paragraph" w:customStyle="1" w:styleId="Headline">
    <w:name w:val="Headline"/>
    <w:rsid w:val="00BF4FFF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BF4FFF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BF4FFF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BF4FFF"/>
    <w:pPr>
      <w:numPr>
        <w:numId w:val="1"/>
      </w:numPr>
    </w:pPr>
  </w:style>
  <w:style w:type="paragraph" w:customStyle="1" w:styleId="TextoCONTINENTAL">
    <w:name w:val="Texto CONTINENTAL"/>
    <w:basedOn w:val="Textodecuerpo"/>
    <w:rsid w:val="00BF4FFF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nhideWhenUsed/>
    <w:rsid w:val="00BF4FFF"/>
    <w:rPr>
      <w:color w:val="0000FF"/>
      <w:u w:val="single"/>
    </w:rPr>
  </w:style>
  <w:style w:type="paragraph" w:styleId="Textodecuerpo3">
    <w:name w:val="Body Text 3"/>
    <w:basedOn w:val="Normal"/>
    <w:link w:val="Textodecuerpo3Car"/>
    <w:rsid w:val="00BF4FFF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decuerpo3Car">
    <w:name w:val="Texto de cuerpo 3 Car"/>
    <w:basedOn w:val="Fuentedeprrafopredeter"/>
    <w:link w:val="Textodecuerpo3"/>
    <w:rsid w:val="00BF4FFF"/>
    <w:rPr>
      <w:rFonts w:ascii="Times New Roman" w:eastAsia="Times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BF4FFF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BF4FFF"/>
    <w:rPr>
      <w:sz w:val="20"/>
      <w:szCs w:val="20"/>
    </w:rPr>
  </w:style>
  <w:style w:type="character" w:styleId="Textoennegrita">
    <w:name w:val="Strong"/>
    <w:basedOn w:val="Fuentedeprrafopredeter"/>
    <w:qFormat/>
    <w:rsid w:val="00BF4FFF"/>
    <w:rPr>
      <w:b/>
      <w:bCs/>
    </w:rPr>
  </w:style>
  <w:style w:type="paragraph" w:styleId="Prrafodelista">
    <w:name w:val="List Paragraph"/>
    <w:basedOn w:val="Normal"/>
    <w:uiPriority w:val="34"/>
    <w:qFormat/>
    <w:rsid w:val="00BF4FFF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rsid w:val="00BF4FFF"/>
    <w:rPr>
      <w:sz w:val="18"/>
    </w:rPr>
  </w:style>
  <w:style w:type="paragraph" w:styleId="Textocomentario">
    <w:name w:val="annotation text"/>
    <w:basedOn w:val="Normal"/>
    <w:link w:val="TextocomentarioCar"/>
    <w:rsid w:val="00BF4FFF"/>
  </w:style>
  <w:style w:type="character" w:customStyle="1" w:styleId="TextocomentarioCar">
    <w:name w:val="Texto comentario Car"/>
    <w:basedOn w:val="Fuentedeprrafopredeter"/>
    <w:link w:val="Textocomentario"/>
    <w:rsid w:val="00BF4FFF"/>
    <w:rPr>
      <w:rFonts w:ascii="Times" w:eastAsia="Times" w:hAnsi="Times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F4FFF"/>
    <w:rPr>
      <w:sz w:val="22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F4FFF"/>
    <w:rPr>
      <w:rFonts w:ascii="Times" w:eastAsia="Times" w:hAnsi="Times"/>
      <w:sz w:val="22"/>
      <w:szCs w:val="20"/>
      <w:lang w:eastAsia="fr-FR"/>
    </w:rPr>
  </w:style>
  <w:style w:type="paragraph" w:styleId="Textonotapie">
    <w:name w:val="footnote text"/>
    <w:basedOn w:val="Normal"/>
    <w:link w:val="TextonotapieCar"/>
    <w:rsid w:val="00BF4FFF"/>
  </w:style>
  <w:style w:type="character" w:customStyle="1" w:styleId="TextonotapieCar">
    <w:name w:val="Texto nota pie Car"/>
    <w:basedOn w:val="Fuentedeprrafopredeter"/>
    <w:link w:val="Textonotapie"/>
    <w:rsid w:val="00BF4FFF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BF4FFF"/>
    <w:rPr>
      <w:vertAlign w:val="superscript"/>
    </w:rPr>
  </w:style>
  <w:style w:type="character" w:styleId="Hipervnculovisitado">
    <w:name w:val="FollowedHyperlink"/>
    <w:basedOn w:val="Fuentedeprrafopredeter"/>
    <w:rsid w:val="00BF4FFF"/>
    <w:rPr>
      <w:color w:val="800080"/>
      <w:u w:val="single"/>
    </w:rPr>
  </w:style>
  <w:style w:type="paragraph" w:customStyle="1" w:styleId="EntradillaMICHELIN">
    <w:name w:val="Entradilla MICHELIN"/>
    <w:basedOn w:val="Normal"/>
    <w:rsid w:val="00BF4FFF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character" w:customStyle="1" w:styleId="hps">
    <w:name w:val="hps"/>
    <w:basedOn w:val="Fuentedeprrafopredeter"/>
    <w:rsid w:val="00BF4FFF"/>
  </w:style>
  <w:style w:type="paragraph" w:customStyle="1" w:styleId="SubheadMichelin">
    <w:name w:val="Subhead Michelin"/>
    <w:autoRedefine/>
    <w:rsid w:val="00BF4FFF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BF4FFF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tuloDossier">
    <w:name w:val="Título Dossier"/>
    <w:basedOn w:val="Headline"/>
    <w:rsid w:val="00BF4FFF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BF4FFF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BF4FFF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Predeterminado">
    <w:name w:val="Predeterminado"/>
    <w:rsid w:val="00BF4FFF"/>
    <w:pPr>
      <w:widowControl w:val="0"/>
      <w:autoSpaceDE w:val="0"/>
      <w:autoSpaceDN w:val="0"/>
    </w:pPr>
    <w:rPr>
      <w:rFonts w:ascii="Times New Roman" w:hAnsi="Times New Roman"/>
      <w:lang w:eastAsia="es-ES"/>
    </w:rPr>
  </w:style>
  <w:style w:type="paragraph" w:styleId="Textodecuerpo2">
    <w:name w:val="Body Text 2"/>
    <w:basedOn w:val="Normal"/>
    <w:link w:val="Textodecuerpo2Car"/>
    <w:rsid w:val="00BF4FFF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rsid w:val="00BF4FFF"/>
    <w:rPr>
      <w:rFonts w:ascii="Times" w:eastAsia="Times" w:hAnsi="Times"/>
      <w:lang w:eastAsia="fr-FR"/>
    </w:rPr>
  </w:style>
  <w:style w:type="paragraph" w:styleId="Sangradetdecuerpo">
    <w:name w:val="Body Text Indent"/>
    <w:basedOn w:val="Normal"/>
    <w:link w:val="SangradetdecuerpoCar"/>
    <w:rsid w:val="00BF4FFF"/>
    <w:pPr>
      <w:spacing w:after="120"/>
      <w:ind w:left="283"/>
    </w:pPr>
    <w:rPr>
      <w:rFonts w:ascii="Utopia" w:eastAsia="Times New Roman" w:hAnsi="Utopia"/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BF4FFF"/>
    <w:rPr>
      <w:rFonts w:ascii="Utopia" w:hAnsi="Utopia"/>
      <w:sz w:val="20"/>
      <w:lang w:eastAsia="fr-FR"/>
    </w:rPr>
  </w:style>
  <w:style w:type="paragraph" w:styleId="Textodebloque">
    <w:name w:val="Block Text"/>
    <w:basedOn w:val="Normal"/>
    <w:rsid w:val="00BF4FFF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link w:val="TtuloCar"/>
    <w:qFormat/>
    <w:rsid w:val="00BF4FFF"/>
    <w:pPr>
      <w:jc w:val="center"/>
    </w:pPr>
    <w:rPr>
      <w:rFonts w:ascii="Frutiger 55 Roman" w:eastAsia="Times New Roman" w:hAnsi="Frutiger 55 Roman"/>
      <w:b/>
      <w:sz w:val="32"/>
    </w:rPr>
  </w:style>
  <w:style w:type="character" w:customStyle="1" w:styleId="TtuloCar">
    <w:name w:val="Título Car"/>
    <w:basedOn w:val="Fuentedeprrafopredeter"/>
    <w:link w:val="Ttulo"/>
    <w:rsid w:val="00BF4FFF"/>
    <w:rPr>
      <w:rFonts w:ascii="Frutiger 55 Roman" w:hAnsi="Frutiger 55 Roman"/>
      <w:b/>
      <w:sz w:val="32"/>
      <w:lang w:eastAsia="fr-FR"/>
    </w:rPr>
  </w:style>
  <w:style w:type="paragraph" w:customStyle="1" w:styleId="StyleTitre2Frutiger55Roman">
    <w:name w:val="Style Titre 2 + Frutiger 55 Roman"/>
    <w:basedOn w:val="Ttulo2"/>
    <w:autoRedefine/>
    <w:rsid w:val="00BF4FFF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BF4FFF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F4FFF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BF4FFF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BF4FFF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BF4FFF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BF4FFF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BF4FFF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BF4FFF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BF4FFF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BF4FFF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BF4FFF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BF4FFF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BF4FFF"/>
    <w:rPr>
      <w:lang w:val="es-ES_tradnl"/>
    </w:rPr>
  </w:style>
  <w:style w:type="paragraph" w:customStyle="1" w:styleId="corporativoCONTINENTAL">
    <w:name w:val="corporativo CONTINENTAL"/>
    <w:basedOn w:val="TextoCONTINENTAL"/>
    <w:rsid w:val="00BF4FFF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BF4FFF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LadilloMichelinDossier">
    <w:name w:val="Ladillo Michelin Dossier"/>
    <w:basedOn w:val="TextoMichelin"/>
    <w:rsid w:val="00BF4FFF"/>
    <w:pPr>
      <w:spacing w:before="480" w:after="120"/>
      <w:jc w:val="left"/>
    </w:pPr>
    <w:rPr>
      <w:rFonts w:ascii="Times" w:hAnsi="Times"/>
      <w:b/>
      <w:sz w:val="26"/>
    </w:rPr>
  </w:style>
  <w:style w:type="table" w:styleId="Tablaconcuadrcula">
    <w:name w:val="Table Grid"/>
    <w:basedOn w:val="Tablanormal"/>
    <w:rsid w:val="00BF4FF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autoRedefine/>
    <w:rsid w:val="00BF4FFF"/>
    <w:pPr>
      <w:jc w:val="both"/>
    </w:pPr>
    <w:rPr>
      <w:rFonts w:ascii="Trebuchet MS" w:eastAsia="Times New Roman" w:hAnsi="Trebuchet MS"/>
      <w:b/>
      <w:kern w:val="32"/>
      <w:sz w:val="22"/>
      <w:lang w:eastAsia="en-US"/>
    </w:rPr>
  </w:style>
  <w:style w:type="paragraph" w:customStyle="1" w:styleId="Normal2">
    <w:name w:val="Normal 2"/>
    <w:basedOn w:val="Normal"/>
    <w:autoRedefine/>
    <w:rsid w:val="00BF4FFF"/>
    <w:pPr>
      <w:jc w:val="both"/>
    </w:pPr>
    <w:rPr>
      <w:rFonts w:ascii="Helvetica" w:eastAsia="Times New Roman" w:hAnsi="Helvetica"/>
      <w:lang w:eastAsia="en-US"/>
    </w:rPr>
  </w:style>
  <w:style w:type="character" w:styleId="Enfasis">
    <w:name w:val="Emphasis"/>
    <w:basedOn w:val="Fuentedeprrafopredeter"/>
    <w:qFormat/>
    <w:rsid w:val="00BF4FFF"/>
    <w:rPr>
      <w:i/>
      <w:iCs/>
    </w:rPr>
  </w:style>
  <w:style w:type="character" w:customStyle="1" w:styleId="tw4winMark">
    <w:name w:val="tw4winMark"/>
    <w:rsid w:val="00BF4FF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F4FF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F4FFF"/>
    <w:rPr>
      <w:color w:val="0000FF"/>
    </w:rPr>
  </w:style>
  <w:style w:type="character" w:customStyle="1" w:styleId="tw4winPopup">
    <w:name w:val="tw4winPopup"/>
    <w:rsid w:val="00BF4FF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F4FF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F4FF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F4FF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F4FFF"/>
    <w:rPr>
      <w:rFonts w:ascii="Courier New" w:hAnsi="Courier New" w:cs="Courier New"/>
      <w:noProof/>
      <w:color w:val="800000"/>
    </w:rPr>
  </w:style>
  <w:style w:type="paragraph" w:styleId="Textosinformato">
    <w:name w:val="Plain Text"/>
    <w:basedOn w:val="Normal"/>
    <w:link w:val="TextosinformatoCar"/>
    <w:rsid w:val="00BF4FFF"/>
    <w:rPr>
      <w:rFonts w:ascii="Courier New" w:eastAsia="Times New Roman" w:hAnsi="Courier New" w:cs="Courier New"/>
      <w:sz w:val="20"/>
      <w:lang w:val="fr-FR"/>
    </w:rPr>
  </w:style>
  <w:style w:type="character" w:customStyle="1" w:styleId="TextosinformatoCar">
    <w:name w:val="Texto sin formato Car"/>
    <w:basedOn w:val="Fuentedeprrafopredeter"/>
    <w:link w:val="Textosinformato"/>
    <w:rsid w:val="00BF4FFF"/>
    <w:rPr>
      <w:rFonts w:ascii="Courier New" w:hAnsi="Courier New" w:cs="Courier New"/>
      <w:sz w:val="20"/>
      <w:lang w:val="fr-FR" w:eastAsia="fr-FR"/>
    </w:rPr>
  </w:style>
  <w:style w:type="paragraph" w:customStyle="1" w:styleId="CarCarCarCarCarCarCarCarCar">
    <w:name w:val="Car Car Car Car Car Car Car Car Car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CorpsdetexteCar">
    <w:name w:val="Corps de texte Car"/>
    <w:basedOn w:val="Fuentedeprrafopredeter"/>
    <w:rsid w:val="00BF4FFF"/>
    <w:rPr>
      <w:rFonts w:ascii="Arial" w:hAnsi="Arial"/>
      <w:szCs w:val="24"/>
      <w:lang w:val="fr-FR" w:eastAsia="en-GB" w:bidi="ar-SA"/>
    </w:rPr>
  </w:style>
  <w:style w:type="paragraph" w:customStyle="1" w:styleId="corpsdetexte">
    <w:name w:val="corps de texte"/>
    <w:basedOn w:val="Normal"/>
    <w:rsid w:val="00BF4FFF"/>
    <w:pPr>
      <w:ind w:right="7510"/>
      <w:jc w:val="both"/>
    </w:pPr>
    <w:rPr>
      <w:rFonts w:ascii="Arial" w:eastAsia="Times New Roman" w:hAnsi="Arial"/>
      <w:sz w:val="18"/>
      <w:szCs w:val="18"/>
      <w:lang w:val="fr-FR" w:eastAsia="en-GB"/>
    </w:rPr>
  </w:style>
  <w:style w:type="character" w:customStyle="1" w:styleId="corpsdetexteCar0">
    <w:name w:val="corps de texte Car"/>
    <w:basedOn w:val="Fuentedeprrafopredeter"/>
    <w:rsid w:val="00BF4FFF"/>
    <w:rPr>
      <w:rFonts w:ascii="Arial" w:hAnsi="Arial"/>
      <w:sz w:val="18"/>
      <w:szCs w:val="18"/>
      <w:lang w:val="fr-FR" w:eastAsia="en-GB" w:bidi="ar-SA"/>
    </w:rPr>
  </w:style>
  <w:style w:type="paragraph" w:customStyle="1" w:styleId="1">
    <w:name w:val="1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paragraph" w:customStyle="1" w:styleId="Note">
    <w:name w:val="Note"/>
    <w:basedOn w:val="Textodecuerpo"/>
    <w:rsid w:val="00BF4FFF"/>
    <w:pPr>
      <w:spacing w:before="60" w:after="0"/>
      <w:ind w:right="4649"/>
      <w:jc w:val="both"/>
    </w:pPr>
    <w:rPr>
      <w:rFonts w:ascii="Arial" w:eastAsia="Times New Roman" w:hAnsi="Arial" w:cs="Verdana"/>
      <w:i/>
      <w:sz w:val="16"/>
      <w:szCs w:val="16"/>
      <w:lang w:val="en-GB" w:eastAsia="en-GB" w:bidi="fr-FR"/>
    </w:rPr>
  </w:style>
  <w:style w:type="paragraph" w:customStyle="1" w:styleId="Bulletpoint">
    <w:name w:val="Bullet point"/>
    <w:basedOn w:val="Textodecuerpo"/>
    <w:rsid w:val="00BF4FFF"/>
    <w:pPr>
      <w:numPr>
        <w:numId w:val="6"/>
      </w:numPr>
      <w:spacing w:after="60"/>
      <w:ind w:right="4649"/>
      <w:jc w:val="both"/>
    </w:pPr>
    <w:rPr>
      <w:rFonts w:ascii="Arial" w:eastAsia="Times New Roman" w:hAnsi="Arial" w:cs="Verdana"/>
      <w:sz w:val="18"/>
      <w:szCs w:val="18"/>
      <w:lang w:val="fr-FR" w:eastAsia="en-GB" w:bidi="fr-FR"/>
    </w:rPr>
  </w:style>
  <w:style w:type="character" w:customStyle="1" w:styleId="BulletpointCar">
    <w:name w:val="Bullet point Car"/>
    <w:basedOn w:val="corpsdetexteCar0"/>
    <w:rsid w:val="00BF4FFF"/>
    <w:rPr>
      <w:rFonts w:ascii="Arial" w:hAnsi="Arial" w:cs="Verdana"/>
      <w:sz w:val="18"/>
      <w:szCs w:val="18"/>
      <w:lang w:val="fr-FR" w:eastAsia="en-GB" w:bidi="fr-FR"/>
    </w:rPr>
  </w:style>
  <w:style w:type="paragraph" w:customStyle="1" w:styleId="Titreinfo">
    <w:name w:val="Titre info"/>
    <w:basedOn w:val="Textodecuerpo"/>
    <w:next w:val="Textodecuerpo"/>
    <w:rsid w:val="00BF4FFF"/>
    <w:pPr>
      <w:keepNext/>
      <w:spacing w:after="60"/>
      <w:ind w:right="4649"/>
      <w:jc w:val="both"/>
    </w:pPr>
    <w:rPr>
      <w:rFonts w:ascii="Arial" w:eastAsia="Times New Roman" w:hAnsi="Arial" w:cs="Verdana"/>
      <w:b/>
      <w:color w:val="333399"/>
      <w:sz w:val="18"/>
      <w:szCs w:val="18"/>
      <w:lang w:val="fr-FR" w:eastAsia="en-GB" w:bidi="fr-FR"/>
    </w:rPr>
  </w:style>
  <w:style w:type="paragraph" w:customStyle="1" w:styleId="Titre4">
    <w:name w:val="Titre4"/>
    <w:basedOn w:val="Normal"/>
    <w:next w:val="Textodecuerpo"/>
    <w:rsid w:val="00BF4FFF"/>
    <w:pPr>
      <w:keepNext/>
      <w:spacing w:before="240" w:after="120"/>
      <w:ind w:right="4649"/>
    </w:pPr>
    <w:rPr>
      <w:rFonts w:ascii="Arial" w:eastAsia="Times New Roman" w:hAnsi="Arial"/>
      <w:b/>
      <w:bCs/>
      <w:color w:val="333399"/>
      <w:sz w:val="22"/>
      <w:lang w:val="fr-FR" w:eastAsia="en-GB"/>
    </w:rPr>
  </w:style>
  <w:style w:type="paragraph" w:customStyle="1" w:styleId="CarChar">
    <w:name w:val="Car Char"/>
    <w:basedOn w:val="Normal"/>
    <w:rsid w:val="00BF4FFF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numbering" w:customStyle="1" w:styleId="NoList1">
    <w:name w:val="No List1"/>
    <w:next w:val="Sinlista"/>
    <w:semiHidden/>
    <w:unhideWhenUsed/>
    <w:rsid w:val="00BF4FFF"/>
  </w:style>
  <w:style w:type="table" w:customStyle="1" w:styleId="TableGrid1">
    <w:name w:val="Table Grid1"/>
    <w:basedOn w:val="Tablanormal"/>
    <w:next w:val="Tablaconcuadrcula"/>
    <w:rsid w:val="00BF4FFF"/>
    <w:rPr>
      <w:rFonts w:ascii="Times New Roman" w:eastAsia="MS Mincho" w:hAnsi="Times New Roman"/>
      <w:snapToGrid w:val="0"/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news1">
    <w:name w:val="summary_news1"/>
    <w:rsid w:val="00BF4FFF"/>
    <w:rPr>
      <w:rFonts w:ascii="Arial" w:hAnsi="Arial" w:cs="Arial" w:hint="default"/>
      <w:b w:val="0"/>
      <w:bCs w:val="0"/>
      <w:color w:val="666666"/>
      <w:sz w:val="21"/>
      <w:szCs w:val="21"/>
    </w:rPr>
  </w:style>
  <w:style w:type="paragraph" w:customStyle="1" w:styleId="Body1">
    <w:name w:val="Body 1"/>
    <w:rsid w:val="00D8177B"/>
    <w:pPr>
      <w:outlineLvl w:val="0"/>
    </w:pPr>
    <w:rPr>
      <w:rFonts w:ascii="Times New Roman" w:eastAsia="Arial Unicode MS" w:hAnsi="Times New Roman"/>
      <w:color w:val="000000"/>
      <w:szCs w:val="20"/>
      <w:u w:color="000000"/>
    </w:rPr>
  </w:style>
  <w:style w:type="paragraph" w:styleId="Lista2">
    <w:name w:val="List 2"/>
    <w:basedOn w:val="Normal"/>
    <w:rsid w:val="00B527E0"/>
    <w:pPr>
      <w:numPr>
        <w:numId w:val="7"/>
      </w:numPr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2887</Words>
  <Characters>15881</Characters>
  <Application>Microsoft Macintosh Word</Application>
  <DocSecurity>0</DocSecurity>
  <Lines>132</Lines>
  <Paragraphs>37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18731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2</cp:revision>
  <cp:lastPrinted>2013-10-28T21:42:00Z</cp:lastPrinted>
  <dcterms:created xsi:type="dcterms:W3CDTF">2014-10-24T09:44:00Z</dcterms:created>
  <dcterms:modified xsi:type="dcterms:W3CDTF">2014-10-24T09:44:00Z</dcterms:modified>
</cp:coreProperties>
</file>