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1A" w:rsidRDefault="00670F1A" w:rsidP="0013303A">
      <w:pPr>
        <w:keepNext/>
        <w:spacing w:after="230"/>
        <w:jc w:val="right"/>
        <w:outlineLvl w:val="0"/>
        <w:rPr>
          <w:rFonts w:cs="Times"/>
          <w:b/>
          <w:color w:val="808080"/>
        </w:rPr>
      </w:pPr>
    </w:p>
    <w:p w:rsidR="00670F1A" w:rsidRDefault="00670F1A" w:rsidP="0013303A">
      <w:pPr>
        <w:keepNext/>
        <w:spacing w:after="230"/>
        <w:jc w:val="right"/>
        <w:outlineLvl w:val="0"/>
        <w:rPr>
          <w:rFonts w:cs="Times"/>
          <w:b/>
          <w:color w:val="808080"/>
        </w:rPr>
      </w:pPr>
    </w:p>
    <w:p w:rsidR="0013303A" w:rsidRPr="00175D76" w:rsidRDefault="0013303A" w:rsidP="0013303A">
      <w:pPr>
        <w:keepNext/>
        <w:spacing w:after="230"/>
        <w:jc w:val="right"/>
        <w:outlineLvl w:val="0"/>
        <w:rPr>
          <w:rFonts w:cs="Times"/>
          <w:b/>
          <w:color w:val="808080"/>
        </w:rPr>
        <w:bidi w:val="0"/>
      </w:pPr>
      <w:r>
        <w:rPr>
          <w:rFonts w:cs="Times"/>
          <w:color w:val="808080"/>
          <w:lang w:val="pt"/>
          <w:b w:val="1"/>
          <w:bCs w:val="1"/>
          <w:i w:val="0"/>
          <w:iCs w:val="0"/>
          <w:u w:val="none"/>
          <w:rtl w:val="0"/>
        </w:rPr>
        <w:t xml:space="preserve">INFORMAÇÃO DE IMPRENSA</w:t>
      </w:r>
      <w:r>
        <w:rPr>
          <w:rFonts w:cs="Times"/>
          <w:color w:val="808080"/>
          <w:lang w:val="pt"/>
          <w:b w:val="0"/>
          <w:bCs w:val="0"/>
          <w:i w:val="0"/>
          <w:iCs w:val="0"/>
          <w:u w:val="none"/>
          <w:rtl w:val="0"/>
        </w:rPr>
        <w:br w:type="textWrapping"/>
      </w:r>
      <w:r>
        <w:rPr>
          <w:rFonts w:cs="Times"/>
          <w:color w:val="808080"/>
          <w:lang w:val="pt"/>
          <w:b w:val="0"/>
          <w:bCs w:val="0"/>
          <w:i w:val="0"/>
          <w:iCs w:val="0"/>
          <w:u w:val="none"/>
          <w:rtl w:val="0"/>
        </w:rPr>
        <w:fldChar w:fldCharType="begin"/>
      </w:r>
      <w:r>
        <w:rPr>
          <w:rFonts w:cs="Times"/>
          <w:color w:val="808080"/>
          <w:lang w:val="pt"/>
          <w:b w:val="0"/>
          <w:bCs w:val="0"/>
          <w:i w:val="0"/>
          <w:iCs w:val="0"/>
          <w:u w:val="none"/>
          <w:rtl w:val="0"/>
        </w:rPr>
        <w:instrText xml:space="preserve"> TIME \@ "dd/MM/yyyy" </w:instrText>
      </w:r>
      <w:r>
        <w:rPr>
          <w:rFonts w:cs="Times"/>
          <w:color w:val="808080"/>
          <w:lang w:val="pt"/>
          <w:b w:val="0"/>
          <w:bCs w:val="0"/>
          <w:i w:val="0"/>
          <w:iCs w:val="0"/>
          <w:u w:val="none"/>
          <w:rtl w:val="0"/>
        </w:rPr>
        <w:fldChar w:fldCharType="separate"/>
      </w:r>
      <w:r>
        <w:rPr>
          <w:rFonts w:cs="Times"/>
          <w:noProof/>
          <w:color w:val="808080"/>
          <w:lang w:val="pt"/>
          <w:b w:val="0"/>
          <w:bCs w:val="0"/>
          <w:i w:val="0"/>
          <w:iCs w:val="0"/>
          <w:u w:val="none"/>
          <w:rtl w:val="0"/>
        </w:rPr>
        <w:t xml:space="preserve">18/02/2014</w:t>
      </w:r>
      <w:r>
        <w:rPr>
          <w:rFonts w:cs="Times"/>
          <w:color w:val="808080"/>
          <w:lang w:val="pt"/>
          <w:b w:val="0"/>
          <w:bCs w:val="0"/>
          <w:i w:val="0"/>
          <w:iCs w:val="0"/>
          <w:u w:val="none"/>
          <w:rtl w:val="0"/>
        </w:rPr>
        <w:fldChar w:fldCharType="end"/>
      </w:r>
    </w:p>
    <w:p w:rsidR="001466B0" w:rsidRPr="00175D76" w:rsidRDefault="001466B0" w:rsidP="001466B0">
      <w:pPr>
        <w:pStyle w:val="TITULARMICHELIN"/>
        <w:spacing w:after="230"/>
        <w:rPr>
          <w:rFonts w:ascii="Arial" w:hAnsi="Arial" w:cs="Arial"/>
          <w:szCs w:val="26"/>
        </w:rPr>
      </w:pPr>
    </w:p>
    <w:p w:rsidR="0013303A" w:rsidRPr="00175D76" w:rsidRDefault="0013303A" w:rsidP="001466B0">
      <w:pPr>
        <w:pStyle w:val="TITULARMICHELIN"/>
        <w:spacing w:after="120"/>
        <w:rPr>
          <w:szCs w:val="26"/>
        </w:rPr>
      </w:pPr>
    </w:p>
    <w:p w:rsidR="001466B0" w:rsidRPr="00175D76" w:rsidRDefault="00A63386" w:rsidP="001466B0">
      <w:pPr>
        <w:pStyle w:val="TITULARMICHELIN"/>
        <w:spacing w:after="120"/>
        <w:rPr>
          <w:rFonts w:ascii="Utopia" w:hAnsi="Utopia"/>
          <w:sz w:val="28"/>
        </w:rPr>
        <w:bidi w:val="0"/>
      </w:pPr>
      <w:r>
        <w:rPr>
          <w:szCs w:val="26"/>
          <w:lang w:val="pt"/>
          <w:b w:val="1"/>
          <w:bCs w:val="1"/>
          <w:i w:val="0"/>
          <w:iCs w:val="0"/>
          <w:u w:val="none"/>
          <w:rtl w:val="0"/>
        </w:rPr>
        <w:t xml:space="preserve">MICHELIN Total Performance Award</w:t>
      </w:r>
    </w:p>
    <w:p w:rsidR="001466B0" w:rsidRPr="00175D76" w:rsidRDefault="00EB3088" w:rsidP="001466B0">
      <w:pPr>
        <w:pStyle w:val="SUBTITULOMichelinOK"/>
        <w:spacing w:after="230"/>
        <w:rPr/>
        <w:bidi w:val="0"/>
      </w:pPr>
      <w:r>
        <w:rPr>
          <w:lang w:val="pt"/>
          <w:b w:val="1"/>
          <w:bCs w:val="1"/>
          <w:i w:val="0"/>
          <w:iCs w:val="0"/>
          <w:u w:val="none"/>
          <w:rtl w:val="0"/>
        </w:rPr>
        <w:t xml:space="preserve">Um milhão de euros para fomentar a inovação</w:t>
      </w:r>
      <w:r>
        <w:rPr>
          <w:lang w:val="pt"/>
          <w:b w:val="0"/>
          <w:bCs w:val="0"/>
          <w:i w:val="0"/>
          <w:iCs w:val="0"/>
          <w:u w:val="none"/>
          <w:rtl w:val="0"/>
        </w:rPr>
        <w:t xml:space="preserve"> </w:t>
      </w:r>
      <w:r>
        <w:rPr>
          <w:lang w:val="pt"/>
          <w:b w:val="0"/>
          <w:bCs w:val="0"/>
          <w:i w:val="0"/>
          <w:iCs w:val="0"/>
          <w:u w:val="none"/>
          <w:rtl w:val="0"/>
        </w:rPr>
        <w:br w:type="textWrapping"/>
      </w:r>
      <w:r>
        <w:rPr>
          <w:lang w:val="pt"/>
          <w:b w:val="1"/>
          <w:bCs w:val="1"/>
          <w:i w:val="0"/>
          <w:iCs w:val="0"/>
          <w:u w:val="none"/>
          <w:rtl w:val="0"/>
        </w:rPr>
        <w:t xml:space="preserve">no âmbito da mobilidade sustentável</w:t>
      </w:r>
      <w:r>
        <w:rPr>
          <w:lang w:val="pt"/>
          <w:b w:val="0"/>
          <w:bCs w:val="0"/>
          <w:i w:val="0"/>
          <w:iCs w:val="0"/>
          <w:u w:val="none"/>
          <w:rtl w:val="0"/>
        </w:rPr>
        <w:t xml:space="preserve"> </w:t>
      </w:r>
    </w:p>
    <w:p w:rsidR="00544E75" w:rsidRPr="00B666DB" w:rsidRDefault="002838AE" w:rsidP="002838AE">
      <w:pPr>
        <w:pStyle w:val="TextoMichelin"/>
        <w:rPr>
          <w:rFonts w:ascii="Times" w:hAnsi="Times" w:cs="Frutiger 55 Roman"/>
          <w:b/>
          <w:bCs/>
          <w:i/>
          <w:iCs/>
          <w:snapToGrid w:val="0"/>
          <w:color w:val="333399"/>
          <w:sz w:val="25"/>
          <w:szCs w:val="28"/>
        </w:rPr>
        <w:bidi w:val="0"/>
      </w:pPr>
      <w:r>
        <w:rPr>
          <w:rFonts w:ascii="Times" w:hAnsi="Times" w:cs="Frutiger 55 Roman"/>
          <w:snapToGrid w:val="0"/>
          <w:color w:val="333399"/>
          <w:sz w:val="25"/>
          <w:szCs w:val="28"/>
          <w:lang w:val="pt"/>
          <w:b w:val="1"/>
          <w:bCs w:val="1"/>
          <w:i w:val="1"/>
          <w:iCs w:val="1"/>
          <w:u w:val="none"/>
          <w:rtl w:val="0"/>
        </w:rPr>
        <w:t xml:space="preserve">O novo prémio MICHELIN Total Performance Award, destinado a acelerar a inovação tanto no âmbito da mobilidade sustentável como na competição, será concedido pela primeira vez na edição de 2014 das 24 Horas de Le Mans no próximo mês de junho, tal como se anunciou.</w:t>
      </w:r>
      <w:r>
        <w:rPr>
          <w:rFonts w:ascii="Times" w:hAnsi="Times" w:cs="Frutiger 55 Roman"/>
          <w:snapToGrid w:val="0"/>
          <w:color w:val="333399"/>
          <w:sz w:val="25"/>
          <w:szCs w:val="28"/>
          <w:lang w:val="pt"/>
          <w:b w:val="0"/>
          <w:bCs w:val="0"/>
          <w:i w:val="0"/>
          <w:iCs w:val="0"/>
          <w:u w:val="none"/>
          <w:rtl w:val="0"/>
        </w:rPr>
        <w:t xml:space="preserve"> </w:t>
      </w:r>
      <w:r>
        <w:rPr>
          <w:rFonts w:ascii="Times" w:hAnsi="Times" w:cs="Frutiger 55 Roman"/>
          <w:snapToGrid w:val="0"/>
          <w:color w:val="333399"/>
          <w:sz w:val="25"/>
          <w:szCs w:val="28"/>
          <w:lang w:val="pt"/>
          <w:b w:val="1"/>
          <w:bCs w:val="1"/>
          <w:i w:val="1"/>
          <w:iCs w:val="1"/>
          <w:u w:val="none"/>
          <w:rtl w:val="0"/>
        </w:rPr>
        <w:t xml:space="preserve">Este prémio, que conta com o apoio dos órgãos diretivos das competições de resistência, segue as orientações marcadas pela nova regulamentação técnica.</w:t>
      </w:r>
      <w:r>
        <w:rPr>
          <w:rFonts w:ascii="Times" w:hAnsi="Times" w:cs="Frutiger 55 Roman"/>
          <w:snapToGrid w:val="0"/>
          <w:color w:val="333399"/>
          <w:sz w:val="25"/>
          <w:szCs w:val="28"/>
          <w:lang w:val="pt"/>
          <w:b w:val="0"/>
          <w:bCs w:val="0"/>
          <w:i w:val="0"/>
          <w:iCs w:val="0"/>
          <w:u w:val="none"/>
          <w:rtl w:val="0"/>
        </w:rPr>
        <w:t xml:space="preserve"> </w:t>
      </w:r>
    </w:p>
    <w:p w:rsidR="00B666DB" w:rsidRDefault="00B666DB" w:rsidP="00D646F1">
      <w:pPr>
        <w:pStyle w:val="TextoMichelin"/>
        <w:rPr>
          <w:bCs/>
        </w:rPr>
        <w:bidi w:val="0"/>
      </w:pPr>
      <w:r>
        <w:rPr>
          <w:lang w:val="pt"/>
          <w:b w:val="0"/>
          <w:bCs w:val="0"/>
          <w:i w:val="0"/>
          <w:iCs w:val="0"/>
          <w:u w:val="none"/>
          <w:rtl w:val="0"/>
        </w:rPr>
        <w:t xml:space="preserve">O prémio recompensará o primeiro concorrente que consiga cumprir cinco critérios que conjuguem performances de duração e eficiência energética. Quando houver um vencedor, o milhão de euros de dotação do prémio será destinado a financiar projetos de investigação em matéria de mobilidade sustentável numa instituição académica independente.</w:t>
      </w:r>
    </w:p>
    <w:p w:rsidR="007A45E4" w:rsidRDefault="004534E7" w:rsidP="00D646F1">
      <w:pPr>
        <w:pStyle w:val="TextoMichelin"/>
        <w:rPr>
          <w:bCs/>
        </w:rPr>
        <w:bidi w:val="0"/>
      </w:pPr>
      <w:r>
        <w:rPr>
          <w:lang w:val="pt"/>
          <w:b w:val="0"/>
          <w:bCs w:val="0"/>
          <w:i w:val="0"/>
          <w:iCs w:val="0"/>
          <w:u w:val="none"/>
          <w:rtl w:val="0"/>
        </w:rPr>
        <w:t xml:space="preserve">Esta iniciativa enquadra-se numa ação promovida pela Michelin há muito tempo, como explica Pascual Couasnon, </w:t>
      </w:r>
      <w:r>
        <w:rPr>
          <w:shd w:val="clear" w:color="auto" w:fill="FFFFFF"/>
          <w:lang w:val="pt"/>
          <w:b w:val="0"/>
          <w:bCs w:val="0"/>
          <w:i w:val="0"/>
          <w:iCs w:val="0"/>
          <w:u w:val="none"/>
          <w:rtl w:val="0"/>
        </w:rPr>
        <w:t xml:space="preserve">diretor da Michelin Motorsport: “Em competição, a Michelin é um parceiro tecnológico que contribui a dar sentido à disciplina. Com base neste princípio, e de acordo com o Automobile Club de l’Ouest, em 2009 introduzimos o </w:t>
      </w:r>
      <w:r>
        <w:rPr>
          <w:lang w:val="pt"/>
          <w:b w:val="0"/>
          <w:bCs w:val="0"/>
          <w:i w:val="0"/>
          <w:iCs w:val="0"/>
          <w:u w:val="none"/>
          <w:rtl w:val="0"/>
        </w:rPr>
        <w:t xml:space="preserve">MICHELIN Green X Challenge no regulamento de resistência, que já mede e premeia a eficiência energética dos participantes. A partir de este ano, o MICHELIN Total Performance Award continuará com o compromisso do Grupo com a competição, tanto do ponto de vista da sociedade como do meio ambiente”.</w:t>
      </w:r>
    </w:p>
    <w:p w:rsidR="00D646F1" w:rsidRPr="00175D76" w:rsidRDefault="00885F5B" w:rsidP="00A86FCD">
      <w:pPr>
        <w:pStyle w:val="TextoMichelin"/>
        <w:rPr>
          <w:bCs/>
        </w:rPr>
        <w:bidi w:val="0"/>
      </w:pPr>
      <w:r>
        <w:rPr>
          <w:lang w:val="pt"/>
          <w:b w:val="0"/>
          <w:bCs w:val="0"/>
          <w:i w:val="0"/>
          <w:iCs w:val="0"/>
          <w:u w:val="none"/>
          <w:rtl w:val="0"/>
        </w:rPr>
        <w:t xml:space="preserve">Assim como os investigadores da Michelin se esforçam em reunir num mesmo pneu performances em princípio antagonistas no quadro da estratégia Michelin Total Performance, os participantes nas 24 Horas de Le Mans devem realizar uma autêntica façanha para ganhar o MICHELIN Total Performance Award. “Queremos verdadeiramente recompensar uma vitória única no mundo que supõe uma proeza em termos de rendimento, duração e eficiência energética”, sublinha Olivier Vialle, diretor de marketing da Michelin Motorsport. </w:t>
      </w:r>
    </w:p>
    <w:p w:rsidR="00670F1A" w:rsidRDefault="00670F1A" w:rsidP="004F142A">
      <w:pPr>
        <w:pStyle w:val="TextoMichelin"/>
        <w:rPr>
          <w:bCs/>
        </w:rPr>
        <w:bidi w:val="0"/>
      </w:pPr>
      <w:r>
        <w:rPr>
          <w:lang w:val="pt"/>
          <w:b w:val="0"/>
          <w:bCs w:val="0"/>
          <w:i w:val="0"/>
          <w:iCs w:val="0"/>
          <w:u w:val="none"/>
          <w:rtl w:val="0"/>
        </w:rPr>
        <w:br w:type="column"/>
      </w:r>
    </w:p>
    <w:p w:rsidR="00670F1A" w:rsidRDefault="00670F1A" w:rsidP="004F142A">
      <w:pPr>
        <w:pStyle w:val="TextoMichelin"/>
        <w:rPr>
          <w:bCs/>
        </w:rPr>
      </w:pPr>
    </w:p>
    <w:p w:rsidR="00081685" w:rsidRDefault="004F142A" w:rsidP="004F142A">
      <w:pPr>
        <w:pStyle w:val="TextoMichelin"/>
        <w:rPr>
          <w:bCs/>
        </w:rPr>
        <w:bidi w:val="0"/>
      </w:pPr>
      <w:r>
        <w:rPr>
          <w:lang w:val="pt"/>
          <w:b w:val="0"/>
          <w:bCs w:val="0"/>
          <w:i w:val="0"/>
          <w:iCs w:val="0"/>
          <w:u w:val="none"/>
          <w:rtl w:val="0"/>
        </w:rPr>
        <w:t xml:space="preserve">Os cinco critérios que se vão ter em conta para atribuir o MICHELIN Total Performance Award implicam estes conceitos:</w:t>
      </w:r>
    </w:p>
    <w:p w:rsidR="00030A98" w:rsidRPr="00B0358D" w:rsidRDefault="00081685" w:rsidP="004C6223">
      <w:pPr>
        <w:pStyle w:val="TextoMichelin"/>
        <w:numPr>
          <w:ilvl w:val="0"/>
          <w:numId w:val="3"/>
        </w:numPr>
        <w:spacing w:after="0"/>
        <w:ind w:left="714" w:hanging="357"/>
        <w:rPr>
          <w:b/>
          <w:bCs/>
        </w:rPr>
        <w:bidi w:val="0"/>
      </w:pPr>
      <w:r>
        <w:rPr>
          <w:lang w:val="pt"/>
          <w:b w:val="1"/>
          <w:bCs w:val="1"/>
          <w:i w:val="0"/>
          <w:iCs w:val="0"/>
          <w:u w:val="none"/>
          <w:rtl w:val="0"/>
        </w:rPr>
        <w:t xml:space="preserve">Critério nº 1:</w:t>
      </w:r>
      <w:r>
        <w:rPr>
          <w:lang w:val="pt"/>
          <w:b w:val="0"/>
          <w:bCs w:val="0"/>
          <w:i w:val="0"/>
          <w:iCs w:val="0"/>
          <w:u w:val="none"/>
          <w:rtl w:val="0"/>
        </w:rPr>
        <w:t xml:space="preserve"> </w:t>
      </w:r>
      <w:r>
        <w:rPr>
          <w:lang w:val="pt"/>
          <w:b w:val="1"/>
          <w:bCs w:val="1"/>
          <w:i w:val="0"/>
          <w:iCs w:val="0"/>
          <w:u w:val="none"/>
          <w:rtl w:val="0"/>
        </w:rPr>
        <w:t xml:space="preserve">A vitória.</w:t>
      </w:r>
    </w:p>
    <w:p w:rsidR="00D646F1" w:rsidRPr="00030A98" w:rsidRDefault="00D646F1" w:rsidP="00670F1A">
      <w:pPr>
        <w:pStyle w:val="TextoMichelin"/>
        <w:ind w:left="720"/>
        <w:rPr>
          <w:bCs/>
        </w:rPr>
        <w:bidi w:val="0"/>
      </w:pPr>
      <w:r>
        <w:rPr>
          <w:lang w:val="pt"/>
          <w:b w:val="0"/>
          <w:bCs w:val="0"/>
          <w:i w:val="0"/>
          <w:iCs w:val="0"/>
          <w:u w:val="none"/>
          <w:rtl w:val="0"/>
        </w:rPr>
        <w:t xml:space="preserve">Só poderá optar ao prémio o vencedor da classificação geral das 24 Horas de Le Mans.</w:t>
      </w:r>
    </w:p>
    <w:p w:rsidR="00030A98" w:rsidRDefault="00081685" w:rsidP="00B0358D">
      <w:pPr>
        <w:pStyle w:val="TextoMichelin"/>
        <w:numPr>
          <w:ilvl w:val="0"/>
          <w:numId w:val="3"/>
        </w:numPr>
        <w:spacing w:after="0"/>
        <w:ind w:left="714" w:hanging="357"/>
        <w:rPr>
          <w:bCs/>
        </w:rPr>
        <w:bidi w:val="0"/>
      </w:pPr>
      <w:r>
        <w:rPr>
          <w:lang w:val="pt"/>
          <w:b w:val="1"/>
          <w:bCs w:val="1"/>
          <w:i w:val="0"/>
          <w:iCs w:val="0"/>
          <w:u w:val="none"/>
          <w:rtl w:val="0"/>
        </w:rPr>
        <w:t xml:space="preserve">Critério nº 2:</w:t>
      </w:r>
      <w:r>
        <w:rPr>
          <w:lang w:val="pt"/>
          <w:b w:val="0"/>
          <w:bCs w:val="0"/>
          <w:i w:val="0"/>
          <w:iCs w:val="0"/>
          <w:u w:val="none"/>
          <w:rtl w:val="0"/>
        </w:rPr>
        <w:t xml:space="preserve"> </w:t>
      </w:r>
      <w:r>
        <w:rPr>
          <w:lang w:val="pt"/>
          <w:b w:val="1"/>
          <w:bCs w:val="1"/>
          <w:i w:val="0"/>
          <w:iCs w:val="0"/>
          <w:u w:val="none"/>
          <w:rtl w:val="0"/>
        </w:rPr>
        <w:t xml:space="preserve">Rendimento numa volta</w:t>
      </w:r>
      <w:r>
        <w:rPr>
          <w:lang w:val="pt"/>
          <w:b w:val="0"/>
          <w:bCs w:val="0"/>
          <w:i w:val="0"/>
          <w:iCs w:val="0"/>
          <w:u w:val="none"/>
          <w:rtl w:val="0"/>
        </w:rPr>
        <w:t xml:space="preserve">.</w:t>
      </w:r>
    </w:p>
    <w:p w:rsidR="00D646F1" w:rsidRPr="00030A98" w:rsidRDefault="004C6223" w:rsidP="00030A98">
      <w:pPr>
        <w:pStyle w:val="TextoMichelin"/>
        <w:ind w:left="720"/>
        <w:rPr>
          <w:bCs/>
        </w:rPr>
        <w:bidi w:val="0"/>
      </w:pPr>
      <w:r>
        <w:rPr>
          <w:lang w:val="pt"/>
          <w:b w:val="0"/>
          <w:bCs w:val="0"/>
          <w:i w:val="0"/>
          <w:iCs w:val="0"/>
          <w:u w:val="none"/>
          <w:rtl w:val="0"/>
        </w:rPr>
        <w:t xml:space="preserve">O automóvel vencedor deve ter realizado a melhor volta na corrida.</w:t>
      </w:r>
    </w:p>
    <w:p w:rsidR="003B50D7" w:rsidRPr="003B50D7" w:rsidRDefault="00081685" w:rsidP="00B0358D">
      <w:pPr>
        <w:pStyle w:val="TextoMichelin"/>
        <w:numPr>
          <w:ilvl w:val="0"/>
          <w:numId w:val="3"/>
        </w:numPr>
        <w:spacing w:after="0"/>
        <w:ind w:hanging="357"/>
        <w:rPr>
          <w:bCs/>
        </w:rPr>
        <w:bidi w:val="0"/>
      </w:pPr>
      <w:r>
        <w:rPr>
          <w:lang w:val="pt"/>
          <w:b w:val="1"/>
          <w:bCs w:val="1"/>
          <w:i w:val="0"/>
          <w:iCs w:val="0"/>
          <w:u w:val="none"/>
          <w:rtl w:val="0"/>
        </w:rPr>
        <w:t xml:space="preserve">Critério nº 3:</w:t>
      </w:r>
      <w:r>
        <w:rPr>
          <w:lang w:val="pt"/>
          <w:b w:val="0"/>
          <w:bCs w:val="0"/>
          <w:i w:val="0"/>
          <w:iCs w:val="0"/>
          <w:u w:val="none"/>
          <w:rtl w:val="0"/>
        </w:rPr>
        <w:t xml:space="preserve"> </w:t>
      </w:r>
      <w:r>
        <w:rPr>
          <w:lang w:val="pt"/>
          <w:b w:val="1"/>
          <w:bCs w:val="1"/>
          <w:i w:val="0"/>
          <w:iCs w:val="0"/>
          <w:u w:val="none"/>
          <w:rtl w:val="0"/>
        </w:rPr>
        <w:t xml:space="preserve">Uma distância record.</w:t>
      </w:r>
    </w:p>
    <w:p w:rsidR="000926C8" w:rsidRDefault="00A94098" w:rsidP="003B50D7">
      <w:pPr>
        <w:pStyle w:val="TextoMichelin"/>
        <w:spacing w:after="0"/>
        <w:ind w:left="720"/>
        <w:rPr>
          <w:bCs/>
        </w:rPr>
        <w:bidi w:val="0"/>
      </w:pPr>
      <w:r>
        <w:rPr>
          <w:lang w:val="pt"/>
          <w:b w:val="0"/>
          <w:bCs w:val="0"/>
          <w:i w:val="0"/>
          <w:iCs w:val="0"/>
          <w:u w:val="none"/>
          <w:rtl w:val="0"/>
        </w:rPr>
        <w:t xml:space="preserve">A equipa vencedora deve percorrer uma distância superior ao record da prova. Esta referência, estabelecida em 2011, é atualmente de 5.410 km cobertos em 24 horas.</w:t>
      </w:r>
    </w:p>
    <w:p w:rsidR="00D646F1" w:rsidRPr="003B50D7" w:rsidRDefault="00D646F1" w:rsidP="003B50D7">
      <w:pPr>
        <w:pStyle w:val="TextoMichelin"/>
        <w:spacing w:after="0"/>
        <w:rPr>
          <w:bCs/>
        </w:rPr>
      </w:pPr>
    </w:p>
    <w:p w:rsidR="0034635E" w:rsidRDefault="00081685" w:rsidP="0034635E">
      <w:pPr>
        <w:pStyle w:val="TextoMichelin"/>
        <w:numPr>
          <w:ilvl w:val="0"/>
          <w:numId w:val="3"/>
        </w:numPr>
        <w:spacing w:after="0"/>
        <w:ind w:left="714" w:hanging="357"/>
        <w:rPr>
          <w:bCs/>
        </w:rPr>
        <w:bidi w:val="0"/>
      </w:pPr>
      <w:r>
        <w:rPr>
          <w:lang w:val="pt"/>
          <w:b w:val="1"/>
          <w:bCs w:val="1"/>
          <w:i w:val="0"/>
          <w:iCs w:val="0"/>
          <w:u w:val="none"/>
          <w:rtl w:val="0"/>
        </w:rPr>
        <w:t xml:space="preserve">Critério nº 4:</w:t>
      </w:r>
      <w:r>
        <w:rPr>
          <w:lang w:val="pt"/>
          <w:b w:val="0"/>
          <w:bCs w:val="0"/>
          <w:i w:val="0"/>
          <w:iCs w:val="0"/>
          <w:u w:val="none"/>
          <w:rtl w:val="0"/>
        </w:rPr>
        <w:t xml:space="preserve"> </w:t>
      </w:r>
      <w:r>
        <w:rPr>
          <w:lang w:val="pt"/>
          <w:b w:val="1"/>
          <w:bCs w:val="1"/>
          <w:i w:val="0"/>
          <w:iCs w:val="0"/>
          <w:u w:val="none"/>
          <w:rtl w:val="0"/>
        </w:rPr>
        <w:t xml:space="preserve">Baixo consumo de combustível.</w:t>
      </w:r>
    </w:p>
    <w:p w:rsidR="00D646F1" w:rsidRPr="0034635E" w:rsidRDefault="0034635E" w:rsidP="0088209F">
      <w:pPr>
        <w:pStyle w:val="TextoMichelin"/>
        <w:ind w:left="720"/>
        <w:rPr>
          <w:bCs/>
        </w:rPr>
        <w:bidi w:val="0"/>
      </w:pPr>
      <w:r>
        <w:rPr>
          <w:lang w:val="pt"/>
          <w:b w:val="0"/>
          <w:bCs w:val="0"/>
          <w:i w:val="0"/>
          <w:iCs w:val="0"/>
          <w:u w:val="none"/>
          <w:rtl w:val="0"/>
        </w:rPr>
        <w:t xml:space="preserve">O vencedor deve mostrar um consumo de energia de menos de 15% em relação a uma referência de 2013, baseada no consumo energético médio dos veículos da classe LMP1.</w:t>
      </w:r>
    </w:p>
    <w:p w:rsidR="00D646F1" w:rsidRPr="00175D76" w:rsidRDefault="00081685" w:rsidP="000E63B0">
      <w:pPr>
        <w:pStyle w:val="TextoMichelin"/>
        <w:numPr>
          <w:ilvl w:val="0"/>
          <w:numId w:val="3"/>
        </w:numPr>
        <w:spacing w:after="0"/>
        <w:ind w:left="714" w:hanging="357"/>
        <w:rPr>
          <w:bCs/>
        </w:rPr>
        <w:bidi w:val="0"/>
      </w:pPr>
      <w:r>
        <w:rPr>
          <w:lang w:val="pt"/>
          <w:b w:val="1"/>
          <w:bCs w:val="1"/>
          <w:i w:val="0"/>
          <w:iCs w:val="0"/>
          <w:u w:val="none"/>
          <w:rtl w:val="0"/>
        </w:rPr>
        <w:t xml:space="preserve">Critério nº 5:</w:t>
      </w:r>
      <w:r>
        <w:rPr>
          <w:lang w:val="pt"/>
          <w:b w:val="0"/>
          <w:bCs w:val="0"/>
          <w:i w:val="0"/>
          <w:iCs w:val="0"/>
          <w:u w:val="none"/>
          <w:rtl w:val="0"/>
        </w:rPr>
        <w:t xml:space="preserve"> </w:t>
      </w:r>
      <w:r>
        <w:rPr>
          <w:lang w:val="pt"/>
          <w:b w:val="1"/>
          <w:bCs w:val="1"/>
          <w:i w:val="0"/>
          <w:iCs w:val="0"/>
          <w:u w:val="none"/>
          <w:rtl w:val="0"/>
        </w:rPr>
        <w:t xml:space="preserve">Baixo consumo de pneus.</w:t>
      </w:r>
      <w:r>
        <w:rPr>
          <w:lang w:val="pt"/>
          <w:b w:val="0"/>
          <w:bCs w:val="0"/>
          <w:i w:val="0"/>
          <w:iCs w:val="0"/>
          <w:u w:val="none"/>
          <w:rtl w:val="0"/>
        </w:rPr>
        <w:t xml:space="preserve"> </w:t>
      </w:r>
    </w:p>
    <w:p w:rsidR="000E63B0" w:rsidRDefault="00D646F1" w:rsidP="000E63B0">
      <w:pPr>
        <w:pStyle w:val="TextoMichelin"/>
        <w:ind w:left="708"/>
        <w:rPr>
          <w:bCs/>
        </w:rPr>
        <w:bidi w:val="0"/>
      </w:pPr>
      <w:r>
        <w:rPr>
          <w:lang w:val="pt"/>
          <w:b w:val="0"/>
          <w:bCs w:val="0"/>
          <w:i w:val="0"/>
          <w:iCs w:val="0"/>
          <w:u w:val="none"/>
          <w:rtl w:val="0"/>
        </w:rPr>
        <w:t xml:space="preserve">A quantidade de conjuntos de pneus usados pela equipa vencedora durante a corrida deve ser inferior ou igual a nove.</w:t>
      </w:r>
    </w:p>
    <w:p w:rsidR="0075262D" w:rsidRDefault="00A76FBA" w:rsidP="008669D4">
      <w:pPr>
        <w:pStyle w:val="TextoMichelin"/>
        <w:rPr>
          <w:bCs/>
        </w:rPr>
        <w:bidi w:val="0"/>
      </w:pPr>
      <w:r>
        <w:rPr>
          <w:lang w:val="pt"/>
          <w:b w:val="0"/>
          <w:bCs w:val="0"/>
          <w:i w:val="0"/>
          <w:iCs w:val="0"/>
          <w:u w:val="none"/>
          <w:rtl w:val="0"/>
        </w:rPr>
        <w:t xml:space="preserve">Cumprir estes cinco critérios realmente representa um enorme desafio para os participantes. “Este prémio nasce para entregar-se”, insiste Olivier Vialle. “Procuramos adotar critérios ambiciosos mas que nos parecem totalmente alcançáveis. Claro está, para poder bater o record da distância, os competidores devem contar com elementos favoráveis como uma boa meteorologia ou poucas neutralizações da corrida. Igualmente, respeitar o critério relativo aos pneus será um desafio por si só, tendo em conta os pneus mais pequenos que vão entrar em serviço esta temporada. Talvez não seja possível responder este ano a estas cinco condições estabelecidas… Neste caso, o MICHELIN Total Performance Award entrará em jogo em 2015 e nos anos seguintes até que um participante reúna todos os critérios”.</w:t>
      </w:r>
    </w:p>
    <w:p w:rsidR="00185D58" w:rsidRDefault="00185D58" w:rsidP="00D646F1">
      <w:pPr>
        <w:pStyle w:val="TextoMichelin"/>
        <w:rPr>
          <w:bCs/>
        </w:rPr>
        <w:bidi w:val="0"/>
      </w:pPr>
      <w:r>
        <w:rPr>
          <w:lang w:val="pt"/>
          <w:b w:val="0"/>
          <w:bCs w:val="0"/>
          <w:i w:val="0"/>
          <w:iCs w:val="0"/>
          <w:u w:val="none"/>
          <w:rtl w:val="0"/>
        </w:rPr>
        <w:t xml:space="preserve">O MICHELIN Total Performance Award premiará o participante mais eficiente independentemente da marca de pneus que usar.</w:t>
      </w:r>
    </w:p>
    <w:p w:rsidR="008A7629" w:rsidRDefault="005E2509" w:rsidP="00D92770">
      <w:pPr>
        <w:pStyle w:val="TextoMichelin"/>
        <w:rPr>
          <w:bCs/>
        </w:rPr>
        <w:bidi w:val="0"/>
      </w:pPr>
      <w:r>
        <w:rPr>
          <w:lang w:val="pt"/>
          <w:b w:val="0"/>
          <w:bCs w:val="0"/>
          <w:i w:val="0"/>
          <w:iCs w:val="0"/>
          <w:u w:val="none"/>
          <w:rtl w:val="0"/>
        </w:rPr>
        <w:t xml:space="preserve">Este premio é fiel a uma longa tradição da Michelin que, já em 1908, criou um Grand Prix MICHELIN, com uma dotação de 100.000 francos, para recompensar o primeiro aviador capaz de descolar de Paris e aterrar no cume do Puy de Dôme, na Auvergne. Este prémio, que equivaleria a 400.000 euros atuais, foi ganho por Eugène Renaux três anos mais tarde. </w:t>
      </w:r>
    </w:p>
    <w:p w:rsidR="00A96192" w:rsidRDefault="00A96192" w:rsidP="00E77811">
      <w:pPr>
        <w:pStyle w:val="TextoMichelin"/>
        <w:rPr>
          <w:bCs/>
        </w:rPr>
        <w:bidi w:val="0"/>
      </w:pPr>
      <w:r>
        <w:rPr>
          <w:lang w:val="pt"/>
          <w:b w:val="0"/>
          <w:bCs w:val="0"/>
          <w:i w:val="0"/>
          <w:iCs w:val="0"/>
          <w:u w:val="none"/>
          <w:rtl w:val="0"/>
        </w:rPr>
        <w:br w:type="column"/>
      </w:r>
    </w:p>
    <w:p w:rsidR="00A96192" w:rsidRDefault="00A96192" w:rsidP="00E77811">
      <w:pPr>
        <w:pStyle w:val="TextoMichelin"/>
        <w:rPr>
          <w:bCs/>
        </w:rPr>
      </w:pPr>
    </w:p>
    <w:p w:rsidR="00E77811" w:rsidRDefault="00255230" w:rsidP="00E77811">
      <w:pPr>
        <w:pStyle w:val="TextoMichelin"/>
        <w:rPr>
          <w:bCs/>
        </w:rPr>
        <w:bidi w:val="0"/>
      </w:pPr>
      <w:r>
        <w:rPr>
          <w:lang w:val="pt"/>
          <w:b w:val="0"/>
          <w:bCs w:val="0"/>
          <w:i w:val="0"/>
          <w:iCs w:val="0"/>
          <w:u w:val="none"/>
          <w:rtl w:val="0"/>
        </w:rPr>
        <w:t xml:space="preserve">O MICHELIN Total Performance Award é mais uma mostra do envolvimento do Grupo na procura de uma mobilidade mais sustentável. A isto a companhia soma contínuas investigações técnicas, assim como outras numerosas iniciativas como o MICHELIN Challenge Bibendum, cuja próxima edição decorrerá este ano na China.</w:t>
      </w:r>
    </w:p>
    <w:p w:rsidR="00D646F1" w:rsidRPr="00175D76" w:rsidRDefault="00D646F1" w:rsidP="00FC4CD7">
      <w:pPr>
        <w:pStyle w:val="TextoMichelin"/>
        <w:rPr>
          <w:bCs/>
        </w:rPr>
      </w:pPr>
    </w:p>
    <w:p w:rsidR="001466B0" w:rsidRPr="00175D76" w:rsidRDefault="001466B0" w:rsidP="00FC4CD7">
      <w:pPr>
        <w:pStyle w:val="titulocapitulodossier"/>
        <w:rPr>
          <w:rFonts w:ascii="Arial" w:hAnsi="Arial"/>
          <w:bCs/>
          <w:color w:val="808080"/>
          <w:sz w:val="18"/>
          <w:szCs w:val="18"/>
        </w:rPr>
      </w:pPr>
    </w:p>
    <w:p w:rsidR="00F951CA" w:rsidRDefault="00F951CA" w:rsidP="00F951CA">
      <w:pPr>
        <w:autoSpaceDE w:val="0"/>
        <w:autoSpaceDN w:val="0"/>
        <w:adjustRightInd w:val="0"/>
        <w:spacing w:line="240" w:lineRule="atLeast"/>
        <w:jc w:val="both"/>
        <w:rPr>
          <w:rFonts w:ascii="Arial" w:hAnsi="Arial" w:cs="Arial"/>
          <w:sz w:val="22"/>
        </w:rPr>
        <w:bidi w:val="0"/>
      </w:pPr>
      <w:r>
        <w:rPr>
          <w:lang w:val="pt"/>
          <w:b w:val="0"/>
          <w:bCs w:val="0"/>
          <w:i w:val="1"/>
          <w:iCs w:val="1"/>
          <w:u w:val="none"/>
          <w:rtl w:val="0"/>
        </w:rPr>
        <w:t xml:space="preserve">A missão da </w:t>
      </w:r>
      <w:r>
        <w:rPr>
          <w:lang w:val="pt"/>
          <w:b w:val="1"/>
          <w:bCs w:val="1"/>
          <w:i w:val="1"/>
          <w:iCs w:val="1"/>
          <w:u w:val="none"/>
          <w:rtl w:val="0"/>
        </w:rPr>
        <w:t xml:space="preserve">Michelin,</w:t>
      </w:r>
      <w:r>
        <w:rPr>
          <w:lang w:val="pt"/>
          <w:b w:val="0"/>
          <w:bCs w:val="0"/>
          <w:i w:val="1"/>
          <w:iCs w:val="1"/>
          <w:u w:val="none"/>
          <w:rtl w:val="0"/>
        </w:rPr>
        <w:t xml:space="preserve"> líder do setor do pneu, é contribuir de maneira sustentável para a mobilidade das pessoas e dos bens.</w:t>
      </w:r>
      <w:r>
        <w:rPr>
          <w:lang w:val="pt"/>
          <w:b w:val="0"/>
          <w:bCs w:val="0"/>
          <w:i w:val="0"/>
          <w:iCs w:val="0"/>
          <w:u w:val="none"/>
          <w:rtl w:val="0"/>
        </w:rPr>
        <w:t xml:space="preserve"> </w:t>
      </w:r>
      <w:r>
        <w:rPr>
          <w:lang w:val="pt"/>
          <w:b w:val="0"/>
          <w:bCs w:val="0"/>
          <w:i w:val="1"/>
          <w:iCs w:val="1"/>
          <w:u w:val="none"/>
          <w:rtl w:val="0"/>
        </w:rPr>
        <w:t xml:space="preserve">Por esta razão, o Grupo fabrica e comercializa pneus para todo o tipo de viaturas, desde aviões até automóveis, veículos de duas rodas, engenharia civil, agricultura e camiões.</w:t>
      </w:r>
      <w:r>
        <w:rPr>
          <w:lang w:val="pt"/>
          <w:b w:val="0"/>
          <w:bCs w:val="0"/>
          <w:i w:val="0"/>
          <w:iCs w:val="0"/>
          <w:u w:val="none"/>
          <w:rtl w:val="0"/>
        </w:rPr>
        <w:t xml:space="preserve"> </w:t>
      </w:r>
      <w:r>
        <w:rPr>
          <w:lang w:val="pt"/>
          <w:b w:val="0"/>
          <w:bCs w:val="0"/>
          <w:i w:val="1"/>
          <w:iCs w:val="1"/>
          <w:u w:val="none"/>
          <w:rtl w:val="0"/>
        </w:rPr>
        <w:t xml:space="preserve">A Michelin também propõe serviços informáticos de ajuda à mobilidade (ViaMichelin.com), e edita guias turísticos, de hotéis e restaurantes, mapas e Atlas de estradas.</w:t>
      </w:r>
      <w:r>
        <w:rPr>
          <w:lang w:val="pt"/>
          <w:b w:val="0"/>
          <w:bCs w:val="0"/>
          <w:i w:val="0"/>
          <w:iCs w:val="0"/>
          <w:u w:val="none"/>
          <w:rtl w:val="0"/>
        </w:rPr>
        <w:t xml:space="preserve"> </w:t>
      </w:r>
      <w:r>
        <w:rPr>
          <w:lang w:val="pt"/>
          <w:b w:val="0"/>
          <w:bCs w:val="0"/>
          <w:i w:val="1"/>
          <w:iCs w:val="1"/>
          <w:u w:val="none"/>
          <w:rtl w:val="0"/>
        </w:rPr>
        <w:t xml:space="preserve">O Grupo, que tem a sua sede em Clermont-Ferrand (França), está presente em mais de 170 países, emprega a 111.200 pessoas em todo o mundo e dispõe de 67 centros de produção implantados em 17 países diferentes.</w:t>
      </w:r>
      <w:r>
        <w:rPr>
          <w:lang w:val="pt"/>
          <w:b w:val="0"/>
          <w:bCs w:val="0"/>
          <w:i w:val="0"/>
          <w:iCs w:val="0"/>
          <w:u w:val="none"/>
          <w:rtl w:val="0"/>
        </w:rPr>
        <w:t xml:space="preserve"> </w:t>
      </w:r>
      <w:r>
        <w:rPr>
          <w:lang w:val="pt"/>
          <w:b w:val="0"/>
          <w:bCs w:val="0"/>
          <w:i w:val="1"/>
          <w:iCs w:val="1"/>
          <w:u w:val="none"/>
          <w:rtl w:val="0"/>
        </w:rPr>
        <w:t xml:space="preserve">O Grupo possui um Centro de Tecnologia que se encarrega da investigação e desenvolvimento com implantação na Europa, América do Norte e Ásia  (www.michelin.es).</w:t>
      </w:r>
      <w:r>
        <w:rPr>
          <w:rFonts w:ascii="Arial" w:hAnsi="Arial"/>
          <w:sz w:val="22"/>
          <w:lang w:val="pt"/>
          <w:b w:val="0"/>
          <w:bCs w:val="0"/>
          <w:i w:val="0"/>
          <w:iCs w:val="0"/>
          <w:u w:val="none"/>
          <w:rtl w:val="0"/>
        </w:rPr>
        <w:t xml:space="preserve"> </w:t>
      </w:r>
    </w:p>
    <w:p w:rsidR="001E5C06" w:rsidRPr="00175D76" w:rsidRDefault="001E5C06" w:rsidP="001E5C06">
      <w:pPr>
        <w:jc w:val="both"/>
        <w:rPr>
          <w:i/>
        </w:rPr>
      </w:pPr>
    </w:p>
    <w:p w:rsidR="001E5C06" w:rsidRPr="00175D76" w:rsidRDefault="001E5C06" w:rsidP="001E5C06">
      <w:pPr>
        <w:jc w:val="both"/>
        <w:rPr>
          <w:i/>
        </w:rPr>
      </w:pPr>
    </w:p>
    <w:p w:rsidR="001E5C06" w:rsidRPr="00175D76" w:rsidRDefault="001E5C06" w:rsidP="001E5C06">
      <w:pPr>
        <w:jc w:val="both"/>
        <w:rPr>
          <w:i/>
        </w:rPr>
      </w:pPr>
    </w:p>
    <w:p w:rsidR="001E5C06" w:rsidRPr="00175D76" w:rsidRDefault="001E5C06" w:rsidP="001E5C06">
      <w:pPr>
        <w:pStyle w:val="Footer"/>
        <w:outlineLvl w:val="0"/>
        <w:rPr>
          <w:rFonts w:ascii="Arial" w:hAnsi="Arial"/>
          <w:b/>
          <w:bCs/>
          <w:color w:val="808080"/>
          <w:sz w:val="18"/>
          <w:szCs w:val="18"/>
        </w:rPr>
      </w:pPr>
    </w:p>
    <w:p w:rsidR="001E5C06" w:rsidRPr="00175D76" w:rsidRDefault="001E5C06" w:rsidP="001E5C06">
      <w:pPr>
        <w:pStyle w:val="Footer"/>
        <w:outlineLvl w:val="0"/>
        <w:rPr>
          <w:rFonts w:ascii="Arial" w:hAnsi="Arial"/>
          <w:b/>
          <w:bCs/>
          <w:color w:val="808080"/>
          <w:sz w:val="18"/>
          <w:szCs w:val="18"/>
        </w:rPr>
      </w:pPr>
    </w:p>
    <w:p w:rsidR="001E5C06" w:rsidRPr="00175D76" w:rsidRDefault="001E5C06" w:rsidP="001E5C06">
      <w:pPr>
        <w:pStyle w:val="Footer"/>
        <w:outlineLvl w:val="0"/>
        <w:rPr>
          <w:rFonts w:ascii="Arial" w:hAnsi="Arial"/>
          <w:b/>
          <w:bCs/>
          <w:color w:val="808080"/>
          <w:sz w:val="18"/>
          <w:szCs w:val="18"/>
        </w:rPr>
      </w:pPr>
    </w:p>
    <w:p w:rsidR="001E5C06" w:rsidRPr="00175D76" w:rsidRDefault="001E5C06" w:rsidP="001E5C06">
      <w:pPr>
        <w:pStyle w:val="Footer"/>
        <w:outlineLvl w:val="0"/>
        <w:rPr>
          <w:rFonts w:ascii="Arial" w:hAnsi="Arial"/>
          <w:b/>
          <w:bCs/>
          <w:color w:val="808080"/>
          <w:sz w:val="18"/>
          <w:szCs w:val="18"/>
        </w:rPr>
        <w:bidi w:val="0"/>
      </w:pPr>
      <w:r>
        <w:rPr>
          <w:rFonts w:ascii="Arial" w:hAnsi="Arial"/>
          <w:color w:val="808080"/>
          <w:sz w:val="18"/>
          <w:szCs w:val="18"/>
          <w:lang w:val="pt"/>
          <w:b w:val="1"/>
          <w:bCs w:val="1"/>
          <w:i w:val="0"/>
          <w:iCs w:val="0"/>
          <w:u w:val="none"/>
          <w:rtl w:val="0"/>
        </w:rPr>
        <w:t xml:space="preserve">DEPARTAMENTO DE COMUNICAÇÃO</w:t>
      </w:r>
    </w:p>
    <w:p w:rsidR="001E5C06" w:rsidRPr="00175D76" w:rsidRDefault="001E5C06" w:rsidP="001E5C06">
      <w:pPr>
        <w:pStyle w:val="Footer"/>
        <w:outlineLvl w:val="0"/>
        <w:rPr>
          <w:rFonts w:ascii="Arial" w:hAnsi="Arial"/>
          <w:bCs/>
          <w:color w:val="808080"/>
          <w:sz w:val="18"/>
          <w:szCs w:val="18"/>
        </w:rPr>
        <w:bidi w:val="0"/>
      </w:pPr>
      <w:r>
        <w:rPr>
          <w:rFonts w:ascii="Arial" w:hAnsi="Arial"/>
          <w:color w:val="808080"/>
          <w:sz w:val="18"/>
          <w:szCs w:val="18"/>
          <w:lang w:val="pt"/>
          <w:b w:val="0"/>
          <w:bCs w:val="0"/>
          <w:i w:val="0"/>
          <w:iCs w:val="0"/>
          <w:u w:val="none"/>
          <w:rtl w:val="0"/>
        </w:rPr>
        <w:t xml:space="preserve">Avda. de los Encuartes, 19</w:t>
      </w:r>
    </w:p>
    <w:p w:rsidR="001E5C06" w:rsidRPr="00175D76" w:rsidRDefault="001E5C06" w:rsidP="001E5C06">
      <w:pPr>
        <w:pStyle w:val="Footer"/>
        <w:outlineLvl w:val="0"/>
        <w:rPr>
          <w:rFonts w:ascii="Arial" w:hAnsi="Arial"/>
          <w:bCs/>
          <w:color w:val="808080"/>
          <w:sz w:val="18"/>
          <w:szCs w:val="18"/>
        </w:rPr>
        <w:bidi w:val="0"/>
      </w:pPr>
      <w:r>
        <w:rPr>
          <w:rFonts w:ascii="Arial" w:hAnsi="Arial"/>
          <w:color w:val="808080"/>
          <w:sz w:val="18"/>
          <w:szCs w:val="18"/>
          <w:lang w:val="pt"/>
          <w:b w:val="0"/>
          <w:bCs w:val="0"/>
          <w:i w:val="0"/>
          <w:iCs w:val="0"/>
          <w:u w:val="none"/>
          <w:rtl w:val="0"/>
        </w:rPr>
        <w:t xml:space="preserve">28760 Tres Cantos – Madrid – ESPANHA</w:t>
      </w:r>
    </w:p>
    <w:p w:rsidR="001466B0" w:rsidRPr="00175D76" w:rsidRDefault="001E5C06" w:rsidP="0013303A">
      <w:pPr>
        <w:jc w:val="both"/>
        <w:rPr>
          <w:rFonts w:ascii="Arial" w:hAnsi="Arial"/>
          <w:bCs/>
          <w:color w:val="808080"/>
          <w:sz w:val="18"/>
          <w:szCs w:val="18"/>
        </w:rPr>
        <w:bidi w:val="0"/>
      </w:pPr>
      <w:r>
        <w:rPr>
          <w:rFonts w:ascii="Arial" w:hAnsi="Arial"/>
          <w:color w:val="808080"/>
          <w:sz w:val="18"/>
          <w:szCs w:val="18"/>
          <w:lang w:val="pt"/>
          <w:b w:val="0"/>
          <w:bCs w:val="0"/>
          <w:i w:val="0"/>
          <w:iCs w:val="0"/>
          <w:u w:val="none"/>
          <w:rtl w:val="0"/>
        </w:rPr>
        <w:t xml:space="preserve">Tel.: 0034 914 105 167 – Fax: 0034 914 105 293</w:t>
      </w:r>
    </w:p>
    <w:sectPr w:rsidR="001466B0" w:rsidRPr="00175D76" w:rsidSect="001466B0">
      <w:headerReference w:type="default" r:id="rId7"/>
      <w:footerReference w:type="even" r:id="rId8"/>
      <w:footerReference w:type="default" r:id="rId9"/>
      <w:pgSz w:w="11900" w:h="16840"/>
      <w:pgMar w:top="1417" w:right="1701" w:bottom="1417" w:left="1701" w:header="708" w:footer="39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82" w:rsidRDefault="003D7F82" w:rsidP="001466B0">
      <w:pPr>
        <w:bidi w:val="0"/>
      </w:pPr>
      <w:r>
        <w:separator/>
      </w:r>
    </w:p>
  </w:endnote>
  <w:endnote w:type="continuationSeparator" w:id="0">
    <w:p w:rsidR="003D7F82" w:rsidRDefault="003D7F82" w:rsidP="001466B0">
      <w:pPr>
        <w:bidi w:val="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Verdana"/>
    <w:charset w:val="00"/>
    <w:family w:val="roman"/>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82" w:rsidRDefault="00BC555F" w:rsidP="00FC4CD7">
    <w:pPr>
      <w:pStyle w:val="Footer"/>
      <w:framePr w:wrap="around" w:vAnchor="text" w:hAnchor="margin" w:y="1"/>
      <w:rPr>
        <w:rStyle w:val="PageNumber"/>
        <w:rFonts w:ascii="Times" w:eastAsia="Times" w:hAnsi="Times"/>
      </w:rPr>
      <w:bidi w:val="0"/>
    </w:pPr>
    <w:r>
      <w:rPr>
        <w:rStyle w:val="PageNumber"/>
        <w:lang w:val="pt"/>
        <w:b w:val="0"/>
        <w:bCs w:val="0"/>
        <w:i w:val="0"/>
        <w:iCs w:val="0"/>
        <w:u w:val="none"/>
        <w:rtl w:val="0"/>
      </w:rPr>
      <w:fldChar w:fldCharType="begin"/>
    </w:r>
    <w:r>
      <w:rPr>
        <w:rStyle w:val="PageNumber"/>
        <w:lang w:val="pt"/>
        <w:b w:val="0"/>
        <w:bCs w:val="0"/>
        <w:i w:val="0"/>
        <w:iCs w:val="0"/>
        <w:u w:val="none"/>
        <w:rtl w:val="0"/>
      </w:rPr>
      <w:instrText xml:space="preserve">PAGE  </w:instrText>
    </w:r>
    <w:r>
      <w:rPr>
        <w:rStyle w:val="PageNumber"/>
        <w:lang w:val="pt"/>
        <w:b w:val="0"/>
        <w:bCs w:val="0"/>
        <w:i w:val="0"/>
        <w:iCs w:val="0"/>
        <w:u w:val="none"/>
        <w:rtl w:val="0"/>
      </w:rPr>
      <w:fldChar w:fldCharType="end"/>
    </w:r>
  </w:p>
  <w:p w:rsidR="003D7F82" w:rsidRDefault="003D7F82"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82" w:rsidRDefault="00BC555F" w:rsidP="00FC4CD7">
    <w:pPr>
      <w:pStyle w:val="Footer"/>
      <w:framePr w:wrap="around" w:vAnchor="text" w:hAnchor="margin" w:y="1"/>
      <w:rPr>
        <w:rStyle w:val="PageNumber"/>
        <w:rFonts w:ascii="Times" w:eastAsia="Times" w:hAnsi="Times"/>
      </w:rPr>
      <w:bidi w:val="0"/>
    </w:pPr>
    <w:r>
      <w:rPr>
        <w:rStyle w:val="PageNumber"/>
        <w:lang w:val="pt"/>
        <w:b w:val="0"/>
        <w:bCs w:val="0"/>
        <w:i w:val="0"/>
        <w:iCs w:val="0"/>
        <w:u w:val="none"/>
        <w:rtl w:val="0"/>
      </w:rPr>
      <w:fldChar w:fldCharType="begin"/>
    </w:r>
    <w:r>
      <w:rPr>
        <w:rStyle w:val="PageNumber"/>
        <w:lang w:val="pt"/>
        <w:b w:val="0"/>
        <w:bCs w:val="0"/>
        <w:i w:val="0"/>
        <w:iCs w:val="0"/>
        <w:u w:val="none"/>
        <w:rtl w:val="0"/>
      </w:rPr>
      <w:instrText xml:space="preserve">PAGE  </w:instrText>
    </w:r>
    <w:r>
      <w:rPr>
        <w:rStyle w:val="PageNumber"/>
        <w:lang w:val="pt"/>
        <w:b w:val="0"/>
        <w:bCs w:val="0"/>
        <w:i w:val="0"/>
        <w:iCs w:val="0"/>
        <w:u w:val="none"/>
        <w:rtl w:val="0"/>
      </w:rPr>
      <w:fldChar w:fldCharType="separate"/>
    </w:r>
    <w:r>
      <w:rPr>
        <w:rStyle w:val="PageNumber"/>
        <w:noProof/>
        <w:lang w:val="pt"/>
        <w:b w:val="0"/>
        <w:bCs w:val="0"/>
        <w:i w:val="0"/>
        <w:iCs w:val="0"/>
        <w:u w:val="none"/>
        <w:rtl w:val="0"/>
      </w:rPr>
      <w:t xml:space="preserve">3</w:t>
    </w:r>
    <w:r>
      <w:rPr>
        <w:rStyle w:val="PageNumber"/>
        <w:lang w:val="pt"/>
        <w:b w:val="0"/>
        <w:bCs w:val="0"/>
        <w:i w:val="0"/>
        <w:iCs w:val="0"/>
        <w:u w:val="none"/>
        <w:rtl w:val="0"/>
      </w:rPr>
      <w:fldChar w:fldCharType="end"/>
    </w:r>
  </w:p>
  <w:p w:rsidR="003D7F82" w:rsidRPr="00096802" w:rsidRDefault="00BC555F" w:rsidP="001A6210">
    <w:pPr>
      <w:pStyle w:val="Footer"/>
      <w:ind w:left="1701" w:firstLine="360"/>
      <w:bidi w:val="0"/>
    </w:pPr>
    <w:r>
      <w:rPr>
        <w:szCs w:val="20"/>
        <w:lang w:val="pt"/>
        <w:b w:val="0"/>
        <w:bCs w:val="0"/>
        <w:i w:val="0"/>
        <w:iCs w:val="0"/>
        <w:u w:val="none"/>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7728" o:preferrelative="f">
          <v:imagedata r:id="rId1" o:title="michelin"/>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82" w:rsidRDefault="003D7F82" w:rsidP="001466B0">
      <w:pPr>
        <w:bidi w:val="0"/>
      </w:pPr>
      <w:r>
        <w:separator/>
      </w:r>
    </w:p>
  </w:footnote>
  <w:footnote w:type="continuationSeparator" w:id="0">
    <w:p w:rsidR="003D7F82" w:rsidRDefault="003D7F82" w:rsidP="001466B0">
      <w:pPr>
        <w:bidi w:val="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82" w:rsidRDefault="003D7F82">
    <w:pPr>
      <w:pStyle w:val="Header"/>
      <w:bidi w:val="0"/>
    </w:pPr>
    <w:r>
      <w:rPr>
        <w:noProof/>
        <w:lang w:val="pt"/>
        <w:b w:val="0"/>
        <w:bCs w:val="0"/>
        <w:i w:val="0"/>
        <w:iCs w:val="0"/>
        <w:u w:val="none"/>
        <w:rtl w:val="0"/>
      </w:rPr>
      <w:drawing>
        <wp:anchor distT="0" distB="0" distL="114300" distR="114300" simplePos="0" relativeHeight="251656704" behindDoc="0" locked="0" layoutInCell="1" allowOverlap="1">
          <wp:simplePos x="0" y="0"/>
          <wp:positionH relativeFrom="column">
            <wp:posOffset>4095115</wp:posOffset>
          </wp:positionH>
          <wp:positionV relativeFrom="paragraph">
            <wp:posOffset>-26035</wp:posOffset>
          </wp:positionV>
          <wp:extent cx="1520825" cy="593090"/>
          <wp:effectExtent l="2540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520825" cy="593090"/>
                  </a:xfrm>
                  <a:prstGeom prst="rect">
                    <a:avLst/>
                  </a:prstGeom>
                  <a:noFill/>
                </pic:spPr>
              </pic:pic>
            </a:graphicData>
          </a:graphic>
        </wp:anchor>
      </w:drawing>
    </w:r>
    <w:r>
      <w:rPr>
        <w:noProof/>
        <w:lang w:val="pt"/>
        <w:b w:val="0"/>
        <w:bCs w:val="0"/>
        <w:i w:val="0"/>
        <w:iCs w:val="0"/>
        <w:u w:val="none"/>
        <w:rtl w:val="0"/>
      </w:rPr>
      <w:drawing>
        <wp:anchor distT="0" distB="0" distL="114300" distR="114300" simplePos="0" relativeHeight="251657728" behindDoc="0" locked="0" layoutInCell="1" allowOverlap="1">
          <wp:simplePos x="0" y="0"/>
          <wp:positionH relativeFrom="column">
            <wp:posOffset>-222885</wp:posOffset>
          </wp:positionH>
          <wp:positionV relativeFrom="paragraph">
            <wp:posOffset>-83185</wp:posOffset>
          </wp:positionV>
          <wp:extent cx="1543050" cy="647700"/>
          <wp:effectExtent l="2540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543050" cy="647700"/>
                  </a:xfrm>
                  <a:prstGeom prst="rect">
                    <a:avLst/>
                  </a:prstGeom>
                  <a:noFill/>
                  <a:ln>
                    <a:noFill/>
                  </a:ln>
                </pic:spPr>
              </pic:pic>
            </a:graphicData>
          </a:graphic>
        </wp:anchor>
      </w:drawing>
    </w:r>
    <w:r>
      <w:rPr>
        <w:lang w:val="pt"/>
        <w:b w:val="0"/>
        <w:bCs w:val="0"/>
        <w:i w:val="0"/>
        <w:iCs w:val="0"/>
        <w:u w:val="none"/>
        <w:rtl w:val="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7525F"/>
    <w:multiLevelType w:val="hybridMultilevel"/>
    <w:tmpl w:val="BFD849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22B8D"/>
    <w:multiLevelType w:val="multilevel"/>
    <w:tmpl w:val="33A81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4F34CCC"/>
    <w:multiLevelType w:val="hybridMultilevel"/>
    <w:tmpl w:val="33A81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E3DED"/>
    <w:multiLevelType w:val="multilevel"/>
    <w:tmpl w:val="BFD8497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markup="0"/>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30A98"/>
    <w:rsid w:val="0004196E"/>
    <w:rsid w:val="00081685"/>
    <w:rsid w:val="000926C8"/>
    <w:rsid w:val="000E63B0"/>
    <w:rsid w:val="0013303A"/>
    <w:rsid w:val="001466B0"/>
    <w:rsid w:val="00175D76"/>
    <w:rsid w:val="00185D58"/>
    <w:rsid w:val="001A6210"/>
    <w:rsid w:val="001B135C"/>
    <w:rsid w:val="001C64EB"/>
    <w:rsid w:val="001E3DF9"/>
    <w:rsid w:val="001E5C06"/>
    <w:rsid w:val="00255230"/>
    <w:rsid w:val="002553AA"/>
    <w:rsid w:val="00260FA4"/>
    <w:rsid w:val="002731FD"/>
    <w:rsid w:val="002838AE"/>
    <w:rsid w:val="0029673E"/>
    <w:rsid w:val="002F7406"/>
    <w:rsid w:val="0034635E"/>
    <w:rsid w:val="00364C79"/>
    <w:rsid w:val="003B50D7"/>
    <w:rsid w:val="003B6727"/>
    <w:rsid w:val="003D7F82"/>
    <w:rsid w:val="00406126"/>
    <w:rsid w:val="00413077"/>
    <w:rsid w:val="00424758"/>
    <w:rsid w:val="004534E7"/>
    <w:rsid w:val="00472B90"/>
    <w:rsid w:val="00496781"/>
    <w:rsid w:val="004C6223"/>
    <w:rsid w:val="004F142A"/>
    <w:rsid w:val="004F17F9"/>
    <w:rsid w:val="0051462D"/>
    <w:rsid w:val="00521BFA"/>
    <w:rsid w:val="005222C4"/>
    <w:rsid w:val="00526425"/>
    <w:rsid w:val="00541946"/>
    <w:rsid w:val="00541F4C"/>
    <w:rsid w:val="00544E75"/>
    <w:rsid w:val="005E008B"/>
    <w:rsid w:val="005E2509"/>
    <w:rsid w:val="00626C26"/>
    <w:rsid w:val="006678D2"/>
    <w:rsid w:val="00670F1A"/>
    <w:rsid w:val="006D3988"/>
    <w:rsid w:val="00721B91"/>
    <w:rsid w:val="00737803"/>
    <w:rsid w:val="00740107"/>
    <w:rsid w:val="0075262D"/>
    <w:rsid w:val="007A45E4"/>
    <w:rsid w:val="007A6A73"/>
    <w:rsid w:val="00801C39"/>
    <w:rsid w:val="00811DFC"/>
    <w:rsid w:val="008669D4"/>
    <w:rsid w:val="0088209F"/>
    <w:rsid w:val="00885F5B"/>
    <w:rsid w:val="00891D8F"/>
    <w:rsid w:val="008A7629"/>
    <w:rsid w:val="008F1DE9"/>
    <w:rsid w:val="00911A7F"/>
    <w:rsid w:val="009468B7"/>
    <w:rsid w:val="00947331"/>
    <w:rsid w:val="00A17200"/>
    <w:rsid w:val="00A63386"/>
    <w:rsid w:val="00A76FBA"/>
    <w:rsid w:val="00A86FCD"/>
    <w:rsid w:val="00A94098"/>
    <w:rsid w:val="00A96192"/>
    <w:rsid w:val="00AC4E45"/>
    <w:rsid w:val="00B0358D"/>
    <w:rsid w:val="00B50A9F"/>
    <w:rsid w:val="00B53E2B"/>
    <w:rsid w:val="00B666DB"/>
    <w:rsid w:val="00B73F08"/>
    <w:rsid w:val="00B7758D"/>
    <w:rsid w:val="00B97D4C"/>
    <w:rsid w:val="00BC555F"/>
    <w:rsid w:val="00BD2C23"/>
    <w:rsid w:val="00BE77EA"/>
    <w:rsid w:val="00C6066D"/>
    <w:rsid w:val="00C846BD"/>
    <w:rsid w:val="00C909FE"/>
    <w:rsid w:val="00C94D18"/>
    <w:rsid w:val="00CA53ED"/>
    <w:rsid w:val="00CD5519"/>
    <w:rsid w:val="00CE07CB"/>
    <w:rsid w:val="00D15102"/>
    <w:rsid w:val="00D164A3"/>
    <w:rsid w:val="00D646F1"/>
    <w:rsid w:val="00D822E8"/>
    <w:rsid w:val="00D92770"/>
    <w:rsid w:val="00DC02F5"/>
    <w:rsid w:val="00DE35D0"/>
    <w:rsid w:val="00DE661A"/>
    <w:rsid w:val="00E10E70"/>
    <w:rsid w:val="00E21987"/>
    <w:rsid w:val="00E40A75"/>
    <w:rsid w:val="00E41734"/>
    <w:rsid w:val="00E56355"/>
    <w:rsid w:val="00E77811"/>
    <w:rsid w:val="00E8761A"/>
    <w:rsid w:val="00EB3088"/>
    <w:rsid w:val="00EB78A0"/>
    <w:rsid w:val="00EC271C"/>
    <w:rsid w:val="00EC5464"/>
    <w:rsid w:val="00EF7CBB"/>
    <w:rsid w:val="00F14CBC"/>
    <w:rsid w:val="00F16F02"/>
    <w:rsid w:val="00F21DE2"/>
    <w:rsid w:val="00F337F2"/>
    <w:rsid w:val="00F404B3"/>
    <w:rsid w:val="00F63A49"/>
    <w:rsid w:val="00F64056"/>
    <w:rsid w:val="00F763BF"/>
    <w:rsid w:val="00F835BC"/>
    <w:rsid w:val="00F951CA"/>
    <w:rsid w:val="00FA1356"/>
    <w:rsid w:val="00FC1261"/>
    <w:rsid w:val="00FC4CD7"/>
    <w:rsid w:val="00FF586D"/>
  </w:rsids>
  <m:mathPr>
    <m:mathFont m:val="Frutiger 55 Roman"/>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32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 standalone="yes"?>
<Relationships xmlns="http://schemas.openxmlformats.org/package/2006/relationships">
  <Relationship Id="rId11" Type="http://schemas.openxmlformats.org/officeDocument/2006/relationships/theme" Target="theme/theme1.xml" />
  <Relationship Id="rId12" Type="http://schemas.microsoft.com/office/2007/relationships/stylesWithEffects" Target="stylesWithEffects.xml" />
  <Relationship Id="rId1" Type="http://schemas.openxmlformats.org/officeDocument/2006/relationships/numbering" Target="numbering.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otnotes" Target="footnotes.xml" />
  <Relationship Id="rId6" Type="http://schemas.openxmlformats.org/officeDocument/2006/relationships/endnotes" Target="endnotes.xml" />
  <Relationship Id="rId7" Type="http://schemas.openxmlformats.org/officeDocument/2006/relationships/header" Target="header1.xml" />
  <Relationship Id="rId8" Type="http://schemas.openxmlformats.org/officeDocument/2006/relationships/footer" Target="footer1.xml" />
  <Relationship Id="rId9" Type="http://schemas.openxmlformats.org/officeDocument/2006/relationships/footer" Target="footer2.xml" />
  <Relationship Id="rId10" Type="http://schemas.openxmlformats.org/officeDocument/2006/relationships/fontTable" Target="fontTable.xml" />
  <Relationship Target="comments.xml" Type="http://schemas.openxmlformats.org/officeDocument/2006/relationships/comments" Id="rId13" />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Macintosh Word</Application>
  <DocSecurity>0</DocSecurity>
  <Lines>39</Lines>
  <Paragraphs>9</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5881</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cp:revision>
  <cp:lastPrinted>2014-02-18T12:51:00Z</cp:lastPrinted>
  <dcterms:created xsi:type="dcterms:W3CDTF">2014-02-18T13:06:00Z</dcterms:created>
  <dcterms:modified xsi:type="dcterms:W3CDTF">2014-02-18T13:06:00Z</dcterms:modified>
</cp:coreProperties>
</file>