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3A" w:rsidRPr="00AB33D0" w:rsidRDefault="0013303A" w:rsidP="00467EFB">
      <w:pPr>
        <w:keepNext/>
        <w:spacing w:after="230"/>
        <w:ind w:left="2832" w:firstLine="708"/>
        <w:jc w:val="right"/>
        <w:outlineLvl w:val="0"/>
        <w:rPr>
          <w:rFonts w:cs="Times"/>
          <w:b/>
          <w:noProof/>
          <w:color w:val="808080"/>
          <w:lang w:val="pt-PT"/>
        </w:rPr>
      </w:pPr>
      <w:r w:rsidRPr="00AB33D0">
        <w:rPr>
          <w:rFonts w:cs="Times"/>
          <w:b/>
          <w:bCs/>
          <w:noProof/>
          <w:color w:val="808080"/>
          <w:lang w:val="pt-PT"/>
        </w:rPr>
        <w:t xml:space="preserve">INFORMAÇÃO DE </w:t>
      </w:r>
      <w:bookmarkStart w:id="0" w:name="_GoBack"/>
      <w:bookmarkEnd w:id="0"/>
      <w:r w:rsidRPr="00AB33D0">
        <w:rPr>
          <w:rFonts w:cs="Times"/>
          <w:b/>
          <w:bCs/>
          <w:noProof/>
          <w:color w:val="808080"/>
          <w:lang w:val="pt-PT"/>
        </w:rPr>
        <w:t>IMPRENSA</w:t>
      </w:r>
      <w:r w:rsidRPr="00AB33D0">
        <w:rPr>
          <w:rFonts w:cs="Times"/>
          <w:noProof/>
          <w:color w:val="808080"/>
          <w:lang w:val="pt-PT"/>
        </w:rPr>
        <w:br/>
      </w:r>
      <w:r w:rsidR="000836CC" w:rsidRPr="00AB33D0">
        <w:rPr>
          <w:rFonts w:cs="Times"/>
          <w:noProof/>
          <w:color w:val="808080"/>
          <w:lang w:val="pt-PT"/>
        </w:rPr>
        <w:fldChar w:fldCharType="begin"/>
      </w:r>
      <w:r w:rsidRPr="00AB33D0">
        <w:rPr>
          <w:rFonts w:cs="Times"/>
          <w:noProof/>
          <w:color w:val="808080"/>
          <w:lang w:val="pt-PT"/>
        </w:rPr>
        <w:instrText xml:space="preserve"> TIME \@ "dd/MM/yyyy" </w:instrText>
      </w:r>
      <w:r w:rsidR="000836CC" w:rsidRPr="00AB33D0">
        <w:rPr>
          <w:rFonts w:cs="Times"/>
          <w:noProof/>
          <w:color w:val="808080"/>
          <w:lang w:val="pt-PT"/>
        </w:rPr>
        <w:fldChar w:fldCharType="separate"/>
      </w:r>
      <w:r w:rsidR="00563E22">
        <w:rPr>
          <w:rFonts w:cs="Times"/>
          <w:noProof/>
          <w:color w:val="808080"/>
          <w:lang w:val="pt-PT"/>
        </w:rPr>
        <w:t>05</w:t>
      </w:r>
      <w:r w:rsidR="00563E22" w:rsidRPr="00AB33D0">
        <w:rPr>
          <w:rFonts w:cs="Times"/>
          <w:noProof/>
          <w:color w:val="808080"/>
          <w:lang w:val="pt-PT"/>
        </w:rPr>
        <w:t>/</w:t>
      </w:r>
      <w:r w:rsidR="00563E22">
        <w:rPr>
          <w:rFonts w:cs="Times"/>
          <w:noProof/>
          <w:color w:val="808080"/>
          <w:lang w:val="pt-PT"/>
        </w:rPr>
        <w:t>02</w:t>
      </w:r>
      <w:r w:rsidR="00563E22" w:rsidRPr="00AB33D0">
        <w:rPr>
          <w:rFonts w:cs="Times"/>
          <w:noProof/>
          <w:color w:val="808080"/>
          <w:lang w:val="pt-PT"/>
        </w:rPr>
        <w:t>/</w:t>
      </w:r>
      <w:r w:rsidR="00563E22">
        <w:rPr>
          <w:rFonts w:cs="Times"/>
          <w:noProof/>
          <w:color w:val="808080"/>
          <w:lang w:val="pt-PT"/>
        </w:rPr>
        <w:t>2014</w:t>
      </w:r>
      <w:r w:rsidR="000836CC" w:rsidRPr="00AB33D0">
        <w:rPr>
          <w:rFonts w:cs="Times"/>
          <w:noProof/>
          <w:color w:val="808080"/>
          <w:lang w:val="pt-PT"/>
        </w:rPr>
        <w:fldChar w:fldCharType="end"/>
      </w:r>
    </w:p>
    <w:p w:rsidR="0013303A" w:rsidRPr="00AB33D0" w:rsidRDefault="0013303A" w:rsidP="001466B0">
      <w:pPr>
        <w:pStyle w:val="TITULARMICHELIN"/>
        <w:spacing w:after="120"/>
        <w:rPr>
          <w:noProof/>
          <w:szCs w:val="26"/>
          <w:lang w:val="pt-PT"/>
        </w:rPr>
      </w:pPr>
    </w:p>
    <w:p w:rsidR="001466B0" w:rsidRPr="00AB33D0" w:rsidRDefault="0064166C" w:rsidP="001466B0">
      <w:pPr>
        <w:pStyle w:val="TITULARMICHELIN"/>
        <w:spacing w:after="120"/>
        <w:rPr>
          <w:rFonts w:ascii="Utopia" w:hAnsi="Utopia"/>
          <w:noProof/>
          <w:sz w:val="28"/>
          <w:lang w:val="pt-PT"/>
        </w:rPr>
      </w:pPr>
      <w:r w:rsidRPr="00AB33D0">
        <w:rPr>
          <w:bCs/>
          <w:noProof/>
          <w:szCs w:val="26"/>
          <w:lang w:val="pt-PT"/>
        </w:rPr>
        <w:t>Reciclagem de pneus usados</w:t>
      </w:r>
    </w:p>
    <w:p w:rsidR="001466B0" w:rsidRPr="00AB33D0" w:rsidRDefault="0064166C" w:rsidP="001466B0">
      <w:pPr>
        <w:pStyle w:val="SUBTITULOMichelinOK"/>
        <w:spacing w:after="230"/>
        <w:rPr>
          <w:noProof/>
          <w:lang w:val="pt-PT"/>
        </w:rPr>
      </w:pPr>
      <w:r w:rsidRPr="00AB33D0">
        <w:rPr>
          <w:bCs/>
          <w:noProof/>
          <w:lang w:val="pt-PT"/>
        </w:rPr>
        <w:t>A Michelin, o CEA, a Protéus (Grupo PCAS) e a SDTech vão desenvolver duas inovadoras vias para valorizar pneus usados</w:t>
      </w:r>
    </w:p>
    <w:p w:rsidR="003A1060" w:rsidRPr="00AB33D0" w:rsidRDefault="002715A6" w:rsidP="006921CF">
      <w:pPr>
        <w:pStyle w:val="TextoMichelin"/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</w:pPr>
      <w:r w:rsidRPr="00AB33D0"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Este projeto, dirigido pela Michelin e denominado TREC (Tyre Recycling</w:t>
      </w:r>
      <w:r w:rsidRPr="00233F40"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vertAlign w:val="superscript"/>
          <w:lang w:val="pt-PT"/>
        </w:rPr>
        <w:footnoteReference w:id="1"/>
      </w:r>
      <w:r w:rsidRPr="00AB33D0"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) pretende desenvolver duas vias de valorização dos pneus usados: a primeira, TREC Regeneração, consiste em regenerar o composto de borracha para fabricar pneus novos.</w:t>
      </w:r>
      <w:r w:rsidRPr="00AB33D0">
        <w:rPr>
          <w:rFonts w:ascii="Times" w:hAnsi="Times" w:cs="Frutiger 55 Roman"/>
          <w:noProof/>
          <w:snapToGrid w:val="0"/>
          <w:color w:val="333399"/>
          <w:sz w:val="25"/>
          <w:szCs w:val="28"/>
          <w:lang w:val="pt-PT"/>
        </w:rPr>
        <w:t xml:space="preserve"> </w:t>
      </w:r>
      <w:r w:rsidRPr="00AB33D0"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A segunda, TREC Álcool, permitirá produzir um intermediário químico necessário para sintetizar as matérias-primas usadas na fabricação de pneus.</w:t>
      </w:r>
    </w:p>
    <w:p w:rsidR="008F3ADD" w:rsidRPr="00AB33D0" w:rsidRDefault="008F3ADD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O álcool que se gerar será usado especialmente no setor industrial francês de fabricação de butadieno BioButterfly,</w:t>
      </w:r>
      <w:r w:rsidR="00AB33D0" w:rsidRPr="00AB33D0">
        <w:rPr>
          <w:noProof/>
          <w:lang w:val="pt-PT"/>
        </w:rPr>
        <w:t xml:space="preserve"> </w:t>
      </w:r>
      <w:r w:rsidRPr="00AB33D0">
        <w:rPr>
          <w:noProof/>
          <w:lang w:val="pt-PT"/>
        </w:rPr>
        <w:t>como complemento dos álcoois extraídos de açúcares, madeiras, resíduos agrícolas…</w:t>
      </w:r>
    </w:p>
    <w:p w:rsidR="006921CF" w:rsidRPr="00AB33D0" w:rsidRDefault="006921CF" w:rsidP="006921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TREC Regeneração</w:t>
      </w:r>
    </w:p>
    <w:p w:rsidR="00AE3DAD" w:rsidRPr="00AB33D0" w:rsidRDefault="006921CF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 xml:space="preserve">A SDTech e a Protéus partilharam com a Michelin os seus conhecimentos em matéria de micronização e de desvulcanização seletiva através de ferramentas biotecnológicas com o fim de criar “micropulverizados” que se poderão utilizar como matéria-prima na fabricação de pneus novos eficientes. </w:t>
      </w:r>
    </w:p>
    <w:p w:rsidR="006921CF" w:rsidRPr="00AB33D0" w:rsidRDefault="006921CF" w:rsidP="006921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TREC Álcool</w:t>
      </w:r>
    </w:p>
    <w:p w:rsidR="00523701" w:rsidRPr="00AB33D0" w:rsidRDefault="00523701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Pela segunda vez, a Michelin, o CEA e a Protéus vão desenvolver uma cadeia de tecnologias, que vai desde a gaseificação dos pneus usados à produção de álcool por fermentação do gás de síntese que se obtiver (sintegás).</w:t>
      </w:r>
    </w:p>
    <w:p w:rsidR="00407C96" w:rsidRPr="00AB33D0" w:rsidRDefault="006921CF" w:rsidP="006921CF">
      <w:pPr>
        <w:pStyle w:val="TextoMichelin"/>
        <w:rPr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TREC</w:t>
      </w:r>
      <w:r w:rsidRPr="00AB33D0">
        <w:rPr>
          <w:noProof/>
          <w:lang w:val="pt-PT"/>
        </w:rPr>
        <w:t xml:space="preserve"> cobre todas as etapas dos processos de investigação e desenvolvimento, desde os conceitos científicos até à validação num demonstrador industrial, passando pela fase piloto, baseando-se na complementaridade das competências e experiências dos parceiros.</w:t>
      </w:r>
    </w:p>
    <w:p w:rsidR="006921CF" w:rsidRPr="00AB33D0" w:rsidRDefault="0006250D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 xml:space="preserve">Com uma duração de oito anos, TREC dispõe de um orçamento de </w:t>
      </w:r>
      <w:r w:rsidRPr="00AB33D0">
        <w:rPr>
          <w:b/>
          <w:bCs/>
          <w:noProof/>
          <w:lang w:val="pt-PT"/>
        </w:rPr>
        <w:t>51 milhões de euros.</w:t>
      </w:r>
      <w:r w:rsidRPr="00AB33D0">
        <w:rPr>
          <w:noProof/>
          <w:lang w:val="pt-PT"/>
        </w:rPr>
        <w:t xml:space="preserve"> O projeto vai receber um financiamento global da </w:t>
      </w:r>
      <w:r w:rsidRPr="00AB33D0">
        <w:rPr>
          <w:b/>
          <w:bCs/>
          <w:noProof/>
          <w:lang w:val="pt-PT"/>
        </w:rPr>
        <w:t>ADEME</w:t>
      </w:r>
      <w:r w:rsidRPr="00AB33D0">
        <w:rPr>
          <w:noProof/>
          <w:lang w:val="pt-PT"/>
        </w:rPr>
        <w:t xml:space="preserve"> (Agência Francesa de Meio Ambiente e Gestão da Energia) de </w:t>
      </w:r>
      <w:r w:rsidRPr="00AB33D0">
        <w:rPr>
          <w:b/>
          <w:bCs/>
          <w:noProof/>
          <w:lang w:val="pt-PT"/>
        </w:rPr>
        <w:t>13,3 milhões de euros</w:t>
      </w:r>
      <w:r w:rsidRPr="00AB33D0">
        <w:rPr>
          <w:noProof/>
          <w:lang w:val="pt-PT"/>
        </w:rPr>
        <w:t xml:space="preserve"> para a Michelin e a SDTech, no quadro de um programa de Investimentos de Futuro</w:t>
      </w:r>
      <w:r w:rsidRPr="00233F40">
        <w:rPr>
          <w:noProof/>
          <w:vertAlign w:val="superscript"/>
          <w:lang w:val="pt-PT"/>
        </w:rPr>
        <w:footnoteReference w:id="2"/>
      </w:r>
      <w:r w:rsidRPr="00AB33D0">
        <w:rPr>
          <w:noProof/>
          <w:lang w:val="pt-PT"/>
        </w:rPr>
        <w:t>.</w:t>
      </w:r>
    </w:p>
    <w:p w:rsidR="0086432E" w:rsidRPr="00AB33D0" w:rsidRDefault="0086432E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Com previsões de crescimento do mercado mundial do pneu, a procura de matérias-primas vai aumentar consideravelmente nos próximos decénios. A implementação de novas vias de valorização de pneus usados é especialmente oportuna.</w:t>
      </w:r>
    </w:p>
    <w:p w:rsidR="008F3A50" w:rsidRPr="00AB33D0" w:rsidRDefault="008F3A50" w:rsidP="006921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 xml:space="preserve">Com a reincorporação à indústria das matérias recicladas de pneus usados para os novos pneus, as tecnologias desenvolvidas por </w:t>
      </w:r>
      <w:r w:rsidRPr="00AB33D0">
        <w:rPr>
          <w:b/>
          <w:bCs/>
          <w:noProof/>
          <w:lang w:val="pt-PT"/>
        </w:rPr>
        <w:t>TREC</w:t>
      </w:r>
      <w:r w:rsidRPr="00AB33D0">
        <w:rPr>
          <w:noProof/>
          <w:lang w:val="pt-PT"/>
        </w:rPr>
        <w:t xml:space="preserve"> vão reforçar o nível de conhecimentos na França para desenvolver uma economia circular em correspondência com os setores existentes.</w:t>
      </w:r>
    </w:p>
    <w:p w:rsidR="006921CF" w:rsidRPr="00AB33D0" w:rsidRDefault="00260D74" w:rsidP="000B071F">
      <w:pPr>
        <w:pStyle w:val="TextoMichelin"/>
        <w:rPr>
          <w:bCs/>
          <w:noProof/>
          <w:lang w:val="pt-PT"/>
        </w:rPr>
      </w:pPr>
      <w:r w:rsidRPr="00AB33D0">
        <w:rPr>
          <w:i/>
          <w:iCs/>
          <w:noProof/>
          <w:lang w:val="pt-PT"/>
        </w:rPr>
        <w:t>“A estratégia de inovação do Grupo Michelin é sempre fazer o melhor uso possível da matéria-prima.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 xml:space="preserve">O projeto TREC é um exemplo perfeito de ecoconceção e permitir-nos-á fabricar pneus novos eficientes que integrem matérias-primas de qualidade, extraídas de pneus usados, graças aos conhecimentos do CEA, da Protéus e da SDTech”, referiu </w:t>
      </w:r>
      <w:r w:rsidRPr="00AB33D0">
        <w:rPr>
          <w:b/>
          <w:bCs/>
          <w:noProof/>
          <w:lang w:val="pt-PT"/>
        </w:rPr>
        <w:t>Terry Gettys, diretor de Investigação e Desenvolvimento do Grupo Michelin</w:t>
      </w:r>
      <w:r w:rsidRPr="00AB33D0">
        <w:rPr>
          <w:noProof/>
          <w:lang w:val="pt-PT"/>
        </w:rPr>
        <w:t>.</w:t>
      </w:r>
    </w:p>
    <w:p w:rsidR="008C3EE3" w:rsidRPr="00AB33D0" w:rsidRDefault="00657FC2" w:rsidP="00705FF0">
      <w:pPr>
        <w:pStyle w:val="TextoMichelin"/>
        <w:rPr>
          <w:bCs/>
          <w:noProof/>
          <w:lang w:val="pt-PT"/>
        </w:rPr>
      </w:pPr>
      <w:r w:rsidRPr="00AB33D0">
        <w:rPr>
          <w:i/>
          <w:iCs/>
          <w:noProof/>
          <w:lang w:val="pt-PT"/>
        </w:rPr>
        <w:t>“Desde a sua criação em 1998 que a Protéus se tornou em referência em matéria de biotecnologia industrial para o desenvolvimento sustentável”,</w:t>
      </w:r>
      <w:r w:rsidRPr="00AB33D0">
        <w:rPr>
          <w:noProof/>
          <w:lang w:val="pt-PT"/>
        </w:rPr>
        <w:t xml:space="preserve"> explicou </w:t>
      </w:r>
      <w:r w:rsidRPr="00AB33D0">
        <w:rPr>
          <w:b/>
          <w:bCs/>
          <w:noProof/>
          <w:lang w:val="pt-PT"/>
        </w:rPr>
        <w:t>Juliette Martin, diretora geral da Protéus</w:t>
      </w:r>
      <w:r w:rsidRPr="00AB33D0">
        <w:rPr>
          <w:noProof/>
          <w:lang w:val="pt-PT"/>
        </w:rPr>
        <w:t xml:space="preserve">. </w:t>
      </w:r>
      <w:r w:rsidRPr="00AB33D0">
        <w:rPr>
          <w:i/>
          <w:iCs/>
          <w:noProof/>
          <w:lang w:val="pt-PT"/>
        </w:rPr>
        <w:t>“Estamos muito satisfeitos de pôr a potência industrial do nosso catálogo de microrganismos, enzimas e bioprocessos que desenvolve a Protéus ao serviço da estratégia da Michelin em prol de uma mobilidade sustentável”.</w:t>
      </w:r>
    </w:p>
    <w:p w:rsidR="00941165" w:rsidRPr="00AB33D0" w:rsidRDefault="00134815" w:rsidP="00941165">
      <w:pPr>
        <w:pStyle w:val="TextoMichelin"/>
        <w:rPr>
          <w:bCs/>
          <w:i/>
          <w:noProof/>
          <w:lang w:val="pt-PT"/>
        </w:rPr>
      </w:pPr>
      <w:r w:rsidRPr="00AB33D0">
        <w:rPr>
          <w:noProof/>
          <w:lang w:val="pt-PT"/>
        </w:rPr>
        <w:t xml:space="preserve">“A </w:t>
      </w:r>
      <w:r w:rsidRPr="00AB33D0">
        <w:rPr>
          <w:i/>
          <w:iCs/>
          <w:noProof/>
          <w:lang w:val="pt-PT"/>
        </w:rPr>
        <w:t>SDTech é uma empresa inovadora no âmbito dos micropulverizados.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 xml:space="preserve">Sempre pusemos os nossos conhecimentos ao dispor de projetos cooperativos, tanto na França como a nível intencional”, </w:t>
      </w:r>
      <w:r w:rsidRPr="00AB33D0">
        <w:rPr>
          <w:noProof/>
          <w:lang w:val="pt-PT"/>
        </w:rPr>
        <w:t xml:space="preserve">declarou </w:t>
      </w:r>
      <w:r w:rsidRPr="00AB33D0">
        <w:rPr>
          <w:b/>
          <w:bCs/>
          <w:noProof/>
          <w:lang w:val="pt-PT"/>
        </w:rPr>
        <w:t>Jalil Benabdillah, presidente e diretor geral da SDTech</w:t>
      </w:r>
      <w:r w:rsidRPr="00AB33D0">
        <w:rPr>
          <w:noProof/>
          <w:lang w:val="pt-PT"/>
        </w:rPr>
        <w:t>.</w:t>
      </w:r>
      <w:r w:rsidRPr="00AB33D0">
        <w:rPr>
          <w:i/>
          <w:iCs/>
          <w:noProof/>
          <w:lang w:val="pt-PT"/>
        </w:rPr>
        <w:t xml:space="preserve"> “Para a SDTech é uma honra participar no projeto TREC com parceiros tão conceituados.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É o reconhecimento aos nossos conhecimentos em I+D. A confiança que nos deu a Michelin exige-nos ser sempre inovadores e oferecer resultados”.</w:t>
      </w:r>
    </w:p>
    <w:p w:rsidR="006921CF" w:rsidRPr="00AB33D0" w:rsidRDefault="0079419D" w:rsidP="001750C1">
      <w:pPr>
        <w:pStyle w:val="TextoMichelin"/>
        <w:rPr>
          <w:b/>
          <w:bCs/>
          <w:noProof/>
          <w:lang w:val="pt-PT"/>
        </w:rPr>
      </w:pPr>
      <w:r w:rsidRPr="00AB33D0">
        <w:rPr>
          <w:i/>
          <w:iCs/>
          <w:noProof/>
          <w:lang w:val="pt-PT"/>
        </w:rPr>
        <w:t>“Estamos muito satisfeitos por poder oferecer à Michelin a nossa experiência em procedimentos de gaseificação.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 xml:space="preserve">As equipas do CEA têm a capacidade de conceber e desenvolver processos termoquímicos e, com a nossa ajuda, a Michelin vai poder validar as suas novas tecnologias”, </w:t>
      </w:r>
      <w:r w:rsidRPr="00AB33D0">
        <w:rPr>
          <w:noProof/>
          <w:lang w:val="pt-PT"/>
        </w:rPr>
        <w:t>salientou</w:t>
      </w:r>
      <w:r w:rsidRPr="00AB33D0">
        <w:rPr>
          <w:i/>
          <w:iCs/>
          <w:noProof/>
          <w:lang w:val="pt-PT"/>
        </w:rPr>
        <w:t xml:space="preserve"> </w:t>
      </w:r>
      <w:r w:rsidRPr="00AB33D0">
        <w:rPr>
          <w:b/>
          <w:bCs/>
          <w:noProof/>
          <w:lang w:val="pt-PT"/>
        </w:rPr>
        <w:t>Florence Lambert, diretora do Instituto Liten do CEA.</w:t>
      </w:r>
    </w:p>
    <w:p w:rsidR="006921CF" w:rsidRPr="00AB33D0" w:rsidRDefault="006921CF" w:rsidP="006921CF">
      <w:pPr>
        <w:pStyle w:val="TextoMichelin"/>
        <w:rPr>
          <w:b/>
          <w:bCs/>
          <w:noProof/>
          <w:lang w:val="pt-PT"/>
        </w:rPr>
      </w:pPr>
    </w:p>
    <w:p w:rsidR="006921CF" w:rsidRPr="00AB33D0" w:rsidRDefault="006921CF" w:rsidP="006921CF">
      <w:pPr>
        <w:pStyle w:val="TextoMichelin"/>
        <w:rPr>
          <w:b/>
          <w:bCs/>
          <w:noProof/>
          <w:lang w:val="pt-PT"/>
        </w:rPr>
      </w:pPr>
    </w:p>
    <w:p w:rsidR="00FC4CD7" w:rsidRPr="00AB33D0" w:rsidRDefault="006921CF" w:rsidP="006921CF">
      <w:pPr>
        <w:pStyle w:val="TextoMichelin"/>
        <w:rPr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 xml:space="preserve"> </w:t>
      </w:r>
    </w:p>
    <w:p w:rsidR="00682F4F" w:rsidRPr="00AB33D0" w:rsidRDefault="00682F4F" w:rsidP="00EE45CF">
      <w:pPr>
        <w:pStyle w:val="TextoMichelin"/>
        <w:rPr>
          <w:b/>
          <w:bCs/>
          <w:noProof/>
          <w:lang w:val="pt-PT"/>
        </w:rPr>
      </w:pPr>
    </w:p>
    <w:p w:rsidR="00682F4F" w:rsidRPr="00AB33D0" w:rsidRDefault="00682F4F" w:rsidP="00EE45CF">
      <w:pPr>
        <w:pStyle w:val="TextoMichelin"/>
        <w:rPr>
          <w:b/>
          <w:bCs/>
          <w:noProof/>
          <w:lang w:val="pt-PT"/>
        </w:rPr>
      </w:pPr>
    </w:p>
    <w:p w:rsidR="00682F4F" w:rsidRPr="00AB33D0" w:rsidRDefault="00682F4F" w:rsidP="00EE45CF">
      <w:pPr>
        <w:pStyle w:val="TextoMichelin"/>
        <w:rPr>
          <w:b/>
          <w:bCs/>
          <w:noProof/>
          <w:lang w:val="pt-PT"/>
        </w:rPr>
      </w:pPr>
    </w:p>
    <w:p w:rsidR="00682F4F" w:rsidRPr="00AB33D0" w:rsidRDefault="00682F4F" w:rsidP="00EE45CF">
      <w:pPr>
        <w:pStyle w:val="TextoMichelin"/>
        <w:rPr>
          <w:b/>
          <w:bCs/>
          <w:noProof/>
          <w:lang w:val="pt-PT"/>
        </w:rPr>
      </w:pPr>
    </w:p>
    <w:p w:rsidR="00682F4F" w:rsidRPr="00AB33D0" w:rsidRDefault="00682F4F" w:rsidP="00EE45CF">
      <w:pPr>
        <w:pStyle w:val="TextoMichelin"/>
        <w:rPr>
          <w:b/>
          <w:bCs/>
          <w:noProof/>
          <w:lang w:val="pt-PT"/>
        </w:rPr>
      </w:pPr>
    </w:p>
    <w:p w:rsidR="00934314" w:rsidRPr="00AB33D0" w:rsidRDefault="00986F11" w:rsidP="00EE45CF">
      <w:pPr>
        <w:pStyle w:val="TextoMichelin"/>
        <w:rPr>
          <w:b/>
          <w:bCs/>
          <w:noProof/>
          <w:lang w:val="pt-PT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342900</wp:posOffset>
            </wp:positionV>
            <wp:extent cx="3023235" cy="4276725"/>
            <wp:effectExtent l="25400" t="0" r="0" b="0"/>
            <wp:wrapSquare wrapText="bothSides"/>
            <wp:docPr id="1" name="" descr="2014-01-28-TREC regeneracao_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28-TREC regeneracao_P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342900</wp:posOffset>
            </wp:positionV>
            <wp:extent cx="3023235" cy="4276725"/>
            <wp:effectExtent l="25400" t="0" r="0" b="0"/>
            <wp:wrapSquare wrapText="bothSides"/>
            <wp:docPr id="2" name="" descr="2014-01-28-TREC alcool_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28-TREC alcool_P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A31" w:rsidRDefault="004D2A31" w:rsidP="00EE45CF">
      <w:pPr>
        <w:pStyle w:val="TextoMichelin"/>
        <w:rPr>
          <w:b/>
          <w:bCs/>
          <w:noProof/>
          <w:lang w:val="pt-PT"/>
        </w:rPr>
      </w:pPr>
    </w:p>
    <w:p w:rsidR="00EE45CF" w:rsidRPr="00AB33D0" w:rsidRDefault="00EE45CF" w:rsidP="00EE45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ACERCA DOS PARCEIROS DO PROJETO</w:t>
      </w:r>
    </w:p>
    <w:p w:rsidR="00EE45CF" w:rsidRPr="00AB33D0" w:rsidRDefault="00EE45CF" w:rsidP="00EE45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Protéus (Grupo PCAS)</w:t>
      </w:r>
    </w:p>
    <w:p w:rsidR="00937126" w:rsidRPr="00AB33D0" w:rsidRDefault="00EE45CF" w:rsidP="0079550C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A Protéus é uma empresa de biotecnologia especializada na criação, desenvolvimento e entrada em funcionamento de processos industriais seguros, competitivos, inovadores e sustentáveis, utilizando enzimas e cepas microbianas. Para cumprir a sua missão, a Protéus dispões de uma gama de tecnologias próprias, incluindo, especialmente um catálogo exclusivo de biodiversidade microbiana, tecnologias de engenharia de enzimas e de otimização de cepas microbianas, assim como uma plataforma de produção e de formulação de enzimas que possibilita a sua utilização industrial. Integrada no grupo químico PCAS, a Protéus beneficia das capacidades e experiência industrial do grupo. Criado em 1962, o PCAS é um grupo industrial de química fina e de especialidades que partilha com os seus clientes uma ambição de excelência. O grupo gere oito instalações industriais e emprega 900 pessoas (das quais 10% em I+D).</w:t>
      </w:r>
    </w:p>
    <w:p w:rsidR="005D7274" w:rsidRPr="00AB33D0" w:rsidRDefault="000836CC" w:rsidP="00F4557C">
      <w:pPr>
        <w:pStyle w:val="TextoMichelin"/>
        <w:spacing w:after="0"/>
        <w:rPr>
          <w:bCs/>
          <w:noProof/>
          <w:color w:val="0000FF"/>
          <w:u w:val="single"/>
          <w:lang w:val="pt-PT"/>
        </w:rPr>
      </w:pPr>
      <w:hyperlink r:id="rId8" w:history="1">
        <w:r w:rsidR="006672CD" w:rsidRPr="00AB33D0">
          <w:rPr>
            <w:noProof/>
            <w:color w:val="0000FF"/>
            <w:u w:val="single"/>
            <w:lang w:val="pt-PT"/>
          </w:rPr>
          <w:t>www.proteus.fr</w:t>
        </w:r>
      </w:hyperlink>
    </w:p>
    <w:p w:rsidR="005D7274" w:rsidRPr="00AB33D0" w:rsidRDefault="000836CC" w:rsidP="00EE45CF">
      <w:pPr>
        <w:pStyle w:val="TextoMichelin"/>
        <w:rPr>
          <w:bCs/>
          <w:noProof/>
          <w:color w:val="0000FF"/>
          <w:u w:val="single"/>
          <w:lang w:val="pt-PT"/>
        </w:rPr>
      </w:pPr>
      <w:hyperlink r:id="rId9" w:history="1">
        <w:r w:rsidR="006672CD" w:rsidRPr="00AB33D0">
          <w:rPr>
            <w:rStyle w:val="Hyperlink"/>
            <w:noProof/>
            <w:lang w:val="pt-PT"/>
          </w:rPr>
          <w:t>www.pcas.com</w:t>
        </w:r>
      </w:hyperlink>
    </w:p>
    <w:p w:rsidR="00F4557C" w:rsidRPr="00AB33D0" w:rsidRDefault="00F4557C" w:rsidP="00EE45CF">
      <w:pPr>
        <w:pStyle w:val="TextoMichelin"/>
        <w:rPr>
          <w:b/>
          <w:bCs/>
          <w:noProof/>
          <w:lang w:val="pt-PT"/>
        </w:rPr>
      </w:pPr>
    </w:p>
    <w:p w:rsidR="00986F11" w:rsidRDefault="00986F11" w:rsidP="00EE45CF">
      <w:pPr>
        <w:pStyle w:val="TextoMichelin"/>
        <w:rPr>
          <w:b/>
          <w:bCs/>
          <w:noProof/>
          <w:lang w:val="pt-PT"/>
        </w:rPr>
      </w:pPr>
    </w:p>
    <w:p w:rsidR="00EE45CF" w:rsidRPr="00AB33D0" w:rsidRDefault="00EE45CF" w:rsidP="00EE45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SDTech (Solides Divisés Technologies)</w:t>
      </w:r>
      <w:r w:rsidRPr="00AB33D0">
        <w:rPr>
          <w:noProof/>
          <w:lang w:val="pt-PT"/>
        </w:rPr>
        <w:t xml:space="preserve"> </w:t>
      </w:r>
    </w:p>
    <w:p w:rsidR="00025425" w:rsidRPr="00AB33D0" w:rsidRDefault="00EE45CF" w:rsidP="00E701F7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A SDTech é uma companhia especializada na análise e tratamento por encomenda de pulverizados finos e ultrafinos. A SDTech oferece prestações técnicas nas seguintes áreas: micronização, moagem, crivagem, mistura, granulação, formulação, análise por encomenda, avaliação e formação. A SDTech distingue-se por um conhecimento científico de alto nível com uma focagem multissetorial e aconselhamento técnico personalizado. As suas prestações englobam desde a análise de pulverizados à formação contínua, passando pela fabricação por encomenda, proposta de soluções e a sua entrada em funcionamento na sede do cliente. A SDTech oferece uma bateria de soluções inovadoras adaptadas aos problemas específicos de cada cliente, mantendo a qualidade e a estrita confidencialidade dos projetos. A SDTech desenvolveu um conceito de plataforma tecnológica que disponibilizou aos seus parceiros para desenvolver os seus projetos inovadores</w:t>
      </w:r>
    </w:p>
    <w:p w:rsidR="00EE45CF" w:rsidRPr="00AB33D0" w:rsidRDefault="000836CC" w:rsidP="00EE45CF">
      <w:pPr>
        <w:pStyle w:val="TextoMichelin"/>
        <w:rPr>
          <w:bCs/>
          <w:noProof/>
          <w:color w:val="0000FF"/>
          <w:u w:val="single"/>
          <w:lang w:val="pt-PT"/>
        </w:rPr>
      </w:pPr>
      <w:hyperlink r:id="rId10" w:history="1">
        <w:r w:rsidR="006672CD" w:rsidRPr="00AB33D0">
          <w:rPr>
            <w:noProof/>
            <w:color w:val="0000FF"/>
            <w:u w:val="single"/>
            <w:lang w:val="pt-PT"/>
          </w:rPr>
          <w:t>www.sd-tech.com</w:t>
        </w:r>
      </w:hyperlink>
      <w:r w:rsidR="006672CD" w:rsidRPr="00AB33D0">
        <w:rPr>
          <w:noProof/>
          <w:color w:val="0000FF"/>
          <w:u w:val="single"/>
          <w:lang w:val="pt-PT"/>
        </w:rPr>
        <w:t xml:space="preserve"> </w:t>
      </w:r>
      <w:r w:rsidR="006672CD" w:rsidRPr="00AB33D0">
        <w:rPr>
          <w:noProof/>
          <w:color w:val="0000FF"/>
          <w:lang w:val="pt-PT"/>
        </w:rPr>
        <w:t xml:space="preserve"> </w:t>
      </w:r>
    </w:p>
    <w:p w:rsidR="00181358" w:rsidRPr="00AB33D0" w:rsidRDefault="00181358" w:rsidP="00EE45CF">
      <w:pPr>
        <w:pStyle w:val="TextoMichelin"/>
        <w:rPr>
          <w:b/>
          <w:bCs/>
          <w:noProof/>
          <w:lang w:val="pt-PT"/>
        </w:rPr>
      </w:pPr>
    </w:p>
    <w:p w:rsidR="00EE45CF" w:rsidRPr="00AB33D0" w:rsidRDefault="00EE45CF" w:rsidP="00EE45CF">
      <w:pPr>
        <w:pStyle w:val="TextoMichelin"/>
        <w:rPr>
          <w:b/>
          <w:bCs/>
          <w:noProof/>
          <w:lang w:val="pt-PT"/>
        </w:rPr>
      </w:pPr>
      <w:r w:rsidRPr="00AB33D0">
        <w:rPr>
          <w:b/>
          <w:bCs/>
          <w:noProof/>
          <w:lang w:val="pt-PT"/>
        </w:rPr>
        <w:t>CEA (Instituto Liten)</w:t>
      </w:r>
    </w:p>
    <w:p w:rsidR="00C8085D" w:rsidRPr="00AB33D0" w:rsidRDefault="00AC4FDD" w:rsidP="00EE45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>O Comissariado da Energia Atómica e Energias Alternativas (CEA) é um organismo público de investigação que intervém em quatro grandes áreas: energias com de base de carbono, tecnologias da informação e tecnologias para a saúde, as infraestruturas de investigação a grande escala (TGIR), a defesa e a segurança global. Baseando-se na excelência da sua investigação básica e no seu reconhecido conhecimento, o CEA participa no desenvolvimento de projetos de cooperação com bastantes parceiros académicos e industriais. Graças aos seus 16.000 investigadores e colaboradores, é um ator principal no espaço europeu de investigação e tem uma presença crescente no âmbito internacional.</w:t>
      </w:r>
    </w:p>
    <w:p w:rsidR="00AF2B2A" w:rsidRPr="00AB33D0" w:rsidRDefault="00D91181" w:rsidP="00EE45CF">
      <w:pPr>
        <w:pStyle w:val="TextoMichelin"/>
        <w:rPr>
          <w:bCs/>
          <w:noProof/>
          <w:lang w:val="pt-PT"/>
        </w:rPr>
      </w:pPr>
      <w:r w:rsidRPr="00AB33D0">
        <w:rPr>
          <w:noProof/>
          <w:lang w:val="pt-PT"/>
        </w:rPr>
        <w:t xml:space="preserve">No quadro da direção de investigação tecnológica, o CEA Tech, o Instituto Liten, com sede principalmente em Grenoble e Chambéry (INES), é um dos principais centros europeus de investigação em novas tecnologias da energia. </w:t>
      </w:r>
    </w:p>
    <w:p w:rsidR="00EE45CF" w:rsidRPr="00AB33D0" w:rsidRDefault="000836CC" w:rsidP="00EE45CF">
      <w:pPr>
        <w:pStyle w:val="TextoMichelin"/>
        <w:rPr>
          <w:bCs/>
          <w:noProof/>
          <w:lang w:val="pt-PT"/>
        </w:rPr>
      </w:pPr>
      <w:hyperlink r:id="rId11" w:history="1">
        <w:r w:rsidR="006672CD" w:rsidRPr="00AB33D0">
          <w:rPr>
            <w:rStyle w:val="Hyperlink"/>
            <w:noProof/>
            <w:lang w:val="pt-PT"/>
          </w:rPr>
          <w:t>www-liten.cea.fr</w:t>
        </w:r>
      </w:hyperlink>
    </w:p>
    <w:p w:rsidR="00EE45CF" w:rsidRPr="00AB33D0" w:rsidRDefault="00EE45CF" w:rsidP="00FC4CD7">
      <w:pPr>
        <w:pStyle w:val="titulocapitulodossier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</w:p>
    <w:p w:rsidR="001466B0" w:rsidRPr="00AB33D0" w:rsidRDefault="001466B0" w:rsidP="00FC4CD7">
      <w:pPr>
        <w:pStyle w:val="titulocapitulodossier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9955F3" w:rsidRPr="00AB33D0" w:rsidRDefault="009955F3" w:rsidP="001E5C06">
      <w:pPr>
        <w:jc w:val="both"/>
        <w:rPr>
          <w:i/>
          <w:noProof/>
          <w:lang w:val="pt-PT"/>
        </w:rPr>
      </w:pPr>
    </w:p>
    <w:p w:rsidR="00C52FDC" w:rsidRPr="00AB33D0" w:rsidRDefault="00C52FDC" w:rsidP="001E5C06">
      <w:pPr>
        <w:jc w:val="both"/>
        <w:rPr>
          <w:i/>
          <w:noProof/>
          <w:lang w:val="pt-PT"/>
        </w:rPr>
      </w:pPr>
    </w:p>
    <w:p w:rsidR="001E5C06" w:rsidRPr="00AB33D0" w:rsidRDefault="001E5C06" w:rsidP="001E5C06">
      <w:pPr>
        <w:jc w:val="both"/>
        <w:rPr>
          <w:i/>
          <w:noProof/>
          <w:lang w:val="pt-PT"/>
        </w:rPr>
      </w:pPr>
      <w:r w:rsidRPr="00AB33D0">
        <w:rPr>
          <w:i/>
          <w:iCs/>
          <w:noProof/>
          <w:lang w:val="pt-PT"/>
        </w:rPr>
        <w:t xml:space="preserve">A missão da </w:t>
      </w:r>
      <w:r w:rsidRPr="00AB33D0">
        <w:rPr>
          <w:b/>
          <w:bCs/>
          <w:i/>
          <w:iCs/>
          <w:noProof/>
          <w:lang w:val="pt-PT"/>
        </w:rPr>
        <w:t>Michelin,</w:t>
      </w:r>
      <w:r w:rsidRPr="00AB33D0">
        <w:rPr>
          <w:i/>
          <w:iCs/>
          <w:noProof/>
          <w:lang w:val="pt-PT"/>
        </w:rPr>
        <w:t xml:space="preserve"> líder do setor do pneu, é contribuir de maneira sustentável para a mobilidade das pessoas e dos bens.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Por esta razão, o Grupo fabrica e comercializa pneus para todo o tipo de viaturas, desde aviões até automóveis, veículos de duas rodas, engenharia civil, agricultura e camiões.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A Michelin também propõe serviços informáticos de ajuda à mobilidade (ViaMichelin.com), e edita guias turísticos, de hotéis e restaurantes, mapas e Atlas de estradas.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O Grupo, que tem a sua sede em Clermont-Ferrand (França), está presente em mais de 170 países, emprega a 113.400 pessoas em todo o mundo e dispõe de 69 centros de produção implantados em 18 países diferentes.</w:t>
      </w:r>
      <w:r w:rsidRPr="00AB33D0">
        <w:rPr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O Grupo possui um Centro de Tecnologia que se encarrega da investigação e desenvolvimento com implantação na Europa, América do Norte e Ásia</w:t>
      </w:r>
      <w:r w:rsidR="00AB33D0" w:rsidRPr="00AB33D0">
        <w:rPr>
          <w:i/>
          <w:iCs/>
          <w:noProof/>
          <w:lang w:val="pt-PT"/>
        </w:rPr>
        <w:t xml:space="preserve"> </w:t>
      </w:r>
      <w:r w:rsidRPr="00AB33D0">
        <w:rPr>
          <w:i/>
          <w:iCs/>
          <w:noProof/>
          <w:lang w:val="pt-PT"/>
        </w:rPr>
        <w:t>(www.michelin.es).</w:t>
      </w:r>
    </w:p>
    <w:p w:rsidR="001E5C06" w:rsidRPr="00AB33D0" w:rsidRDefault="001E5C06" w:rsidP="001E5C06">
      <w:pPr>
        <w:jc w:val="both"/>
        <w:rPr>
          <w:i/>
          <w:noProof/>
          <w:lang w:val="pt-PT"/>
        </w:rPr>
      </w:pPr>
    </w:p>
    <w:p w:rsidR="001E5C06" w:rsidRPr="00AB33D0" w:rsidRDefault="001E5C06" w:rsidP="001E5C06">
      <w:pPr>
        <w:jc w:val="both"/>
        <w:rPr>
          <w:i/>
          <w:noProof/>
          <w:lang w:val="pt-PT"/>
        </w:rPr>
      </w:pPr>
    </w:p>
    <w:p w:rsidR="001E5C06" w:rsidRPr="00AB33D0" w:rsidRDefault="001E5C06" w:rsidP="001E5C06">
      <w:pPr>
        <w:jc w:val="both"/>
        <w:rPr>
          <w:i/>
          <w:noProof/>
          <w:lang w:val="pt-PT"/>
        </w:rPr>
      </w:pPr>
    </w:p>
    <w:p w:rsidR="001E5C06" w:rsidRPr="00AB33D0" w:rsidRDefault="001E5C06" w:rsidP="001E5C06">
      <w:pPr>
        <w:pStyle w:val="Footer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</w:p>
    <w:p w:rsidR="00C52FDC" w:rsidRPr="00AB33D0" w:rsidRDefault="00C52FDC" w:rsidP="001E5C06">
      <w:pPr>
        <w:pStyle w:val="Footer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</w:p>
    <w:p w:rsidR="001E5C06" w:rsidRPr="00AB33D0" w:rsidRDefault="001E5C06" w:rsidP="001E5C06">
      <w:pPr>
        <w:pStyle w:val="Footer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</w:p>
    <w:p w:rsidR="001E5C06" w:rsidRPr="00AB33D0" w:rsidRDefault="001E5C06" w:rsidP="001E5C06">
      <w:pPr>
        <w:pStyle w:val="Footer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</w:p>
    <w:p w:rsidR="001E5C06" w:rsidRPr="00AB33D0" w:rsidRDefault="001E5C06" w:rsidP="001E5C06">
      <w:pPr>
        <w:pStyle w:val="Footer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  <w:r w:rsidRPr="00AB33D0"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1E5C06" w:rsidRPr="00AB33D0" w:rsidRDefault="001E5C06" w:rsidP="001E5C06">
      <w:pPr>
        <w:pStyle w:val="Footer"/>
        <w:outlineLvl w:val="0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AB33D0">
        <w:rPr>
          <w:rFonts w:ascii="Arial" w:hAnsi="Arial"/>
          <w:noProof/>
          <w:color w:val="808080"/>
          <w:sz w:val="18"/>
          <w:szCs w:val="18"/>
          <w:lang w:val="pt-PT"/>
        </w:rPr>
        <w:t>Avda. de Los Encuartes, 19</w:t>
      </w:r>
    </w:p>
    <w:p w:rsidR="001E5C06" w:rsidRPr="00AB33D0" w:rsidRDefault="001E5C06" w:rsidP="001E5C06">
      <w:pPr>
        <w:pStyle w:val="Footer"/>
        <w:outlineLvl w:val="0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AB33D0">
        <w:rPr>
          <w:rFonts w:ascii="Arial" w:hAnsi="Arial"/>
          <w:noProof/>
          <w:color w:val="808080"/>
          <w:sz w:val="18"/>
          <w:szCs w:val="18"/>
          <w:lang w:val="pt-PT"/>
        </w:rPr>
        <w:t>28760 Tres Cantos – Madrid – ESPANHA</w:t>
      </w:r>
    </w:p>
    <w:p w:rsidR="001466B0" w:rsidRPr="00AB33D0" w:rsidRDefault="001E5C06" w:rsidP="0013303A">
      <w:pPr>
        <w:jc w:val="both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AB33D0">
        <w:rPr>
          <w:rFonts w:ascii="Arial" w:hAnsi="Arial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1466B0" w:rsidRPr="00AB33D0" w:rsidSect="003A1060">
      <w:headerReference w:type="default" r:id="rId12"/>
      <w:footerReference w:type="even" r:id="rId13"/>
      <w:footerReference w:type="default" r:id="rId14"/>
      <w:pgSz w:w="11900" w:h="16840"/>
      <w:pgMar w:top="237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A31" w:rsidRDefault="004D2A31" w:rsidP="001466B0">
      <w:r>
        <w:separator/>
      </w:r>
    </w:p>
  </w:endnote>
  <w:endnote w:type="continuationSeparator" w:id="0">
    <w:p w:rsidR="004D2A31" w:rsidRDefault="004D2A31" w:rsidP="00146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topi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A31" w:rsidRDefault="000836CC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4D2A3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2A31" w:rsidRDefault="004D2A31" w:rsidP="001A6210">
    <w:pPr>
      <w:pStyle w:val="Footer"/>
      <w:ind w:firstLine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A31" w:rsidRDefault="000836CC" w:rsidP="00FC4CD7">
    <w:pPr>
      <w:pStyle w:val="Footer"/>
      <w:framePr w:wrap="around" w:vAnchor="text" w:hAnchor="margin" w:y="1"/>
      <w:rPr>
        <w:rStyle w:val="PageNumber"/>
        <w:rFonts w:ascii="Times" w:eastAsia="Times" w:hAnsi="Times"/>
        <w:lang w:eastAsia="fr-FR"/>
      </w:rPr>
    </w:pPr>
    <w:r>
      <w:rPr>
        <w:rStyle w:val="PageNumber"/>
      </w:rPr>
      <w:fldChar w:fldCharType="begin"/>
    </w:r>
    <w:r w:rsidR="004D2A3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3E22">
      <w:rPr>
        <w:rStyle w:val="PageNumber"/>
        <w:noProof/>
      </w:rPr>
      <w:t>5</w:t>
    </w:r>
    <w:r>
      <w:rPr>
        <w:rStyle w:val="PageNumber"/>
      </w:rPr>
      <w:fldChar w:fldCharType="end"/>
    </w:r>
  </w:p>
  <w:p w:rsidR="004D2A31" w:rsidRPr="00096802" w:rsidRDefault="004D2A31" w:rsidP="001A6210">
    <w:pPr>
      <w:pStyle w:val="Footer"/>
      <w:ind w:left="1701" w:firstLine="360"/>
    </w:pPr>
    <w:r>
      <w:rPr>
        <w:noProof/>
        <w:szCs w:val="20"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6350" b="0"/>
          <wp:wrapNone/>
          <wp:docPr id="3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A31" w:rsidRDefault="004D2A31" w:rsidP="001466B0">
      <w:r>
        <w:separator/>
      </w:r>
    </w:p>
  </w:footnote>
  <w:footnote w:type="continuationSeparator" w:id="0">
    <w:p w:rsidR="004D2A31" w:rsidRDefault="004D2A31" w:rsidP="001466B0">
      <w:r>
        <w:continuationSeparator/>
      </w:r>
    </w:p>
  </w:footnote>
  <w:footnote w:id="1">
    <w:p w:rsidR="004D2A31" w:rsidRPr="00AB33D0" w:rsidRDefault="004D2A31" w:rsidP="006921CF">
      <w:pPr>
        <w:pStyle w:val="FootnoteText"/>
        <w:rPr>
          <w:lang w:val="pt-PT"/>
        </w:rPr>
      </w:pPr>
      <w:r>
        <w:rPr>
          <w:rStyle w:val="FootnoteReference"/>
          <w:rFonts w:ascii="Arial" w:hAnsi="Arial"/>
        </w:rPr>
        <w:footnoteRef/>
      </w:r>
      <w:r>
        <w:t xml:space="preserve"> </w:t>
      </w:r>
      <w:proofErr w:type="spellStart"/>
      <w:r>
        <w:rPr>
          <w:rFonts w:ascii="Arial" w:hAnsi="Arial"/>
          <w:sz w:val="16"/>
          <w:szCs w:val="16"/>
        </w:rPr>
        <w:t>Reciclagem</w:t>
      </w:r>
      <w:proofErr w:type="spellEnd"/>
      <w:r>
        <w:rPr>
          <w:rFonts w:ascii="Arial" w:hAnsi="Arial"/>
          <w:sz w:val="16"/>
          <w:szCs w:val="16"/>
        </w:rPr>
        <w:t xml:space="preserve"> de </w:t>
      </w:r>
      <w:proofErr w:type="spellStart"/>
      <w:r>
        <w:rPr>
          <w:rFonts w:ascii="Arial" w:hAnsi="Arial"/>
          <w:sz w:val="16"/>
          <w:szCs w:val="16"/>
        </w:rPr>
        <w:t>pneus</w:t>
      </w:r>
      <w:proofErr w:type="spellEnd"/>
      <w:r>
        <w:rPr>
          <w:rFonts w:ascii="Arial" w:hAnsi="Arial"/>
          <w:sz w:val="16"/>
          <w:szCs w:val="16"/>
        </w:rPr>
        <w:t>.</w:t>
      </w:r>
    </w:p>
  </w:footnote>
  <w:footnote w:id="2">
    <w:p w:rsidR="004D2A31" w:rsidRPr="00AB33D0" w:rsidRDefault="004D2A31" w:rsidP="00682F4F">
      <w:pPr>
        <w:pStyle w:val="BodyText2"/>
        <w:spacing w:after="0" w:line="240" w:lineRule="auto"/>
        <w:jc w:val="both"/>
        <w:rPr>
          <w:rFonts w:ascii="Arial" w:hAnsi="Arial" w:cs="Arial"/>
          <w:sz w:val="16"/>
          <w:szCs w:val="16"/>
          <w:lang w:val="pt-PT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 xml:space="preserve">AMI, </w:t>
      </w:r>
      <w:proofErr w:type="spellStart"/>
      <w:r>
        <w:rPr>
          <w:rFonts w:ascii="Arial" w:hAnsi="Arial"/>
          <w:sz w:val="16"/>
          <w:szCs w:val="16"/>
        </w:rPr>
        <w:t>Recolha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Seleção</w:t>
      </w:r>
      <w:proofErr w:type="spellEnd"/>
      <w:r>
        <w:rPr>
          <w:rFonts w:ascii="Arial" w:hAnsi="Arial"/>
          <w:sz w:val="16"/>
          <w:szCs w:val="16"/>
        </w:rPr>
        <w:t xml:space="preserve"> </w:t>
      </w:r>
      <w:proofErr w:type="spellStart"/>
      <w:r>
        <w:rPr>
          <w:rFonts w:ascii="Arial" w:hAnsi="Arial"/>
          <w:sz w:val="16"/>
          <w:szCs w:val="16"/>
        </w:rPr>
        <w:t>Reciclagem</w:t>
      </w:r>
      <w:proofErr w:type="spellEnd"/>
      <w:r>
        <w:rPr>
          <w:rFonts w:ascii="Arial" w:hAnsi="Arial"/>
          <w:sz w:val="16"/>
          <w:szCs w:val="16"/>
        </w:rPr>
        <w:t xml:space="preserve"> e </w:t>
      </w:r>
      <w:proofErr w:type="spellStart"/>
      <w:r>
        <w:rPr>
          <w:rFonts w:ascii="Arial" w:hAnsi="Arial"/>
          <w:sz w:val="16"/>
          <w:szCs w:val="16"/>
        </w:rPr>
        <w:t>Valorização</w:t>
      </w:r>
      <w:proofErr w:type="spellEnd"/>
      <w:r>
        <w:rPr>
          <w:rFonts w:ascii="Arial" w:hAnsi="Arial"/>
          <w:sz w:val="16"/>
          <w:szCs w:val="16"/>
        </w:rPr>
        <w:t xml:space="preserve"> de </w:t>
      </w:r>
      <w:proofErr w:type="spellStart"/>
      <w:r>
        <w:rPr>
          <w:rFonts w:ascii="Arial" w:hAnsi="Arial"/>
          <w:sz w:val="16"/>
          <w:szCs w:val="16"/>
        </w:rPr>
        <w:t>resíduos</w:t>
      </w:r>
      <w:proofErr w:type="spellEnd"/>
      <w:r>
        <w:rPr>
          <w:rFonts w:ascii="Arial" w:hAnsi="Arial"/>
          <w:sz w:val="16"/>
          <w:szCs w:val="16"/>
        </w:rPr>
        <w:t>.</w:t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A31" w:rsidRDefault="004D2A31">
    <w:pPr>
      <w:pStyle w:val="Header"/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3086100</wp:posOffset>
          </wp:positionH>
          <wp:positionV relativeFrom="paragraph">
            <wp:posOffset>450215</wp:posOffset>
          </wp:positionV>
          <wp:extent cx="1104900" cy="247650"/>
          <wp:effectExtent l="25400" t="0" r="0" b="0"/>
          <wp:wrapNone/>
          <wp:docPr id="10" name="Image 5" descr="D:\Documents and Settings\F293470\Local Settings\Temp\notesC035B0\LogoSDTech_RVB sans solid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 and Settings\F293470\Local Settings\Temp\notesC035B0\LogoSDTech_RVB sans solid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335915</wp:posOffset>
          </wp:positionV>
          <wp:extent cx="889000" cy="400050"/>
          <wp:effectExtent l="2540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1364615</wp:posOffset>
          </wp:positionH>
          <wp:positionV relativeFrom="paragraph">
            <wp:posOffset>323215</wp:posOffset>
          </wp:positionV>
          <wp:extent cx="514350" cy="514350"/>
          <wp:effectExtent l="25400" t="0" r="0" b="0"/>
          <wp:wrapThrough wrapText="bothSides">
            <wp:wrapPolygon edited="0">
              <wp:start x="-1067" y="0"/>
              <wp:lineTo x="-1067" y="21333"/>
              <wp:lineTo x="21333" y="21333"/>
              <wp:lineTo x="21333" y="0"/>
              <wp:lineTo x="-1067" y="0"/>
            </wp:wrapPolygon>
          </wp:wrapThrough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532765</wp:posOffset>
          </wp:positionH>
          <wp:positionV relativeFrom="paragraph">
            <wp:posOffset>342265</wp:posOffset>
          </wp:positionV>
          <wp:extent cx="577850" cy="467995"/>
          <wp:effectExtent l="25400" t="0" r="6350" b="0"/>
          <wp:wrapNone/>
          <wp:docPr id="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A_logo_quadri-sur-fond-roug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221615</wp:posOffset>
          </wp:positionV>
          <wp:extent cx="635000" cy="704850"/>
          <wp:effectExtent l="25400" t="0" r="0" b="0"/>
          <wp:wrapNone/>
          <wp:docPr id="7" name="Image 25" descr="ADE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5" descr="ADEM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F7CBB"/>
    <w:rsid w:val="00010188"/>
    <w:rsid w:val="00010229"/>
    <w:rsid w:val="00025425"/>
    <w:rsid w:val="00037C77"/>
    <w:rsid w:val="000428A5"/>
    <w:rsid w:val="0006250D"/>
    <w:rsid w:val="00071AA7"/>
    <w:rsid w:val="000836CC"/>
    <w:rsid w:val="000B071F"/>
    <w:rsid w:val="000C7304"/>
    <w:rsid w:val="000E6F63"/>
    <w:rsid w:val="00115892"/>
    <w:rsid w:val="0011691D"/>
    <w:rsid w:val="0013303A"/>
    <w:rsid w:val="00134815"/>
    <w:rsid w:val="001466B0"/>
    <w:rsid w:val="001750C1"/>
    <w:rsid w:val="00181358"/>
    <w:rsid w:val="001A6210"/>
    <w:rsid w:val="001A7BA1"/>
    <w:rsid w:val="001D7264"/>
    <w:rsid w:val="001E3D6B"/>
    <w:rsid w:val="001E5C06"/>
    <w:rsid w:val="002271D3"/>
    <w:rsid w:val="00233F40"/>
    <w:rsid w:val="00235D87"/>
    <w:rsid w:val="002508B0"/>
    <w:rsid w:val="0025154B"/>
    <w:rsid w:val="00253D0A"/>
    <w:rsid w:val="00260D74"/>
    <w:rsid w:val="002715A6"/>
    <w:rsid w:val="00272763"/>
    <w:rsid w:val="00291199"/>
    <w:rsid w:val="00295BD6"/>
    <w:rsid w:val="002A6B36"/>
    <w:rsid w:val="002E3777"/>
    <w:rsid w:val="00321369"/>
    <w:rsid w:val="00346DCF"/>
    <w:rsid w:val="003508AF"/>
    <w:rsid w:val="003724A6"/>
    <w:rsid w:val="003A1060"/>
    <w:rsid w:val="003C4F4B"/>
    <w:rsid w:val="003C4F7C"/>
    <w:rsid w:val="00407C96"/>
    <w:rsid w:val="0042468D"/>
    <w:rsid w:val="00424758"/>
    <w:rsid w:val="00467EFB"/>
    <w:rsid w:val="00495CC0"/>
    <w:rsid w:val="004D2A31"/>
    <w:rsid w:val="0051462D"/>
    <w:rsid w:val="00517268"/>
    <w:rsid w:val="00523701"/>
    <w:rsid w:val="00524A16"/>
    <w:rsid w:val="00541F4C"/>
    <w:rsid w:val="005472B3"/>
    <w:rsid w:val="00563E22"/>
    <w:rsid w:val="005916F4"/>
    <w:rsid w:val="005A27D7"/>
    <w:rsid w:val="005D7274"/>
    <w:rsid w:val="005E008B"/>
    <w:rsid w:val="00623CF3"/>
    <w:rsid w:val="00626C26"/>
    <w:rsid w:val="0063039F"/>
    <w:rsid w:val="0064166C"/>
    <w:rsid w:val="006440D3"/>
    <w:rsid w:val="00644A84"/>
    <w:rsid w:val="00646037"/>
    <w:rsid w:val="00657FC2"/>
    <w:rsid w:val="006672CD"/>
    <w:rsid w:val="006678D2"/>
    <w:rsid w:val="006827DF"/>
    <w:rsid w:val="00682F4F"/>
    <w:rsid w:val="006921CF"/>
    <w:rsid w:val="006D3988"/>
    <w:rsid w:val="006E12A9"/>
    <w:rsid w:val="00705FF0"/>
    <w:rsid w:val="007361A9"/>
    <w:rsid w:val="00737803"/>
    <w:rsid w:val="007466E0"/>
    <w:rsid w:val="007719A8"/>
    <w:rsid w:val="0078499A"/>
    <w:rsid w:val="0079419D"/>
    <w:rsid w:val="0079550C"/>
    <w:rsid w:val="008346E6"/>
    <w:rsid w:val="008422EC"/>
    <w:rsid w:val="0086432E"/>
    <w:rsid w:val="008C3EE3"/>
    <w:rsid w:val="008C5F3E"/>
    <w:rsid w:val="008F1DE9"/>
    <w:rsid w:val="008F3A50"/>
    <w:rsid w:val="008F3ADD"/>
    <w:rsid w:val="00906214"/>
    <w:rsid w:val="00934314"/>
    <w:rsid w:val="00937126"/>
    <w:rsid w:val="00941165"/>
    <w:rsid w:val="009517A5"/>
    <w:rsid w:val="00986F11"/>
    <w:rsid w:val="00990206"/>
    <w:rsid w:val="009955F3"/>
    <w:rsid w:val="00995D2F"/>
    <w:rsid w:val="009A2AC0"/>
    <w:rsid w:val="009D601F"/>
    <w:rsid w:val="009F28AC"/>
    <w:rsid w:val="00A17200"/>
    <w:rsid w:val="00A93335"/>
    <w:rsid w:val="00AB33D0"/>
    <w:rsid w:val="00AB55CB"/>
    <w:rsid w:val="00AC4E09"/>
    <w:rsid w:val="00AC4FDD"/>
    <w:rsid w:val="00AD0FF0"/>
    <w:rsid w:val="00AD394F"/>
    <w:rsid w:val="00AE3DAD"/>
    <w:rsid w:val="00AE73B1"/>
    <w:rsid w:val="00AF2B2A"/>
    <w:rsid w:val="00AF7819"/>
    <w:rsid w:val="00B10A27"/>
    <w:rsid w:val="00B3556C"/>
    <w:rsid w:val="00B60C65"/>
    <w:rsid w:val="00B7758D"/>
    <w:rsid w:val="00B86D8E"/>
    <w:rsid w:val="00B8774C"/>
    <w:rsid w:val="00BA0ACE"/>
    <w:rsid w:val="00BD2C23"/>
    <w:rsid w:val="00BD335A"/>
    <w:rsid w:val="00C4364C"/>
    <w:rsid w:val="00C51D5B"/>
    <w:rsid w:val="00C52FDC"/>
    <w:rsid w:val="00C8085D"/>
    <w:rsid w:val="00C846BD"/>
    <w:rsid w:val="00C94334"/>
    <w:rsid w:val="00D04196"/>
    <w:rsid w:val="00D30C06"/>
    <w:rsid w:val="00D91181"/>
    <w:rsid w:val="00DB1C0F"/>
    <w:rsid w:val="00DB3F0D"/>
    <w:rsid w:val="00DF1C84"/>
    <w:rsid w:val="00E10E70"/>
    <w:rsid w:val="00E20855"/>
    <w:rsid w:val="00E22442"/>
    <w:rsid w:val="00E2665B"/>
    <w:rsid w:val="00E51BC1"/>
    <w:rsid w:val="00E701F7"/>
    <w:rsid w:val="00E9095B"/>
    <w:rsid w:val="00EC271C"/>
    <w:rsid w:val="00EE45CF"/>
    <w:rsid w:val="00EF19E1"/>
    <w:rsid w:val="00EF7CBB"/>
    <w:rsid w:val="00EF7D75"/>
    <w:rsid w:val="00F120D9"/>
    <w:rsid w:val="00F21DE2"/>
    <w:rsid w:val="00F26514"/>
    <w:rsid w:val="00F4557C"/>
    <w:rsid w:val="00F64056"/>
    <w:rsid w:val="00F86340"/>
    <w:rsid w:val="00FA1356"/>
    <w:rsid w:val="00FC4CD7"/>
  </w:rsids>
  <m:mathPr>
    <m:mathFont m:val="Georgia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rsid w:val="00096802"/>
  </w:style>
  <w:style w:type="paragraph" w:styleId="Footer">
    <w:name w:val="footer"/>
    <w:basedOn w:val="Normal"/>
    <w:link w:val="FooterCh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FooterChar">
    <w:name w:val="Footer Char"/>
    <w:basedOn w:val="DefaultParagraphFont"/>
    <w:link w:val="Footer"/>
    <w:rsid w:val="00096802"/>
  </w:style>
  <w:style w:type="paragraph" w:styleId="BalloonText">
    <w:name w:val="Balloon Text"/>
    <w:basedOn w:val="Normal"/>
    <w:link w:val="BalloonTextCh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PageNumber">
    <w:name w:val="page number"/>
    <w:basedOn w:val="DefaultParagraphFont"/>
    <w:rsid w:val="001A6210"/>
  </w:style>
  <w:style w:type="paragraph" w:styleId="BodyText2">
    <w:name w:val="Body Text 2"/>
    <w:basedOn w:val="Normal"/>
    <w:link w:val="BodyText2Char"/>
    <w:rsid w:val="006921C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921CF"/>
    <w:rPr>
      <w:rFonts w:ascii="Times" w:eastAsia="Times" w:hAnsi="Times"/>
      <w:lang w:eastAsia="fr-FR"/>
    </w:rPr>
  </w:style>
  <w:style w:type="paragraph" w:styleId="FootnoteText">
    <w:name w:val="footnote text"/>
    <w:basedOn w:val="Normal"/>
    <w:link w:val="FootnoteTextChar"/>
    <w:rsid w:val="006921CF"/>
  </w:style>
  <w:style w:type="character" w:customStyle="1" w:styleId="FootnoteTextChar">
    <w:name w:val="Footnote Text Char"/>
    <w:basedOn w:val="DefaultParagraphFont"/>
    <w:link w:val="FootnoteText"/>
    <w:rsid w:val="006921CF"/>
    <w:rPr>
      <w:rFonts w:ascii="Times" w:eastAsia="Times" w:hAnsi="Times"/>
      <w:lang w:eastAsia="fr-FR"/>
    </w:rPr>
  </w:style>
  <w:style w:type="character" w:styleId="FootnoteReference">
    <w:name w:val="footnote reference"/>
    <w:basedOn w:val="DefaultParagraphFont"/>
    <w:uiPriority w:val="99"/>
    <w:unhideWhenUsed/>
    <w:rsid w:val="006921C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E45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-liten.cea.fr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proteus.fr/" TargetMode="External"/><Relationship Id="rId9" Type="http://schemas.openxmlformats.org/officeDocument/2006/relationships/hyperlink" Target="http://www.pcas.com" TargetMode="External"/><Relationship Id="rId10" Type="http://schemas.openxmlformats.org/officeDocument/2006/relationships/hyperlink" Target="http://www.sd-tech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1169</Words>
  <Characters>6665</Characters>
  <Application>Microsoft Macintosh Word</Application>
  <DocSecurity>0</DocSecurity>
  <Lines>55</Lines>
  <Paragraphs>13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9" baseType="lpstr">
      <vt:lpstr/>
      <vt:lpstr>INFORMACIÓN DE PRENSA 31/01/2014</vt:lpstr>
      <vt:lpstr/>
      <vt:lpstr/>
      <vt:lpstr/>
      <vt:lpstr/>
      <vt:lpstr/>
      <vt:lpstr>DEPARTAMENTO DE COMUNICACIÓN</vt:lpstr>
      <vt:lpstr>Avda. de Los Encuartes, 19</vt:lpstr>
      <vt:lpstr>28760 Tres Cantos – Madrid – ESPAÑA</vt:lpstr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8185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12</cp:revision>
  <cp:lastPrinted>2014-02-05T11:24:00Z</cp:lastPrinted>
  <dcterms:created xsi:type="dcterms:W3CDTF">2014-01-31T15:43:00Z</dcterms:created>
  <dcterms:modified xsi:type="dcterms:W3CDTF">2014-02-05T11:25:00Z</dcterms:modified>
</cp:coreProperties>
</file>