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ED35E0" w:rsidRDefault="0013303A" w:rsidP="0013303A">
      <w:pPr>
        <w:keepNext/>
        <w:spacing w:after="230"/>
        <w:jc w:val="right"/>
        <w:outlineLvl w:val="0"/>
        <w:rPr>
          <w:rFonts w:cs="Times"/>
          <w:b/>
          <w:color w:val="808080"/>
        </w:rPr>
      </w:pPr>
      <w:r w:rsidRPr="00ED35E0">
        <w:rPr>
          <w:rFonts w:cs="Times"/>
          <w:b/>
          <w:color w:val="808080"/>
        </w:rPr>
        <w:t>INFORMACIÓN DE PRENSA</w:t>
      </w:r>
      <w:r w:rsidRPr="00ED35E0">
        <w:rPr>
          <w:rFonts w:cs="Times"/>
          <w:b/>
          <w:color w:val="808080"/>
        </w:rPr>
        <w:br/>
      </w:r>
      <w:r w:rsidR="00E40591" w:rsidRPr="00ED35E0">
        <w:rPr>
          <w:rFonts w:cs="Times"/>
          <w:color w:val="808080"/>
        </w:rPr>
        <w:fldChar w:fldCharType="begin"/>
      </w:r>
      <w:r w:rsidRPr="00ED35E0">
        <w:rPr>
          <w:rFonts w:cs="Times"/>
          <w:color w:val="808080"/>
        </w:rPr>
        <w:instrText xml:space="preserve"> TIME \@ "dd/MM/yyyy" </w:instrText>
      </w:r>
      <w:r w:rsidR="00E40591" w:rsidRPr="00ED35E0">
        <w:rPr>
          <w:rFonts w:cs="Times"/>
          <w:color w:val="808080"/>
        </w:rPr>
        <w:fldChar w:fldCharType="separate"/>
      </w:r>
      <w:r w:rsidR="00012D10">
        <w:rPr>
          <w:rFonts w:cs="Times"/>
          <w:noProof/>
          <w:color w:val="808080"/>
        </w:rPr>
        <w:t>11</w:t>
      </w:r>
      <w:r w:rsidR="00012D10" w:rsidRPr="00ED35E0">
        <w:rPr>
          <w:rFonts w:cs="Times"/>
          <w:noProof/>
          <w:color w:val="808080"/>
        </w:rPr>
        <w:t>/</w:t>
      </w:r>
      <w:r w:rsidR="00012D10">
        <w:rPr>
          <w:rFonts w:cs="Times"/>
          <w:noProof/>
          <w:color w:val="808080"/>
        </w:rPr>
        <w:t>02</w:t>
      </w:r>
      <w:r w:rsidR="00012D10" w:rsidRPr="00ED35E0">
        <w:rPr>
          <w:rFonts w:cs="Times"/>
          <w:noProof/>
          <w:color w:val="808080"/>
        </w:rPr>
        <w:t>/</w:t>
      </w:r>
      <w:r w:rsidR="00012D10">
        <w:rPr>
          <w:rFonts w:cs="Times"/>
          <w:noProof/>
          <w:color w:val="808080"/>
        </w:rPr>
        <w:t>2014</w:t>
      </w:r>
      <w:r w:rsidR="00E40591" w:rsidRPr="00ED35E0">
        <w:rPr>
          <w:rFonts w:cs="Times"/>
          <w:color w:val="808080"/>
        </w:rPr>
        <w:fldChar w:fldCharType="end"/>
      </w:r>
    </w:p>
    <w:p w:rsidR="001466B0" w:rsidRPr="00ED35E0" w:rsidRDefault="001466B0" w:rsidP="001466B0">
      <w:pPr>
        <w:pStyle w:val="TITULARMICHELIN"/>
        <w:spacing w:after="230"/>
        <w:rPr>
          <w:rFonts w:ascii="Arial" w:hAnsi="Arial" w:cs="Arial"/>
          <w:szCs w:val="26"/>
        </w:rPr>
      </w:pPr>
    </w:p>
    <w:p w:rsidR="00BF4FFF" w:rsidRPr="00ED35E0" w:rsidRDefault="00BF4FFF" w:rsidP="00BF4FFF">
      <w:pPr>
        <w:spacing w:after="120" w:line="360" w:lineRule="exact"/>
        <w:rPr>
          <w:b/>
          <w:color w:val="365F91" w:themeColor="accent1" w:themeShade="BF"/>
          <w:sz w:val="28"/>
          <w:szCs w:val="26"/>
        </w:rPr>
      </w:pPr>
      <w:r w:rsidRPr="00ED35E0">
        <w:rPr>
          <w:b/>
          <w:snapToGrid w:val="0"/>
          <w:color w:val="333399"/>
          <w:sz w:val="40"/>
          <w:szCs w:val="26"/>
        </w:rPr>
        <w:t xml:space="preserve">Resultados financieros del Grupo Michelin </w:t>
      </w:r>
      <w:r w:rsidRPr="00ED35E0">
        <w:rPr>
          <w:b/>
          <w:snapToGrid w:val="0"/>
          <w:color w:val="333399"/>
          <w:sz w:val="40"/>
          <w:szCs w:val="26"/>
        </w:rPr>
        <w:br/>
      </w:r>
      <w:r w:rsidRPr="00ED35E0">
        <w:rPr>
          <w:b/>
          <w:color w:val="365F91" w:themeColor="accent1" w:themeShade="BF"/>
          <w:sz w:val="28"/>
          <w:szCs w:val="26"/>
        </w:rPr>
        <w:t xml:space="preserve">Información financiera correspondiente </w:t>
      </w:r>
      <w:r w:rsidR="00E02024" w:rsidRPr="00ED35E0">
        <w:rPr>
          <w:b/>
          <w:color w:val="365F91" w:themeColor="accent1" w:themeShade="BF"/>
          <w:sz w:val="28"/>
          <w:szCs w:val="26"/>
        </w:rPr>
        <w:t>a</w:t>
      </w:r>
      <w:r w:rsidR="00D066F1">
        <w:rPr>
          <w:b/>
          <w:color w:val="365F91" w:themeColor="accent1" w:themeShade="BF"/>
          <w:sz w:val="28"/>
          <w:szCs w:val="26"/>
        </w:rPr>
        <w:t>l</w:t>
      </w:r>
      <w:r w:rsidR="00E02024" w:rsidRPr="00ED35E0">
        <w:rPr>
          <w:b/>
          <w:color w:val="365F91" w:themeColor="accent1" w:themeShade="BF"/>
          <w:sz w:val="28"/>
          <w:szCs w:val="26"/>
        </w:rPr>
        <w:t xml:space="preserve"> 3</w:t>
      </w:r>
      <w:r w:rsidR="00892CBE" w:rsidRPr="00ED35E0">
        <w:rPr>
          <w:b/>
          <w:color w:val="365F91" w:themeColor="accent1" w:themeShade="BF"/>
          <w:sz w:val="28"/>
          <w:szCs w:val="26"/>
        </w:rPr>
        <w:t>1</w:t>
      </w:r>
      <w:r w:rsidR="00E02024" w:rsidRPr="00ED35E0">
        <w:rPr>
          <w:b/>
          <w:color w:val="365F91" w:themeColor="accent1" w:themeShade="BF"/>
          <w:sz w:val="28"/>
          <w:szCs w:val="26"/>
        </w:rPr>
        <w:t xml:space="preserve"> de </w:t>
      </w:r>
      <w:r w:rsidR="00892CBE" w:rsidRPr="00ED35E0">
        <w:rPr>
          <w:b/>
          <w:color w:val="365F91" w:themeColor="accent1" w:themeShade="BF"/>
          <w:sz w:val="28"/>
          <w:szCs w:val="26"/>
        </w:rPr>
        <w:t>dic</w:t>
      </w:r>
      <w:r w:rsidR="00E02024" w:rsidRPr="00ED35E0">
        <w:rPr>
          <w:b/>
          <w:color w:val="365F91" w:themeColor="accent1" w:themeShade="BF"/>
          <w:sz w:val="28"/>
          <w:szCs w:val="26"/>
        </w:rPr>
        <w:t>iembre de 2013</w:t>
      </w:r>
    </w:p>
    <w:p w:rsidR="00BF4FFF" w:rsidRPr="00ED35E0" w:rsidRDefault="00BF4FFF" w:rsidP="00BF4FFF">
      <w:pPr>
        <w:jc w:val="center"/>
        <w:rPr>
          <w:rFonts w:ascii="Verdana" w:eastAsia="Times New Roman" w:hAnsi="Verdana"/>
          <w:b/>
          <w:sz w:val="18"/>
          <w:szCs w:val="18"/>
        </w:rPr>
      </w:pPr>
    </w:p>
    <w:p w:rsidR="00B15D59" w:rsidRPr="00ED35E0" w:rsidRDefault="00B15D59" w:rsidP="00B15D59">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ED35E0">
        <w:rPr>
          <w:rFonts w:ascii="Arial" w:hAnsi="Arial"/>
          <w:b/>
          <w:sz w:val="22"/>
          <w:szCs w:val="22"/>
          <w:u w:val="single"/>
        </w:rPr>
        <w:t>2013</w:t>
      </w:r>
      <w:r w:rsidRPr="00ED35E0">
        <w:rPr>
          <w:rFonts w:ascii="Arial" w:hAnsi="Arial"/>
          <w:b/>
          <w:sz w:val="22"/>
          <w:szCs w:val="22"/>
        </w:rPr>
        <w:t xml:space="preserve">: </w:t>
      </w:r>
      <w:r w:rsidR="00D066F1">
        <w:rPr>
          <w:rFonts w:ascii="Arial" w:hAnsi="Arial"/>
          <w:b/>
          <w:sz w:val="22"/>
          <w:szCs w:val="22"/>
        </w:rPr>
        <w:t>Importante</w:t>
      </w:r>
      <w:r w:rsidR="00ED35E0" w:rsidRPr="002D7E0A">
        <w:rPr>
          <w:rFonts w:ascii="Arial" w:hAnsi="Arial"/>
          <w:b/>
          <w:sz w:val="22"/>
          <w:szCs w:val="22"/>
        </w:rPr>
        <w:t xml:space="preserve"> </w:t>
      </w:r>
      <w:r w:rsidR="00ED35E0" w:rsidRPr="00ED35E0">
        <w:rPr>
          <w:rFonts w:ascii="Arial" w:hAnsi="Arial"/>
          <w:b/>
          <w:sz w:val="22"/>
          <w:szCs w:val="22"/>
        </w:rPr>
        <w:t>generación</w:t>
      </w:r>
      <w:r w:rsidRPr="00ED35E0">
        <w:rPr>
          <w:rFonts w:ascii="Arial" w:hAnsi="Arial"/>
          <w:b/>
          <w:sz w:val="22"/>
          <w:szCs w:val="22"/>
        </w:rPr>
        <w:t xml:space="preserve"> de </w:t>
      </w:r>
      <w:r w:rsidR="00ED35E0" w:rsidRPr="00ED35E0">
        <w:rPr>
          <w:rFonts w:ascii="Arial" w:hAnsi="Arial"/>
          <w:b/>
          <w:i/>
          <w:sz w:val="22"/>
          <w:szCs w:val="22"/>
        </w:rPr>
        <w:t>c</w:t>
      </w:r>
      <w:r w:rsidRPr="00ED35E0">
        <w:rPr>
          <w:rFonts w:ascii="Arial" w:hAnsi="Arial"/>
          <w:b/>
          <w:i/>
          <w:sz w:val="22"/>
          <w:szCs w:val="22"/>
        </w:rPr>
        <w:t xml:space="preserve">ash flow </w:t>
      </w:r>
      <w:r w:rsidRPr="00ED35E0">
        <w:rPr>
          <w:rFonts w:ascii="Arial" w:hAnsi="Arial"/>
          <w:b/>
          <w:sz w:val="22"/>
          <w:szCs w:val="22"/>
        </w:rPr>
        <w:t xml:space="preserve">libre, </w:t>
      </w:r>
      <w:r w:rsidR="00ED35E0" w:rsidRPr="00ED35E0">
        <w:rPr>
          <w:rFonts w:ascii="Arial" w:hAnsi="Arial"/>
          <w:b/>
          <w:sz w:val="22"/>
          <w:szCs w:val="22"/>
        </w:rPr>
        <w:t>de</w:t>
      </w:r>
      <w:r w:rsidRPr="00ED35E0">
        <w:rPr>
          <w:rFonts w:ascii="Arial" w:hAnsi="Arial"/>
          <w:b/>
          <w:sz w:val="22"/>
          <w:szCs w:val="22"/>
        </w:rPr>
        <w:t xml:space="preserve"> 1</w:t>
      </w:r>
      <w:r w:rsidR="00ED35E0" w:rsidRPr="00ED35E0">
        <w:rPr>
          <w:rFonts w:ascii="Arial" w:hAnsi="Arial"/>
          <w:b/>
          <w:sz w:val="22"/>
          <w:szCs w:val="22"/>
        </w:rPr>
        <w:t>.</w:t>
      </w:r>
      <w:r w:rsidRPr="00ED35E0">
        <w:rPr>
          <w:rFonts w:ascii="Arial" w:hAnsi="Arial"/>
          <w:b/>
          <w:sz w:val="22"/>
          <w:szCs w:val="22"/>
        </w:rPr>
        <w:t xml:space="preserve">154 </w:t>
      </w:r>
      <w:r w:rsidR="00ED35E0" w:rsidRPr="00ED35E0">
        <w:rPr>
          <w:rFonts w:ascii="Arial" w:hAnsi="Arial"/>
          <w:b/>
          <w:sz w:val="22"/>
          <w:szCs w:val="22"/>
        </w:rPr>
        <w:t>millones de euros</w:t>
      </w:r>
      <w:r w:rsidR="007712BC">
        <w:rPr>
          <w:rFonts w:ascii="Arial" w:hAnsi="Arial"/>
          <w:b/>
          <w:sz w:val="22"/>
          <w:szCs w:val="22"/>
        </w:rPr>
        <w:t>.</w:t>
      </w:r>
    </w:p>
    <w:p w:rsidR="00B15D59" w:rsidRPr="00ED35E0" w:rsidRDefault="00E03137" w:rsidP="00B15D59">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u w:val="single"/>
        </w:rPr>
      </w:pPr>
      <w:r>
        <w:rPr>
          <w:rFonts w:ascii="Arial" w:hAnsi="Arial"/>
          <w:b/>
          <w:sz w:val="22"/>
          <w:szCs w:val="22"/>
        </w:rPr>
        <w:t xml:space="preserve">Cuarto año </w:t>
      </w:r>
      <w:r w:rsidR="006408A4">
        <w:rPr>
          <w:rFonts w:ascii="Arial" w:hAnsi="Arial"/>
          <w:b/>
          <w:sz w:val="22"/>
          <w:szCs w:val="22"/>
        </w:rPr>
        <w:t>creando</w:t>
      </w:r>
      <w:r>
        <w:rPr>
          <w:rFonts w:ascii="Arial" w:hAnsi="Arial"/>
          <w:b/>
          <w:sz w:val="22"/>
          <w:szCs w:val="22"/>
        </w:rPr>
        <w:t xml:space="preserve"> valor</w:t>
      </w:r>
      <w:r w:rsidR="002D7E0A">
        <w:rPr>
          <w:rFonts w:ascii="Arial" w:hAnsi="Arial"/>
          <w:b/>
          <w:sz w:val="22"/>
          <w:szCs w:val="22"/>
        </w:rPr>
        <w:t xml:space="preserve">, con un retorno </w:t>
      </w:r>
      <w:r w:rsidR="00D066F1">
        <w:rPr>
          <w:rFonts w:ascii="Arial" w:hAnsi="Arial"/>
          <w:b/>
          <w:sz w:val="22"/>
          <w:szCs w:val="22"/>
        </w:rPr>
        <w:t xml:space="preserve">sobre </w:t>
      </w:r>
      <w:r w:rsidR="002D7E0A">
        <w:rPr>
          <w:rFonts w:ascii="Arial" w:hAnsi="Arial"/>
          <w:b/>
          <w:sz w:val="22"/>
          <w:szCs w:val="22"/>
        </w:rPr>
        <w:t xml:space="preserve">capitales </w:t>
      </w:r>
      <w:r w:rsidR="002D7E0A">
        <w:rPr>
          <w:rFonts w:ascii="Arial" w:hAnsi="Arial"/>
          <w:b/>
          <w:sz w:val="22"/>
          <w:szCs w:val="22"/>
        </w:rPr>
        <w:br/>
        <w:t>empleados del 11,9</w:t>
      </w:r>
      <w:r w:rsidR="00CB4369">
        <w:rPr>
          <w:rFonts w:ascii="Arial" w:hAnsi="Arial"/>
          <w:b/>
          <w:sz w:val="22"/>
          <w:szCs w:val="22"/>
        </w:rPr>
        <w:t xml:space="preserve"> </w:t>
      </w:r>
      <w:r w:rsidR="00B15D59" w:rsidRPr="00ED35E0">
        <w:rPr>
          <w:rFonts w:ascii="Arial" w:hAnsi="Arial"/>
          <w:b/>
          <w:sz w:val="22"/>
          <w:szCs w:val="22"/>
        </w:rPr>
        <w:t>%</w:t>
      </w:r>
      <w:r w:rsidR="007712BC">
        <w:rPr>
          <w:rFonts w:ascii="Arial" w:hAnsi="Arial"/>
          <w:b/>
          <w:sz w:val="22"/>
          <w:szCs w:val="22"/>
        </w:rPr>
        <w:t>.</w:t>
      </w:r>
    </w:p>
    <w:p w:rsidR="00B15D59" w:rsidRPr="00ED35E0" w:rsidRDefault="002D7E0A" w:rsidP="00B15D59">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0F3918">
        <w:rPr>
          <w:rFonts w:ascii="Arial" w:hAnsi="Arial"/>
          <w:b/>
          <w:sz w:val="22"/>
          <w:szCs w:val="22"/>
        </w:rPr>
        <w:t xml:space="preserve">Resultado operativo antes de </w:t>
      </w:r>
      <w:r>
        <w:rPr>
          <w:rFonts w:ascii="Arial" w:hAnsi="Arial"/>
          <w:b/>
          <w:sz w:val="22"/>
          <w:szCs w:val="22"/>
        </w:rPr>
        <w:t xml:space="preserve">elementos no </w:t>
      </w:r>
      <w:r w:rsidRPr="000F3918">
        <w:rPr>
          <w:rFonts w:ascii="Arial" w:hAnsi="Arial"/>
          <w:b/>
          <w:sz w:val="22"/>
          <w:szCs w:val="22"/>
        </w:rPr>
        <w:t>recurrentes de</w:t>
      </w:r>
      <w:r w:rsidR="00B15D59" w:rsidRPr="00ED35E0">
        <w:rPr>
          <w:rFonts w:ascii="Arial" w:hAnsi="Arial"/>
          <w:b/>
          <w:sz w:val="22"/>
          <w:szCs w:val="22"/>
        </w:rPr>
        <w:t xml:space="preserve"> 2</w:t>
      </w:r>
      <w:r>
        <w:rPr>
          <w:rFonts w:ascii="Arial" w:hAnsi="Arial"/>
          <w:b/>
          <w:sz w:val="22"/>
          <w:szCs w:val="22"/>
        </w:rPr>
        <w:t>.</w:t>
      </w:r>
      <w:r w:rsidR="00B15D59" w:rsidRPr="00ED35E0">
        <w:rPr>
          <w:rFonts w:ascii="Arial" w:hAnsi="Arial"/>
          <w:b/>
          <w:sz w:val="22"/>
          <w:szCs w:val="22"/>
        </w:rPr>
        <w:t xml:space="preserve">234 </w:t>
      </w:r>
      <w:r w:rsidRPr="00ED35E0">
        <w:rPr>
          <w:rFonts w:ascii="Arial" w:hAnsi="Arial"/>
          <w:b/>
          <w:sz w:val="22"/>
          <w:szCs w:val="22"/>
        </w:rPr>
        <w:t>millones de euros</w:t>
      </w:r>
      <w:r>
        <w:rPr>
          <w:rFonts w:ascii="Arial" w:hAnsi="Arial"/>
          <w:b/>
          <w:sz w:val="22"/>
          <w:szCs w:val="22"/>
        </w:rPr>
        <w:t>, con un aumento de</w:t>
      </w:r>
      <w:r w:rsidR="00B15D59" w:rsidRPr="00ED35E0">
        <w:rPr>
          <w:rFonts w:ascii="Arial" w:hAnsi="Arial"/>
          <w:b/>
          <w:sz w:val="22"/>
          <w:szCs w:val="22"/>
        </w:rPr>
        <w:t xml:space="preserve"> 41 </w:t>
      </w:r>
      <w:r w:rsidRPr="00ED35E0">
        <w:rPr>
          <w:rFonts w:ascii="Arial" w:hAnsi="Arial"/>
          <w:b/>
          <w:sz w:val="22"/>
          <w:szCs w:val="22"/>
        </w:rPr>
        <w:t xml:space="preserve">millones de euros </w:t>
      </w:r>
      <w:r w:rsidR="007712BC">
        <w:rPr>
          <w:rFonts w:ascii="Arial" w:hAnsi="Arial"/>
          <w:b/>
          <w:sz w:val="22"/>
          <w:szCs w:val="22"/>
        </w:rPr>
        <w:t xml:space="preserve">con </w:t>
      </w:r>
      <w:r w:rsidR="00F35253">
        <w:rPr>
          <w:rFonts w:ascii="Arial" w:hAnsi="Arial"/>
          <w:b/>
          <w:sz w:val="22"/>
          <w:szCs w:val="22"/>
        </w:rPr>
        <w:t xml:space="preserve">perímetro </w:t>
      </w:r>
      <w:r w:rsidR="00BA6173">
        <w:rPr>
          <w:rFonts w:ascii="Arial" w:hAnsi="Arial"/>
          <w:b/>
          <w:sz w:val="22"/>
          <w:szCs w:val="22"/>
        </w:rPr>
        <w:t xml:space="preserve">de consolidación </w:t>
      </w:r>
      <w:r w:rsidR="00F35253">
        <w:rPr>
          <w:rFonts w:ascii="Arial" w:hAnsi="Arial"/>
          <w:b/>
          <w:sz w:val="22"/>
          <w:szCs w:val="22"/>
        </w:rPr>
        <w:t>y tasa de cambio</w:t>
      </w:r>
      <w:r w:rsidR="00B15D59" w:rsidRPr="00ED35E0">
        <w:rPr>
          <w:rFonts w:ascii="Arial" w:hAnsi="Arial"/>
          <w:b/>
          <w:sz w:val="22"/>
          <w:szCs w:val="22"/>
        </w:rPr>
        <w:t xml:space="preserve"> </w:t>
      </w:r>
      <w:r w:rsidR="007712BC">
        <w:rPr>
          <w:rFonts w:ascii="Arial" w:hAnsi="Arial"/>
          <w:b/>
          <w:sz w:val="22"/>
          <w:szCs w:val="22"/>
        </w:rPr>
        <w:t>constantes.</w:t>
      </w:r>
    </w:p>
    <w:p w:rsidR="00BF4FFF" w:rsidRPr="00ED35E0" w:rsidRDefault="00B15D59" w:rsidP="00B15D59">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ED35E0">
        <w:rPr>
          <w:rFonts w:ascii="Arial" w:hAnsi="Arial"/>
          <w:b/>
          <w:sz w:val="22"/>
          <w:szCs w:val="22"/>
          <w:u w:val="single"/>
        </w:rPr>
        <w:t>2014</w:t>
      </w:r>
      <w:r w:rsidRPr="00ED35E0">
        <w:rPr>
          <w:rFonts w:ascii="Arial" w:hAnsi="Arial"/>
          <w:b/>
          <w:sz w:val="22"/>
          <w:szCs w:val="22"/>
        </w:rPr>
        <w:t xml:space="preserve">: </w:t>
      </w:r>
      <w:r w:rsidR="00BA6173">
        <w:rPr>
          <w:rFonts w:ascii="Arial" w:hAnsi="Arial"/>
          <w:b/>
          <w:sz w:val="22"/>
          <w:szCs w:val="22"/>
        </w:rPr>
        <w:t xml:space="preserve">Etapa en </w:t>
      </w:r>
      <w:r w:rsidR="006408A4">
        <w:rPr>
          <w:rFonts w:ascii="Arial" w:hAnsi="Arial"/>
          <w:b/>
          <w:sz w:val="22"/>
          <w:szCs w:val="22"/>
        </w:rPr>
        <w:t>consonancia</w:t>
      </w:r>
      <w:r w:rsidR="00BA6173">
        <w:rPr>
          <w:rFonts w:ascii="Arial" w:hAnsi="Arial"/>
          <w:b/>
          <w:sz w:val="22"/>
          <w:szCs w:val="22"/>
        </w:rPr>
        <w:t xml:space="preserve"> con los objetivos para </w:t>
      </w:r>
      <w:r w:rsidRPr="00ED35E0">
        <w:rPr>
          <w:rFonts w:ascii="Arial" w:hAnsi="Arial"/>
          <w:b/>
          <w:sz w:val="22"/>
          <w:szCs w:val="22"/>
        </w:rPr>
        <w:t>2015</w:t>
      </w:r>
      <w:r w:rsidR="00A70E95" w:rsidRPr="00ED35E0">
        <w:rPr>
          <w:rStyle w:val="FootnoteReference"/>
          <w:rFonts w:ascii="Arial" w:hAnsi="Arial"/>
          <w:b/>
          <w:sz w:val="32"/>
          <w:szCs w:val="22"/>
        </w:rPr>
        <w:footnoteReference w:customMarkFollows="1" w:id="1"/>
        <w:sym w:font="Symbol" w:char="F02A"/>
      </w:r>
      <w:r w:rsidR="00BF4FFF" w:rsidRPr="00ED35E0">
        <w:rPr>
          <w:rFonts w:ascii="Arial" w:hAnsi="Arial"/>
          <w:b/>
          <w:sz w:val="22"/>
          <w:szCs w:val="22"/>
        </w:rPr>
        <w:t xml:space="preserve"> </w:t>
      </w:r>
    </w:p>
    <w:p w:rsidR="00BF4FFF" w:rsidRPr="00ED35E0" w:rsidRDefault="00BF4FFF" w:rsidP="00BF4FFF">
      <w:pPr>
        <w:jc w:val="center"/>
        <w:rPr>
          <w:rFonts w:ascii="Verdana" w:eastAsia="Times New Roman" w:hAnsi="Verdana"/>
          <w:b/>
          <w:sz w:val="18"/>
          <w:szCs w:val="18"/>
        </w:rPr>
      </w:pPr>
    </w:p>
    <w:p w:rsidR="00007A97" w:rsidRPr="00ED35E0" w:rsidRDefault="0004396E" w:rsidP="00EE5164">
      <w:pPr>
        <w:numPr>
          <w:ilvl w:val="0"/>
          <w:numId w:val="5"/>
        </w:numPr>
        <w:spacing w:after="120" w:line="240" w:lineRule="atLeast"/>
        <w:rPr>
          <w:rFonts w:cs="Frutiger 55 Roman"/>
          <w:b/>
          <w:bCs/>
          <w:i/>
          <w:iCs/>
          <w:snapToGrid w:val="0"/>
          <w:sz w:val="25"/>
          <w:szCs w:val="28"/>
          <w:lang w:eastAsia="es-ES" w:bidi="es-ES_tradnl"/>
        </w:rPr>
      </w:pPr>
      <w:r w:rsidRPr="00ED35E0">
        <w:rPr>
          <w:rFonts w:cs="Frutiger 55 Roman"/>
          <w:b/>
          <w:bCs/>
          <w:i/>
          <w:iCs/>
          <w:snapToGrid w:val="0"/>
          <w:sz w:val="25"/>
          <w:szCs w:val="28"/>
          <w:lang w:eastAsia="es-ES" w:bidi="es-ES_tradnl"/>
        </w:rPr>
        <w:t xml:space="preserve">Cash </w:t>
      </w:r>
      <w:r w:rsidR="002432E8">
        <w:rPr>
          <w:rFonts w:cs="Frutiger 55 Roman"/>
          <w:b/>
          <w:bCs/>
          <w:i/>
          <w:iCs/>
          <w:snapToGrid w:val="0"/>
          <w:sz w:val="25"/>
          <w:szCs w:val="28"/>
          <w:lang w:eastAsia="es-ES" w:bidi="es-ES_tradnl"/>
        </w:rPr>
        <w:t>f</w:t>
      </w:r>
      <w:r w:rsidRPr="00ED35E0">
        <w:rPr>
          <w:rFonts w:cs="Frutiger 55 Roman"/>
          <w:b/>
          <w:bCs/>
          <w:i/>
          <w:iCs/>
          <w:snapToGrid w:val="0"/>
          <w:sz w:val="25"/>
          <w:szCs w:val="28"/>
          <w:lang w:eastAsia="es-ES" w:bidi="es-ES_tradnl"/>
        </w:rPr>
        <w:t>low libre</w:t>
      </w:r>
      <w:r w:rsidR="002432E8">
        <w:rPr>
          <w:rFonts w:cs="Frutiger 55 Roman"/>
          <w:b/>
          <w:bCs/>
          <w:i/>
          <w:iCs/>
          <w:snapToGrid w:val="0"/>
          <w:sz w:val="25"/>
          <w:szCs w:val="28"/>
          <w:lang w:eastAsia="es-ES" w:bidi="es-ES_tradnl"/>
        </w:rPr>
        <w:t xml:space="preserve"> de</w:t>
      </w:r>
      <w:r w:rsidRPr="00ED35E0">
        <w:rPr>
          <w:rFonts w:cs="Frutiger 55 Roman"/>
          <w:b/>
          <w:bCs/>
          <w:i/>
          <w:iCs/>
          <w:snapToGrid w:val="0"/>
          <w:sz w:val="25"/>
          <w:szCs w:val="28"/>
          <w:lang w:eastAsia="es-ES" w:bidi="es-ES_tradnl"/>
        </w:rPr>
        <w:t xml:space="preserve"> </w:t>
      </w:r>
      <w:r w:rsidR="002432E8" w:rsidRPr="002432E8">
        <w:rPr>
          <w:rFonts w:cs="Frutiger 55 Roman"/>
          <w:b/>
          <w:bCs/>
          <w:i/>
          <w:iCs/>
          <w:snapToGrid w:val="0"/>
          <w:sz w:val="25"/>
          <w:szCs w:val="28"/>
          <w:lang w:eastAsia="es-ES" w:bidi="es-ES_tradnl"/>
        </w:rPr>
        <w:t>1.154 millones de euros</w:t>
      </w:r>
      <w:r w:rsidRPr="00ED35E0">
        <w:rPr>
          <w:rFonts w:cs="Frutiger 55 Roman"/>
          <w:b/>
          <w:bCs/>
          <w:i/>
          <w:iCs/>
          <w:snapToGrid w:val="0"/>
          <w:sz w:val="25"/>
          <w:szCs w:val="28"/>
          <w:lang w:eastAsia="es-ES" w:bidi="es-ES_tradnl"/>
        </w:rPr>
        <w:t xml:space="preserve">, </w:t>
      </w:r>
      <w:r w:rsidR="00D066F1">
        <w:rPr>
          <w:rFonts w:cs="Frutiger 55 Roman"/>
          <w:b/>
          <w:bCs/>
          <w:i/>
          <w:iCs/>
          <w:snapToGrid w:val="0"/>
          <w:sz w:val="25"/>
          <w:szCs w:val="28"/>
          <w:lang w:eastAsia="es-ES" w:bidi="es-ES_tradnl"/>
        </w:rPr>
        <w:t>como consecuencia de</w:t>
      </w:r>
      <w:r w:rsidR="00EE5164" w:rsidRPr="00ED35E0">
        <w:rPr>
          <w:rFonts w:cs="Frutiger 55 Roman"/>
          <w:b/>
          <w:bCs/>
          <w:i/>
          <w:iCs/>
          <w:snapToGrid w:val="0"/>
          <w:sz w:val="25"/>
          <w:szCs w:val="28"/>
          <w:lang w:eastAsia="es-ES" w:bidi="es-ES_tradnl"/>
        </w:rPr>
        <w:t>:</w:t>
      </w:r>
    </w:p>
    <w:p w:rsidR="00AC73F4" w:rsidRPr="00AC73F4" w:rsidRDefault="003861B4" w:rsidP="00AC73F4">
      <w:pPr>
        <w:numPr>
          <w:ilvl w:val="1"/>
          <w:numId w:val="5"/>
        </w:numPr>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L</w:t>
      </w:r>
      <w:r w:rsidR="00EA6B22" w:rsidRPr="00ED35E0">
        <w:rPr>
          <w:rFonts w:cs="Frutiger 55 Roman"/>
          <w:b/>
          <w:bCs/>
          <w:i/>
          <w:iCs/>
          <w:snapToGrid w:val="0"/>
          <w:sz w:val="25"/>
          <w:szCs w:val="28"/>
          <w:lang w:eastAsia="es-ES" w:bidi="es-ES_tradnl"/>
        </w:rPr>
        <w:t xml:space="preserve">a </w:t>
      </w:r>
      <w:r w:rsidR="00AC73F4" w:rsidRPr="00AC73F4">
        <w:rPr>
          <w:rFonts w:cs="Frutiger 55 Roman"/>
          <w:b/>
          <w:bCs/>
          <w:i/>
          <w:iCs/>
          <w:snapToGrid w:val="0"/>
          <w:sz w:val="25"/>
          <w:szCs w:val="28"/>
          <w:lang w:eastAsia="es-ES" w:bidi="es-ES_tradnl"/>
        </w:rPr>
        <w:t>capacidad del Grupo para generar cash estructuralmente</w:t>
      </w:r>
    </w:p>
    <w:p w:rsidR="00EA6B22" w:rsidRPr="00AC73F4" w:rsidRDefault="003861B4" w:rsidP="00EA6B22">
      <w:pPr>
        <w:numPr>
          <w:ilvl w:val="1"/>
          <w:numId w:val="5"/>
        </w:numPr>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E</w:t>
      </w:r>
      <w:r w:rsidR="00AC73F4">
        <w:rPr>
          <w:rFonts w:cs="Frutiger 55 Roman"/>
          <w:b/>
          <w:bCs/>
          <w:i/>
          <w:iCs/>
          <w:snapToGrid w:val="0"/>
          <w:sz w:val="25"/>
          <w:szCs w:val="28"/>
          <w:lang w:eastAsia="es-ES" w:bidi="es-ES_tradnl"/>
        </w:rPr>
        <w:t xml:space="preserve">l objetivo de creación de valor </w:t>
      </w:r>
      <w:r>
        <w:rPr>
          <w:rFonts w:cs="Frutiger 55 Roman"/>
          <w:b/>
          <w:bCs/>
          <w:i/>
          <w:iCs/>
          <w:snapToGrid w:val="0"/>
          <w:sz w:val="25"/>
          <w:szCs w:val="28"/>
          <w:lang w:eastAsia="es-ES" w:bidi="es-ES_tradnl"/>
        </w:rPr>
        <w:t xml:space="preserve">asignado a todas las </w:t>
      </w:r>
      <w:r w:rsidR="00D066F1">
        <w:rPr>
          <w:rFonts w:cs="Frutiger 55 Roman"/>
          <w:b/>
          <w:bCs/>
          <w:i/>
          <w:iCs/>
          <w:snapToGrid w:val="0"/>
          <w:sz w:val="25"/>
          <w:szCs w:val="28"/>
          <w:lang w:eastAsia="es-ES" w:bidi="es-ES_tradnl"/>
        </w:rPr>
        <w:t>entidades</w:t>
      </w:r>
      <w:r w:rsidR="00EA6B22" w:rsidRPr="00AC73F4">
        <w:rPr>
          <w:rFonts w:cs="Frutiger 55 Roman"/>
          <w:b/>
          <w:bCs/>
          <w:i/>
          <w:iCs/>
          <w:snapToGrid w:val="0"/>
          <w:sz w:val="25"/>
          <w:szCs w:val="28"/>
          <w:lang w:eastAsia="es-ES" w:bidi="es-ES_tradnl"/>
        </w:rPr>
        <w:t>.</w:t>
      </w:r>
    </w:p>
    <w:p w:rsidR="00CB4369" w:rsidRDefault="003861B4" w:rsidP="00EA6B22">
      <w:pPr>
        <w:numPr>
          <w:ilvl w:val="0"/>
          <w:numId w:val="5"/>
        </w:numPr>
        <w:spacing w:after="120" w:line="240" w:lineRule="atLeast"/>
        <w:rPr>
          <w:rFonts w:cs="Frutiger 55 Roman"/>
          <w:b/>
          <w:bCs/>
          <w:i/>
          <w:iCs/>
          <w:snapToGrid w:val="0"/>
          <w:sz w:val="25"/>
          <w:szCs w:val="28"/>
          <w:lang w:eastAsia="es-ES" w:bidi="es-ES_tradnl"/>
        </w:rPr>
      </w:pPr>
      <w:r w:rsidRPr="003861B4">
        <w:rPr>
          <w:rFonts w:cs="Frutiger 55 Roman"/>
          <w:b/>
          <w:bCs/>
          <w:i/>
          <w:iCs/>
          <w:snapToGrid w:val="0"/>
          <w:sz w:val="25"/>
          <w:szCs w:val="28"/>
          <w:lang w:eastAsia="es-ES" w:bidi="es-ES_tradnl"/>
        </w:rPr>
        <w:t xml:space="preserve">Cuarto año </w:t>
      </w:r>
      <w:r w:rsidR="00CB4369">
        <w:rPr>
          <w:rFonts w:cs="Frutiger 55 Roman"/>
          <w:b/>
          <w:bCs/>
          <w:i/>
          <w:iCs/>
          <w:snapToGrid w:val="0"/>
          <w:sz w:val="25"/>
          <w:szCs w:val="28"/>
          <w:lang w:eastAsia="es-ES" w:bidi="es-ES_tradnl"/>
        </w:rPr>
        <w:t>creando</w:t>
      </w:r>
      <w:r w:rsidRPr="003861B4">
        <w:rPr>
          <w:rFonts w:cs="Frutiger 55 Roman"/>
          <w:b/>
          <w:bCs/>
          <w:i/>
          <w:iCs/>
          <w:snapToGrid w:val="0"/>
          <w:sz w:val="25"/>
          <w:szCs w:val="28"/>
          <w:lang w:eastAsia="es-ES" w:bidi="es-ES_tradnl"/>
        </w:rPr>
        <w:t xml:space="preserve"> valo</w:t>
      </w:r>
      <w:r w:rsidR="00CB4369">
        <w:rPr>
          <w:rFonts w:cs="Frutiger 55 Roman"/>
          <w:b/>
          <w:bCs/>
          <w:i/>
          <w:iCs/>
          <w:snapToGrid w:val="0"/>
          <w:sz w:val="25"/>
          <w:szCs w:val="28"/>
          <w:lang w:eastAsia="es-ES" w:bidi="es-ES_tradnl"/>
        </w:rPr>
        <w:t xml:space="preserve">r, con un retorno de capitales </w:t>
      </w:r>
      <w:r w:rsidRPr="003861B4">
        <w:rPr>
          <w:rFonts w:cs="Frutiger 55 Roman"/>
          <w:b/>
          <w:bCs/>
          <w:i/>
          <w:iCs/>
          <w:snapToGrid w:val="0"/>
          <w:sz w:val="25"/>
          <w:szCs w:val="28"/>
          <w:lang w:eastAsia="es-ES" w:bidi="es-ES_tradnl"/>
        </w:rPr>
        <w:t>empleados</w:t>
      </w:r>
      <w:r>
        <w:rPr>
          <w:rFonts w:cs="Frutiger 55 Roman"/>
          <w:b/>
          <w:bCs/>
          <w:i/>
          <w:iCs/>
          <w:snapToGrid w:val="0"/>
          <w:sz w:val="25"/>
          <w:szCs w:val="28"/>
          <w:lang w:eastAsia="es-ES" w:bidi="es-ES_tradnl"/>
        </w:rPr>
        <w:t xml:space="preserve"> (ROCE)</w:t>
      </w:r>
      <w:r w:rsidRPr="003861B4">
        <w:rPr>
          <w:rFonts w:cs="Frutiger 55 Roman"/>
          <w:b/>
          <w:bCs/>
          <w:i/>
          <w:iCs/>
          <w:snapToGrid w:val="0"/>
          <w:sz w:val="25"/>
          <w:szCs w:val="28"/>
          <w:lang w:eastAsia="es-ES" w:bidi="es-ES_tradnl"/>
        </w:rPr>
        <w:t xml:space="preserve"> </w:t>
      </w:r>
    </w:p>
    <w:p w:rsidR="00EA6B22" w:rsidRPr="00ED35E0" w:rsidRDefault="003861B4" w:rsidP="00CB4369">
      <w:pPr>
        <w:spacing w:after="120" w:line="240" w:lineRule="atLeast"/>
        <w:ind w:left="360"/>
        <w:rPr>
          <w:rFonts w:cs="Frutiger 55 Roman"/>
          <w:b/>
          <w:bCs/>
          <w:i/>
          <w:iCs/>
          <w:snapToGrid w:val="0"/>
          <w:sz w:val="25"/>
          <w:szCs w:val="28"/>
          <w:lang w:eastAsia="es-ES" w:bidi="es-ES_tradnl"/>
        </w:rPr>
      </w:pPr>
      <w:r w:rsidRPr="003861B4">
        <w:rPr>
          <w:rFonts w:cs="Frutiger 55 Roman"/>
          <w:b/>
          <w:bCs/>
          <w:i/>
          <w:iCs/>
          <w:snapToGrid w:val="0"/>
          <w:sz w:val="25"/>
          <w:szCs w:val="28"/>
          <w:lang w:eastAsia="es-ES" w:bidi="es-ES_tradnl"/>
        </w:rPr>
        <w:t>del 11,9</w:t>
      </w:r>
      <w:r w:rsidR="00CB4369">
        <w:rPr>
          <w:rFonts w:cs="Frutiger 55 Roman"/>
          <w:b/>
          <w:bCs/>
          <w:i/>
          <w:iCs/>
          <w:snapToGrid w:val="0"/>
          <w:sz w:val="25"/>
          <w:szCs w:val="28"/>
          <w:lang w:eastAsia="es-ES" w:bidi="es-ES_tradnl"/>
        </w:rPr>
        <w:t xml:space="preserve"> </w:t>
      </w:r>
      <w:r w:rsidRPr="003861B4">
        <w:rPr>
          <w:rFonts w:cs="Frutiger 55 Roman"/>
          <w:b/>
          <w:bCs/>
          <w:i/>
          <w:iCs/>
          <w:snapToGrid w:val="0"/>
          <w:sz w:val="25"/>
          <w:szCs w:val="28"/>
          <w:lang w:eastAsia="es-ES" w:bidi="es-ES_tradnl"/>
        </w:rPr>
        <w:t>%</w:t>
      </w:r>
      <w:r w:rsidRPr="00ED35E0">
        <w:rPr>
          <w:rFonts w:cs="Frutiger 55 Roman"/>
          <w:b/>
          <w:bCs/>
          <w:i/>
          <w:iCs/>
          <w:snapToGrid w:val="0"/>
          <w:sz w:val="25"/>
          <w:szCs w:val="28"/>
          <w:lang w:eastAsia="es-ES" w:bidi="es-ES_tradnl"/>
        </w:rPr>
        <w:t>.</w:t>
      </w:r>
    </w:p>
    <w:p w:rsidR="00EA6B22" w:rsidRPr="00ED35E0" w:rsidRDefault="00EA6B22" w:rsidP="00EA6B22">
      <w:pPr>
        <w:numPr>
          <w:ilvl w:val="0"/>
          <w:numId w:val="5"/>
        </w:numPr>
        <w:spacing w:after="120" w:line="240" w:lineRule="atLeast"/>
        <w:rPr>
          <w:rFonts w:cs="Frutiger 55 Roman"/>
          <w:b/>
          <w:bCs/>
          <w:i/>
          <w:iCs/>
          <w:snapToGrid w:val="0"/>
          <w:sz w:val="25"/>
          <w:szCs w:val="28"/>
          <w:lang w:eastAsia="es-ES" w:bidi="es-ES_tradnl"/>
        </w:rPr>
      </w:pPr>
      <w:r w:rsidRPr="00ED35E0">
        <w:rPr>
          <w:rFonts w:cs="Frutiger 55 Roman"/>
          <w:b/>
          <w:bCs/>
          <w:i/>
          <w:iCs/>
          <w:snapToGrid w:val="0"/>
          <w:sz w:val="25"/>
          <w:szCs w:val="28"/>
          <w:lang w:eastAsia="es-ES" w:bidi="es-ES_tradnl"/>
        </w:rPr>
        <w:t>Vol</w:t>
      </w:r>
      <w:r w:rsidR="004541F0">
        <w:rPr>
          <w:rFonts w:cs="Frutiger 55 Roman"/>
          <w:b/>
          <w:bCs/>
          <w:i/>
          <w:iCs/>
          <w:snapToGrid w:val="0"/>
          <w:sz w:val="25"/>
          <w:szCs w:val="28"/>
          <w:lang w:eastAsia="es-ES" w:bidi="es-ES_tradnl"/>
        </w:rPr>
        <w:t>úmenes estables</w:t>
      </w:r>
      <w:r w:rsidR="00CB4369">
        <w:rPr>
          <w:rFonts w:cs="Frutiger 55 Roman"/>
          <w:b/>
          <w:bCs/>
          <w:i/>
          <w:iCs/>
          <w:snapToGrid w:val="0"/>
          <w:sz w:val="25"/>
          <w:szCs w:val="28"/>
          <w:lang w:eastAsia="es-ES" w:bidi="es-ES_tradnl"/>
        </w:rPr>
        <w:t>,</w:t>
      </w:r>
      <w:r w:rsidR="004541F0">
        <w:rPr>
          <w:rFonts w:cs="Frutiger 55 Roman"/>
          <w:b/>
          <w:bCs/>
          <w:i/>
          <w:iCs/>
          <w:snapToGrid w:val="0"/>
          <w:sz w:val="25"/>
          <w:szCs w:val="28"/>
          <w:lang w:eastAsia="es-ES" w:bidi="es-ES_tradnl"/>
        </w:rPr>
        <w:t xml:space="preserve"> como se esperaba</w:t>
      </w:r>
      <w:r w:rsidRPr="00ED35E0">
        <w:rPr>
          <w:rFonts w:cs="Frutiger 55 Roman"/>
          <w:b/>
          <w:bCs/>
          <w:i/>
          <w:iCs/>
          <w:snapToGrid w:val="0"/>
          <w:sz w:val="25"/>
          <w:szCs w:val="28"/>
          <w:lang w:eastAsia="es-ES" w:bidi="es-ES_tradnl"/>
        </w:rPr>
        <w:t>.</w:t>
      </w:r>
    </w:p>
    <w:p w:rsidR="00DA2BA5" w:rsidRDefault="00972F65" w:rsidP="00EA6B22">
      <w:pPr>
        <w:numPr>
          <w:ilvl w:val="0"/>
          <w:numId w:val="5"/>
        </w:numPr>
        <w:spacing w:after="120" w:line="240" w:lineRule="atLeast"/>
        <w:rPr>
          <w:rFonts w:cs="Frutiger 55 Roman"/>
          <w:b/>
          <w:bCs/>
          <w:i/>
          <w:iCs/>
          <w:snapToGrid w:val="0"/>
          <w:sz w:val="25"/>
          <w:szCs w:val="28"/>
          <w:lang w:eastAsia="es-ES" w:bidi="es-ES_tradnl"/>
        </w:rPr>
      </w:pPr>
      <w:r w:rsidRPr="00972F65">
        <w:rPr>
          <w:rFonts w:cs="Frutiger 55 Roman"/>
          <w:b/>
          <w:bCs/>
          <w:i/>
          <w:iCs/>
          <w:snapToGrid w:val="0"/>
          <w:sz w:val="25"/>
          <w:szCs w:val="28"/>
          <w:lang w:eastAsia="es-ES" w:bidi="es-ES_tradnl"/>
        </w:rPr>
        <w:t xml:space="preserve">Resultado operativo antes de elementos no recurrentes </w:t>
      </w:r>
      <w:r w:rsidR="00DA2BA5">
        <w:rPr>
          <w:rFonts w:cs="Frutiger 55 Roman"/>
          <w:b/>
          <w:bCs/>
          <w:i/>
          <w:iCs/>
          <w:snapToGrid w:val="0"/>
          <w:sz w:val="25"/>
          <w:szCs w:val="28"/>
          <w:lang w:eastAsia="es-ES" w:bidi="es-ES_tradnl"/>
        </w:rPr>
        <w:t>estructuralmente elevado a</w:t>
      </w:r>
      <w:r w:rsidRPr="00972F65">
        <w:rPr>
          <w:rFonts w:cs="Frutiger 55 Roman"/>
          <w:b/>
          <w:bCs/>
          <w:i/>
          <w:iCs/>
          <w:snapToGrid w:val="0"/>
          <w:sz w:val="25"/>
          <w:szCs w:val="28"/>
          <w:lang w:eastAsia="es-ES" w:bidi="es-ES_tradnl"/>
        </w:rPr>
        <w:t xml:space="preserve"> 2.234 millones de euros, con un aumento de 41 millones de euros con perímetro de consolidación y tasa de cambio constantes </w:t>
      </w:r>
      <w:r w:rsidR="00DA2BA5">
        <w:rPr>
          <w:rFonts w:cs="Frutiger 55 Roman"/>
          <w:b/>
          <w:bCs/>
          <w:i/>
          <w:iCs/>
          <w:snapToGrid w:val="0"/>
          <w:sz w:val="25"/>
          <w:szCs w:val="28"/>
          <w:lang w:eastAsia="es-ES" w:bidi="es-ES_tradnl"/>
        </w:rPr>
        <w:t xml:space="preserve">y un margen </w:t>
      </w:r>
      <w:r w:rsidR="004E71D5">
        <w:rPr>
          <w:rFonts w:cs="Frutiger 55 Roman"/>
          <w:b/>
          <w:bCs/>
          <w:i/>
          <w:iCs/>
          <w:snapToGrid w:val="0"/>
          <w:sz w:val="25"/>
          <w:szCs w:val="28"/>
          <w:lang w:eastAsia="es-ES" w:bidi="es-ES_tradnl"/>
        </w:rPr>
        <w:t xml:space="preserve">operativo </w:t>
      </w:r>
      <w:r w:rsidR="004E71D5" w:rsidRPr="00972F65">
        <w:rPr>
          <w:rFonts w:cs="Frutiger 55 Roman"/>
          <w:b/>
          <w:bCs/>
          <w:i/>
          <w:iCs/>
          <w:snapToGrid w:val="0"/>
          <w:sz w:val="25"/>
          <w:szCs w:val="28"/>
          <w:lang w:eastAsia="es-ES" w:bidi="es-ES_tradnl"/>
        </w:rPr>
        <w:t>antes de elementos no recurrentes</w:t>
      </w:r>
      <w:r w:rsidR="004E71D5">
        <w:rPr>
          <w:rFonts w:cs="Frutiger 55 Roman"/>
          <w:b/>
          <w:bCs/>
          <w:i/>
          <w:iCs/>
          <w:snapToGrid w:val="0"/>
          <w:sz w:val="25"/>
          <w:szCs w:val="28"/>
          <w:lang w:eastAsia="es-ES" w:bidi="es-ES_tradnl"/>
        </w:rPr>
        <w:t xml:space="preserve"> del 11</w:t>
      </w:r>
      <w:r w:rsidR="00CB4369">
        <w:rPr>
          <w:rFonts w:cs="Frutiger 55 Roman"/>
          <w:b/>
          <w:bCs/>
          <w:i/>
          <w:iCs/>
          <w:snapToGrid w:val="0"/>
          <w:sz w:val="25"/>
          <w:szCs w:val="28"/>
          <w:lang w:eastAsia="es-ES" w:bidi="es-ES_tradnl"/>
        </w:rPr>
        <w:t xml:space="preserve"> </w:t>
      </w:r>
      <w:r w:rsidR="004E71D5">
        <w:rPr>
          <w:rFonts w:cs="Frutiger 55 Roman"/>
          <w:b/>
          <w:bCs/>
          <w:i/>
          <w:iCs/>
          <w:snapToGrid w:val="0"/>
          <w:sz w:val="25"/>
          <w:szCs w:val="28"/>
          <w:lang w:eastAsia="es-ES" w:bidi="es-ES_tradnl"/>
        </w:rPr>
        <w:t>% de las ventas netas.</w:t>
      </w:r>
    </w:p>
    <w:p w:rsidR="00EA6B22" w:rsidRPr="00ED35E0" w:rsidRDefault="00CB4369" w:rsidP="00EA6B22">
      <w:pPr>
        <w:numPr>
          <w:ilvl w:val="1"/>
          <w:numId w:val="5"/>
        </w:numPr>
        <w:tabs>
          <w:tab w:val="num" w:pos="851"/>
        </w:tabs>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C</w:t>
      </w:r>
      <w:r w:rsidR="00EF5B7E">
        <w:rPr>
          <w:rFonts w:cs="Frutiger 55 Roman"/>
          <w:b/>
          <w:bCs/>
          <w:i/>
          <w:iCs/>
          <w:snapToGrid w:val="0"/>
          <w:sz w:val="25"/>
          <w:szCs w:val="28"/>
          <w:lang w:eastAsia="es-ES" w:bidi="es-ES_tradnl"/>
        </w:rPr>
        <w:t xml:space="preserve">ontrol del margen gracias al efecto positivo del precio de las materias </w:t>
      </w:r>
      <w:r w:rsidR="00EA6B22" w:rsidRPr="00ED35E0">
        <w:rPr>
          <w:rFonts w:cs="Frutiger 55 Roman"/>
          <w:b/>
          <w:bCs/>
          <w:i/>
          <w:iCs/>
          <w:snapToGrid w:val="0"/>
          <w:sz w:val="25"/>
          <w:szCs w:val="28"/>
          <w:lang w:eastAsia="es-ES" w:bidi="es-ES_tradnl"/>
        </w:rPr>
        <w:t>(69 </w:t>
      </w:r>
      <w:r w:rsidR="00EF5B7E" w:rsidRPr="00972F65">
        <w:rPr>
          <w:rFonts w:cs="Frutiger 55 Roman"/>
          <w:b/>
          <w:bCs/>
          <w:i/>
          <w:iCs/>
          <w:snapToGrid w:val="0"/>
          <w:sz w:val="25"/>
          <w:szCs w:val="28"/>
          <w:lang w:eastAsia="es-ES" w:bidi="es-ES_tradnl"/>
        </w:rPr>
        <w:t>millones de euros</w:t>
      </w:r>
      <w:r w:rsidR="00EA6B22" w:rsidRPr="00ED35E0">
        <w:rPr>
          <w:rFonts w:cs="Frutiger 55 Roman"/>
          <w:b/>
          <w:bCs/>
          <w:i/>
          <w:iCs/>
          <w:snapToGrid w:val="0"/>
          <w:sz w:val="25"/>
          <w:szCs w:val="28"/>
          <w:lang w:eastAsia="es-ES" w:bidi="es-ES_tradnl"/>
        </w:rPr>
        <w:t>)</w:t>
      </w:r>
      <w:r>
        <w:rPr>
          <w:rFonts w:cs="Frutiger 55 Roman"/>
          <w:b/>
          <w:bCs/>
          <w:i/>
          <w:iCs/>
          <w:snapToGrid w:val="0"/>
          <w:sz w:val="25"/>
          <w:szCs w:val="28"/>
          <w:lang w:eastAsia="es-ES" w:bidi="es-ES_tradnl"/>
        </w:rPr>
        <w:t>.</w:t>
      </w:r>
      <w:r w:rsidR="00EA6B22" w:rsidRPr="00ED35E0">
        <w:rPr>
          <w:rFonts w:cs="Frutiger 55 Roman"/>
          <w:b/>
          <w:bCs/>
          <w:i/>
          <w:iCs/>
          <w:snapToGrid w:val="0"/>
          <w:sz w:val="25"/>
          <w:szCs w:val="28"/>
          <w:lang w:eastAsia="es-ES" w:bidi="es-ES_tradnl"/>
        </w:rPr>
        <w:t xml:space="preserve"> </w:t>
      </w:r>
    </w:p>
    <w:p w:rsidR="00EA6B22" w:rsidRPr="00ED35E0" w:rsidRDefault="00CB4369" w:rsidP="00EA6B22">
      <w:pPr>
        <w:numPr>
          <w:ilvl w:val="1"/>
          <w:numId w:val="5"/>
        </w:numPr>
        <w:tabs>
          <w:tab w:val="num" w:pos="851"/>
        </w:tabs>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E</w:t>
      </w:r>
      <w:r w:rsidR="00EF5B7E">
        <w:rPr>
          <w:rFonts w:cs="Frutiger 55 Roman"/>
          <w:b/>
          <w:bCs/>
          <w:i/>
          <w:iCs/>
          <w:snapToGrid w:val="0"/>
          <w:sz w:val="25"/>
          <w:szCs w:val="28"/>
          <w:lang w:eastAsia="es-ES" w:bidi="es-ES_tradnl"/>
        </w:rPr>
        <w:t>ficacia del Plan de competitividad</w:t>
      </w:r>
      <w:r>
        <w:rPr>
          <w:rFonts w:cs="Frutiger 55 Roman"/>
          <w:b/>
          <w:bCs/>
          <w:i/>
          <w:iCs/>
          <w:snapToGrid w:val="0"/>
          <w:sz w:val="25"/>
          <w:szCs w:val="28"/>
          <w:lang w:eastAsia="es-ES" w:bidi="es-ES_tradnl"/>
        </w:rPr>
        <w:t>.</w:t>
      </w:r>
    </w:p>
    <w:p w:rsidR="00EA6B22" w:rsidRPr="00ED35E0" w:rsidRDefault="00CB4369" w:rsidP="00EA6B22">
      <w:pPr>
        <w:numPr>
          <w:ilvl w:val="1"/>
          <w:numId w:val="5"/>
        </w:numPr>
        <w:tabs>
          <w:tab w:val="num" w:pos="851"/>
        </w:tabs>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R</w:t>
      </w:r>
      <w:r w:rsidR="00EF5B7E">
        <w:rPr>
          <w:rFonts w:cs="Frutiger 55 Roman"/>
          <w:b/>
          <w:bCs/>
          <w:i/>
          <w:iCs/>
          <w:snapToGrid w:val="0"/>
          <w:sz w:val="25"/>
          <w:szCs w:val="28"/>
          <w:lang w:eastAsia="es-ES" w:bidi="es-ES_tradnl"/>
        </w:rPr>
        <w:t>eequilibrio de la contribución de cada actividad, en particular para el segmento de Camión</w:t>
      </w:r>
      <w:r>
        <w:rPr>
          <w:rFonts w:cs="Frutiger 55 Roman"/>
          <w:b/>
          <w:bCs/>
          <w:i/>
          <w:iCs/>
          <w:snapToGrid w:val="0"/>
          <w:sz w:val="25"/>
          <w:szCs w:val="28"/>
          <w:lang w:eastAsia="es-ES" w:bidi="es-ES_tradnl"/>
        </w:rPr>
        <w:t>.</w:t>
      </w:r>
    </w:p>
    <w:p w:rsidR="00EA6B22" w:rsidRPr="00ED35E0" w:rsidRDefault="004C0F69" w:rsidP="00EA6B22">
      <w:pPr>
        <w:numPr>
          <w:ilvl w:val="0"/>
          <w:numId w:val="5"/>
        </w:numPr>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La d</w:t>
      </w:r>
      <w:r w:rsidR="007D75A7">
        <w:rPr>
          <w:rFonts w:cs="Frutiger 55 Roman"/>
          <w:b/>
          <w:bCs/>
          <w:i/>
          <w:iCs/>
          <w:snapToGrid w:val="0"/>
          <w:sz w:val="25"/>
          <w:szCs w:val="28"/>
          <w:lang w:eastAsia="es-ES" w:bidi="es-ES_tradnl"/>
        </w:rPr>
        <w:t xml:space="preserve">euda financiera neta </w:t>
      </w:r>
      <w:r>
        <w:rPr>
          <w:rFonts w:cs="Frutiger 55 Roman"/>
          <w:b/>
          <w:bCs/>
          <w:i/>
          <w:iCs/>
          <w:snapToGrid w:val="0"/>
          <w:sz w:val="25"/>
          <w:szCs w:val="28"/>
          <w:lang w:eastAsia="es-ES" w:bidi="es-ES_tradnl"/>
        </w:rPr>
        <w:t xml:space="preserve">se </w:t>
      </w:r>
      <w:r w:rsidR="007D75A7">
        <w:rPr>
          <w:rFonts w:cs="Frutiger 55 Roman"/>
          <w:b/>
          <w:bCs/>
          <w:i/>
          <w:iCs/>
          <w:snapToGrid w:val="0"/>
          <w:sz w:val="25"/>
          <w:szCs w:val="28"/>
          <w:lang w:eastAsia="es-ES" w:bidi="es-ES_tradnl"/>
        </w:rPr>
        <w:t>reduc</w:t>
      </w:r>
      <w:r>
        <w:rPr>
          <w:rFonts w:cs="Frutiger 55 Roman"/>
          <w:b/>
          <w:bCs/>
          <w:i/>
          <w:iCs/>
          <w:snapToGrid w:val="0"/>
          <w:sz w:val="25"/>
          <w:szCs w:val="28"/>
          <w:lang w:eastAsia="es-ES" w:bidi="es-ES_tradnl"/>
        </w:rPr>
        <w:t>e</w:t>
      </w:r>
      <w:r w:rsidR="007D75A7">
        <w:rPr>
          <w:rFonts w:cs="Frutiger 55 Roman"/>
          <w:b/>
          <w:bCs/>
          <w:i/>
          <w:iCs/>
          <w:snapToGrid w:val="0"/>
          <w:sz w:val="25"/>
          <w:szCs w:val="28"/>
          <w:lang w:eastAsia="es-ES" w:bidi="es-ES_tradnl"/>
        </w:rPr>
        <w:t xml:space="preserve"> hasta </w:t>
      </w:r>
      <w:r>
        <w:rPr>
          <w:rFonts w:cs="Frutiger 55 Roman"/>
          <w:b/>
          <w:bCs/>
          <w:i/>
          <w:iCs/>
          <w:snapToGrid w:val="0"/>
          <w:sz w:val="25"/>
          <w:szCs w:val="28"/>
          <w:lang w:eastAsia="es-ES" w:bidi="es-ES_tradnl"/>
        </w:rPr>
        <w:t xml:space="preserve">los </w:t>
      </w:r>
      <w:r w:rsidR="00EA6B22" w:rsidRPr="00ED35E0">
        <w:rPr>
          <w:rFonts w:cs="Frutiger 55 Roman"/>
          <w:b/>
          <w:bCs/>
          <w:i/>
          <w:iCs/>
          <w:snapToGrid w:val="0"/>
          <w:sz w:val="25"/>
          <w:szCs w:val="28"/>
          <w:lang w:eastAsia="es-ES" w:bidi="es-ES_tradnl"/>
        </w:rPr>
        <w:t xml:space="preserve">142 </w:t>
      </w:r>
      <w:r w:rsidR="007D75A7" w:rsidRPr="00972F65">
        <w:rPr>
          <w:rFonts w:cs="Frutiger 55 Roman"/>
          <w:b/>
          <w:bCs/>
          <w:i/>
          <w:iCs/>
          <w:snapToGrid w:val="0"/>
          <w:sz w:val="25"/>
          <w:szCs w:val="28"/>
          <w:lang w:eastAsia="es-ES" w:bidi="es-ES_tradnl"/>
        </w:rPr>
        <w:t>millones de euros</w:t>
      </w:r>
      <w:r w:rsidR="00EA6B22" w:rsidRPr="00ED35E0">
        <w:rPr>
          <w:rFonts w:cs="Frutiger 55 Roman"/>
          <w:b/>
          <w:bCs/>
          <w:i/>
          <w:iCs/>
          <w:snapToGrid w:val="0"/>
          <w:sz w:val="25"/>
          <w:szCs w:val="28"/>
          <w:lang w:eastAsia="es-ES" w:bidi="es-ES_tradnl"/>
        </w:rPr>
        <w:t>.</w:t>
      </w:r>
    </w:p>
    <w:p w:rsidR="00940315" w:rsidRDefault="00940315" w:rsidP="007943C4">
      <w:pPr>
        <w:spacing w:after="120" w:line="240" w:lineRule="atLeast"/>
        <w:jc w:val="both"/>
        <w:rPr>
          <w:rFonts w:cs="Frutiger 55 Roman"/>
          <w:b/>
          <w:bCs/>
          <w:i/>
          <w:iCs/>
          <w:snapToGrid w:val="0"/>
          <w:sz w:val="25"/>
          <w:szCs w:val="28"/>
          <w:lang w:eastAsia="es-ES" w:bidi="es-ES_tradnl"/>
        </w:rPr>
      </w:pPr>
    </w:p>
    <w:p w:rsidR="004C0F69" w:rsidRDefault="00EA6B22" w:rsidP="007943C4">
      <w:pPr>
        <w:spacing w:after="120" w:line="240" w:lineRule="atLeast"/>
        <w:jc w:val="both"/>
        <w:rPr>
          <w:rFonts w:cs="Frutiger 55 Roman"/>
          <w:b/>
          <w:bCs/>
          <w:i/>
          <w:iCs/>
          <w:snapToGrid w:val="0"/>
          <w:sz w:val="25"/>
          <w:szCs w:val="28"/>
          <w:lang w:eastAsia="es-ES" w:bidi="es-ES_tradnl"/>
        </w:rPr>
      </w:pPr>
      <w:r w:rsidRPr="00ED35E0">
        <w:rPr>
          <w:rFonts w:cs="Frutiger 55 Roman"/>
          <w:b/>
          <w:bCs/>
          <w:i/>
          <w:iCs/>
          <w:snapToGrid w:val="0"/>
          <w:sz w:val="25"/>
          <w:szCs w:val="28"/>
          <w:lang w:eastAsia="es-ES" w:bidi="es-ES_tradnl"/>
        </w:rPr>
        <w:t>P</w:t>
      </w:r>
      <w:r w:rsidR="004C0F69">
        <w:rPr>
          <w:rFonts w:cs="Frutiger 55 Roman"/>
          <w:b/>
          <w:bCs/>
          <w:i/>
          <w:iCs/>
          <w:snapToGrid w:val="0"/>
          <w:sz w:val="25"/>
          <w:szCs w:val="28"/>
          <w:lang w:eastAsia="es-ES" w:bidi="es-ES_tradnl"/>
        </w:rPr>
        <w:t xml:space="preserve">ropuesta de un dividendo de 2,50 euros por acción, </w:t>
      </w:r>
      <w:r w:rsidR="00A506C1">
        <w:rPr>
          <w:rFonts w:cs="Frutiger 55 Roman"/>
          <w:b/>
          <w:bCs/>
          <w:i/>
          <w:iCs/>
          <w:snapToGrid w:val="0"/>
          <w:sz w:val="25"/>
          <w:szCs w:val="28"/>
          <w:lang w:eastAsia="es-ES" w:bidi="es-ES_tradnl"/>
        </w:rPr>
        <w:t>que se someterá</w:t>
      </w:r>
      <w:r w:rsidR="004C0F69">
        <w:rPr>
          <w:rFonts w:cs="Frutiger 55 Roman"/>
          <w:b/>
          <w:bCs/>
          <w:i/>
          <w:iCs/>
          <w:snapToGrid w:val="0"/>
          <w:sz w:val="25"/>
          <w:szCs w:val="28"/>
          <w:lang w:eastAsia="es-ES" w:bidi="es-ES_tradnl"/>
        </w:rPr>
        <w:t xml:space="preserve"> a</w:t>
      </w:r>
      <w:r w:rsidR="00A506C1">
        <w:rPr>
          <w:rFonts w:cs="Frutiger 55 Roman"/>
          <w:b/>
          <w:bCs/>
          <w:i/>
          <w:iCs/>
          <w:snapToGrid w:val="0"/>
          <w:sz w:val="25"/>
          <w:szCs w:val="28"/>
          <w:lang w:eastAsia="es-ES" w:bidi="es-ES_tradnl"/>
        </w:rPr>
        <w:t xml:space="preserve"> la aprobación de la </w:t>
      </w:r>
      <w:r w:rsidR="00A506C1" w:rsidRPr="00A506C1">
        <w:rPr>
          <w:rFonts w:cs="Frutiger 55 Roman"/>
          <w:b/>
          <w:bCs/>
          <w:i/>
          <w:iCs/>
          <w:snapToGrid w:val="0"/>
          <w:sz w:val="25"/>
          <w:szCs w:val="28"/>
          <w:lang w:eastAsia="es-ES" w:bidi="es-ES_tradnl"/>
        </w:rPr>
        <w:t>Asamblea General de Accionistas</w:t>
      </w:r>
      <w:r w:rsidR="00A506C1">
        <w:rPr>
          <w:rFonts w:cs="Frutiger 55 Roman"/>
          <w:b/>
          <w:bCs/>
          <w:i/>
          <w:iCs/>
          <w:snapToGrid w:val="0"/>
          <w:sz w:val="25"/>
          <w:szCs w:val="28"/>
          <w:lang w:eastAsia="es-ES" w:bidi="es-ES_tradnl"/>
        </w:rPr>
        <w:t xml:space="preserve"> del 16 de mayo de 2014</w:t>
      </w:r>
      <w:r w:rsidR="00061551">
        <w:rPr>
          <w:rFonts w:cs="Frutiger 55 Roman"/>
          <w:b/>
          <w:bCs/>
          <w:i/>
          <w:iCs/>
          <w:snapToGrid w:val="0"/>
          <w:sz w:val="25"/>
          <w:szCs w:val="28"/>
          <w:lang w:eastAsia="es-ES" w:bidi="es-ES_tradnl"/>
        </w:rPr>
        <w:t xml:space="preserve">, </w:t>
      </w:r>
      <w:r w:rsidR="00D066F1">
        <w:rPr>
          <w:rFonts w:cs="Frutiger 55 Roman"/>
          <w:b/>
          <w:bCs/>
          <w:i/>
          <w:iCs/>
          <w:snapToGrid w:val="0"/>
          <w:sz w:val="25"/>
          <w:szCs w:val="28"/>
          <w:lang w:eastAsia="es-ES" w:bidi="es-ES_tradnl"/>
        </w:rPr>
        <w:t>lo que supone</w:t>
      </w:r>
      <w:r w:rsidR="00061551">
        <w:rPr>
          <w:rFonts w:cs="Frutiger 55 Roman"/>
          <w:b/>
          <w:bCs/>
          <w:i/>
          <w:iCs/>
          <w:snapToGrid w:val="0"/>
          <w:sz w:val="25"/>
          <w:szCs w:val="28"/>
          <w:lang w:eastAsia="es-ES" w:bidi="es-ES_tradnl"/>
        </w:rPr>
        <w:t xml:space="preserve"> una tasa de distribución del 35% del r</w:t>
      </w:r>
      <w:r w:rsidR="00061551" w:rsidRPr="00061551">
        <w:rPr>
          <w:rFonts w:cs="Frutiger 55 Roman"/>
          <w:b/>
          <w:bCs/>
          <w:i/>
          <w:iCs/>
          <w:snapToGrid w:val="0"/>
          <w:sz w:val="25"/>
          <w:szCs w:val="28"/>
          <w:lang w:eastAsia="es-ES" w:bidi="es-ES_tradnl"/>
        </w:rPr>
        <w:t xml:space="preserve">esultado </w:t>
      </w:r>
      <w:r w:rsidR="00061551">
        <w:rPr>
          <w:rFonts w:cs="Frutiger 55 Roman"/>
          <w:b/>
          <w:bCs/>
          <w:i/>
          <w:iCs/>
          <w:snapToGrid w:val="0"/>
          <w:sz w:val="25"/>
          <w:szCs w:val="28"/>
          <w:lang w:eastAsia="es-ES" w:bidi="es-ES_tradnl"/>
        </w:rPr>
        <w:t>neto</w:t>
      </w:r>
      <w:r w:rsidR="00061551" w:rsidRPr="00061551">
        <w:rPr>
          <w:rFonts w:cs="Frutiger 55 Roman"/>
          <w:b/>
          <w:bCs/>
          <w:i/>
          <w:iCs/>
          <w:snapToGrid w:val="0"/>
          <w:sz w:val="25"/>
          <w:szCs w:val="28"/>
          <w:lang w:eastAsia="es-ES" w:bidi="es-ES_tradnl"/>
        </w:rPr>
        <w:t xml:space="preserve"> antes de elementos no recurrentes</w:t>
      </w:r>
      <w:r w:rsidR="002B6C8F">
        <w:rPr>
          <w:rFonts w:cs="Frutiger 55 Roman"/>
          <w:b/>
          <w:bCs/>
          <w:i/>
          <w:iCs/>
          <w:snapToGrid w:val="0"/>
          <w:sz w:val="25"/>
          <w:szCs w:val="28"/>
          <w:lang w:eastAsia="es-ES" w:bidi="es-ES_tradnl"/>
        </w:rPr>
        <w:t>.</w:t>
      </w:r>
    </w:p>
    <w:p w:rsidR="002B6C8F" w:rsidRDefault="00940315" w:rsidP="007943C4">
      <w:pPr>
        <w:spacing w:after="120" w:line="240" w:lineRule="atLeast"/>
        <w:jc w:val="both"/>
        <w:rPr>
          <w:rFonts w:cs="Frutiger 55 Roman"/>
          <w:b/>
          <w:bCs/>
          <w:i/>
          <w:iCs/>
          <w:snapToGrid w:val="0"/>
          <w:sz w:val="25"/>
          <w:szCs w:val="28"/>
          <w:lang w:eastAsia="es-ES" w:bidi="es-ES_tradnl"/>
        </w:rPr>
      </w:pPr>
      <w:r>
        <w:rPr>
          <w:rFonts w:cs="Frutiger 55 Roman"/>
          <w:b/>
          <w:bCs/>
          <w:i/>
          <w:iCs/>
          <w:snapToGrid w:val="0"/>
          <w:sz w:val="25"/>
          <w:szCs w:val="28"/>
          <w:lang w:eastAsia="es-ES" w:bidi="es-ES_tradnl"/>
        </w:rPr>
        <w:br w:type="column"/>
      </w:r>
      <w:r w:rsidR="00EA6B22" w:rsidRPr="00ED35E0">
        <w:rPr>
          <w:rFonts w:cs="Frutiger 55 Roman"/>
          <w:b/>
          <w:bCs/>
          <w:i/>
          <w:iCs/>
          <w:snapToGrid w:val="0"/>
          <w:sz w:val="25"/>
          <w:szCs w:val="28"/>
          <w:lang w:eastAsia="es-ES" w:bidi="es-ES_tradnl"/>
        </w:rPr>
        <w:t xml:space="preserve">Jean-Dominique Senard, </w:t>
      </w:r>
      <w:r w:rsidR="002B6C8F">
        <w:rPr>
          <w:rFonts w:cs="Frutiger 55 Roman"/>
          <w:b/>
          <w:bCs/>
          <w:i/>
          <w:iCs/>
          <w:snapToGrid w:val="0"/>
          <w:sz w:val="25"/>
          <w:szCs w:val="28"/>
          <w:lang w:eastAsia="es-ES" w:bidi="es-ES_tradnl"/>
        </w:rPr>
        <w:t>presidente</w:t>
      </w:r>
      <w:r w:rsidR="00354ACF">
        <w:rPr>
          <w:rFonts w:cs="Frutiger 55 Roman"/>
          <w:b/>
          <w:bCs/>
          <w:i/>
          <w:iCs/>
          <w:snapToGrid w:val="0"/>
          <w:sz w:val="25"/>
          <w:szCs w:val="28"/>
          <w:lang w:eastAsia="es-ES" w:bidi="es-ES_tradnl"/>
        </w:rPr>
        <w:t xml:space="preserve"> del Grupo Michelin</w:t>
      </w:r>
      <w:r w:rsidR="00EA6B22" w:rsidRPr="00ED35E0">
        <w:rPr>
          <w:rFonts w:cs="Frutiger 55 Roman"/>
          <w:b/>
          <w:bCs/>
          <w:i/>
          <w:iCs/>
          <w:snapToGrid w:val="0"/>
          <w:sz w:val="25"/>
          <w:szCs w:val="28"/>
          <w:lang w:eastAsia="es-ES" w:bidi="es-ES_tradnl"/>
        </w:rPr>
        <w:t xml:space="preserve">, </w:t>
      </w:r>
      <w:r w:rsidR="002B6C8F">
        <w:rPr>
          <w:rFonts w:cs="Frutiger 55 Roman"/>
          <w:b/>
          <w:bCs/>
          <w:i/>
          <w:iCs/>
          <w:snapToGrid w:val="0"/>
          <w:sz w:val="25"/>
          <w:szCs w:val="28"/>
          <w:lang w:eastAsia="es-ES" w:bidi="es-ES_tradnl"/>
        </w:rPr>
        <w:t>ha declarado</w:t>
      </w:r>
      <w:r w:rsidR="00EA6B22" w:rsidRPr="00ED35E0">
        <w:rPr>
          <w:rFonts w:cs="Frutiger 55 Roman"/>
          <w:b/>
          <w:bCs/>
          <w:i/>
          <w:iCs/>
          <w:snapToGrid w:val="0"/>
          <w:sz w:val="25"/>
          <w:szCs w:val="28"/>
          <w:lang w:eastAsia="es-ES" w:bidi="es-ES_tradnl"/>
        </w:rPr>
        <w:t>: ‘‘</w:t>
      </w:r>
      <w:r w:rsidR="002B6C8F">
        <w:rPr>
          <w:rFonts w:cs="Frutiger 55 Roman"/>
          <w:b/>
          <w:bCs/>
          <w:i/>
          <w:iCs/>
          <w:snapToGrid w:val="0"/>
          <w:sz w:val="25"/>
          <w:szCs w:val="28"/>
          <w:lang w:eastAsia="es-ES" w:bidi="es-ES_tradnl"/>
        </w:rPr>
        <w:t>Los sólidos resultados de Michelin en 2013, conseguidos en un contexto de mercado contrastado</w:t>
      </w:r>
      <w:r w:rsidR="007943C4">
        <w:rPr>
          <w:rFonts w:cs="Frutiger 55 Roman"/>
          <w:b/>
          <w:bCs/>
          <w:i/>
          <w:iCs/>
          <w:snapToGrid w:val="0"/>
          <w:sz w:val="25"/>
          <w:szCs w:val="28"/>
          <w:lang w:eastAsia="es-ES" w:bidi="es-ES_tradnl"/>
        </w:rPr>
        <w:t>, confirman la ambición del Grupo de alcanzar un rendimiento económico en línea con los objetivos para 2015</w:t>
      </w:r>
      <w:r w:rsidR="00354ACF">
        <w:rPr>
          <w:rFonts w:cs="Frutiger 55 Roman"/>
          <w:b/>
          <w:bCs/>
          <w:i/>
          <w:iCs/>
          <w:snapToGrid w:val="0"/>
          <w:sz w:val="25"/>
          <w:szCs w:val="28"/>
          <w:lang w:eastAsia="es-ES" w:bidi="es-ES_tradnl"/>
        </w:rPr>
        <w:t>*”.</w:t>
      </w:r>
    </w:p>
    <w:p w:rsidR="00BF4FFF" w:rsidRPr="00ED35E0" w:rsidRDefault="00BF4FFF" w:rsidP="00BF4FFF">
      <w:pPr>
        <w:spacing w:after="120" w:line="240" w:lineRule="atLeast"/>
        <w:rPr>
          <w:rFonts w:cs="Frutiger 55 Roman"/>
          <w:b/>
          <w:bCs/>
          <w:i/>
          <w:iCs/>
          <w:snapToGrid w:val="0"/>
          <w:sz w:val="25"/>
          <w:szCs w:val="28"/>
          <w:lang w:eastAsia="es-ES" w:bidi="es-ES_tradnl"/>
        </w:rPr>
      </w:pPr>
    </w:p>
    <w:p w:rsidR="00BF4FFF" w:rsidRPr="00ED35E0" w:rsidRDefault="00BF4FFF" w:rsidP="00BF4FFF">
      <w:pPr>
        <w:spacing w:after="240" w:line="270" w:lineRule="atLeast"/>
        <w:jc w:val="both"/>
        <w:rPr>
          <w:rFonts w:ascii="Arial" w:hAnsi="Arial"/>
          <w:b/>
          <w:bCs/>
          <w:sz w:val="28"/>
          <w:lang w:bidi="es-ES_tradnl"/>
        </w:rPr>
      </w:pPr>
      <w:r w:rsidRPr="00ED35E0">
        <w:rPr>
          <w:rFonts w:ascii="Arial" w:hAnsi="Arial"/>
          <w:b/>
          <w:bCs/>
          <w:sz w:val="28"/>
          <w:lang w:bidi="es-ES_tradnl"/>
        </w:rPr>
        <w:t>Perspectivas para 201</w:t>
      </w:r>
      <w:r w:rsidR="004D6F34" w:rsidRPr="00ED35E0">
        <w:rPr>
          <w:rFonts w:ascii="Arial" w:hAnsi="Arial"/>
          <w:b/>
          <w:bCs/>
          <w:sz w:val="28"/>
          <w:lang w:bidi="es-ES_tradnl"/>
        </w:rPr>
        <w:t>4</w:t>
      </w:r>
    </w:p>
    <w:p w:rsidR="004D6F34" w:rsidRPr="00ED35E0" w:rsidRDefault="00875FF3" w:rsidP="00AB0969">
      <w:pPr>
        <w:pStyle w:val="TextoMichelin"/>
        <w:rPr>
          <w:b/>
          <w:lang w:val="es-ES_tradnl" w:bidi="es-ES_tradnl"/>
        </w:rPr>
      </w:pPr>
      <w:r>
        <w:rPr>
          <w:b/>
          <w:lang w:val="es-ES_tradnl" w:bidi="es-ES_tradnl"/>
        </w:rPr>
        <w:t xml:space="preserve">La </w:t>
      </w:r>
      <w:r w:rsidR="00DA263C" w:rsidRPr="00DA263C">
        <w:rPr>
          <w:b/>
          <w:lang w:val="es-ES_tradnl" w:bidi="es-ES_tradnl"/>
        </w:rPr>
        <w:t>demanda de neumáticos en 2014 debe</w:t>
      </w:r>
      <w:r>
        <w:rPr>
          <w:b/>
          <w:lang w:val="es-ES_tradnl" w:bidi="es-ES_tradnl"/>
        </w:rPr>
        <w:t>ría</w:t>
      </w:r>
      <w:r w:rsidR="00DA263C" w:rsidRPr="00DA263C">
        <w:rPr>
          <w:b/>
          <w:lang w:val="es-ES_tradnl" w:bidi="es-ES_tradnl"/>
        </w:rPr>
        <w:t xml:space="preserve"> reflejar el dinamismo de </w:t>
      </w:r>
      <w:r w:rsidR="00DA263C">
        <w:rPr>
          <w:b/>
          <w:lang w:val="es-ES_tradnl" w:bidi="es-ES_tradnl"/>
        </w:rPr>
        <w:t xml:space="preserve">los </w:t>
      </w:r>
      <w:r w:rsidR="00DA263C" w:rsidRPr="00DA263C">
        <w:rPr>
          <w:b/>
          <w:lang w:val="es-ES_tradnl" w:bidi="es-ES_tradnl"/>
        </w:rPr>
        <w:t xml:space="preserve">nuevos mercados y </w:t>
      </w:r>
      <w:r w:rsidR="00D066F1">
        <w:rPr>
          <w:b/>
          <w:lang w:val="es-ES_tradnl" w:bidi="es-ES_tradnl"/>
        </w:rPr>
        <w:t xml:space="preserve">la vuelta </w:t>
      </w:r>
      <w:r>
        <w:rPr>
          <w:b/>
          <w:lang w:val="es-ES_tradnl" w:bidi="es-ES_tradnl"/>
        </w:rPr>
        <w:t>de las regiones maduras a</w:t>
      </w:r>
      <w:r w:rsidR="00DA263C" w:rsidRPr="00DA263C">
        <w:rPr>
          <w:b/>
          <w:lang w:val="es-ES_tradnl" w:bidi="es-ES_tradnl"/>
        </w:rPr>
        <w:t xml:space="preserve"> un nivel</w:t>
      </w:r>
      <w:r>
        <w:rPr>
          <w:b/>
          <w:lang w:val="es-ES_tradnl" w:bidi="es-ES_tradnl"/>
        </w:rPr>
        <w:t xml:space="preserve"> de mercado</w:t>
      </w:r>
      <w:r w:rsidR="00DA263C" w:rsidRPr="00DA263C">
        <w:rPr>
          <w:b/>
          <w:lang w:val="es-ES_tradnl" w:bidi="es-ES_tradnl"/>
        </w:rPr>
        <w:t xml:space="preserve"> </w:t>
      </w:r>
      <w:r>
        <w:rPr>
          <w:b/>
          <w:lang w:val="es-ES_tradnl" w:bidi="es-ES_tradnl"/>
        </w:rPr>
        <w:t>coherente con su actividad económica</w:t>
      </w:r>
      <w:r w:rsidR="00DA263C" w:rsidRPr="00DA263C">
        <w:rPr>
          <w:b/>
          <w:lang w:val="es-ES_tradnl" w:bidi="es-ES_tradnl"/>
        </w:rPr>
        <w:t>.</w:t>
      </w:r>
    </w:p>
    <w:p w:rsidR="00FD3327" w:rsidRDefault="00875FF3" w:rsidP="00AB0969">
      <w:pPr>
        <w:pStyle w:val="TextoMichelin"/>
        <w:rPr>
          <w:b/>
          <w:lang w:val="es-ES_tradnl" w:bidi="es-ES_tradnl"/>
        </w:rPr>
      </w:pPr>
      <w:r>
        <w:rPr>
          <w:b/>
          <w:lang w:val="es-ES_tradnl" w:bidi="es-ES_tradnl"/>
        </w:rPr>
        <w:t>En esta coyuntura, Michelin tiene como objetivo aumentar sus volúmenes entorno</w:t>
      </w:r>
      <w:r w:rsidR="00DF3396">
        <w:rPr>
          <w:b/>
          <w:lang w:val="es-ES_tradnl" w:bidi="es-ES_tradnl"/>
        </w:rPr>
        <w:t xml:space="preserve"> a un 3% en 2014, en línea con el crecimiento del mercado de neumáticos a nivel mundial. El éxito de los lanzamientos de MICHELIN </w:t>
      </w:r>
      <w:r w:rsidR="004D6F34" w:rsidRPr="00ED35E0">
        <w:rPr>
          <w:b/>
          <w:lang w:val="es-ES_tradnl" w:bidi="es-ES_tradnl"/>
        </w:rPr>
        <w:t xml:space="preserve">Premier All Season </w:t>
      </w:r>
      <w:r w:rsidR="00FD3327">
        <w:rPr>
          <w:b/>
          <w:lang w:val="es-ES_tradnl" w:bidi="es-ES_tradnl"/>
        </w:rPr>
        <w:t>y</w:t>
      </w:r>
      <w:r w:rsidR="004D6F34" w:rsidRPr="00ED35E0">
        <w:rPr>
          <w:b/>
          <w:lang w:val="es-ES_tradnl" w:bidi="es-ES_tradnl"/>
        </w:rPr>
        <w:t xml:space="preserve"> de la ga</w:t>
      </w:r>
      <w:r w:rsidR="00FD3327">
        <w:rPr>
          <w:b/>
          <w:lang w:val="es-ES_tradnl" w:bidi="es-ES_tradnl"/>
        </w:rPr>
        <w:t>ma</w:t>
      </w:r>
      <w:r w:rsidR="004D6F34" w:rsidRPr="00ED35E0">
        <w:rPr>
          <w:b/>
          <w:lang w:val="es-ES_tradnl" w:bidi="es-ES_tradnl"/>
        </w:rPr>
        <w:t xml:space="preserve"> MICHELIN X Multi, </w:t>
      </w:r>
      <w:r w:rsidR="00FD3327">
        <w:rPr>
          <w:b/>
          <w:lang w:val="es-ES_tradnl" w:bidi="es-ES_tradnl"/>
        </w:rPr>
        <w:t xml:space="preserve">el seguimiento de la estrategia premium, la robustez estructural de las actividades de especialidades, la posición reforzada de la marca </w:t>
      </w:r>
      <w:r w:rsidR="00940315">
        <w:rPr>
          <w:b/>
          <w:lang w:val="es-ES_tradnl" w:bidi="es-ES_tradnl"/>
        </w:rPr>
        <w:t>MICHELIN</w:t>
      </w:r>
      <w:r w:rsidR="00FD3327">
        <w:rPr>
          <w:b/>
          <w:lang w:val="es-ES_tradnl" w:bidi="es-ES_tradnl"/>
        </w:rPr>
        <w:t xml:space="preserve">, así como </w:t>
      </w:r>
      <w:r w:rsidR="0069466D">
        <w:rPr>
          <w:b/>
          <w:lang w:val="es-ES_tradnl" w:bidi="es-ES_tradnl"/>
        </w:rPr>
        <w:t>la consolidación de las nuevas instalaciones industriales deberían contribuir alcanzar este objetivo.</w:t>
      </w:r>
    </w:p>
    <w:p w:rsidR="0069466D" w:rsidRDefault="004D6F34" w:rsidP="00AB0969">
      <w:pPr>
        <w:pStyle w:val="TextoMichelin"/>
        <w:rPr>
          <w:b/>
          <w:lang w:val="es-ES_tradnl" w:bidi="es-ES_tradnl"/>
        </w:rPr>
      </w:pPr>
      <w:r w:rsidRPr="00ED35E0">
        <w:rPr>
          <w:b/>
          <w:lang w:val="es-ES_tradnl" w:bidi="es-ES_tradnl"/>
        </w:rPr>
        <w:t xml:space="preserve">Michelin </w:t>
      </w:r>
      <w:r w:rsidR="0069466D">
        <w:rPr>
          <w:b/>
          <w:lang w:val="es-ES_tradnl" w:bidi="es-ES_tradnl"/>
        </w:rPr>
        <w:t xml:space="preserve">continúa controlando su margen, conservando un equilibrio entre la política de precios y los costes de las materias primas. </w:t>
      </w:r>
      <w:r w:rsidR="00CF0F78">
        <w:rPr>
          <w:b/>
          <w:lang w:val="es-ES_tradnl" w:bidi="es-ES_tradnl"/>
        </w:rPr>
        <w:t>Los efectos del plan de competitividad van a continuar.</w:t>
      </w:r>
    </w:p>
    <w:p w:rsidR="00085B56" w:rsidRDefault="004D6F34" w:rsidP="00613A67">
      <w:pPr>
        <w:pStyle w:val="TextoMichelin"/>
        <w:rPr>
          <w:b/>
          <w:lang w:val="es-ES_tradnl" w:bidi="es-ES_tradnl"/>
        </w:rPr>
      </w:pPr>
      <w:r w:rsidRPr="00ED35E0">
        <w:rPr>
          <w:b/>
          <w:lang w:val="es-ES_tradnl" w:bidi="es-ES_tradnl"/>
        </w:rPr>
        <w:t>A</w:t>
      </w:r>
      <w:r w:rsidR="00613A67">
        <w:rPr>
          <w:b/>
          <w:lang w:val="es-ES_tradnl" w:bidi="es-ES_tradnl"/>
        </w:rPr>
        <w:t>sí, Michelin se ha fijado como objetivo para 2014 una rentabilidad de los capitales empleados superior al 11</w:t>
      </w:r>
      <w:r w:rsidR="00B817C2">
        <w:rPr>
          <w:b/>
          <w:lang w:val="es-ES_tradnl" w:bidi="es-ES_tradnl"/>
        </w:rPr>
        <w:t xml:space="preserve"> </w:t>
      </w:r>
      <w:r w:rsidR="00613A67">
        <w:rPr>
          <w:b/>
          <w:lang w:val="es-ES_tradnl" w:bidi="es-ES_tradnl"/>
        </w:rPr>
        <w:t xml:space="preserve">% y la generación de un </w:t>
      </w:r>
      <w:r w:rsidRPr="00613A67">
        <w:rPr>
          <w:b/>
          <w:i/>
          <w:lang w:val="es-ES_tradnl" w:bidi="es-ES_tradnl"/>
        </w:rPr>
        <w:t>cash flow</w:t>
      </w:r>
      <w:r w:rsidRPr="00ED35E0">
        <w:rPr>
          <w:b/>
          <w:lang w:val="es-ES_tradnl" w:bidi="es-ES_tradnl"/>
        </w:rPr>
        <w:t xml:space="preserve"> libre </w:t>
      </w:r>
      <w:r w:rsidR="00613A67">
        <w:rPr>
          <w:b/>
          <w:lang w:val="es-ES_tradnl" w:bidi="es-ES_tradnl"/>
        </w:rPr>
        <w:t>e</w:t>
      </w:r>
      <w:r w:rsidRPr="00ED35E0">
        <w:rPr>
          <w:b/>
          <w:lang w:val="es-ES_tradnl" w:bidi="es-ES_tradnl"/>
        </w:rPr>
        <w:t>structur</w:t>
      </w:r>
      <w:r w:rsidR="00613A67">
        <w:rPr>
          <w:b/>
          <w:lang w:val="es-ES_tradnl" w:bidi="es-ES_tradnl"/>
        </w:rPr>
        <w:t>a</w:t>
      </w:r>
      <w:r w:rsidRPr="00ED35E0">
        <w:rPr>
          <w:b/>
          <w:lang w:val="es-ES_tradnl" w:bidi="es-ES_tradnl"/>
        </w:rPr>
        <w:t xml:space="preserve">l </w:t>
      </w:r>
      <w:r w:rsidR="00613A67">
        <w:rPr>
          <w:b/>
          <w:lang w:val="es-ES_tradnl" w:bidi="es-ES_tradnl"/>
        </w:rPr>
        <w:t xml:space="preserve">de más de </w:t>
      </w:r>
      <w:r w:rsidRPr="00ED35E0">
        <w:rPr>
          <w:b/>
          <w:lang w:val="es-ES_tradnl" w:bidi="es-ES_tradnl"/>
        </w:rPr>
        <w:t>500 mill</w:t>
      </w:r>
      <w:r w:rsidR="00613A67">
        <w:rPr>
          <w:b/>
          <w:lang w:val="es-ES_tradnl" w:bidi="es-ES_tradnl"/>
        </w:rPr>
        <w:t>ones de euros</w:t>
      </w:r>
      <w:r w:rsidRPr="00ED35E0">
        <w:rPr>
          <w:b/>
          <w:lang w:val="es-ES_tradnl" w:bidi="es-ES_tradnl"/>
        </w:rPr>
        <w:t xml:space="preserve">, </w:t>
      </w:r>
      <w:r w:rsidR="00085B56">
        <w:rPr>
          <w:b/>
          <w:lang w:val="es-ES_tradnl" w:bidi="es-ES_tradnl"/>
        </w:rPr>
        <w:t>en paralelo a un programa de inversiones que se mantiene en alrededor de 2.000 millones de euros.</w:t>
      </w:r>
    </w:p>
    <w:p w:rsidR="00C07354" w:rsidRPr="00ED35E0" w:rsidRDefault="00C07354" w:rsidP="00C07354">
      <w:pPr>
        <w:autoSpaceDE w:val="0"/>
        <w:autoSpaceDN w:val="0"/>
        <w:adjustRightInd w:val="0"/>
        <w:jc w:val="both"/>
        <w:rPr>
          <w:rFonts w:ascii="Arial" w:hAnsi="Arial"/>
          <w:b/>
          <w:bCs/>
          <w:sz w:val="21"/>
          <w:lang w:bidi="es-ES_tradnl"/>
        </w:rPr>
      </w:pPr>
    </w:p>
    <w:p w:rsidR="00057819" w:rsidRPr="00ED35E0" w:rsidRDefault="005A3068" w:rsidP="00057819">
      <w:pPr>
        <w:autoSpaceDE w:val="0"/>
        <w:autoSpaceDN w:val="0"/>
        <w:adjustRightInd w:val="0"/>
        <w:jc w:val="both"/>
        <w:rPr>
          <w:rFonts w:ascii="Arial" w:hAnsi="Arial"/>
          <w:b/>
          <w:bCs/>
          <w:sz w:val="21"/>
          <w:lang w:bidi="es-ES_tradnl"/>
        </w:rPr>
      </w:pPr>
      <w:r>
        <w:rPr>
          <w:rFonts w:ascii="Arial" w:hAnsi="Arial"/>
          <w:b/>
          <w:bCs/>
          <w:sz w:val="21"/>
          <w:lang w:bidi="es-ES_tradnl"/>
        </w:rPr>
        <w:br w:type="column"/>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003"/>
        <w:gridCol w:w="2108"/>
      </w:tblGrid>
      <w:tr w:rsidR="00DD1666" w:rsidRPr="00ED35E0">
        <w:trPr>
          <w:jc w:val="center"/>
        </w:trPr>
        <w:tc>
          <w:tcPr>
            <w:tcW w:w="3227" w:type="dxa"/>
            <w:shd w:val="clear" w:color="auto" w:fill="E0E0E0"/>
          </w:tcPr>
          <w:p w:rsidR="00DD1666" w:rsidRPr="00ED35E0" w:rsidRDefault="00DD1666" w:rsidP="00DD1666">
            <w:pPr>
              <w:pStyle w:val="TextoMichelin"/>
              <w:jc w:val="center"/>
              <w:rPr>
                <w:bCs/>
                <w:sz w:val="20"/>
                <w:lang w:val="es-ES_tradnl" w:bidi="es-ES_tradnl"/>
              </w:rPr>
            </w:pPr>
            <w:r w:rsidRPr="00ED35E0">
              <w:rPr>
                <w:bCs/>
                <w:sz w:val="20"/>
                <w:lang w:val="es-ES_tradnl" w:bidi="es-ES_tradnl"/>
              </w:rPr>
              <w:t>(EN MILLONES DE EUROS)</w:t>
            </w:r>
          </w:p>
        </w:tc>
        <w:tc>
          <w:tcPr>
            <w:tcW w:w="2003" w:type="dxa"/>
            <w:shd w:val="clear" w:color="auto" w:fill="E0E0E0"/>
          </w:tcPr>
          <w:p w:rsidR="00DD1666" w:rsidRPr="00ED35E0" w:rsidRDefault="00DD1666" w:rsidP="00CF7AB0">
            <w:pPr>
              <w:pStyle w:val="TextoMichelin"/>
              <w:jc w:val="center"/>
              <w:rPr>
                <w:rFonts w:ascii="Verdana" w:hAnsi="Verdana"/>
                <w:bCs/>
                <w:sz w:val="20"/>
                <w:lang w:val="es-ES_tradnl" w:bidi="es-ES_tradnl"/>
              </w:rPr>
            </w:pPr>
            <w:r w:rsidRPr="00ED35E0">
              <w:rPr>
                <w:bCs/>
                <w:sz w:val="20"/>
                <w:lang w:val="es-ES_tradnl" w:bidi="es-ES_tradnl"/>
              </w:rPr>
              <w:t>201</w:t>
            </w:r>
            <w:r w:rsidR="00CF7AB0" w:rsidRPr="00ED35E0">
              <w:rPr>
                <w:bCs/>
                <w:sz w:val="20"/>
                <w:lang w:val="es-ES_tradnl" w:bidi="es-ES_tradnl"/>
              </w:rPr>
              <w:t>3</w:t>
            </w:r>
          </w:p>
        </w:tc>
        <w:tc>
          <w:tcPr>
            <w:tcW w:w="2108" w:type="dxa"/>
            <w:shd w:val="clear" w:color="auto" w:fill="E0E0E0"/>
          </w:tcPr>
          <w:p w:rsidR="00DD1666" w:rsidRPr="00ED35E0" w:rsidRDefault="00CF7AB0" w:rsidP="00B817C2">
            <w:pPr>
              <w:pStyle w:val="TextoMichelin"/>
              <w:jc w:val="center"/>
              <w:rPr>
                <w:bCs/>
                <w:sz w:val="20"/>
                <w:lang w:val="es-ES_tradnl" w:bidi="es-ES_tradnl"/>
              </w:rPr>
            </w:pPr>
            <w:r w:rsidRPr="00ED35E0">
              <w:rPr>
                <w:bCs/>
                <w:sz w:val="20"/>
                <w:lang w:val="es-ES_tradnl" w:bidi="es-ES_tradnl"/>
              </w:rPr>
              <w:t>2012</w:t>
            </w:r>
            <w:r w:rsidRPr="00ED35E0">
              <w:rPr>
                <w:bCs/>
                <w:sz w:val="20"/>
                <w:lang w:val="es-ES_tradnl" w:bidi="es-ES_tradnl"/>
              </w:rPr>
              <w:br/>
              <w:t>PUBLI</w:t>
            </w:r>
            <w:r w:rsidR="00B817C2">
              <w:rPr>
                <w:bCs/>
                <w:sz w:val="20"/>
                <w:lang w:val="es-ES_tradnl" w:bidi="es-ES_tradnl"/>
              </w:rPr>
              <w:t>CADO</w:t>
            </w:r>
          </w:p>
        </w:tc>
      </w:tr>
      <w:tr w:rsidR="00CF7AB0" w:rsidRPr="00ED35E0">
        <w:trPr>
          <w:jc w:val="center"/>
        </w:trPr>
        <w:tc>
          <w:tcPr>
            <w:tcW w:w="3227" w:type="dxa"/>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VENTAS NETAS</w:t>
            </w:r>
          </w:p>
        </w:tc>
        <w:tc>
          <w:tcPr>
            <w:tcW w:w="2003" w:type="dxa"/>
          </w:tcPr>
          <w:p w:rsidR="00CF7AB0" w:rsidRPr="00ED35E0" w:rsidRDefault="00CF7AB0" w:rsidP="00CF7AB0">
            <w:pPr>
              <w:tabs>
                <w:tab w:val="left" w:pos="360"/>
              </w:tabs>
              <w:jc w:val="center"/>
              <w:rPr>
                <w:rFonts w:ascii="Arial" w:hAnsi="Arial" w:cs="Arial"/>
                <w:bCs/>
                <w:sz w:val="20"/>
              </w:rPr>
            </w:pPr>
          </w:p>
          <w:p w:rsidR="00CF7AB0" w:rsidRPr="00ED35E0" w:rsidRDefault="00CF7AB0" w:rsidP="00D628D9">
            <w:pPr>
              <w:tabs>
                <w:tab w:val="left" w:pos="360"/>
              </w:tabs>
              <w:jc w:val="center"/>
              <w:rPr>
                <w:rFonts w:ascii="Arial" w:hAnsi="Arial" w:cs="Arial"/>
                <w:b/>
                <w:bCs/>
                <w:sz w:val="20"/>
              </w:rPr>
            </w:pPr>
            <w:r w:rsidRPr="00ED35E0">
              <w:rPr>
                <w:rFonts w:ascii="Arial" w:hAnsi="Arial" w:cs="Arial"/>
                <w:b/>
                <w:bCs/>
                <w:sz w:val="20"/>
              </w:rPr>
              <w:t>20</w:t>
            </w:r>
            <w:r w:rsidR="00D628D9">
              <w:rPr>
                <w:rFonts w:ascii="Arial" w:hAnsi="Arial" w:cs="Arial"/>
                <w:b/>
                <w:bCs/>
                <w:sz w:val="20"/>
              </w:rPr>
              <w:t>.</w:t>
            </w:r>
            <w:r w:rsidRPr="00ED35E0">
              <w:rPr>
                <w:rFonts w:ascii="Arial" w:hAnsi="Arial" w:cs="Arial"/>
                <w:b/>
                <w:bCs/>
                <w:sz w:val="20"/>
              </w:rPr>
              <w:t>247</w:t>
            </w:r>
          </w:p>
        </w:tc>
        <w:tc>
          <w:tcPr>
            <w:tcW w:w="2108" w:type="dxa"/>
          </w:tcPr>
          <w:p w:rsidR="00CF7AB0" w:rsidRPr="00ED35E0" w:rsidRDefault="00CF7AB0" w:rsidP="00CF7AB0">
            <w:pPr>
              <w:tabs>
                <w:tab w:val="left" w:pos="360"/>
              </w:tabs>
              <w:jc w:val="center"/>
              <w:rPr>
                <w:rFonts w:ascii="Arial" w:hAnsi="Arial" w:cs="Arial"/>
                <w:bCs/>
                <w:sz w:val="20"/>
              </w:rPr>
            </w:pPr>
          </w:p>
          <w:p w:rsidR="00CF7AB0" w:rsidRPr="00ED35E0" w:rsidRDefault="00CF7AB0" w:rsidP="00D628D9">
            <w:pPr>
              <w:tabs>
                <w:tab w:val="left" w:pos="360"/>
              </w:tabs>
              <w:jc w:val="center"/>
              <w:rPr>
                <w:rFonts w:ascii="Arial" w:hAnsi="Arial" w:cs="Arial"/>
                <w:bCs/>
                <w:sz w:val="20"/>
              </w:rPr>
            </w:pPr>
            <w:r w:rsidRPr="00ED35E0">
              <w:rPr>
                <w:rFonts w:ascii="Arial" w:hAnsi="Arial" w:cs="Arial"/>
                <w:b/>
                <w:bCs/>
                <w:sz w:val="20"/>
              </w:rPr>
              <w:t>21</w:t>
            </w:r>
            <w:r w:rsidR="00D628D9">
              <w:rPr>
                <w:rFonts w:ascii="Arial" w:hAnsi="Arial" w:cs="Arial"/>
                <w:b/>
                <w:bCs/>
                <w:sz w:val="20"/>
              </w:rPr>
              <w:t>.</w:t>
            </w:r>
            <w:r w:rsidRPr="00ED35E0">
              <w:rPr>
                <w:rFonts w:ascii="Arial" w:hAnsi="Arial" w:cs="Arial"/>
                <w:b/>
                <w:bCs/>
                <w:sz w:val="20"/>
              </w:rPr>
              <w:t>474</w:t>
            </w:r>
          </w:p>
        </w:tc>
      </w:tr>
      <w:tr w:rsidR="00CF7AB0" w:rsidRPr="00ED35E0">
        <w:trPr>
          <w:trHeight w:val="846"/>
          <w:jc w:val="center"/>
        </w:trPr>
        <w:tc>
          <w:tcPr>
            <w:tcW w:w="3227" w:type="dxa"/>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RESULTADO OPERATIVO ANTES DE ELEMENTOS NO RECURRENTES</w:t>
            </w:r>
          </w:p>
        </w:tc>
        <w:tc>
          <w:tcPr>
            <w:tcW w:w="2003" w:type="dxa"/>
          </w:tcPr>
          <w:p w:rsidR="00CF7AB0" w:rsidRPr="00ED35E0" w:rsidRDefault="00CF7AB0" w:rsidP="00CF7AB0">
            <w:pPr>
              <w:tabs>
                <w:tab w:val="left" w:pos="360"/>
              </w:tabs>
              <w:jc w:val="center"/>
              <w:rPr>
                <w:rFonts w:ascii="Arial" w:hAnsi="Arial" w:cs="Arial"/>
                <w:bCs/>
                <w:sz w:val="20"/>
              </w:rPr>
            </w:pPr>
          </w:p>
          <w:p w:rsidR="00CF7AB0" w:rsidRPr="00ED35E0" w:rsidRDefault="00CF7AB0" w:rsidP="00CF7AB0">
            <w:pPr>
              <w:tabs>
                <w:tab w:val="left" w:pos="360"/>
              </w:tabs>
              <w:jc w:val="center"/>
              <w:rPr>
                <w:rFonts w:ascii="Arial" w:hAnsi="Arial" w:cs="Arial"/>
                <w:b/>
                <w:bCs/>
                <w:sz w:val="20"/>
              </w:rPr>
            </w:pPr>
          </w:p>
          <w:p w:rsidR="00CF7AB0" w:rsidRPr="00ED35E0" w:rsidRDefault="00CF7AB0" w:rsidP="00D628D9">
            <w:pPr>
              <w:tabs>
                <w:tab w:val="left" w:pos="360"/>
              </w:tabs>
              <w:jc w:val="center"/>
              <w:rPr>
                <w:rFonts w:ascii="Arial" w:hAnsi="Arial" w:cs="Arial"/>
                <w:b/>
                <w:bCs/>
                <w:sz w:val="20"/>
              </w:rPr>
            </w:pPr>
            <w:r w:rsidRPr="00ED35E0">
              <w:rPr>
                <w:rFonts w:ascii="Arial" w:hAnsi="Arial" w:cs="Arial"/>
                <w:b/>
                <w:bCs/>
                <w:sz w:val="20"/>
              </w:rPr>
              <w:t>2</w:t>
            </w:r>
            <w:r w:rsidR="00D628D9">
              <w:rPr>
                <w:rFonts w:ascii="Arial" w:hAnsi="Arial" w:cs="Arial"/>
                <w:b/>
                <w:bCs/>
                <w:sz w:val="20"/>
              </w:rPr>
              <w:t>.</w:t>
            </w:r>
            <w:r w:rsidRPr="00ED35E0">
              <w:rPr>
                <w:rFonts w:ascii="Arial" w:hAnsi="Arial" w:cs="Arial"/>
                <w:b/>
                <w:bCs/>
                <w:sz w:val="20"/>
              </w:rPr>
              <w:t>234</w:t>
            </w:r>
          </w:p>
        </w:tc>
        <w:tc>
          <w:tcPr>
            <w:tcW w:w="2108" w:type="dxa"/>
          </w:tcPr>
          <w:p w:rsidR="00CF7AB0" w:rsidRPr="00ED35E0" w:rsidRDefault="00CF7AB0" w:rsidP="00CF7AB0">
            <w:pPr>
              <w:tabs>
                <w:tab w:val="left" w:pos="360"/>
              </w:tabs>
              <w:jc w:val="center"/>
              <w:rPr>
                <w:rFonts w:ascii="Arial" w:hAnsi="Arial" w:cs="Arial"/>
                <w:bCs/>
                <w:sz w:val="20"/>
              </w:rPr>
            </w:pPr>
          </w:p>
          <w:p w:rsidR="00CF7AB0" w:rsidRPr="00ED35E0" w:rsidRDefault="00CF7AB0" w:rsidP="00CF7AB0">
            <w:pPr>
              <w:tabs>
                <w:tab w:val="left" w:pos="360"/>
              </w:tabs>
              <w:jc w:val="center"/>
              <w:rPr>
                <w:rFonts w:ascii="Arial" w:hAnsi="Arial" w:cs="Arial"/>
                <w:b/>
                <w:bCs/>
                <w:sz w:val="20"/>
              </w:rPr>
            </w:pPr>
          </w:p>
          <w:p w:rsidR="00CF7AB0" w:rsidRPr="00ED35E0" w:rsidRDefault="00CF7AB0" w:rsidP="00D628D9">
            <w:pPr>
              <w:tabs>
                <w:tab w:val="left" w:pos="360"/>
              </w:tabs>
              <w:jc w:val="center"/>
              <w:rPr>
                <w:rFonts w:ascii="Arial" w:hAnsi="Arial" w:cs="Arial"/>
                <w:bCs/>
                <w:sz w:val="20"/>
              </w:rPr>
            </w:pPr>
            <w:r w:rsidRPr="00ED35E0">
              <w:rPr>
                <w:rFonts w:ascii="Arial" w:hAnsi="Arial" w:cs="Arial"/>
                <w:b/>
                <w:bCs/>
                <w:sz w:val="20"/>
              </w:rPr>
              <w:t>2</w:t>
            </w:r>
            <w:r w:rsidR="00D628D9">
              <w:rPr>
                <w:rFonts w:ascii="Arial" w:hAnsi="Arial" w:cs="Arial"/>
                <w:b/>
                <w:bCs/>
                <w:sz w:val="20"/>
              </w:rPr>
              <w:t>.</w:t>
            </w:r>
            <w:r w:rsidRPr="00ED35E0">
              <w:rPr>
                <w:rFonts w:ascii="Arial" w:hAnsi="Arial" w:cs="Arial"/>
                <w:b/>
                <w:bCs/>
                <w:sz w:val="20"/>
              </w:rPr>
              <w:t>423</w:t>
            </w:r>
          </w:p>
        </w:tc>
      </w:tr>
      <w:tr w:rsidR="00CF7AB0" w:rsidRPr="00ED35E0">
        <w:trPr>
          <w:jc w:val="center"/>
        </w:trPr>
        <w:tc>
          <w:tcPr>
            <w:tcW w:w="3227" w:type="dxa"/>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MARGEN OPERATIVO ANTES DE ELEMENTOS NO RECURRENTES</w:t>
            </w:r>
          </w:p>
        </w:tc>
        <w:tc>
          <w:tcPr>
            <w:tcW w:w="2003" w:type="dxa"/>
          </w:tcPr>
          <w:p w:rsidR="00CF7AB0" w:rsidRPr="00ED35E0" w:rsidRDefault="00CF7AB0" w:rsidP="00CF7AB0">
            <w:pPr>
              <w:tabs>
                <w:tab w:val="left" w:pos="360"/>
              </w:tabs>
              <w:jc w:val="center"/>
              <w:rPr>
                <w:rFonts w:ascii="Arial" w:hAnsi="Arial" w:cs="Arial"/>
                <w:b/>
                <w:bCs/>
                <w:sz w:val="20"/>
              </w:rPr>
            </w:pPr>
          </w:p>
          <w:p w:rsidR="00CF7AB0" w:rsidRPr="00ED35E0" w:rsidRDefault="00CF7AB0" w:rsidP="00CF7AB0">
            <w:pPr>
              <w:tabs>
                <w:tab w:val="left" w:pos="360"/>
              </w:tabs>
              <w:jc w:val="center"/>
              <w:rPr>
                <w:rFonts w:ascii="Arial" w:hAnsi="Arial" w:cs="Arial"/>
                <w:b/>
                <w:bCs/>
                <w:sz w:val="20"/>
              </w:rPr>
            </w:pPr>
          </w:p>
          <w:p w:rsidR="00CF7AB0" w:rsidRPr="00ED35E0" w:rsidRDefault="00D628D9" w:rsidP="00CF7AB0">
            <w:pPr>
              <w:tabs>
                <w:tab w:val="left" w:pos="360"/>
              </w:tabs>
              <w:jc w:val="center"/>
              <w:rPr>
                <w:rFonts w:ascii="Arial" w:hAnsi="Arial" w:cs="Arial"/>
                <w:b/>
                <w:bCs/>
                <w:sz w:val="20"/>
              </w:rPr>
            </w:pPr>
            <w:r>
              <w:rPr>
                <w:rFonts w:ascii="Arial" w:hAnsi="Arial" w:cs="Arial"/>
                <w:b/>
                <w:bCs/>
                <w:sz w:val="20"/>
              </w:rPr>
              <w:t>11,0</w:t>
            </w:r>
            <w:r w:rsidR="00F84034">
              <w:rPr>
                <w:rFonts w:ascii="Arial" w:hAnsi="Arial" w:cs="Arial"/>
                <w:b/>
                <w:bCs/>
                <w:sz w:val="20"/>
              </w:rPr>
              <w:t xml:space="preserve"> </w:t>
            </w:r>
            <w:r w:rsidR="00CF7AB0" w:rsidRPr="00ED35E0">
              <w:rPr>
                <w:rFonts w:ascii="Arial" w:hAnsi="Arial" w:cs="Arial"/>
                <w:b/>
                <w:bCs/>
                <w:sz w:val="20"/>
              </w:rPr>
              <w:t>%</w:t>
            </w:r>
          </w:p>
        </w:tc>
        <w:tc>
          <w:tcPr>
            <w:tcW w:w="2108" w:type="dxa"/>
          </w:tcPr>
          <w:p w:rsidR="00CF7AB0" w:rsidRPr="00ED35E0" w:rsidRDefault="00CF7AB0" w:rsidP="00CF7AB0">
            <w:pPr>
              <w:tabs>
                <w:tab w:val="left" w:pos="360"/>
              </w:tabs>
              <w:jc w:val="center"/>
              <w:rPr>
                <w:rFonts w:ascii="Arial" w:hAnsi="Arial" w:cs="Arial"/>
                <w:b/>
                <w:bCs/>
                <w:sz w:val="20"/>
              </w:rPr>
            </w:pPr>
          </w:p>
          <w:p w:rsidR="00CF7AB0" w:rsidRPr="00ED35E0" w:rsidRDefault="00CF7AB0" w:rsidP="00CF7AB0">
            <w:pPr>
              <w:tabs>
                <w:tab w:val="left" w:pos="360"/>
              </w:tabs>
              <w:jc w:val="center"/>
              <w:rPr>
                <w:rFonts w:ascii="Arial" w:hAnsi="Arial" w:cs="Arial"/>
                <w:b/>
                <w:bCs/>
                <w:sz w:val="20"/>
              </w:rPr>
            </w:pPr>
          </w:p>
          <w:p w:rsidR="00CF7AB0" w:rsidRPr="00ED35E0" w:rsidRDefault="00D628D9" w:rsidP="00CF7AB0">
            <w:pPr>
              <w:tabs>
                <w:tab w:val="left" w:pos="360"/>
              </w:tabs>
              <w:jc w:val="center"/>
              <w:rPr>
                <w:rFonts w:ascii="Arial" w:hAnsi="Arial" w:cs="Arial"/>
                <w:b/>
                <w:bCs/>
                <w:sz w:val="20"/>
              </w:rPr>
            </w:pPr>
            <w:r>
              <w:rPr>
                <w:rFonts w:ascii="Arial" w:hAnsi="Arial" w:cs="Arial"/>
                <w:b/>
                <w:bCs/>
                <w:sz w:val="20"/>
              </w:rPr>
              <w:t>11,3</w:t>
            </w:r>
            <w:r w:rsidR="00F84034">
              <w:rPr>
                <w:rFonts w:ascii="Arial" w:hAnsi="Arial" w:cs="Arial"/>
                <w:b/>
                <w:bCs/>
                <w:sz w:val="20"/>
              </w:rPr>
              <w:t xml:space="preserve"> </w:t>
            </w:r>
            <w:r w:rsidR="00CF7AB0" w:rsidRPr="00ED35E0">
              <w:rPr>
                <w:rFonts w:ascii="Arial" w:hAnsi="Arial" w:cs="Arial"/>
                <w:b/>
                <w:bCs/>
                <w:sz w:val="20"/>
              </w:rPr>
              <w:t>%</w:t>
            </w:r>
          </w:p>
        </w:tc>
      </w:tr>
      <w:tr w:rsidR="00CF7AB0" w:rsidRPr="00ED35E0">
        <w:trPr>
          <w:jc w:val="center"/>
        </w:trPr>
        <w:tc>
          <w:tcPr>
            <w:tcW w:w="3227" w:type="dxa"/>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 xml:space="preserve">TURISMO, CAMIONETA Y DISTRIBUCIÓN ASOCIADA </w:t>
            </w:r>
          </w:p>
        </w:tc>
        <w:tc>
          <w:tcPr>
            <w:tcW w:w="2003" w:type="dxa"/>
          </w:tcPr>
          <w:p w:rsidR="00CF7AB0" w:rsidRPr="00ED35E0" w:rsidRDefault="00CF7AB0" w:rsidP="00CF7AB0">
            <w:pPr>
              <w:tabs>
                <w:tab w:val="left" w:pos="360"/>
              </w:tabs>
              <w:jc w:val="center"/>
              <w:rPr>
                <w:rFonts w:ascii="Arial" w:hAnsi="Arial" w:cs="Arial"/>
                <w:b/>
                <w:bCs/>
                <w:sz w:val="20"/>
              </w:rPr>
            </w:pPr>
          </w:p>
          <w:p w:rsidR="00CF7AB0" w:rsidRPr="00ED35E0" w:rsidRDefault="00D628D9" w:rsidP="00CF7AB0">
            <w:pPr>
              <w:tabs>
                <w:tab w:val="left" w:pos="360"/>
              </w:tabs>
              <w:jc w:val="center"/>
              <w:rPr>
                <w:rFonts w:ascii="Arial" w:hAnsi="Arial" w:cs="Arial"/>
                <w:b/>
                <w:bCs/>
                <w:sz w:val="20"/>
              </w:rPr>
            </w:pPr>
            <w:r>
              <w:rPr>
                <w:rFonts w:ascii="Arial" w:hAnsi="Arial" w:cs="Arial"/>
                <w:b/>
                <w:bCs/>
                <w:sz w:val="20"/>
              </w:rPr>
              <w:t>10,2</w:t>
            </w:r>
            <w:r w:rsidR="00F84034">
              <w:rPr>
                <w:rFonts w:ascii="Arial" w:hAnsi="Arial" w:cs="Arial"/>
                <w:b/>
                <w:bCs/>
                <w:sz w:val="20"/>
              </w:rPr>
              <w:t xml:space="preserve"> </w:t>
            </w:r>
            <w:r w:rsidR="00CF7AB0" w:rsidRPr="00ED35E0">
              <w:rPr>
                <w:rFonts w:ascii="Arial" w:hAnsi="Arial" w:cs="Arial"/>
                <w:b/>
                <w:bCs/>
                <w:sz w:val="20"/>
              </w:rPr>
              <w:t>%</w:t>
            </w:r>
          </w:p>
        </w:tc>
        <w:tc>
          <w:tcPr>
            <w:tcW w:w="2108" w:type="dxa"/>
          </w:tcPr>
          <w:p w:rsidR="00CF7AB0" w:rsidRPr="00ED35E0" w:rsidRDefault="00CF7AB0" w:rsidP="00CF7AB0">
            <w:pPr>
              <w:tabs>
                <w:tab w:val="left" w:pos="360"/>
              </w:tabs>
              <w:jc w:val="center"/>
              <w:rPr>
                <w:rFonts w:ascii="Arial" w:hAnsi="Arial" w:cs="Arial"/>
                <w:b/>
                <w:bCs/>
                <w:sz w:val="20"/>
              </w:rPr>
            </w:pPr>
          </w:p>
          <w:p w:rsidR="00CF7AB0" w:rsidRPr="00ED35E0" w:rsidRDefault="00D628D9" w:rsidP="00CF7AB0">
            <w:pPr>
              <w:tabs>
                <w:tab w:val="left" w:pos="360"/>
              </w:tabs>
              <w:jc w:val="center"/>
              <w:rPr>
                <w:rFonts w:ascii="Arial" w:hAnsi="Arial" w:cs="Arial"/>
                <w:b/>
                <w:bCs/>
                <w:sz w:val="20"/>
              </w:rPr>
            </w:pPr>
            <w:r>
              <w:rPr>
                <w:rFonts w:ascii="Arial" w:hAnsi="Arial" w:cs="Arial"/>
                <w:b/>
                <w:bCs/>
                <w:sz w:val="20"/>
              </w:rPr>
              <w:t>9,3</w:t>
            </w:r>
            <w:r w:rsidR="00F84034">
              <w:rPr>
                <w:rFonts w:ascii="Arial" w:hAnsi="Arial" w:cs="Arial"/>
                <w:b/>
                <w:bCs/>
                <w:sz w:val="20"/>
              </w:rPr>
              <w:t xml:space="preserve"> </w:t>
            </w:r>
            <w:r w:rsidR="00CF7AB0" w:rsidRPr="00ED35E0">
              <w:rPr>
                <w:rFonts w:ascii="Arial" w:hAnsi="Arial" w:cs="Arial"/>
                <w:b/>
                <w:bCs/>
                <w:sz w:val="20"/>
              </w:rPr>
              <w:t>%</w:t>
            </w:r>
          </w:p>
        </w:tc>
      </w:tr>
      <w:tr w:rsidR="00CF7AB0" w:rsidRPr="00ED35E0">
        <w:trPr>
          <w:jc w:val="center"/>
        </w:trPr>
        <w:tc>
          <w:tcPr>
            <w:tcW w:w="3227" w:type="dxa"/>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 xml:space="preserve">CAMIÓN Y </w:t>
            </w:r>
            <w:r w:rsidRPr="00ED35E0">
              <w:rPr>
                <w:bCs/>
                <w:sz w:val="20"/>
                <w:lang w:val="es-ES_tradnl" w:bidi="es-ES_tradnl"/>
              </w:rPr>
              <w:br/>
              <w:t xml:space="preserve">DISTRIBUCIÓN ASOCIADA </w:t>
            </w:r>
          </w:p>
        </w:tc>
        <w:tc>
          <w:tcPr>
            <w:tcW w:w="2003" w:type="dxa"/>
          </w:tcPr>
          <w:p w:rsidR="00CF7AB0" w:rsidRPr="00ED35E0" w:rsidRDefault="00CF7AB0" w:rsidP="00CF7AB0">
            <w:pPr>
              <w:tabs>
                <w:tab w:val="left" w:pos="360"/>
              </w:tabs>
              <w:jc w:val="center"/>
              <w:rPr>
                <w:rFonts w:ascii="Arial" w:hAnsi="Arial" w:cs="Arial"/>
                <w:b/>
                <w:bCs/>
                <w:sz w:val="20"/>
              </w:rPr>
            </w:pPr>
          </w:p>
          <w:p w:rsidR="00CF7AB0" w:rsidRPr="00ED35E0" w:rsidRDefault="00D628D9" w:rsidP="00CF7AB0">
            <w:pPr>
              <w:tabs>
                <w:tab w:val="left" w:pos="360"/>
              </w:tabs>
              <w:jc w:val="center"/>
              <w:rPr>
                <w:rFonts w:ascii="Arial" w:hAnsi="Arial" w:cs="Arial"/>
                <w:b/>
                <w:bCs/>
                <w:sz w:val="20"/>
              </w:rPr>
            </w:pPr>
            <w:r>
              <w:rPr>
                <w:rFonts w:ascii="Arial" w:hAnsi="Arial" w:cs="Arial"/>
                <w:b/>
                <w:bCs/>
                <w:sz w:val="20"/>
              </w:rPr>
              <w:t>7,8</w:t>
            </w:r>
            <w:r w:rsidR="00F84034">
              <w:rPr>
                <w:rFonts w:ascii="Arial" w:hAnsi="Arial" w:cs="Arial"/>
                <w:b/>
                <w:bCs/>
                <w:sz w:val="20"/>
              </w:rPr>
              <w:t xml:space="preserve"> </w:t>
            </w:r>
            <w:r w:rsidR="00CF7AB0" w:rsidRPr="00ED35E0">
              <w:rPr>
                <w:rFonts w:ascii="Arial" w:hAnsi="Arial" w:cs="Arial"/>
                <w:b/>
                <w:bCs/>
                <w:sz w:val="20"/>
              </w:rPr>
              <w:t>%</w:t>
            </w:r>
          </w:p>
        </w:tc>
        <w:tc>
          <w:tcPr>
            <w:tcW w:w="2108" w:type="dxa"/>
          </w:tcPr>
          <w:p w:rsidR="00CF7AB0" w:rsidRPr="00ED35E0" w:rsidRDefault="00CF7AB0" w:rsidP="00CF7AB0">
            <w:pPr>
              <w:tabs>
                <w:tab w:val="left" w:pos="360"/>
              </w:tabs>
              <w:jc w:val="center"/>
              <w:rPr>
                <w:rFonts w:ascii="Arial" w:hAnsi="Arial" w:cs="Arial"/>
                <w:b/>
                <w:bCs/>
                <w:sz w:val="20"/>
              </w:rPr>
            </w:pPr>
          </w:p>
          <w:p w:rsidR="00CF7AB0" w:rsidRPr="00ED35E0" w:rsidRDefault="00D628D9" w:rsidP="00CF7AB0">
            <w:pPr>
              <w:tabs>
                <w:tab w:val="left" w:pos="360"/>
              </w:tabs>
              <w:jc w:val="center"/>
              <w:rPr>
                <w:rFonts w:ascii="Arial" w:hAnsi="Arial" w:cs="Arial"/>
                <w:b/>
                <w:bCs/>
                <w:sz w:val="20"/>
              </w:rPr>
            </w:pPr>
            <w:r>
              <w:rPr>
                <w:rFonts w:ascii="Arial" w:hAnsi="Arial" w:cs="Arial"/>
                <w:b/>
                <w:bCs/>
                <w:sz w:val="20"/>
              </w:rPr>
              <w:t>6,6</w:t>
            </w:r>
            <w:r w:rsidR="00F84034">
              <w:rPr>
                <w:rFonts w:ascii="Arial" w:hAnsi="Arial" w:cs="Arial"/>
                <w:b/>
                <w:bCs/>
                <w:sz w:val="20"/>
              </w:rPr>
              <w:t xml:space="preserve"> </w:t>
            </w:r>
            <w:r w:rsidR="00CF7AB0" w:rsidRPr="00ED35E0">
              <w:rPr>
                <w:rFonts w:ascii="Arial" w:hAnsi="Arial" w:cs="Arial"/>
                <w:b/>
                <w:bCs/>
                <w:sz w:val="20"/>
              </w:rPr>
              <w:t>%</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ACTIVIDADES DE ESPECIALIDADES</w:t>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D628D9" w:rsidP="00CF7AB0">
            <w:pPr>
              <w:tabs>
                <w:tab w:val="left" w:pos="360"/>
              </w:tabs>
              <w:jc w:val="center"/>
              <w:rPr>
                <w:rFonts w:ascii="Arial" w:hAnsi="Arial" w:cs="Arial"/>
                <w:b/>
                <w:bCs/>
                <w:sz w:val="20"/>
              </w:rPr>
            </w:pPr>
            <w:r>
              <w:rPr>
                <w:rFonts w:ascii="Arial" w:hAnsi="Arial" w:cs="Arial"/>
                <w:b/>
                <w:bCs/>
                <w:sz w:val="20"/>
              </w:rPr>
              <w:t>20,6</w:t>
            </w:r>
            <w:r w:rsidR="00F84034">
              <w:rPr>
                <w:rFonts w:ascii="Arial" w:hAnsi="Arial" w:cs="Arial"/>
                <w:b/>
                <w:bCs/>
                <w:sz w:val="20"/>
              </w:rPr>
              <w:t xml:space="preserve"> </w:t>
            </w:r>
            <w:r w:rsidR="00CF7AB0" w:rsidRPr="00ED35E0">
              <w:rPr>
                <w:rFonts w:ascii="Arial" w:hAnsi="Arial" w:cs="Arial"/>
                <w:b/>
                <w:bCs/>
                <w:sz w:val="20"/>
              </w:rPr>
              <w:t>%</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D628D9" w:rsidP="00D628D9">
            <w:pPr>
              <w:tabs>
                <w:tab w:val="left" w:pos="360"/>
              </w:tabs>
              <w:jc w:val="center"/>
              <w:rPr>
                <w:rFonts w:ascii="Arial" w:hAnsi="Arial" w:cs="Arial"/>
                <w:b/>
                <w:bCs/>
                <w:sz w:val="20"/>
              </w:rPr>
            </w:pPr>
            <w:r>
              <w:rPr>
                <w:rFonts w:ascii="Arial" w:hAnsi="Arial" w:cs="Arial"/>
                <w:b/>
                <w:bCs/>
                <w:sz w:val="20"/>
              </w:rPr>
              <w:t>26</w:t>
            </w:r>
            <w:r w:rsidR="00F84034">
              <w:rPr>
                <w:rFonts w:ascii="Arial" w:hAnsi="Arial" w:cs="Arial"/>
                <w:b/>
                <w:bCs/>
                <w:sz w:val="20"/>
              </w:rPr>
              <w:t xml:space="preserve"> </w:t>
            </w:r>
            <w:r w:rsidR="00CF7AB0" w:rsidRPr="00ED35E0">
              <w:rPr>
                <w:rFonts w:ascii="Arial" w:hAnsi="Arial" w:cs="Arial"/>
                <w:b/>
                <w:bCs/>
                <w:sz w:val="20"/>
              </w:rPr>
              <w:t>%</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RESULTADO OPERATIVO TRAS ELEMENTOS NO RECURRENTES</w:t>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CF7AB0" w:rsidP="00D628D9">
            <w:pPr>
              <w:tabs>
                <w:tab w:val="left" w:pos="360"/>
              </w:tabs>
              <w:jc w:val="center"/>
              <w:rPr>
                <w:rFonts w:ascii="Arial" w:hAnsi="Arial" w:cs="Arial"/>
                <w:b/>
                <w:bCs/>
                <w:sz w:val="20"/>
              </w:rPr>
            </w:pPr>
            <w:r w:rsidRPr="00ED35E0">
              <w:rPr>
                <w:rFonts w:ascii="Arial" w:hAnsi="Arial" w:cs="Arial"/>
                <w:b/>
                <w:bCs/>
                <w:sz w:val="20"/>
              </w:rPr>
              <w:t>1</w:t>
            </w:r>
            <w:r w:rsidR="00D628D9">
              <w:rPr>
                <w:rFonts w:ascii="Arial" w:hAnsi="Arial" w:cs="Arial"/>
                <w:b/>
                <w:bCs/>
                <w:sz w:val="20"/>
              </w:rPr>
              <w:t>.</w:t>
            </w:r>
            <w:r w:rsidRPr="00ED35E0">
              <w:rPr>
                <w:rFonts w:ascii="Arial" w:hAnsi="Arial" w:cs="Arial"/>
                <w:b/>
                <w:bCs/>
                <w:sz w:val="20"/>
              </w:rPr>
              <w:t>974</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CF7AB0" w:rsidP="00D628D9">
            <w:pPr>
              <w:tabs>
                <w:tab w:val="left" w:pos="360"/>
              </w:tabs>
              <w:jc w:val="center"/>
              <w:rPr>
                <w:rFonts w:ascii="Arial" w:hAnsi="Arial" w:cs="Arial"/>
                <w:b/>
                <w:bCs/>
                <w:sz w:val="20"/>
              </w:rPr>
            </w:pPr>
            <w:r w:rsidRPr="00ED35E0">
              <w:rPr>
                <w:rFonts w:ascii="Arial" w:hAnsi="Arial" w:cs="Arial"/>
                <w:b/>
                <w:bCs/>
                <w:sz w:val="20"/>
              </w:rPr>
              <w:t>2</w:t>
            </w:r>
            <w:r w:rsidR="00D628D9">
              <w:rPr>
                <w:rFonts w:ascii="Arial" w:hAnsi="Arial" w:cs="Arial"/>
                <w:b/>
                <w:bCs/>
                <w:sz w:val="20"/>
              </w:rPr>
              <w:t>.</w:t>
            </w:r>
            <w:r w:rsidRPr="00ED35E0">
              <w:rPr>
                <w:rFonts w:ascii="Arial" w:hAnsi="Arial" w:cs="Arial"/>
                <w:b/>
                <w:bCs/>
                <w:sz w:val="20"/>
              </w:rPr>
              <w:t>469</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 xml:space="preserve">RESULTADO NETO </w:t>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CF7AB0" w:rsidP="00073B67">
            <w:pPr>
              <w:tabs>
                <w:tab w:val="left" w:pos="360"/>
              </w:tabs>
              <w:jc w:val="center"/>
              <w:rPr>
                <w:rFonts w:ascii="Arial" w:hAnsi="Arial" w:cs="Arial"/>
                <w:b/>
                <w:bCs/>
                <w:sz w:val="20"/>
              </w:rPr>
            </w:pPr>
            <w:r w:rsidRPr="00ED35E0">
              <w:rPr>
                <w:rFonts w:ascii="Arial" w:hAnsi="Arial" w:cs="Arial"/>
                <w:b/>
                <w:bCs/>
                <w:sz w:val="20"/>
              </w:rPr>
              <w:t>1</w:t>
            </w:r>
            <w:r w:rsidR="00073B67">
              <w:rPr>
                <w:rFonts w:ascii="Arial" w:hAnsi="Arial" w:cs="Arial"/>
                <w:b/>
                <w:bCs/>
                <w:sz w:val="20"/>
              </w:rPr>
              <w:t>.</w:t>
            </w:r>
            <w:r w:rsidRPr="00ED35E0">
              <w:rPr>
                <w:rFonts w:ascii="Arial" w:hAnsi="Arial" w:cs="Arial"/>
                <w:b/>
                <w:bCs/>
                <w:sz w:val="20"/>
              </w:rPr>
              <w:t>127</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CF7AB0" w:rsidP="00073B67">
            <w:pPr>
              <w:tabs>
                <w:tab w:val="left" w:pos="360"/>
              </w:tabs>
              <w:jc w:val="center"/>
              <w:rPr>
                <w:rFonts w:ascii="Arial" w:hAnsi="Arial" w:cs="Arial"/>
                <w:b/>
                <w:bCs/>
                <w:sz w:val="20"/>
              </w:rPr>
            </w:pPr>
            <w:r w:rsidRPr="00ED35E0">
              <w:rPr>
                <w:rFonts w:ascii="Arial" w:hAnsi="Arial" w:cs="Arial"/>
                <w:b/>
                <w:bCs/>
                <w:sz w:val="20"/>
              </w:rPr>
              <w:t>1</w:t>
            </w:r>
            <w:r w:rsidR="00073B67">
              <w:rPr>
                <w:rFonts w:ascii="Arial" w:hAnsi="Arial" w:cs="Arial"/>
                <w:b/>
                <w:bCs/>
                <w:sz w:val="20"/>
              </w:rPr>
              <w:t>.</w:t>
            </w:r>
            <w:r w:rsidRPr="00ED35E0">
              <w:rPr>
                <w:rFonts w:ascii="Arial" w:hAnsi="Arial" w:cs="Arial"/>
                <w:b/>
                <w:bCs/>
                <w:sz w:val="20"/>
              </w:rPr>
              <w:t>571</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INVERSIONES</w:t>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CF7AB0" w:rsidP="00073B67">
            <w:pPr>
              <w:tabs>
                <w:tab w:val="left" w:pos="360"/>
              </w:tabs>
              <w:jc w:val="center"/>
              <w:rPr>
                <w:rFonts w:ascii="Arial" w:hAnsi="Arial" w:cs="Arial"/>
                <w:b/>
                <w:bCs/>
                <w:sz w:val="20"/>
                <w:highlight w:val="yellow"/>
              </w:rPr>
            </w:pPr>
            <w:r w:rsidRPr="00ED35E0">
              <w:rPr>
                <w:rFonts w:ascii="Arial" w:hAnsi="Arial" w:cs="Arial"/>
                <w:b/>
                <w:bCs/>
                <w:sz w:val="20"/>
              </w:rPr>
              <w:t>1</w:t>
            </w:r>
            <w:r w:rsidR="00073B67">
              <w:rPr>
                <w:rFonts w:ascii="Arial" w:hAnsi="Arial" w:cs="Arial"/>
                <w:b/>
                <w:bCs/>
                <w:sz w:val="20"/>
              </w:rPr>
              <w:t>.</w:t>
            </w:r>
            <w:r w:rsidRPr="00ED35E0">
              <w:rPr>
                <w:rFonts w:ascii="Arial" w:hAnsi="Arial" w:cs="Arial"/>
                <w:b/>
                <w:bCs/>
                <w:sz w:val="20"/>
              </w:rPr>
              <w:t>980</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CF7AB0" w:rsidP="00073B67">
            <w:pPr>
              <w:tabs>
                <w:tab w:val="left" w:pos="360"/>
              </w:tabs>
              <w:jc w:val="center"/>
              <w:rPr>
                <w:rFonts w:ascii="Arial" w:hAnsi="Arial" w:cs="Arial"/>
                <w:b/>
                <w:bCs/>
                <w:sz w:val="20"/>
              </w:rPr>
            </w:pPr>
            <w:r w:rsidRPr="00ED35E0">
              <w:rPr>
                <w:rFonts w:ascii="Arial" w:hAnsi="Arial" w:cs="Arial"/>
                <w:b/>
                <w:bCs/>
                <w:sz w:val="20"/>
              </w:rPr>
              <w:t>1</w:t>
            </w:r>
            <w:r w:rsidR="00073B67">
              <w:rPr>
                <w:rFonts w:ascii="Arial" w:hAnsi="Arial" w:cs="Arial"/>
                <w:b/>
                <w:bCs/>
                <w:sz w:val="20"/>
              </w:rPr>
              <w:t>.</w:t>
            </w:r>
            <w:r w:rsidRPr="00ED35E0">
              <w:rPr>
                <w:rFonts w:ascii="Arial" w:hAnsi="Arial" w:cs="Arial"/>
                <w:b/>
                <w:bCs/>
                <w:sz w:val="20"/>
              </w:rPr>
              <w:t>996</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ENDEUDAMIENTO NETO</w:t>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CF7AB0" w:rsidP="00CF7AB0">
            <w:pPr>
              <w:tabs>
                <w:tab w:val="left" w:pos="360"/>
              </w:tabs>
              <w:jc w:val="center"/>
              <w:rPr>
                <w:rFonts w:ascii="Arial" w:hAnsi="Arial" w:cs="Arial"/>
                <w:b/>
                <w:bCs/>
                <w:sz w:val="20"/>
                <w:highlight w:val="yellow"/>
              </w:rPr>
            </w:pPr>
            <w:r w:rsidRPr="00ED35E0">
              <w:rPr>
                <w:rFonts w:ascii="Arial" w:hAnsi="Arial" w:cs="Arial"/>
                <w:b/>
                <w:bCs/>
                <w:sz w:val="20"/>
              </w:rPr>
              <w:t>142</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CF7AB0" w:rsidP="00073B67">
            <w:pPr>
              <w:tabs>
                <w:tab w:val="left" w:pos="360"/>
              </w:tabs>
              <w:jc w:val="center"/>
              <w:rPr>
                <w:rFonts w:ascii="Arial" w:hAnsi="Arial" w:cs="Arial"/>
                <w:b/>
                <w:bCs/>
                <w:sz w:val="20"/>
              </w:rPr>
            </w:pPr>
            <w:r w:rsidRPr="00ED35E0">
              <w:rPr>
                <w:rFonts w:ascii="Arial" w:hAnsi="Arial" w:cs="Arial"/>
                <w:b/>
                <w:bCs/>
                <w:sz w:val="20"/>
              </w:rPr>
              <w:t>1</w:t>
            </w:r>
            <w:r w:rsidR="00073B67">
              <w:rPr>
                <w:rFonts w:ascii="Arial" w:hAnsi="Arial" w:cs="Arial"/>
                <w:b/>
                <w:bCs/>
                <w:sz w:val="20"/>
              </w:rPr>
              <w:t>.</w:t>
            </w:r>
            <w:r w:rsidRPr="00ED35E0">
              <w:rPr>
                <w:rFonts w:ascii="Arial" w:hAnsi="Arial" w:cs="Arial"/>
                <w:b/>
                <w:bCs/>
                <w:sz w:val="20"/>
              </w:rPr>
              <w:t>053</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 xml:space="preserve">PORCENTAJE DE ENDEUDAMIENTO NETO </w:t>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073B67" w:rsidP="00CF7AB0">
            <w:pPr>
              <w:tabs>
                <w:tab w:val="left" w:pos="360"/>
              </w:tabs>
              <w:jc w:val="center"/>
              <w:rPr>
                <w:rFonts w:ascii="Arial" w:hAnsi="Arial" w:cs="Arial"/>
                <w:b/>
                <w:bCs/>
                <w:sz w:val="20"/>
                <w:highlight w:val="yellow"/>
              </w:rPr>
            </w:pPr>
            <w:r>
              <w:rPr>
                <w:rFonts w:ascii="Arial" w:hAnsi="Arial" w:cs="Arial"/>
                <w:b/>
                <w:bCs/>
                <w:sz w:val="20"/>
              </w:rPr>
              <w:t>2</w:t>
            </w:r>
            <w:r w:rsidR="00F84034">
              <w:rPr>
                <w:rFonts w:ascii="Arial" w:hAnsi="Arial" w:cs="Arial"/>
                <w:b/>
                <w:bCs/>
                <w:sz w:val="20"/>
              </w:rPr>
              <w:t xml:space="preserve"> </w:t>
            </w:r>
            <w:r w:rsidR="00CF7AB0" w:rsidRPr="00ED35E0">
              <w:rPr>
                <w:rFonts w:ascii="Arial" w:hAnsi="Arial" w:cs="Arial"/>
                <w:b/>
                <w:bCs/>
                <w:sz w:val="20"/>
              </w:rPr>
              <w:t>%</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073B67" w:rsidP="00CF7AB0">
            <w:pPr>
              <w:tabs>
                <w:tab w:val="left" w:pos="360"/>
              </w:tabs>
              <w:jc w:val="center"/>
              <w:rPr>
                <w:rFonts w:ascii="Arial" w:hAnsi="Arial" w:cs="Arial"/>
                <w:b/>
                <w:bCs/>
                <w:sz w:val="20"/>
              </w:rPr>
            </w:pPr>
            <w:r>
              <w:rPr>
                <w:rFonts w:ascii="Arial" w:hAnsi="Arial" w:cs="Arial"/>
                <w:b/>
                <w:bCs/>
                <w:sz w:val="20"/>
              </w:rPr>
              <w:t>12</w:t>
            </w:r>
            <w:r w:rsidR="00F84034">
              <w:rPr>
                <w:rFonts w:ascii="Arial" w:hAnsi="Arial" w:cs="Arial"/>
                <w:b/>
                <w:bCs/>
                <w:sz w:val="20"/>
              </w:rPr>
              <w:t xml:space="preserve"> </w:t>
            </w:r>
            <w:r w:rsidR="00CF7AB0" w:rsidRPr="00ED35E0">
              <w:rPr>
                <w:rFonts w:ascii="Arial" w:hAnsi="Arial" w:cs="Arial"/>
                <w:b/>
                <w:bCs/>
                <w:sz w:val="20"/>
              </w:rPr>
              <w:t>%</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CASH FLOW LIBRE</w:t>
            </w:r>
            <w:r w:rsidRPr="00ED35E0">
              <w:rPr>
                <w:rStyle w:val="FootnoteReference"/>
                <w:bCs/>
                <w:sz w:val="20"/>
                <w:lang w:val="es-ES_tradnl" w:bidi="es-ES_tradnl"/>
              </w:rPr>
              <w:footnoteReference w:id="2"/>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CF7AB0" w:rsidP="00073B67">
            <w:pPr>
              <w:tabs>
                <w:tab w:val="left" w:pos="360"/>
              </w:tabs>
              <w:jc w:val="center"/>
              <w:rPr>
                <w:rFonts w:ascii="Arial" w:hAnsi="Arial" w:cs="Arial"/>
                <w:b/>
                <w:bCs/>
                <w:sz w:val="20"/>
              </w:rPr>
            </w:pPr>
            <w:r w:rsidRPr="00ED35E0">
              <w:rPr>
                <w:rFonts w:ascii="Arial" w:hAnsi="Arial" w:cs="Arial"/>
                <w:b/>
                <w:bCs/>
                <w:sz w:val="20"/>
              </w:rPr>
              <w:t>3</w:t>
            </w:r>
            <w:r w:rsidR="00073B67">
              <w:rPr>
                <w:rFonts w:ascii="Arial" w:hAnsi="Arial" w:cs="Arial"/>
                <w:b/>
                <w:bCs/>
                <w:sz w:val="20"/>
              </w:rPr>
              <w:t>.</w:t>
            </w:r>
            <w:r w:rsidRPr="00ED35E0">
              <w:rPr>
                <w:rFonts w:ascii="Arial" w:hAnsi="Arial" w:cs="Arial"/>
                <w:b/>
                <w:bCs/>
                <w:sz w:val="20"/>
              </w:rPr>
              <w:t>895</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rPr>
            </w:pPr>
          </w:p>
          <w:p w:rsidR="00CF7AB0" w:rsidRPr="00ED35E0" w:rsidRDefault="00CF7AB0" w:rsidP="00073B67">
            <w:pPr>
              <w:tabs>
                <w:tab w:val="left" w:pos="360"/>
              </w:tabs>
              <w:jc w:val="center"/>
              <w:rPr>
                <w:rFonts w:ascii="Arial" w:hAnsi="Arial" w:cs="Arial"/>
                <w:b/>
                <w:bCs/>
                <w:sz w:val="20"/>
              </w:rPr>
            </w:pPr>
            <w:r w:rsidRPr="00ED35E0">
              <w:rPr>
                <w:rFonts w:ascii="Arial" w:hAnsi="Arial" w:cs="Arial"/>
                <w:b/>
                <w:bCs/>
                <w:sz w:val="20"/>
              </w:rPr>
              <w:t>4</w:t>
            </w:r>
            <w:r w:rsidR="00073B67">
              <w:rPr>
                <w:rFonts w:ascii="Arial" w:hAnsi="Arial" w:cs="Arial"/>
                <w:b/>
                <w:bCs/>
                <w:sz w:val="20"/>
              </w:rPr>
              <w:t>.</w:t>
            </w:r>
            <w:r w:rsidRPr="00ED35E0">
              <w:rPr>
                <w:rFonts w:ascii="Arial" w:hAnsi="Arial" w:cs="Arial"/>
                <w:b/>
                <w:bCs/>
                <w:sz w:val="20"/>
              </w:rPr>
              <w:t>679</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ROCE</w:t>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CF7AB0" w:rsidP="00073B67">
            <w:pPr>
              <w:tabs>
                <w:tab w:val="left" w:pos="360"/>
              </w:tabs>
              <w:jc w:val="center"/>
              <w:rPr>
                <w:rFonts w:ascii="Arial" w:hAnsi="Arial" w:cs="Arial"/>
                <w:b/>
                <w:bCs/>
                <w:sz w:val="20"/>
                <w:highlight w:val="yellow"/>
              </w:rPr>
            </w:pPr>
            <w:r w:rsidRPr="00ED35E0">
              <w:rPr>
                <w:rFonts w:ascii="Arial" w:hAnsi="Arial" w:cs="Arial"/>
                <w:b/>
                <w:bCs/>
                <w:sz w:val="20"/>
              </w:rPr>
              <w:t>1</w:t>
            </w:r>
            <w:r w:rsidR="00073B67">
              <w:rPr>
                <w:rFonts w:ascii="Arial" w:hAnsi="Arial" w:cs="Arial"/>
                <w:b/>
                <w:bCs/>
                <w:sz w:val="20"/>
              </w:rPr>
              <w:t>.</w:t>
            </w:r>
            <w:r w:rsidRPr="00ED35E0">
              <w:rPr>
                <w:rFonts w:ascii="Arial" w:hAnsi="Arial" w:cs="Arial"/>
                <w:b/>
                <w:bCs/>
                <w:sz w:val="20"/>
              </w:rPr>
              <w:t>154</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CF7AB0" w:rsidP="00073B67">
            <w:pPr>
              <w:tabs>
                <w:tab w:val="left" w:pos="360"/>
              </w:tabs>
              <w:jc w:val="center"/>
              <w:rPr>
                <w:rFonts w:ascii="Arial" w:hAnsi="Arial" w:cs="Arial"/>
                <w:b/>
                <w:bCs/>
                <w:sz w:val="20"/>
              </w:rPr>
            </w:pPr>
            <w:r w:rsidRPr="00ED35E0">
              <w:rPr>
                <w:rFonts w:ascii="Arial" w:hAnsi="Arial" w:cs="Arial"/>
                <w:b/>
                <w:bCs/>
                <w:sz w:val="20"/>
              </w:rPr>
              <w:t>1</w:t>
            </w:r>
            <w:r w:rsidR="00073B67">
              <w:rPr>
                <w:rFonts w:ascii="Arial" w:hAnsi="Arial" w:cs="Arial"/>
                <w:b/>
                <w:bCs/>
                <w:sz w:val="20"/>
              </w:rPr>
              <w:t>.</w:t>
            </w:r>
            <w:r w:rsidRPr="00ED35E0">
              <w:rPr>
                <w:rFonts w:ascii="Arial" w:hAnsi="Arial" w:cs="Arial"/>
                <w:b/>
                <w:bCs/>
                <w:sz w:val="20"/>
              </w:rPr>
              <w:t>075</w:t>
            </w:r>
          </w:p>
        </w:tc>
      </w:tr>
      <w:tr w:rsidR="00CF7AB0" w:rsidRPr="00ED35E0">
        <w:trPr>
          <w:jc w:val="center"/>
        </w:trPr>
        <w:tc>
          <w:tcPr>
            <w:tcW w:w="3227" w:type="dxa"/>
            <w:tcBorders>
              <w:top w:val="single" w:sz="4" w:space="0" w:color="auto"/>
              <w:left w:val="single" w:sz="4" w:space="0" w:color="auto"/>
              <w:bottom w:val="single" w:sz="4" w:space="0" w:color="auto"/>
              <w:right w:val="single" w:sz="4" w:space="0" w:color="auto"/>
            </w:tcBorders>
          </w:tcPr>
          <w:p w:rsidR="00CF7AB0" w:rsidRPr="00ED35E0" w:rsidRDefault="00CF7AB0" w:rsidP="00DD1666">
            <w:pPr>
              <w:pStyle w:val="TextoMichelin"/>
              <w:jc w:val="left"/>
              <w:rPr>
                <w:bCs/>
                <w:sz w:val="20"/>
                <w:lang w:val="es-ES_tradnl" w:bidi="es-ES_tradnl"/>
              </w:rPr>
            </w:pPr>
            <w:r w:rsidRPr="00ED35E0">
              <w:rPr>
                <w:bCs/>
                <w:sz w:val="20"/>
                <w:lang w:val="es-ES_tradnl" w:bidi="es-ES_tradnl"/>
              </w:rPr>
              <w:t>EMPLEADOS</w:t>
            </w:r>
            <w:r w:rsidRPr="00ED35E0">
              <w:rPr>
                <w:rStyle w:val="FootnoteReference"/>
                <w:bCs/>
                <w:sz w:val="20"/>
                <w:lang w:val="es-ES_tradnl" w:bidi="es-ES_tradnl"/>
              </w:rPr>
              <w:footnoteReference w:id="3"/>
            </w:r>
          </w:p>
        </w:tc>
        <w:tc>
          <w:tcPr>
            <w:tcW w:w="2003"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073B67" w:rsidP="00CF7AB0">
            <w:pPr>
              <w:tabs>
                <w:tab w:val="left" w:pos="360"/>
              </w:tabs>
              <w:jc w:val="center"/>
              <w:rPr>
                <w:rFonts w:ascii="Arial" w:hAnsi="Arial" w:cs="Arial"/>
                <w:b/>
                <w:bCs/>
                <w:sz w:val="20"/>
                <w:highlight w:val="yellow"/>
              </w:rPr>
            </w:pPr>
            <w:r>
              <w:rPr>
                <w:rFonts w:ascii="Arial" w:hAnsi="Arial" w:cs="Arial"/>
                <w:b/>
                <w:bCs/>
                <w:sz w:val="20"/>
              </w:rPr>
              <w:t>11,9</w:t>
            </w:r>
            <w:r w:rsidR="00F84034">
              <w:rPr>
                <w:rFonts w:ascii="Arial" w:hAnsi="Arial" w:cs="Arial"/>
                <w:b/>
                <w:bCs/>
                <w:sz w:val="20"/>
              </w:rPr>
              <w:t xml:space="preserve"> </w:t>
            </w:r>
            <w:r w:rsidR="00CF7AB0" w:rsidRPr="00ED35E0">
              <w:rPr>
                <w:rFonts w:ascii="Arial" w:hAnsi="Arial" w:cs="Arial"/>
                <w:b/>
                <w:bCs/>
                <w:sz w:val="20"/>
              </w:rPr>
              <w:t>%</w:t>
            </w:r>
          </w:p>
        </w:tc>
        <w:tc>
          <w:tcPr>
            <w:tcW w:w="2108" w:type="dxa"/>
            <w:tcBorders>
              <w:top w:val="single" w:sz="4" w:space="0" w:color="auto"/>
              <w:left w:val="single" w:sz="4" w:space="0" w:color="auto"/>
              <w:bottom w:val="single" w:sz="4" w:space="0" w:color="auto"/>
              <w:right w:val="single" w:sz="4" w:space="0" w:color="auto"/>
            </w:tcBorders>
          </w:tcPr>
          <w:p w:rsidR="00CF7AB0" w:rsidRPr="00ED35E0" w:rsidRDefault="00CF7AB0" w:rsidP="00CF7AB0">
            <w:pPr>
              <w:tabs>
                <w:tab w:val="left" w:pos="360"/>
              </w:tabs>
              <w:jc w:val="center"/>
              <w:rPr>
                <w:rFonts w:ascii="Arial" w:hAnsi="Arial" w:cs="Arial"/>
                <w:b/>
                <w:bCs/>
                <w:sz w:val="20"/>
                <w:highlight w:val="yellow"/>
              </w:rPr>
            </w:pPr>
          </w:p>
          <w:p w:rsidR="00CF7AB0" w:rsidRPr="00ED35E0" w:rsidRDefault="00073B67" w:rsidP="00CF7AB0">
            <w:pPr>
              <w:tabs>
                <w:tab w:val="left" w:pos="360"/>
              </w:tabs>
              <w:jc w:val="center"/>
              <w:rPr>
                <w:rFonts w:ascii="Arial" w:hAnsi="Arial" w:cs="Arial"/>
                <w:b/>
                <w:bCs/>
                <w:sz w:val="20"/>
              </w:rPr>
            </w:pPr>
            <w:r>
              <w:rPr>
                <w:rFonts w:ascii="Arial" w:hAnsi="Arial" w:cs="Arial"/>
                <w:b/>
                <w:bCs/>
                <w:sz w:val="20"/>
              </w:rPr>
              <w:t>12,8</w:t>
            </w:r>
            <w:r w:rsidR="00F84034">
              <w:rPr>
                <w:rFonts w:ascii="Arial" w:hAnsi="Arial" w:cs="Arial"/>
                <w:b/>
                <w:bCs/>
                <w:sz w:val="20"/>
              </w:rPr>
              <w:t xml:space="preserve"> </w:t>
            </w:r>
            <w:r w:rsidR="00CF7AB0" w:rsidRPr="00ED35E0">
              <w:rPr>
                <w:rFonts w:ascii="Arial" w:hAnsi="Arial" w:cs="Arial"/>
                <w:b/>
                <w:bCs/>
                <w:sz w:val="20"/>
              </w:rPr>
              <w:t>%</w:t>
            </w:r>
          </w:p>
        </w:tc>
      </w:tr>
    </w:tbl>
    <w:p w:rsidR="00DD1666" w:rsidRPr="00ED35E0" w:rsidRDefault="00DD1666" w:rsidP="007B0358">
      <w:pPr>
        <w:tabs>
          <w:tab w:val="left" w:pos="360"/>
        </w:tabs>
        <w:jc w:val="both"/>
        <w:rPr>
          <w:rFonts w:ascii="Arial" w:eastAsia="Times New Roman" w:hAnsi="Arial" w:cs="Arial"/>
          <w:sz w:val="16"/>
          <w:szCs w:val="16"/>
          <w:vertAlign w:val="superscript"/>
        </w:rPr>
      </w:pPr>
    </w:p>
    <w:p w:rsidR="00BF4FFF" w:rsidRPr="00ED35E0" w:rsidRDefault="00BF4FFF" w:rsidP="00BF4FFF">
      <w:pPr>
        <w:tabs>
          <w:tab w:val="left" w:pos="360"/>
        </w:tabs>
        <w:jc w:val="both"/>
        <w:rPr>
          <w:rFonts w:ascii="Verdana" w:eastAsia="Times New Roman" w:hAnsi="Verdana" w:cs="Arial"/>
          <w:b/>
          <w:bCs/>
          <w:highlight w:val="red"/>
        </w:rPr>
      </w:pPr>
    </w:p>
    <w:p w:rsidR="00BF4FFF" w:rsidRPr="00ED35E0" w:rsidRDefault="00BF4FFF" w:rsidP="00BF4FFF">
      <w:pPr>
        <w:tabs>
          <w:tab w:val="left" w:pos="360"/>
        </w:tabs>
        <w:jc w:val="both"/>
        <w:rPr>
          <w:rFonts w:ascii="Verdana" w:eastAsia="Times New Roman" w:hAnsi="Verdana" w:cs="Arial"/>
          <w:b/>
          <w:bCs/>
          <w:highlight w:val="red"/>
        </w:rPr>
      </w:pPr>
    </w:p>
    <w:p w:rsidR="00BF4FFF" w:rsidRPr="00ED35E0" w:rsidRDefault="007B0358" w:rsidP="00BF4FFF">
      <w:pPr>
        <w:spacing w:after="240" w:line="360" w:lineRule="exact"/>
        <w:rPr>
          <w:b/>
          <w:snapToGrid w:val="0"/>
          <w:color w:val="333399"/>
          <w:sz w:val="40"/>
          <w:szCs w:val="26"/>
        </w:rPr>
      </w:pPr>
      <w:r w:rsidRPr="00ED35E0">
        <w:rPr>
          <w:b/>
          <w:snapToGrid w:val="0"/>
          <w:color w:val="333399"/>
          <w:sz w:val="40"/>
          <w:szCs w:val="26"/>
        </w:rPr>
        <w:br w:type="column"/>
      </w:r>
      <w:r w:rsidR="00BF4FFF" w:rsidRPr="00ED35E0">
        <w:rPr>
          <w:b/>
          <w:snapToGrid w:val="0"/>
          <w:color w:val="333399"/>
          <w:sz w:val="40"/>
          <w:szCs w:val="26"/>
        </w:rPr>
        <w:t xml:space="preserve">Evolución del mercado de neumáticos </w:t>
      </w:r>
    </w:p>
    <w:p w:rsidR="00BF4FFF" w:rsidRPr="00ED35E0" w:rsidRDefault="00BF4FFF" w:rsidP="00BF4FFF">
      <w:pPr>
        <w:spacing w:before="480" w:after="120" w:line="270" w:lineRule="atLeast"/>
        <w:rPr>
          <w:b/>
          <w:sz w:val="26"/>
        </w:rPr>
      </w:pPr>
      <w:r w:rsidRPr="00ED35E0">
        <w:rPr>
          <w:b/>
          <w:sz w:val="26"/>
        </w:rPr>
        <w:t>Turismo y camioneta</w:t>
      </w:r>
    </w:p>
    <w:p w:rsidR="00BF4FFF" w:rsidRPr="00ED35E0" w:rsidRDefault="00BF4FFF" w:rsidP="00BF4FFF">
      <w:pPr>
        <w:ind w:left="284"/>
        <w:jc w:val="both"/>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1275"/>
        <w:gridCol w:w="1276"/>
        <w:gridCol w:w="1276"/>
        <w:gridCol w:w="1417"/>
        <w:gridCol w:w="993"/>
      </w:tblGrid>
      <w:tr w:rsidR="00BF4FFF" w:rsidRPr="00ED35E0">
        <w:trPr>
          <w:trHeight w:val="890"/>
        </w:trPr>
        <w:tc>
          <w:tcPr>
            <w:tcW w:w="2376" w:type="dxa"/>
            <w:shd w:val="clear" w:color="auto" w:fill="E6E6E6"/>
          </w:tcPr>
          <w:p w:rsidR="00BF4FFF" w:rsidRPr="00ED35E0" w:rsidRDefault="00BF4FFF" w:rsidP="002435F5">
            <w:pPr>
              <w:pStyle w:val="LadilloMichelinDossier"/>
              <w:spacing w:before="0" w:after="0"/>
              <w:rPr>
                <w:b w:val="0"/>
                <w:bCs/>
                <w:sz w:val="20"/>
                <w:lang w:val="es-ES_tradnl" w:bidi="es-ES_tradnl"/>
              </w:rPr>
            </w:pPr>
            <w:r w:rsidRPr="00ED35E0">
              <w:rPr>
                <w:rFonts w:ascii="Arial" w:hAnsi="Arial"/>
                <w:b w:val="0"/>
                <w:bCs/>
                <w:sz w:val="20"/>
                <w:lang w:val="es-ES_tradnl" w:bidi="es-ES_tradnl"/>
              </w:rPr>
              <w:t>201</w:t>
            </w:r>
            <w:r w:rsidR="002435F5" w:rsidRPr="00ED35E0">
              <w:rPr>
                <w:rFonts w:ascii="Arial" w:hAnsi="Arial"/>
                <w:b w:val="0"/>
                <w:bCs/>
                <w:sz w:val="20"/>
                <w:lang w:val="es-ES_tradnl" w:bidi="es-ES_tradnl"/>
              </w:rPr>
              <w:t>3</w:t>
            </w:r>
            <w:r w:rsidRPr="00ED35E0">
              <w:rPr>
                <w:rFonts w:ascii="Arial" w:hAnsi="Arial"/>
                <w:b w:val="0"/>
                <w:bCs/>
                <w:sz w:val="20"/>
                <w:lang w:val="es-ES_tradnl" w:bidi="es-ES_tradnl"/>
              </w:rPr>
              <w:t>/201</w:t>
            </w:r>
            <w:r w:rsidR="002435F5" w:rsidRPr="00ED35E0">
              <w:rPr>
                <w:rFonts w:ascii="Arial" w:hAnsi="Arial"/>
                <w:b w:val="0"/>
                <w:bCs/>
                <w:sz w:val="20"/>
                <w:lang w:val="es-ES_tradnl" w:bidi="es-ES_tradnl"/>
              </w:rPr>
              <w:t>2</w:t>
            </w:r>
            <w:r w:rsidRPr="00ED35E0">
              <w:rPr>
                <w:rFonts w:ascii="Arial" w:hAnsi="Arial"/>
                <w:b w:val="0"/>
                <w:bCs/>
                <w:sz w:val="20"/>
                <w:lang w:val="es-ES_tradnl" w:bidi="es-ES_tradnl"/>
              </w:rPr>
              <w:br/>
            </w:r>
            <w:r w:rsidRPr="00ED35E0">
              <w:rPr>
                <w:rFonts w:ascii="Arial" w:hAnsi="Arial"/>
                <w:b w:val="0"/>
                <w:bCs/>
                <w:sz w:val="18"/>
                <w:lang w:val="es-ES_tradnl" w:bidi="es-ES_tradnl"/>
              </w:rPr>
              <w:t>(número de neumáticos)</w:t>
            </w:r>
          </w:p>
        </w:tc>
        <w:tc>
          <w:tcPr>
            <w:tcW w:w="993"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Europa</w:t>
            </w:r>
            <w:r w:rsidRPr="00ED35E0">
              <w:rPr>
                <w:rStyle w:val="FootnoteReference"/>
                <w:rFonts w:ascii="Arial" w:hAnsi="Arial"/>
                <w:b w:val="0"/>
                <w:bCs/>
                <w:sz w:val="32"/>
                <w:lang w:val="es-ES_tradnl" w:bidi="es-ES_tradnl"/>
              </w:rPr>
              <w:footnoteReference w:customMarkFollows="1" w:id="4"/>
              <w:sym w:font="Symbol" w:char="F02A"/>
            </w:r>
          </w:p>
        </w:tc>
        <w:tc>
          <w:tcPr>
            <w:tcW w:w="1275"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 xml:space="preserve">América </w:t>
            </w:r>
            <w:r w:rsidRPr="00ED35E0">
              <w:rPr>
                <w:rFonts w:ascii="Arial" w:hAnsi="Arial"/>
                <w:b w:val="0"/>
                <w:bCs/>
                <w:sz w:val="20"/>
                <w:lang w:val="es-ES_tradnl" w:bidi="es-ES_tradnl"/>
              </w:rPr>
              <w:br/>
              <w:t>del Norte</w:t>
            </w:r>
          </w:p>
        </w:tc>
        <w:tc>
          <w:tcPr>
            <w:tcW w:w="1276" w:type="dxa"/>
            <w:shd w:val="clear" w:color="auto" w:fill="E6E6E6"/>
          </w:tcPr>
          <w:p w:rsidR="00BF4FFF" w:rsidRPr="00ED35E0" w:rsidRDefault="00BF4FFF" w:rsidP="00BF4FFF">
            <w:pPr>
              <w:pStyle w:val="LadilloMichelinDossier"/>
              <w:spacing w:before="0" w:after="0"/>
              <w:rPr>
                <w:rFonts w:ascii="Arial" w:hAnsi="Arial"/>
                <w:b w:val="0"/>
                <w:bCs/>
                <w:sz w:val="20"/>
                <w:lang w:val="es-ES_tradnl" w:bidi="es-ES_tradnl"/>
              </w:rPr>
            </w:pPr>
            <w:r w:rsidRPr="00ED35E0">
              <w:rPr>
                <w:rFonts w:ascii="Arial" w:hAnsi="Arial"/>
                <w:b w:val="0"/>
                <w:bCs/>
                <w:sz w:val="20"/>
                <w:lang w:val="es-ES_tradnl" w:bidi="es-ES_tradnl"/>
              </w:rPr>
              <w:t>Asia</w:t>
            </w:r>
          </w:p>
          <w:p w:rsidR="00BF4FFF" w:rsidRPr="00ED35E0" w:rsidRDefault="00BF4FFF" w:rsidP="00DF0201">
            <w:pPr>
              <w:pStyle w:val="LadilloMichelinDossier"/>
              <w:spacing w:before="0" w:after="0"/>
              <w:rPr>
                <w:b w:val="0"/>
                <w:bCs/>
                <w:sz w:val="20"/>
                <w:lang w:val="es-ES_tradnl" w:bidi="es-ES_tradnl"/>
              </w:rPr>
            </w:pPr>
            <w:r w:rsidRPr="00ED35E0">
              <w:rPr>
                <w:rFonts w:ascii="Arial" w:hAnsi="Arial"/>
                <w:b w:val="0"/>
                <w:bCs/>
                <w:sz w:val="20"/>
                <w:lang w:val="es-ES_tradnl" w:bidi="es-ES_tradnl"/>
              </w:rPr>
              <w:t>(</w:t>
            </w:r>
            <w:r w:rsidR="00DF0201" w:rsidRPr="00ED35E0">
              <w:rPr>
                <w:rFonts w:ascii="Arial" w:hAnsi="Arial"/>
                <w:b w:val="0"/>
                <w:bCs/>
                <w:sz w:val="20"/>
                <w:lang w:val="es-ES_tradnl" w:bidi="es-ES_tradnl"/>
              </w:rPr>
              <w:t xml:space="preserve">sin </w:t>
            </w:r>
            <w:r w:rsidRPr="00ED35E0">
              <w:rPr>
                <w:rFonts w:ascii="Arial" w:hAnsi="Arial"/>
                <w:b w:val="0"/>
                <w:bCs/>
                <w:sz w:val="20"/>
                <w:lang w:val="es-ES_tradnl" w:bidi="es-ES_tradnl"/>
              </w:rPr>
              <w:t>India)</w:t>
            </w:r>
          </w:p>
        </w:tc>
        <w:tc>
          <w:tcPr>
            <w:tcW w:w="1276"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 xml:space="preserve">América </w:t>
            </w:r>
            <w:r w:rsidRPr="00ED35E0">
              <w:rPr>
                <w:rFonts w:ascii="Arial" w:hAnsi="Arial"/>
                <w:b w:val="0"/>
                <w:bCs/>
                <w:sz w:val="20"/>
                <w:lang w:val="es-ES_tradnl" w:bidi="es-ES_tradnl"/>
              </w:rPr>
              <w:br/>
              <w:t>del Sur</w:t>
            </w:r>
          </w:p>
        </w:tc>
        <w:tc>
          <w:tcPr>
            <w:tcW w:w="1417"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África/India/Oriente Medio</w:t>
            </w:r>
          </w:p>
        </w:tc>
        <w:tc>
          <w:tcPr>
            <w:tcW w:w="993"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Total</w:t>
            </w:r>
          </w:p>
        </w:tc>
      </w:tr>
      <w:tr w:rsidR="002854B0" w:rsidRPr="00ED35E0">
        <w:trPr>
          <w:trHeight w:val="1271"/>
        </w:trPr>
        <w:tc>
          <w:tcPr>
            <w:tcW w:w="2376" w:type="dxa"/>
          </w:tcPr>
          <w:p w:rsidR="002854B0" w:rsidRPr="00ED35E0" w:rsidRDefault="002854B0" w:rsidP="00BF4FFF">
            <w:pPr>
              <w:pStyle w:val="LadilloMichelinDossier"/>
              <w:spacing w:before="0" w:after="0"/>
              <w:jc w:val="both"/>
              <w:rPr>
                <w:rFonts w:ascii="Arial" w:hAnsi="Arial"/>
                <w:b w:val="0"/>
                <w:bCs/>
                <w:sz w:val="20"/>
                <w:lang w:val="es-ES_tradnl" w:bidi="es-ES_tradnl"/>
              </w:rPr>
            </w:pPr>
          </w:p>
          <w:p w:rsidR="002854B0" w:rsidRPr="00ED35E0" w:rsidRDefault="002854B0"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t>Primer</w:t>
            </w:r>
            <w:r w:rsidR="009A3FF9">
              <w:rPr>
                <w:rFonts w:ascii="Arial" w:hAnsi="Arial"/>
                <w:b w:val="0"/>
                <w:bCs/>
                <w:sz w:val="20"/>
                <w:lang w:val="es-ES_tradnl" w:bidi="es-ES_tradnl"/>
              </w:rPr>
              <w:t>a monta</w:t>
            </w:r>
          </w:p>
          <w:p w:rsidR="002854B0" w:rsidRPr="00ED35E0" w:rsidRDefault="002854B0" w:rsidP="00BF4FFF">
            <w:pPr>
              <w:pStyle w:val="LadilloMichelinDossier"/>
              <w:spacing w:before="0" w:after="0"/>
              <w:jc w:val="both"/>
              <w:rPr>
                <w:rFonts w:ascii="Arial" w:hAnsi="Arial"/>
                <w:b w:val="0"/>
                <w:bCs/>
                <w:sz w:val="20"/>
                <w:lang w:val="es-ES_tradnl" w:bidi="es-ES_tradnl"/>
              </w:rPr>
            </w:pPr>
          </w:p>
          <w:p w:rsidR="002854B0" w:rsidRPr="00ED35E0" w:rsidRDefault="002854B0"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Reemplazo</w:t>
            </w:r>
          </w:p>
        </w:tc>
        <w:tc>
          <w:tcPr>
            <w:tcW w:w="993"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- 0 %</w:t>
            </w:r>
          </w:p>
          <w:p w:rsidR="002854B0" w:rsidRPr="00ED35E0" w:rsidRDefault="002854B0" w:rsidP="002854B0">
            <w:pPr>
              <w:tabs>
                <w:tab w:val="left" w:pos="284"/>
              </w:tabs>
              <w:jc w:val="center"/>
              <w:rPr>
                <w:rFonts w:ascii="Arial" w:eastAsia="MS Mincho" w:hAnsi="Arial" w:cs="Arial"/>
                <w:b/>
                <w:snapToGrid w:val="0"/>
                <w:sz w:val="20"/>
                <w:szCs w:val="18"/>
              </w:rPr>
            </w:pPr>
          </w:p>
        </w:tc>
        <w:tc>
          <w:tcPr>
            <w:tcW w:w="1275"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+ 5 %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+ 5 %</w:t>
            </w:r>
          </w:p>
        </w:tc>
        <w:tc>
          <w:tcPr>
            <w:tcW w:w="1276"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+ 5 %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tc>
        <w:tc>
          <w:tcPr>
            <w:tcW w:w="1276"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+ 5 %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+ 10 %</w:t>
            </w:r>
          </w:p>
        </w:tc>
        <w:tc>
          <w:tcPr>
            <w:tcW w:w="1417"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+ 4 %</w:t>
            </w:r>
          </w:p>
        </w:tc>
        <w:tc>
          <w:tcPr>
            <w:tcW w:w="993" w:type="dxa"/>
          </w:tcPr>
          <w:p w:rsidR="002854B0" w:rsidRPr="00ED35E0" w:rsidRDefault="002854B0" w:rsidP="002854B0">
            <w:pPr>
              <w:tabs>
                <w:tab w:val="left" w:pos="1168"/>
              </w:tabs>
              <w:ind w:right="-108"/>
              <w:jc w:val="center"/>
              <w:rPr>
                <w:rFonts w:ascii="Arial" w:eastAsia="MS Mincho" w:hAnsi="Arial" w:cs="Arial"/>
                <w:b/>
                <w:snapToGrid w:val="0"/>
                <w:sz w:val="20"/>
                <w:szCs w:val="18"/>
              </w:rPr>
            </w:pPr>
          </w:p>
          <w:p w:rsidR="002854B0" w:rsidRPr="00ED35E0" w:rsidRDefault="002854B0" w:rsidP="002854B0">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+ 3 %</w:t>
            </w:r>
          </w:p>
          <w:p w:rsidR="002854B0" w:rsidRPr="00ED35E0" w:rsidRDefault="002854B0" w:rsidP="002854B0">
            <w:pPr>
              <w:tabs>
                <w:tab w:val="left" w:pos="1168"/>
              </w:tabs>
              <w:ind w:right="-108"/>
              <w:jc w:val="center"/>
              <w:rPr>
                <w:rFonts w:ascii="Arial" w:eastAsia="MS Mincho" w:hAnsi="Arial" w:cs="Arial"/>
                <w:b/>
                <w:snapToGrid w:val="0"/>
                <w:sz w:val="20"/>
                <w:szCs w:val="18"/>
              </w:rPr>
            </w:pPr>
          </w:p>
          <w:p w:rsidR="002854B0" w:rsidRPr="00ED35E0" w:rsidRDefault="002854B0" w:rsidP="002854B0">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+ 3 %</w:t>
            </w:r>
          </w:p>
        </w:tc>
      </w:tr>
    </w:tbl>
    <w:p w:rsidR="00BF4FFF" w:rsidRPr="00ED35E0" w:rsidRDefault="00BF4FFF" w:rsidP="00BF4FFF">
      <w:pPr>
        <w:ind w:left="284"/>
        <w:jc w:val="both"/>
        <w:rPr>
          <w:rFonts w:ascii="Arial" w:eastAsia="Times New Roman" w:hAnsi="Arial" w:cs="Arial"/>
        </w:rPr>
      </w:pPr>
    </w:p>
    <w:p w:rsidR="00BF4FFF" w:rsidRPr="00ED35E0" w:rsidRDefault="00BF4FFF" w:rsidP="00BF4FFF">
      <w:pPr>
        <w:ind w:left="284"/>
        <w:jc w:val="both"/>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gridCol w:w="1276"/>
        <w:gridCol w:w="1276"/>
        <w:gridCol w:w="1417"/>
        <w:gridCol w:w="993"/>
      </w:tblGrid>
      <w:tr w:rsidR="00BF4FFF" w:rsidRPr="00ED35E0">
        <w:trPr>
          <w:trHeight w:val="890"/>
        </w:trPr>
        <w:tc>
          <w:tcPr>
            <w:tcW w:w="2235" w:type="dxa"/>
            <w:shd w:val="clear" w:color="auto" w:fill="E6E6E6"/>
          </w:tcPr>
          <w:p w:rsidR="00BF4FFF" w:rsidRPr="00ED35E0" w:rsidRDefault="002854B0" w:rsidP="00BF4FFF">
            <w:pPr>
              <w:pStyle w:val="LadilloMichelinDossier"/>
              <w:spacing w:before="0" w:after="0"/>
              <w:rPr>
                <w:rFonts w:ascii="Arial" w:hAnsi="Arial"/>
                <w:b w:val="0"/>
                <w:bCs/>
                <w:sz w:val="20"/>
                <w:lang w:val="es-ES_tradnl" w:bidi="es-ES_tradnl"/>
              </w:rPr>
            </w:pPr>
            <w:r w:rsidRPr="00ED35E0">
              <w:rPr>
                <w:rFonts w:ascii="Arial" w:hAnsi="Arial"/>
                <w:b w:val="0"/>
                <w:bCs/>
                <w:sz w:val="20"/>
                <w:lang w:val="es-ES_tradnl" w:bidi="es-ES_tradnl"/>
              </w:rPr>
              <w:t>Cua</w:t>
            </w:r>
            <w:r w:rsidR="00BF4FFF" w:rsidRPr="00ED35E0">
              <w:rPr>
                <w:rFonts w:ascii="Arial" w:hAnsi="Arial"/>
                <w:b w:val="0"/>
                <w:bCs/>
                <w:sz w:val="20"/>
                <w:lang w:val="es-ES_tradnl" w:bidi="es-ES_tradnl"/>
              </w:rPr>
              <w:t>r</w:t>
            </w:r>
            <w:r w:rsidRPr="00ED35E0">
              <w:rPr>
                <w:rFonts w:ascii="Arial" w:hAnsi="Arial"/>
                <w:b w:val="0"/>
                <w:bCs/>
                <w:sz w:val="20"/>
                <w:lang w:val="es-ES_tradnl" w:bidi="es-ES_tradnl"/>
              </w:rPr>
              <w:t>to</w:t>
            </w:r>
            <w:r w:rsidR="00BF4FFF" w:rsidRPr="00ED35E0">
              <w:rPr>
                <w:rFonts w:ascii="Arial" w:hAnsi="Arial"/>
                <w:b w:val="0"/>
                <w:bCs/>
                <w:sz w:val="20"/>
                <w:lang w:val="es-ES_tradnl" w:bidi="es-ES_tradnl"/>
              </w:rPr>
              <w:t xml:space="preserve"> trimestre</w:t>
            </w:r>
          </w:p>
          <w:p w:rsidR="00BF4FFF" w:rsidRPr="00ED35E0" w:rsidRDefault="00BF4FFF" w:rsidP="002854B0">
            <w:pPr>
              <w:pStyle w:val="LadilloMichelinDossier"/>
              <w:spacing w:before="0" w:after="0"/>
              <w:rPr>
                <w:b w:val="0"/>
                <w:bCs/>
                <w:sz w:val="20"/>
                <w:lang w:val="es-ES_tradnl" w:bidi="es-ES_tradnl"/>
              </w:rPr>
            </w:pPr>
            <w:r w:rsidRPr="00ED35E0">
              <w:rPr>
                <w:rFonts w:ascii="Arial" w:hAnsi="Arial"/>
                <w:b w:val="0"/>
                <w:bCs/>
                <w:sz w:val="20"/>
                <w:lang w:val="es-ES_tradnl" w:bidi="es-ES_tradnl"/>
              </w:rPr>
              <w:t>201</w:t>
            </w:r>
            <w:r w:rsidR="002435F5" w:rsidRPr="00ED35E0">
              <w:rPr>
                <w:rFonts w:ascii="Arial" w:hAnsi="Arial"/>
                <w:b w:val="0"/>
                <w:bCs/>
                <w:sz w:val="20"/>
                <w:lang w:val="es-ES_tradnl" w:bidi="es-ES_tradnl"/>
              </w:rPr>
              <w:t>3</w:t>
            </w:r>
            <w:r w:rsidRPr="00ED35E0">
              <w:rPr>
                <w:rFonts w:ascii="Arial" w:hAnsi="Arial"/>
                <w:b w:val="0"/>
                <w:bCs/>
                <w:sz w:val="20"/>
                <w:lang w:val="es-ES_tradnl" w:bidi="es-ES_tradnl"/>
              </w:rPr>
              <w:br/>
            </w:r>
            <w:r w:rsidRPr="00ED35E0">
              <w:rPr>
                <w:rFonts w:ascii="Arial" w:hAnsi="Arial"/>
                <w:b w:val="0"/>
                <w:bCs/>
                <w:sz w:val="18"/>
                <w:lang w:val="es-ES_tradnl" w:bidi="es-ES_tradnl"/>
              </w:rPr>
              <w:t>(número de neumáticos)</w:t>
            </w:r>
          </w:p>
        </w:tc>
        <w:tc>
          <w:tcPr>
            <w:tcW w:w="1134"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Europa</w:t>
            </w:r>
            <w:r w:rsidRPr="00ED35E0">
              <w:rPr>
                <w:rStyle w:val="FootnoteReference"/>
                <w:rFonts w:ascii="Arial" w:hAnsi="Arial"/>
                <w:b w:val="0"/>
                <w:bCs/>
                <w:sz w:val="32"/>
                <w:lang w:val="es-ES_tradnl" w:bidi="es-ES_tradnl"/>
              </w:rPr>
              <w:footnoteReference w:customMarkFollows="1" w:id="5"/>
              <w:sym w:font="Symbol" w:char="F02A"/>
            </w:r>
          </w:p>
        </w:tc>
        <w:tc>
          <w:tcPr>
            <w:tcW w:w="1275"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 xml:space="preserve">América </w:t>
            </w:r>
            <w:r w:rsidRPr="00ED35E0">
              <w:rPr>
                <w:rFonts w:ascii="Arial" w:hAnsi="Arial"/>
                <w:b w:val="0"/>
                <w:bCs/>
                <w:sz w:val="20"/>
                <w:lang w:val="es-ES_tradnl" w:bidi="es-ES_tradnl"/>
              </w:rPr>
              <w:br/>
              <w:t>del Norte</w:t>
            </w:r>
          </w:p>
        </w:tc>
        <w:tc>
          <w:tcPr>
            <w:tcW w:w="1276" w:type="dxa"/>
            <w:shd w:val="clear" w:color="auto" w:fill="E6E6E6"/>
          </w:tcPr>
          <w:p w:rsidR="00BF4FFF" w:rsidRPr="00ED35E0" w:rsidRDefault="00BF4FFF" w:rsidP="00BF4FFF">
            <w:pPr>
              <w:pStyle w:val="LadilloMichelinDossier"/>
              <w:spacing w:before="0" w:after="0"/>
              <w:rPr>
                <w:rFonts w:ascii="Arial" w:hAnsi="Arial"/>
                <w:b w:val="0"/>
                <w:bCs/>
                <w:sz w:val="20"/>
                <w:lang w:val="es-ES_tradnl" w:bidi="es-ES_tradnl"/>
              </w:rPr>
            </w:pPr>
            <w:r w:rsidRPr="00ED35E0">
              <w:rPr>
                <w:rFonts w:ascii="Arial" w:hAnsi="Arial"/>
                <w:b w:val="0"/>
                <w:bCs/>
                <w:sz w:val="20"/>
                <w:lang w:val="es-ES_tradnl" w:bidi="es-ES_tradnl"/>
              </w:rPr>
              <w:t>Asia</w:t>
            </w:r>
          </w:p>
          <w:p w:rsidR="00BF4FFF" w:rsidRPr="00ED35E0" w:rsidRDefault="00BF4FFF" w:rsidP="00DF0201">
            <w:pPr>
              <w:pStyle w:val="LadilloMichelinDossier"/>
              <w:spacing w:before="0" w:after="0"/>
              <w:rPr>
                <w:b w:val="0"/>
                <w:bCs/>
                <w:sz w:val="20"/>
                <w:lang w:val="es-ES_tradnl" w:bidi="es-ES_tradnl"/>
              </w:rPr>
            </w:pPr>
            <w:r w:rsidRPr="00ED35E0">
              <w:rPr>
                <w:rFonts w:ascii="Arial" w:hAnsi="Arial"/>
                <w:b w:val="0"/>
                <w:bCs/>
                <w:sz w:val="20"/>
                <w:lang w:val="es-ES_tradnl" w:bidi="es-ES_tradnl"/>
              </w:rPr>
              <w:t>(</w:t>
            </w:r>
            <w:r w:rsidR="00DF0201" w:rsidRPr="00ED35E0">
              <w:rPr>
                <w:rFonts w:ascii="Arial" w:hAnsi="Arial"/>
                <w:b w:val="0"/>
                <w:bCs/>
                <w:sz w:val="20"/>
                <w:lang w:val="es-ES_tradnl" w:bidi="es-ES_tradnl"/>
              </w:rPr>
              <w:t>sin</w:t>
            </w:r>
            <w:r w:rsidRPr="00ED35E0">
              <w:rPr>
                <w:rFonts w:ascii="Arial" w:hAnsi="Arial"/>
                <w:b w:val="0"/>
                <w:bCs/>
                <w:sz w:val="20"/>
                <w:lang w:val="es-ES_tradnl" w:bidi="es-ES_tradnl"/>
              </w:rPr>
              <w:t xml:space="preserve"> India)</w:t>
            </w:r>
          </w:p>
        </w:tc>
        <w:tc>
          <w:tcPr>
            <w:tcW w:w="1276"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 xml:space="preserve">América </w:t>
            </w:r>
            <w:r w:rsidRPr="00ED35E0">
              <w:rPr>
                <w:rFonts w:ascii="Arial" w:hAnsi="Arial"/>
                <w:b w:val="0"/>
                <w:bCs/>
                <w:sz w:val="20"/>
                <w:lang w:val="es-ES_tradnl" w:bidi="es-ES_tradnl"/>
              </w:rPr>
              <w:br/>
              <w:t>del Sur</w:t>
            </w:r>
          </w:p>
        </w:tc>
        <w:tc>
          <w:tcPr>
            <w:tcW w:w="1417"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África/India/Oriente Medio</w:t>
            </w:r>
          </w:p>
        </w:tc>
        <w:tc>
          <w:tcPr>
            <w:tcW w:w="993"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Total</w:t>
            </w:r>
          </w:p>
        </w:tc>
      </w:tr>
      <w:tr w:rsidR="002854B0" w:rsidRPr="00ED35E0">
        <w:trPr>
          <w:trHeight w:val="1271"/>
        </w:trPr>
        <w:tc>
          <w:tcPr>
            <w:tcW w:w="2235" w:type="dxa"/>
          </w:tcPr>
          <w:p w:rsidR="002854B0" w:rsidRPr="00ED35E0" w:rsidRDefault="002854B0"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br/>
              <w:t>Primer</w:t>
            </w:r>
            <w:r w:rsidR="009A3FF9">
              <w:rPr>
                <w:rFonts w:ascii="Arial" w:hAnsi="Arial"/>
                <w:b w:val="0"/>
                <w:bCs/>
                <w:sz w:val="20"/>
                <w:lang w:val="es-ES_tradnl" w:bidi="es-ES_tradnl"/>
              </w:rPr>
              <w:t>a monta</w:t>
            </w:r>
          </w:p>
          <w:p w:rsidR="002854B0" w:rsidRPr="00ED35E0" w:rsidRDefault="002854B0"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t xml:space="preserve">     </w:t>
            </w:r>
          </w:p>
          <w:p w:rsidR="002854B0" w:rsidRPr="00ED35E0" w:rsidRDefault="002854B0"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Reemplazo</w:t>
            </w:r>
          </w:p>
        </w:tc>
        <w:tc>
          <w:tcPr>
            <w:tcW w:w="1134"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+ 1 %</w:t>
            </w:r>
          </w:p>
          <w:p w:rsidR="002854B0" w:rsidRPr="00ED35E0" w:rsidRDefault="002854B0" w:rsidP="002854B0">
            <w:pPr>
              <w:tabs>
                <w:tab w:val="left" w:pos="284"/>
              </w:tabs>
              <w:jc w:val="center"/>
              <w:rPr>
                <w:rFonts w:ascii="Arial" w:eastAsia="MS Mincho" w:hAnsi="Arial" w:cs="Arial"/>
                <w:b/>
                <w:snapToGrid w:val="0"/>
                <w:sz w:val="20"/>
                <w:szCs w:val="18"/>
              </w:rPr>
            </w:pPr>
          </w:p>
        </w:tc>
        <w:tc>
          <w:tcPr>
            <w:tcW w:w="1275"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+ 4 %</w:t>
            </w:r>
          </w:p>
        </w:tc>
        <w:tc>
          <w:tcPr>
            <w:tcW w:w="1276"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+ 10 %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+ 5 %</w:t>
            </w:r>
          </w:p>
        </w:tc>
        <w:tc>
          <w:tcPr>
            <w:tcW w:w="1276"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- 8 %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+ 8 %</w:t>
            </w:r>
          </w:p>
        </w:tc>
        <w:tc>
          <w:tcPr>
            <w:tcW w:w="1417" w:type="dxa"/>
          </w:tcPr>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- 7 %</w:t>
            </w:r>
          </w:p>
          <w:p w:rsidR="002854B0" w:rsidRPr="00ED35E0" w:rsidRDefault="002854B0" w:rsidP="002854B0">
            <w:pPr>
              <w:tabs>
                <w:tab w:val="left" w:pos="284"/>
              </w:tabs>
              <w:jc w:val="center"/>
              <w:rPr>
                <w:rFonts w:ascii="Arial" w:eastAsia="MS Mincho" w:hAnsi="Arial" w:cs="Arial"/>
                <w:b/>
                <w:snapToGrid w:val="0"/>
                <w:sz w:val="20"/>
                <w:szCs w:val="18"/>
              </w:rPr>
            </w:pPr>
          </w:p>
          <w:p w:rsidR="002854B0" w:rsidRPr="00ED35E0" w:rsidRDefault="002854B0" w:rsidP="002854B0">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- 1 %</w:t>
            </w:r>
          </w:p>
        </w:tc>
        <w:tc>
          <w:tcPr>
            <w:tcW w:w="993" w:type="dxa"/>
          </w:tcPr>
          <w:p w:rsidR="002854B0" w:rsidRPr="00ED35E0" w:rsidRDefault="002854B0" w:rsidP="002854B0">
            <w:pPr>
              <w:tabs>
                <w:tab w:val="left" w:pos="1168"/>
              </w:tabs>
              <w:ind w:right="-108"/>
              <w:jc w:val="center"/>
              <w:rPr>
                <w:rFonts w:ascii="Arial" w:eastAsia="MS Mincho" w:hAnsi="Arial" w:cs="Arial"/>
                <w:b/>
                <w:snapToGrid w:val="0"/>
                <w:sz w:val="20"/>
                <w:szCs w:val="18"/>
              </w:rPr>
            </w:pPr>
          </w:p>
          <w:p w:rsidR="002854B0" w:rsidRPr="00ED35E0" w:rsidRDefault="002854B0" w:rsidP="002854B0">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p w:rsidR="002854B0" w:rsidRPr="00ED35E0" w:rsidRDefault="002854B0" w:rsidP="002854B0">
            <w:pPr>
              <w:tabs>
                <w:tab w:val="left" w:pos="1168"/>
              </w:tabs>
              <w:ind w:right="-108"/>
              <w:jc w:val="center"/>
              <w:rPr>
                <w:rFonts w:ascii="Arial" w:eastAsia="MS Mincho" w:hAnsi="Arial" w:cs="Arial"/>
                <w:b/>
                <w:snapToGrid w:val="0"/>
                <w:sz w:val="20"/>
                <w:szCs w:val="18"/>
              </w:rPr>
            </w:pPr>
          </w:p>
          <w:p w:rsidR="002854B0" w:rsidRPr="00ED35E0" w:rsidRDefault="002854B0" w:rsidP="002854B0">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+ 3 %</w:t>
            </w:r>
          </w:p>
        </w:tc>
      </w:tr>
    </w:tbl>
    <w:p w:rsidR="00BF4FFF" w:rsidRPr="00ED35E0" w:rsidRDefault="00BF4FFF" w:rsidP="00196C7B">
      <w:pPr>
        <w:spacing w:before="480" w:after="240" w:line="270" w:lineRule="atLeast"/>
        <w:ind w:left="360"/>
        <w:jc w:val="both"/>
        <w:rPr>
          <w:rFonts w:ascii="Arial" w:hAnsi="Arial"/>
          <w:b/>
          <w:bCs/>
          <w:sz w:val="21"/>
          <w:u w:val="single"/>
          <w:lang w:bidi="es-ES_tradnl"/>
        </w:rPr>
      </w:pPr>
      <w:r w:rsidRPr="00ED35E0">
        <w:rPr>
          <w:rFonts w:ascii="Arial" w:hAnsi="Arial"/>
          <w:b/>
          <w:bCs/>
          <w:sz w:val="21"/>
          <w:lang w:bidi="es-ES_tradnl"/>
        </w:rPr>
        <w:t>Primer</w:t>
      </w:r>
      <w:r w:rsidR="009A3FF9">
        <w:rPr>
          <w:rFonts w:ascii="Arial" w:hAnsi="Arial"/>
          <w:b/>
          <w:bCs/>
          <w:sz w:val="21"/>
          <w:lang w:bidi="es-ES_tradnl"/>
        </w:rPr>
        <w:t>a Monta</w:t>
      </w:r>
    </w:p>
    <w:p w:rsidR="005A3068" w:rsidRDefault="002854B0" w:rsidP="005A3068">
      <w:pPr>
        <w:pStyle w:val="TextoMichelin"/>
        <w:numPr>
          <w:ilvl w:val="0"/>
          <w:numId w:val="38"/>
        </w:numPr>
        <w:ind w:left="1276"/>
        <w:rPr>
          <w:lang w:val="es-ES_tradnl"/>
        </w:rPr>
      </w:pPr>
      <w:r w:rsidRPr="00ED35E0">
        <w:rPr>
          <w:lang w:val="es-ES_tradnl"/>
        </w:rPr>
        <w:t>En Europ</w:t>
      </w:r>
      <w:r w:rsidR="005A3068">
        <w:rPr>
          <w:lang w:val="es-ES_tradnl"/>
        </w:rPr>
        <w:t>a</w:t>
      </w:r>
      <w:r w:rsidRPr="00ED35E0">
        <w:rPr>
          <w:lang w:val="es-ES_tradnl"/>
        </w:rPr>
        <w:t>, la demand</w:t>
      </w:r>
      <w:r w:rsidR="005A3068">
        <w:rPr>
          <w:lang w:val="es-ES_tradnl"/>
        </w:rPr>
        <w:t>a</w:t>
      </w:r>
      <w:r w:rsidRPr="00ED35E0">
        <w:rPr>
          <w:lang w:val="es-ES_tradnl"/>
        </w:rPr>
        <w:t xml:space="preserve"> de </w:t>
      </w:r>
      <w:r w:rsidR="005A3068">
        <w:rPr>
          <w:lang w:val="es-ES_tradnl"/>
        </w:rPr>
        <w:t>neumáti</w:t>
      </w:r>
      <w:r w:rsidR="00946635">
        <w:rPr>
          <w:lang w:val="es-ES_tradnl"/>
        </w:rPr>
        <w:t>cos</w:t>
      </w:r>
      <w:r w:rsidR="005A3068">
        <w:rPr>
          <w:lang w:val="es-ES_tradnl"/>
        </w:rPr>
        <w:t xml:space="preserve"> creció ligeramente </w:t>
      </w:r>
      <w:r w:rsidRPr="00ED35E0">
        <w:rPr>
          <w:lang w:val="es-ES_tradnl"/>
        </w:rPr>
        <w:t>(+</w:t>
      </w:r>
      <w:r w:rsidR="0079020E">
        <w:rPr>
          <w:lang w:val="es-ES_tradnl"/>
        </w:rPr>
        <w:t xml:space="preserve"> </w:t>
      </w:r>
      <w:r w:rsidRPr="00ED35E0">
        <w:rPr>
          <w:lang w:val="es-ES_tradnl"/>
        </w:rPr>
        <w:t xml:space="preserve">1 %) </w:t>
      </w:r>
      <w:r w:rsidR="00946635">
        <w:rPr>
          <w:lang w:val="es-ES_tradnl"/>
        </w:rPr>
        <w:t>con una mejora en el segundo semestre, en línea con el aumento de la producción de vehículos. Estas cifras reflejan una actividad contrastada entre los constructores generalistas de automóviles y el mejor rendimiento de las marcas especializadas y exportadoras. Los mercados de Europa del Este se contraen un 4</w:t>
      </w:r>
      <w:r w:rsidR="00B1126D">
        <w:rPr>
          <w:lang w:val="es-ES_tradnl"/>
        </w:rPr>
        <w:t xml:space="preserve"> </w:t>
      </w:r>
      <w:r w:rsidR="00946635">
        <w:rPr>
          <w:lang w:val="es-ES_tradnl"/>
        </w:rPr>
        <w:t>%.</w:t>
      </w:r>
    </w:p>
    <w:p w:rsidR="002854B0" w:rsidRPr="00ED35E0" w:rsidRDefault="00EA5A5F" w:rsidP="005A3068">
      <w:pPr>
        <w:pStyle w:val="TextoMichelin"/>
        <w:numPr>
          <w:ilvl w:val="0"/>
          <w:numId w:val="38"/>
        </w:numPr>
        <w:ind w:left="1276"/>
        <w:rPr>
          <w:lang w:val="es-ES_tradnl"/>
        </w:rPr>
      </w:pPr>
      <w:r>
        <w:rPr>
          <w:lang w:val="es-ES_tradnl"/>
        </w:rPr>
        <w:t>El mercado de Norteamérica se beneficia de un rejuvenecimiento del parque automovilístico. Aumenta un 5</w:t>
      </w:r>
      <w:r w:rsidR="006C6F4F">
        <w:rPr>
          <w:lang w:val="es-ES_tradnl"/>
        </w:rPr>
        <w:t xml:space="preserve"> </w:t>
      </w:r>
      <w:r>
        <w:rPr>
          <w:lang w:val="es-ES_tradnl"/>
        </w:rPr>
        <w:t>% y recobra los niveles previos a la crisis.</w:t>
      </w:r>
    </w:p>
    <w:p w:rsidR="002854B0" w:rsidRPr="00D460C3" w:rsidRDefault="002854B0" w:rsidP="00D460C3">
      <w:pPr>
        <w:pStyle w:val="TextoMichelin"/>
        <w:numPr>
          <w:ilvl w:val="0"/>
          <w:numId w:val="38"/>
        </w:numPr>
        <w:ind w:left="1276"/>
        <w:rPr>
          <w:lang w:val="es-ES_tradnl"/>
        </w:rPr>
      </w:pPr>
      <w:r w:rsidRPr="00D460C3">
        <w:rPr>
          <w:lang w:val="es-ES_tradnl"/>
        </w:rPr>
        <w:t>En Asi</w:t>
      </w:r>
      <w:r w:rsidR="00D460C3" w:rsidRPr="00D460C3">
        <w:rPr>
          <w:lang w:val="es-ES_tradnl"/>
        </w:rPr>
        <w:t>a</w:t>
      </w:r>
      <w:r w:rsidRPr="00D460C3">
        <w:rPr>
          <w:lang w:val="es-ES_tradnl"/>
        </w:rPr>
        <w:t xml:space="preserve"> (</w:t>
      </w:r>
      <w:r w:rsidR="00D460C3" w:rsidRPr="00D460C3">
        <w:rPr>
          <w:rFonts w:hAnsi="Arial Unicode MS"/>
        </w:rPr>
        <w:t>sin incluir India</w:t>
      </w:r>
      <w:r w:rsidRPr="00D460C3">
        <w:rPr>
          <w:lang w:val="es-ES_tradnl"/>
        </w:rPr>
        <w:t>), la demand</w:t>
      </w:r>
      <w:r w:rsidR="00D460C3" w:rsidRPr="00D460C3">
        <w:rPr>
          <w:lang w:val="es-ES_tradnl"/>
        </w:rPr>
        <w:t>a</w:t>
      </w:r>
      <w:r w:rsidRPr="00D460C3">
        <w:rPr>
          <w:lang w:val="es-ES_tradnl"/>
        </w:rPr>
        <w:t xml:space="preserve"> </w:t>
      </w:r>
      <w:r w:rsidR="00D460C3" w:rsidRPr="00D460C3">
        <w:rPr>
          <w:lang w:val="es-ES_tradnl"/>
        </w:rPr>
        <w:t>crece globalmente un 5</w:t>
      </w:r>
      <w:r w:rsidR="00D460C3">
        <w:rPr>
          <w:lang w:val="es-ES_tradnl"/>
        </w:rPr>
        <w:t xml:space="preserve"> </w:t>
      </w:r>
      <w:r w:rsidR="00D460C3" w:rsidRPr="00D460C3">
        <w:rPr>
          <w:lang w:val="es-ES_tradnl"/>
        </w:rPr>
        <w:t xml:space="preserve">% en los mercados contrastados. En China, el mercado está en fuerte progresión </w:t>
      </w:r>
      <w:r w:rsidR="00B1126D">
        <w:rPr>
          <w:lang w:val="es-ES_tradnl"/>
        </w:rPr>
        <w:br/>
      </w:r>
      <w:r w:rsidR="006C6F4F">
        <w:rPr>
          <w:lang w:val="es-ES_tradnl"/>
        </w:rPr>
        <w:t>(+</w:t>
      </w:r>
      <w:r w:rsidR="00B1126D">
        <w:rPr>
          <w:lang w:val="es-ES_tradnl"/>
        </w:rPr>
        <w:t xml:space="preserve"> </w:t>
      </w:r>
      <w:r w:rsidR="006C6F4F">
        <w:rPr>
          <w:lang w:val="es-ES_tradnl"/>
        </w:rPr>
        <w:t xml:space="preserve">15 %), acelerándose </w:t>
      </w:r>
      <w:r w:rsidR="00D460C3">
        <w:rPr>
          <w:lang w:val="es-ES_tradnl"/>
        </w:rPr>
        <w:t xml:space="preserve">a final de año </w:t>
      </w:r>
      <w:r w:rsidRPr="00D460C3">
        <w:rPr>
          <w:lang w:val="es-ES_tradnl"/>
        </w:rPr>
        <w:t>(+</w:t>
      </w:r>
      <w:r w:rsidR="00B1126D">
        <w:rPr>
          <w:lang w:val="es-ES_tradnl"/>
        </w:rPr>
        <w:t xml:space="preserve"> </w:t>
      </w:r>
      <w:r w:rsidRPr="00D460C3">
        <w:rPr>
          <w:lang w:val="es-ES_tradnl"/>
        </w:rPr>
        <w:t xml:space="preserve">21 % </w:t>
      </w:r>
      <w:r w:rsidR="00D460C3">
        <w:rPr>
          <w:lang w:val="es-ES_tradnl"/>
        </w:rPr>
        <w:t xml:space="preserve">en el cuarto </w:t>
      </w:r>
      <w:r w:rsidRPr="00D460C3">
        <w:rPr>
          <w:lang w:val="es-ES_tradnl"/>
        </w:rPr>
        <w:t xml:space="preserve">trimestre). </w:t>
      </w:r>
      <w:r w:rsidR="006C6F4F">
        <w:rPr>
          <w:lang w:val="es-ES_tradnl"/>
        </w:rPr>
        <w:t>En cinco años, se ha triplicado</w:t>
      </w:r>
      <w:r w:rsidRPr="00D460C3">
        <w:rPr>
          <w:lang w:val="es-ES_tradnl"/>
        </w:rPr>
        <w:t xml:space="preserve">. </w:t>
      </w:r>
    </w:p>
    <w:p w:rsidR="00811AFC" w:rsidRDefault="002854B0" w:rsidP="00196C7B">
      <w:pPr>
        <w:pStyle w:val="TextoMichelin"/>
        <w:numPr>
          <w:ilvl w:val="0"/>
          <w:numId w:val="38"/>
        </w:numPr>
        <w:ind w:left="1276"/>
        <w:rPr>
          <w:lang w:val="es-ES_tradnl"/>
        </w:rPr>
      </w:pPr>
      <w:r w:rsidRPr="00ED35E0">
        <w:rPr>
          <w:lang w:val="es-ES_tradnl"/>
        </w:rPr>
        <w:t xml:space="preserve">En </w:t>
      </w:r>
      <w:r w:rsidR="006C6F4F">
        <w:rPr>
          <w:lang w:val="es-ES_tradnl"/>
        </w:rPr>
        <w:t xml:space="preserve">Sudamérica, la demanda, con un </w:t>
      </w:r>
      <w:r w:rsidR="00E6568A">
        <w:rPr>
          <w:lang w:val="es-ES_tradnl"/>
        </w:rPr>
        <w:t>aumento del</w:t>
      </w:r>
      <w:r w:rsidR="006C6F4F">
        <w:rPr>
          <w:lang w:val="es-ES_tradnl"/>
        </w:rPr>
        <w:t xml:space="preserve"> </w:t>
      </w:r>
      <w:r w:rsidRPr="00ED35E0">
        <w:rPr>
          <w:lang w:val="es-ES_tradnl"/>
        </w:rPr>
        <w:t xml:space="preserve">5 % </w:t>
      </w:r>
      <w:r w:rsidR="006C6F4F">
        <w:rPr>
          <w:lang w:val="es-ES_tradnl"/>
        </w:rPr>
        <w:t>anual, se ca</w:t>
      </w:r>
      <w:r w:rsidR="00A923DC">
        <w:rPr>
          <w:lang w:val="es-ES_tradnl"/>
        </w:rPr>
        <w:t xml:space="preserve">racteriza por </w:t>
      </w:r>
      <w:r w:rsidR="00E6568A">
        <w:rPr>
          <w:lang w:val="es-ES_tradnl"/>
        </w:rPr>
        <w:t>la creciente proporción</w:t>
      </w:r>
      <w:r w:rsidR="00A923DC">
        <w:rPr>
          <w:lang w:val="es-ES_tradnl"/>
        </w:rPr>
        <w:t xml:space="preserve"> de la producción local de vehículos y por una ralen</w:t>
      </w:r>
      <w:r w:rsidR="00E6568A">
        <w:rPr>
          <w:lang w:val="es-ES_tradnl"/>
        </w:rPr>
        <w:t>tización en el segundo semestre.</w:t>
      </w:r>
    </w:p>
    <w:p w:rsidR="00BF4FFF" w:rsidRPr="00811AFC" w:rsidRDefault="00811AFC" w:rsidP="00BF4FFF">
      <w:pPr>
        <w:pStyle w:val="TextoMichelin"/>
        <w:numPr>
          <w:ilvl w:val="0"/>
          <w:numId w:val="5"/>
        </w:numPr>
        <w:tabs>
          <w:tab w:val="num" w:pos="1080"/>
        </w:tabs>
        <w:spacing w:before="480"/>
        <w:rPr>
          <w:b/>
          <w:bCs/>
          <w:lang w:bidi="es-ES_tradnl"/>
        </w:rPr>
      </w:pPr>
      <w:r>
        <w:rPr>
          <w:lang w:val="es-ES_tradnl"/>
        </w:rPr>
        <w:br w:type="column"/>
      </w:r>
      <w:r w:rsidR="00BF4FFF" w:rsidRPr="00811AFC">
        <w:rPr>
          <w:b/>
          <w:bCs/>
          <w:lang w:bidi="es-ES_tradnl"/>
        </w:rPr>
        <w:t>Reemplazo</w:t>
      </w:r>
    </w:p>
    <w:p w:rsidR="00C31A0D" w:rsidRDefault="00C21BE7" w:rsidP="00C31A0D">
      <w:pPr>
        <w:pStyle w:val="TextoMichelin"/>
        <w:numPr>
          <w:ilvl w:val="0"/>
          <w:numId w:val="38"/>
        </w:numPr>
        <w:ind w:left="1276"/>
        <w:rPr>
          <w:lang w:val="es-ES_tradnl"/>
        </w:rPr>
      </w:pPr>
      <w:r w:rsidRPr="00ED35E0">
        <w:rPr>
          <w:lang w:val="es-ES_tradnl"/>
        </w:rPr>
        <w:t xml:space="preserve">En </w:t>
      </w:r>
      <w:r w:rsidRPr="00D82442">
        <w:rPr>
          <w:lang w:val="es-ES_tradnl"/>
        </w:rPr>
        <w:t>Europ</w:t>
      </w:r>
      <w:r w:rsidR="00D82442" w:rsidRPr="00D82442">
        <w:rPr>
          <w:lang w:val="es-ES_tradnl"/>
        </w:rPr>
        <w:t>a</w:t>
      </w:r>
      <w:r w:rsidRPr="00D82442">
        <w:rPr>
          <w:lang w:val="es-ES_tradnl"/>
        </w:rPr>
        <w:t xml:space="preserve">, </w:t>
      </w:r>
      <w:r w:rsidR="00D82442" w:rsidRPr="00D82442">
        <w:rPr>
          <w:bCs/>
          <w:lang w:val="es-ES_tradnl" w:bidi="es-ES_tradnl"/>
        </w:rPr>
        <w:t>el mercado</w:t>
      </w:r>
      <w:r w:rsidR="00D82442">
        <w:rPr>
          <w:bCs/>
          <w:lang w:val="es-ES_tradnl" w:bidi="es-ES_tradnl"/>
        </w:rPr>
        <w:t xml:space="preserve"> permanece estable en el año, con una tendencia más favorable en el segundo semestre. En Europa Occidental, la estabilidad de la demanda refleja el crecimiento del segmento de verano y el retroceso anticipado del segmento </w:t>
      </w:r>
      <w:r w:rsidR="00C31A0D">
        <w:rPr>
          <w:bCs/>
          <w:lang w:val="es-ES_tradnl" w:bidi="es-ES_tradnl"/>
        </w:rPr>
        <w:t xml:space="preserve">de </w:t>
      </w:r>
      <w:r w:rsidR="00D82442">
        <w:rPr>
          <w:bCs/>
          <w:lang w:val="es-ES_tradnl" w:bidi="es-ES_tradnl"/>
        </w:rPr>
        <w:t xml:space="preserve">invierno </w:t>
      </w:r>
      <w:r w:rsidR="007649D5">
        <w:rPr>
          <w:lang w:val="es-ES_tradnl"/>
        </w:rPr>
        <w:t xml:space="preserve">(- 4 %), que se ha acentuado por las condiciones meteorológicas. </w:t>
      </w:r>
      <w:r w:rsidR="007649D5" w:rsidRPr="007649D5">
        <w:rPr>
          <w:lang w:val="es-ES_tradnl"/>
        </w:rPr>
        <w:t xml:space="preserve">Los </w:t>
      </w:r>
      <w:r w:rsidR="007649D5" w:rsidRPr="007649D5">
        <w:rPr>
          <w:bCs/>
          <w:lang w:val="es-ES_tradnl" w:bidi="es-ES_tradnl"/>
        </w:rPr>
        <w:t>neumáticos de altas prestaciones (17” y superiores)</w:t>
      </w:r>
      <w:r w:rsidR="007649D5">
        <w:rPr>
          <w:bCs/>
          <w:lang w:val="es-ES_tradnl" w:bidi="es-ES_tradnl"/>
        </w:rPr>
        <w:t xml:space="preserve"> continúan creciendo </w:t>
      </w:r>
      <w:r w:rsidRPr="00ED35E0">
        <w:rPr>
          <w:lang w:val="es-ES_tradnl"/>
        </w:rPr>
        <w:t>(+ 7 %). L</w:t>
      </w:r>
      <w:r w:rsidR="00C31A0D">
        <w:rPr>
          <w:lang w:val="es-ES_tradnl"/>
        </w:rPr>
        <w:t>o</w:t>
      </w:r>
      <w:r w:rsidRPr="00ED35E0">
        <w:rPr>
          <w:lang w:val="es-ES_tradnl"/>
        </w:rPr>
        <w:t>s stocks de la distribu</w:t>
      </w:r>
      <w:r w:rsidR="00C31A0D">
        <w:rPr>
          <w:lang w:val="es-ES_tradnl"/>
        </w:rPr>
        <w:t>ción han recobrado los niveles normales en neumáticos de verano, mientras que aún son algo elevado</w:t>
      </w:r>
      <w:r w:rsidR="00B1126D">
        <w:rPr>
          <w:lang w:val="es-ES_tradnl"/>
        </w:rPr>
        <w:t>s</w:t>
      </w:r>
      <w:r w:rsidR="00C31A0D">
        <w:rPr>
          <w:lang w:val="es-ES_tradnl"/>
        </w:rPr>
        <w:t xml:space="preserve"> en neumáticos de invierno</w:t>
      </w:r>
      <w:r w:rsidR="003202C1">
        <w:rPr>
          <w:lang w:val="es-ES_tradnl"/>
        </w:rPr>
        <w:t xml:space="preserve"> ante la falta de nieve. En Europa </w:t>
      </w:r>
      <w:r w:rsidR="00E5572F">
        <w:rPr>
          <w:lang w:val="es-ES_tradnl"/>
        </w:rPr>
        <w:t>del Este</w:t>
      </w:r>
      <w:r w:rsidR="003202C1">
        <w:rPr>
          <w:lang w:val="es-ES_tradnl"/>
        </w:rPr>
        <w:t xml:space="preserve">, el mercado es también estable </w:t>
      </w:r>
      <w:r w:rsidR="00272615">
        <w:rPr>
          <w:lang w:val="es-ES_tradnl"/>
        </w:rPr>
        <w:t>a pesar de</w:t>
      </w:r>
      <w:r w:rsidR="003202C1">
        <w:rPr>
          <w:lang w:val="es-ES_tradnl"/>
        </w:rPr>
        <w:t xml:space="preserve"> una pronunciada volatilidad mensual</w:t>
      </w:r>
      <w:r w:rsidR="00811AFC">
        <w:rPr>
          <w:lang w:val="es-ES_tradnl"/>
        </w:rPr>
        <w:t>.</w:t>
      </w:r>
    </w:p>
    <w:p w:rsidR="00272615" w:rsidRDefault="00C21BE7" w:rsidP="00272615">
      <w:pPr>
        <w:pStyle w:val="TextoMichelin"/>
        <w:numPr>
          <w:ilvl w:val="0"/>
          <w:numId w:val="38"/>
        </w:numPr>
        <w:ind w:left="1276"/>
        <w:rPr>
          <w:lang w:val="es-ES_tradnl"/>
        </w:rPr>
      </w:pPr>
      <w:r w:rsidRPr="00ED35E0">
        <w:rPr>
          <w:lang w:val="es-ES_tradnl"/>
        </w:rPr>
        <w:t xml:space="preserve">En </w:t>
      </w:r>
      <w:r w:rsidR="00272615">
        <w:rPr>
          <w:lang w:val="es-ES_tradnl"/>
        </w:rPr>
        <w:t>América del Norte</w:t>
      </w:r>
      <w:r w:rsidRPr="00ED35E0">
        <w:rPr>
          <w:lang w:val="es-ES_tradnl"/>
        </w:rPr>
        <w:t xml:space="preserve">, </w:t>
      </w:r>
      <w:r w:rsidR="00272615" w:rsidRPr="00D82442">
        <w:rPr>
          <w:bCs/>
          <w:lang w:val="es-ES_tradnl" w:bidi="es-ES_tradnl"/>
        </w:rPr>
        <w:t>el mercado</w:t>
      </w:r>
      <w:r w:rsidR="00272615">
        <w:rPr>
          <w:bCs/>
          <w:lang w:val="es-ES_tradnl" w:bidi="es-ES_tradnl"/>
        </w:rPr>
        <w:t xml:space="preserve">, que aumenta un </w:t>
      </w:r>
      <w:r w:rsidRPr="00ED35E0">
        <w:rPr>
          <w:lang w:val="es-ES_tradnl"/>
        </w:rPr>
        <w:t xml:space="preserve">5 % </w:t>
      </w:r>
      <w:r w:rsidR="00272615">
        <w:rPr>
          <w:lang w:val="es-ES_tradnl"/>
        </w:rPr>
        <w:t>anual, ha refle</w:t>
      </w:r>
      <w:r w:rsidR="009F3E26">
        <w:rPr>
          <w:lang w:val="es-ES_tradnl"/>
        </w:rPr>
        <w:t xml:space="preserve">jado a la vez el repunte </w:t>
      </w:r>
      <w:r w:rsidR="009F3E26">
        <w:rPr>
          <w:bCs/>
          <w:lang w:bidi="es-ES_tradnl"/>
        </w:rPr>
        <w:t xml:space="preserve">de las importaciones chinas, tras el levantamiento de </w:t>
      </w:r>
      <w:r w:rsidR="009F3E26" w:rsidRPr="0038277F">
        <w:rPr>
          <w:rFonts w:hAnsi="Arial Unicode MS"/>
        </w:rPr>
        <w:t>los aranceles aduaneros</w:t>
      </w:r>
      <w:r w:rsidR="009F3E26">
        <w:rPr>
          <w:bCs/>
          <w:lang w:bidi="es-ES_tradnl"/>
        </w:rPr>
        <w:t xml:space="preserve"> en los Estados Unidos, y la demanda sostenida de neumáticos de invierno en Canadá.</w:t>
      </w:r>
    </w:p>
    <w:p w:rsidR="00420FD2" w:rsidRDefault="009F3E26" w:rsidP="00ED36D0">
      <w:pPr>
        <w:pStyle w:val="TextoMichelin"/>
        <w:numPr>
          <w:ilvl w:val="0"/>
          <w:numId w:val="38"/>
        </w:numPr>
        <w:ind w:left="1276"/>
        <w:rPr>
          <w:lang w:val="es-ES_tradnl"/>
        </w:rPr>
      </w:pPr>
      <w:r w:rsidRPr="00D460C3">
        <w:rPr>
          <w:lang w:val="es-ES_tradnl"/>
        </w:rPr>
        <w:t>En Asia (</w:t>
      </w:r>
      <w:r w:rsidRPr="00D460C3">
        <w:rPr>
          <w:rFonts w:hAnsi="Arial Unicode MS"/>
        </w:rPr>
        <w:t>sin incluir India</w:t>
      </w:r>
      <w:r w:rsidRPr="00D460C3">
        <w:rPr>
          <w:lang w:val="es-ES_tradnl"/>
        </w:rPr>
        <w:t>),</w:t>
      </w:r>
      <w:r>
        <w:rPr>
          <w:lang w:val="es-ES_tradnl"/>
        </w:rPr>
        <w:t xml:space="preserve"> los mercados progresan globalmente un 6 %. La demanda china crece un </w:t>
      </w:r>
      <w:r w:rsidR="00C21BE7" w:rsidRPr="00ED35E0">
        <w:rPr>
          <w:lang w:val="es-ES_tradnl"/>
        </w:rPr>
        <w:t xml:space="preserve">8 %, </w:t>
      </w:r>
      <w:r w:rsidR="00ED36D0">
        <w:rPr>
          <w:lang w:val="es-ES_tradnl"/>
        </w:rPr>
        <w:t>a pesar</w:t>
      </w:r>
      <w:r w:rsidR="00ED36D0" w:rsidRPr="00ED36D0">
        <w:rPr>
          <w:rFonts w:hAnsi="Arial Unicode MS"/>
        </w:rPr>
        <w:t xml:space="preserve"> </w:t>
      </w:r>
      <w:r w:rsidR="00ED36D0" w:rsidRPr="0038277F">
        <w:rPr>
          <w:rFonts w:hAnsi="Arial Unicode MS"/>
        </w:rPr>
        <w:t xml:space="preserve">de </w:t>
      </w:r>
      <w:r w:rsidR="00ED36D0">
        <w:rPr>
          <w:rFonts w:hAnsi="Arial Unicode MS"/>
        </w:rPr>
        <w:t>una cierta ralentizaci</w:t>
      </w:r>
      <w:r w:rsidR="00ED36D0">
        <w:rPr>
          <w:rFonts w:hAnsi="Arial Unicode MS"/>
        </w:rPr>
        <w:t>ó</w:t>
      </w:r>
      <w:r w:rsidR="00ED36D0">
        <w:rPr>
          <w:rFonts w:hAnsi="Arial Unicode MS"/>
        </w:rPr>
        <w:t>n del ritmo del crecimiento econ</w:t>
      </w:r>
      <w:r w:rsidR="00ED36D0">
        <w:rPr>
          <w:rFonts w:hAnsi="Arial Unicode MS"/>
        </w:rPr>
        <w:t>ó</w:t>
      </w:r>
      <w:r w:rsidR="00ED36D0">
        <w:rPr>
          <w:rFonts w:hAnsi="Arial Unicode MS"/>
        </w:rPr>
        <w:t>mico. El mercado japon</w:t>
      </w:r>
      <w:r w:rsidR="00ED36D0">
        <w:rPr>
          <w:rFonts w:hAnsi="Arial Unicode MS"/>
        </w:rPr>
        <w:t>é</w:t>
      </w:r>
      <w:r w:rsidR="00ED36D0">
        <w:rPr>
          <w:rFonts w:hAnsi="Arial Unicode MS"/>
        </w:rPr>
        <w:t>s crece un</w:t>
      </w:r>
      <w:r w:rsidR="00C21BE7" w:rsidRPr="00ED35E0">
        <w:rPr>
          <w:lang w:val="es-ES_tradnl"/>
        </w:rPr>
        <w:t xml:space="preserve"> 3 %, </w:t>
      </w:r>
      <w:r w:rsidR="006D3E3E">
        <w:rPr>
          <w:lang w:val="es-ES_tradnl"/>
        </w:rPr>
        <w:t>en consonancia con su tendencia a largo plazo</w:t>
      </w:r>
      <w:r w:rsidR="00C21BE7" w:rsidRPr="00ED35E0">
        <w:rPr>
          <w:lang w:val="es-ES_tradnl"/>
        </w:rPr>
        <w:t>.</w:t>
      </w:r>
    </w:p>
    <w:p w:rsidR="00420FD2" w:rsidRPr="00420FD2" w:rsidRDefault="00420FD2" w:rsidP="00420FD2">
      <w:pPr>
        <w:pStyle w:val="TextoMichelin"/>
        <w:numPr>
          <w:ilvl w:val="0"/>
          <w:numId w:val="38"/>
        </w:numPr>
        <w:ind w:left="1276"/>
        <w:rPr>
          <w:lang w:val="es-ES_tradnl"/>
        </w:rPr>
      </w:pPr>
      <w:r w:rsidRPr="00420FD2">
        <w:rPr>
          <w:lang w:val="es-ES_tradnl"/>
        </w:rPr>
        <w:t>En Sudamé</w:t>
      </w:r>
      <w:r>
        <w:rPr>
          <w:lang w:val="es-ES_tradnl"/>
        </w:rPr>
        <w:t>rica, la demanda aumenta un</w:t>
      </w:r>
      <w:r w:rsidRPr="00420FD2">
        <w:rPr>
          <w:lang w:val="es-ES_tradnl"/>
        </w:rPr>
        <w:t xml:space="preserve"> </w:t>
      </w:r>
      <w:r>
        <w:rPr>
          <w:lang w:val="es-ES_tradnl"/>
        </w:rPr>
        <w:t xml:space="preserve">10 </w:t>
      </w:r>
      <w:r w:rsidRPr="00420FD2">
        <w:rPr>
          <w:lang w:val="es-ES_tradnl"/>
        </w:rPr>
        <w:t xml:space="preserve">%, con significativos crecimientos en cada </w:t>
      </w:r>
      <w:r w:rsidR="00D50044">
        <w:rPr>
          <w:lang w:val="es-ES_tradnl"/>
        </w:rPr>
        <w:t>mercado</w:t>
      </w:r>
      <w:r w:rsidRPr="00420FD2">
        <w:rPr>
          <w:lang w:val="es-ES_tradnl"/>
        </w:rPr>
        <w:t>, especialmente en Brasil, donde la demanda de neumáticos sube un 1</w:t>
      </w:r>
      <w:r w:rsidR="00D50044">
        <w:rPr>
          <w:lang w:val="es-ES_tradnl"/>
        </w:rPr>
        <w:t xml:space="preserve">4 </w:t>
      </w:r>
      <w:r w:rsidRPr="00420FD2">
        <w:rPr>
          <w:lang w:val="es-ES_tradnl"/>
        </w:rPr>
        <w:t xml:space="preserve">% en un entorno </w:t>
      </w:r>
      <w:r w:rsidR="00D50044">
        <w:rPr>
          <w:lang w:val="es-ES_tradnl"/>
        </w:rPr>
        <w:t>inflacionista</w:t>
      </w:r>
      <w:r w:rsidRPr="00420FD2">
        <w:rPr>
          <w:lang w:val="es-ES_tradnl"/>
        </w:rPr>
        <w:t>.</w:t>
      </w:r>
    </w:p>
    <w:p w:rsidR="00C21BE7" w:rsidRPr="00ED35E0" w:rsidRDefault="00C21BE7" w:rsidP="00D50044">
      <w:pPr>
        <w:pStyle w:val="TextoMichelin"/>
        <w:ind w:left="1276"/>
        <w:rPr>
          <w:lang w:val="es-ES_tradnl"/>
        </w:rPr>
      </w:pPr>
    </w:p>
    <w:p w:rsidR="00BF4FFF" w:rsidRPr="00ED35E0" w:rsidRDefault="00BF4FFF" w:rsidP="00BF4FFF">
      <w:pPr>
        <w:spacing w:before="480" w:after="120" w:line="270" w:lineRule="atLeast"/>
        <w:rPr>
          <w:b/>
          <w:sz w:val="26"/>
        </w:rPr>
      </w:pPr>
      <w:r w:rsidRPr="00ED35E0">
        <w:rPr>
          <w:b/>
          <w:sz w:val="26"/>
        </w:rPr>
        <w:t>Camión</w:t>
      </w:r>
      <w:r w:rsidRPr="00ED35E0">
        <w:rPr>
          <w:b/>
          <w:sz w:val="26"/>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34"/>
        <w:gridCol w:w="1134"/>
        <w:gridCol w:w="1418"/>
        <w:gridCol w:w="1134"/>
        <w:gridCol w:w="1417"/>
        <w:gridCol w:w="851"/>
      </w:tblGrid>
      <w:tr w:rsidR="00BF4FFF" w:rsidRPr="00ED35E0">
        <w:trPr>
          <w:trHeight w:val="1002"/>
        </w:trPr>
        <w:tc>
          <w:tcPr>
            <w:tcW w:w="2376" w:type="dxa"/>
            <w:shd w:val="clear" w:color="auto" w:fill="E6E6E6"/>
          </w:tcPr>
          <w:p w:rsidR="00BF4FFF" w:rsidRPr="00ED35E0" w:rsidRDefault="00BF4FFF" w:rsidP="002435F5">
            <w:pPr>
              <w:pStyle w:val="LadilloMichelinDossier"/>
              <w:spacing w:before="0" w:after="0"/>
              <w:jc w:val="both"/>
              <w:rPr>
                <w:b w:val="0"/>
                <w:bCs/>
                <w:sz w:val="20"/>
                <w:vertAlign w:val="superscript"/>
                <w:lang w:val="es-ES_tradnl" w:bidi="es-ES_tradnl"/>
              </w:rPr>
            </w:pPr>
            <w:r w:rsidRPr="00ED35E0">
              <w:rPr>
                <w:rFonts w:ascii="Arial" w:hAnsi="Arial"/>
                <w:b w:val="0"/>
                <w:bCs/>
                <w:sz w:val="20"/>
                <w:lang w:val="es-ES_tradnl" w:bidi="es-ES_tradnl"/>
              </w:rPr>
              <w:t>201</w:t>
            </w:r>
            <w:r w:rsidR="002435F5" w:rsidRPr="00ED35E0">
              <w:rPr>
                <w:rFonts w:ascii="Arial" w:hAnsi="Arial"/>
                <w:b w:val="0"/>
                <w:bCs/>
                <w:sz w:val="20"/>
                <w:lang w:val="es-ES_tradnl" w:bidi="es-ES_tradnl"/>
              </w:rPr>
              <w:t>3</w:t>
            </w:r>
            <w:r w:rsidRPr="00ED35E0">
              <w:rPr>
                <w:rFonts w:ascii="Arial" w:hAnsi="Arial"/>
                <w:b w:val="0"/>
                <w:bCs/>
                <w:sz w:val="20"/>
                <w:lang w:val="es-ES_tradnl" w:bidi="es-ES_tradnl"/>
              </w:rPr>
              <w:t>/201</w:t>
            </w:r>
            <w:r w:rsidR="002435F5" w:rsidRPr="00ED35E0">
              <w:rPr>
                <w:rFonts w:ascii="Arial" w:hAnsi="Arial"/>
                <w:b w:val="0"/>
                <w:bCs/>
                <w:sz w:val="20"/>
                <w:lang w:val="es-ES_tradnl" w:bidi="es-ES_tradnl"/>
              </w:rPr>
              <w:t>2</w:t>
            </w:r>
            <w:r w:rsidRPr="00ED35E0">
              <w:rPr>
                <w:rFonts w:ascii="Arial" w:hAnsi="Arial"/>
                <w:b w:val="0"/>
                <w:bCs/>
                <w:sz w:val="20"/>
                <w:lang w:val="es-ES_tradnl" w:bidi="es-ES_tradnl"/>
              </w:rPr>
              <w:br/>
            </w:r>
            <w:r w:rsidRPr="00ED35E0">
              <w:rPr>
                <w:rFonts w:ascii="Arial" w:hAnsi="Arial"/>
                <w:b w:val="0"/>
                <w:bCs/>
                <w:sz w:val="18"/>
                <w:lang w:val="es-ES_tradnl" w:bidi="es-ES_tradnl"/>
              </w:rPr>
              <w:t>(número de neumáticos)</w:t>
            </w:r>
          </w:p>
        </w:tc>
        <w:tc>
          <w:tcPr>
            <w:tcW w:w="1134" w:type="dxa"/>
            <w:shd w:val="clear" w:color="auto" w:fill="E6E6E6"/>
          </w:tcPr>
          <w:p w:rsidR="00BF4FFF" w:rsidRPr="00ED35E0" w:rsidRDefault="00BF4FFF"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Europa</w:t>
            </w:r>
            <w:r w:rsidRPr="00ED35E0">
              <w:rPr>
                <w:rStyle w:val="FootnoteReference"/>
                <w:rFonts w:ascii="Arial" w:hAnsi="Arial"/>
                <w:b w:val="0"/>
                <w:bCs/>
                <w:sz w:val="32"/>
                <w:lang w:val="es-ES_tradnl" w:bidi="es-ES_tradnl"/>
              </w:rPr>
              <w:footnoteReference w:customMarkFollows="1" w:id="6"/>
              <w:sym w:font="Symbol" w:char="F02A"/>
            </w:r>
            <w:r w:rsidRPr="00ED35E0">
              <w:rPr>
                <w:rStyle w:val="FootnoteReference"/>
                <w:rFonts w:ascii="Arial" w:hAnsi="Arial"/>
                <w:b w:val="0"/>
                <w:bCs/>
                <w:sz w:val="32"/>
                <w:lang w:val="es-ES_tradnl" w:bidi="es-ES_tradnl"/>
              </w:rPr>
              <w:sym w:font="Symbol" w:char="F02A"/>
            </w:r>
          </w:p>
        </w:tc>
        <w:tc>
          <w:tcPr>
            <w:tcW w:w="1134" w:type="dxa"/>
            <w:shd w:val="clear" w:color="auto" w:fill="E6E6E6"/>
          </w:tcPr>
          <w:p w:rsidR="00BF4FFF" w:rsidRPr="00ED35E0" w:rsidRDefault="00BF4FFF"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América del Norte</w:t>
            </w:r>
          </w:p>
        </w:tc>
        <w:tc>
          <w:tcPr>
            <w:tcW w:w="1418" w:type="dxa"/>
            <w:shd w:val="clear" w:color="auto" w:fill="E6E6E6"/>
          </w:tcPr>
          <w:p w:rsidR="00BF4FFF" w:rsidRPr="00ED35E0" w:rsidRDefault="00BF4FFF"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t>Asia</w:t>
            </w:r>
          </w:p>
          <w:p w:rsidR="00BF4FFF" w:rsidRPr="00ED35E0" w:rsidRDefault="00BF4FFF" w:rsidP="001E3147">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w:t>
            </w:r>
            <w:r w:rsidR="001E3147" w:rsidRPr="00ED35E0">
              <w:rPr>
                <w:rFonts w:ascii="Arial" w:hAnsi="Arial"/>
                <w:b w:val="0"/>
                <w:bCs/>
                <w:sz w:val="20"/>
                <w:lang w:val="es-ES_tradnl" w:bidi="es-ES_tradnl"/>
              </w:rPr>
              <w:t xml:space="preserve">sin </w:t>
            </w:r>
            <w:r w:rsidRPr="00ED35E0">
              <w:rPr>
                <w:rFonts w:ascii="Arial" w:hAnsi="Arial"/>
                <w:b w:val="0"/>
                <w:bCs/>
                <w:sz w:val="20"/>
                <w:lang w:val="es-ES_tradnl" w:bidi="es-ES_tradnl"/>
              </w:rPr>
              <w:t>India)</w:t>
            </w:r>
          </w:p>
        </w:tc>
        <w:tc>
          <w:tcPr>
            <w:tcW w:w="1134" w:type="dxa"/>
            <w:shd w:val="clear" w:color="auto" w:fill="E6E6E6"/>
          </w:tcPr>
          <w:p w:rsidR="00BF4FFF" w:rsidRPr="00ED35E0" w:rsidRDefault="00BF4FFF"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América del Sur</w:t>
            </w:r>
          </w:p>
        </w:tc>
        <w:tc>
          <w:tcPr>
            <w:tcW w:w="1417" w:type="dxa"/>
            <w:shd w:val="clear" w:color="auto" w:fill="E6E6E6"/>
          </w:tcPr>
          <w:p w:rsidR="00BF4FFF" w:rsidRPr="00ED35E0" w:rsidRDefault="00BF4FFF"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África/India/ Oriente Medio</w:t>
            </w:r>
          </w:p>
        </w:tc>
        <w:tc>
          <w:tcPr>
            <w:tcW w:w="851" w:type="dxa"/>
            <w:shd w:val="clear" w:color="auto" w:fill="E6E6E6"/>
          </w:tcPr>
          <w:p w:rsidR="00BF4FFF" w:rsidRPr="00ED35E0" w:rsidRDefault="00BF4FFF"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Total</w:t>
            </w:r>
          </w:p>
        </w:tc>
      </w:tr>
      <w:tr w:rsidR="00C21BE7" w:rsidRPr="00ED35E0">
        <w:tc>
          <w:tcPr>
            <w:tcW w:w="2376" w:type="dxa"/>
          </w:tcPr>
          <w:p w:rsidR="00C21BE7" w:rsidRPr="00ED35E0" w:rsidRDefault="00C21BE7"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t>Primer</w:t>
            </w:r>
            <w:r w:rsidR="009A3FF9">
              <w:rPr>
                <w:rFonts w:ascii="Arial" w:hAnsi="Arial"/>
                <w:b w:val="0"/>
                <w:bCs/>
                <w:sz w:val="20"/>
                <w:lang w:val="es-ES_tradnl" w:bidi="es-ES_tradnl"/>
              </w:rPr>
              <w:t>a monta</w:t>
            </w:r>
            <w:r w:rsidRPr="00ED35E0">
              <w:rPr>
                <w:rStyle w:val="FootnoteReference"/>
                <w:rFonts w:ascii="Arial" w:hAnsi="Arial"/>
                <w:b w:val="0"/>
                <w:bCs/>
                <w:sz w:val="32"/>
                <w:lang w:val="es-ES_tradnl" w:bidi="es-ES_tradnl"/>
              </w:rPr>
              <w:footnoteReference w:customMarkFollows="1" w:id="7"/>
              <w:sym w:font="Symbol" w:char="F02A"/>
            </w:r>
          </w:p>
          <w:p w:rsidR="00C21BE7" w:rsidRPr="00ED35E0" w:rsidRDefault="00C21BE7" w:rsidP="00BF4FFF">
            <w:pPr>
              <w:pStyle w:val="LadilloMichelinDossier"/>
              <w:spacing w:before="0" w:after="0"/>
              <w:jc w:val="both"/>
              <w:rPr>
                <w:rFonts w:ascii="Arial" w:hAnsi="Arial"/>
                <w:b w:val="0"/>
                <w:bCs/>
                <w:sz w:val="20"/>
                <w:lang w:val="es-ES_tradnl" w:bidi="es-ES_tradnl"/>
              </w:rPr>
            </w:pPr>
          </w:p>
          <w:p w:rsidR="00C21BE7" w:rsidRPr="00ED35E0" w:rsidRDefault="00C21BE7"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t>Reemplazo</w:t>
            </w:r>
            <w:r w:rsidRPr="00ED35E0">
              <w:rPr>
                <w:rStyle w:val="FootnoteReference"/>
                <w:rFonts w:ascii="Arial" w:hAnsi="Arial"/>
                <w:b w:val="0"/>
                <w:bCs/>
                <w:sz w:val="32"/>
                <w:lang w:val="es-ES_tradnl" w:bidi="es-ES_tradnl"/>
              </w:rPr>
              <w:footnoteReference w:customMarkFollows="1" w:id="8"/>
              <w:sym w:font="Symbol" w:char="F02A"/>
            </w:r>
          </w:p>
          <w:p w:rsidR="00C21BE7" w:rsidRPr="00ED35E0" w:rsidRDefault="00C21BE7" w:rsidP="00BF4FFF">
            <w:pPr>
              <w:pStyle w:val="LadilloMichelinDossier"/>
              <w:spacing w:before="0" w:after="0"/>
              <w:jc w:val="both"/>
              <w:rPr>
                <w:b w:val="0"/>
                <w:bCs/>
                <w:sz w:val="20"/>
                <w:lang w:val="es-ES_tradnl" w:bidi="es-ES_tradnl"/>
              </w:rPr>
            </w:pPr>
          </w:p>
        </w:tc>
        <w:tc>
          <w:tcPr>
            <w:tcW w:w="1134" w:type="dxa"/>
          </w:tcPr>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+ 4 %</w:t>
            </w:r>
          </w:p>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+ 8 %</w:t>
            </w:r>
          </w:p>
        </w:tc>
        <w:tc>
          <w:tcPr>
            <w:tcW w:w="1134" w:type="dxa"/>
          </w:tcPr>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- 7 %</w:t>
            </w:r>
          </w:p>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- 2 %</w:t>
            </w:r>
          </w:p>
        </w:tc>
        <w:tc>
          <w:tcPr>
            <w:tcW w:w="1418" w:type="dxa"/>
          </w:tcPr>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+ 12 %</w:t>
            </w:r>
          </w:p>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+ 5 %</w:t>
            </w:r>
          </w:p>
        </w:tc>
        <w:tc>
          <w:tcPr>
            <w:tcW w:w="1134" w:type="dxa"/>
          </w:tcPr>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+ 40 %</w:t>
            </w:r>
          </w:p>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+ 10 %</w:t>
            </w:r>
          </w:p>
        </w:tc>
        <w:tc>
          <w:tcPr>
            <w:tcW w:w="1417" w:type="dxa"/>
          </w:tcPr>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- 13 %</w:t>
            </w:r>
          </w:p>
          <w:p w:rsidR="00C21BE7" w:rsidRPr="00ED35E0" w:rsidRDefault="00C21BE7" w:rsidP="00304CDE">
            <w:pPr>
              <w:tabs>
                <w:tab w:val="left" w:pos="284"/>
              </w:tabs>
              <w:jc w:val="center"/>
              <w:rPr>
                <w:rFonts w:ascii="Arial" w:eastAsia="MS Mincho" w:hAnsi="Arial" w:cs="Arial"/>
                <w:b/>
                <w:snapToGrid w:val="0"/>
                <w:sz w:val="20"/>
                <w:szCs w:val="18"/>
              </w:rPr>
            </w:pPr>
          </w:p>
          <w:p w:rsidR="00C21BE7" w:rsidRPr="00ED35E0" w:rsidRDefault="00C21BE7"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+ 8 %</w:t>
            </w:r>
          </w:p>
        </w:tc>
        <w:tc>
          <w:tcPr>
            <w:tcW w:w="851" w:type="dxa"/>
          </w:tcPr>
          <w:p w:rsidR="00C21BE7" w:rsidRPr="00ED35E0" w:rsidRDefault="00C21BE7" w:rsidP="00304CDE">
            <w:pPr>
              <w:tabs>
                <w:tab w:val="left" w:pos="1168"/>
              </w:tabs>
              <w:ind w:right="-108"/>
              <w:jc w:val="center"/>
              <w:rPr>
                <w:rFonts w:ascii="Arial" w:eastAsia="MS Mincho" w:hAnsi="Arial" w:cs="Arial"/>
                <w:b/>
                <w:snapToGrid w:val="0"/>
                <w:sz w:val="20"/>
                <w:szCs w:val="18"/>
              </w:rPr>
            </w:pPr>
          </w:p>
          <w:p w:rsidR="00C21BE7" w:rsidRPr="00ED35E0" w:rsidRDefault="00C21BE7" w:rsidP="00304CDE">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p w:rsidR="00C21BE7" w:rsidRPr="00ED35E0" w:rsidRDefault="00C21BE7" w:rsidP="00304CDE">
            <w:pPr>
              <w:tabs>
                <w:tab w:val="left" w:pos="1168"/>
              </w:tabs>
              <w:ind w:right="-108"/>
              <w:jc w:val="center"/>
              <w:rPr>
                <w:rFonts w:ascii="Arial" w:eastAsia="MS Mincho" w:hAnsi="Arial" w:cs="Arial"/>
                <w:b/>
                <w:snapToGrid w:val="0"/>
                <w:sz w:val="20"/>
                <w:szCs w:val="18"/>
              </w:rPr>
            </w:pPr>
          </w:p>
          <w:p w:rsidR="00C21BE7" w:rsidRPr="00ED35E0" w:rsidRDefault="00C21BE7" w:rsidP="00304CDE">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+ 5 %</w:t>
            </w:r>
          </w:p>
        </w:tc>
      </w:tr>
    </w:tbl>
    <w:p w:rsidR="00BF4FFF" w:rsidRPr="00ED35E0" w:rsidRDefault="00BF4FFF" w:rsidP="00BF4FFF">
      <w:pPr>
        <w:spacing w:before="480" w:after="120" w:line="270" w:lineRule="atLeast"/>
        <w:rPr>
          <w:b/>
          <w:sz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gridCol w:w="1276"/>
        <w:gridCol w:w="1276"/>
        <w:gridCol w:w="1417"/>
        <w:gridCol w:w="993"/>
      </w:tblGrid>
      <w:tr w:rsidR="00BF4FFF" w:rsidRPr="00ED35E0">
        <w:trPr>
          <w:trHeight w:val="890"/>
        </w:trPr>
        <w:tc>
          <w:tcPr>
            <w:tcW w:w="2235" w:type="dxa"/>
            <w:shd w:val="clear" w:color="auto" w:fill="E6E6E6"/>
          </w:tcPr>
          <w:p w:rsidR="00BF4FFF" w:rsidRPr="00ED35E0" w:rsidRDefault="00304CDE" w:rsidP="00BF4FFF">
            <w:pPr>
              <w:pStyle w:val="LadilloMichelinDossier"/>
              <w:spacing w:before="0" w:after="0"/>
              <w:rPr>
                <w:rFonts w:ascii="Arial" w:hAnsi="Arial"/>
                <w:b w:val="0"/>
                <w:bCs/>
                <w:sz w:val="20"/>
                <w:lang w:val="es-ES_tradnl" w:bidi="es-ES_tradnl"/>
              </w:rPr>
            </w:pPr>
            <w:r w:rsidRPr="00ED35E0">
              <w:rPr>
                <w:rFonts w:ascii="Arial" w:hAnsi="Arial"/>
                <w:b w:val="0"/>
                <w:bCs/>
                <w:sz w:val="20"/>
                <w:lang w:val="es-ES_tradnl" w:bidi="es-ES_tradnl"/>
              </w:rPr>
              <w:t>Cua</w:t>
            </w:r>
            <w:r w:rsidR="00BF4FFF" w:rsidRPr="00ED35E0">
              <w:rPr>
                <w:rFonts w:ascii="Arial" w:hAnsi="Arial"/>
                <w:b w:val="0"/>
                <w:bCs/>
                <w:sz w:val="20"/>
                <w:lang w:val="es-ES_tradnl" w:bidi="es-ES_tradnl"/>
              </w:rPr>
              <w:t>r</w:t>
            </w:r>
            <w:r w:rsidRPr="00ED35E0">
              <w:rPr>
                <w:rFonts w:ascii="Arial" w:hAnsi="Arial"/>
                <w:b w:val="0"/>
                <w:bCs/>
                <w:sz w:val="20"/>
                <w:lang w:val="es-ES_tradnl" w:bidi="es-ES_tradnl"/>
              </w:rPr>
              <w:t>to</w:t>
            </w:r>
            <w:r w:rsidR="00BF4FFF" w:rsidRPr="00ED35E0">
              <w:rPr>
                <w:rFonts w:ascii="Arial" w:hAnsi="Arial"/>
                <w:b w:val="0"/>
                <w:bCs/>
                <w:sz w:val="20"/>
                <w:lang w:val="es-ES_tradnl" w:bidi="es-ES_tradnl"/>
              </w:rPr>
              <w:t xml:space="preserve"> trimestre</w:t>
            </w:r>
          </w:p>
          <w:p w:rsidR="00BF4FFF" w:rsidRPr="00ED35E0" w:rsidRDefault="00BF4FFF" w:rsidP="002435F5">
            <w:pPr>
              <w:pStyle w:val="LadilloMichelinDossier"/>
              <w:spacing w:before="0" w:after="0"/>
              <w:rPr>
                <w:b w:val="0"/>
                <w:bCs/>
                <w:sz w:val="20"/>
                <w:lang w:val="es-ES_tradnl" w:bidi="es-ES_tradnl"/>
              </w:rPr>
            </w:pPr>
            <w:r w:rsidRPr="00ED35E0">
              <w:rPr>
                <w:rFonts w:ascii="Arial" w:hAnsi="Arial"/>
                <w:b w:val="0"/>
                <w:bCs/>
                <w:sz w:val="20"/>
                <w:lang w:val="es-ES_tradnl" w:bidi="es-ES_tradnl"/>
              </w:rPr>
              <w:t>201</w:t>
            </w:r>
            <w:r w:rsidR="002435F5" w:rsidRPr="00ED35E0">
              <w:rPr>
                <w:rFonts w:ascii="Arial" w:hAnsi="Arial"/>
                <w:b w:val="0"/>
                <w:bCs/>
                <w:sz w:val="20"/>
                <w:lang w:val="es-ES_tradnl" w:bidi="es-ES_tradnl"/>
              </w:rPr>
              <w:t>3</w:t>
            </w:r>
            <w:r w:rsidRPr="00ED35E0">
              <w:rPr>
                <w:rFonts w:ascii="Arial" w:hAnsi="Arial"/>
                <w:b w:val="0"/>
                <w:bCs/>
                <w:sz w:val="20"/>
                <w:lang w:val="es-ES_tradnl" w:bidi="es-ES_tradnl"/>
              </w:rPr>
              <w:t>/201</w:t>
            </w:r>
            <w:r w:rsidR="002435F5" w:rsidRPr="00ED35E0">
              <w:rPr>
                <w:rFonts w:ascii="Arial" w:hAnsi="Arial"/>
                <w:b w:val="0"/>
                <w:bCs/>
                <w:sz w:val="20"/>
                <w:lang w:val="es-ES_tradnl" w:bidi="es-ES_tradnl"/>
              </w:rPr>
              <w:t>2</w:t>
            </w:r>
            <w:r w:rsidRPr="00ED35E0">
              <w:rPr>
                <w:rFonts w:ascii="Arial" w:hAnsi="Arial"/>
                <w:b w:val="0"/>
                <w:bCs/>
                <w:sz w:val="20"/>
                <w:lang w:val="es-ES_tradnl" w:bidi="es-ES_tradnl"/>
              </w:rPr>
              <w:br/>
            </w:r>
            <w:r w:rsidRPr="00ED35E0">
              <w:rPr>
                <w:rFonts w:ascii="Arial" w:hAnsi="Arial"/>
                <w:b w:val="0"/>
                <w:bCs/>
                <w:sz w:val="18"/>
                <w:lang w:val="es-ES_tradnl" w:bidi="es-ES_tradnl"/>
              </w:rPr>
              <w:t>(número de neumáticos)</w:t>
            </w:r>
          </w:p>
        </w:tc>
        <w:tc>
          <w:tcPr>
            <w:tcW w:w="1134"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Europa</w:t>
            </w:r>
            <w:r w:rsidRPr="00ED35E0">
              <w:rPr>
                <w:rStyle w:val="FootnoteReference"/>
                <w:rFonts w:ascii="Arial" w:hAnsi="Arial"/>
                <w:b w:val="0"/>
                <w:bCs/>
                <w:sz w:val="32"/>
                <w:lang w:val="es-ES_tradnl" w:bidi="es-ES_tradnl"/>
              </w:rPr>
              <w:footnoteReference w:customMarkFollows="1" w:id="9"/>
              <w:sym w:font="Symbol" w:char="F02A"/>
            </w:r>
            <w:r w:rsidRPr="00ED35E0">
              <w:rPr>
                <w:rStyle w:val="FootnoteReference"/>
                <w:rFonts w:ascii="Arial" w:hAnsi="Arial"/>
                <w:b w:val="0"/>
                <w:bCs/>
                <w:sz w:val="32"/>
                <w:lang w:val="es-ES_tradnl" w:bidi="es-ES_tradnl"/>
              </w:rPr>
              <w:sym w:font="Symbol" w:char="F02A"/>
            </w:r>
          </w:p>
        </w:tc>
        <w:tc>
          <w:tcPr>
            <w:tcW w:w="1275"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 xml:space="preserve">América </w:t>
            </w:r>
            <w:r w:rsidRPr="00ED35E0">
              <w:rPr>
                <w:rFonts w:ascii="Arial" w:hAnsi="Arial"/>
                <w:b w:val="0"/>
                <w:bCs/>
                <w:sz w:val="20"/>
                <w:lang w:val="es-ES_tradnl" w:bidi="es-ES_tradnl"/>
              </w:rPr>
              <w:br/>
              <w:t>del Norte</w:t>
            </w:r>
          </w:p>
        </w:tc>
        <w:tc>
          <w:tcPr>
            <w:tcW w:w="1276" w:type="dxa"/>
            <w:shd w:val="clear" w:color="auto" w:fill="E6E6E6"/>
          </w:tcPr>
          <w:p w:rsidR="00BF4FFF" w:rsidRPr="00ED35E0" w:rsidRDefault="00BF4FFF" w:rsidP="00BF4FFF">
            <w:pPr>
              <w:pStyle w:val="LadilloMichelinDossier"/>
              <w:spacing w:before="0" w:after="0"/>
              <w:rPr>
                <w:rFonts w:ascii="Arial" w:hAnsi="Arial"/>
                <w:b w:val="0"/>
                <w:bCs/>
                <w:sz w:val="20"/>
                <w:lang w:val="es-ES_tradnl" w:bidi="es-ES_tradnl"/>
              </w:rPr>
            </w:pPr>
            <w:r w:rsidRPr="00ED35E0">
              <w:rPr>
                <w:rFonts w:ascii="Arial" w:hAnsi="Arial"/>
                <w:b w:val="0"/>
                <w:bCs/>
                <w:sz w:val="20"/>
                <w:lang w:val="es-ES_tradnl" w:bidi="es-ES_tradnl"/>
              </w:rPr>
              <w:t>Asia</w:t>
            </w:r>
          </w:p>
          <w:p w:rsidR="00BF4FFF" w:rsidRPr="00ED35E0" w:rsidRDefault="00BF4FFF" w:rsidP="001E3147">
            <w:pPr>
              <w:pStyle w:val="LadilloMichelinDossier"/>
              <w:spacing w:before="0" w:after="0"/>
              <w:rPr>
                <w:b w:val="0"/>
                <w:bCs/>
                <w:sz w:val="20"/>
                <w:lang w:val="es-ES_tradnl" w:bidi="es-ES_tradnl"/>
              </w:rPr>
            </w:pPr>
            <w:r w:rsidRPr="00ED35E0">
              <w:rPr>
                <w:rFonts w:ascii="Arial" w:hAnsi="Arial"/>
                <w:b w:val="0"/>
                <w:bCs/>
                <w:sz w:val="20"/>
                <w:lang w:val="es-ES_tradnl" w:bidi="es-ES_tradnl"/>
              </w:rPr>
              <w:t>(</w:t>
            </w:r>
            <w:r w:rsidR="001E3147" w:rsidRPr="00ED35E0">
              <w:rPr>
                <w:rFonts w:ascii="Arial" w:hAnsi="Arial"/>
                <w:b w:val="0"/>
                <w:bCs/>
                <w:sz w:val="20"/>
                <w:lang w:val="es-ES_tradnl" w:bidi="es-ES_tradnl"/>
              </w:rPr>
              <w:t xml:space="preserve">sin </w:t>
            </w:r>
            <w:r w:rsidRPr="00ED35E0">
              <w:rPr>
                <w:rFonts w:ascii="Arial" w:hAnsi="Arial"/>
                <w:b w:val="0"/>
                <w:bCs/>
                <w:sz w:val="20"/>
                <w:lang w:val="es-ES_tradnl" w:bidi="es-ES_tradnl"/>
              </w:rPr>
              <w:t>India)</w:t>
            </w:r>
          </w:p>
        </w:tc>
        <w:tc>
          <w:tcPr>
            <w:tcW w:w="1276"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 xml:space="preserve">América </w:t>
            </w:r>
            <w:r w:rsidRPr="00ED35E0">
              <w:rPr>
                <w:rFonts w:ascii="Arial" w:hAnsi="Arial"/>
                <w:b w:val="0"/>
                <w:bCs/>
                <w:sz w:val="20"/>
                <w:lang w:val="es-ES_tradnl" w:bidi="es-ES_tradnl"/>
              </w:rPr>
              <w:br/>
              <w:t>del Sur</w:t>
            </w:r>
          </w:p>
        </w:tc>
        <w:tc>
          <w:tcPr>
            <w:tcW w:w="1417"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África/India/Oriente Medio</w:t>
            </w:r>
          </w:p>
        </w:tc>
        <w:tc>
          <w:tcPr>
            <w:tcW w:w="993" w:type="dxa"/>
            <w:shd w:val="clear" w:color="auto" w:fill="E6E6E6"/>
          </w:tcPr>
          <w:p w:rsidR="00BF4FFF" w:rsidRPr="00ED35E0" w:rsidRDefault="00BF4FFF" w:rsidP="00BF4FFF">
            <w:pPr>
              <w:pStyle w:val="LadilloMichelinDossier"/>
              <w:spacing w:before="0" w:after="0"/>
              <w:rPr>
                <w:b w:val="0"/>
                <w:bCs/>
                <w:sz w:val="20"/>
                <w:lang w:val="es-ES_tradnl" w:bidi="es-ES_tradnl"/>
              </w:rPr>
            </w:pPr>
            <w:r w:rsidRPr="00ED35E0">
              <w:rPr>
                <w:rFonts w:ascii="Arial" w:hAnsi="Arial"/>
                <w:b w:val="0"/>
                <w:bCs/>
                <w:sz w:val="20"/>
                <w:lang w:val="es-ES_tradnl" w:bidi="es-ES_tradnl"/>
              </w:rPr>
              <w:t>Total</w:t>
            </w:r>
          </w:p>
        </w:tc>
      </w:tr>
      <w:tr w:rsidR="00304CDE" w:rsidRPr="00ED35E0">
        <w:trPr>
          <w:trHeight w:val="1271"/>
        </w:trPr>
        <w:tc>
          <w:tcPr>
            <w:tcW w:w="2235" w:type="dxa"/>
          </w:tcPr>
          <w:p w:rsidR="00304CDE" w:rsidRPr="00ED35E0" w:rsidRDefault="00304CDE"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t>Primer</w:t>
            </w:r>
            <w:r w:rsidR="00867D3B">
              <w:rPr>
                <w:rFonts w:ascii="Arial" w:hAnsi="Arial"/>
                <w:b w:val="0"/>
                <w:bCs/>
                <w:sz w:val="20"/>
                <w:lang w:val="es-ES_tradnl" w:bidi="es-ES_tradnl"/>
              </w:rPr>
              <w:t>a monta</w:t>
            </w:r>
            <w:r w:rsidRPr="00ED35E0">
              <w:rPr>
                <w:rStyle w:val="FootnoteReference"/>
                <w:rFonts w:ascii="Arial" w:hAnsi="Arial"/>
                <w:b w:val="0"/>
                <w:bCs/>
                <w:sz w:val="32"/>
                <w:lang w:val="es-ES_tradnl" w:bidi="es-ES_tradnl"/>
              </w:rPr>
              <w:footnoteReference w:customMarkFollows="1" w:id="10"/>
              <w:sym w:font="Symbol" w:char="F02A"/>
            </w:r>
          </w:p>
          <w:p w:rsidR="00304CDE" w:rsidRPr="00ED35E0" w:rsidRDefault="00304CDE" w:rsidP="00BF4FFF">
            <w:pPr>
              <w:pStyle w:val="LadilloMichelinDossier"/>
              <w:spacing w:before="0" w:after="0"/>
              <w:jc w:val="both"/>
              <w:rPr>
                <w:rFonts w:ascii="Arial" w:hAnsi="Arial"/>
                <w:b w:val="0"/>
                <w:bCs/>
                <w:sz w:val="20"/>
                <w:lang w:val="es-ES_tradnl" w:bidi="es-ES_tradnl"/>
              </w:rPr>
            </w:pPr>
            <w:r w:rsidRPr="00ED35E0">
              <w:rPr>
                <w:rFonts w:ascii="Arial" w:hAnsi="Arial"/>
                <w:b w:val="0"/>
                <w:bCs/>
                <w:sz w:val="20"/>
                <w:lang w:val="es-ES_tradnl" w:bidi="es-ES_tradnl"/>
              </w:rPr>
              <w:t xml:space="preserve">     </w:t>
            </w:r>
          </w:p>
          <w:p w:rsidR="00304CDE" w:rsidRPr="00ED35E0" w:rsidRDefault="00304CDE" w:rsidP="00BF4FFF">
            <w:pPr>
              <w:pStyle w:val="LadilloMichelinDossier"/>
              <w:spacing w:before="0" w:after="0"/>
              <w:jc w:val="both"/>
              <w:rPr>
                <w:b w:val="0"/>
                <w:bCs/>
                <w:sz w:val="20"/>
                <w:lang w:val="es-ES_tradnl" w:bidi="es-ES_tradnl"/>
              </w:rPr>
            </w:pPr>
            <w:r w:rsidRPr="00ED35E0">
              <w:rPr>
                <w:rFonts w:ascii="Arial" w:hAnsi="Arial"/>
                <w:b w:val="0"/>
                <w:bCs/>
                <w:sz w:val="20"/>
                <w:lang w:val="es-ES_tradnl" w:bidi="es-ES_tradnl"/>
              </w:rPr>
              <w:t>Reemplazo</w:t>
            </w:r>
            <w:r w:rsidRPr="00ED35E0">
              <w:rPr>
                <w:rStyle w:val="FootnoteReference"/>
                <w:rFonts w:ascii="Arial" w:hAnsi="Arial"/>
                <w:b w:val="0"/>
                <w:bCs/>
                <w:sz w:val="32"/>
                <w:lang w:val="es-ES_tradnl" w:bidi="es-ES_tradnl"/>
              </w:rPr>
              <w:footnoteReference w:customMarkFollows="1" w:id="11"/>
              <w:sym w:font="Symbol" w:char="F02A"/>
            </w:r>
          </w:p>
        </w:tc>
        <w:tc>
          <w:tcPr>
            <w:tcW w:w="1134" w:type="dxa"/>
          </w:tcPr>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+ 17 %</w:t>
            </w:r>
          </w:p>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p w:rsidR="00304CDE" w:rsidRPr="00ED35E0" w:rsidRDefault="00304CDE" w:rsidP="00304CDE">
            <w:pPr>
              <w:tabs>
                <w:tab w:val="left" w:pos="284"/>
              </w:tabs>
              <w:jc w:val="center"/>
              <w:rPr>
                <w:rFonts w:ascii="Arial" w:eastAsia="MS Mincho" w:hAnsi="Arial" w:cs="Arial"/>
                <w:b/>
                <w:snapToGrid w:val="0"/>
                <w:sz w:val="20"/>
                <w:szCs w:val="18"/>
              </w:rPr>
            </w:pPr>
          </w:p>
        </w:tc>
        <w:tc>
          <w:tcPr>
            <w:tcW w:w="1275" w:type="dxa"/>
          </w:tcPr>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- 2 %</w:t>
            </w:r>
          </w:p>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- 2 %</w:t>
            </w:r>
          </w:p>
        </w:tc>
        <w:tc>
          <w:tcPr>
            <w:tcW w:w="1276" w:type="dxa"/>
          </w:tcPr>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+ 17 %</w:t>
            </w:r>
          </w:p>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+ 7 %</w:t>
            </w:r>
          </w:p>
        </w:tc>
        <w:tc>
          <w:tcPr>
            <w:tcW w:w="1276" w:type="dxa"/>
          </w:tcPr>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+ 36 %</w:t>
            </w:r>
          </w:p>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+ 17 %</w:t>
            </w:r>
          </w:p>
        </w:tc>
        <w:tc>
          <w:tcPr>
            <w:tcW w:w="1417" w:type="dxa"/>
          </w:tcPr>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- 18 %</w:t>
            </w:r>
          </w:p>
          <w:p w:rsidR="00304CDE" w:rsidRPr="00ED35E0" w:rsidRDefault="00304CDE" w:rsidP="00304CDE">
            <w:pPr>
              <w:tabs>
                <w:tab w:val="left" w:pos="284"/>
              </w:tabs>
              <w:jc w:val="center"/>
              <w:rPr>
                <w:rFonts w:ascii="Arial" w:eastAsia="MS Mincho" w:hAnsi="Arial" w:cs="Arial"/>
                <w:b/>
                <w:snapToGrid w:val="0"/>
                <w:sz w:val="20"/>
                <w:szCs w:val="18"/>
              </w:rPr>
            </w:pPr>
          </w:p>
          <w:p w:rsidR="00304CDE" w:rsidRPr="00ED35E0" w:rsidRDefault="00304CDE" w:rsidP="00304CDE">
            <w:pPr>
              <w:tabs>
                <w:tab w:val="left" w:pos="284"/>
              </w:tabs>
              <w:jc w:val="center"/>
              <w:rPr>
                <w:rFonts w:ascii="Arial" w:eastAsia="MS Mincho" w:hAnsi="Arial" w:cs="Arial"/>
                <w:b/>
                <w:snapToGrid w:val="0"/>
                <w:sz w:val="20"/>
                <w:szCs w:val="18"/>
              </w:rPr>
            </w:pPr>
            <w:r w:rsidRPr="00ED35E0">
              <w:rPr>
                <w:rFonts w:ascii="Arial" w:eastAsia="MS Mincho" w:hAnsi="Arial" w:cs="Arial"/>
                <w:b/>
                <w:snapToGrid w:val="0"/>
                <w:sz w:val="20"/>
                <w:szCs w:val="18"/>
              </w:rPr>
              <w:t>+ 9 %</w:t>
            </w:r>
          </w:p>
        </w:tc>
        <w:tc>
          <w:tcPr>
            <w:tcW w:w="993" w:type="dxa"/>
          </w:tcPr>
          <w:p w:rsidR="00304CDE" w:rsidRPr="00ED35E0" w:rsidRDefault="00304CDE" w:rsidP="00304CDE">
            <w:pPr>
              <w:tabs>
                <w:tab w:val="left" w:pos="1168"/>
              </w:tabs>
              <w:ind w:right="-108"/>
              <w:jc w:val="center"/>
              <w:rPr>
                <w:rFonts w:ascii="Arial" w:eastAsia="MS Mincho" w:hAnsi="Arial" w:cs="Arial"/>
                <w:b/>
                <w:snapToGrid w:val="0"/>
                <w:sz w:val="20"/>
                <w:szCs w:val="18"/>
              </w:rPr>
            </w:pPr>
          </w:p>
          <w:p w:rsidR="00304CDE" w:rsidRPr="00ED35E0" w:rsidRDefault="00304CDE" w:rsidP="00304CDE">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+ 11 %</w:t>
            </w:r>
          </w:p>
          <w:p w:rsidR="00304CDE" w:rsidRPr="00ED35E0" w:rsidRDefault="00304CDE" w:rsidP="00304CDE">
            <w:pPr>
              <w:tabs>
                <w:tab w:val="left" w:pos="1168"/>
              </w:tabs>
              <w:ind w:right="-108"/>
              <w:jc w:val="center"/>
              <w:rPr>
                <w:rFonts w:ascii="Arial" w:eastAsia="MS Mincho" w:hAnsi="Arial" w:cs="Arial"/>
                <w:b/>
                <w:snapToGrid w:val="0"/>
                <w:sz w:val="20"/>
                <w:szCs w:val="18"/>
              </w:rPr>
            </w:pPr>
          </w:p>
          <w:p w:rsidR="00304CDE" w:rsidRPr="00ED35E0" w:rsidRDefault="00304CDE" w:rsidP="00304CDE">
            <w:pPr>
              <w:tabs>
                <w:tab w:val="left" w:pos="1168"/>
              </w:tabs>
              <w:ind w:right="-108"/>
              <w:jc w:val="center"/>
              <w:rPr>
                <w:rFonts w:ascii="Arial" w:eastAsia="MS Mincho" w:hAnsi="Arial" w:cs="Arial"/>
                <w:b/>
                <w:snapToGrid w:val="0"/>
                <w:sz w:val="20"/>
                <w:szCs w:val="18"/>
              </w:rPr>
            </w:pPr>
            <w:r w:rsidRPr="00ED35E0">
              <w:rPr>
                <w:rFonts w:ascii="Arial" w:eastAsia="MS Mincho" w:hAnsi="Arial" w:cs="Arial"/>
                <w:b/>
                <w:snapToGrid w:val="0"/>
                <w:sz w:val="20"/>
                <w:szCs w:val="18"/>
              </w:rPr>
              <w:t>+ 6 %</w:t>
            </w:r>
          </w:p>
        </w:tc>
      </w:tr>
    </w:tbl>
    <w:p w:rsidR="00D50044" w:rsidRPr="00836DB3" w:rsidRDefault="00BF4FFF" w:rsidP="00867D3B">
      <w:pPr>
        <w:pStyle w:val="TextoMichelin"/>
        <w:numPr>
          <w:ilvl w:val="0"/>
          <w:numId w:val="38"/>
        </w:numPr>
        <w:ind w:left="1276"/>
        <w:rPr>
          <w:rFonts w:hAnsi="Arial Unicode MS"/>
          <w:lang w:val="es-ES_tradnl"/>
        </w:rPr>
      </w:pPr>
      <w:r w:rsidRPr="00ED35E0">
        <w:rPr>
          <w:b/>
          <w:bCs/>
          <w:lang w:bidi="es-ES_tradnl"/>
        </w:rPr>
        <w:t>Primer</w:t>
      </w:r>
      <w:r w:rsidR="00867D3B">
        <w:rPr>
          <w:b/>
          <w:bCs/>
          <w:lang w:bidi="es-ES_tradnl"/>
        </w:rPr>
        <w:t>a Monta</w:t>
      </w:r>
      <w:r w:rsidR="00597649" w:rsidRPr="00ED35E0">
        <w:rPr>
          <w:lang w:val="es-ES_tradnl"/>
        </w:rPr>
        <w:t>En Europ</w:t>
      </w:r>
      <w:r w:rsidR="00836DB3">
        <w:rPr>
          <w:lang w:val="es-ES_tradnl"/>
        </w:rPr>
        <w:t>a</w:t>
      </w:r>
      <w:r w:rsidR="00597649" w:rsidRPr="00ED35E0">
        <w:rPr>
          <w:lang w:val="es-ES_tradnl"/>
        </w:rPr>
        <w:t>, la demand</w:t>
      </w:r>
      <w:r w:rsidR="00166F6B">
        <w:rPr>
          <w:lang w:val="es-ES_tradnl"/>
        </w:rPr>
        <w:t xml:space="preserve">a se beneficia a final de año de las compras anticipadas de camiones, </w:t>
      </w:r>
      <w:r w:rsidR="00867D3B">
        <w:rPr>
          <w:lang w:val="es-ES_tradnl"/>
        </w:rPr>
        <w:t>como consecuencia de</w:t>
      </w:r>
      <w:r w:rsidR="00166F6B">
        <w:rPr>
          <w:lang w:val="es-ES_tradnl"/>
        </w:rPr>
        <w:t xml:space="preserve"> </w:t>
      </w:r>
      <w:r w:rsidR="00166F6B" w:rsidRPr="00836DB3">
        <w:rPr>
          <w:bCs/>
          <w:lang w:bidi="es-ES_tradnl"/>
        </w:rPr>
        <w:t>la entrada en vigor, el 1 de enero</w:t>
      </w:r>
      <w:r w:rsidR="00867D3B">
        <w:rPr>
          <w:bCs/>
          <w:lang w:bidi="es-ES_tradnl"/>
        </w:rPr>
        <w:t>de 2014</w:t>
      </w:r>
      <w:r w:rsidR="00166F6B" w:rsidRPr="00836DB3">
        <w:rPr>
          <w:bCs/>
          <w:lang w:bidi="es-ES_tradnl"/>
        </w:rPr>
        <w:t xml:space="preserve">, de las normas Euro </w:t>
      </w:r>
      <w:r w:rsidR="00836DB3">
        <w:rPr>
          <w:bCs/>
          <w:lang w:bidi="es-ES_tradnl"/>
        </w:rPr>
        <w:t>VI.</w:t>
      </w:r>
    </w:p>
    <w:p w:rsidR="000F7BDA" w:rsidRDefault="00597649" w:rsidP="00196C7B">
      <w:pPr>
        <w:pStyle w:val="TextoMichelin"/>
        <w:numPr>
          <w:ilvl w:val="0"/>
          <w:numId w:val="38"/>
        </w:numPr>
        <w:ind w:left="1276"/>
        <w:rPr>
          <w:lang w:val="es-ES_tradnl"/>
        </w:rPr>
      </w:pPr>
      <w:r w:rsidRPr="00ED35E0">
        <w:rPr>
          <w:lang w:val="es-ES_tradnl"/>
        </w:rPr>
        <w:t xml:space="preserve">En </w:t>
      </w:r>
      <w:r w:rsidR="00836DB3" w:rsidRPr="0038277F">
        <w:rPr>
          <w:rFonts w:hAnsi="Arial Unicode MS"/>
        </w:rPr>
        <w:t>Am</w:t>
      </w:r>
      <w:r w:rsidR="00836DB3" w:rsidRPr="0038277F">
        <w:rPr>
          <w:rFonts w:hAnsi="Arial Unicode MS"/>
        </w:rPr>
        <w:t>é</w:t>
      </w:r>
      <w:r w:rsidR="00836DB3" w:rsidRPr="0038277F">
        <w:rPr>
          <w:rFonts w:hAnsi="Arial Unicode MS"/>
        </w:rPr>
        <w:t>rica del Norte</w:t>
      </w:r>
      <w:r w:rsidRPr="00ED35E0">
        <w:rPr>
          <w:lang w:val="es-ES_tradnl"/>
        </w:rPr>
        <w:t xml:space="preserve">, la </w:t>
      </w:r>
      <w:r w:rsidR="0059597C">
        <w:rPr>
          <w:rFonts w:hAnsi="Arial Unicode MS"/>
        </w:rPr>
        <w:t>demanda</w:t>
      </w:r>
      <w:r w:rsidRPr="00ED35E0">
        <w:rPr>
          <w:lang w:val="es-ES_tradnl"/>
        </w:rPr>
        <w:t xml:space="preserve">, </w:t>
      </w:r>
      <w:r w:rsidR="0059597C">
        <w:rPr>
          <w:lang w:val="es-ES_tradnl"/>
        </w:rPr>
        <w:t xml:space="preserve">átona en una gran parte del año, </w:t>
      </w:r>
      <w:r w:rsidR="000F7BDA">
        <w:rPr>
          <w:lang w:val="es-ES_tradnl"/>
        </w:rPr>
        <w:t>muestra signos de mejora en el último trimestre. El crecimiento de las compras de camión registradas en el cuarto trimestre podrían sostener el mercado a principios de 2014</w:t>
      </w:r>
      <w:r w:rsidR="00215F02">
        <w:rPr>
          <w:lang w:val="es-ES_tradnl"/>
        </w:rPr>
        <w:t>.</w:t>
      </w:r>
    </w:p>
    <w:p w:rsidR="00597649" w:rsidRPr="005C58BB" w:rsidRDefault="00785613" w:rsidP="005C58BB">
      <w:pPr>
        <w:pStyle w:val="TextoMichelin"/>
        <w:numPr>
          <w:ilvl w:val="0"/>
          <w:numId w:val="38"/>
        </w:numPr>
        <w:ind w:left="1276"/>
        <w:rPr>
          <w:lang w:val="es-ES_tradnl"/>
        </w:rPr>
      </w:pPr>
      <w:r w:rsidRPr="0038277F">
        <w:rPr>
          <w:rFonts w:hAnsi="Arial Unicode MS"/>
        </w:rPr>
        <w:t>En Asia (sin incluir India), la demanda crece un</w:t>
      </w:r>
      <w:r w:rsidR="00597649" w:rsidRPr="00ED35E0">
        <w:rPr>
          <w:lang w:val="es-ES_tradnl"/>
        </w:rPr>
        <w:t xml:space="preserve"> 12 %. </w:t>
      </w:r>
      <w:r w:rsidR="007426BD" w:rsidRPr="0038277F">
        <w:rPr>
          <w:rFonts w:hAnsi="Arial Unicode MS"/>
        </w:rPr>
        <w:t xml:space="preserve">En China, </w:t>
      </w:r>
      <w:r w:rsidR="007426BD">
        <w:rPr>
          <w:rFonts w:hAnsi="Arial Unicode MS"/>
        </w:rPr>
        <w:t>el mercado</w:t>
      </w:r>
      <w:r w:rsidR="007426BD" w:rsidRPr="00ED35E0">
        <w:rPr>
          <w:lang w:val="es-ES_tradnl"/>
        </w:rPr>
        <w:t xml:space="preserve"> </w:t>
      </w:r>
      <w:r w:rsidR="007426BD">
        <w:rPr>
          <w:lang w:val="es-ES_tradnl"/>
        </w:rPr>
        <w:t xml:space="preserve"> aumenta un </w:t>
      </w:r>
      <w:r w:rsidR="00597649" w:rsidRPr="00ED35E0">
        <w:rPr>
          <w:lang w:val="es-ES_tradnl"/>
        </w:rPr>
        <w:t xml:space="preserve">14 %, </w:t>
      </w:r>
      <w:r w:rsidR="007426BD">
        <w:rPr>
          <w:lang w:val="es-ES_tradnl"/>
        </w:rPr>
        <w:t>con un crecimiento acentuado en los segmento</w:t>
      </w:r>
      <w:r w:rsidR="00215F02">
        <w:rPr>
          <w:lang w:val="es-ES_tradnl"/>
        </w:rPr>
        <w:t>s</w:t>
      </w:r>
      <w:r w:rsidR="007426BD">
        <w:rPr>
          <w:lang w:val="es-ES_tradnl"/>
        </w:rPr>
        <w:t xml:space="preserve"> de Camiones Pesados y Autocares. En el Sudeste asiático, la demanda de neumáticos radiales, que había aumentado un 28 % en el primer trimestre, cae</w:t>
      </w:r>
      <w:r w:rsidR="00DC2438">
        <w:rPr>
          <w:lang w:val="es-ES_tradnl"/>
        </w:rPr>
        <w:t xml:space="preserve"> un</w:t>
      </w:r>
      <w:r w:rsidR="00597649" w:rsidRPr="00ED35E0">
        <w:rPr>
          <w:lang w:val="es-ES_tradnl"/>
        </w:rPr>
        <w:t xml:space="preserve"> 4 %, </w:t>
      </w:r>
      <w:r w:rsidR="00DC2438">
        <w:rPr>
          <w:lang w:val="es-ES_tradnl"/>
        </w:rPr>
        <w:t xml:space="preserve">especialmente con una fuerte bajada en Tailandia. En Japón, </w:t>
      </w:r>
      <w:r w:rsidRPr="005C58BB">
        <w:rPr>
          <w:rFonts w:hAnsi="Arial Unicode MS"/>
        </w:rPr>
        <w:t xml:space="preserve">el primer equipo </w:t>
      </w:r>
      <w:r w:rsidR="00DC2438" w:rsidRPr="005C58BB">
        <w:rPr>
          <w:bCs/>
          <w:lang w:bidi="es-ES_tradnl"/>
        </w:rPr>
        <w:t xml:space="preserve">repunta un 5 % anual y un 27 % en el cuatro trimestre, sostenido por la </w:t>
      </w:r>
      <w:r w:rsidR="005C58BB" w:rsidRPr="005C58BB">
        <w:rPr>
          <w:bCs/>
          <w:lang w:bidi="es-ES_tradnl"/>
        </w:rPr>
        <w:t>recuperación</w:t>
      </w:r>
      <w:r w:rsidR="00DC2438" w:rsidRPr="005C58BB">
        <w:rPr>
          <w:bCs/>
          <w:lang w:bidi="es-ES_tradnl"/>
        </w:rPr>
        <w:t xml:space="preserve"> de las exportaciones</w:t>
      </w:r>
      <w:r w:rsidRPr="005C58BB">
        <w:rPr>
          <w:rFonts w:hAnsi="Arial Unicode MS"/>
        </w:rPr>
        <w:t xml:space="preserve"> </w:t>
      </w:r>
      <w:r w:rsidR="00DC2438" w:rsidRPr="005C58BB">
        <w:rPr>
          <w:rFonts w:hAnsi="Arial Unicode MS"/>
        </w:rPr>
        <w:t xml:space="preserve">y la compras anticipadas de camiones antes de la subida del </w:t>
      </w:r>
      <w:r w:rsidR="00867D3B">
        <w:rPr>
          <w:rFonts w:hAnsi="Arial Unicode MS"/>
        </w:rPr>
        <w:t>I</w:t>
      </w:r>
      <w:r w:rsidR="00867D3B" w:rsidRPr="005C58BB">
        <w:rPr>
          <w:rFonts w:hAnsi="Arial Unicode MS"/>
        </w:rPr>
        <w:t>VA</w:t>
      </w:r>
      <w:r w:rsidRPr="005C58BB">
        <w:rPr>
          <w:rFonts w:hAnsi="Arial Unicode MS"/>
        </w:rPr>
        <w:t>.</w:t>
      </w:r>
    </w:p>
    <w:p w:rsidR="005C58BB" w:rsidRPr="0038277F" w:rsidRDefault="005C58BB" w:rsidP="0023135F">
      <w:pPr>
        <w:pStyle w:val="TextoMichelin"/>
        <w:numPr>
          <w:ilvl w:val="0"/>
          <w:numId w:val="38"/>
        </w:numPr>
        <w:ind w:left="1276"/>
      </w:pPr>
      <w:r w:rsidRPr="0038277F">
        <w:rPr>
          <w:rFonts w:hAnsi="Arial Unicode MS"/>
        </w:rPr>
        <w:t>En Sudam</w:t>
      </w:r>
      <w:r w:rsidRPr="0038277F">
        <w:rPr>
          <w:rFonts w:hAnsi="Arial Unicode MS"/>
        </w:rPr>
        <w:t>é</w:t>
      </w:r>
      <w:r w:rsidRPr="0038277F">
        <w:rPr>
          <w:rFonts w:hAnsi="Arial Unicode MS"/>
        </w:rPr>
        <w:t>rica,</w:t>
      </w:r>
      <w:r w:rsidRPr="005C58BB">
        <w:rPr>
          <w:rFonts w:hAnsi="Arial Unicode MS"/>
        </w:rPr>
        <w:t xml:space="preserve"> </w:t>
      </w:r>
      <w:r w:rsidRPr="0038277F">
        <w:rPr>
          <w:rFonts w:hAnsi="Arial Unicode MS"/>
        </w:rPr>
        <w:t>el mercado</w:t>
      </w:r>
      <w:r>
        <w:rPr>
          <w:rFonts w:hAnsi="Arial Unicode MS"/>
        </w:rPr>
        <w:t xml:space="preserve"> experimenta un fuerte aumento </w:t>
      </w:r>
      <w:r w:rsidRPr="005C58BB">
        <w:rPr>
          <w:rFonts w:hAnsi="Arial Unicode MS"/>
        </w:rPr>
        <w:t>(+</w:t>
      </w:r>
      <w:r w:rsidRPr="005C58BB">
        <w:rPr>
          <w:rFonts w:hAnsi="Arial Unicode MS"/>
        </w:rPr>
        <w:t> </w:t>
      </w:r>
      <w:r>
        <w:rPr>
          <w:rFonts w:hAnsi="Arial Unicode MS"/>
        </w:rPr>
        <w:t xml:space="preserve">40 %), </w:t>
      </w:r>
      <w:r w:rsidRPr="0038277F">
        <w:rPr>
          <w:rFonts w:hAnsi="Arial Unicode MS"/>
        </w:rPr>
        <w:t xml:space="preserve"> </w:t>
      </w:r>
      <w:r w:rsidR="00340AC0">
        <w:rPr>
          <w:rFonts w:hAnsi="Arial Unicode MS"/>
        </w:rPr>
        <w:t xml:space="preserve">bien orientado gracias a la </w:t>
      </w:r>
      <w:r>
        <w:rPr>
          <w:rFonts w:hAnsi="Arial Unicode MS"/>
        </w:rPr>
        <w:t>fuerte demanda de camiones pesados para el sector agr</w:t>
      </w:r>
      <w:r>
        <w:rPr>
          <w:rFonts w:hAnsi="Arial Unicode MS"/>
        </w:rPr>
        <w:t>í</w:t>
      </w:r>
      <w:r>
        <w:rPr>
          <w:rFonts w:hAnsi="Arial Unicode MS"/>
        </w:rPr>
        <w:t>cola</w:t>
      </w:r>
      <w:r w:rsidR="00340AC0">
        <w:rPr>
          <w:rFonts w:hAnsi="Arial Unicode MS"/>
        </w:rPr>
        <w:t xml:space="preserve"> y el efecto </w:t>
      </w:r>
      <w:r w:rsidR="0023135F">
        <w:rPr>
          <w:rFonts w:hAnsi="Arial Unicode MS"/>
        </w:rPr>
        <w:t>mec</w:t>
      </w:r>
      <w:r w:rsidR="0023135F">
        <w:rPr>
          <w:rFonts w:hAnsi="Arial Unicode MS"/>
        </w:rPr>
        <w:t>á</w:t>
      </w:r>
      <w:r w:rsidR="0023135F">
        <w:rPr>
          <w:rFonts w:hAnsi="Arial Unicode MS"/>
        </w:rPr>
        <w:t xml:space="preserve">nico </w:t>
      </w:r>
      <w:r w:rsidR="00340AC0">
        <w:rPr>
          <w:rFonts w:hAnsi="Arial Unicode MS"/>
        </w:rPr>
        <w:t>de</w:t>
      </w:r>
      <w:r w:rsidR="00340AC0" w:rsidRPr="00340AC0">
        <w:rPr>
          <w:rFonts w:hAnsi="Arial Unicode MS"/>
        </w:rPr>
        <w:t xml:space="preserve"> </w:t>
      </w:r>
      <w:r w:rsidR="00340AC0" w:rsidRPr="0038277F">
        <w:rPr>
          <w:rFonts w:hAnsi="Arial Unicode MS"/>
        </w:rPr>
        <w:t>la entrada en vigor de la norma EURO</w:t>
      </w:r>
      <w:r w:rsidR="00340AC0" w:rsidRPr="0038277F">
        <w:rPr>
          <w:rFonts w:hAnsi="Arial Unicode MS"/>
        </w:rPr>
        <w:t> </w:t>
      </w:r>
      <w:r w:rsidR="00340AC0" w:rsidRPr="0038277F">
        <w:rPr>
          <w:rFonts w:hAnsi="Arial Unicode MS"/>
        </w:rPr>
        <w:t>V</w:t>
      </w:r>
      <w:r w:rsidR="0023135F">
        <w:rPr>
          <w:rFonts w:hAnsi="Arial Unicode MS"/>
        </w:rPr>
        <w:t xml:space="preserve"> en 2012.</w:t>
      </w:r>
    </w:p>
    <w:p w:rsidR="00BF4FFF" w:rsidRPr="00ED35E0" w:rsidRDefault="00BF4FFF" w:rsidP="00196C7B">
      <w:pPr>
        <w:spacing w:before="480" w:after="240" w:line="270" w:lineRule="atLeast"/>
        <w:jc w:val="both"/>
        <w:rPr>
          <w:rFonts w:ascii="Arial" w:hAnsi="Arial"/>
          <w:b/>
          <w:bCs/>
          <w:sz w:val="21"/>
          <w:lang w:bidi="es-ES_tradnl"/>
        </w:rPr>
      </w:pPr>
      <w:r w:rsidRPr="00ED35E0">
        <w:rPr>
          <w:rFonts w:ascii="Arial" w:hAnsi="Arial"/>
          <w:b/>
          <w:bCs/>
          <w:sz w:val="21"/>
          <w:lang w:bidi="es-ES_tradnl"/>
        </w:rPr>
        <w:t>Reemplazo</w:t>
      </w:r>
    </w:p>
    <w:p w:rsidR="00992DF0" w:rsidRDefault="00992DF0" w:rsidP="00E5572F">
      <w:pPr>
        <w:pStyle w:val="TextoMichelin"/>
        <w:numPr>
          <w:ilvl w:val="0"/>
          <w:numId w:val="38"/>
        </w:numPr>
        <w:ind w:left="1276"/>
        <w:rPr>
          <w:lang w:val="es-ES_tradnl"/>
        </w:rPr>
      </w:pPr>
      <w:r w:rsidRPr="00992DF0">
        <w:rPr>
          <w:lang w:val="es-ES_tradnl"/>
        </w:rPr>
        <w:t xml:space="preserve">En Europa, el mercado crece un </w:t>
      </w:r>
      <w:r w:rsidR="00597649" w:rsidRPr="00ED35E0">
        <w:rPr>
          <w:lang w:val="es-ES_tradnl"/>
        </w:rPr>
        <w:t xml:space="preserve">8 %, </w:t>
      </w:r>
      <w:r w:rsidR="00FA4075">
        <w:rPr>
          <w:lang w:val="es-ES_tradnl"/>
        </w:rPr>
        <w:t xml:space="preserve">pero permanece en niveles bajos. La demanda en Europa Occidental </w:t>
      </w:r>
      <w:r w:rsidR="00597649" w:rsidRPr="00ED35E0">
        <w:rPr>
          <w:lang w:val="es-ES_tradnl"/>
        </w:rPr>
        <w:t xml:space="preserve">(+ 7 %) </w:t>
      </w:r>
      <w:r w:rsidR="00FA4075">
        <w:rPr>
          <w:lang w:val="es-ES_tradnl"/>
        </w:rPr>
        <w:t xml:space="preserve">refleja la buena tendencia de las ventas de la distribución </w:t>
      </w:r>
      <w:r w:rsidR="002B5DDB">
        <w:rPr>
          <w:lang w:val="es-ES_tradnl"/>
        </w:rPr>
        <w:t>a</w:t>
      </w:r>
      <w:r w:rsidR="00FA4075">
        <w:rPr>
          <w:lang w:val="es-ES_tradnl"/>
        </w:rPr>
        <w:t xml:space="preserve"> las flotas</w:t>
      </w:r>
      <w:r w:rsidR="002B5DDB">
        <w:rPr>
          <w:lang w:val="es-ES_tradnl"/>
        </w:rPr>
        <w:t xml:space="preserve">, </w:t>
      </w:r>
      <w:r w:rsidR="002B5DDB" w:rsidRPr="00992DF0">
        <w:rPr>
          <w:lang w:val="es-ES_tradnl"/>
        </w:rPr>
        <w:t>la reducción del número de carcasas disponibles para recauchutar</w:t>
      </w:r>
      <w:r w:rsidR="002B5DDB">
        <w:rPr>
          <w:lang w:val="es-ES_tradnl"/>
        </w:rPr>
        <w:t xml:space="preserve"> y la disminución de los stocks </w:t>
      </w:r>
      <w:r w:rsidR="00D2129D">
        <w:rPr>
          <w:lang w:val="es-ES_tradnl"/>
        </w:rPr>
        <w:t>de la distribución. En Europa del Este</w:t>
      </w:r>
      <w:r w:rsidR="00E5572F">
        <w:rPr>
          <w:lang w:val="es-ES_tradnl"/>
        </w:rPr>
        <w:t xml:space="preserve">, el mercado de neumáticos aumenta un </w:t>
      </w:r>
      <w:r w:rsidR="00597649" w:rsidRPr="00ED35E0">
        <w:rPr>
          <w:lang w:val="es-ES_tradnl"/>
        </w:rPr>
        <w:t xml:space="preserve">13 % </w:t>
      </w:r>
      <w:r w:rsidR="00E5572F">
        <w:rPr>
          <w:lang w:val="es-ES_tradnl"/>
        </w:rPr>
        <w:t xml:space="preserve">en el año, con una ralentización en el cuarto trimestre debido a la bajada de la demanda en Rusia </w:t>
      </w:r>
      <w:r w:rsidR="00597649" w:rsidRPr="00ED35E0">
        <w:rPr>
          <w:lang w:val="es-ES_tradnl"/>
        </w:rPr>
        <w:t>(- 4</w:t>
      </w:r>
      <w:r w:rsidR="00314675">
        <w:rPr>
          <w:lang w:val="es-ES_tradnl"/>
        </w:rPr>
        <w:t xml:space="preserve"> </w:t>
      </w:r>
      <w:r w:rsidR="00597649" w:rsidRPr="00ED35E0">
        <w:rPr>
          <w:lang w:val="es-ES_tradnl"/>
        </w:rPr>
        <w:t>%).</w:t>
      </w:r>
    </w:p>
    <w:p w:rsidR="00386567" w:rsidRDefault="007F596B" w:rsidP="007F596B">
      <w:pPr>
        <w:pStyle w:val="TextoMichelin"/>
        <w:numPr>
          <w:ilvl w:val="0"/>
          <w:numId w:val="38"/>
        </w:numPr>
        <w:ind w:left="1276"/>
        <w:rPr>
          <w:lang w:val="es-ES_tradnl"/>
        </w:rPr>
      </w:pPr>
      <w:r w:rsidRPr="007F596B">
        <w:rPr>
          <w:lang w:val="es-ES_tradnl"/>
        </w:rPr>
        <w:t>En América del Nort</w:t>
      </w:r>
      <w:r w:rsidR="00386567">
        <w:rPr>
          <w:lang w:val="es-ES_tradnl"/>
        </w:rPr>
        <w:t>e, el mercado, que cae un 2</w:t>
      </w:r>
      <w:r w:rsidR="00314675">
        <w:rPr>
          <w:lang w:val="es-ES_tradnl"/>
        </w:rPr>
        <w:t xml:space="preserve"> </w:t>
      </w:r>
      <w:r w:rsidR="00386567">
        <w:rPr>
          <w:lang w:val="es-ES_tradnl"/>
        </w:rPr>
        <w:t>% anual</w:t>
      </w:r>
      <w:r w:rsidRPr="007F596B">
        <w:rPr>
          <w:lang w:val="es-ES_tradnl"/>
        </w:rPr>
        <w:t xml:space="preserve">, </w:t>
      </w:r>
      <w:r w:rsidR="00386567">
        <w:rPr>
          <w:lang w:val="es-ES_tradnl"/>
        </w:rPr>
        <w:t xml:space="preserve">sufre, por una parte, la bajada de los stocks de la distribución y, por otra, la optimización del transporte por las flotas. </w:t>
      </w:r>
    </w:p>
    <w:p w:rsidR="00952713" w:rsidRPr="00952713" w:rsidRDefault="00952713" w:rsidP="00952713">
      <w:pPr>
        <w:pStyle w:val="TextoMichelin"/>
        <w:numPr>
          <w:ilvl w:val="0"/>
          <w:numId w:val="38"/>
        </w:numPr>
        <w:ind w:left="1276"/>
        <w:rPr>
          <w:lang w:val="es-ES_tradnl"/>
        </w:rPr>
      </w:pPr>
      <w:r w:rsidRPr="00952713">
        <w:rPr>
          <w:lang w:val="es-ES_tradnl"/>
        </w:rPr>
        <w:t xml:space="preserve">Los mercados de Asia (sin incluir India) crecen un </w:t>
      </w:r>
      <w:r>
        <w:rPr>
          <w:lang w:val="es-ES_tradnl"/>
        </w:rPr>
        <w:t xml:space="preserve">5 </w:t>
      </w:r>
      <w:r w:rsidRPr="00952713">
        <w:rPr>
          <w:lang w:val="es-ES_tradnl"/>
        </w:rPr>
        <w:t xml:space="preserve">%. En China, el mercado se incrementa un </w:t>
      </w:r>
      <w:r w:rsidR="003B7C02">
        <w:rPr>
          <w:lang w:val="es-ES_tradnl"/>
        </w:rPr>
        <w:t xml:space="preserve">5 </w:t>
      </w:r>
      <w:r w:rsidRPr="00952713">
        <w:rPr>
          <w:lang w:val="es-ES_tradnl"/>
        </w:rPr>
        <w:t xml:space="preserve">% </w:t>
      </w:r>
      <w:r w:rsidR="003B7C02">
        <w:rPr>
          <w:lang w:val="es-ES_tradnl"/>
        </w:rPr>
        <w:t>anual</w:t>
      </w:r>
      <w:r w:rsidRPr="00952713">
        <w:rPr>
          <w:lang w:val="es-ES_tradnl"/>
        </w:rPr>
        <w:t xml:space="preserve"> y un </w:t>
      </w:r>
      <w:r w:rsidR="003B7C02">
        <w:rPr>
          <w:lang w:val="es-ES_tradnl"/>
        </w:rPr>
        <w:t xml:space="preserve">7 </w:t>
      </w:r>
      <w:r w:rsidRPr="00952713">
        <w:rPr>
          <w:lang w:val="es-ES_tradnl"/>
        </w:rPr>
        <w:t xml:space="preserve">% </w:t>
      </w:r>
      <w:r w:rsidR="003B7C02">
        <w:rPr>
          <w:lang w:val="es-ES_tradnl"/>
        </w:rPr>
        <w:t xml:space="preserve">en el último </w:t>
      </w:r>
      <w:r w:rsidR="003B7C02" w:rsidRPr="003B7C02">
        <w:rPr>
          <w:lang w:val="es-ES_tradnl"/>
        </w:rPr>
        <w:t>trimestre</w:t>
      </w:r>
      <w:r w:rsidR="003B7C02">
        <w:rPr>
          <w:lang w:val="es-ES_tradnl"/>
        </w:rPr>
        <w:t>, en línea con la ligera mejora de la economía</w:t>
      </w:r>
      <w:r w:rsidRPr="00952713">
        <w:rPr>
          <w:lang w:val="es-ES_tradnl"/>
        </w:rPr>
        <w:t xml:space="preserve">. En el </w:t>
      </w:r>
      <w:r w:rsidR="00314675">
        <w:rPr>
          <w:lang w:val="es-ES_tradnl"/>
        </w:rPr>
        <w:t>S</w:t>
      </w:r>
      <w:r w:rsidRPr="00952713">
        <w:rPr>
          <w:lang w:val="es-ES_tradnl"/>
        </w:rPr>
        <w:t>udeste asiático, los mercados</w:t>
      </w:r>
      <w:r w:rsidR="00246E8B">
        <w:rPr>
          <w:lang w:val="es-ES_tradnl"/>
        </w:rPr>
        <w:t>, en crecimiento del 4 %, s</w:t>
      </w:r>
      <w:r w:rsidR="00B54BBF">
        <w:rPr>
          <w:lang w:val="es-ES_tradnl"/>
        </w:rPr>
        <w:t xml:space="preserve">iguen beneficiándose </w:t>
      </w:r>
      <w:r w:rsidR="00246E8B">
        <w:rPr>
          <w:lang w:val="es-ES_tradnl"/>
        </w:rPr>
        <w:t>del proceso de ‘radialización’</w:t>
      </w:r>
      <w:r w:rsidRPr="00952713">
        <w:rPr>
          <w:lang w:val="es-ES_tradnl"/>
        </w:rPr>
        <w:t xml:space="preserve">. En Japón, el mercado </w:t>
      </w:r>
      <w:r w:rsidR="00B54BBF">
        <w:rPr>
          <w:lang w:val="es-ES_tradnl"/>
        </w:rPr>
        <w:t>confirma su crecimiento, con un aumento</w:t>
      </w:r>
      <w:r w:rsidRPr="00952713">
        <w:rPr>
          <w:lang w:val="es-ES_tradnl"/>
        </w:rPr>
        <w:t xml:space="preserve"> </w:t>
      </w:r>
      <w:r w:rsidR="00B54BBF">
        <w:rPr>
          <w:lang w:val="es-ES_tradnl"/>
        </w:rPr>
        <w:t xml:space="preserve">del </w:t>
      </w:r>
      <w:r w:rsidRPr="00952713">
        <w:rPr>
          <w:lang w:val="es-ES_tradnl"/>
        </w:rPr>
        <w:t>7</w:t>
      </w:r>
      <w:r w:rsidR="00B54BBF">
        <w:rPr>
          <w:lang w:val="es-ES_tradnl"/>
        </w:rPr>
        <w:t xml:space="preserve"> </w:t>
      </w:r>
      <w:r w:rsidRPr="00952713">
        <w:rPr>
          <w:lang w:val="es-ES_tradnl"/>
        </w:rPr>
        <w:t xml:space="preserve">%. </w:t>
      </w:r>
    </w:p>
    <w:p w:rsidR="00BF4FFF" w:rsidRPr="00ED35E0" w:rsidRDefault="00BF4FFF" w:rsidP="00BF4FFF">
      <w:pPr>
        <w:tabs>
          <w:tab w:val="left" w:pos="284"/>
        </w:tabs>
        <w:jc w:val="both"/>
        <w:rPr>
          <w:rFonts w:ascii="Verdana" w:eastAsia="Times New Roman" w:hAnsi="Verdana" w:cs="Arial"/>
          <w:b/>
          <w:highlight w:val="red"/>
        </w:rPr>
      </w:pPr>
    </w:p>
    <w:p w:rsidR="00BF4FFF" w:rsidRPr="00ED35E0" w:rsidRDefault="00BF4FFF" w:rsidP="00BF4FFF">
      <w:pPr>
        <w:tabs>
          <w:tab w:val="left" w:pos="284"/>
        </w:tabs>
        <w:jc w:val="both"/>
        <w:rPr>
          <w:b/>
          <w:sz w:val="26"/>
        </w:rPr>
      </w:pPr>
      <w:r w:rsidRPr="00ED35E0">
        <w:rPr>
          <w:b/>
          <w:sz w:val="26"/>
        </w:rPr>
        <w:t>Neumáticos de especialidades</w:t>
      </w:r>
    </w:p>
    <w:p w:rsidR="00BF4FFF" w:rsidRPr="00ED35E0" w:rsidRDefault="00BF4FFF" w:rsidP="00BF4FFF">
      <w:pPr>
        <w:tabs>
          <w:tab w:val="left" w:pos="284"/>
        </w:tabs>
        <w:jc w:val="both"/>
        <w:rPr>
          <w:rFonts w:ascii="Verdana" w:eastAsia="Times New Roman" w:hAnsi="Verdana" w:cs="Arial"/>
          <w:b/>
          <w:highlight w:val="red"/>
        </w:rPr>
      </w:pPr>
    </w:p>
    <w:p w:rsidR="002E1BDB" w:rsidRPr="002E1BDB" w:rsidRDefault="00B527E0" w:rsidP="00833107">
      <w:pPr>
        <w:pStyle w:val="TextoMichelin"/>
        <w:numPr>
          <w:ilvl w:val="0"/>
          <w:numId w:val="36"/>
        </w:numPr>
        <w:rPr>
          <w:bCs/>
          <w:lang w:val="es-ES_tradnl"/>
        </w:rPr>
      </w:pPr>
      <w:r w:rsidRPr="00ED35E0">
        <w:rPr>
          <w:b/>
          <w:bCs/>
          <w:lang w:val="es-ES_tradnl" w:bidi="es-ES_tradnl"/>
        </w:rPr>
        <w:t>Ingeniería civil:</w:t>
      </w:r>
      <w:r w:rsidRPr="00ED35E0">
        <w:rPr>
          <w:rFonts w:hAnsi="Arial Unicode MS"/>
          <w:b/>
          <w:lang w:val="es-ES_tradnl"/>
        </w:rPr>
        <w:t xml:space="preserve"> </w:t>
      </w:r>
      <w:r w:rsidR="00AA0EF8">
        <w:rPr>
          <w:bCs/>
          <w:lang w:val="es-ES_tradnl"/>
        </w:rPr>
        <w:t xml:space="preserve">El mercado de neumáticos de grandes dimensiones para </w:t>
      </w:r>
      <w:r w:rsidR="002E1BDB" w:rsidRPr="002E1BDB">
        <w:rPr>
          <w:bCs/>
          <w:lang w:val="es-ES_tradnl"/>
        </w:rPr>
        <w:t xml:space="preserve">minería </w:t>
      </w:r>
      <w:r w:rsidR="00AA0EF8">
        <w:rPr>
          <w:bCs/>
          <w:lang w:val="es-ES_tradnl"/>
        </w:rPr>
        <w:t>experimenta un</w:t>
      </w:r>
      <w:r w:rsidR="002E1BDB" w:rsidRPr="002E1BDB">
        <w:rPr>
          <w:bCs/>
          <w:lang w:val="es-ES_tradnl"/>
        </w:rPr>
        <w:t xml:space="preserve"> </w:t>
      </w:r>
      <w:r w:rsidR="00AA0EF8">
        <w:rPr>
          <w:bCs/>
          <w:lang w:val="es-ES_tradnl"/>
        </w:rPr>
        <w:t xml:space="preserve">ligero crecimiento en el conjunto del año. </w:t>
      </w:r>
      <w:r w:rsidR="00897599">
        <w:rPr>
          <w:bCs/>
          <w:lang w:val="es-ES_tradnl"/>
        </w:rPr>
        <w:t>En el cuarto trimestre, sufre una bajada significativa debido a la reducción del stock de las compañías mineras</w:t>
      </w:r>
      <w:r w:rsidR="002E1BDB" w:rsidRPr="002E1BDB">
        <w:rPr>
          <w:bCs/>
          <w:lang w:val="es-ES_tradnl"/>
        </w:rPr>
        <w:t xml:space="preserve">. </w:t>
      </w:r>
    </w:p>
    <w:p w:rsidR="002E1BDB" w:rsidRPr="002E1BDB" w:rsidRDefault="00E062AB" w:rsidP="002E1BDB">
      <w:pPr>
        <w:pStyle w:val="TextoMichelin"/>
        <w:ind w:left="720"/>
        <w:rPr>
          <w:bCs/>
          <w:lang w:val="es-ES_tradnl"/>
        </w:rPr>
      </w:pPr>
      <w:r>
        <w:rPr>
          <w:bCs/>
          <w:lang w:val="es-ES_tradnl"/>
        </w:rPr>
        <w:t xml:space="preserve">Los mercados </w:t>
      </w:r>
      <w:r w:rsidR="002E1BDB" w:rsidRPr="002E1BDB">
        <w:rPr>
          <w:bCs/>
          <w:lang w:val="es-ES_tradnl"/>
        </w:rPr>
        <w:t xml:space="preserve">de primeros equipos </w:t>
      </w:r>
      <w:r>
        <w:rPr>
          <w:bCs/>
          <w:lang w:val="es-ES_tradnl"/>
        </w:rPr>
        <w:t xml:space="preserve">han </w:t>
      </w:r>
      <w:r w:rsidR="002E1BDB" w:rsidRPr="002E1BDB">
        <w:rPr>
          <w:bCs/>
          <w:lang w:val="es-ES_tradnl"/>
        </w:rPr>
        <w:t>sufr</w:t>
      </w:r>
      <w:r>
        <w:rPr>
          <w:bCs/>
          <w:lang w:val="es-ES_tradnl"/>
        </w:rPr>
        <w:t>ido</w:t>
      </w:r>
      <w:r w:rsidR="002E1BDB" w:rsidRPr="002E1BDB">
        <w:rPr>
          <w:bCs/>
          <w:lang w:val="es-ES_tradnl"/>
        </w:rPr>
        <w:t xml:space="preserve"> una fuerte caída en Europa y América del Norte, penalizad</w:t>
      </w:r>
      <w:r>
        <w:rPr>
          <w:bCs/>
          <w:lang w:val="es-ES_tradnl"/>
        </w:rPr>
        <w:t>os</w:t>
      </w:r>
      <w:r w:rsidR="002E1BDB" w:rsidRPr="002E1BDB">
        <w:rPr>
          <w:bCs/>
          <w:lang w:val="es-ES_tradnl"/>
        </w:rPr>
        <w:t xml:space="preserve"> por la </w:t>
      </w:r>
      <w:r>
        <w:rPr>
          <w:bCs/>
          <w:lang w:val="es-ES_tradnl"/>
        </w:rPr>
        <w:t>debil</w:t>
      </w:r>
      <w:r w:rsidR="00010FA2">
        <w:rPr>
          <w:bCs/>
          <w:lang w:val="es-ES_tradnl"/>
        </w:rPr>
        <w:t xml:space="preserve">idad de la demanda y por una fuerte </w:t>
      </w:r>
      <w:r w:rsidR="002E1BDB" w:rsidRPr="002E1BDB">
        <w:rPr>
          <w:bCs/>
          <w:lang w:val="es-ES_tradnl"/>
        </w:rPr>
        <w:t xml:space="preserve">reducción de stock de los constructores, </w:t>
      </w:r>
      <w:r w:rsidR="00010FA2">
        <w:rPr>
          <w:bCs/>
          <w:lang w:val="es-ES_tradnl"/>
        </w:rPr>
        <w:t>que ya ha llegado a su fin</w:t>
      </w:r>
      <w:r w:rsidR="002E1BDB" w:rsidRPr="002E1BDB">
        <w:rPr>
          <w:bCs/>
          <w:lang w:val="es-ES_tradnl"/>
        </w:rPr>
        <w:t>.</w:t>
      </w:r>
    </w:p>
    <w:p w:rsidR="006A574B" w:rsidRDefault="002E1BDB" w:rsidP="002E1BDB">
      <w:pPr>
        <w:pStyle w:val="TextoMichelin"/>
        <w:ind w:left="720"/>
        <w:rPr>
          <w:bCs/>
          <w:lang w:val="es-ES_tradnl"/>
        </w:rPr>
      </w:pPr>
      <w:r w:rsidRPr="002E1BDB">
        <w:rPr>
          <w:bCs/>
          <w:lang w:val="es-ES_tradnl"/>
        </w:rPr>
        <w:t>El mercado de neumáticos para infraestructuras y canteras está en retroceso neto en los países maduros, en especial en América del Norte</w:t>
      </w:r>
      <w:r w:rsidR="00010FA2">
        <w:rPr>
          <w:bCs/>
          <w:lang w:val="es-ES_tradnl"/>
        </w:rPr>
        <w:t>,</w:t>
      </w:r>
      <w:r w:rsidRPr="002E1BDB">
        <w:rPr>
          <w:bCs/>
          <w:lang w:val="es-ES_tradnl"/>
        </w:rPr>
        <w:t xml:space="preserve"> donde </w:t>
      </w:r>
      <w:r w:rsidR="00010FA2">
        <w:rPr>
          <w:bCs/>
          <w:lang w:val="es-ES_tradnl"/>
        </w:rPr>
        <w:t xml:space="preserve">ha sufrido una </w:t>
      </w:r>
      <w:r w:rsidRPr="002E1BDB">
        <w:rPr>
          <w:bCs/>
          <w:lang w:val="es-ES_tradnl"/>
        </w:rPr>
        <w:t xml:space="preserve">bajada </w:t>
      </w:r>
      <w:r w:rsidR="00010FA2">
        <w:rPr>
          <w:bCs/>
          <w:lang w:val="es-ES_tradnl"/>
        </w:rPr>
        <w:t xml:space="preserve">de la actividad y un nivel de stock de la distribución </w:t>
      </w:r>
      <w:r w:rsidR="006A574B">
        <w:rPr>
          <w:bCs/>
          <w:lang w:val="es-ES_tradnl"/>
        </w:rPr>
        <w:t xml:space="preserve">aún significativo, pero a la baja a finales de año. </w:t>
      </w:r>
    </w:p>
    <w:p w:rsidR="00B527E0" w:rsidRPr="00ED35E0" w:rsidRDefault="00B527E0" w:rsidP="0019532C">
      <w:pPr>
        <w:spacing w:after="60"/>
        <w:jc w:val="both"/>
        <w:rPr>
          <w:rFonts w:ascii="Arial" w:hAnsi="Arial"/>
          <w:bCs/>
          <w:sz w:val="21"/>
          <w:lang w:bidi="es-ES_tradnl"/>
        </w:rPr>
      </w:pPr>
    </w:p>
    <w:p w:rsidR="00FF1244" w:rsidRDefault="00BF4FFF" w:rsidP="00FF1244">
      <w:pPr>
        <w:pStyle w:val="TextoMichelin"/>
        <w:numPr>
          <w:ilvl w:val="0"/>
          <w:numId w:val="36"/>
        </w:numPr>
        <w:rPr>
          <w:bCs/>
          <w:lang w:val="es-ES_tradnl"/>
        </w:rPr>
      </w:pPr>
      <w:r w:rsidRPr="004A4F03">
        <w:rPr>
          <w:b/>
          <w:bCs/>
          <w:lang w:val="es-ES_tradnl" w:bidi="es-ES_tradnl"/>
        </w:rPr>
        <w:t xml:space="preserve">Agrícola: </w:t>
      </w:r>
      <w:r w:rsidR="006A574B" w:rsidRPr="004A4F03">
        <w:rPr>
          <w:rFonts w:hAnsi="Arial Unicode MS"/>
        </w:rPr>
        <w:t>La demanda mundial del mercado de primeros equipos est</w:t>
      </w:r>
      <w:r w:rsidR="006A574B" w:rsidRPr="004A4F03">
        <w:rPr>
          <w:rFonts w:hAnsi="Arial Unicode MS"/>
        </w:rPr>
        <w:t>á</w:t>
      </w:r>
      <w:r w:rsidR="006A574B" w:rsidRPr="004A4F03">
        <w:rPr>
          <w:rFonts w:hAnsi="Arial Unicode MS"/>
        </w:rPr>
        <w:t xml:space="preserve"> globalmente </w:t>
      </w:r>
      <w:r w:rsidR="00205B8A" w:rsidRPr="004A4F03">
        <w:rPr>
          <w:rFonts w:hAnsi="Arial Unicode MS"/>
        </w:rPr>
        <w:t>en</w:t>
      </w:r>
      <w:r w:rsidR="006A574B" w:rsidRPr="004A4F03">
        <w:rPr>
          <w:rFonts w:hAnsi="Arial Unicode MS"/>
        </w:rPr>
        <w:t xml:space="preserve"> </w:t>
      </w:r>
      <w:r w:rsidR="006A574B" w:rsidRPr="004A4F03">
        <w:rPr>
          <w:bCs/>
          <w:lang w:val="es-ES_tradnl"/>
        </w:rPr>
        <w:t xml:space="preserve">retroceso en los países maduros. Mientras, la demanda de neumáticos técnicos sube. </w:t>
      </w:r>
    </w:p>
    <w:p w:rsidR="00FF1244" w:rsidRDefault="006A574B" w:rsidP="00FF1244">
      <w:pPr>
        <w:pStyle w:val="TextoMichelin"/>
        <w:ind w:left="720"/>
        <w:rPr>
          <w:bCs/>
          <w:lang w:val="es-ES_tradnl"/>
        </w:rPr>
      </w:pPr>
      <w:r w:rsidRPr="00FF1244">
        <w:rPr>
          <w:bCs/>
          <w:lang w:val="es-ES_tradnl"/>
        </w:rPr>
        <w:t xml:space="preserve">El mercado de reemplazo experimenta una </w:t>
      </w:r>
      <w:r w:rsidR="004A4F03" w:rsidRPr="00FF1244">
        <w:rPr>
          <w:bCs/>
          <w:lang w:val="es-ES_tradnl"/>
        </w:rPr>
        <w:t xml:space="preserve">aceleración en Europa, pero sigue en </w:t>
      </w:r>
      <w:r w:rsidRPr="00FF1244">
        <w:rPr>
          <w:bCs/>
          <w:lang w:val="es-ES_tradnl"/>
        </w:rPr>
        <w:t>caída en América del Norte.</w:t>
      </w:r>
    </w:p>
    <w:p w:rsidR="00FF1244" w:rsidRPr="00FF1244" w:rsidRDefault="00BF4FFF" w:rsidP="00FF1244">
      <w:pPr>
        <w:pStyle w:val="TextoMichelin"/>
        <w:numPr>
          <w:ilvl w:val="0"/>
          <w:numId w:val="36"/>
        </w:numPr>
        <w:rPr>
          <w:bCs/>
          <w:lang w:val="es-ES_tradnl"/>
        </w:rPr>
      </w:pPr>
      <w:r w:rsidRPr="00FF1244">
        <w:rPr>
          <w:b/>
          <w:bCs/>
          <w:lang w:val="es-ES_tradnl" w:bidi="es-ES_tradnl"/>
        </w:rPr>
        <w:t>Dos ruedas</w:t>
      </w:r>
      <w:r w:rsidRPr="00FF1244">
        <w:rPr>
          <w:bCs/>
          <w:lang w:val="es-ES_tradnl" w:bidi="es-ES_tradnl"/>
        </w:rPr>
        <w:t>:</w:t>
      </w:r>
      <w:r w:rsidR="00D44452" w:rsidRPr="00FF1244">
        <w:rPr>
          <w:bCs/>
          <w:lang w:val="es-ES_tradnl" w:bidi="es-ES_tradnl"/>
        </w:rPr>
        <w:t xml:space="preserve"> </w:t>
      </w:r>
      <w:r w:rsidR="00FF1244" w:rsidRPr="00FF1244">
        <w:rPr>
          <w:rFonts w:hAnsi="Arial Unicode MS"/>
        </w:rPr>
        <w:t xml:space="preserve">El mercado de moto permanece estable en Europa, se contrae </w:t>
      </w:r>
      <w:r w:rsidR="00FF1244" w:rsidRPr="00FF1244">
        <w:rPr>
          <w:rFonts w:eastAsia="Times New Roman"/>
          <w:bCs/>
          <w:lang w:bidi="es-ES_tradnl"/>
        </w:rPr>
        <w:t>América del Norte por las desfavorables condiciones meteorológicas</w:t>
      </w:r>
      <w:r w:rsidR="00FF1244" w:rsidRPr="00FF1244">
        <w:rPr>
          <w:rFonts w:hAnsi="Arial Unicode MS"/>
        </w:rPr>
        <w:t>. El mercado est</w:t>
      </w:r>
      <w:r w:rsidR="00FF1244" w:rsidRPr="00FF1244">
        <w:rPr>
          <w:rFonts w:hAnsi="Arial Unicode MS"/>
        </w:rPr>
        <w:t>á</w:t>
      </w:r>
      <w:r w:rsidR="00FF1244" w:rsidRPr="00FF1244">
        <w:rPr>
          <w:rFonts w:hAnsi="Arial Unicode MS"/>
        </w:rPr>
        <w:t xml:space="preserve"> en alza en los pa</w:t>
      </w:r>
      <w:r w:rsidR="00FF1244" w:rsidRPr="00FF1244">
        <w:rPr>
          <w:rFonts w:hAnsi="Arial Unicode MS"/>
        </w:rPr>
        <w:t>í</w:t>
      </w:r>
      <w:r w:rsidR="00FF1244" w:rsidRPr="00FF1244">
        <w:rPr>
          <w:rFonts w:hAnsi="Arial Unicode MS"/>
        </w:rPr>
        <w:t>ses emergentes.</w:t>
      </w:r>
    </w:p>
    <w:p w:rsidR="00FF1244" w:rsidRPr="00FF1244" w:rsidRDefault="00BF4FFF" w:rsidP="0011004E">
      <w:pPr>
        <w:pStyle w:val="TextoMichelin"/>
        <w:numPr>
          <w:ilvl w:val="0"/>
          <w:numId w:val="36"/>
        </w:numPr>
        <w:rPr>
          <w:bCs/>
          <w:lang w:val="es-ES_tradnl"/>
        </w:rPr>
      </w:pPr>
      <w:r w:rsidRPr="000C1DE8">
        <w:rPr>
          <w:b/>
          <w:bCs/>
          <w:lang w:val="es-ES_tradnl"/>
        </w:rPr>
        <w:t>Avión:</w:t>
      </w:r>
      <w:r w:rsidRPr="000C1DE8">
        <w:rPr>
          <w:bCs/>
          <w:lang w:val="es-ES_tradnl"/>
        </w:rPr>
        <w:t xml:space="preserve"> </w:t>
      </w:r>
      <w:r w:rsidR="00E640B0" w:rsidRPr="000C1DE8">
        <w:rPr>
          <w:bCs/>
          <w:lang w:val="es-ES_tradnl"/>
        </w:rPr>
        <w:t>Los mercados de aviación comercial permanecen estables</w:t>
      </w:r>
      <w:r w:rsidR="00D44452" w:rsidRPr="000C1DE8">
        <w:rPr>
          <w:bCs/>
          <w:lang w:val="es-ES_tradnl"/>
        </w:rPr>
        <w:t xml:space="preserve">. El mercado </w:t>
      </w:r>
      <w:r w:rsidR="00E640B0" w:rsidRPr="000C1DE8">
        <w:rPr>
          <w:bCs/>
          <w:lang w:val="es-ES_tradnl"/>
        </w:rPr>
        <w:t xml:space="preserve">militar </w:t>
      </w:r>
      <w:r w:rsidR="00D44452" w:rsidRPr="000C1DE8">
        <w:rPr>
          <w:bCs/>
          <w:lang w:val="es-ES_tradnl"/>
        </w:rPr>
        <w:t xml:space="preserve">sufre las restricciones </w:t>
      </w:r>
      <w:r w:rsidR="00E640B0" w:rsidRPr="000C1DE8">
        <w:rPr>
          <w:bCs/>
          <w:lang w:val="es-ES_tradnl"/>
        </w:rPr>
        <w:t>presupuestarias de los gobiernos</w:t>
      </w:r>
      <w:r w:rsidR="00E640B0" w:rsidRPr="000C1DE8">
        <w:rPr>
          <w:rFonts w:hAnsi="Arial Unicode MS"/>
          <w:lang w:val="es-ES_tradnl"/>
        </w:rPr>
        <w:t>.</w:t>
      </w:r>
    </w:p>
    <w:p w:rsidR="00D66F25" w:rsidRPr="00FF1244" w:rsidRDefault="00B6296F" w:rsidP="00833107">
      <w:pPr>
        <w:spacing w:after="240" w:line="360" w:lineRule="exact"/>
        <w:rPr>
          <w:bCs/>
        </w:rPr>
      </w:pPr>
      <w:r w:rsidRPr="00FF1244">
        <w:rPr>
          <w:szCs w:val="26"/>
        </w:rPr>
        <w:br w:type="column"/>
      </w:r>
      <w:r w:rsidR="00D66F25" w:rsidRPr="00833107">
        <w:rPr>
          <w:b/>
          <w:snapToGrid w:val="0"/>
          <w:color w:val="333399"/>
          <w:sz w:val="40"/>
          <w:szCs w:val="26"/>
        </w:rPr>
        <w:t>Actividad y resultados de 2013</w:t>
      </w:r>
    </w:p>
    <w:p w:rsidR="00D66F25" w:rsidRPr="00ED35E0" w:rsidRDefault="00D66F25" w:rsidP="00D66F25">
      <w:pPr>
        <w:pStyle w:val="LadilloMichelinDossier"/>
        <w:rPr>
          <w:lang w:val="es-ES_tradnl"/>
        </w:rPr>
      </w:pPr>
      <w:r w:rsidRPr="00ED35E0">
        <w:rPr>
          <w:lang w:val="es-ES_tradnl"/>
        </w:rPr>
        <w:t>Ventas netas</w:t>
      </w:r>
    </w:p>
    <w:p w:rsidR="007C6697" w:rsidRPr="00C30EC1" w:rsidRDefault="00173468" w:rsidP="00036817">
      <w:pPr>
        <w:pStyle w:val="TextoMichelin"/>
        <w:rPr>
          <w:rFonts w:cs="Arial"/>
          <w:lang w:val="es-ES_tradnl" w:bidi="es-ES_tradnl"/>
        </w:rPr>
      </w:pPr>
      <w:r w:rsidRPr="00173468">
        <w:rPr>
          <w:rFonts w:cs="Arial"/>
          <w:b/>
          <w:lang w:val="es-ES_tradnl" w:bidi="es-ES_tradnl"/>
        </w:rPr>
        <w:t xml:space="preserve">Las ventas netas se sitúan en </w:t>
      </w:r>
      <w:r w:rsidR="007C6697" w:rsidRPr="00ED35E0">
        <w:rPr>
          <w:rFonts w:cs="Arial"/>
          <w:b/>
          <w:lang w:val="es-ES_tradnl" w:bidi="es-ES_tradnl"/>
        </w:rPr>
        <w:t>20</w:t>
      </w:r>
      <w:r>
        <w:rPr>
          <w:rFonts w:cs="Arial"/>
          <w:b/>
          <w:lang w:val="es-ES_tradnl" w:bidi="es-ES_tradnl"/>
        </w:rPr>
        <w:t>.</w:t>
      </w:r>
      <w:r w:rsidR="007C6697" w:rsidRPr="00ED35E0">
        <w:rPr>
          <w:rFonts w:cs="Arial"/>
          <w:b/>
          <w:lang w:val="es-ES_tradnl" w:bidi="es-ES_tradnl"/>
        </w:rPr>
        <w:t xml:space="preserve">247 </w:t>
      </w:r>
      <w:r>
        <w:rPr>
          <w:rFonts w:cs="Arial"/>
          <w:b/>
          <w:lang w:val="es-ES_tradnl" w:bidi="es-ES_tradnl"/>
        </w:rPr>
        <w:t>millones de euros</w:t>
      </w:r>
      <w:r w:rsidRPr="00C30EC1">
        <w:rPr>
          <w:rFonts w:cs="Arial"/>
          <w:b/>
          <w:lang w:val="es-ES_tradnl" w:bidi="es-ES_tradnl"/>
        </w:rPr>
        <w:t>,</w:t>
      </w:r>
      <w:r w:rsidRPr="00C30EC1">
        <w:rPr>
          <w:rFonts w:cs="Arial"/>
          <w:lang w:val="es-ES_tradnl" w:bidi="es-ES_tradnl"/>
        </w:rPr>
        <w:t xml:space="preserve"> en comparación </w:t>
      </w:r>
      <w:r w:rsidR="00465682" w:rsidRPr="00C30EC1">
        <w:rPr>
          <w:rFonts w:cs="Arial"/>
          <w:lang w:val="es-ES_tradnl" w:bidi="es-ES_tradnl"/>
        </w:rPr>
        <w:t xml:space="preserve">con los </w:t>
      </w:r>
      <w:r w:rsidR="007C6697" w:rsidRPr="00C30EC1">
        <w:rPr>
          <w:rFonts w:cs="Arial"/>
          <w:lang w:val="es-ES_tradnl" w:bidi="es-ES_tradnl"/>
        </w:rPr>
        <w:t>21</w:t>
      </w:r>
      <w:r w:rsidR="00465682" w:rsidRPr="00C30EC1">
        <w:rPr>
          <w:rFonts w:cs="Arial"/>
          <w:lang w:val="es-ES_tradnl" w:bidi="es-ES_tradnl"/>
        </w:rPr>
        <w:t>.</w:t>
      </w:r>
      <w:r w:rsidR="007C6697" w:rsidRPr="00C30EC1">
        <w:rPr>
          <w:rFonts w:cs="Arial"/>
          <w:lang w:val="es-ES_tradnl" w:bidi="es-ES_tradnl"/>
        </w:rPr>
        <w:t xml:space="preserve">474 </w:t>
      </w:r>
      <w:r w:rsidR="00465682" w:rsidRPr="00C30EC1">
        <w:rPr>
          <w:rFonts w:cs="Arial"/>
          <w:lang w:val="es-ES_tradnl" w:bidi="es-ES_tradnl"/>
        </w:rPr>
        <w:t xml:space="preserve">millones de </w:t>
      </w:r>
      <w:r w:rsidR="007C6697" w:rsidRPr="00C30EC1">
        <w:rPr>
          <w:rFonts w:cs="Arial"/>
          <w:lang w:val="es-ES_tradnl" w:bidi="es-ES_tradnl"/>
        </w:rPr>
        <w:t>2012.</w:t>
      </w:r>
    </w:p>
    <w:p w:rsidR="00465682" w:rsidRDefault="007C6697" w:rsidP="00036817">
      <w:pPr>
        <w:pStyle w:val="TextoMichelin"/>
        <w:rPr>
          <w:rFonts w:cs="Arial"/>
          <w:lang w:val="es-ES_tradnl" w:bidi="es-ES_tradnl"/>
        </w:rPr>
      </w:pPr>
      <w:r w:rsidRPr="00ED35E0">
        <w:rPr>
          <w:rFonts w:cs="Arial"/>
          <w:lang w:val="es-ES_tradnl" w:bidi="es-ES_tradnl"/>
        </w:rPr>
        <w:t xml:space="preserve">La </w:t>
      </w:r>
      <w:r w:rsidR="00465682">
        <w:rPr>
          <w:rFonts w:cs="Arial"/>
          <w:lang w:val="es-ES_tradnl" w:bidi="es-ES_tradnl"/>
        </w:rPr>
        <w:t>estabilidad de los volúmenes se enmarca en un contexto de mercados débiles en el primer semestre y más dinámicos en el segundo, a pesar de la ralentización de los mercados de Ingeniería Ci</w:t>
      </w:r>
      <w:r w:rsidR="008F351D">
        <w:rPr>
          <w:rFonts w:cs="Arial"/>
          <w:lang w:val="es-ES_tradnl" w:bidi="es-ES_tradnl"/>
        </w:rPr>
        <w:t>v</w:t>
      </w:r>
      <w:r w:rsidR="00465682">
        <w:rPr>
          <w:rFonts w:cs="Arial"/>
          <w:lang w:val="es-ES_tradnl" w:bidi="es-ES_tradnl"/>
        </w:rPr>
        <w:t>il a lo largo del año.</w:t>
      </w:r>
    </w:p>
    <w:p w:rsidR="00A6049F" w:rsidRDefault="00465682" w:rsidP="00A6049F">
      <w:pPr>
        <w:pStyle w:val="TextoMichelin"/>
        <w:rPr>
          <w:rFonts w:cs="Arial"/>
          <w:lang w:val="es-ES_tradnl" w:bidi="es-ES_tradnl"/>
        </w:rPr>
      </w:pPr>
      <w:r>
        <w:rPr>
          <w:rFonts w:cs="Arial"/>
          <w:lang w:val="es-ES_tradnl" w:bidi="es-ES_tradnl"/>
        </w:rPr>
        <w:t xml:space="preserve">El efecto negativo del mix de precios se establece en </w:t>
      </w:r>
      <w:r w:rsidR="007C6697" w:rsidRPr="00ED35E0">
        <w:rPr>
          <w:rFonts w:cs="Arial"/>
          <w:lang w:val="es-ES_tradnl" w:bidi="es-ES_tradnl"/>
        </w:rPr>
        <w:t xml:space="preserve">- 516 </w:t>
      </w:r>
      <w:r w:rsidRPr="00465682">
        <w:rPr>
          <w:rFonts w:cs="Arial"/>
          <w:lang w:val="es-ES_tradnl" w:bidi="es-ES_tradnl"/>
        </w:rPr>
        <w:t>millones de euros</w:t>
      </w:r>
      <w:r w:rsidR="007C6697" w:rsidRPr="00ED35E0">
        <w:rPr>
          <w:rFonts w:cs="Arial"/>
          <w:lang w:val="es-ES_tradnl" w:bidi="es-ES_tradnl"/>
        </w:rPr>
        <w:t xml:space="preserve"> (- 2,4 %). </w:t>
      </w:r>
      <w:r w:rsidR="00A6049F">
        <w:rPr>
          <w:rFonts w:cs="Arial"/>
          <w:lang w:val="es-ES_tradnl" w:bidi="es-ES_tradnl"/>
        </w:rPr>
        <w:t xml:space="preserve">Incluye, hasta </w:t>
      </w:r>
      <w:r w:rsidR="00DA1EB0">
        <w:rPr>
          <w:rFonts w:cs="Arial"/>
          <w:lang w:val="es-ES_tradnl" w:bidi="es-ES_tradnl"/>
        </w:rPr>
        <w:t xml:space="preserve">alcanzar </w:t>
      </w:r>
      <w:r w:rsidR="008F351D">
        <w:rPr>
          <w:rFonts w:cs="Arial"/>
          <w:lang w:val="es-ES_tradnl" w:bidi="es-ES_tradnl"/>
        </w:rPr>
        <w:t>-</w:t>
      </w:r>
      <w:r w:rsidR="007C6697" w:rsidRPr="00ED35E0">
        <w:rPr>
          <w:rFonts w:cs="Arial"/>
          <w:lang w:val="es-ES_tradnl" w:bidi="es-ES_tradnl"/>
        </w:rPr>
        <w:t> 550 </w:t>
      </w:r>
      <w:r w:rsidR="00A6049F" w:rsidRPr="00465682">
        <w:rPr>
          <w:rFonts w:cs="Arial"/>
          <w:lang w:val="es-ES_tradnl" w:bidi="es-ES_tradnl"/>
        </w:rPr>
        <w:t>millones de euros</w:t>
      </w:r>
      <w:r w:rsidR="007C6697" w:rsidRPr="00ED35E0">
        <w:rPr>
          <w:rFonts w:cs="Arial"/>
          <w:lang w:val="es-ES_tradnl" w:bidi="es-ES_tradnl"/>
        </w:rPr>
        <w:t xml:space="preserve">, </w:t>
      </w:r>
      <w:r w:rsidR="00A6049F">
        <w:rPr>
          <w:rFonts w:cs="Arial"/>
          <w:lang w:val="es-ES_tradnl" w:bidi="es-ES_tradnl"/>
        </w:rPr>
        <w:t>el efecto combinado de los ajustes de contractuales de precios</w:t>
      </w:r>
      <w:r w:rsidR="00A6049F" w:rsidRPr="00A6049F">
        <w:rPr>
          <w:rFonts w:cs="Arial"/>
          <w:lang w:val="es-ES_tradnl" w:bidi="es-ES_tradnl"/>
        </w:rPr>
        <w:t xml:space="preserve"> </w:t>
      </w:r>
      <w:r w:rsidR="00A6049F">
        <w:rPr>
          <w:rFonts w:cs="Arial"/>
          <w:lang w:val="es-ES_tradnl" w:bidi="es-ES_tradnl"/>
        </w:rPr>
        <w:t>a la baja</w:t>
      </w:r>
      <w:r w:rsidR="008F351D">
        <w:rPr>
          <w:rFonts w:cs="Arial"/>
          <w:lang w:val="es-ES_tradnl" w:bidi="es-ES_tradnl"/>
        </w:rPr>
        <w:t>, relacionados con la indexación de las materias primas, y los reposicionamientos</w:t>
      </w:r>
      <w:r w:rsidR="00FD09EC">
        <w:rPr>
          <w:rFonts w:cs="Arial"/>
          <w:lang w:val="es-ES_tradnl" w:bidi="es-ES_tradnl"/>
        </w:rPr>
        <w:t xml:space="preserve"> controlados de precio</w:t>
      </w:r>
      <w:r w:rsidR="003A709E">
        <w:rPr>
          <w:rFonts w:cs="Arial"/>
          <w:lang w:val="es-ES_tradnl" w:bidi="es-ES_tradnl"/>
        </w:rPr>
        <w:t xml:space="preserve">s, en ciertas dimensiones. Esto </w:t>
      </w:r>
      <w:r w:rsidR="00867D3B">
        <w:rPr>
          <w:rFonts w:cs="Arial"/>
          <w:lang w:val="es-ES_tradnl" w:bidi="es-ES_tradnl"/>
        </w:rPr>
        <w:t xml:space="preserve">incluye </w:t>
      </w:r>
      <w:r w:rsidR="00FD09EC">
        <w:rPr>
          <w:rFonts w:cs="Arial"/>
          <w:lang w:val="es-ES_tradnl" w:bidi="es-ES_tradnl"/>
        </w:rPr>
        <w:t xml:space="preserve">también, 34 millones de </w:t>
      </w:r>
      <w:r w:rsidR="00DA1EB0">
        <w:rPr>
          <w:rFonts w:cs="Arial"/>
          <w:lang w:val="es-ES_tradnl" w:bidi="es-ES_tradnl"/>
        </w:rPr>
        <w:t xml:space="preserve">euros, </w:t>
      </w:r>
      <w:r w:rsidR="009649E1">
        <w:rPr>
          <w:rFonts w:cs="Arial"/>
          <w:lang w:val="es-ES_tradnl" w:bidi="es-ES_tradnl"/>
        </w:rPr>
        <w:t xml:space="preserve">por </w:t>
      </w:r>
      <w:r w:rsidR="00867D3B">
        <w:rPr>
          <w:rFonts w:cs="Arial"/>
          <w:lang w:val="es-ES_tradnl" w:bidi="es-ES_tradnl"/>
        </w:rPr>
        <w:t>e</w:t>
      </w:r>
      <w:r w:rsidR="00DA1EB0">
        <w:rPr>
          <w:rFonts w:cs="Arial"/>
          <w:lang w:val="es-ES_tradnl" w:bidi="es-ES_tradnl"/>
        </w:rPr>
        <w:t xml:space="preserve">l efecto de la mejora del mix, especialmente gracias la estrategia premium en Turismo y Camioneta. </w:t>
      </w:r>
    </w:p>
    <w:p w:rsidR="003A709E" w:rsidRDefault="003A709E" w:rsidP="003A709E">
      <w:pPr>
        <w:pStyle w:val="TextoMichelin"/>
        <w:rPr>
          <w:rFonts w:cs="Arial"/>
          <w:lang w:val="es-ES_tradnl" w:bidi="es-ES_tradnl"/>
        </w:rPr>
      </w:pPr>
      <w:r>
        <w:rPr>
          <w:rFonts w:cs="Arial"/>
          <w:lang w:val="es-ES_tradnl" w:bidi="es-ES_tradnl"/>
        </w:rPr>
        <w:t xml:space="preserve">El fuerte impacto negativo de las paridades de cambio, establecido en 716 millones de euros </w:t>
      </w:r>
      <w:r w:rsidR="007C6697" w:rsidRPr="00ED35E0">
        <w:rPr>
          <w:rFonts w:cs="Arial"/>
          <w:lang w:val="es-ES_tradnl" w:bidi="es-ES_tradnl"/>
        </w:rPr>
        <w:t xml:space="preserve">(- 3,4 %), </w:t>
      </w:r>
      <w:r w:rsidR="005575F9">
        <w:rPr>
          <w:rFonts w:cs="Arial"/>
          <w:lang w:val="es-ES_tradnl" w:bidi="es-ES_tradnl"/>
        </w:rPr>
        <w:t xml:space="preserve">resulta, principalmente de la fortaleza </w:t>
      </w:r>
      <w:r w:rsidR="00B72315">
        <w:rPr>
          <w:rFonts w:cs="Arial"/>
          <w:lang w:val="es-ES_tradnl" w:bidi="es-ES_tradnl"/>
        </w:rPr>
        <w:t>del euro.</w:t>
      </w:r>
    </w:p>
    <w:p w:rsidR="00D66F25" w:rsidRPr="00ED35E0" w:rsidRDefault="00D66F25" w:rsidP="00D66F25">
      <w:pPr>
        <w:pStyle w:val="LadilloMichelinDossier"/>
        <w:rPr>
          <w:lang w:val="es-ES_tradnl"/>
        </w:rPr>
      </w:pPr>
      <w:r w:rsidRPr="00ED35E0">
        <w:rPr>
          <w:lang w:val="es-ES_tradnl"/>
        </w:rPr>
        <w:t>Resultados</w:t>
      </w:r>
    </w:p>
    <w:p w:rsidR="00BA6381" w:rsidRDefault="00BA6381" w:rsidP="00D66F25">
      <w:pPr>
        <w:pStyle w:val="TextoMichelin"/>
        <w:rPr>
          <w:rFonts w:cs="Arial"/>
          <w:lang w:val="es-ES_tradnl" w:bidi="es-ES_tradnl"/>
        </w:rPr>
      </w:pPr>
      <w:r w:rsidRPr="005A249D">
        <w:rPr>
          <w:rFonts w:cs="Arial"/>
          <w:b/>
          <w:lang w:bidi="es-ES_tradnl"/>
        </w:rPr>
        <w:t>El resultado opera</w:t>
      </w:r>
      <w:r>
        <w:rPr>
          <w:rFonts w:cs="Arial"/>
          <w:b/>
          <w:lang w:bidi="es-ES_tradnl"/>
        </w:rPr>
        <w:t>tivo</w:t>
      </w:r>
      <w:r w:rsidRPr="005A249D">
        <w:rPr>
          <w:rFonts w:cs="Arial"/>
          <w:b/>
          <w:lang w:bidi="es-ES_tradnl"/>
        </w:rPr>
        <w:t xml:space="preserve"> del Grupo antes de elementos no recurrentes alcanza los</w:t>
      </w:r>
      <w:r w:rsidRPr="00ED35E0">
        <w:rPr>
          <w:rFonts w:cs="Arial"/>
          <w:b/>
          <w:lang w:val="es-ES_tradnl" w:bidi="es-ES_tradnl"/>
        </w:rPr>
        <w:t xml:space="preserve"> </w:t>
      </w:r>
      <w:r w:rsidR="009B4499" w:rsidRPr="00BA6381">
        <w:rPr>
          <w:rFonts w:cs="Arial"/>
          <w:b/>
          <w:lang w:val="es-ES_tradnl" w:bidi="es-ES_tradnl"/>
        </w:rPr>
        <w:t>2</w:t>
      </w:r>
      <w:r w:rsidRPr="00BA6381">
        <w:rPr>
          <w:rFonts w:cs="Arial"/>
          <w:b/>
          <w:lang w:val="es-ES_tradnl" w:bidi="es-ES_tradnl"/>
        </w:rPr>
        <w:t>.</w:t>
      </w:r>
      <w:r w:rsidR="009B4499" w:rsidRPr="00BA6381">
        <w:rPr>
          <w:rFonts w:cs="Arial"/>
          <w:b/>
          <w:lang w:val="es-ES_tradnl" w:bidi="es-ES_tradnl"/>
        </w:rPr>
        <w:t>234 </w:t>
      </w:r>
      <w:r w:rsidRPr="00BA6381">
        <w:rPr>
          <w:rFonts w:cs="Arial"/>
          <w:b/>
          <w:lang w:val="es-ES_tradnl" w:bidi="es-ES_tradnl"/>
        </w:rPr>
        <w:t>millones de euros</w:t>
      </w:r>
      <w:r w:rsidR="009B4499" w:rsidRPr="00BA6381">
        <w:rPr>
          <w:rFonts w:cs="Arial"/>
          <w:b/>
          <w:lang w:val="es-ES_tradnl" w:bidi="es-ES_tradnl"/>
        </w:rPr>
        <w:t>,</w:t>
      </w:r>
      <w:r w:rsidR="009B4499" w:rsidRPr="00ED35E0">
        <w:rPr>
          <w:rFonts w:cs="Arial"/>
          <w:b/>
          <w:lang w:val="es-ES_tradnl" w:bidi="es-ES_tradnl"/>
        </w:rPr>
        <w:t xml:space="preserve"> </w:t>
      </w:r>
      <w:r>
        <w:rPr>
          <w:rFonts w:cs="Arial"/>
          <w:b/>
          <w:lang w:val="es-ES_tradnl" w:bidi="es-ES_tradnl"/>
        </w:rPr>
        <w:t xml:space="preserve">es decir, el 11 </w:t>
      </w:r>
      <w:r w:rsidR="009B4499" w:rsidRPr="00ED35E0">
        <w:rPr>
          <w:rFonts w:cs="Arial"/>
          <w:b/>
          <w:lang w:val="es-ES_tradnl" w:bidi="es-ES_tradnl"/>
        </w:rPr>
        <w:t xml:space="preserve">% </w:t>
      </w:r>
      <w:r>
        <w:rPr>
          <w:rFonts w:cs="Arial"/>
          <w:b/>
          <w:lang w:val="es-ES_tradnl" w:bidi="es-ES_tradnl"/>
        </w:rPr>
        <w:t>de las ventas netas</w:t>
      </w:r>
      <w:r w:rsidR="009B4499" w:rsidRPr="00ED35E0">
        <w:rPr>
          <w:rFonts w:cs="Arial"/>
          <w:b/>
          <w:lang w:val="es-ES_tradnl" w:bidi="es-ES_tradnl"/>
        </w:rPr>
        <w:t>,</w:t>
      </w:r>
      <w:r w:rsidR="009B4499" w:rsidRPr="00ED35E0">
        <w:rPr>
          <w:rFonts w:cs="Arial"/>
          <w:lang w:val="es-ES_tradnl" w:bidi="es-ES_tradnl"/>
        </w:rPr>
        <w:t xml:space="preserve"> </w:t>
      </w:r>
      <w:r w:rsidRPr="00C30EC1">
        <w:rPr>
          <w:rFonts w:cs="Arial"/>
          <w:lang w:val="es-ES_tradnl" w:bidi="es-ES_tradnl"/>
        </w:rPr>
        <w:t>en comparación con los</w:t>
      </w:r>
      <w:r w:rsidR="009B4499" w:rsidRPr="00ED35E0">
        <w:rPr>
          <w:rFonts w:cs="Arial"/>
          <w:lang w:val="es-ES_tradnl" w:bidi="es-ES_tradnl"/>
        </w:rPr>
        <w:t xml:space="preserve"> 2</w:t>
      </w:r>
      <w:r>
        <w:rPr>
          <w:rFonts w:cs="Arial"/>
          <w:lang w:val="es-ES_tradnl" w:bidi="es-ES_tradnl"/>
        </w:rPr>
        <w:t>.</w:t>
      </w:r>
      <w:r w:rsidR="009B4499" w:rsidRPr="00ED35E0">
        <w:rPr>
          <w:rFonts w:cs="Arial"/>
          <w:lang w:val="es-ES_tradnl" w:bidi="es-ES_tradnl"/>
        </w:rPr>
        <w:t xml:space="preserve">423 </w:t>
      </w:r>
      <w:r w:rsidRPr="00BA6381">
        <w:rPr>
          <w:rFonts w:cs="Arial"/>
          <w:lang w:val="es-ES_tradnl" w:bidi="es-ES_tradnl"/>
        </w:rPr>
        <w:t xml:space="preserve">millones de euros </w:t>
      </w:r>
      <w:r>
        <w:rPr>
          <w:rFonts w:cs="Arial"/>
          <w:lang w:val="es-ES_tradnl" w:bidi="es-ES_tradnl"/>
        </w:rPr>
        <w:t>y el</w:t>
      </w:r>
      <w:r w:rsidR="009B4499" w:rsidRPr="00ED35E0">
        <w:rPr>
          <w:rFonts w:cs="Arial"/>
          <w:lang w:val="es-ES_tradnl" w:bidi="es-ES_tradnl"/>
        </w:rPr>
        <w:t xml:space="preserve"> 11,3 % </w:t>
      </w:r>
      <w:r>
        <w:rPr>
          <w:rFonts w:cs="Arial"/>
          <w:lang w:val="es-ES_tradnl" w:bidi="es-ES_tradnl"/>
        </w:rPr>
        <w:t>de</w:t>
      </w:r>
      <w:r w:rsidR="009B4499" w:rsidRPr="00ED35E0">
        <w:rPr>
          <w:rFonts w:cs="Arial"/>
          <w:lang w:val="es-ES_tradnl" w:bidi="es-ES_tradnl"/>
        </w:rPr>
        <w:t xml:space="preserve"> 2012. </w:t>
      </w:r>
      <w:r>
        <w:rPr>
          <w:rFonts w:cs="Arial"/>
          <w:lang w:val="es-ES_tradnl" w:bidi="es-ES_tradnl"/>
        </w:rPr>
        <w:t xml:space="preserve">Los </w:t>
      </w:r>
      <w:r w:rsidRPr="00BA6381">
        <w:rPr>
          <w:rFonts w:cs="Arial"/>
          <w:lang w:val="es-ES_tradnl" w:bidi="es-ES_tradnl"/>
        </w:rPr>
        <w:t>elementos no recurrentes</w:t>
      </w:r>
      <w:r>
        <w:rPr>
          <w:rFonts w:cs="Arial"/>
          <w:lang w:val="es-ES_tradnl" w:bidi="es-ES_tradnl"/>
        </w:rPr>
        <w:t xml:space="preserve"> de 260 millones de euros corresponden, fundamentalmente, a los </w:t>
      </w:r>
      <w:r w:rsidR="00D85DA6">
        <w:rPr>
          <w:rFonts w:cs="Arial"/>
          <w:lang w:val="es-ES_tradnl" w:bidi="es-ES_tradnl"/>
        </w:rPr>
        <w:t xml:space="preserve">gastos de restructuración por proyectos de mejora de la competitividad industrial. </w:t>
      </w:r>
    </w:p>
    <w:p w:rsidR="00D85DA6" w:rsidRDefault="00D85DA6" w:rsidP="00D66F25">
      <w:pPr>
        <w:pStyle w:val="TextoMichelin"/>
        <w:rPr>
          <w:rFonts w:cs="Arial"/>
          <w:lang w:val="es-ES_tradnl" w:bidi="es-ES_tradnl"/>
        </w:rPr>
      </w:pPr>
      <w:r>
        <w:rPr>
          <w:rFonts w:cs="Arial"/>
          <w:lang w:val="es-ES_tradnl" w:bidi="es-ES_tradnl"/>
        </w:rPr>
        <w:t>El resultado operativo sufre esencialmente un</w:t>
      </w:r>
      <w:r w:rsidR="003420AB">
        <w:rPr>
          <w:rFonts w:cs="Arial"/>
          <w:lang w:val="es-ES_tradnl" w:bidi="es-ES_tradnl"/>
        </w:rPr>
        <w:t xml:space="preserve"> fuerte efecto de las paridades debido al reforzamiento del euro a partir del verano y que </w:t>
      </w:r>
      <w:r w:rsidR="009D367D">
        <w:rPr>
          <w:rFonts w:cs="Arial"/>
          <w:lang w:val="es-ES_tradnl" w:bidi="es-ES_tradnl"/>
        </w:rPr>
        <w:t>supone</w:t>
      </w:r>
      <w:r w:rsidR="003420AB">
        <w:rPr>
          <w:rFonts w:cs="Arial"/>
          <w:lang w:val="es-ES_tradnl" w:bidi="es-ES_tradnl"/>
        </w:rPr>
        <w:t xml:space="preserve"> 230 millones de euros en todo el año</w:t>
      </w:r>
      <w:r w:rsidR="009D367D">
        <w:rPr>
          <w:rFonts w:cs="Arial"/>
          <w:lang w:val="es-ES_tradnl" w:bidi="es-ES_tradnl"/>
        </w:rPr>
        <w:t>.</w:t>
      </w:r>
    </w:p>
    <w:p w:rsidR="009B4499" w:rsidRPr="00ED35E0" w:rsidRDefault="009D367D" w:rsidP="00D66F25">
      <w:pPr>
        <w:pStyle w:val="TextoMichelin"/>
        <w:rPr>
          <w:rFonts w:cs="Arial"/>
          <w:lang w:val="es-ES_tradnl" w:bidi="es-ES_tradnl"/>
        </w:rPr>
      </w:pPr>
      <w:r>
        <w:rPr>
          <w:rFonts w:cs="Arial"/>
          <w:lang w:val="es-ES_tradnl" w:bidi="es-ES_tradnl"/>
        </w:rPr>
        <w:t>Como estaba previsto, los volúmenes se mantienen estables en comparación con 2012.</w:t>
      </w:r>
    </w:p>
    <w:p w:rsidR="00A94322" w:rsidRDefault="009D367D" w:rsidP="00495746">
      <w:pPr>
        <w:pStyle w:val="TextoMichelin"/>
        <w:rPr>
          <w:rFonts w:cs="Arial"/>
          <w:lang w:val="es-ES_tradnl" w:bidi="es-ES_tradnl"/>
        </w:rPr>
      </w:pPr>
      <w:r>
        <w:rPr>
          <w:rFonts w:cs="Arial"/>
          <w:lang w:val="es-ES_tradnl" w:bidi="es-ES_tradnl"/>
        </w:rPr>
        <w:t xml:space="preserve">El control de la política de precios permite mantener un </w:t>
      </w:r>
      <w:r w:rsidR="00632CF5">
        <w:rPr>
          <w:rFonts w:cs="Arial"/>
          <w:lang w:val="es-ES_tradnl" w:bidi="es-ES_tradnl"/>
        </w:rPr>
        <w:t>equilibrio</w:t>
      </w:r>
      <w:r>
        <w:rPr>
          <w:rFonts w:cs="Arial"/>
          <w:lang w:val="es-ES_tradnl" w:bidi="es-ES_tradnl"/>
        </w:rPr>
        <w:t xml:space="preserve"> favorable entre el efecto del mix de precios </w:t>
      </w:r>
      <w:r w:rsidR="009B4499" w:rsidRPr="00ED35E0">
        <w:rPr>
          <w:rFonts w:cs="Arial"/>
          <w:lang w:val="es-ES_tradnl" w:bidi="es-ES_tradnl"/>
        </w:rPr>
        <w:t xml:space="preserve">(- 516 </w:t>
      </w:r>
      <w:r>
        <w:rPr>
          <w:rFonts w:cs="Arial"/>
          <w:lang w:val="es-ES_tradnl" w:bidi="es-ES_tradnl"/>
        </w:rPr>
        <w:t>millones de euros)</w:t>
      </w:r>
      <w:r w:rsidR="009B4499" w:rsidRPr="00ED35E0">
        <w:rPr>
          <w:rFonts w:cs="Arial"/>
          <w:lang w:val="es-ES_tradnl" w:bidi="es-ES_tradnl"/>
        </w:rPr>
        <w:t xml:space="preserve"> </w:t>
      </w:r>
      <w:r>
        <w:rPr>
          <w:rFonts w:cs="Arial"/>
          <w:lang w:val="es-ES_tradnl" w:bidi="es-ES_tradnl"/>
        </w:rPr>
        <w:t>y el de las materias primas</w:t>
      </w:r>
      <w:r w:rsidR="009B4499" w:rsidRPr="00ED35E0">
        <w:rPr>
          <w:rFonts w:cs="Arial"/>
          <w:lang w:val="es-ES_tradnl" w:bidi="es-ES_tradnl"/>
        </w:rPr>
        <w:t xml:space="preserve"> (+ 619 </w:t>
      </w:r>
      <w:r>
        <w:rPr>
          <w:rFonts w:cs="Arial"/>
          <w:lang w:val="es-ES_tradnl" w:bidi="es-ES_tradnl"/>
        </w:rPr>
        <w:t xml:space="preserve">millones de euros). Los efectos del plan de competitividad </w:t>
      </w:r>
      <w:r w:rsidR="009B4499" w:rsidRPr="00ED35E0">
        <w:rPr>
          <w:rFonts w:cs="Arial"/>
          <w:lang w:val="es-ES_tradnl" w:bidi="es-ES_tradnl"/>
        </w:rPr>
        <w:t xml:space="preserve">(+ 275 </w:t>
      </w:r>
      <w:r w:rsidR="002A6E7D">
        <w:rPr>
          <w:rFonts w:cs="Arial"/>
          <w:lang w:val="es-ES_tradnl" w:bidi="es-ES_tradnl"/>
        </w:rPr>
        <w:t>millones de euros</w:t>
      </w:r>
      <w:r w:rsidR="009B4499" w:rsidRPr="00ED35E0">
        <w:rPr>
          <w:rFonts w:cs="Arial"/>
          <w:lang w:val="es-ES_tradnl" w:bidi="es-ES_tradnl"/>
        </w:rPr>
        <w:t xml:space="preserve">) </w:t>
      </w:r>
      <w:r w:rsidR="00495746">
        <w:rPr>
          <w:rFonts w:cs="Arial"/>
          <w:lang w:val="es-ES_tradnl" w:bidi="es-ES_tradnl"/>
        </w:rPr>
        <w:t>van</w:t>
      </w:r>
      <w:r w:rsidR="002A6E7D">
        <w:rPr>
          <w:rFonts w:cs="Arial"/>
          <w:lang w:val="es-ES_tradnl" w:bidi="es-ES_tradnl"/>
        </w:rPr>
        <w:t xml:space="preserve"> más allá de los objetivos anuales y absorben una gran parte de la inflación de los costes de producción</w:t>
      </w:r>
      <w:r w:rsidR="00495746">
        <w:rPr>
          <w:rFonts w:cs="Arial"/>
          <w:lang w:val="es-ES_tradnl" w:bidi="es-ES_tradnl"/>
        </w:rPr>
        <w:t xml:space="preserve"> y otros gastos</w:t>
      </w:r>
      <w:r w:rsidR="009B4499" w:rsidRPr="00ED35E0">
        <w:rPr>
          <w:rFonts w:cs="Arial"/>
          <w:lang w:val="es-ES_tradnl" w:bidi="es-ES_tradnl"/>
        </w:rPr>
        <w:t xml:space="preserve"> (- 205 </w:t>
      </w:r>
      <w:r w:rsidR="00495746">
        <w:rPr>
          <w:rFonts w:cs="Arial"/>
          <w:lang w:val="es-ES_tradnl" w:bidi="es-ES_tradnl"/>
        </w:rPr>
        <w:t>millones de euros</w:t>
      </w:r>
      <w:r w:rsidR="009B4499" w:rsidRPr="00ED35E0">
        <w:rPr>
          <w:rFonts w:cs="Arial"/>
          <w:lang w:val="es-ES_tradnl" w:bidi="es-ES_tradnl"/>
        </w:rPr>
        <w:t>)</w:t>
      </w:r>
      <w:r w:rsidR="005D6908">
        <w:rPr>
          <w:rFonts w:cs="Arial"/>
          <w:lang w:val="es-ES_tradnl" w:bidi="es-ES_tradnl"/>
        </w:rPr>
        <w:t>, así como</w:t>
      </w:r>
      <w:r w:rsidR="00495746">
        <w:rPr>
          <w:rFonts w:cs="Arial"/>
          <w:lang w:val="es-ES_tradnl" w:bidi="es-ES_tradnl"/>
        </w:rPr>
        <w:t xml:space="preserve"> del es</w:t>
      </w:r>
      <w:r w:rsidR="005D6908">
        <w:rPr>
          <w:rFonts w:cs="Arial"/>
          <w:lang w:val="es-ES_tradnl" w:bidi="es-ES_tradnl"/>
        </w:rPr>
        <w:t xml:space="preserve">fuerzo de crecimiento del Grupo </w:t>
      </w:r>
      <w:r w:rsidR="005D6908">
        <w:rPr>
          <w:rFonts w:cs="Arial"/>
          <w:lang w:val="es-ES_tradnl" w:bidi="es-ES_tradnl"/>
        </w:rPr>
        <w:br/>
      </w:r>
      <w:r w:rsidR="009B4499" w:rsidRPr="00ED35E0">
        <w:rPr>
          <w:rFonts w:cs="Arial"/>
          <w:lang w:val="es-ES_tradnl" w:bidi="es-ES_tradnl"/>
        </w:rPr>
        <w:t xml:space="preserve">(- 168 </w:t>
      </w:r>
      <w:r w:rsidR="005D6908">
        <w:rPr>
          <w:rFonts w:cs="Arial"/>
          <w:lang w:val="es-ES_tradnl" w:bidi="es-ES_tradnl"/>
        </w:rPr>
        <w:t>millones de euros</w:t>
      </w:r>
      <w:r w:rsidR="009B4499" w:rsidRPr="00ED35E0">
        <w:rPr>
          <w:rFonts w:cs="Arial"/>
          <w:lang w:val="es-ES_tradnl" w:bidi="es-ES_tradnl"/>
        </w:rPr>
        <w:t xml:space="preserve"> </w:t>
      </w:r>
      <w:r w:rsidR="005D6908">
        <w:rPr>
          <w:rFonts w:cs="Arial"/>
          <w:lang w:val="es-ES_tradnl" w:bidi="es-ES_tradnl"/>
        </w:rPr>
        <w:t xml:space="preserve">para los gastos de puesta en marcha, </w:t>
      </w:r>
      <w:r w:rsidR="009B77E5">
        <w:rPr>
          <w:rFonts w:cs="Arial"/>
          <w:lang w:val="es-ES_tradnl" w:bidi="es-ES_tradnl"/>
        </w:rPr>
        <w:t>la</w:t>
      </w:r>
      <w:r w:rsidR="00A94322" w:rsidRPr="00A94322">
        <w:rPr>
          <w:rFonts w:cs="Arial"/>
          <w:lang w:val="es-ES_tradnl" w:bidi="es-ES_tradnl"/>
        </w:rPr>
        <w:t xml:space="preserve"> nueva herramienta para la gestión de la empresa y los </w:t>
      </w:r>
      <w:r w:rsidR="009B77E5">
        <w:rPr>
          <w:rFonts w:cs="Arial"/>
          <w:lang w:val="es-ES_tradnl" w:bidi="es-ES_tradnl"/>
        </w:rPr>
        <w:t>gastos</w:t>
      </w:r>
      <w:r w:rsidR="00A94322" w:rsidRPr="00A94322">
        <w:rPr>
          <w:rFonts w:cs="Arial"/>
          <w:lang w:val="es-ES_tradnl" w:bidi="es-ES_tradnl"/>
        </w:rPr>
        <w:t xml:space="preserve"> en </w:t>
      </w:r>
      <w:r w:rsidR="009B77E5">
        <w:rPr>
          <w:rFonts w:cs="Arial"/>
          <w:lang w:val="es-ES_tradnl" w:bidi="es-ES_tradnl"/>
        </w:rPr>
        <w:t xml:space="preserve">los </w:t>
      </w:r>
      <w:r w:rsidR="00A94322" w:rsidRPr="00A94322">
        <w:rPr>
          <w:rFonts w:cs="Arial"/>
          <w:lang w:val="es-ES_tradnl" w:bidi="es-ES_tradnl"/>
        </w:rPr>
        <w:t>nuevos mercados</w:t>
      </w:r>
      <w:r w:rsidR="009B77E5">
        <w:rPr>
          <w:rFonts w:cs="Arial"/>
          <w:lang w:val="es-ES_tradnl" w:bidi="es-ES_tradnl"/>
        </w:rPr>
        <w:t>)</w:t>
      </w:r>
      <w:r w:rsidR="00A94322" w:rsidRPr="00A94322">
        <w:rPr>
          <w:rFonts w:cs="Arial"/>
          <w:lang w:val="es-ES_tradnl" w:bidi="es-ES_tradnl"/>
        </w:rPr>
        <w:t xml:space="preserve"> </w:t>
      </w:r>
    </w:p>
    <w:p w:rsidR="00081F13" w:rsidRPr="00ED35E0" w:rsidRDefault="009B77E5" w:rsidP="00D66F25">
      <w:pPr>
        <w:pStyle w:val="TextoMichelin"/>
        <w:rPr>
          <w:rFonts w:cs="Arial"/>
          <w:b/>
          <w:lang w:val="es-ES_tradnl" w:bidi="es-ES_tradnl"/>
        </w:rPr>
      </w:pPr>
      <w:r w:rsidRPr="009B77E5">
        <w:rPr>
          <w:rFonts w:cs="Arial"/>
          <w:b/>
          <w:lang w:val="es-ES_tradnl" w:bidi="es-ES_tradnl"/>
        </w:rPr>
        <w:t xml:space="preserve">El resultado neto arroja un beneficio de </w:t>
      </w:r>
      <w:r w:rsidR="009B4499" w:rsidRPr="00ED35E0">
        <w:rPr>
          <w:rFonts w:cs="Arial"/>
          <w:b/>
          <w:lang w:val="es-ES_tradnl" w:bidi="es-ES_tradnl"/>
        </w:rPr>
        <w:t>1</w:t>
      </w:r>
      <w:r>
        <w:rPr>
          <w:rFonts w:cs="Arial"/>
          <w:b/>
          <w:lang w:val="es-ES_tradnl" w:bidi="es-ES_tradnl"/>
        </w:rPr>
        <w:t>.</w:t>
      </w:r>
      <w:r w:rsidR="009B4499" w:rsidRPr="00ED35E0">
        <w:rPr>
          <w:rFonts w:cs="Arial"/>
          <w:b/>
          <w:lang w:val="es-ES_tradnl" w:bidi="es-ES_tradnl"/>
        </w:rPr>
        <w:t xml:space="preserve">127 </w:t>
      </w:r>
      <w:r>
        <w:rPr>
          <w:rFonts w:cs="Arial"/>
          <w:b/>
          <w:lang w:val="es-ES_tradnl" w:bidi="es-ES_tradnl"/>
        </w:rPr>
        <w:t>millones de euros.</w:t>
      </w:r>
    </w:p>
    <w:p w:rsidR="00BF4FFF" w:rsidRPr="00ED35E0" w:rsidRDefault="00614F2A" w:rsidP="00081F13">
      <w:pPr>
        <w:pStyle w:val="LadilloMichelinDossier"/>
        <w:rPr>
          <w:lang w:val="es-ES_tradnl"/>
        </w:rPr>
      </w:pPr>
      <w:r>
        <w:rPr>
          <w:lang w:val="es-ES_tradnl"/>
        </w:rPr>
        <w:br w:type="column"/>
      </w:r>
      <w:r w:rsidR="00081F13" w:rsidRPr="00ED35E0">
        <w:rPr>
          <w:lang w:val="es-ES_tradnl"/>
        </w:rPr>
        <w:t>Posición financiera neta</w:t>
      </w:r>
    </w:p>
    <w:p w:rsidR="00614F2A" w:rsidRPr="00614F2A" w:rsidRDefault="00614F2A" w:rsidP="00081F13">
      <w:pPr>
        <w:pStyle w:val="TextoMichelin"/>
        <w:rPr>
          <w:rFonts w:cs="Arial"/>
          <w:lang w:val="es-ES_tradnl" w:bidi="es-ES_tradnl"/>
        </w:rPr>
      </w:pPr>
      <w:r>
        <w:rPr>
          <w:rFonts w:cs="Arial"/>
          <w:lang w:val="es-ES_tradnl" w:bidi="es-ES_tradnl"/>
        </w:rPr>
        <w:t xml:space="preserve">En el ejercicio, el Grupo ha generado un </w:t>
      </w:r>
      <w:r w:rsidRPr="00614F2A">
        <w:rPr>
          <w:rFonts w:cs="Arial"/>
          <w:b/>
          <w:i/>
          <w:lang w:bidi="es-ES_tradnl"/>
        </w:rPr>
        <w:t>cash flow</w:t>
      </w:r>
      <w:r w:rsidRPr="005A249D">
        <w:rPr>
          <w:rFonts w:cs="Arial"/>
          <w:b/>
          <w:lang w:bidi="es-ES_tradnl"/>
        </w:rPr>
        <w:t xml:space="preserve"> </w:t>
      </w:r>
      <w:r>
        <w:rPr>
          <w:rFonts w:cs="Arial"/>
          <w:b/>
          <w:lang w:bidi="es-ES_tradnl"/>
        </w:rPr>
        <w:t xml:space="preserve">libre </w:t>
      </w:r>
      <w:r w:rsidRPr="005A249D">
        <w:rPr>
          <w:rFonts w:cs="Arial"/>
          <w:b/>
          <w:lang w:bidi="es-ES_tradnl"/>
        </w:rPr>
        <w:t xml:space="preserve">de </w:t>
      </w:r>
      <w:r w:rsidRPr="000F3918">
        <w:rPr>
          <w:rFonts w:cs="Arial"/>
          <w:b/>
          <w:lang w:val="es-ES_tradnl" w:bidi="es-ES_tradnl"/>
        </w:rPr>
        <w:t>1</w:t>
      </w:r>
      <w:r>
        <w:rPr>
          <w:rFonts w:cs="Arial"/>
          <w:b/>
          <w:lang w:val="es-ES_tradnl" w:bidi="es-ES_tradnl"/>
        </w:rPr>
        <w:t>.154</w:t>
      </w:r>
      <w:r w:rsidRPr="005A249D">
        <w:rPr>
          <w:rFonts w:cs="Arial"/>
          <w:b/>
          <w:lang w:bidi="es-ES_tradnl"/>
        </w:rPr>
        <w:t xml:space="preserve"> millones de euros</w:t>
      </w:r>
      <w:r>
        <w:rPr>
          <w:rFonts w:cs="Arial"/>
          <w:b/>
          <w:lang w:bidi="es-ES_tradnl"/>
        </w:rPr>
        <w:t xml:space="preserve">, </w:t>
      </w:r>
      <w:r>
        <w:rPr>
          <w:rFonts w:cs="Arial"/>
          <w:lang w:bidi="es-ES_tradnl"/>
        </w:rPr>
        <w:t xml:space="preserve">en un contexto de inversiones sostenidas. </w:t>
      </w:r>
    </w:p>
    <w:p w:rsidR="00614F2A" w:rsidRPr="00FE6B59" w:rsidRDefault="00614F2A" w:rsidP="00081F13">
      <w:pPr>
        <w:pStyle w:val="TextoMichelin"/>
        <w:rPr>
          <w:rFonts w:cs="Arial"/>
          <w:lang w:val="es-ES_tradnl" w:bidi="es-ES_tradnl"/>
        </w:rPr>
      </w:pPr>
      <w:r>
        <w:rPr>
          <w:rFonts w:cs="Arial"/>
          <w:lang w:val="es-ES_tradnl" w:bidi="es-ES_tradnl"/>
        </w:rPr>
        <w:t xml:space="preserve">A 31 de diciembre de 2013, el Grupo </w:t>
      </w:r>
      <w:r w:rsidR="001E3003" w:rsidRPr="001E3003">
        <w:rPr>
          <w:rFonts w:cs="Arial"/>
          <w:lang w:val="es-ES_tradnl" w:bidi="es-ES_tradnl"/>
        </w:rPr>
        <w:t>el Grupo está prácticamente libre de deudas</w:t>
      </w:r>
      <w:r w:rsidR="001E3003">
        <w:rPr>
          <w:rFonts w:cs="Arial"/>
          <w:lang w:val="es-ES_tradnl" w:bidi="es-ES_tradnl"/>
        </w:rPr>
        <w:t xml:space="preserve">, con un </w:t>
      </w:r>
      <w:r w:rsidR="001E3003" w:rsidRPr="001E3003">
        <w:rPr>
          <w:rFonts w:cs="Arial"/>
          <w:b/>
          <w:lang w:val="es-ES_tradnl" w:bidi="es-ES_tradnl"/>
        </w:rPr>
        <w:t>ratio de endeudamiento del 2%</w:t>
      </w:r>
      <w:r w:rsidR="001E3003">
        <w:rPr>
          <w:rFonts w:cs="Arial"/>
          <w:b/>
          <w:lang w:val="es-ES_tradnl" w:bidi="es-ES_tradnl"/>
        </w:rPr>
        <w:t xml:space="preserve">, </w:t>
      </w:r>
      <w:r w:rsidR="00FE6B59">
        <w:rPr>
          <w:rFonts w:cs="Arial"/>
          <w:lang w:val="es-ES_tradnl" w:bidi="es-ES_tradnl"/>
        </w:rPr>
        <w:t xml:space="preserve">que </w:t>
      </w:r>
      <w:r w:rsidR="009649E1">
        <w:rPr>
          <w:rFonts w:cs="Arial"/>
          <w:lang w:val="es-ES_tradnl" w:bidi="es-ES_tradnl"/>
        </w:rPr>
        <w:t>supone</w:t>
      </w:r>
      <w:r w:rsidR="00FE6B59">
        <w:rPr>
          <w:rFonts w:cs="Arial"/>
          <w:lang w:val="es-ES_tradnl" w:bidi="es-ES_tradnl"/>
        </w:rPr>
        <w:t xml:space="preserve"> un endeudamiento financiero neto de 142 millones de euros, en comparación con el 12 % y los 1.053 millones de euros de finales de diciembre de 2012.</w:t>
      </w:r>
    </w:p>
    <w:p w:rsidR="00081F13" w:rsidRPr="00ED35E0" w:rsidRDefault="00081F13" w:rsidP="00081F13">
      <w:pPr>
        <w:pStyle w:val="LadilloMichelinDossier"/>
        <w:rPr>
          <w:rFonts w:ascii="Verdana" w:hAnsi="Verdana" w:cs="Arial"/>
          <w:b w:val="0"/>
          <w:lang w:val="es-ES_tradnl"/>
        </w:rPr>
      </w:pPr>
      <w:r w:rsidRPr="00ED35E0">
        <w:rPr>
          <w:lang w:val="es-ES_tradnl"/>
        </w:rPr>
        <w:t>Información sectorial</w:t>
      </w:r>
    </w:p>
    <w:tbl>
      <w:tblPr>
        <w:tblpPr w:leftFromText="141" w:rightFromText="141" w:vertAnchor="text" w:horzAnchor="margin" w:tblpY="160"/>
        <w:tblW w:w="8613" w:type="dxa"/>
        <w:tblBorders>
          <w:top w:val="single" w:sz="2" w:space="0" w:color="auto"/>
          <w:left w:val="single" w:sz="2" w:space="0" w:color="auto"/>
          <w:bottom w:val="single" w:sz="2" w:space="0" w:color="auto"/>
          <w:right w:val="single" w:sz="2" w:space="0" w:color="auto"/>
        </w:tblBorders>
        <w:tblLayout w:type="fixed"/>
        <w:tblLook w:val="01E0"/>
      </w:tblPr>
      <w:tblGrid>
        <w:gridCol w:w="1668"/>
        <w:gridCol w:w="1134"/>
        <w:gridCol w:w="1275"/>
        <w:gridCol w:w="1134"/>
        <w:gridCol w:w="1134"/>
        <w:gridCol w:w="1134"/>
        <w:gridCol w:w="1134"/>
      </w:tblGrid>
      <w:tr w:rsidR="00081F13" w:rsidRPr="00ED35E0">
        <w:tc>
          <w:tcPr>
            <w:tcW w:w="1668" w:type="dxa"/>
            <w:tcBorders>
              <w:top w:val="single" w:sz="2" w:space="0" w:color="auto"/>
              <w:bottom w:val="single" w:sz="2" w:space="0" w:color="auto"/>
              <w:right w:val="single" w:sz="2" w:space="0" w:color="auto"/>
            </w:tcBorders>
            <w:shd w:val="clear" w:color="auto" w:fill="E0E0E0"/>
          </w:tcPr>
          <w:p w:rsidR="00081F13" w:rsidRPr="00ED35E0" w:rsidRDefault="00081F13" w:rsidP="00081F13">
            <w:pPr>
              <w:pStyle w:val="LadilloMichelinDossier"/>
              <w:spacing w:before="0" w:after="0"/>
              <w:jc w:val="center"/>
              <w:rPr>
                <w:rFonts w:ascii="Arial" w:hAnsi="Arial"/>
                <w:bCs/>
                <w:sz w:val="20"/>
                <w:lang w:val="es-ES_tradnl" w:bidi="es-ES_tradnl"/>
              </w:rPr>
            </w:pPr>
          </w:p>
          <w:p w:rsidR="00081F13" w:rsidRPr="00ED35E0" w:rsidRDefault="00081F13" w:rsidP="00081F13">
            <w:pPr>
              <w:pStyle w:val="LadilloMichelinDossier"/>
              <w:spacing w:before="0" w:after="0"/>
              <w:jc w:val="center"/>
              <w:rPr>
                <w:rFonts w:ascii="Arial" w:hAnsi="Arial"/>
                <w:bCs/>
                <w:sz w:val="20"/>
                <w:lang w:val="es-ES_tradnl" w:bidi="es-ES_tradnl"/>
              </w:rPr>
            </w:pPr>
            <w:r w:rsidRPr="00ED35E0">
              <w:rPr>
                <w:rFonts w:ascii="Arial" w:hAnsi="Arial"/>
                <w:bCs/>
                <w:sz w:val="20"/>
                <w:lang w:val="es-ES_tradnl" w:bidi="es-ES_tradnl"/>
              </w:rPr>
              <w:t>Millones de euros</w:t>
            </w:r>
          </w:p>
        </w:tc>
        <w:tc>
          <w:tcPr>
            <w:tcW w:w="2409" w:type="dxa"/>
            <w:gridSpan w:val="2"/>
            <w:tcBorders>
              <w:top w:val="single" w:sz="2" w:space="0" w:color="auto"/>
              <w:left w:val="single" w:sz="2" w:space="0" w:color="auto"/>
              <w:bottom w:val="single" w:sz="2" w:space="0" w:color="auto"/>
              <w:right w:val="single" w:sz="2" w:space="0" w:color="auto"/>
            </w:tcBorders>
            <w:shd w:val="clear" w:color="auto" w:fill="E0E0E0"/>
          </w:tcPr>
          <w:p w:rsidR="00081F13" w:rsidRPr="00ED35E0" w:rsidRDefault="00081F13" w:rsidP="00081F13">
            <w:pPr>
              <w:pStyle w:val="LadilloMichelinDossier"/>
              <w:spacing w:before="0" w:after="0"/>
              <w:jc w:val="center"/>
              <w:rPr>
                <w:rFonts w:ascii="Arial" w:hAnsi="Arial"/>
                <w:bCs/>
                <w:sz w:val="20"/>
                <w:lang w:val="es-ES_tradnl" w:bidi="es-ES_tradnl"/>
              </w:rPr>
            </w:pPr>
            <w:r w:rsidRPr="00ED35E0">
              <w:rPr>
                <w:rFonts w:ascii="Arial" w:hAnsi="Arial"/>
                <w:bCs/>
                <w:sz w:val="20"/>
                <w:lang w:val="es-ES_tradnl" w:bidi="es-ES_tradnl"/>
              </w:rPr>
              <w:br/>
              <w:t>Ventas netas</w:t>
            </w:r>
          </w:p>
        </w:tc>
        <w:tc>
          <w:tcPr>
            <w:tcW w:w="2268" w:type="dxa"/>
            <w:gridSpan w:val="2"/>
            <w:tcBorders>
              <w:top w:val="single" w:sz="2" w:space="0" w:color="auto"/>
              <w:left w:val="single" w:sz="2" w:space="0" w:color="auto"/>
              <w:bottom w:val="single" w:sz="2" w:space="0" w:color="auto"/>
              <w:right w:val="single" w:sz="2" w:space="0" w:color="auto"/>
            </w:tcBorders>
            <w:shd w:val="clear" w:color="auto" w:fill="E0E0E0"/>
          </w:tcPr>
          <w:p w:rsidR="00081F13" w:rsidRPr="00ED35E0" w:rsidRDefault="00081F13" w:rsidP="00081F13">
            <w:pPr>
              <w:pStyle w:val="LadilloMichelinDossier"/>
              <w:spacing w:before="0" w:after="0"/>
              <w:jc w:val="center"/>
              <w:rPr>
                <w:rFonts w:ascii="Arial" w:hAnsi="Arial"/>
                <w:bCs/>
                <w:sz w:val="20"/>
                <w:lang w:val="es-ES_tradnl" w:bidi="es-ES_tradnl"/>
              </w:rPr>
            </w:pPr>
            <w:r w:rsidRPr="00ED35E0">
              <w:rPr>
                <w:rFonts w:ascii="Arial" w:hAnsi="Arial"/>
                <w:bCs/>
                <w:sz w:val="20"/>
                <w:lang w:val="es-ES_tradnl" w:bidi="es-ES_tradnl"/>
              </w:rPr>
              <w:t xml:space="preserve">Resultado operativo antes de no recurrentes </w:t>
            </w:r>
          </w:p>
        </w:tc>
        <w:tc>
          <w:tcPr>
            <w:tcW w:w="2268" w:type="dxa"/>
            <w:gridSpan w:val="2"/>
            <w:tcBorders>
              <w:top w:val="single" w:sz="2" w:space="0" w:color="auto"/>
              <w:left w:val="single" w:sz="2" w:space="0" w:color="auto"/>
              <w:bottom w:val="single" w:sz="2" w:space="0" w:color="auto"/>
            </w:tcBorders>
            <w:shd w:val="clear" w:color="auto" w:fill="E0E0E0"/>
          </w:tcPr>
          <w:p w:rsidR="00081F13" w:rsidRPr="00ED35E0" w:rsidRDefault="00081F13" w:rsidP="00081F13">
            <w:pPr>
              <w:pStyle w:val="LadilloMichelinDossier"/>
              <w:spacing w:before="0" w:after="0"/>
              <w:jc w:val="center"/>
              <w:rPr>
                <w:rFonts w:ascii="Arial" w:hAnsi="Arial"/>
                <w:bCs/>
                <w:sz w:val="20"/>
                <w:lang w:val="es-ES_tradnl" w:bidi="es-ES_tradnl"/>
              </w:rPr>
            </w:pPr>
            <w:r w:rsidRPr="00ED35E0">
              <w:rPr>
                <w:rFonts w:ascii="Arial" w:hAnsi="Arial"/>
                <w:bCs/>
                <w:sz w:val="20"/>
                <w:lang w:val="es-ES_tradnl" w:bidi="es-ES_tradnl"/>
              </w:rPr>
              <w:t>Margen operativo antes de no recurrentes</w:t>
            </w:r>
          </w:p>
        </w:tc>
      </w:tr>
      <w:tr w:rsidR="00BD2986" w:rsidRPr="00ED35E0">
        <w:tc>
          <w:tcPr>
            <w:tcW w:w="1668" w:type="dxa"/>
            <w:tcBorders>
              <w:top w:val="single" w:sz="2" w:space="0" w:color="auto"/>
              <w:bottom w:val="single" w:sz="2" w:space="0" w:color="auto"/>
              <w:right w:val="single" w:sz="2" w:space="0" w:color="auto"/>
            </w:tcBorders>
          </w:tcPr>
          <w:p w:rsidR="00BD2986" w:rsidRPr="00ED35E0" w:rsidRDefault="00BD2986" w:rsidP="00BD2986">
            <w:pPr>
              <w:keepNext/>
              <w:spacing w:after="120"/>
              <w:jc w:val="both"/>
              <w:rPr>
                <w:rFonts w:ascii="Arial" w:hAnsi="Arial" w:cs="Arial"/>
                <w:b/>
                <w:sz w:val="20"/>
              </w:rPr>
            </w:pP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BD2986">
            <w:pPr>
              <w:keepNext/>
              <w:spacing w:after="120"/>
              <w:jc w:val="center"/>
              <w:rPr>
                <w:rFonts w:ascii="Verdana" w:hAnsi="Verdana" w:cs="Arial"/>
                <w:smallCaps/>
                <w:sz w:val="20"/>
                <w:szCs w:val="18"/>
              </w:rPr>
            </w:pPr>
            <w:r w:rsidRPr="00ED35E0">
              <w:rPr>
                <w:rFonts w:ascii="Arial" w:hAnsi="Arial" w:cs="Arial"/>
                <w:smallCaps/>
                <w:sz w:val="20"/>
                <w:szCs w:val="18"/>
              </w:rPr>
              <w:t>2013</w:t>
            </w:r>
          </w:p>
        </w:tc>
        <w:tc>
          <w:tcPr>
            <w:tcW w:w="1275" w:type="dxa"/>
            <w:tcBorders>
              <w:top w:val="single" w:sz="2" w:space="0" w:color="auto"/>
              <w:left w:val="single" w:sz="2" w:space="0" w:color="auto"/>
              <w:bottom w:val="single" w:sz="2" w:space="0" w:color="auto"/>
              <w:right w:val="single" w:sz="2" w:space="0" w:color="auto"/>
            </w:tcBorders>
          </w:tcPr>
          <w:p w:rsidR="00BD2986" w:rsidRPr="00ED35E0" w:rsidRDefault="00BD2986" w:rsidP="00BD2986">
            <w:pPr>
              <w:keepNext/>
              <w:spacing w:after="120"/>
              <w:jc w:val="center"/>
              <w:rPr>
                <w:rFonts w:ascii="Verdana" w:hAnsi="Verdana" w:cs="Arial"/>
                <w:smallCaps/>
                <w:sz w:val="20"/>
                <w:szCs w:val="18"/>
              </w:rPr>
            </w:pPr>
            <w:r w:rsidRPr="00ED35E0">
              <w:rPr>
                <w:rFonts w:ascii="Arial" w:hAnsi="Arial" w:cs="Arial"/>
                <w:smallCaps/>
                <w:sz w:val="20"/>
                <w:szCs w:val="18"/>
              </w:rPr>
              <w:t>2012</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BD2986">
            <w:pPr>
              <w:keepNext/>
              <w:spacing w:after="120"/>
              <w:jc w:val="center"/>
              <w:rPr>
                <w:rFonts w:ascii="Verdana" w:hAnsi="Verdana" w:cs="Arial"/>
                <w:smallCaps/>
                <w:sz w:val="20"/>
                <w:szCs w:val="18"/>
              </w:rPr>
            </w:pPr>
            <w:r w:rsidRPr="00ED35E0">
              <w:rPr>
                <w:rFonts w:ascii="Arial" w:hAnsi="Arial" w:cs="Arial"/>
                <w:smallCaps/>
                <w:sz w:val="20"/>
                <w:szCs w:val="18"/>
              </w:rPr>
              <w:t>2013</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BD2986">
            <w:pPr>
              <w:keepNext/>
              <w:spacing w:after="120"/>
              <w:jc w:val="center"/>
              <w:rPr>
                <w:rFonts w:ascii="Verdana" w:hAnsi="Verdana" w:cs="Arial"/>
                <w:smallCaps/>
                <w:sz w:val="20"/>
                <w:szCs w:val="18"/>
              </w:rPr>
            </w:pPr>
            <w:r w:rsidRPr="00ED35E0">
              <w:rPr>
                <w:rFonts w:ascii="Arial" w:hAnsi="Arial" w:cs="Arial"/>
                <w:smallCaps/>
                <w:sz w:val="20"/>
                <w:szCs w:val="18"/>
              </w:rPr>
              <w:t>2012</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BD2986">
            <w:pPr>
              <w:keepNext/>
              <w:spacing w:after="120"/>
              <w:jc w:val="center"/>
              <w:rPr>
                <w:rFonts w:ascii="Verdana" w:hAnsi="Verdana" w:cs="Arial"/>
                <w:smallCaps/>
                <w:sz w:val="20"/>
                <w:szCs w:val="18"/>
              </w:rPr>
            </w:pPr>
            <w:r w:rsidRPr="00ED35E0">
              <w:rPr>
                <w:rFonts w:ascii="Arial" w:hAnsi="Arial" w:cs="Arial"/>
                <w:smallCaps/>
                <w:sz w:val="20"/>
                <w:szCs w:val="18"/>
              </w:rPr>
              <w:t>2013</w:t>
            </w:r>
          </w:p>
        </w:tc>
        <w:tc>
          <w:tcPr>
            <w:tcW w:w="1134" w:type="dxa"/>
            <w:tcBorders>
              <w:top w:val="single" w:sz="2" w:space="0" w:color="auto"/>
              <w:left w:val="single" w:sz="2" w:space="0" w:color="auto"/>
              <w:bottom w:val="single" w:sz="2" w:space="0" w:color="auto"/>
            </w:tcBorders>
          </w:tcPr>
          <w:p w:rsidR="00BD2986" w:rsidRPr="00ED35E0" w:rsidRDefault="00BD2986" w:rsidP="00BD2986">
            <w:pPr>
              <w:keepNext/>
              <w:spacing w:after="120"/>
              <w:jc w:val="center"/>
              <w:rPr>
                <w:rFonts w:ascii="Verdana" w:hAnsi="Verdana" w:cs="Arial"/>
                <w:smallCaps/>
                <w:sz w:val="20"/>
                <w:szCs w:val="18"/>
              </w:rPr>
            </w:pPr>
            <w:r w:rsidRPr="00ED35E0">
              <w:rPr>
                <w:rFonts w:ascii="Arial" w:hAnsi="Arial" w:cs="Arial"/>
                <w:smallCaps/>
                <w:sz w:val="20"/>
                <w:szCs w:val="18"/>
              </w:rPr>
              <w:t>2012</w:t>
            </w:r>
          </w:p>
        </w:tc>
      </w:tr>
      <w:tr w:rsidR="00BD2986" w:rsidRPr="00ED35E0">
        <w:tc>
          <w:tcPr>
            <w:tcW w:w="1668" w:type="dxa"/>
            <w:tcBorders>
              <w:top w:val="single" w:sz="2" w:space="0" w:color="auto"/>
              <w:bottom w:val="single" w:sz="2" w:space="0" w:color="auto"/>
              <w:right w:val="single" w:sz="2" w:space="0" w:color="auto"/>
            </w:tcBorders>
          </w:tcPr>
          <w:p w:rsidR="00BD2986" w:rsidRPr="00ED35E0" w:rsidRDefault="00BD2986" w:rsidP="00081F13">
            <w:pPr>
              <w:spacing w:after="120"/>
              <w:rPr>
                <w:rFonts w:ascii="Arial" w:hAnsi="Arial" w:cs="Arial"/>
                <w:smallCaps/>
                <w:sz w:val="20"/>
                <w:szCs w:val="18"/>
              </w:rPr>
            </w:pPr>
            <w:r w:rsidRPr="00ED35E0">
              <w:rPr>
                <w:rFonts w:ascii="Arial" w:hAnsi="Arial" w:cs="Arial"/>
                <w:smallCaps/>
                <w:sz w:val="20"/>
                <w:szCs w:val="18"/>
              </w:rPr>
              <w:t xml:space="preserve">turismo </w:t>
            </w:r>
            <w:r w:rsidRPr="00ED35E0">
              <w:rPr>
                <w:rFonts w:ascii="Arial" w:hAnsi="Arial" w:cs="Arial"/>
                <w:smallCaps/>
                <w:sz w:val="16"/>
              </w:rPr>
              <w:t>CAMIONETA</w:t>
            </w:r>
            <w:r w:rsidRPr="00ED35E0">
              <w:rPr>
                <w:rFonts w:ascii="Arial" w:hAnsi="Arial" w:cs="Arial"/>
                <w:smallCaps/>
                <w:sz w:val="20"/>
                <w:szCs w:val="18"/>
              </w:rPr>
              <w:t xml:space="preserve"> y distribución asociada</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10</w:t>
            </w:r>
            <w:r w:rsidR="00544757">
              <w:rPr>
                <w:rFonts w:ascii="Arial" w:hAnsi="Arial" w:cs="Arial"/>
                <w:b/>
                <w:bCs/>
                <w:sz w:val="20"/>
                <w:szCs w:val="18"/>
              </w:rPr>
              <w:t>.</w:t>
            </w:r>
            <w:r w:rsidRPr="00ED35E0">
              <w:rPr>
                <w:rFonts w:ascii="Arial" w:hAnsi="Arial" w:cs="Arial"/>
                <w:b/>
                <w:bCs/>
                <w:sz w:val="20"/>
                <w:szCs w:val="18"/>
              </w:rPr>
              <w:t>693</w:t>
            </w:r>
          </w:p>
        </w:tc>
        <w:tc>
          <w:tcPr>
            <w:tcW w:w="1275"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11</w:t>
            </w:r>
            <w:r w:rsidR="00544757">
              <w:rPr>
                <w:rFonts w:ascii="Arial" w:hAnsi="Arial" w:cs="Arial"/>
                <w:b/>
                <w:bCs/>
                <w:sz w:val="20"/>
                <w:szCs w:val="18"/>
              </w:rPr>
              <w:t>.</w:t>
            </w:r>
            <w:r w:rsidRPr="00ED35E0">
              <w:rPr>
                <w:rFonts w:ascii="Arial" w:hAnsi="Arial" w:cs="Arial"/>
                <w:b/>
                <w:bCs/>
                <w:sz w:val="20"/>
                <w:szCs w:val="18"/>
              </w:rPr>
              <w:t>098</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jc w:val="center"/>
              <w:rPr>
                <w:rFonts w:ascii="Arial" w:hAnsi="Arial" w:cs="Arial"/>
                <w:b/>
                <w:sz w:val="20"/>
                <w:szCs w:val="18"/>
              </w:rPr>
            </w:pPr>
          </w:p>
          <w:p w:rsidR="00BD2986" w:rsidRPr="00ED35E0" w:rsidRDefault="00BD2986" w:rsidP="004931C4">
            <w:pPr>
              <w:jc w:val="center"/>
              <w:rPr>
                <w:rFonts w:ascii="Arial" w:hAnsi="Arial" w:cs="Arial"/>
                <w:b/>
                <w:sz w:val="20"/>
                <w:szCs w:val="18"/>
              </w:rPr>
            </w:pPr>
          </w:p>
          <w:p w:rsidR="00BD2986" w:rsidRPr="00ED35E0" w:rsidRDefault="00BD2986" w:rsidP="004931C4">
            <w:pPr>
              <w:jc w:val="center"/>
              <w:rPr>
                <w:rFonts w:ascii="Arial" w:hAnsi="Arial" w:cs="Arial"/>
                <w:b/>
                <w:sz w:val="20"/>
                <w:szCs w:val="18"/>
              </w:rPr>
            </w:pPr>
          </w:p>
          <w:p w:rsidR="00BD2986" w:rsidRPr="00ED35E0" w:rsidRDefault="00BD2986" w:rsidP="00544757">
            <w:pPr>
              <w:jc w:val="center"/>
              <w:rPr>
                <w:rFonts w:ascii="Arial" w:hAnsi="Arial" w:cs="Arial"/>
                <w:b/>
                <w:sz w:val="20"/>
                <w:szCs w:val="18"/>
              </w:rPr>
            </w:pPr>
            <w:r w:rsidRPr="00ED35E0">
              <w:rPr>
                <w:rFonts w:ascii="Arial" w:hAnsi="Arial" w:cs="Arial"/>
                <w:b/>
                <w:sz w:val="20"/>
                <w:szCs w:val="18"/>
              </w:rPr>
              <w:t>1</w:t>
            </w:r>
            <w:r w:rsidR="00544757">
              <w:rPr>
                <w:rFonts w:ascii="Arial" w:hAnsi="Arial" w:cs="Arial"/>
                <w:b/>
                <w:sz w:val="20"/>
                <w:szCs w:val="18"/>
              </w:rPr>
              <w:t>.</w:t>
            </w:r>
            <w:r w:rsidRPr="00ED35E0">
              <w:rPr>
                <w:rFonts w:ascii="Arial" w:hAnsi="Arial" w:cs="Arial"/>
                <w:b/>
                <w:sz w:val="20"/>
                <w:szCs w:val="18"/>
              </w:rPr>
              <w:t>086</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jc w:val="center"/>
              <w:rPr>
                <w:rFonts w:ascii="Arial" w:hAnsi="Arial" w:cs="Arial"/>
                <w:b/>
                <w:sz w:val="20"/>
                <w:szCs w:val="18"/>
              </w:rPr>
            </w:pPr>
            <w:r w:rsidRPr="00ED35E0">
              <w:rPr>
                <w:rFonts w:ascii="Arial" w:hAnsi="Arial" w:cs="Arial"/>
                <w:b/>
                <w:bCs/>
                <w:sz w:val="20"/>
                <w:szCs w:val="18"/>
              </w:rPr>
              <w:t>1</w:t>
            </w:r>
            <w:r w:rsidR="00544757">
              <w:rPr>
                <w:rFonts w:ascii="Arial" w:hAnsi="Arial" w:cs="Arial"/>
                <w:b/>
                <w:bCs/>
                <w:sz w:val="20"/>
                <w:szCs w:val="18"/>
              </w:rPr>
              <w:t>.</w:t>
            </w:r>
            <w:r w:rsidRPr="00ED35E0">
              <w:rPr>
                <w:rFonts w:ascii="Arial" w:hAnsi="Arial" w:cs="Arial"/>
                <w:b/>
                <w:bCs/>
                <w:sz w:val="20"/>
                <w:szCs w:val="18"/>
              </w:rPr>
              <w:t>033</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r w:rsidRPr="00ED35E0">
              <w:rPr>
                <w:rFonts w:ascii="Arial" w:hAnsi="Arial" w:cs="Arial"/>
                <w:b/>
                <w:bCs/>
                <w:sz w:val="20"/>
                <w:szCs w:val="18"/>
              </w:rPr>
              <w:t>10,2 %</w:t>
            </w:r>
          </w:p>
        </w:tc>
        <w:tc>
          <w:tcPr>
            <w:tcW w:w="1134" w:type="dxa"/>
            <w:tcBorders>
              <w:top w:val="single" w:sz="2" w:space="0" w:color="auto"/>
              <w:left w:val="single" w:sz="2" w:space="0" w:color="auto"/>
              <w:bottom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r w:rsidRPr="00ED35E0">
              <w:rPr>
                <w:rFonts w:ascii="Arial" w:hAnsi="Arial" w:cs="Arial"/>
                <w:b/>
                <w:bCs/>
                <w:sz w:val="20"/>
                <w:szCs w:val="18"/>
              </w:rPr>
              <w:t>9,3 %</w:t>
            </w:r>
          </w:p>
        </w:tc>
      </w:tr>
      <w:tr w:rsidR="00BD2986" w:rsidRPr="00ED35E0">
        <w:tc>
          <w:tcPr>
            <w:tcW w:w="1668" w:type="dxa"/>
            <w:tcBorders>
              <w:top w:val="single" w:sz="2" w:space="0" w:color="auto"/>
              <w:bottom w:val="single" w:sz="2" w:space="0" w:color="auto"/>
              <w:right w:val="single" w:sz="2" w:space="0" w:color="auto"/>
            </w:tcBorders>
          </w:tcPr>
          <w:p w:rsidR="00BD2986" w:rsidRPr="00ED35E0" w:rsidRDefault="00BD2986" w:rsidP="00081F13">
            <w:pPr>
              <w:spacing w:after="120"/>
              <w:rPr>
                <w:rFonts w:ascii="Arial" w:hAnsi="Arial" w:cs="Arial"/>
                <w:smallCaps/>
                <w:sz w:val="20"/>
                <w:szCs w:val="18"/>
              </w:rPr>
            </w:pPr>
            <w:r w:rsidRPr="00ED35E0">
              <w:rPr>
                <w:rFonts w:ascii="Arial" w:hAnsi="Arial" w:cs="Arial"/>
                <w:smallCaps/>
                <w:sz w:val="20"/>
                <w:szCs w:val="18"/>
              </w:rPr>
              <w:t>camión y distribución asociada</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6</w:t>
            </w:r>
            <w:r w:rsidR="00544757">
              <w:rPr>
                <w:rFonts w:ascii="Arial" w:hAnsi="Arial" w:cs="Arial"/>
                <w:b/>
                <w:bCs/>
                <w:sz w:val="20"/>
                <w:szCs w:val="18"/>
              </w:rPr>
              <w:t>.</w:t>
            </w:r>
            <w:r w:rsidRPr="00ED35E0">
              <w:rPr>
                <w:rFonts w:ascii="Arial" w:hAnsi="Arial" w:cs="Arial"/>
                <w:b/>
                <w:bCs/>
                <w:sz w:val="20"/>
                <w:szCs w:val="18"/>
              </w:rPr>
              <w:t>425</w:t>
            </w:r>
          </w:p>
        </w:tc>
        <w:tc>
          <w:tcPr>
            <w:tcW w:w="1275"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6</w:t>
            </w:r>
            <w:r w:rsidR="00544757">
              <w:rPr>
                <w:rFonts w:ascii="Arial" w:hAnsi="Arial" w:cs="Arial"/>
                <w:b/>
                <w:bCs/>
                <w:sz w:val="20"/>
                <w:szCs w:val="18"/>
              </w:rPr>
              <w:t>.</w:t>
            </w:r>
            <w:r w:rsidRPr="00ED35E0">
              <w:rPr>
                <w:rFonts w:ascii="Arial" w:hAnsi="Arial" w:cs="Arial"/>
                <w:b/>
                <w:bCs/>
                <w:sz w:val="20"/>
                <w:szCs w:val="18"/>
              </w:rPr>
              <w:t>736</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jc w:val="center"/>
              <w:rPr>
                <w:rFonts w:ascii="Arial" w:hAnsi="Arial" w:cs="Arial"/>
                <w:b/>
                <w:sz w:val="20"/>
                <w:szCs w:val="18"/>
              </w:rPr>
            </w:pPr>
          </w:p>
          <w:p w:rsidR="00BD2986" w:rsidRPr="00ED35E0" w:rsidRDefault="00BD2986" w:rsidP="004931C4">
            <w:pPr>
              <w:jc w:val="center"/>
              <w:rPr>
                <w:rFonts w:ascii="Arial" w:hAnsi="Arial" w:cs="Arial"/>
                <w:b/>
                <w:sz w:val="20"/>
                <w:szCs w:val="18"/>
              </w:rPr>
            </w:pPr>
          </w:p>
          <w:p w:rsidR="00BD2986" w:rsidRPr="00ED35E0" w:rsidRDefault="00BD2986" w:rsidP="004931C4">
            <w:pPr>
              <w:jc w:val="center"/>
              <w:rPr>
                <w:rFonts w:ascii="Arial" w:hAnsi="Arial" w:cs="Arial"/>
                <w:b/>
                <w:sz w:val="20"/>
                <w:szCs w:val="18"/>
              </w:rPr>
            </w:pPr>
            <w:r w:rsidRPr="00ED35E0">
              <w:rPr>
                <w:rFonts w:ascii="Arial" w:hAnsi="Arial" w:cs="Arial"/>
                <w:b/>
                <w:sz w:val="20"/>
                <w:szCs w:val="18"/>
              </w:rPr>
              <w:t>503</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jc w:val="center"/>
              <w:rPr>
                <w:rFonts w:ascii="Arial" w:hAnsi="Arial" w:cs="Arial"/>
                <w:b/>
                <w:sz w:val="20"/>
                <w:szCs w:val="18"/>
              </w:rPr>
            </w:pPr>
            <w:r w:rsidRPr="00ED35E0">
              <w:rPr>
                <w:rFonts w:ascii="Arial" w:hAnsi="Arial" w:cs="Arial"/>
                <w:b/>
                <w:bCs/>
                <w:sz w:val="20"/>
                <w:szCs w:val="18"/>
              </w:rPr>
              <w:t>444</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r w:rsidRPr="00ED35E0">
              <w:rPr>
                <w:rFonts w:ascii="Arial" w:hAnsi="Arial" w:cs="Arial"/>
                <w:b/>
                <w:bCs/>
                <w:sz w:val="20"/>
                <w:szCs w:val="18"/>
              </w:rPr>
              <w:t>7,8 %</w:t>
            </w:r>
          </w:p>
        </w:tc>
        <w:tc>
          <w:tcPr>
            <w:tcW w:w="1134" w:type="dxa"/>
            <w:tcBorders>
              <w:top w:val="single" w:sz="2" w:space="0" w:color="auto"/>
              <w:left w:val="single" w:sz="2" w:space="0" w:color="auto"/>
              <w:bottom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r w:rsidRPr="00ED35E0">
              <w:rPr>
                <w:rFonts w:ascii="Arial" w:hAnsi="Arial" w:cs="Arial"/>
                <w:b/>
                <w:bCs/>
                <w:sz w:val="20"/>
                <w:szCs w:val="18"/>
              </w:rPr>
              <w:t>6,6 %</w:t>
            </w:r>
          </w:p>
        </w:tc>
      </w:tr>
      <w:tr w:rsidR="00BD2986" w:rsidRPr="00ED35E0">
        <w:tc>
          <w:tcPr>
            <w:tcW w:w="1668" w:type="dxa"/>
            <w:tcBorders>
              <w:top w:val="single" w:sz="2" w:space="0" w:color="auto"/>
              <w:bottom w:val="single" w:sz="2" w:space="0" w:color="auto"/>
              <w:right w:val="single" w:sz="2" w:space="0" w:color="auto"/>
            </w:tcBorders>
          </w:tcPr>
          <w:p w:rsidR="00BD2986" w:rsidRPr="00ED35E0" w:rsidRDefault="00BD2986" w:rsidP="00081F13">
            <w:pPr>
              <w:spacing w:after="120"/>
              <w:jc w:val="both"/>
              <w:rPr>
                <w:rFonts w:ascii="Arial" w:hAnsi="Arial" w:cs="Arial"/>
                <w:smallCaps/>
                <w:sz w:val="20"/>
                <w:szCs w:val="18"/>
              </w:rPr>
            </w:pPr>
            <w:r w:rsidRPr="00ED35E0">
              <w:rPr>
                <w:rFonts w:ascii="Arial" w:hAnsi="Arial" w:cs="Arial"/>
                <w:smallCaps/>
                <w:sz w:val="20"/>
                <w:szCs w:val="18"/>
              </w:rPr>
              <w:t xml:space="preserve">actividades </w:t>
            </w:r>
            <w:r w:rsidRPr="00ED35E0">
              <w:rPr>
                <w:rFonts w:ascii="Arial" w:hAnsi="Arial" w:cs="Arial"/>
                <w:smallCaps/>
                <w:sz w:val="16"/>
              </w:rPr>
              <w:t>DE</w:t>
            </w:r>
            <w:r w:rsidRPr="00ED35E0">
              <w:rPr>
                <w:rFonts w:ascii="Arial" w:hAnsi="Arial" w:cs="Arial"/>
                <w:smallCaps/>
                <w:sz w:val="20"/>
              </w:rPr>
              <w:t xml:space="preserve"> especialidades</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3</w:t>
            </w:r>
            <w:r w:rsidR="00544757">
              <w:rPr>
                <w:rFonts w:ascii="Arial" w:hAnsi="Arial" w:cs="Arial"/>
                <w:b/>
                <w:bCs/>
                <w:sz w:val="20"/>
                <w:szCs w:val="18"/>
              </w:rPr>
              <w:t>.</w:t>
            </w:r>
            <w:r w:rsidRPr="00ED35E0">
              <w:rPr>
                <w:rFonts w:ascii="Arial" w:hAnsi="Arial" w:cs="Arial"/>
                <w:b/>
                <w:bCs/>
                <w:sz w:val="20"/>
                <w:szCs w:val="18"/>
              </w:rPr>
              <w:t>129</w:t>
            </w:r>
          </w:p>
        </w:tc>
        <w:tc>
          <w:tcPr>
            <w:tcW w:w="1275"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3</w:t>
            </w:r>
            <w:r w:rsidR="00544757">
              <w:rPr>
                <w:rFonts w:ascii="Arial" w:hAnsi="Arial" w:cs="Arial"/>
                <w:b/>
                <w:bCs/>
                <w:sz w:val="20"/>
                <w:szCs w:val="18"/>
              </w:rPr>
              <w:t>.</w:t>
            </w:r>
            <w:r w:rsidRPr="00ED35E0">
              <w:rPr>
                <w:rFonts w:ascii="Arial" w:hAnsi="Arial" w:cs="Arial"/>
                <w:b/>
                <w:bCs/>
                <w:sz w:val="20"/>
                <w:szCs w:val="18"/>
              </w:rPr>
              <w:t>640</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jc w:val="center"/>
              <w:rPr>
                <w:rFonts w:ascii="Arial" w:hAnsi="Arial" w:cs="Arial"/>
                <w:b/>
                <w:sz w:val="20"/>
                <w:szCs w:val="18"/>
              </w:rPr>
            </w:pPr>
          </w:p>
          <w:p w:rsidR="00BD2986" w:rsidRPr="00ED35E0" w:rsidRDefault="00BD2986" w:rsidP="004931C4">
            <w:pPr>
              <w:jc w:val="center"/>
              <w:rPr>
                <w:rFonts w:ascii="Arial" w:hAnsi="Arial" w:cs="Arial"/>
                <w:b/>
                <w:sz w:val="20"/>
                <w:szCs w:val="18"/>
              </w:rPr>
            </w:pPr>
            <w:r w:rsidRPr="00ED35E0">
              <w:rPr>
                <w:rFonts w:ascii="Arial" w:hAnsi="Arial" w:cs="Arial"/>
                <w:b/>
                <w:sz w:val="20"/>
                <w:szCs w:val="18"/>
              </w:rPr>
              <w:t>645</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jc w:val="center"/>
              <w:rPr>
                <w:rFonts w:ascii="Arial" w:hAnsi="Arial" w:cs="Arial"/>
                <w:b/>
                <w:sz w:val="20"/>
                <w:szCs w:val="18"/>
              </w:rPr>
            </w:pPr>
            <w:r w:rsidRPr="00ED35E0">
              <w:rPr>
                <w:rFonts w:ascii="Arial" w:hAnsi="Arial" w:cs="Arial"/>
                <w:b/>
                <w:bCs/>
                <w:sz w:val="20"/>
                <w:szCs w:val="18"/>
              </w:rPr>
              <w:t>946</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r w:rsidRPr="00ED35E0">
              <w:rPr>
                <w:rFonts w:ascii="Arial" w:hAnsi="Arial" w:cs="Arial"/>
                <w:b/>
                <w:bCs/>
                <w:sz w:val="20"/>
                <w:szCs w:val="18"/>
              </w:rPr>
              <w:t>20,6 %</w:t>
            </w:r>
          </w:p>
        </w:tc>
        <w:tc>
          <w:tcPr>
            <w:tcW w:w="1134" w:type="dxa"/>
            <w:tcBorders>
              <w:top w:val="single" w:sz="2" w:space="0" w:color="auto"/>
              <w:left w:val="single" w:sz="2" w:space="0" w:color="auto"/>
              <w:bottom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tabs>
                <w:tab w:val="left" w:pos="360"/>
              </w:tabs>
              <w:jc w:val="center"/>
              <w:rPr>
                <w:rFonts w:ascii="Arial" w:hAnsi="Arial" w:cs="Arial"/>
                <w:b/>
                <w:bCs/>
                <w:sz w:val="20"/>
                <w:szCs w:val="18"/>
              </w:rPr>
            </w:pPr>
            <w:r w:rsidRPr="00ED35E0">
              <w:rPr>
                <w:rFonts w:ascii="Arial" w:hAnsi="Arial" w:cs="Arial"/>
                <w:b/>
                <w:bCs/>
                <w:sz w:val="20"/>
                <w:szCs w:val="18"/>
              </w:rPr>
              <w:t>26,0 %</w:t>
            </w:r>
          </w:p>
        </w:tc>
      </w:tr>
      <w:tr w:rsidR="00BD2986" w:rsidRPr="00ED35E0">
        <w:tc>
          <w:tcPr>
            <w:tcW w:w="1668" w:type="dxa"/>
            <w:tcBorders>
              <w:top w:val="single" w:sz="2" w:space="0" w:color="auto"/>
              <w:right w:val="single" w:sz="2" w:space="0" w:color="auto"/>
            </w:tcBorders>
          </w:tcPr>
          <w:p w:rsidR="00BD2986" w:rsidRPr="00ED35E0" w:rsidRDefault="00BD2986" w:rsidP="00081F13">
            <w:pPr>
              <w:jc w:val="both"/>
              <w:rPr>
                <w:rFonts w:ascii="Arial" w:hAnsi="Arial" w:cs="Arial"/>
                <w:smallCaps/>
                <w:sz w:val="20"/>
              </w:rPr>
            </w:pPr>
          </w:p>
          <w:p w:rsidR="00BD2986" w:rsidRPr="00ED35E0" w:rsidRDefault="00BD2986" w:rsidP="00081F13">
            <w:pPr>
              <w:jc w:val="both"/>
              <w:rPr>
                <w:rFonts w:ascii="Arial" w:hAnsi="Arial" w:cs="Arial"/>
                <w:smallCaps/>
                <w:sz w:val="20"/>
              </w:rPr>
            </w:pPr>
            <w:r w:rsidRPr="00ED35E0">
              <w:rPr>
                <w:rFonts w:ascii="Arial" w:hAnsi="Arial" w:cs="Arial"/>
                <w:smallCaps/>
                <w:sz w:val="20"/>
                <w:szCs w:val="18"/>
              </w:rPr>
              <w:t>grupo</w:t>
            </w:r>
          </w:p>
          <w:p w:rsidR="00BD2986" w:rsidRPr="00ED35E0" w:rsidRDefault="00BD2986" w:rsidP="00081F13">
            <w:pPr>
              <w:jc w:val="both"/>
              <w:rPr>
                <w:rFonts w:ascii="Arial" w:hAnsi="Arial" w:cs="Arial"/>
                <w:smallCaps/>
                <w:sz w:val="20"/>
                <w:szCs w:val="16"/>
              </w:rPr>
            </w:pP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20</w:t>
            </w:r>
            <w:r w:rsidR="00544757">
              <w:rPr>
                <w:rFonts w:ascii="Arial" w:hAnsi="Arial" w:cs="Arial"/>
                <w:b/>
                <w:bCs/>
                <w:sz w:val="20"/>
                <w:szCs w:val="18"/>
              </w:rPr>
              <w:t>.</w:t>
            </w:r>
            <w:r w:rsidRPr="00ED35E0">
              <w:rPr>
                <w:rFonts w:ascii="Arial" w:hAnsi="Arial" w:cs="Arial"/>
                <w:b/>
                <w:bCs/>
                <w:sz w:val="20"/>
                <w:szCs w:val="18"/>
              </w:rPr>
              <w:t>247</w:t>
            </w:r>
          </w:p>
        </w:tc>
        <w:tc>
          <w:tcPr>
            <w:tcW w:w="1275"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tabs>
                <w:tab w:val="left" w:pos="360"/>
              </w:tabs>
              <w:jc w:val="center"/>
              <w:rPr>
                <w:rFonts w:ascii="Arial" w:hAnsi="Arial" w:cs="Arial"/>
                <w:b/>
                <w:bCs/>
                <w:sz w:val="20"/>
                <w:szCs w:val="18"/>
              </w:rPr>
            </w:pPr>
            <w:r w:rsidRPr="00ED35E0">
              <w:rPr>
                <w:rFonts w:ascii="Arial" w:hAnsi="Arial" w:cs="Arial"/>
                <w:b/>
                <w:bCs/>
                <w:sz w:val="20"/>
                <w:szCs w:val="18"/>
              </w:rPr>
              <w:t>21</w:t>
            </w:r>
            <w:r w:rsidR="00544757">
              <w:rPr>
                <w:rFonts w:ascii="Arial" w:hAnsi="Arial" w:cs="Arial"/>
                <w:b/>
                <w:bCs/>
                <w:sz w:val="20"/>
                <w:szCs w:val="18"/>
              </w:rPr>
              <w:t>.</w:t>
            </w:r>
            <w:r w:rsidRPr="00ED35E0">
              <w:rPr>
                <w:rFonts w:ascii="Arial" w:hAnsi="Arial" w:cs="Arial"/>
                <w:b/>
                <w:bCs/>
                <w:sz w:val="20"/>
                <w:szCs w:val="18"/>
              </w:rPr>
              <w:t>474</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jc w:val="center"/>
              <w:rPr>
                <w:rFonts w:ascii="Arial" w:hAnsi="Arial" w:cs="Arial"/>
                <w:b/>
                <w:sz w:val="20"/>
                <w:szCs w:val="18"/>
              </w:rPr>
            </w:pPr>
          </w:p>
          <w:p w:rsidR="00BD2986" w:rsidRPr="00ED35E0" w:rsidRDefault="00BD2986" w:rsidP="004931C4">
            <w:pPr>
              <w:jc w:val="center"/>
              <w:rPr>
                <w:rFonts w:ascii="Arial" w:hAnsi="Arial" w:cs="Arial"/>
                <w:b/>
                <w:sz w:val="20"/>
                <w:szCs w:val="18"/>
              </w:rPr>
            </w:pPr>
            <w:r w:rsidRPr="00ED35E0">
              <w:rPr>
                <w:rFonts w:ascii="Arial" w:hAnsi="Arial" w:cs="Arial"/>
                <w:b/>
                <w:sz w:val="20"/>
                <w:szCs w:val="18"/>
              </w:rPr>
              <w:t>2 234</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544757">
            <w:pPr>
              <w:jc w:val="center"/>
              <w:rPr>
                <w:rFonts w:ascii="Arial" w:hAnsi="Arial" w:cs="Arial"/>
                <w:b/>
                <w:sz w:val="20"/>
                <w:szCs w:val="18"/>
              </w:rPr>
            </w:pPr>
            <w:r w:rsidRPr="00ED35E0">
              <w:rPr>
                <w:rFonts w:ascii="Arial" w:hAnsi="Arial" w:cs="Arial"/>
                <w:b/>
                <w:bCs/>
                <w:sz w:val="20"/>
                <w:szCs w:val="18"/>
              </w:rPr>
              <w:t>2</w:t>
            </w:r>
            <w:r w:rsidR="00544757">
              <w:rPr>
                <w:rFonts w:ascii="Arial" w:hAnsi="Arial" w:cs="Arial"/>
                <w:b/>
                <w:bCs/>
                <w:sz w:val="20"/>
                <w:szCs w:val="18"/>
              </w:rPr>
              <w:t>.</w:t>
            </w:r>
            <w:r w:rsidRPr="00ED35E0">
              <w:rPr>
                <w:rFonts w:ascii="Arial" w:hAnsi="Arial" w:cs="Arial"/>
                <w:b/>
                <w:bCs/>
                <w:sz w:val="20"/>
                <w:szCs w:val="18"/>
              </w:rPr>
              <w:t>423</w:t>
            </w:r>
          </w:p>
        </w:tc>
        <w:tc>
          <w:tcPr>
            <w:tcW w:w="1134" w:type="dxa"/>
            <w:tcBorders>
              <w:top w:val="single" w:sz="2" w:space="0" w:color="auto"/>
              <w:left w:val="single" w:sz="2" w:space="0" w:color="auto"/>
              <w:bottom w:val="single" w:sz="2" w:space="0" w:color="auto"/>
              <w:right w:val="single" w:sz="2" w:space="0" w:color="auto"/>
            </w:tcBorders>
          </w:tcPr>
          <w:p w:rsidR="00BD2986" w:rsidRPr="00ED35E0" w:rsidRDefault="00BD2986" w:rsidP="004931C4">
            <w:pPr>
              <w:jc w:val="center"/>
              <w:rPr>
                <w:rFonts w:ascii="Arial" w:hAnsi="Arial" w:cs="Arial"/>
                <w:b/>
                <w:sz w:val="20"/>
                <w:szCs w:val="18"/>
              </w:rPr>
            </w:pPr>
          </w:p>
          <w:p w:rsidR="00BD2986" w:rsidRPr="00ED35E0" w:rsidRDefault="00BD2986" w:rsidP="004931C4">
            <w:pPr>
              <w:jc w:val="center"/>
              <w:rPr>
                <w:rFonts w:ascii="Arial" w:hAnsi="Arial" w:cs="Arial"/>
                <w:b/>
                <w:sz w:val="20"/>
                <w:szCs w:val="18"/>
              </w:rPr>
            </w:pPr>
            <w:r w:rsidRPr="00ED35E0">
              <w:rPr>
                <w:rFonts w:ascii="Arial" w:hAnsi="Arial" w:cs="Arial"/>
                <w:b/>
                <w:sz w:val="20"/>
                <w:szCs w:val="18"/>
              </w:rPr>
              <w:t>11,0 %</w:t>
            </w:r>
          </w:p>
        </w:tc>
        <w:tc>
          <w:tcPr>
            <w:tcW w:w="1134" w:type="dxa"/>
            <w:tcBorders>
              <w:top w:val="single" w:sz="2" w:space="0" w:color="auto"/>
              <w:left w:val="single" w:sz="2" w:space="0" w:color="auto"/>
            </w:tcBorders>
          </w:tcPr>
          <w:p w:rsidR="00BD2986" w:rsidRPr="00ED35E0" w:rsidRDefault="00BD2986" w:rsidP="004931C4">
            <w:pPr>
              <w:tabs>
                <w:tab w:val="left" w:pos="360"/>
              </w:tabs>
              <w:jc w:val="center"/>
              <w:rPr>
                <w:rFonts w:ascii="Arial" w:hAnsi="Arial" w:cs="Arial"/>
                <w:b/>
                <w:bCs/>
                <w:sz w:val="20"/>
                <w:szCs w:val="18"/>
              </w:rPr>
            </w:pPr>
          </w:p>
          <w:p w:rsidR="00BD2986" w:rsidRPr="00ED35E0" w:rsidRDefault="00BD2986" w:rsidP="004931C4">
            <w:pPr>
              <w:jc w:val="center"/>
              <w:rPr>
                <w:rFonts w:ascii="Arial" w:hAnsi="Arial" w:cs="Arial"/>
                <w:b/>
                <w:sz w:val="20"/>
                <w:szCs w:val="18"/>
              </w:rPr>
            </w:pPr>
            <w:r w:rsidRPr="00ED35E0">
              <w:rPr>
                <w:rFonts w:ascii="Arial" w:hAnsi="Arial" w:cs="Arial"/>
                <w:b/>
                <w:bCs/>
                <w:sz w:val="20"/>
                <w:szCs w:val="18"/>
              </w:rPr>
              <w:t>11,3 %</w:t>
            </w:r>
          </w:p>
        </w:tc>
      </w:tr>
    </w:tbl>
    <w:p w:rsidR="004931C4" w:rsidRPr="00ED35E0" w:rsidRDefault="004931C4" w:rsidP="00BF4FFF">
      <w:pPr>
        <w:spacing w:line="270" w:lineRule="atLeast"/>
        <w:jc w:val="both"/>
        <w:rPr>
          <w:rFonts w:ascii="Arial" w:hAnsi="Arial"/>
          <w:sz w:val="21"/>
          <w:lang w:bidi="es-ES_tradnl"/>
        </w:rPr>
      </w:pPr>
    </w:p>
    <w:p w:rsidR="004931C4" w:rsidRPr="00ED35E0" w:rsidRDefault="004931C4" w:rsidP="004931C4">
      <w:pPr>
        <w:pStyle w:val="LadilloMichelinDossier"/>
        <w:numPr>
          <w:ilvl w:val="0"/>
          <w:numId w:val="5"/>
        </w:numPr>
        <w:spacing w:after="240"/>
        <w:jc w:val="both"/>
        <w:rPr>
          <w:rFonts w:ascii="Verdana" w:hAnsi="Verdana" w:cs="Arial"/>
          <w:smallCaps/>
          <w:u w:val="single"/>
          <w:lang w:val="es-ES_tradnl"/>
        </w:rPr>
      </w:pPr>
      <w:r w:rsidRPr="00ED35E0">
        <w:rPr>
          <w:rFonts w:ascii="Arial" w:hAnsi="Arial"/>
          <w:bCs/>
          <w:sz w:val="21"/>
          <w:lang w:val="es-ES_tradnl" w:bidi="es-ES_tradnl"/>
        </w:rPr>
        <w:t xml:space="preserve">Turismo, camioneta y distribución asociada </w:t>
      </w:r>
    </w:p>
    <w:p w:rsidR="004931C4" w:rsidRPr="00ED35E0" w:rsidRDefault="00673D68" w:rsidP="00673D68">
      <w:pPr>
        <w:pStyle w:val="TextoMichelin"/>
        <w:rPr>
          <w:rFonts w:cs="Arial"/>
          <w:lang w:val="es-ES_tradnl" w:bidi="es-ES_tradnl"/>
        </w:rPr>
      </w:pPr>
      <w:r w:rsidRPr="005A249D">
        <w:rPr>
          <w:rFonts w:cs="Arial"/>
          <w:lang w:val="es-ES_tradnl" w:bidi="es-ES_tradnl"/>
        </w:rPr>
        <w:t>Las ventas netas del segmento de Turismo</w:t>
      </w:r>
      <w:r>
        <w:rPr>
          <w:rFonts w:cs="Arial"/>
          <w:lang w:val="es-ES_tradnl" w:bidi="es-ES_tradnl"/>
        </w:rPr>
        <w:t xml:space="preserve"> c</w:t>
      </w:r>
      <w:r w:rsidRPr="005A249D">
        <w:rPr>
          <w:rFonts w:cs="Arial"/>
          <w:lang w:val="es-ES_tradnl" w:bidi="es-ES_tradnl"/>
        </w:rPr>
        <w:t xml:space="preserve">amioneta y distribución asociada </w:t>
      </w:r>
      <w:r>
        <w:rPr>
          <w:rFonts w:cs="Arial"/>
          <w:lang w:val="es-ES_tradnl" w:bidi="es-ES_tradnl"/>
        </w:rPr>
        <w:t>se elevan a</w:t>
      </w:r>
      <w:r w:rsidR="004931C4" w:rsidRPr="00ED35E0">
        <w:rPr>
          <w:rFonts w:cs="Arial"/>
          <w:lang w:val="es-ES_tradnl" w:bidi="es-ES_tradnl"/>
        </w:rPr>
        <w:t xml:space="preserve"> 10</w:t>
      </w:r>
      <w:r>
        <w:rPr>
          <w:rFonts w:cs="Arial"/>
          <w:lang w:val="es-ES_tradnl" w:bidi="es-ES_tradnl"/>
        </w:rPr>
        <w:t>.</w:t>
      </w:r>
      <w:r w:rsidR="004931C4" w:rsidRPr="00ED35E0">
        <w:rPr>
          <w:rFonts w:cs="Arial"/>
          <w:lang w:val="es-ES_tradnl" w:bidi="es-ES_tradnl"/>
        </w:rPr>
        <w:t xml:space="preserve">693 </w:t>
      </w:r>
      <w:r w:rsidR="00D26E0E">
        <w:rPr>
          <w:rFonts w:cs="Arial"/>
          <w:lang w:val="es-ES_tradnl" w:bidi="es-ES_tradnl"/>
        </w:rPr>
        <w:t>millones de euros</w:t>
      </w:r>
      <w:r w:rsidR="004931C4" w:rsidRPr="00ED35E0">
        <w:rPr>
          <w:rFonts w:cs="Arial"/>
          <w:lang w:val="es-ES_tradnl" w:bidi="es-ES_tradnl"/>
        </w:rPr>
        <w:t xml:space="preserve">, </w:t>
      </w:r>
      <w:r w:rsidR="00D26E0E">
        <w:rPr>
          <w:rFonts w:cs="Arial"/>
          <w:lang w:val="es-ES_tradnl" w:bidi="es-ES_tradnl"/>
        </w:rPr>
        <w:t xml:space="preserve">en comparación con los </w:t>
      </w:r>
      <w:r w:rsidR="004931C4" w:rsidRPr="00ED35E0">
        <w:rPr>
          <w:rFonts w:cs="Arial"/>
          <w:lang w:val="es-ES_tradnl" w:bidi="es-ES_tradnl"/>
        </w:rPr>
        <w:t>11</w:t>
      </w:r>
      <w:r w:rsidR="00D26E0E">
        <w:rPr>
          <w:rFonts w:cs="Arial"/>
          <w:lang w:val="es-ES_tradnl" w:bidi="es-ES_tradnl"/>
        </w:rPr>
        <w:t>.</w:t>
      </w:r>
      <w:r w:rsidR="004931C4" w:rsidRPr="00ED35E0">
        <w:rPr>
          <w:rFonts w:cs="Arial"/>
          <w:lang w:val="es-ES_tradnl" w:bidi="es-ES_tradnl"/>
        </w:rPr>
        <w:t xml:space="preserve">098 </w:t>
      </w:r>
      <w:r w:rsidR="00D26E0E">
        <w:rPr>
          <w:rFonts w:cs="Arial"/>
          <w:lang w:val="es-ES_tradnl" w:bidi="es-ES_tradnl"/>
        </w:rPr>
        <w:t>millones para el mismo periodo d</w:t>
      </w:r>
      <w:r w:rsidR="004931C4" w:rsidRPr="00ED35E0">
        <w:rPr>
          <w:rFonts w:cs="Arial"/>
          <w:lang w:val="es-ES_tradnl" w:bidi="es-ES_tradnl"/>
        </w:rPr>
        <w:t xml:space="preserve">e 2012. </w:t>
      </w:r>
      <w:r w:rsidR="00D26E0E">
        <w:rPr>
          <w:rFonts w:cs="Arial"/>
          <w:lang w:val="es-ES_tradnl" w:bidi="es-ES_tradnl"/>
        </w:rPr>
        <w:t>Esta bajada refleja, principalmente, el efecto de la política de precios</w:t>
      </w:r>
      <w:r w:rsidR="007A4C1F">
        <w:rPr>
          <w:rFonts w:cs="Arial"/>
          <w:lang w:val="es-ES_tradnl" w:bidi="es-ES_tradnl"/>
        </w:rPr>
        <w:t xml:space="preserve">, el mantenimiento de la mejora </w:t>
      </w:r>
      <w:r w:rsidR="00D26E0E">
        <w:rPr>
          <w:rFonts w:cs="Arial"/>
          <w:lang w:val="es-ES_tradnl" w:bidi="es-ES_tradnl"/>
        </w:rPr>
        <w:t>del mix, así como el ligero aumento de los volúmenes</w:t>
      </w:r>
      <w:r w:rsidR="007A4C1F">
        <w:rPr>
          <w:rFonts w:cs="Arial"/>
          <w:lang w:val="es-ES_tradnl" w:bidi="es-ES_tradnl"/>
        </w:rPr>
        <w:t xml:space="preserve"> </w:t>
      </w:r>
      <w:r w:rsidR="004931C4" w:rsidRPr="00ED35E0">
        <w:rPr>
          <w:rFonts w:cs="Arial"/>
          <w:lang w:val="es-ES_tradnl" w:bidi="es-ES_tradnl"/>
        </w:rPr>
        <w:t xml:space="preserve">(+ 1 %), </w:t>
      </w:r>
      <w:r w:rsidR="007A4C1F">
        <w:rPr>
          <w:rFonts w:cs="Arial"/>
          <w:lang w:val="es-ES_tradnl" w:bidi="es-ES_tradnl"/>
        </w:rPr>
        <w:t>en un contexto de paridades monetarias desfavorable</w:t>
      </w:r>
      <w:r w:rsidR="004931C4" w:rsidRPr="00ED35E0">
        <w:rPr>
          <w:rFonts w:cs="Arial"/>
          <w:lang w:val="es-ES_tradnl" w:bidi="es-ES_tradnl"/>
        </w:rPr>
        <w:t xml:space="preserve">. </w:t>
      </w:r>
    </w:p>
    <w:p w:rsidR="004931C4" w:rsidRPr="00ED35E0" w:rsidRDefault="00E92AC4" w:rsidP="00E92AC4">
      <w:pPr>
        <w:pStyle w:val="TextoMichelin"/>
        <w:rPr>
          <w:rFonts w:cs="Arial"/>
          <w:lang w:val="es-ES_tradnl" w:bidi="es-ES_tradnl"/>
        </w:rPr>
      </w:pPr>
      <w:r>
        <w:rPr>
          <w:rFonts w:cs="Arial"/>
          <w:lang w:val="es-ES_tradnl" w:bidi="es-ES_tradnl"/>
        </w:rPr>
        <w:t xml:space="preserve">Aprovechando el reforzamiento de la marca </w:t>
      </w:r>
      <w:r w:rsidR="004931C4" w:rsidRPr="00ED35E0">
        <w:rPr>
          <w:rFonts w:cs="Arial"/>
          <w:lang w:val="es-ES_tradnl" w:bidi="es-ES_tradnl"/>
        </w:rPr>
        <w:t xml:space="preserve">MICHELIN, </w:t>
      </w:r>
      <w:r>
        <w:rPr>
          <w:rFonts w:cs="Arial"/>
          <w:lang w:val="es-ES_tradnl" w:bidi="es-ES_tradnl"/>
        </w:rPr>
        <w:t xml:space="preserve">el resultado operativo antes de elementos no recurrentes experimenta un ligero crecimiento de </w:t>
      </w:r>
      <w:r w:rsidR="004931C4" w:rsidRPr="00ED35E0">
        <w:rPr>
          <w:rFonts w:cs="Arial"/>
          <w:lang w:val="es-ES_tradnl" w:bidi="es-ES_tradnl"/>
        </w:rPr>
        <w:t>1</w:t>
      </w:r>
      <w:r>
        <w:rPr>
          <w:rFonts w:cs="Arial"/>
          <w:lang w:val="es-ES_tradnl" w:bidi="es-ES_tradnl"/>
        </w:rPr>
        <w:t>.</w:t>
      </w:r>
      <w:r w:rsidR="004931C4" w:rsidRPr="00ED35E0">
        <w:rPr>
          <w:rFonts w:cs="Arial"/>
          <w:lang w:val="es-ES_tradnl" w:bidi="es-ES_tradnl"/>
        </w:rPr>
        <w:t xml:space="preserve">086 </w:t>
      </w:r>
      <w:r>
        <w:rPr>
          <w:rFonts w:cs="Arial"/>
          <w:lang w:val="es-ES_tradnl" w:bidi="es-ES_tradnl"/>
        </w:rPr>
        <w:t>millones de euros, es decir, el</w:t>
      </w:r>
      <w:r w:rsidR="004931C4" w:rsidRPr="00ED35E0">
        <w:rPr>
          <w:rFonts w:cs="Arial"/>
          <w:lang w:val="es-ES_tradnl" w:bidi="es-ES_tradnl"/>
        </w:rPr>
        <w:t xml:space="preserve"> 10,2 % de</w:t>
      </w:r>
      <w:r>
        <w:rPr>
          <w:rFonts w:cs="Arial"/>
          <w:lang w:val="es-ES_tradnl" w:bidi="es-ES_tradnl"/>
        </w:rPr>
        <w:t xml:space="preserve"> las</w:t>
      </w:r>
      <w:r w:rsidR="004931C4" w:rsidRPr="00ED35E0">
        <w:rPr>
          <w:rFonts w:cs="Arial"/>
          <w:lang w:val="es-ES_tradnl" w:bidi="es-ES_tradnl"/>
        </w:rPr>
        <w:t xml:space="preserve"> vent</w:t>
      </w:r>
      <w:r>
        <w:rPr>
          <w:rFonts w:cs="Arial"/>
          <w:lang w:val="es-ES_tradnl" w:bidi="es-ES_tradnl"/>
        </w:rPr>
        <w:t>a</w:t>
      </w:r>
      <w:r w:rsidR="004931C4" w:rsidRPr="00ED35E0">
        <w:rPr>
          <w:rFonts w:cs="Arial"/>
          <w:lang w:val="es-ES_tradnl" w:bidi="es-ES_tradnl"/>
        </w:rPr>
        <w:t>s net</w:t>
      </w:r>
      <w:r>
        <w:rPr>
          <w:rFonts w:cs="Arial"/>
          <w:lang w:val="es-ES_tradnl" w:bidi="es-ES_tradnl"/>
        </w:rPr>
        <w:t>as, en relación con los</w:t>
      </w:r>
      <w:r w:rsidR="004931C4" w:rsidRPr="00ED35E0">
        <w:rPr>
          <w:rFonts w:cs="Arial"/>
          <w:lang w:val="es-ES_tradnl" w:bidi="es-ES_tradnl"/>
        </w:rPr>
        <w:t xml:space="preserve"> 1</w:t>
      </w:r>
      <w:r>
        <w:rPr>
          <w:rFonts w:cs="Arial"/>
          <w:lang w:val="es-ES_tradnl" w:bidi="es-ES_tradnl"/>
        </w:rPr>
        <w:t>.</w:t>
      </w:r>
      <w:r w:rsidR="004931C4" w:rsidRPr="00ED35E0">
        <w:rPr>
          <w:rFonts w:cs="Arial"/>
          <w:lang w:val="es-ES_tradnl" w:bidi="es-ES_tradnl"/>
        </w:rPr>
        <w:t>033 mill</w:t>
      </w:r>
      <w:r>
        <w:rPr>
          <w:rFonts w:cs="Arial"/>
          <w:lang w:val="es-ES_tradnl" w:bidi="es-ES_tradnl"/>
        </w:rPr>
        <w:t>one</w:t>
      </w:r>
      <w:r w:rsidR="004931C4" w:rsidRPr="00ED35E0">
        <w:rPr>
          <w:rFonts w:cs="Arial"/>
          <w:lang w:val="es-ES_tradnl" w:bidi="es-ES_tradnl"/>
        </w:rPr>
        <w:t xml:space="preserve">s </w:t>
      </w:r>
      <w:r>
        <w:rPr>
          <w:rFonts w:cs="Arial"/>
          <w:lang w:val="es-ES_tradnl" w:bidi="es-ES_tradnl"/>
        </w:rPr>
        <w:t>y el</w:t>
      </w:r>
      <w:r w:rsidR="004931C4" w:rsidRPr="00ED35E0">
        <w:rPr>
          <w:rFonts w:cs="Arial"/>
          <w:lang w:val="es-ES_tradnl" w:bidi="es-ES_tradnl"/>
        </w:rPr>
        <w:t xml:space="preserve"> 9,3 % </w:t>
      </w:r>
      <w:r>
        <w:rPr>
          <w:rFonts w:cs="Arial"/>
          <w:lang w:val="es-ES_tradnl" w:bidi="es-ES_tradnl"/>
        </w:rPr>
        <w:t>de</w:t>
      </w:r>
      <w:r w:rsidR="004931C4" w:rsidRPr="00ED35E0">
        <w:rPr>
          <w:rFonts w:cs="Arial"/>
          <w:lang w:val="es-ES_tradnl" w:bidi="es-ES_tradnl"/>
        </w:rPr>
        <w:t xml:space="preserve"> 2012.</w:t>
      </w:r>
    </w:p>
    <w:p w:rsidR="004931C4" w:rsidRPr="00ED35E0" w:rsidRDefault="004931C4" w:rsidP="004931C4">
      <w:pPr>
        <w:pStyle w:val="LadilloMichelinDossier"/>
        <w:numPr>
          <w:ilvl w:val="0"/>
          <w:numId w:val="5"/>
        </w:numPr>
        <w:spacing w:after="240"/>
        <w:jc w:val="both"/>
        <w:rPr>
          <w:lang w:val="es-ES_tradnl" w:bidi="es-ES_tradnl"/>
        </w:rPr>
      </w:pPr>
      <w:r w:rsidRPr="00ED35E0">
        <w:rPr>
          <w:rFonts w:ascii="Arial" w:hAnsi="Arial"/>
          <w:bCs/>
          <w:sz w:val="21"/>
          <w:lang w:val="es-ES_tradnl" w:bidi="es-ES_tradnl"/>
        </w:rPr>
        <w:t>Camión y distribución asociada</w:t>
      </w:r>
      <w:r w:rsidRPr="00ED35E0">
        <w:rPr>
          <w:lang w:val="es-ES_tradnl" w:bidi="es-ES_tradnl"/>
        </w:rPr>
        <w:t xml:space="preserve"> </w:t>
      </w:r>
    </w:p>
    <w:p w:rsidR="00C93747" w:rsidRDefault="00001E9C" w:rsidP="00C93747">
      <w:pPr>
        <w:pStyle w:val="TextoMichelin"/>
        <w:rPr>
          <w:rFonts w:cs="Arial"/>
          <w:lang w:val="es-ES_tradnl" w:bidi="es-ES_tradnl"/>
        </w:rPr>
      </w:pPr>
      <w:r w:rsidRPr="005A249D">
        <w:rPr>
          <w:rFonts w:cs="Arial"/>
          <w:lang w:val="es-ES_tradnl" w:bidi="es-ES_tradnl"/>
        </w:rPr>
        <w:t xml:space="preserve">Las ventas netas del segmento de </w:t>
      </w:r>
      <w:r>
        <w:rPr>
          <w:rFonts w:cs="Arial"/>
          <w:lang w:val="es-ES_tradnl" w:bidi="es-ES_tradnl"/>
        </w:rPr>
        <w:t xml:space="preserve">Camión y </w:t>
      </w:r>
      <w:r w:rsidRPr="005A249D">
        <w:rPr>
          <w:rFonts w:cs="Arial"/>
          <w:lang w:val="es-ES_tradnl" w:bidi="es-ES_tradnl"/>
        </w:rPr>
        <w:t xml:space="preserve">distribución asociada </w:t>
      </w:r>
      <w:r>
        <w:rPr>
          <w:rFonts w:cs="Arial"/>
          <w:lang w:val="es-ES_tradnl" w:bidi="es-ES_tradnl"/>
        </w:rPr>
        <w:t xml:space="preserve">se establecen en </w:t>
      </w:r>
      <w:r w:rsidR="004931C4" w:rsidRPr="00ED35E0">
        <w:rPr>
          <w:rFonts w:cs="Arial"/>
          <w:lang w:val="es-ES_tradnl" w:bidi="es-ES_tradnl"/>
        </w:rPr>
        <w:t>6</w:t>
      </w:r>
      <w:r>
        <w:rPr>
          <w:rFonts w:cs="Arial"/>
          <w:lang w:val="es-ES_tradnl" w:bidi="es-ES_tradnl"/>
        </w:rPr>
        <w:t>.</w:t>
      </w:r>
      <w:r w:rsidR="004931C4" w:rsidRPr="00ED35E0">
        <w:rPr>
          <w:rFonts w:cs="Arial"/>
          <w:lang w:val="es-ES_tradnl" w:bidi="es-ES_tradnl"/>
        </w:rPr>
        <w:t xml:space="preserve">425 </w:t>
      </w:r>
      <w:r w:rsidR="005D7AE3">
        <w:rPr>
          <w:rFonts w:cs="Arial"/>
          <w:lang w:val="es-ES_tradnl" w:bidi="es-ES_tradnl"/>
        </w:rPr>
        <w:t>millones de euros</w:t>
      </w:r>
      <w:r w:rsidR="005D7AE3" w:rsidRPr="00ED35E0">
        <w:rPr>
          <w:rFonts w:cs="Arial"/>
          <w:lang w:val="es-ES_tradnl" w:bidi="es-ES_tradnl"/>
        </w:rPr>
        <w:t xml:space="preserve">, </w:t>
      </w:r>
      <w:r w:rsidR="005D7AE3">
        <w:rPr>
          <w:rFonts w:cs="Arial"/>
          <w:lang w:val="es-ES_tradnl" w:bidi="es-ES_tradnl"/>
        </w:rPr>
        <w:t>en comparación con los</w:t>
      </w:r>
      <w:r w:rsidR="004931C4" w:rsidRPr="00ED35E0">
        <w:rPr>
          <w:rFonts w:cs="Arial"/>
          <w:lang w:val="es-ES_tradnl" w:bidi="es-ES_tradnl"/>
        </w:rPr>
        <w:t xml:space="preserve"> 6</w:t>
      </w:r>
      <w:r w:rsidR="005D7AE3">
        <w:rPr>
          <w:rFonts w:cs="Arial"/>
          <w:lang w:val="es-ES_tradnl" w:bidi="es-ES_tradnl"/>
        </w:rPr>
        <w:t>.</w:t>
      </w:r>
      <w:r w:rsidR="004931C4" w:rsidRPr="00ED35E0">
        <w:rPr>
          <w:rFonts w:cs="Arial"/>
          <w:lang w:val="es-ES_tradnl" w:bidi="es-ES_tradnl"/>
        </w:rPr>
        <w:t xml:space="preserve">736 </w:t>
      </w:r>
      <w:r w:rsidR="005D7AE3">
        <w:rPr>
          <w:rFonts w:cs="Arial"/>
          <w:lang w:val="es-ES_tradnl" w:bidi="es-ES_tradnl"/>
        </w:rPr>
        <w:t xml:space="preserve">millones de euros de </w:t>
      </w:r>
      <w:r w:rsidR="004931C4" w:rsidRPr="00ED35E0">
        <w:rPr>
          <w:rFonts w:cs="Arial"/>
          <w:lang w:val="es-ES_tradnl" w:bidi="es-ES_tradnl"/>
        </w:rPr>
        <w:t xml:space="preserve">2012. </w:t>
      </w:r>
      <w:r w:rsidR="005D7AE3">
        <w:rPr>
          <w:rFonts w:cs="Arial"/>
          <w:lang w:val="es-ES_tradnl" w:bidi="es-ES_tradnl"/>
        </w:rPr>
        <w:t xml:space="preserve">Esta </w:t>
      </w:r>
      <w:r w:rsidR="001B0142">
        <w:rPr>
          <w:rFonts w:cs="Arial"/>
          <w:lang w:val="es-ES_tradnl" w:bidi="es-ES_tradnl"/>
        </w:rPr>
        <w:t>caída</w:t>
      </w:r>
      <w:r w:rsidR="005D7AE3">
        <w:rPr>
          <w:rFonts w:cs="Arial"/>
          <w:lang w:val="es-ES_tradnl" w:bidi="es-ES_tradnl"/>
        </w:rPr>
        <w:t xml:space="preserve"> es el resultado, especialmente</w:t>
      </w:r>
      <w:r w:rsidR="001B0142">
        <w:rPr>
          <w:rFonts w:cs="Arial"/>
          <w:lang w:val="es-ES_tradnl" w:bidi="es-ES_tradnl"/>
        </w:rPr>
        <w:t>,</w:t>
      </w:r>
      <w:r w:rsidR="005D7AE3">
        <w:rPr>
          <w:rFonts w:cs="Arial"/>
          <w:lang w:val="es-ES_tradnl" w:bidi="es-ES_tradnl"/>
        </w:rPr>
        <w:t xml:space="preserve"> </w:t>
      </w:r>
      <w:r w:rsidR="00C0602A">
        <w:rPr>
          <w:rFonts w:cs="Arial"/>
          <w:lang w:val="es-ES_tradnl" w:bidi="es-ES_tradnl"/>
        </w:rPr>
        <w:t>del control de precios y del entorno desfavorable de los tipos de cambio, aunque el crecimiento de los volúmenes en el año</w:t>
      </w:r>
      <w:r w:rsidR="005D7AE3">
        <w:rPr>
          <w:rFonts w:cs="Arial"/>
          <w:lang w:val="es-ES_tradnl" w:bidi="es-ES_tradnl"/>
        </w:rPr>
        <w:t xml:space="preserve"> </w:t>
      </w:r>
      <w:r w:rsidR="004931C4" w:rsidRPr="00ED35E0">
        <w:rPr>
          <w:rFonts w:cs="Arial"/>
          <w:lang w:val="es-ES_tradnl" w:bidi="es-ES_tradnl"/>
        </w:rPr>
        <w:t xml:space="preserve">(+ 1 %) </w:t>
      </w:r>
      <w:r w:rsidR="00C93747">
        <w:rPr>
          <w:rFonts w:cs="Arial"/>
          <w:lang w:val="es-ES_tradnl" w:bidi="es-ES_tradnl"/>
        </w:rPr>
        <w:t xml:space="preserve">ha sido moderada, a pesar de que se </w:t>
      </w:r>
      <w:r w:rsidR="00185869">
        <w:rPr>
          <w:rFonts w:cs="Arial"/>
          <w:lang w:val="es-ES_tradnl" w:bidi="es-ES_tradnl"/>
        </w:rPr>
        <w:t xml:space="preserve">ha </w:t>
      </w:r>
      <w:r w:rsidR="00C93747">
        <w:rPr>
          <w:rFonts w:cs="Arial"/>
          <w:lang w:val="es-ES_tradnl" w:bidi="es-ES_tradnl"/>
        </w:rPr>
        <w:t>aceler</w:t>
      </w:r>
      <w:r w:rsidR="00185869">
        <w:rPr>
          <w:rFonts w:cs="Arial"/>
          <w:lang w:val="es-ES_tradnl" w:bidi="es-ES_tradnl"/>
        </w:rPr>
        <w:t>ado</w:t>
      </w:r>
      <w:r w:rsidR="00C93747">
        <w:rPr>
          <w:rFonts w:cs="Arial"/>
          <w:lang w:val="es-ES_tradnl" w:bidi="es-ES_tradnl"/>
        </w:rPr>
        <w:t xml:space="preserve"> en el último trimestre </w:t>
      </w:r>
      <w:r w:rsidR="00C93747" w:rsidRPr="00ED35E0">
        <w:rPr>
          <w:rFonts w:cs="Arial"/>
          <w:lang w:val="es-ES_tradnl" w:bidi="es-ES_tradnl"/>
        </w:rPr>
        <w:t>(+ 5 %).</w:t>
      </w:r>
    </w:p>
    <w:p w:rsidR="00185869" w:rsidRDefault="00185869" w:rsidP="004931C4">
      <w:pPr>
        <w:pStyle w:val="TextoMichelin"/>
        <w:rPr>
          <w:rFonts w:cs="Arial"/>
          <w:lang w:val="es-ES_tradnl" w:bidi="es-ES_tradnl"/>
        </w:rPr>
      </w:pPr>
      <w:r>
        <w:rPr>
          <w:rFonts w:cs="Arial"/>
          <w:lang w:val="es-ES_tradnl" w:bidi="es-ES_tradnl"/>
        </w:rPr>
        <w:t xml:space="preserve">Así, la prioridad dada a la rentabilidad ha </w:t>
      </w:r>
      <w:r w:rsidR="00370007">
        <w:rPr>
          <w:rFonts w:cs="Arial"/>
          <w:lang w:val="es-ES_tradnl" w:bidi="es-ES_tradnl"/>
        </w:rPr>
        <w:t>llevado</w:t>
      </w:r>
      <w:r>
        <w:rPr>
          <w:rFonts w:cs="Arial"/>
          <w:lang w:val="es-ES_tradnl" w:bidi="es-ES_tradnl"/>
        </w:rPr>
        <w:t xml:space="preserve"> a un aumento significativo del resultado operativo antes de elementos no recurrentes</w:t>
      </w:r>
      <w:r w:rsidR="00370007">
        <w:rPr>
          <w:rFonts w:cs="Arial"/>
          <w:lang w:val="es-ES_tradnl" w:bidi="es-ES_tradnl"/>
        </w:rPr>
        <w:t xml:space="preserve"> de 503 millones de euros, lo que representa el 7,8 % de las ventas netas, en comparación con los 444 millones de euros y el 6,6 % de las ventas netas en 2012.</w:t>
      </w:r>
    </w:p>
    <w:p w:rsidR="004931C4" w:rsidRPr="00ED35E0" w:rsidRDefault="004931C4" w:rsidP="00A5568E">
      <w:pPr>
        <w:pStyle w:val="LadilloMichelinDossier"/>
        <w:numPr>
          <w:ilvl w:val="0"/>
          <w:numId w:val="5"/>
        </w:numPr>
        <w:spacing w:after="240"/>
        <w:jc w:val="both"/>
        <w:rPr>
          <w:lang w:val="es-ES_tradnl" w:bidi="es-ES_tradnl"/>
        </w:rPr>
      </w:pPr>
      <w:r w:rsidRPr="00ED35E0">
        <w:rPr>
          <w:rFonts w:ascii="Arial" w:hAnsi="Arial"/>
          <w:bCs/>
          <w:sz w:val="21"/>
          <w:lang w:val="es-ES_tradnl" w:bidi="es-ES_tradnl"/>
        </w:rPr>
        <w:t>Actividades de especialidades</w:t>
      </w:r>
    </w:p>
    <w:p w:rsidR="00667ACA" w:rsidRDefault="00527504" w:rsidP="009D2BB3">
      <w:pPr>
        <w:pStyle w:val="TextoMichelin"/>
        <w:rPr>
          <w:rFonts w:cs="Arial"/>
          <w:lang w:val="es-ES_tradnl" w:bidi="es-ES_tradnl"/>
        </w:rPr>
      </w:pPr>
      <w:r w:rsidRPr="005A249D">
        <w:rPr>
          <w:rFonts w:cs="Arial"/>
          <w:lang w:val="es-ES_tradnl" w:bidi="es-ES_tradnl"/>
        </w:rPr>
        <w:t xml:space="preserve">Las ventas netas del segmento de </w:t>
      </w:r>
      <w:r>
        <w:rPr>
          <w:rFonts w:cs="Arial"/>
          <w:lang w:val="es-ES_tradnl" w:bidi="es-ES_tradnl"/>
        </w:rPr>
        <w:t xml:space="preserve">Actividades de especialidades y </w:t>
      </w:r>
      <w:r w:rsidRPr="005A249D">
        <w:rPr>
          <w:rFonts w:cs="Arial"/>
          <w:lang w:val="es-ES_tradnl" w:bidi="es-ES_tradnl"/>
        </w:rPr>
        <w:t xml:space="preserve">distribución asociada </w:t>
      </w:r>
      <w:r>
        <w:rPr>
          <w:rFonts w:cs="Arial"/>
          <w:lang w:val="es-ES_tradnl" w:bidi="es-ES_tradnl"/>
        </w:rPr>
        <w:t xml:space="preserve">alcanzan los </w:t>
      </w:r>
      <w:r w:rsidR="004931C4" w:rsidRPr="00ED35E0">
        <w:rPr>
          <w:rFonts w:cs="Arial"/>
          <w:lang w:val="es-ES_tradnl" w:bidi="es-ES_tradnl"/>
        </w:rPr>
        <w:t>3</w:t>
      </w:r>
      <w:r w:rsidR="009D2BB3">
        <w:rPr>
          <w:rFonts w:cs="Arial"/>
          <w:lang w:val="es-ES_tradnl" w:bidi="es-ES_tradnl"/>
        </w:rPr>
        <w:t>.</w:t>
      </w:r>
      <w:r w:rsidR="004931C4" w:rsidRPr="00ED35E0">
        <w:rPr>
          <w:rFonts w:cs="Arial"/>
          <w:lang w:val="es-ES_tradnl" w:bidi="es-ES_tradnl"/>
        </w:rPr>
        <w:t>129 </w:t>
      </w:r>
      <w:r w:rsidR="009D2BB3">
        <w:rPr>
          <w:rFonts w:cs="Arial"/>
          <w:lang w:val="es-ES_tradnl" w:bidi="es-ES_tradnl"/>
        </w:rPr>
        <w:t>millones de euros</w:t>
      </w:r>
      <w:r w:rsidR="004931C4" w:rsidRPr="00ED35E0">
        <w:rPr>
          <w:rFonts w:cs="Arial"/>
          <w:lang w:val="es-ES_tradnl" w:bidi="es-ES_tradnl"/>
        </w:rPr>
        <w:t xml:space="preserve">, </w:t>
      </w:r>
      <w:r w:rsidR="009D2BB3">
        <w:rPr>
          <w:rFonts w:cs="Arial"/>
          <w:lang w:val="es-ES_tradnl" w:bidi="es-ES_tradnl"/>
        </w:rPr>
        <w:t>en comparación con los</w:t>
      </w:r>
      <w:r w:rsidR="004931C4" w:rsidRPr="00ED35E0">
        <w:rPr>
          <w:rFonts w:cs="Arial"/>
          <w:lang w:val="es-ES_tradnl" w:bidi="es-ES_tradnl"/>
        </w:rPr>
        <w:t xml:space="preserve"> 3</w:t>
      </w:r>
      <w:r w:rsidR="009D2BB3">
        <w:rPr>
          <w:rFonts w:cs="Arial"/>
          <w:lang w:val="es-ES_tradnl" w:bidi="es-ES_tradnl"/>
        </w:rPr>
        <w:t>.</w:t>
      </w:r>
      <w:r w:rsidR="004931C4" w:rsidRPr="00ED35E0">
        <w:rPr>
          <w:rFonts w:cs="Arial"/>
          <w:lang w:val="es-ES_tradnl" w:bidi="es-ES_tradnl"/>
        </w:rPr>
        <w:t xml:space="preserve">640 </w:t>
      </w:r>
      <w:r w:rsidR="009D2BB3">
        <w:rPr>
          <w:rFonts w:cs="Arial"/>
          <w:lang w:val="es-ES_tradnl" w:bidi="es-ES_tradnl"/>
        </w:rPr>
        <w:t>millones de euros</w:t>
      </w:r>
      <w:r w:rsidR="004931C4" w:rsidRPr="00ED35E0">
        <w:rPr>
          <w:rFonts w:cs="Arial"/>
          <w:lang w:val="es-ES_tradnl" w:bidi="es-ES_tradnl"/>
        </w:rPr>
        <w:t xml:space="preserve"> </w:t>
      </w:r>
      <w:r w:rsidR="009D2BB3">
        <w:rPr>
          <w:rFonts w:cs="Arial"/>
          <w:lang w:val="es-ES_tradnl" w:bidi="es-ES_tradnl"/>
        </w:rPr>
        <w:t>de</w:t>
      </w:r>
      <w:r w:rsidR="004931C4" w:rsidRPr="00ED35E0">
        <w:rPr>
          <w:rFonts w:cs="Arial"/>
          <w:lang w:val="es-ES_tradnl" w:bidi="es-ES_tradnl"/>
        </w:rPr>
        <w:t xml:space="preserve"> 2012. </w:t>
      </w:r>
      <w:r w:rsidR="009D2BB3">
        <w:rPr>
          <w:rFonts w:cs="Arial"/>
          <w:lang w:val="es-ES_tradnl" w:bidi="es-ES_tradnl"/>
        </w:rPr>
        <w:t>Est</w:t>
      </w:r>
      <w:r w:rsidR="00A52787">
        <w:rPr>
          <w:rFonts w:cs="Arial"/>
          <w:lang w:val="es-ES_tradnl" w:bidi="es-ES_tradnl"/>
        </w:rPr>
        <w:t>e</w:t>
      </w:r>
      <w:r w:rsidR="009D2BB3">
        <w:rPr>
          <w:rFonts w:cs="Arial"/>
          <w:lang w:val="es-ES_tradnl" w:bidi="es-ES_tradnl"/>
        </w:rPr>
        <w:t xml:space="preserve"> </w:t>
      </w:r>
      <w:r w:rsidR="00A52787">
        <w:rPr>
          <w:rFonts w:cs="Arial"/>
          <w:lang w:val="es-ES_tradnl" w:bidi="es-ES_tradnl"/>
        </w:rPr>
        <w:t>descenso</w:t>
      </w:r>
      <w:r w:rsidR="009D2BB3">
        <w:rPr>
          <w:rFonts w:cs="Arial"/>
          <w:lang w:val="es-ES_tradnl" w:bidi="es-ES_tradnl"/>
        </w:rPr>
        <w:t xml:space="preserve"> proviene de los ajustes de precios relacionados con las cláusulas de indexación sobre los costes de las materias primas, del efecto desfavorable de las paridades de  cambio y de la bajada de los volúmenes </w:t>
      </w:r>
      <w:r w:rsidR="004931C4" w:rsidRPr="00ED35E0">
        <w:rPr>
          <w:rFonts w:cs="Arial"/>
          <w:lang w:val="es-ES_tradnl" w:bidi="es-ES_tradnl"/>
        </w:rPr>
        <w:t xml:space="preserve">(- 7 %). </w:t>
      </w:r>
      <w:r w:rsidR="00667ACA">
        <w:rPr>
          <w:rFonts w:cs="Arial"/>
          <w:lang w:val="es-ES_tradnl" w:bidi="es-ES_tradnl"/>
        </w:rPr>
        <w:t>Esto último refleja la caída de los mercados de primeros equipos de Ingeniería Civil e Infraestructura</w:t>
      </w:r>
      <w:r w:rsidR="00BF71D8">
        <w:rPr>
          <w:rFonts w:cs="Arial"/>
          <w:lang w:val="es-ES_tradnl" w:bidi="es-ES_tradnl"/>
        </w:rPr>
        <w:t>s</w:t>
      </w:r>
      <w:r w:rsidR="00667ACA">
        <w:rPr>
          <w:rFonts w:cs="Arial"/>
          <w:lang w:val="es-ES_tradnl" w:bidi="es-ES_tradnl"/>
        </w:rPr>
        <w:t>.</w:t>
      </w:r>
    </w:p>
    <w:p w:rsidR="004931C4" w:rsidRPr="00ED35E0" w:rsidRDefault="00667ACA" w:rsidP="00302A35">
      <w:pPr>
        <w:pStyle w:val="TextoMichelin"/>
        <w:rPr>
          <w:rFonts w:cs="Arial"/>
          <w:lang w:val="es-ES_tradnl" w:bidi="es-ES_tradnl"/>
        </w:rPr>
      </w:pPr>
      <w:r>
        <w:rPr>
          <w:rFonts w:cs="Arial"/>
          <w:lang w:val="es-ES_tradnl" w:bidi="es-ES_tradnl"/>
        </w:rPr>
        <w:t xml:space="preserve">El resultado operativo antes de elementos no recurrentes </w:t>
      </w:r>
      <w:r w:rsidR="00302A35">
        <w:rPr>
          <w:rFonts w:cs="Arial"/>
          <w:lang w:val="es-ES_tradnl" w:bidi="es-ES_tradnl"/>
        </w:rPr>
        <w:t xml:space="preserve">se establece en </w:t>
      </w:r>
      <w:r w:rsidR="004931C4" w:rsidRPr="00ED35E0">
        <w:rPr>
          <w:rFonts w:cs="Arial"/>
          <w:lang w:val="es-ES_tradnl" w:bidi="es-ES_tradnl"/>
        </w:rPr>
        <w:t xml:space="preserve">645 </w:t>
      </w:r>
      <w:r w:rsidR="00302A35">
        <w:rPr>
          <w:rFonts w:cs="Arial"/>
          <w:lang w:val="es-ES_tradnl" w:bidi="es-ES_tradnl"/>
        </w:rPr>
        <w:t xml:space="preserve">millones de euros, es decir, el </w:t>
      </w:r>
      <w:r w:rsidR="004931C4" w:rsidRPr="00ED35E0">
        <w:rPr>
          <w:rFonts w:cs="Arial"/>
          <w:lang w:val="es-ES_tradnl" w:bidi="es-ES_tradnl"/>
        </w:rPr>
        <w:t xml:space="preserve">20,6 % </w:t>
      </w:r>
      <w:r w:rsidR="00302A35">
        <w:rPr>
          <w:rFonts w:cs="Arial"/>
          <w:lang w:val="es-ES_tradnl" w:bidi="es-ES_tradnl"/>
        </w:rPr>
        <w:t>de las ventas netas, en comparación con los</w:t>
      </w:r>
      <w:r w:rsidR="004931C4" w:rsidRPr="00ED35E0">
        <w:rPr>
          <w:rFonts w:cs="Arial"/>
          <w:lang w:val="es-ES_tradnl" w:bidi="es-ES_tradnl"/>
        </w:rPr>
        <w:t xml:space="preserve"> 946 </w:t>
      </w:r>
      <w:r w:rsidR="00302A35">
        <w:rPr>
          <w:rFonts w:cs="Arial"/>
          <w:lang w:val="es-ES_tradnl" w:bidi="es-ES_tradnl"/>
        </w:rPr>
        <w:t xml:space="preserve">millones de euros y el </w:t>
      </w:r>
      <w:r w:rsidR="004931C4" w:rsidRPr="00ED35E0">
        <w:rPr>
          <w:rFonts w:cs="Arial"/>
          <w:lang w:val="es-ES_tradnl" w:bidi="es-ES_tradnl"/>
        </w:rPr>
        <w:t>26</w:t>
      </w:r>
      <w:r w:rsidR="00302A35">
        <w:rPr>
          <w:rFonts w:cs="Arial"/>
          <w:lang w:val="es-ES_tradnl" w:bidi="es-ES_tradnl"/>
        </w:rPr>
        <w:t xml:space="preserve"> </w:t>
      </w:r>
      <w:r w:rsidR="004931C4" w:rsidRPr="00ED35E0">
        <w:rPr>
          <w:rFonts w:cs="Arial"/>
          <w:lang w:val="es-ES_tradnl" w:bidi="es-ES_tradnl"/>
        </w:rPr>
        <w:t xml:space="preserve">% </w:t>
      </w:r>
      <w:r w:rsidR="00302A35">
        <w:rPr>
          <w:rFonts w:cs="Arial"/>
          <w:lang w:val="es-ES_tradnl" w:bidi="es-ES_tradnl"/>
        </w:rPr>
        <w:t>de</w:t>
      </w:r>
      <w:r w:rsidR="004931C4" w:rsidRPr="00ED35E0">
        <w:rPr>
          <w:rFonts w:cs="Arial"/>
          <w:lang w:val="es-ES_tradnl" w:bidi="es-ES_tradnl"/>
        </w:rPr>
        <w:t xml:space="preserve"> 2012.</w:t>
      </w:r>
    </w:p>
    <w:p w:rsidR="004931C4" w:rsidRPr="00ED35E0" w:rsidRDefault="004931C4" w:rsidP="004931C4">
      <w:pPr>
        <w:pStyle w:val="TextoMichelin"/>
        <w:rPr>
          <w:rFonts w:cs="Arial"/>
          <w:lang w:val="es-ES_tradnl"/>
        </w:rPr>
      </w:pPr>
    </w:p>
    <w:p w:rsidR="00A5568E" w:rsidRPr="00D066F1" w:rsidRDefault="00E40591" w:rsidP="00A5568E">
      <w:pPr>
        <w:pStyle w:val="TITULARMICHELIN"/>
        <w:spacing w:after="240"/>
        <w:rPr>
          <w:rFonts w:cs="Arial"/>
          <w:bCs/>
          <w:lang w:val="fr-FR"/>
        </w:rPr>
      </w:pPr>
      <w:r w:rsidRPr="00E40591">
        <w:rPr>
          <w:rFonts w:cs="Arial"/>
          <w:bCs/>
          <w:lang w:val="fr-FR"/>
        </w:rPr>
        <w:t>Compagnie Générale des Etablissements Michelin</w:t>
      </w:r>
    </w:p>
    <w:p w:rsidR="00A5568E" w:rsidRPr="00BF71D8" w:rsidRDefault="00E40591" w:rsidP="00A5568E">
      <w:pPr>
        <w:pStyle w:val="TextoMichelin"/>
        <w:rPr>
          <w:rFonts w:cs="Arial"/>
        </w:rPr>
      </w:pPr>
      <w:r w:rsidRPr="00E40591">
        <w:rPr>
          <w:rFonts w:cs="Arial"/>
          <w:lang w:val="fr-FR"/>
        </w:rPr>
        <w:t xml:space="preserve">La Compagnie Générale des Etablissements Michelin </w:t>
      </w:r>
      <w:r w:rsidRPr="00E40591">
        <w:rPr>
          <w:rFonts w:cs="Arial"/>
        </w:rPr>
        <w:t xml:space="preserve">ha tenido un beneficio de 303 millones de euros en el ejercicio 2013. </w:t>
      </w:r>
    </w:p>
    <w:p w:rsidR="00A5568E" w:rsidRPr="00ED35E0" w:rsidRDefault="00A5568E" w:rsidP="00A5568E">
      <w:pPr>
        <w:pStyle w:val="TextoMichelin"/>
        <w:rPr>
          <w:rFonts w:cs="Arial"/>
          <w:lang w:val="es-ES_tradnl" w:bidi="es-ES_tradnl"/>
        </w:rPr>
      </w:pPr>
      <w:r w:rsidRPr="00ED35E0">
        <w:rPr>
          <w:rFonts w:cs="Arial"/>
          <w:lang w:val="es-ES_tradnl"/>
        </w:rPr>
        <w:t>Las cuentas han sido presentadas al Consejo de Vigilancia en su reunión del</w:t>
      </w:r>
      <w:r w:rsidRPr="00ED35E0">
        <w:rPr>
          <w:rFonts w:cs="Arial"/>
          <w:lang w:val="es-ES_tradnl" w:bidi="es-ES_tradnl"/>
        </w:rPr>
        <w:t xml:space="preserve"> 6 de febrero de 2014. Los procedimientos de auditoría han sido realizados y el informe de auditoría ha sido emitido </w:t>
      </w:r>
      <w:r w:rsidR="00056DF4" w:rsidRPr="00ED35E0">
        <w:rPr>
          <w:rFonts w:cs="Arial"/>
          <w:lang w:val="es-ES_tradnl" w:bidi="es-ES_tradnl"/>
        </w:rPr>
        <w:t>el 10 de febrero de 2014</w:t>
      </w:r>
      <w:r w:rsidRPr="00ED35E0">
        <w:rPr>
          <w:rFonts w:cs="Arial"/>
          <w:lang w:val="es-ES_tradnl" w:bidi="es-ES_tradnl"/>
        </w:rPr>
        <w:t xml:space="preserve">. </w:t>
      </w:r>
    </w:p>
    <w:p w:rsidR="00A5568E" w:rsidRPr="00ED35E0" w:rsidRDefault="00A5568E" w:rsidP="00A5568E">
      <w:pPr>
        <w:pStyle w:val="TextoMichelin"/>
        <w:rPr>
          <w:rFonts w:cs="Arial"/>
          <w:lang w:val="es-ES_tradnl" w:bidi="es-ES_tradnl"/>
        </w:rPr>
      </w:pPr>
      <w:r w:rsidRPr="00ED35E0">
        <w:rPr>
          <w:rFonts w:cs="Arial"/>
          <w:lang w:val="es-ES_tradnl" w:bidi="es-ES_tradnl"/>
        </w:rPr>
        <w:t>El presidente del Grupo ha convocado una Asamblea General de Accionistas para el viernes 1</w:t>
      </w:r>
      <w:r w:rsidR="00056DF4" w:rsidRPr="00ED35E0">
        <w:rPr>
          <w:rFonts w:cs="Arial"/>
          <w:lang w:val="es-ES_tradnl" w:bidi="es-ES_tradnl"/>
        </w:rPr>
        <w:t>6</w:t>
      </w:r>
      <w:r w:rsidRPr="00ED35E0">
        <w:rPr>
          <w:rFonts w:cs="Arial"/>
          <w:lang w:val="es-ES_tradnl" w:bidi="es-ES_tradnl"/>
        </w:rPr>
        <w:t xml:space="preserve"> de mayo de 201</w:t>
      </w:r>
      <w:r w:rsidR="00056DF4" w:rsidRPr="00ED35E0">
        <w:rPr>
          <w:rFonts w:cs="Arial"/>
          <w:lang w:val="es-ES_tradnl" w:bidi="es-ES_tradnl"/>
        </w:rPr>
        <w:t>4</w:t>
      </w:r>
      <w:r w:rsidRPr="00ED35E0">
        <w:rPr>
          <w:rFonts w:cs="Arial"/>
          <w:lang w:val="es-ES_tradnl" w:bidi="es-ES_tradnl"/>
        </w:rPr>
        <w:t>, a las 9 horas, en Clermont-Ferrand.</w:t>
      </w:r>
    </w:p>
    <w:p w:rsidR="004D5DCF" w:rsidRPr="00ED35E0" w:rsidRDefault="00A5568E" w:rsidP="004D5DCF">
      <w:pPr>
        <w:pStyle w:val="TextoMichelin"/>
        <w:rPr>
          <w:rFonts w:cs="Arial"/>
          <w:color w:val="FF0000"/>
          <w:lang w:val="es-ES_tradnl" w:bidi="es-ES_tradnl"/>
        </w:rPr>
      </w:pPr>
      <w:r w:rsidRPr="00ED35E0">
        <w:rPr>
          <w:rFonts w:cs="Arial"/>
          <w:lang w:val="es-ES_tradnl" w:bidi="es-ES_tradnl"/>
        </w:rPr>
        <w:t>El presidente del Grupo someterá a la aprobación de los accionistas el pago de un dividendo de 2,</w:t>
      </w:r>
      <w:r w:rsidR="004D5DCF" w:rsidRPr="00ED35E0">
        <w:rPr>
          <w:rFonts w:cs="Arial"/>
          <w:lang w:val="es-ES_tradnl" w:bidi="es-ES_tradnl"/>
        </w:rPr>
        <w:t>5</w:t>
      </w:r>
      <w:r w:rsidRPr="00ED35E0">
        <w:rPr>
          <w:rFonts w:cs="Arial"/>
          <w:lang w:val="es-ES_tradnl" w:bidi="es-ES_tradnl"/>
        </w:rPr>
        <w:t xml:space="preserve"> euros por acción,</w:t>
      </w:r>
      <w:r w:rsidR="003624A0">
        <w:rPr>
          <w:rFonts w:cs="Arial"/>
          <w:lang w:val="es-ES_tradnl" w:bidi="es-ES_tradnl"/>
        </w:rPr>
        <w:t xml:space="preserve"> es decir, una tasa de distribución del 35 % del resultado neto consolidad</w:t>
      </w:r>
      <w:r w:rsidR="00BF71D8">
        <w:rPr>
          <w:rFonts w:cs="Arial"/>
          <w:lang w:val="es-ES_tradnl" w:bidi="es-ES_tradnl"/>
        </w:rPr>
        <w:t>o</w:t>
      </w:r>
      <w:r w:rsidR="003624A0">
        <w:rPr>
          <w:rFonts w:cs="Arial"/>
          <w:lang w:val="es-ES_tradnl" w:bidi="es-ES_tradnl"/>
        </w:rPr>
        <w:t xml:space="preserve"> antes de elementos no recurrentes.</w:t>
      </w:r>
    </w:p>
    <w:p w:rsidR="004931C4" w:rsidRPr="00ED35E0" w:rsidRDefault="004931C4" w:rsidP="004931C4">
      <w:pPr>
        <w:pStyle w:val="TextoMichelin"/>
        <w:rPr>
          <w:rFonts w:cs="Arial"/>
          <w:lang w:val="es-ES_tradnl"/>
        </w:rPr>
      </w:pPr>
    </w:p>
    <w:p w:rsidR="00BF4FFF" w:rsidRPr="00ED35E0" w:rsidRDefault="00BF4FFF" w:rsidP="00BF4FFF">
      <w:pPr>
        <w:spacing w:line="270" w:lineRule="atLeast"/>
        <w:jc w:val="both"/>
        <w:rPr>
          <w:rFonts w:ascii="Arial" w:hAnsi="Arial"/>
          <w:sz w:val="21"/>
          <w:lang w:bidi="es-ES_tradnl"/>
        </w:rPr>
      </w:pPr>
    </w:p>
    <w:p w:rsidR="00BF4FFF" w:rsidRPr="00ED35E0" w:rsidRDefault="00BF4FFF" w:rsidP="00BF4FFF">
      <w:pPr>
        <w:spacing w:after="240" w:line="360" w:lineRule="exact"/>
        <w:rPr>
          <w:rFonts w:cs="Arial"/>
          <w:b/>
          <w:bCs/>
          <w:snapToGrid w:val="0"/>
          <w:color w:val="333399"/>
          <w:sz w:val="40"/>
        </w:rPr>
      </w:pPr>
      <w:r w:rsidRPr="00ED35E0">
        <w:rPr>
          <w:rFonts w:cs="Arial"/>
          <w:b/>
          <w:bCs/>
          <w:snapToGrid w:val="0"/>
          <w:color w:val="333399"/>
          <w:sz w:val="40"/>
        </w:rPr>
        <w:br w:type="column"/>
        <w:t>Hechos destacados de 201</w:t>
      </w:r>
      <w:r w:rsidR="0022145A" w:rsidRPr="00ED35E0">
        <w:rPr>
          <w:rFonts w:cs="Arial"/>
          <w:b/>
          <w:bCs/>
          <w:snapToGrid w:val="0"/>
          <w:color w:val="333399"/>
          <w:sz w:val="40"/>
        </w:rPr>
        <w:t>3</w:t>
      </w:r>
    </w:p>
    <w:p w:rsidR="004D5DCF" w:rsidRPr="001526CD" w:rsidRDefault="004D5DCF" w:rsidP="001526CD">
      <w:pPr>
        <w:numPr>
          <w:ilvl w:val="0"/>
          <w:numId w:val="23"/>
        </w:numPr>
        <w:tabs>
          <w:tab w:val="num" w:pos="720"/>
        </w:tabs>
        <w:spacing w:after="240" w:line="270" w:lineRule="atLeast"/>
        <w:rPr>
          <w:rFonts w:ascii="Arial" w:hAnsi="Arial"/>
          <w:b/>
          <w:bCs/>
          <w:sz w:val="21"/>
          <w:lang w:bidi="es-ES_tradnl"/>
        </w:rPr>
      </w:pPr>
      <w:r w:rsidRPr="00ED35E0">
        <w:rPr>
          <w:rFonts w:ascii="Arial" w:hAnsi="Arial"/>
          <w:b/>
          <w:bCs/>
          <w:sz w:val="21"/>
          <w:lang w:bidi="es-ES_tradnl"/>
        </w:rPr>
        <w:t xml:space="preserve">Michelin </w:t>
      </w:r>
      <w:r w:rsidR="001526CD">
        <w:rPr>
          <w:rFonts w:ascii="Arial" w:hAnsi="Arial"/>
          <w:b/>
          <w:bCs/>
          <w:sz w:val="21"/>
          <w:lang w:bidi="es-ES_tradnl"/>
        </w:rPr>
        <w:t xml:space="preserve">se compromete con seis grandes objetivos en el horizonte de 2020 </w:t>
      </w:r>
      <w:r w:rsidRPr="001526CD">
        <w:rPr>
          <w:rFonts w:ascii="Arial" w:hAnsi="Arial"/>
          <w:b/>
          <w:bCs/>
          <w:sz w:val="21"/>
          <w:lang w:bidi="es-ES_tradnl"/>
        </w:rPr>
        <w:t xml:space="preserve">(18 </w:t>
      </w:r>
      <w:r w:rsidR="00F15E8E">
        <w:rPr>
          <w:rFonts w:ascii="Arial" w:hAnsi="Arial"/>
          <w:b/>
          <w:bCs/>
          <w:sz w:val="21"/>
          <w:lang w:bidi="es-ES_tradnl"/>
        </w:rPr>
        <w:t xml:space="preserve">de </w:t>
      </w:r>
      <w:r w:rsidR="001526CD" w:rsidRPr="001526CD">
        <w:rPr>
          <w:rFonts w:ascii="Arial" w:hAnsi="Arial"/>
          <w:b/>
          <w:bCs/>
          <w:sz w:val="21"/>
          <w:lang w:bidi="es-ES_tradnl"/>
        </w:rPr>
        <w:t>septiembre</w:t>
      </w:r>
      <w:r w:rsidRPr="001526CD">
        <w:rPr>
          <w:rFonts w:ascii="Arial" w:hAnsi="Arial"/>
          <w:b/>
          <w:bCs/>
          <w:sz w:val="21"/>
          <w:lang w:bidi="es-ES_tradnl"/>
        </w:rPr>
        <w:t xml:space="preserve"> </w:t>
      </w:r>
      <w:r w:rsidR="001526CD">
        <w:rPr>
          <w:rFonts w:ascii="Arial" w:hAnsi="Arial"/>
          <w:b/>
          <w:bCs/>
          <w:sz w:val="21"/>
          <w:lang w:bidi="es-ES_tradnl"/>
        </w:rPr>
        <w:t xml:space="preserve">de </w:t>
      </w:r>
      <w:r w:rsidRPr="001526CD">
        <w:rPr>
          <w:rFonts w:ascii="Arial" w:hAnsi="Arial"/>
          <w:b/>
          <w:bCs/>
          <w:sz w:val="21"/>
          <w:lang w:bidi="es-ES_tradnl"/>
        </w:rPr>
        <w:t>2013)</w:t>
      </w:r>
      <w:r w:rsidR="00F81851">
        <w:rPr>
          <w:rFonts w:ascii="Arial" w:hAnsi="Arial"/>
          <w:b/>
          <w:bCs/>
          <w:sz w:val="21"/>
          <w:lang w:bidi="es-ES_tradnl"/>
        </w:rPr>
        <w:t>.</w:t>
      </w:r>
    </w:p>
    <w:p w:rsidR="004D5DCF" w:rsidRPr="00ED35E0" w:rsidRDefault="00F81851" w:rsidP="004D5DCF">
      <w:pPr>
        <w:numPr>
          <w:ilvl w:val="0"/>
          <w:numId w:val="23"/>
        </w:numPr>
        <w:tabs>
          <w:tab w:val="num" w:pos="720"/>
        </w:tabs>
        <w:spacing w:after="240" w:line="270" w:lineRule="atLeast"/>
        <w:rPr>
          <w:rFonts w:ascii="Arial" w:hAnsi="Arial"/>
          <w:b/>
          <w:bCs/>
          <w:sz w:val="21"/>
          <w:lang w:bidi="es-ES_tradnl"/>
        </w:rPr>
      </w:pPr>
      <w:r w:rsidRPr="00F81851">
        <w:rPr>
          <w:rFonts w:ascii="Arial" w:hAnsi="Arial"/>
          <w:b/>
          <w:bCs/>
          <w:sz w:val="21"/>
          <w:lang w:bidi="es-ES_tradnl"/>
        </w:rPr>
        <w:t xml:space="preserve">Michelin quiere reforzar la competitividad de su industria y </w:t>
      </w:r>
      <w:r>
        <w:rPr>
          <w:rFonts w:ascii="Arial" w:hAnsi="Arial"/>
          <w:b/>
          <w:bCs/>
          <w:sz w:val="21"/>
          <w:lang w:bidi="es-ES_tradnl"/>
        </w:rPr>
        <w:t xml:space="preserve">modernizar </w:t>
      </w:r>
      <w:r w:rsidRPr="00F81851">
        <w:rPr>
          <w:rFonts w:ascii="Arial" w:hAnsi="Arial"/>
          <w:b/>
          <w:bCs/>
          <w:sz w:val="21"/>
          <w:lang w:bidi="es-ES_tradnl"/>
        </w:rPr>
        <w:t xml:space="preserve">sus medios de </w:t>
      </w:r>
      <w:r>
        <w:rPr>
          <w:rFonts w:ascii="Arial" w:hAnsi="Arial"/>
          <w:b/>
          <w:bCs/>
          <w:sz w:val="21"/>
          <w:lang w:bidi="es-ES_tradnl"/>
        </w:rPr>
        <w:t>I</w:t>
      </w:r>
      <w:r w:rsidRPr="00F81851">
        <w:rPr>
          <w:rFonts w:ascii="Arial" w:hAnsi="Arial"/>
          <w:b/>
          <w:bCs/>
          <w:sz w:val="21"/>
          <w:lang w:bidi="es-ES_tradnl"/>
        </w:rPr>
        <w:t xml:space="preserve">nvestigación y </w:t>
      </w:r>
      <w:r>
        <w:rPr>
          <w:rFonts w:ascii="Arial" w:hAnsi="Arial"/>
          <w:b/>
          <w:bCs/>
          <w:sz w:val="21"/>
          <w:lang w:bidi="es-ES_tradnl"/>
        </w:rPr>
        <w:t>D</w:t>
      </w:r>
      <w:r w:rsidRPr="00F81851">
        <w:rPr>
          <w:rFonts w:ascii="Arial" w:hAnsi="Arial"/>
          <w:b/>
          <w:bCs/>
          <w:sz w:val="21"/>
          <w:lang w:bidi="es-ES_tradnl"/>
        </w:rPr>
        <w:t>esarrollo</w:t>
      </w:r>
      <w:r w:rsidR="004D5DCF" w:rsidRPr="00ED35E0">
        <w:rPr>
          <w:rFonts w:ascii="Arial" w:hAnsi="Arial"/>
          <w:b/>
          <w:bCs/>
          <w:sz w:val="21"/>
          <w:lang w:bidi="es-ES_tradnl"/>
        </w:rPr>
        <w:t xml:space="preserve"> (10 </w:t>
      </w:r>
      <w:r w:rsidR="00F15E8E">
        <w:rPr>
          <w:rFonts w:ascii="Arial" w:hAnsi="Arial"/>
          <w:b/>
          <w:bCs/>
          <w:sz w:val="21"/>
          <w:lang w:bidi="es-ES_tradnl"/>
        </w:rPr>
        <w:t xml:space="preserve">de </w:t>
      </w:r>
      <w:r w:rsidR="004D5DCF" w:rsidRPr="00ED35E0">
        <w:rPr>
          <w:rFonts w:ascii="Arial" w:hAnsi="Arial"/>
          <w:b/>
          <w:bCs/>
          <w:sz w:val="21"/>
          <w:lang w:bidi="es-ES_tradnl"/>
        </w:rPr>
        <w:t>ju</w:t>
      </w:r>
      <w:r>
        <w:rPr>
          <w:rFonts w:ascii="Arial" w:hAnsi="Arial"/>
          <w:b/>
          <w:bCs/>
          <w:sz w:val="21"/>
          <w:lang w:bidi="es-ES_tradnl"/>
        </w:rPr>
        <w:t>nio de</w:t>
      </w:r>
      <w:r w:rsidR="004D5DCF" w:rsidRPr="00ED35E0">
        <w:rPr>
          <w:rFonts w:ascii="Arial" w:hAnsi="Arial"/>
          <w:b/>
          <w:bCs/>
          <w:sz w:val="21"/>
          <w:lang w:bidi="es-ES_tradnl"/>
        </w:rPr>
        <w:t xml:space="preserve"> 2013)</w:t>
      </w:r>
      <w:r>
        <w:rPr>
          <w:rFonts w:ascii="Arial" w:hAnsi="Arial"/>
          <w:b/>
          <w:bCs/>
          <w:sz w:val="21"/>
          <w:lang w:bidi="es-ES_tradnl"/>
        </w:rPr>
        <w:t>.</w:t>
      </w:r>
    </w:p>
    <w:p w:rsidR="004D5DCF" w:rsidRPr="00ED35E0" w:rsidRDefault="00F81851" w:rsidP="004D5DCF">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 xml:space="preserve">Michelin inaugura una nueva fábrica en </w:t>
      </w:r>
      <w:r w:rsidR="004D5DCF" w:rsidRPr="00ED35E0">
        <w:rPr>
          <w:rFonts w:ascii="Arial" w:hAnsi="Arial"/>
          <w:b/>
          <w:bCs/>
          <w:sz w:val="21"/>
          <w:lang w:bidi="es-ES_tradnl"/>
        </w:rPr>
        <w:t>Shenyang en Chin</w:t>
      </w:r>
      <w:r>
        <w:rPr>
          <w:rFonts w:ascii="Arial" w:hAnsi="Arial"/>
          <w:b/>
          <w:bCs/>
          <w:sz w:val="21"/>
          <w:lang w:bidi="es-ES_tradnl"/>
        </w:rPr>
        <w:t>a</w:t>
      </w:r>
      <w:r w:rsidR="00F15E8E">
        <w:rPr>
          <w:rFonts w:ascii="Arial" w:hAnsi="Arial"/>
          <w:b/>
          <w:bCs/>
          <w:sz w:val="21"/>
          <w:lang w:bidi="es-ES_tradnl"/>
        </w:rPr>
        <w:t>.</w:t>
      </w:r>
      <w:r w:rsidR="00F15E8E">
        <w:rPr>
          <w:rFonts w:ascii="Arial" w:hAnsi="Arial"/>
          <w:b/>
          <w:bCs/>
          <w:sz w:val="21"/>
          <w:lang w:bidi="es-ES_tradnl"/>
        </w:rPr>
        <w:br/>
      </w:r>
      <w:r w:rsidR="004D5DCF" w:rsidRPr="00ED35E0">
        <w:rPr>
          <w:rFonts w:ascii="Arial" w:hAnsi="Arial"/>
          <w:b/>
          <w:bCs/>
          <w:sz w:val="21"/>
          <w:lang w:bidi="es-ES_tradnl"/>
        </w:rPr>
        <w:t xml:space="preserve">(26 </w:t>
      </w:r>
      <w:r w:rsidR="00F15E8E">
        <w:rPr>
          <w:rFonts w:ascii="Arial" w:hAnsi="Arial"/>
          <w:b/>
          <w:bCs/>
          <w:sz w:val="21"/>
          <w:lang w:bidi="es-ES_tradnl"/>
        </w:rPr>
        <w:t xml:space="preserve">de enero de </w:t>
      </w:r>
      <w:r w:rsidR="004D5DCF" w:rsidRPr="00ED35E0">
        <w:rPr>
          <w:rFonts w:ascii="Arial" w:hAnsi="Arial"/>
          <w:b/>
          <w:bCs/>
          <w:sz w:val="21"/>
          <w:lang w:bidi="es-ES_tradnl"/>
        </w:rPr>
        <w:t>2013)</w:t>
      </w:r>
    </w:p>
    <w:p w:rsidR="004D5DCF" w:rsidRPr="00ED35E0" w:rsidRDefault="004D5DCF" w:rsidP="00E3794C">
      <w:pPr>
        <w:numPr>
          <w:ilvl w:val="0"/>
          <w:numId w:val="23"/>
        </w:numPr>
        <w:tabs>
          <w:tab w:val="num" w:pos="720"/>
        </w:tabs>
        <w:spacing w:after="240" w:line="270" w:lineRule="atLeast"/>
        <w:rPr>
          <w:rFonts w:ascii="Arial" w:hAnsi="Arial"/>
          <w:b/>
          <w:bCs/>
          <w:sz w:val="21"/>
          <w:lang w:bidi="es-ES_tradnl"/>
        </w:rPr>
      </w:pPr>
      <w:r w:rsidRPr="00ED35E0">
        <w:rPr>
          <w:rFonts w:ascii="Arial" w:hAnsi="Arial"/>
          <w:b/>
          <w:bCs/>
          <w:sz w:val="21"/>
          <w:lang w:bidi="es-ES_tradnl"/>
        </w:rPr>
        <w:t xml:space="preserve">Michelin </w:t>
      </w:r>
      <w:r w:rsidR="00F15E8E">
        <w:rPr>
          <w:rFonts w:ascii="Arial" w:hAnsi="Arial"/>
          <w:b/>
          <w:bCs/>
          <w:sz w:val="21"/>
          <w:lang w:bidi="es-ES_tradnl"/>
        </w:rPr>
        <w:t xml:space="preserve">contribuye al </w:t>
      </w:r>
      <w:r w:rsidR="00F15E8E" w:rsidRPr="00F15E8E">
        <w:rPr>
          <w:rFonts w:ascii="Arial" w:hAnsi="Arial"/>
          <w:b/>
          <w:bCs/>
          <w:sz w:val="21"/>
          <w:lang w:bidi="es-ES_tradnl"/>
        </w:rPr>
        <w:t xml:space="preserve">ahorro real </w:t>
      </w:r>
      <w:r w:rsidR="00E3794C">
        <w:rPr>
          <w:rFonts w:ascii="Arial" w:hAnsi="Arial"/>
          <w:b/>
          <w:bCs/>
          <w:sz w:val="21"/>
          <w:lang w:bidi="es-ES_tradnl"/>
        </w:rPr>
        <w:t xml:space="preserve">gracias a </w:t>
      </w:r>
      <w:r w:rsidR="00F15E8E" w:rsidRPr="00F15E8E">
        <w:rPr>
          <w:rFonts w:ascii="Arial" w:hAnsi="Arial"/>
          <w:b/>
          <w:bCs/>
          <w:sz w:val="21"/>
          <w:lang w:bidi="es-ES_tradnl"/>
        </w:rPr>
        <w:t>la gama de neumáticos de cami</w:t>
      </w:r>
      <w:r w:rsidR="00E3794C">
        <w:rPr>
          <w:rFonts w:ascii="Arial" w:hAnsi="Arial"/>
          <w:b/>
          <w:bCs/>
          <w:sz w:val="21"/>
          <w:lang w:bidi="es-ES_tradnl"/>
        </w:rPr>
        <w:t>ón</w:t>
      </w:r>
      <w:r w:rsidRPr="00ED35E0">
        <w:rPr>
          <w:rFonts w:ascii="Arial" w:hAnsi="Arial"/>
          <w:b/>
          <w:bCs/>
          <w:sz w:val="21"/>
          <w:lang w:bidi="es-ES_tradnl"/>
        </w:rPr>
        <w:t xml:space="preserve"> MICHELIN X</w:t>
      </w:r>
      <w:r w:rsidRPr="00E3794C">
        <w:rPr>
          <w:rFonts w:ascii="Arial" w:hAnsi="Arial"/>
          <w:b/>
          <w:bCs/>
          <w:sz w:val="21"/>
          <w:vertAlign w:val="superscript"/>
          <w:lang w:bidi="es-ES_tradnl"/>
        </w:rPr>
        <w:t>®</w:t>
      </w:r>
      <w:r w:rsidRPr="00ED35E0">
        <w:rPr>
          <w:rFonts w:ascii="Arial" w:hAnsi="Arial"/>
          <w:b/>
          <w:bCs/>
          <w:sz w:val="21"/>
          <w:lang w:bidi="es-ES_tradnl"/>
        </w:rPr>
        <w:t xml:space="preserve"> LINE</w:t>
      </w:r>
      <w:r w:rsidRPr="00E3794C">
        <w:rPr>
          <w:rFonts w:ascii="Arial" w:hAnsi="Arial"/>
          <w:b/>
          <w:bCs/>
          <w:sz w:val="21"/>
          <w:vertAlign w:val="superscript"/>
          <w:lang w:bidi="es-ES_tradnl"/>
        </w:rPr>
        <w:t>TM</w:t>
      </w:r>
      <w:r w:rsidRPr="00ED35E0">
        <w:rPr>
          <w:rFonts w:ascii="Arial" w:hAnsi="Arial"/>
          <w:b/>
          <w:bCs/>
          <w:sz w:val="21"/>
          <w:lang w:bidi="es-ES_tradnl"/>
        </w:rPr>
        <w:t xml:space="preserve"> Energy</w:t>
      </w:r>
      <w:r w:rsidRPr="00E3794C">
        <w:rPr>
          <w:rFonts w:ascii="Arial" w:hAnsi="Arial"/>
          <w:b/>
          <w:bCs/>
          <w:sz w:val="21"/>
          <w:vertAlign w:val="superscript"/>
          <w:lang w:bidi="es-ES_tradnl"/>
        </w:rPr>
        <w:t>TM</w:t>
      </w:r>
      <w:r w:rsidRPr="00ED35E0">
        <w:rPr>
          <w:rFonts w:ascii="Arial" w:hAnsi="Arial"/>
          <w:b/>
          <w:bCs/>
          <w:sz w:val="21"/>
          <w:lang w:bidi="es-ES_tradnl"/>
        </w:rPr>
        <w:t xml:space="preserve">, </w:t>
      </w:r>
      <w:r w:rsidR="00E3794C">
        <w:rPr>
          <w:rFonts w:ascii="Arial" w:hAnsi="Arial"/>
          <w:b/>
          <w:bCs/>
          <w:sz w:val="21"/>
          <w:lang w:bidi="es-ES_tradnl"/>
        </w:rPr>
        <w:t>quinta generación de neumáticos de bajo consumo</w:t>
      </w:r>
      <w:r w:rsidRPr="00ED35E0">
        <w:rPr>
          <w:rFonts w:ascii="Arial" w:hAnsi="Arial"/>
          <w:b/>
          <w:bCs/>
          <w:sz w:val="21"/>
          <w:lang w:bidi="es-ES_tradnl"/>
        </w:rPr>
        <w:t xml:space="preserve"> (4 </w:t>
      </w:r>
      <w:r w:rsidR="00E3794C">
        <w:rPr>
          <w:rFonts w:ascii="Arial" w:hAnsi="Arial"/>
          <w:b/>
          <w:bCs/>
          <w:sz w:val="21"/>
          <w:lang w:bidi="es-ES_tradnl"/>
        </w:rPr>
        <w:t>de abril</w:t>
      </w:r>
      <w:r w:rsidRPr="00ED35E0">
        <w:rPr>
          <w:rFonts w:ascii="Arial" w:hAnsi="Arial"/>
          <w:b/>
          <w:bCs/>
          <w:sz w:val="21"/>
          <w:lang w:bidi="es-ES_tradnl"/>
        </w:rPr>
        <w:t xml:space="preserve"> </w:t>
      </w:r>
      <w:r w:rsidR="00E3794C">
        <w:rPr>
          <w:rFonts w:ascii="Arial" w:hAnsi="Arial"/>
          <w:b/>
          <w:bCs/>
          <w:sz w:val="21"/>
          <w:lang w:bidi="es-ES_tradnl"/>
        </w:rPr>
        <w:t>de 2013).</w:t>
      </w:r>
    </w:p>
    <w:p w:rsidR="004D5DCF" w:rsidRPr="00ED35E0" w:rsidRDefault="004D5DCF" w:rsidP="004D5DCF">
      <w:pPr>
        <w:numPr>
          <w:ilvl w:val="0"/>
          <w:numId w:val="23"/>
        </w:numPr>
        <w:tabs>
          <w:tab w:val="num" w:pos="720"/>
        </w:tabs>
        <w:spacing w:after="240" w:line="270" w:lineRule="atLeast"/>
        <w:rPr>
          <w:rFonts w:ascii="Arial" w:hAnsi="Arial"/>
          <w:b/>
          <w:bCs/>
          <w:sz w:val="21"/>
          <w:lang w:bidi="es-ES_tradnl"/>
        </w:rPr>
      </w:pPr>
      <w:r w:rsidRPr="00ED35E0">
        <w:rPr>
          <w:rFonts w:ascii="Arial" w:hAnsi="Arial"/>
          <w:b/>
          <w:bCs/>
          <w:sz w:val="21"/>
          <w:lang w:bidi="es-ES_tradnl"/>
        </w:rPr>
        <w:t xml:space="preserve">Michelin </w:t>
      </w:r>
      <w:r w:rsidR="00E3794C">
        <w:rPr>
          <w:rFonts w:ascii="Arial" w:hAnsi="Arial"/>
          <w:b/>
          <w:bCs/>
          <w:sz w:val="21"/>
          <w:lang w:bidi="es-ES_tradnl"/>
        </w:rPr>
        <w:t xml:space="preserve">y </w:t>
      </w:r>
      <w:r w:rsidRPr="00ED35E0">
        <w:rPr>
          <w:rFonts w:ascii="Arial" w:hAnsi="Arial"/>
          <w:b/>
          <w:bCs/>
          <w:sz w:val="21"/>
          <w:lang w:bidi="es-ES_tradnl"/>
        </w:rPr>
        <w:t>Petrokimia Butadiene Indonesia</w:t>
      </w:r>
      <w:r w:rsidR="00E3794C">
        <w:rPr>
          <w:rFonts w:ascii="Arial" w:hAnsi="Arial"/>
          <w:b/>
          <w:bCs/>
          <w:sz w:val="21"/>
          <w:lang w:bidi="es-ES_tradnl"/>
        </w:rPr>
        <w:t xml:space="preserve"> firman un acuerdo para producir caucho sintético </w:t>
      </w:r>
      <w:r w:rsidRPr="00ED35E0">
        <w:rPr>
          <w:rFonts w:ascii="Arial" w:hAnsi="Arial"/>
          <w:b/>
          <w:bCs/>
          <w:sz w:val="21"/>
          <w:lang w:bidi="es-ES_tradnl"/>
        </w:rPr>
        <w:t xml:space="preserve">(17 </w:t>
      </w:r>
      <w:r w:rsidR="00E3794C">
        <w:rPr>
          <w:rFonts w:ascii="Arial" w:hAnsi="Arial"/>
          <w:b/>
          <w:bCs/>
          <w:sz w:val="21"/>
          <w:lang w:bidi="es-ES_tradnl"/>
        </w:rPr>
        <w:t xml:space="preserve">de </w:t>
      </w:r>
      <w:r w:rsidRPr="00ED35E0">
        <w:rPr>
          <w:rFonts w:ascii="Arial" w:hAnsi="Arial"/>
          <w:b/>
          <w:bCs/>
          <w:sz w:val="21"/>
          <w:lang w:bidi="es-ES_tradnl"/>
        </w:rPr>
        <w:t>ju</w:t>
      </w:r>
      <w:r w:rsidR="00E3794C">
        <w:rPr>
          <w:rFonts w:ascii="Arial" w:hAnsi="Arial"/>
          <w:b/>
          <w:bCs/>
          <w:sz w:val="21"/>
          <w:lang w:bidi="es-ES_tradnl"/>
        </w:rPr>
        <w:t>nio de</w:t>
      </w:r>
      <w:r w:rsidRPr="00ED35E0">
        <w:rPr>
          <w:rFonts w:ascii="Arial" w:hAnsi="Arial"/>
          <w:b/>
          <w:bCs/>
          <w:sz w:val="21"/>
          <w:lang w:bidi="es-ES_tradnl"/>
        </w:rPr>
        <w:t xml:space="preserve"> 2013)</w:t>
      </w:r>
      <w:r w:rsidR="00E3794C">
        <w:rPr>
          <w:rFonts w:ascii="Arial" w:hAnsi="Arial"/>
          <w:b/>
          <w:bCs/>
          <w:sz w:val="21"/>
          <w:lang w:bidi="es-ES_tradnl"/>
        </w:rPr>
        <w:t>.</w:t>
      </w:r>
    </w:p>
    <w:p w:rsidR="004D5DCF" w:rsidRPr="00ED35E0" w:rsidRDefault="000F1411" w:rsidP="004D5DCF">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 xml:space="preserve">Primer prototipo de neumático de camión en </w:t>
      </w:r>
      <w:r w:rsidR="004D5DCF" w:rsidRPr="00ED35E0">
        <w:rPr>
          <w:rFonts w:ascii="Arial" w:hAnsi="Arial"/>
          <w:b/>
          <w:bCs/>
          <w:sz w:val="21"/>
          <w:lang w:bidi="es-ES_tradnl"/>
        </w:rPr>
        <w:t xml:space="preserve">Chennai, </w:t>
      </w:r>
      <w:r>
        <w:rPr>
          <w:rFonts w:ascii="Arial" w:hAnsi="Arial"/>
          <w:b/>
          <w:bCs/>
          <w:sz w:val="21"/>
          <w:lang w:bidi="es-ES_tradnl"/>
        </w:rPr>
        <w:t xml:space="preserve">India </w:t>
      </w:r>
      <w:r>
        <w:rPr>
          <w:rFonts w:ascii="Arial" w:hAnsi="Arial"/>
          <w:b/>
          <w:bCs/>
          <w:sz w:val="21"/>
          <w:lang w:bidi="es-ES_tradnl"/>
        </w:rPr>
        <w:br/>
        <w:t>(</w:t>
      </w:r>
      <w:r w:rsidR="004D5DCF" w:rsidRPr="00ED35E0">
        <w:rPr>
          <w:rFonts w:ascii="Arial" w:hAnsi="Arial"/>
          <w:b/>
          <w:bCs/>
          <w:sz w:val="21"/>
          <w:lang w:bidi="es-ES_tradnl"/>
        </w:rPr>
        <w:t>19</w:t>
      </w:r>
      <w:r>
        <w:rPr>
          <w:rFonts w:ascii="Arial" w:hAnsi="Arial"/>
          <w:b/>
          <w:bCs/>
          <w:sz w:val="21"/>
          <w:lang w:bidi="es-ES_tradnl"/>
        </w:rPr>
        <w:t xml:space="preserve"> de julio de</w:t>
      </w:r>
      <w:r w:rsidR="004D5DCF" w:rsidRPr="00ED35E0">
        <w:rPr>
          <w:rFonts w:ascii="Arial" w:hAnsi="Arial"/>
          <w:b/>
          <w:bCs/>
          <w:sz w:val="21"/>
          <w:lang w:bidi="es-ES_tradnl"/>
        </w:rPr>
        <w:t xml:space="preserve"> 2013)</w:t>
      </w:r>
      <w:r>
        <w:rPr>
          <w:rFonts w:ascii="Arial" w:hAnsi="Arial"/>
          <w:b/>
          <w:bCs/>
          <w:sz w:val="21"/>
          <w:lang w:bidi="es-ES_tradnl"/>
        </w:rPr>
        <w:t>.</w:t>
      </w:r>
    </w:p>
    <w:p w:rsidR="004D5DCF" w:rsidRPr="00ED35E0" w:rsidRDefault="004D5DCF" w:rsidP="000F1411">
      <w:pPr>
        <w:numPr>
          <w:ilvl w:val="0"/>
          <w:numId w:val="23"/>
        </w:numPr>
        <w:tabs>
          <w:tab w:val="num" w:pos="720"/>
        </w:tabs>
        <w:spacing w:after="240" w:line="270" w:lineRule="atLeast"/>
        <w:rPr>
          <w:rFonts w:ascii="Arial" w:hAnsi="Arial"/>
          <w:b/>
          <w:bCs/>
          <w:sz w:val="21"/>
          <w:lang w:bidi="es-ES_tradnl"/>
        </w:rPr>
      </w:pPr>
      <w:r w:rsidRPr="00ED35E0">
        <w:rPr>
          <w:rFonts w:ascii="Arial" w:hAnsi="Arial"/>
          <w:b/>
          <w:bCs/>
          <w:sz w:val="21"/>
          <w:lang w:bidi="es-ES_tradnl"/>
        </w:rPr>
        <w:t xml:space="preserve">Michelin </w:t>
      </w:r>
      <w:r w:rsidR="000F1411">
        <w:rPr>
          <w:rFonts w:ascii="Arial" w:hAnsi="Arial"/>
          <w:b/>
          <w:bCs/>
          <w:sz w:val="21"/>
          <w:lang w:bidi="es-ES_tradnl"/>
        </w:rPr>
        <w:t xml:space="preserve">anuncia su participación activa en el Campeonato </w:t>
      </w:r>
      <w:r w:rsidRPr="00ED35E0">
        <w:rPr>
          <w:rFonts w:ascii="Arial" w:hAnsi="Arial"/>
          <w:b/>
          <w:bCs/>
          <w:sz w:val="21"/>
          <w:lang w:bidi="es-ES_tradnl"/>
        </w:rPr>
        <w:t xml:space="preserve">FIA Formula E </w:t>
      </w:r>
      <w:r w:rsidRPr="00ED35E0">
        <w:rPr>
          <w:rFonts w:ascii="Arial" w:hAnsi="Arial"/>
          <w:b/>
          <w:bCs/>
          <w:sz w:val="21"/>
          <w:lang w:bidi="es-ES_tradnl"/>
        </w:rPr>
        <w:br/>
        <w:t xml:space="preserve">(10 </w:t>
      </w:r>
      <w:r w:rsidR="000F1411">
        <w:rPr>
          <w:rFonts w:ascii="Arial" w:hAnsi="Arial"/>
          <w:b/>
          <w:bCs/>
          <w:sz w:val="21"/>
          <w:lang w:bidi="es-ES_tradnl"/>
        </w:rPr>
        <w:t>de septiembre</w:t>
      </w:r>
      <w:r w:rsidRPr="00ED35E0">
        <w:rPr>
          <w:rFonts w:ascii="Arial" w:hAnsi="Arial"/>
          <w:b/>
          <w:bCs/>
          <w:sz w:val="21"/>
          <w:lang w:bidi="es-ES_tradnl"/>
        </w:rPr>
        <w:t xml:space="preserve"> </w:t>
      </w:r>
      <w:r w:rsidR="000F1411">
        <w:rPr>
          <w:rFonts w:ascii="Arial" w:hAnsi="Arial"/>
          <w:b/>
          <w:bCs/>
          <w:sz w:val="21"/>
          <w:lang w:bidi="es-ES_tradnl"/>
        </w:rPr>
        <w:t xml:space="preserve">de </w:t>
      </w:r>
      <w:r w:rsidRPr="00ED35E0">
        <w:rPr>
          <w:rFonts w:ascii="Arial" w:hAnsi="Arial"/>
          <w:b/>
          <w:bCs/>
          <w:sz w:val="21"/>
          <w:lang w:bidi="es-ES_tradnl"/>
        </w:rPr>
        <w:t>2013)</w:t>
      </w:r>
      <w:r w:rsidR="00125C05">
        <w:rPr>
          <w:rFonts w:ascii="Arial" w:hAnsi="Arial"/>
          <w:b/>
          <w:bCs/>
          <w:sz w:val="21"/>
          <w:lang w:bidi="es-ES_tradnl"/>
        </w:rPr>
        <w:t>.</w:t>
      </w:r>
    </w:p>
    <w:p w:rsidR="004D5DCF" w:rsidRPr="00ED35E0" w:rsidRDefault="004D5DCF" w:rsidP="00125C05">
      <w:pPr>
        <w:numPr>
          <w:ilvl w:val="0"/>
          <w:numId w:val="23"/>
        </w:numPr>
        <w:tabs>
          <w:tab w:val="num" w:pos="720"/>
        </w:tabs>
        <w:spacing w:after="240" w:line="270" w:lineRule="atLeast"/>
        <w:rPr>
          <w:rFonts w:ascii="Arial" w:hAnsi="Arial"/>
          <w:b/>
          <w:bCs/>
          <w:sz w:val="21"/>
          <w:lang w:bidi="es-ES_tradnl"/>
        </w:rPr>
      </w:pPr>
      <w:r w:rsidRPr="00ED35E0">
        <w:rPr>
          <w:rFonts w:ascii="Arial" w:hAnsi="Arial"/>
          <w:b/>
          <w:bCs/>
          <w:sz w:val="21"/>
          <w:lang w:bidi="es-ES_tradnl"/>
        </w:rPr>
        <w:t xml:space="preserve">Michelin </w:t>
      </w:r>
      <w:r w:rsidR="00125C05">
        <w:rPr>
          <w:rFonts w:ascii="Arial" w:hAnsi="Arial"/>
          <w:b/>
          <w:bCs/>
          <w:sz w:val="21"/>
          <w:lang w:bidi="es-ES_tradnl"/>
        </w:rPr>
        <w:t xml:space="preserve">aumenta su gama de neumáticos de Ingeniería Civil: cuatro nuevas dimensiones en 25 pulgadas </w:t>
      </w:r>
      <w:r w:rsidRPr="00ED35E0">
        <w:rPr>
          <w:rFonts w:ascii="Arial" w:hAnsi="Arial"/>
          <w:b/>
          <w:bCs/>
          <w:sz w:val="21"/>
          <w:lang w:bidi="es-ES_tradnl"/>
        </w:rPr>
        <w:t xml:space="preserve">(16 </w:t>
      </w:r>
      <w:r w:rsidR="00125C05">
        <w:rPr>
          <w:rFonts w:ascii="Arial" w:hAnsi="Arial"/>
          <w:b/>
          <w:bCs/>
          <w:sz w:val="21"/>
          <w:lang w:bidi="es-ES_tradnl"/>
        </w:rPr>
        <w:t>de septiembre</w:t>
      </w:r>
      <w:r w:rsidRPr="00ED35E0">
        <w:rPr>
          <w:rFonts w:ascii="Arial" w:hAnsi="Arial"/>
          <w:b/>
          <w:bCs/>
          <w:sz w:val="21"/>
          <w:lang w:bidi="es-ES_tradnl"/>
        </w:rPr>
        <w:t xml:space="preserve"> </w:t>
      </w:r>
      <w:r w:rsidR="00125C05">
        <w:rPr>
          <w:rFonts w:ascii="Arial" w:hAnsi="Arial"/>
          <w:b/>
          <w:bCs/>
          <w:sz w:val="21"/>
          <w:lang w:bidi="es-ES_tradnl"/>
        </w:rPr>
        <w:t xml:space="preserve">de </w:t>
      </w:r>
      <w:r w:rsidRPr="00ED35E0">
        <w:rPr>
          <w:rFonts w:ascii="Arial" w:hAnsi="Arial"/>
          <w:b/>
          <w:bCs/>
          <w:sz w:val="21"/>
          <w:lang w:bidi="es-ES_tradnl"/>
        </w:rPr>
        <w:t>2013)</w:t>
      </w:r>
      <w:r w:rsidR="00125C05">
        <w:rPr>
          <w:rFonts w:ascii="Arial" w:hAnsi="Arial"/>
          <w:b/>
          <w:bCs/>
          <w:sz w:val="21"/>
          <w:lang w:bidi="es-ES_tradnl"/>
        </w:rPr>
        <w:t>.</w:t>
      </w:r>
    </w:p>
    <w:p w:rsidR="004D5DCF" w:rsidRPr="00ED35E0" w:rsidRDefault="00125C05" w:rsidP="004D5DCF">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Lanzamiento del MICHELIN Primacy 3ST en el Sudeste asiático y Australia</w:t>
      </w:r>
      <w:r w:rsidR="004D5DCF" w:rsidRPr="00ED35E0">
        <w:rPr>
          <w:rFonts w:ascii="Arial" w:hAnsi="Arial"/>
          <w:b/>
          <w:bCs/>
          <w:sz w:val="21"/>
          <w:lang w:bidi="es-ES_tradnl"/>
        </w:rPr>
        <w:t xml:space="preserve"> (13 </w:t>
      </w:r>
      <w:r w:rsidR="00C44FEA">
        <w:rPr>
          <w:rFonts w:ascii="Arial" w:hAnsi="Arial"/>
          <w:b/>
          <w:bCs/>
          <w:sz w:val="21"/>
          <w:lang w:bidi="es-ES_tradnl"/>
        </w:rPr>
        <w:t>de octubre</w:t>
      </w:r>
      <w:r w:rsidR="004D5DCF" w:rsidRPr="00ED35E0">
        <w:rPr>
          <w:rFonts w:ascii="Arial" w:hAnsi="Arial"/>
          <w:b/>
          <w:bCs/>
          <w:sz w:val="21"/>
          <w:lang w:bidi="es-ES_tradnl"/>
        </w:rPr>
        <w:t xml:space="preserve"> </w:t>
      </w:r>
      <w:r w:rsidR="00C44FEA">
        <w:rPr>
          <w:rFonts w:ascii="Arial" w:hAnsi="Arial"/>
          <w:b/>
          <w:bCs/>
          <w:sz w:val="21"/>
          <w:lang w:bidi="es-ES_tradnl"/>
        </w:rPr>
        <w:t xml:space="preserve">de </w:t>
      </w:r>
      <w:r w:rsidR="004D5DCF" w:rsidRPr="00ED35E0">
        <w:rPr>
          <w:rFonts w:ascii="Arial" w:hAnsi="Arial"/>
          <w:b/>
          <w:bCs/>
          <w:sz w:val="21"/>
          <w:lang w:bidi="es-ES_tradnl"/>
        </w:rPr>
        <w:t>2013)</w:t>
      </w:r>
      <w:r w:rsidR="00C44FEA">
        <w:rPr>
          <w:rFonts w:ascii="Arial" w:hAnsi="Arial"/>
          <w:b/>
          <w:bCs/>
          <w:sz w:val="21"/>
          <w:lang w:bidi="es-ES_tradnl"/>
        </w:rPr>
        <w:t>.</w:t>
      </w:r>
    </w:p>
    <w:p w:rsidR="004D5DCF" w:rsidRPr="00ED35E0" w:rsidRDefault="00C44FEA" w:rsidP="00C44FEA">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El Grupo</w:t>
      </w:r>
      <w:r w:rsidR="004D5DCF" w:rsidRPr="00ED35E0">
        <w:rPr>
          <w:rFonts w:ascii="Arial" w:hAnsi="Arial"/>
          <w:b/>
          <w:bCs/>
          <w:sz w:val="21"/>
          <w:lang w:bidi="es-ES_tradnl"/>
        </w:rPr>
        <w:t xml:space="preserve"> Michelin </w:t>
      </w:r>
      <w:r>
        <w:rPr>
          <w:rFonts w:ascii="Arial" w:hAnsi="Arial"/>
          <w:b/>
          <w:bCs/>
          <w:sz w:val="21"/>
          <w:lang w:bidi="es-ES_tradnl"/>
        </w:rPr>
        <w:t xml:space="preserve">presenta el neumático para tractores más grande del mundo </w:t>
      </w:r>
      <w:r w:rsidR="004D5DCF" w:rsidRPr="00ED35E0">
        <w:rPr>
          <w:rFonts w:ascii="Arial" w:hAnsi="Arial"/>
          <w:b/>
          <w:bCs/>
          <w:sz w:val="21"/>
          <w:lang w:bidi="es-ES_tradnl"/>
        </w:rPr>
        <w:t>(22 </w:t>
      </w:r>
      <w:r>
        <w:rPr>
          <w:rFonts w:ascii="Arial" w:hAnsi="Arial"/>
          <w:b/>
          <w:bCs/>
          <w:sz w:val="21"/>
          <w:lang w:bidi="es-ES_tradnl"/>
        </w:rPr>
        <w:t>de octubre</w:t>
      </w:r>
      <w:r w:rsidR="004D5DCF" w:rsidRPr="00ED35E0">
        <w:rPr>
          <w:rFonts w:ascii="Arial" w:hAnsi="Arial"/>
          <w:b/>
          <w:bCs/>
          <w:sz w:val="21"/>
          <w:lang w:bidi="es-ES_tradnl"/>
        </w:rPr>
        <w:t xml:space="preserve"> </w:t>
      </w:r>
      <w:r>
        <w:rPr>
          <w:rFonts w:ascii="Arial" w:hAnsi="Arial"/>
          <w:b/>
          <w:bCs/>
          <w:sz w:val="21"/>
          <w:lang w:bidi="es-ES_tradnl"/>
        </w:rPr>
        <w:t xml:space="preserve">de </w:t>
      </w:r>
      <w:r w:rsidR="004D5DCF" w:rsidRPr="00ED35E0">
        <w:rPr>
          <w:rFonts w:ascii="Arial" w:hAnsi="Arial"/>
          <w:b/>
          <w:bCs/>
          <w:sz w:val="21"/>
          <w:lang w:bidi="es-ES_tradnl"/>
        </w:rPr>
        <w:t>2013)</w:t>
      </w:r>
      <w:r>
        <w:rPr>
          <w:rFonts w:ascii="Arial" w:hAnsi="Arial"/>
          <w:b/>
          <w:bCs/>
          <w:sz w:val="21"/>
          <w:lang w:bidi="es-ES_tradnl"/>
        </w:rPr>
        <w:t>.</w:t>
      </w:r>
    </w:p>
    <w:p w:rsidR="0022145A" w:rsidRPr="00ED35E0" w:rsidRDefault="004D5DCF" w:rsidP="00B52AD8">
      <w:pPr>
        <w:numPr>
          <w:ilvl w:val="0"/>
          <w:numId w:val="23"/>
        </w:numPr>
        <w:tabs>
          <w:tab w:val="num" w:pos="720"/>
        </w:tabs>
        <w:spacing w:after="240" w:line="270" w:lineRule="atLeast"/>
        <w:rPr>
          <w:rFonts w:ascii="Arial" w:hAnsi="Arial"/>
          <w:b/>
          <w:bCs/>
          <w:sz w:val="21"/>
          <w:lang w:bidi="es-ES_tradnl"/>
        </w:rPr>
      </w:pPr>
      <w:r w:rsidRPr="00ED35E0">
        <w:rPr>
          <w:rFonts w:ascii="Arial" w:hAnsi="Arial"/>
          <w:b/>
          <w:bCs/>
          <w:sz w:val="21"/>
          <w:lang w:bidi="es-ES_tradnl"/>
        </w:rPr>
        <w:t xml:space="preserve">La Compagnie Générale des Etablissements Michelin </w:t>
      </w:r>
      <w:r w:rsidR="00B52AD8">
        <w:rPr>
          <w:rFonts w:ascii="Arial" w:hAnsi="Arial"/>
          <w:b/>
          <w:bCs/>
          <w:sz w:val="21"/>
          <w:lang w:bidi="es-ES_tradnl"/>
        </w:rPr>
        <w:t xml:space="preserve">ha presentado una oferta de acciones para empleados </w:t>
      </w:r>
      <w:r w:rsidRPr="00ED35E0">
        <w:rPr>
          <w:rFonts w:ascii="Arial" w:hAnsi="Arial"/>
          <w:b/>
          <w:bCs/>
          <w:sz w:val="21"/>
          <w:lang w:bidi="es-ES_tradnl"/>
        </w:rPr>
        <w:t>(31</w:t>
      </w:r>
      <w:r w:rsidR="00B52AD8">
        <w:rPr>
          <w:rFonts w:ascii="Arial" w:hAnsi="Arial"/>
          <w:b/>
          <w:bCs/>
          <w:sz w:val="21"/>
          <w:lang w:bidi="es-ES_tradnl"/>
        </w:rPr>
        <w:t xml:space="preserve"> de</w:t>
      </w:r>
      <w:r w:rsidRPr="00ED35E0">
        <w:rPr>
          <w:rFonts w:ascii="Arial" w:hAnsi="Arial"/>
          <w:b/>
          <w:bCs/>
          <w:sz w:val="21"/>
          <w:lang w:bidi="es-ES_tradnl"/>
        </w:rPr>
        <w:t xml:space="preserve"> oct</w:t>
      </w:r>
      <w:r w:rsidR="00B52AD8">
        <w:rPr>
          <w:rFonts w:ascii="Arial" w:hAnsi="Arial"/>
          <w:b/>
          <w:bCs/>
          <w:sz w:val="21"/>
          <w:lang w:bidi="es-ES_tradnl"/>
        </w:rPr>
        <w:t>u</w:t>
      </w:r>
      <w:r w:rsidRPr="00ED35E0">
        <w:rPr>
          <w:rFonts w:ascii="Arial" w:hAnsi="Arial"/>
          <w:b/>
          <w:bCs/>
          <w:sz w:val="21"/>
          <w:lang w:bidi="es-ES_tradnl"/>
        </w:rPr>
        <w:t xml:space="preserve">bre </w:t>
      </w:r>
      <w:r w:rsidR="00B52AD8">
        <w:rPr>
          <w:rFonts w:ascii="Arial" w:hAnsi="Arial"/>
          <w:b/>
          <w:bCs/>
          <w:sz w:val="21"/>
          <w:lang w:bidi="es-ES_tradnl"/>
        </w:rPr>
        <w:t xml:space="preserve">de </w:t>
      </w:r>
      <w:r w:rsidRPr="00ED35E0">
        <w:rPr>
          <w:rFonts w:ascii="Arial" w:hAnsi="Arial"/>
          <w:b/>
          <w:bCs/>
          <w:sz w:val="21"/>
          <w:lang w:bidi="es-ES_tradnl"/>
        </w:rPr>
        <w:t>2013)</w:t>
      </w:r>
      <w:r w:rsidR="0017399C" w:rsidRPr="00ED35E0">
        <w:rPr>
          <w:rFonts w:ascii="Arial" w:hAnsi="Arial"/>
          <w:b/>
          <w:bCs/>
          <w:sz w:val="21"/>
          <w:lang w:bidi="es-ES_tradnl"/>
        </w:rPr>
        <w:t>.</w:t>
      </w:r>
    </w:p>
    <w:p w:rsidR="00BF4FFF" w:rsidRPr="00ED35E0" w:rsidRDefault="00BF4FFF" w:rsidP="00BF4FFF">
      <w:pPr>
        <w:tabs>
          <w:tab w:val="left" w:pos="284"/>
        </w:tabs>
        <w:jc w:val="both"/>
        <w:rPr>
          <w:rFonts w:ascii="Verdana" w:hAnsi="Verdana" w:cs="Arial"/>
          <w:b/>
        </w:rPr>
      </w:pPr>
    </w:p>
    <w:p w:rsidR="00BF4FFF" w:rsidRPr="00ED35E0" w:rsidRDefault="00BF4FFF" w:rsidP="00BF4FFF">
      <w:pPr>
        <w:tabs>
          <w:tab w:val="left" w:pos="284"/>
        </w:tabs>
        <w:jc w:val="both"/>
        <w:rPr>
          <w:rFonts w:ascii="Verdana" w:hAnsi="Verdana" w:cs="Arial"/>
          <w:highlight w:val="yellow"/>
        </w:rPr>
      </w:pPr>
    </w:p>
    <w:p w:rsidR="00BF4FFF" w:rsidRPr="00ED35E0" w:rsidRDefault="00BF4FFF" w:rsidP="00BF4FFF">
      <w:pPr>
        <w:keepNext/>
        <w:tabs>
          <w:tab w:val="left" w:pos="284"/>
        </w:tabs>
        <w:jc w:val="both"/>
        <w:rPr>
          <w:rFonts w:ascii="Verdana" w:eastAsia="Times New Roman" w:hAnsi="Verdana" w:cs="Arial"/>
        </w:rPr>
      </w:pPr>
    </w:p>
    <w:p w:rsidR="00BF4FFF" w:rsidRPr="00ED35E0" w:rsidRDefault="007100DA" w:rsidP="00BF4FFF">
      <w:pPr>
        <w:keepNext/>
        <w:pBdr>
          <w:top w:val="single" w:sz="4" w:space="1" w:color="auto"/>
          <w:left w:val="single" w:sz="4" w:space="4" w:color="auto"/>
          <w:bottom w:val="single" w:sz="4" w:space="1" w:color="auto"/>
          <w:right w:val="single" w:sz="4" w:space="4" w:color="auto"/>
        </w:pBdr>
        <w:jc w:val="center"/>
        <w:rPr>
          <w:rFonts w:ascii="Arial" w:eastAsia="Times New Roman" w:hAnsi="Arial" w:cs="Arial"/>
          <w:sz w:val="21"/>
          <w:u w:val="single"/>
        </w:rPr>
      </w:pPr>
      <w:r w:rsidRPr="00ED35E0">
        <w:rPr>
          <w:rFonts w:ascii="Arial" w:eastAsia="Times New Roman" w:hAnsi="Arial" w:cs="Arial"/>
          <w:sz w:val="21"/>
        </w:rPr>
        <w:t xml:space="preserve">La lista completa de los hechos destacados de 2014 está disponible en la web del Grupo: </w:t>
      </w:r>
      <w:hyperlink r:id="rId7" w:history="1">
        <w:r w:rsidR="00F87F0B" w:rsidRPr="00ED35E0">
          <w:rPr>
            <w:rStyle w:val="Hyperlink"/>
            <w:rFonts w:ascii="Arial" w:eastAsia="Times New Roman" w:hAnsi="Arial" w:cs="Arial"/>
            <w:sz w:val="21"/>
          </w:rPr>
          <w:t>http://www.michelin.com/corporate/finance</w:t>
        </w:r>
      </w:hyperlink>
    </w:p>
    <w:p w:rsidR="00BF4FFF" w:rsidRPr="00ED35E0" w:rsidRDefault="00BF4FFF" w:rsidP="00BF4FFF">
      <w:pPr>
        <w:tabs>
          <w:tab w:val="left" w:pos="360"/>
        </w:tabs>
        <w:jc w:val="both"/>
        <w:rPr>
          <w:rFonts w:ascii="Utopia" w:eastAsia="Times New Roman" w:hAnsi="Utopia"/>
          <w:i/>
          <w:iCs/>
        </w:rPr>
      </w:pPr>
    </w:p>
    <w:p w:rsidR="008B152B" w:rsidRPr="00ED35E0" w:rsidRDefault="008B152B" w:rsidP="00BF4FFF">
      <w:pPr>
        <w:tabs>
          <w:tab w:val="left" w:pos="360"/>
        </w:tabs>
        <w:jc w:val="both"/>
        <w:rPr>
          <w:rFonts w:ascii="Arial" w:eastAsia="Times New Roman" w:hAnsi="Arial" w:cs="Arial"/>
          <w:b/>
          <w:bCs/>
          <w:smallCaps/>
        </w:rPr>
      </w:pPr>
    </w:p>
    <w:p w:rsidR="008B152B" w:rsidRPr="00ED35E0" w:rsidRDefault="008B152B" w:rsidP="00BF4FFF">
      <w:pPr>
        <w:tabs>
          <w:tab w:val="left" w:pos="360"/>
        </w:tabs>
        <w:jc w:val="both"/>
        <w:rPr>
          <w:rFonts w:ascii="Arial" w:eastAsia="Times New Roman" w:hAnsi="Arial" w:cs="Arial"/>
          <w:b/>
          <w:bCs/>
          <w:smallCaps/>
        </w:rPr>
      </w:pPr>
    </w:p>
    <w:p w:rsidR="00BF4FFF" w:rsidRPr="00ED35E0" w:rsidRDefault="00BF4FFF" w:rsidP="00C74752">
      <w:pPr>
        <w:tabs>
          <w:tab w:val="left" w:pos="360"/>
        </w:tabs>
        <w:jc w:val="both"/>
        <w:rPr>
          <w:rFonts w:ascii="Arial" w:eastAsia="Times New Roman" w:hAnsi="Arial" w:cs="Arial"/>
          <w:sz w:val="21"/>
          <w:szCs w:val="21"/>
        </w:rPr>
      </w:pPr>
      <w:r w:rsidRPr="00ED35E0">
        <w:rPr>
          <w:rFonts w:ascii="Arial" w:eastAsia="Times New Roman" w:hAnsi="Arial" w:cs="Arial"/>
          <w:b/>
          <w:bCs/>
          <w:smallCaps/>
        </w:rPr>
        <w:t>Calendario</w:t>
      </w:r>
      <w:r w:rsidRPr="00ED35E0">
        <w:rPr>
          <w:rFonts w:ascii="Arial" w:eastAsia="Times New Roman" w:hAnsi="Arial" w:cs="Arial"/>
          <w:b/>
          <w:bCs/>
          <w:smallCaps/>
        </w:rPr>
        <w:br/>
      </w:r>
    </w:p>
    <w:p w:rsidR="00BF4FFF" w:rsidRPr="00ED35E0" w:rsidRDefault="00BF4FFF" w:rsidP="00BF4FFF">
      <w:pPr>
        <w:numPr>
          <w:ilvl w:val="0"/>
          <w:numId w:val="23"/>
        </w:numPr>
        <w:tabs>
          <w:tab w:val="left" w:pos="360"/>
        </w:tabs>
        <w:jc w:val="both"/>
        <w:rPr>
          <w:rFonts w:ascii="Arial" w:eastAsia="Times New Roman" w:hAnsi="Arial" w:cs="Arial"/>
          <w:b/>
          <w:sz w:val="21"/>
          <w:szCs w:val="21"/>
        </w:rPr>
      </w:pPr>
      <w:r w:rsidRPr="00ED35E0">
        <w:rPr>
          <w:rFonts w:ascii="Arial" w:eastAsia="Times New Roman" w:hAnsi="Arial" w:cs="Arial"/>
          <w:b/>
          <w:sz w:val="21"/>
          <w:szCs w:val="21"/>
        </w:rPr>
        <w:t>Información trimestral a 31 de marzo 201</w:t>
      </w:r>
      <w:r w:rsidR="002435F5" w:rsidRPr="00ED35E0">
        <w:rPr>
          <w:rFonts w:ascii="Arial" w:eastAsia="Times New Roman" w:hAnsi="Arial" w:cs="Arial"/>
          <w:b/>
          <w:sz w:val="21"/>
          <w:szCs w:val="21"/>
        </w:rPr>
        <w:t>4</w:t>
      </w:r>
      <w:r w:rsidRPr="00ED35E0">
        <w:rPr>
          <w:rFonts w:ascii="Arial" w:eastAsia="Times New Roman" w:hAnsi="Arial" w:cs="Arial"/>
          <w:b/>
          <w:sz w:val="21"/>
          <w:szCs w:val="21"/>
        </w:rPr>
        <w:t>:</w:t>
      </w:r>
    </w:p>
    <w:p w:rsidR="00E274AA" w:rsidRPr="00ED35E0" w:rsidRDefault="0013210B" w:rsidP="00BF4FFF">
      <w:pPr>
        <w:tabs>
          <w:tab w:val="left" w:pos="360"/>
        </w:tabs>
        <w:jc w:val="center"/>
        <w:rPr>
          <w:rFonts w:ascii="Arial" w:eastAsia="Times New Roman" w:hAnsi="Arial" w:cs="Arial"/>
          <w:sz w:val="21"/>
          <w:szCs w:val="21"/>
        </w:rPr>
      </w:pPr>
      <w:r w:rsidRPr="00ED35E0">
        <w:rPr>
          <w:rFonts w:ascii="Arial" w:eastAsia="Times New Roman" w:hAnsi="Arial" w:cs="Arial"/>
          <w:sz w:val="21"/>
          <w:szCs w:val="21"/>
        </w:rPr>
        <w:t>Miércoles</w:t>
      </w:r>
      <w:r w:rsidR="00BF4FFF" w:rsidRPr="00ED35E0">
        <w:rPr>
          <w:rFonts w:ascii="Arial" w:eastAsia="Times New Roman" w:hAnsi="Arial" w:cs="Arial"/>
          <w:sz w:val="21"/>
          <w:szCs w:val="21"/>
        </w:rPr>
        <w:t xml:space="preserve"> 2</w:t>
      </w:r>
      <w:r w:rsidR="00143FBC" w:rsidRPr="00ED35E0">
        <w:rPr>
          <w:rFonts w:ascii="Arial" w:eastAsia="Times New Roman" w:hAnsi="Arial" w:cs="Arial"/>
          <w:sz w:val="21"/>
          <w:szCs w:val="21"/>
        </w:rPr>
        <w:t>3</w:t>
      </w:r>
      <w:r w:rsidR="00BF4FFF" w:rsidRPr="00ED35E0">
        <w:rPr>
          <w:rFonts w:ascii="Arial" w:eastAsia="Times New Roman" w:hAnsi="Arial" w:cs="Arial"/>
          <w:sz w:val="21"/>
          <w:szCs w:val="21"/>
        </w:rPr>
        <w:t xml:space="preserve"> de abril de 201</w:t>
      </w:r>
      <w:r w:rsidR="002435F5" w:rsidRPr="00ED35E0">
        <w:rPr>
          <w:rFonts w:ascii="Arial" w:eastAsia="Times New Roman" w:hAnsi="Arial" w:cs="Arial"/>
          <w:sz w:val="21"/>
          <w:szCs w:val="21"/>
        </w:rPr>
        <w:t>4</w:t>
      </w:r>
      <w:r w:rsidR="00BF4FFF" w:rsidRPr="00ED35E0">
        <w:rPr>
          <w:rFonts w:ascii="Arial" w:eastAsia="Times New Roman" w:hAnsi="Arial" w:cs="Arial"/>
          <w:sz w:val="21"/>
          <w:szCs w:val="21"/>
        </w:rPr>
        <w:t xml:space="preserve"> después del cierre de la bolsa</w:t>
      </w:r>
    </w:p>
    <w:p w:rsidR="00E274AA" w:rsidRPr="00ED35E0" w:rsidRDefault="00E274AA" w:rsidP="00BF4FFF">
      <w:pPr>
        <w:tabs>
          <w:tab w:val="left" w:pos="360"/>
        </w:tabs>
        <w:jc w:val="center"/>
        <w:rPr>
          <w:rFonts w:ascii="Arial" w:eastAsia="Times New Roman" w:hAnsi="Arial" w:cs="Arial"/>
          <w:sz w:val="21"/>
          <w:szCs w:val="21"/>
        </w:rPr>
      </w:pPr>
    </w:p>
    <w:p w:rsidR="00E274AA" w:rsidRPr="00ED35E0" w:rsidRDefault="00E274AA" w:rsidP="00E274AA">
      <w:pPr>
        <w:numPr>
          <w:ilvl w:val="0"/>
          <w:numId w:val="23"/>
        </w:numPr>
        <w:tabs>
          <w:tab w:val="left" w:pos="360"/>
        </w:tabs>
        <w:jc w:val="both"/>
        <w:rPr>
          <w:rFonts w:ascii="Arial" w:eastAsia="Times New Roman" w:hAnsi="Arial" w:cs="Arial"/>
          <w:b/>
          <w:sz w:val="21"/>
          <w:szCs w:val="21"/>
        </w:rPr>
      </w:pPr>
      <w:r w:rsidRPr="00ED35E0">
        <w:rPr>
          <w:rFonts w:ascii="Arial" w:eastAsia="Times New Roman" w:hAnsi="Arial" w:cs="Arial"/>
          <w:b/>
          <w:sz w:val="21"/>
          <w:szCs w:val="21"/>
        </w:rPr>
        <w:t>Ventas netas y resultados a 30 de junio:</w:t>
      </w:r>
    </w:p>
    <w:p w:rsidR="00E274AA" w:rsidRPr="00ED35E0" w:rsidRDefault="00E274AA" w:rsidP="00E274AA">
      <w:pPr>
        <w:tabs>
          <w:tab w:val="left" w:pos="360"/>
        </w:tabs>
        <w:jc w:val="center"/>
        <w:rPr>
          <w:rFonts w:ascii="Arial" w:eastAsia="Times New Roman" w:hAnsi="Arial" w:cs="Arial"/>
          <w:sz w:val="21"/>
          <w:szCs w:val="21"/>
        </w:rPr>
      </w:pPr>
      <w:r w:rsidRPr="00ED35E0">
        <w:rPr>
          <w:rFonts w:ascii="Arial" w:eastAsia="Times New Roman" w:hAnsi="Arial" w:cs="Arial"/>
          <w:sz w:val="21"/>
          <w:szCs w:val="21"/>
        </w:rPr>
        <w:t>Martes 29 de julio de 2014 antes de la apertura de la bolsa</w:t>
      </w:r>
    </w:p>
    <w:p w:rsidR="00BF4FFF" w:rsidRPr="00ED35E0" w:rsidRDefault="00BF4FFF" w:rsidP="00BF4FFF">
      <w:pPr>
        <w:tabs>
          <w:tab w:val="left" w:pos="360"/>
        </w:tabs>
        <w:jc w:val="center"/>
        <w:rPr>
          <w:rFonts w:ascii="Arial" w:eastAsia="Times New Roman" w:hAnsi="Arial" w:cs="Arial"/>
          <w:sz w:val="21"/>
          <w:szCs w:val="21"/>
        </w:rPr>
      </w:pPr>
    </w:p>
    <w:p w:rsidR="00BF4FFF" w:rsidRPr="00ED35E0" w:rsidRDefault="00BF4FFF" w:rsidP="00BF4FFF">
      <w:pPr>
        <w:tabs>
          <w:tab w:val="left" w:pos="360"/>
        </w:tabs>
        <w:jc w:val="both"/>
        <w:rPr>
          <w:rFonts w:ascii="Arial" w:eastAsia="Times New Roman" w:hAnsi="Arial" w:cs="Arial"/>
          <w:sz w:val="21"/>
          <w:szCs w:val="21"/>
        </w:rPr>
      </w:pPr>
    </w:p>
    <w:p w:rsidR="00BF4FFF" w:rsidRPr="00ED35E0" w:rsidRDefault="00BF4FFF" w:rsidP="00BF4FFF">
      <w:pPr>
        <w:keepNext/>
        <w:tabs>
          <w:tab w:val="left" w:pos="360"/>
        </w:tabs>
        <w:rPr>
          <w:rFonts w:ascii="Verdana" w:eastAsia="Times New Roman" w:hAnsi="Verdana" w:cs="Arial"/>
          <w:b/>
          <w:sz w:val="16"/>
          <w:szCs w:val="16"/>
        </w:rPr>
      </w:pPr>
    </w:p>
    <w:p w:rsidR="00BF4FFF" w:rsidRPr="00ED35E0" w:rsidRDefault="00BF4FFF" w:rsidP="00BF4FFF">
      <w:pPr>
        <w:keepNext/>
        <w:tabs>
          <w:tab w:val="left" w:pos="360"/>
        </w:tabs>
        <w:jc w:val="center"/>
        <w:rPr>
          <w:rFonts w:ascii="Arial" w:hAnsi="Arial" w:cs="Arial"/>
          <w:b/>
          <w:sz w:val="21"/>
        </w:rPr>
      </w:pPr>
      <w:r w:rsidRPr="00ED35E0">
        <w:rPr>
          <w:rFonts w:ascii="Arial" w:hAnsi="Arial" w:cs="Arial"/>
          <w:b/>
          <w:sz w:val="21"/>
        </w:rPr>
        <w:t>ADVERTENCIA</w:t>
      </w:r>
    </w:p>
    <w:p w:rsidR="00BF4FFF" w:rsidRPr="00ED35E0" w:rsidRDefault="00BF4FFF" w:rsidP="00BF4FFF">
      <w:pPr>
        <w:keepNext/>
        <w:tabs>
          <w:tab w:val="left" w:pos="360"/>
        </w:tabs>
        <w:jc w:val="both"/>
        <w:rPr>
          <w:rFonts w:ascii="Verdana" w:hAnsi="Verdana"/>
          <w:sz w:val="16"/>
        </w:rPr>
      </w:pPr>
    </w:p>
    <w:p w:rsidR="00BF4FFF" w:rsidRPr="00ED35E0" w:rsidRDefault="00BF4FFF" w:rsidP="00BF4FFF">
      <w:pPr>
        <w:keepNext/>
        <w:tabs>
          <w:tab w:val="left" w:pos="360"/>
        </w:tabs>
        <w:jc w:val="both"/>
        <w:rPr>
          <w:rFonts w:ascii="Verdana" w:eastAsia="Times New Roman" w:hAnsi="Verdana"/>
        </w:rPr>
      </w:pPr>
      <w:r w:rsidRPr="00ED35E0">
        <w:rPr>
          <w:rFonts w:ascii="Arial" w:hAnsi="Arial" w:cs="Arial"/>
          <w:b/>
          <w:i/>
          <w:iCs/>
          <w:sz w:val="21"/>
        </w:rPr>
        <w:t xml:space="preserve">Este comunicado de prensa no constituye una oferta de venta o la solicitud de oferta de compra de acciones Michelin. Si desea obtener información más detallada acerca de Michelin, por favor consulte los documentos públicos depositados en l’Autorité des marchés financiers, en Francia. Igualmente puede consultarlos en nuestra página web: </w:t>
      </w:r>
      <w:hyperlink r:id="rId8" w:history="1">
        <w:r w:rsidRPr="00ED35E0">
          <w:rPr>
            <w:rFonts w:ascii="Arial" w:hAnsi="Arial" w:cs="Arial"/>
            <w:b/>
            <w:i/>
            <w:iCs/>
            <w:color w:val="0000FF"/>
            <w:sz w:val="21"/>
            <w:u w:val="single"/>
          </w:rPr>
          <w:t>www.michelin.com</w:t>
        </w:r>
      </w:hyperlink>
      <w:r w:rsidRPr="00ED35E0">
        <w:rPr>
          <w:rFonts w:ascii="Arial" w:hAnsi="Arial" w:cs="Arial"/>
          <w:b/>
          <w:i/>
          <w:iCs/>
          <w:sz w:val="21"/>
        </w:rPr>
        <w:t>. Este comunicado puede contener algunas declaraciones de carácter previsional. Si bien la compañía estima que sus declaraciones están basadas en hipótesis razonables a fecha de publicación del documento, éstas están inherentemente sujetas a riesgos e incertidumbres que pueden hacer que haya alguna diferencia entre los resultados reales y aquellos indicados o inducidos en estas declaraciones.</w:t>
      </w:r>
    </w:p>
    <w:p w:rsidR="00541F4C" w:rsidRPr="00ED35E0" w:rsidRDefault="00541F4C" w:rsidP="00FC4CD7">
      <w:pPr>
        <w:pStyle w:val="TextoMichelin"/>
        <w:rPr>
          <w:bCs/>
          <w:lang w:val="es-ES_tradnl" w:bidi="es-ES_tradnl"/>
        </w:rPr>
      </w:pPr>
    </w:p>
    <w:p w:rsidR="005171A9" w:rsidRPr="00ED35E0" w:rsidRDefault="005171A9" w:rsidP="00FC4CD7">
      <w:pPr>
        <w:pStyle w:val="titulocapitulodossier"/>
        <w:rPr>
          <w:rFonts w:ascii="Arial" w:hAnsi="Arial"/>
          <w:bCs/>
          <w:color w:val="808080"/>
          <w:sz w:val="18"/>
          <w:szCs w:val="18"/>
          <w:lang w:val="es-ES_tradnl"/>
        </w:rPr>
      </w:pPr>
    </w:p>
    <w:p w:rsidR="005171A9" w:rsidRPr="00ED35E0" w:rsidRDefault="005171A9" w:rsidP="00FC4CD7">
      <w:pPr>
        <w:pStyle w:val="titulocapitulodossier"/>
        <w:rPr>
          <w:rFonts w:ascii="Arial" w:hAnsi="Arial"/>
          <w:bCs/>
          <w:color w:val="808080"/>
          <w:sz w:val="18"/>
          <w:szCs w:val="18"/>
          <w:lang w:val="es-ES_tradnl"/>
        </w:rPr>
      </w:pPr>
    </w:p>
    <w:p w:rsidR="005171A9" w:rsidRPr="00ED35E0" w:rsidRDefault="005171A9" w:rsidP="00FC4CD7">
      <w:pPr>
        <w:pStyle w:val="titulocapitulodossier"/>
        <w:rPr>
          <w:rFonts w:ascii="Arial" w:hAnsi="Arial"/>
          <w:bCs/>
          <w:color w:val="808080"/>
          <w:sz w:val="18"/>
          <w:szCs w:val="18"/>
          <w:lang w:val="es-ES_tradnl"/>
        </w:rPr>
      </w:pPr>
    </w:p>
    <w:p w:rsidR="001466B0" w:rsidRPr="00ED35E0" w:rsidRDefault="001466B0" w:rsidP="00FC4CD7">
      <w:pPr>
        <w:pStyle w:val="titulocapitulodossier"/>
        <w:rPr>
          <w:rFonts w:ascii="Arial" w:hAnsi="Arial"/>
          <w:bCs/>
          <w:color w:val="808080"/>
          <w:sz w:val="18"/>
          <w:szCs w:val="18"/>
          <w:lang w:val="es-ES_tradnl"/>
        </w:rPr>
      </w:pPr>
    </w:p>
    <w:p w:rsidR="001E5C06" w:rsidRPr="00ED35E0" w:rsidRDefault="001E5C06" w:rsidP="001E5C06">
      <w:pPr>
        <w:jc w:val="both"/>
        <w:rPr>
          <w:i/>
        </w:rPr>
      </w:pPr>
      <w:r w:rsidRPr="00ED35E0">
        <w:rPr>
          <w:i/>
        </w:rPr>
        <w:t xml:space="preserve">La misión de </w:t>
      </w:r>
      <w:r w:rsidRPr="00ED35E0">
        <w:rPr>
          <w:b/>
          <w:i/>
        </w:rPr>
        <w:t>Michelin,</w:t>
      </w:r>
      <w:r w:rsidRPr="00ED35E0">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w:t>
      </w:r>
      <w:r w:rsidR="00BF71D8">
        <w:rPr>
          <w:i/>
        </w:rPr>
        <w:t>111.200</w:t>
      </w:r>
      <w:r w:rsidRPr="00ED35E0">
        <w:rPr>
          <w:i/>
        </w:rPr>
        <w:t xml:space="preserve"> personas en todo el mundo y dispone de 69 centros de producción implantados en 1</w:t>
      </w:r>
      <w:r w:rsidR="00F628BD">
        <w:rPr>
          <w:i/>
        </w:rPr>
        <w:t>6</w:t>
      </w:r>
      <w:bookmarkStart w:id="0" w:name="_GoBack"/>
      <w:bookmarkEnd w:id="0"/>
      <w:r w:rsidRPr="00ED35E0">
        <w:rPr>
          <w:i/>
        </w:rPr>
        <w:t xml:space="preserve"> países diferentes. El Grupo posee un Centro de Tecnología encargado de la investigación y desarrollo con implantación en Europa, América del Norte y Asia. (www.michelin.es).</w:t>
      </w:r>
    </w:p>
    <w:p w:rsidR="001E5C06" w:rsidRPr="00ED35E0" w:rsidRDefault="001E5C06" w:rsidP="001E5C06">
      <w:pPr>
        <w:jc w:val="both"/>
        <w:rPr>
          <w:i/>
        </w:rPr>
      </w:pPr>
    </w:p>
    <w:p w:rsidR="001E5C06" w:rsidRPr="00ED35E0" w:rsidRDefault="001E5C06" w:rsidP="001E5C06">
      <w:pPr>
        <w:jc w:val="both"/>
        <w:rPr>
          <w:i/>
        </w:rPr>
      </w:pPr>
    </w:p>
    <w:p w:rsidR="001E5C06" w:rsidRPr="00ED35E0" w:rsidRDefault="001E5C06" w:rsidP="001E5C06">
      <w:pPr>
        <w:jc w:val="both"/>
        <w:rPr>
          <w:i/>
        </w:rPr>
      </w:pPr>
    </w:p>
    <w:p w:rsidR="001E5C06" w:rsidRPr="00ED35E0" w:rsidRDefault="001E5C06" w:rsidP="001E5C06">
      <w:pPr>
        <w:pStyle w:val="Footer"/>
        <w:outlineLvl w:val="0"/>
        <w:rPr>
          <w:rFonts w:ascii="Arial" w:hAnsi="Arial"/>
          <w:b/>
          <w:bCs/>
          <w:color w:val="808080"/>
          <w:sz w:val="18"/>
          <w:szCs w:val="18"/>
        </w:rPr>
      </w:pPr>
    </w:p>
    <w:p w:rsidR="001E5C06" w:rsidRPr="00ED35E0" w:rsidRDefault="001E5C06" w:rsidP="001E5C06">
      <w:pPr>
        <w:pStyle w:val="Footer"/>
        <w:outlineLvl w:val="0"/>
        <w:rPr>
          <w:rFonts w:ascii="Arial" w:hAnsi="Arial"/>
          <w:b/>
          <w:bCs/>
          <w:color w:val="808080"/>
          <w:sz w:val="18"/>
          <w:szCs w:val="18"/>
        </w:rPr>
      </w:pPr>
    </w:p>
    <w:p w:rsidR="001E5C06" w:rsidRPr="00ED35E0" w:rsidRDefault="001E5C06" w:rsidP="001E5C06">
      <w:pPr>
        <w:pStyle w:val="Footer"/>
        <w:outlineLvl w:val="0"/>
        <w:rPr>
          <w:rFonts w:ascii="Arial" w:hAnsi="Arial"/>
          <w:b/>
          <w:bCs/>
          <w:color w:val="808080"/>
          <w:sz w:val="18"/>
          <w:szCs w:val="18"/>
        </w:rPr>
      </w:pPr>
    </w:p>
    <w:p w:rsidR="001E5C06" w:rsidRPr="00ED35E0" w:rsidRDefault="001E5C06" w:rsidP="001E5C06">
      <w:pPr>
        <w:pStyle w:val="Footer"/>
        <w:outlineLvl w:val="0"/>
        <w:rPr>
          <w:rFonts w:ascii="Arial" w:hAnsi="Arial"/>
          <w:b/>
          <w:bCs/>
          <w:color w:val="808080"/>
          <w:sz w:val="18"/>
          <w:szCs w:val="18"/>
        </w:rPr>
      </w:pPr>
      <w:r w:rsidRPr="00ED35E0">
        <w:rPr>
          <w:rFonts w:ascii="Arial" w:hAnsi="Arial"/>
          <w:b/>
          <w:bCs/>
          <w:color w:val="808080"/>
          <w:sz w:val="18"/>
          <w:szCs w:val="18"/>
        </w:rPr>
        <w:t>DEPARTAMENTO DE COMUNICACIÓN</w:t>
      </w:r>
    </w:p>
    <w:p w:rsidR="001E5C06" w:rsidRPr="00ED35E0" w:rsidRDefault="001E5C06" w:rsidP="001E5C06">
      <w:pPr>
        <w:pStyle w:val="Footer"/>
        <w:outlineLvl w:val="0"/>
        <w:rPr>
          <w:rFonts w:ascii="Arial" w:hAnsi="Arial"/>
          <w:bCs/>
          <w:color w:val="808080"/>
          <w:sz w:val="18"/>
          <w:szCs w:val="18"/>
        </w:rPr>
      </w:pPr>
      <w:r w:rsidRPr="00ED35E0">
        <w:rPr>
          <w:rFonts w:ascii="Arial" w:hAnsi="Arial"/>
          <w:bCs/>
          <w:color w:val="808080"/>
          <w:sz w:val="18"/>
          <w:szCs w:val="18"/>
        </w:rPr>
        <w:t>Avda. de Los Encuartes, 19</w:t>
      </w:r>
    </w:p>
    <w:p w:rsidR="001E5C06" w:rsidRPr="00ED35E0" w:rsidRDefault="001E5C06" w:rsidP="001E5C06">
      <w:pPr>
        <w:pStyle w:val="Footer"/>
        <w:outlineLvl w:val="0"/>
        <w:rPr>
          <w:rFonts w:ascii="Arial" w:hAnsi="Arial"/>
          <w:bCs/>
          <w:color w:val="808080"/>
          <w:sz w:val="18"/>
          <w:szCs w:val="18"/>
        </w:rPr>
      </w:pPr>
      <w:r w:rsidRPr="00ED35E0">
        <w:rPr>
          <w:rFonts w:ascii="Arial" w:hAnsi="Arial"/>
          <w:bCs/>
          <w:color w:val="808080"/>
          <w:sz w:val="18"/>
          <w:szCs w:val="18"/>
        </w:rPr>
        <w:t>28760 Tres Cantos – Madrid – ESPAÑA</w:t>
      </w:r>
    </w:p>
    <w:p w:rsidR="001466B0" w:rsidRPr="00ED35E0" w:rsidRDefault="001E5C06" w:rsidP="0013303A">
      <w:pPr>
        <w:jc w:val="both"/>
        <w:rPr>
          <w:rFonts w:ascii="Arial" w:hAnsi="Arial"/>
          <w:bCs/>
          <w:color w:val="808080"/>
          <w:sz w:val="18"/>
          <w:szCs w:val="18"/>
        </w:rPr>
      </w:pPr>
      <w:r w:rsidRPr="00ED35E0">
        <w:rPr>
          <w:rFonts w:ascii="Arial" w:hAnsi="Arial"/>
          <w:bCs/>
          <w:color w:val="808080"/>
          <w:sz w:val="18"/>
          <w:szCs w:val="18"/>
        </w:rPr>
        <w:t>Tel: 0034 914 105 167 – Fax: 0034 914 105 293</w:t>
      </w:r>
    </w:p>
    <w:sectPr w:rsidR="001466B0" w:rsidRPr="00ED35E0" w:rsidSect="001466B0">
      <w:headerReference w:type="default" r:id="rId9"/>
      <w:footerReference w:type="even" r:id="rId10"/>
      <w:footerReference w:type="default" r:id="rId11"/>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BF" w:rsidRDefault="003F1CBF" w:rsidP="001466B0">
      <w:r>
        <w:separator/>
      </w:r>
    </w:p>
  </w:endnote>
  <w:endnote w:type="continuationSeparator" w:id="0">
    <w:p w:rsidR="003F1CBF" w:rsidRDefault="003F1CBF"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 w:name="Frutiger 45 Light">
    <w:altName w:val="Arial Narrow"/>
    <w:charset w:val="00"/>
    <w:family w:val="swiss"/>
    <w:pitch w:val="variable"/>
    <w:sig w:usb0="80000027" w:usb1="00000000" w:usb2="00000000" w:usb3="00000000" w:csb0="00000001" w:csb1="00000000"/>
  </w:font>
  <w:font w:name="Utopia">
    <w:altName w:val="Bell MT"/>
    <w:charset w:val="00"/>
    <w:family w:val="roman"/>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Verdana"/>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BF" w:rsidRDefault="003F1CBF" w:rsidP="00FC4CD7">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end"/>
    </w:r>
  </w:p>
  <w:p w:rsidR="003F1CBF" w:rsidRDefault="003F1CBF"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BF" w:rsidRDefault="003F1CBF" w:rsidP="00FC4CD7">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separate"/>
    </w:r>
    <w:r w:rsidR="000C2E1C">
      <w:rPr>
        <w:rStyle w:val="PageNumber"/>
        <w:noProof/>
      </w:rPr>
      <w:t>11</w:t>
    </w:r>
    <w:r>
      <w:rPr>
        <w:rStyle w:val="PageNumber"/>
      </w:rPr>
      <w:fldChar w:fldCharType="end"/>
    </w:r>
  </w:p>
  <w:p w:rsidR="003F1CBF" w:rsidRPr="00096802" w:rsidRDefault="003F1CBF" w:rsidP="001A6210">
    <w:pPr>
      <w:pStyle w:val="Footer"/>
      <w:ind w:left="1701"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635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BF" w:rsidRDefault="003F1CBF" w:rsidP="001466B0">
      <w:r>
        <w:separator/>
      </w:r>
    </w:p>
  </w:footnote>
  <w:footnote w:type="continuationSeparator" w:id="0">
    <w:p w:rsidR="003F1CBF" w:rsidRDefault="003F1CBF" w:rsidP="001466B0">
      <w:r>
        <w:continuationSeparator/>
      </w:r>
    </w:p>
  </w:footnote>
  <w:footnote w:id="1">
    <w:p w:rsidR="003F1CBF" w:rsidRDefault="003F1CBF">
      <w:pPr>
        <w:pStyle w:val="FootnoteText"/>
      </w:pPr>
      <w:r w:rsidRPr="00A70E95">
        <w:rPr>
          <w:rStyle w:val="FootnoteReference"/>
          <w:sz w:val="32"/>
        </w:rPr>
        <w:sym w:font="Symbol" w:char="F02A"/>
      </w:r>
      <w:r>
        <w:t xml:space="preserve"> </w:t>
      </w:r>
      <w:r w:rsidRPr="00A70E95">
        <w:rPr>
          <w:rStyle w:val="hps"/>
          <w:sz w:val="16"/>
        </w:rPr>
        <w:t>e</w:t>
      </w:r>
      <w:r>
        <w:rPr>
          <w:rStyle w:val="hps"/>
          <w:sz w:val="16"/>
        </w:rPr>
        <w:t>xpresados en paridades medias de</w:t>
      </w:r>
      <w:r w:rsidRPr="00A70E95">
        <w:rPr>
          <w:rStyle w:val="hps"/>
          <w:sz w:val="16"/>
        </w:rPr>
        <w:t xml:space="preserve"> 2012</w:t>
      </w:r>
      <w:r>
        <w:rPr>
          <w:rStyle w:val="hps"/>
          <w:sz w:val="16"/>
        </w:rPr>
        <w:t>.</w:t>
      </w:r>
    </w:p>
  </w:footnote>
  <w:footnote w:id="2">
    <w:p w:rsidR="003F1CBF" w:rsidRDefault="003F1CBF" w:rsidP="00DD1666">
      <w:pPr>
        <w:pStyle w:val="FootnoteText"/>
      </w:pPr>
      <w:r>
        <w:rPr>
          <w:rStyle w:val="FootnoteReference"/>
        </w:rPr>
        <w:footnoteRef/>
      </w:r>
      <w:r>
        <w:t xml:space="preserve"> </w:t>
      </w:r>
      <w:r w:rsidRPr="00DA5E01">
        <w:rPr>
          <w:rStyle w:val="hps"/>
          <w:sz w:val="16"/>
          <w:lang w:val="es-ES"/>
        </w:rPr>
        <w:t>Cash Flow libre:</w:t>
      </w:r>
      <w:r>
        <w:t xml:space="preserve"> </w:t>
      </w:r>
      <w:r w:rsidRPr="00481429">
        <w:rPr>
          <w:rStyle w:val="hps"/>
          <w:sz w:val="16"/>
          <w:lang w:val="es-ES"/>
        </w:rPr>
        <w:t>Flujo de tesorería en</w:t>
      </w:r>
      <w:r w:rsidRPr="00481429">
        <w:rPr>
          <w:sz w:val="16"/>
          <w:lang w:val="es-ES"/>
        </w:rPr>
        <w:t xml:space="preserve"> </w:t>
      </w:r>
      <w:r w:rsidRPr="00481429">
        <w:rPr>
          <w:rStyle w:val="hps"/>
          <w:sz w:val="16"/>
          <w:lang w:val="es-ES"/>
        </w:rPr>
        <w:t>actividades operativas</w:t>
      </w:r>
      <w:r>
        <w:rPr>
          <w:rStyle w:val="hps"/>
          <w:sz w:val="16"/>
          <w:lang w:val="es-ES"/>
        </w:rPr>
        <w:t xml:space="preserve"> - f</w:t>
      </w:r>
      <w:r w:rsidRPr="00481429">
        <w:rPr>
          <w:rStyle w:val="hps"/>
          <w:sz w:val="16"/>
          <w:lang w:val="es-ES"/>
        </w:rPr>
        <w:t>lujo de tesorería en inversiones</w:t>
      </w:r>
      <w:r w:rsidRPr="00481429">
        <w:rPr>
          <w:sz w:val="16"/>
          <w:lang w:val="es-ES"/>
        </w:rPr>
        <w:t>.</w:t>
      </w:r>
    </w:p>
  </w:footnote>
  <w:footnote w:id="3">
    <w:p w:rsidR="003F1CBF" w:rsidRDefault="003F1CBF" w:rsidP="00DD1666">
      <w:pPr>
        <w:pStyle w:val="FootnoteText"/>
      </w:pPr>
      <w:r w:rsidRPr="005A249D">
        <w:rPr>
          <w:rStyle w:val="hps"/>
          <w:vertAlign w:val="superscript"/>
          <w:lang w:val="es-ES"/>
        </w:rPr>
        <w:footnoteRef/>
      </w:r>
      <w:r w:rsidRPr="005A249D">
        <w:rPr>
          <w:rStyle w:val="hps"/>
          <w:lang w:val="es-ES"/>
        </w:rPr>
        <w:t xml:space="preserve"> </w:t>
      </w:r>
      <w:r w:rsidRPr="005A249D">
        <w:rPr>
          <w:rStyle w:val="hps"/>
          <w:sz w:val="16"/>
          <w:lang w:val="es-ES"/>
        </w:rPr>
        <w:t>Al final del periodo.</w:t>
      </w:r>
    </w:p>
  </w:footnote>
  <w:footnote w:id="4">
    <w:p w:rsidR="003F1CBF" w:rsidRDefault="003F1CBF" w:rsidP="00BF4FFF">
      <w:pPr>
        <w:pStyle w:val="FootnoteText"/>
      </w:pPr>
      <w:r w:rsidRPr="00AB13DC">
        <w:rPr>
          <w:rStyle w:val="FootnoteReference"/>
          <w:sz w:val="32"/>
        </w:rPr>
        <w:sym w:font="Symbol" w:char="F02A"/>
      </w:r>
      <w:r w:rsidRPr="00AB13DC">
        <w:rPr>
          <w:sz w:val="32"/>
        </w:rPr>
        <w:t xml:space="preserve"> </w:t>
      </w:r>
      <w:r w:rsidRPr="00481429">
        <w:rPr>
          <w:sz w:val="16"/>
        </w:rPr>
        <w:t>Incluyendo Rusia y Turquía</w:t>
      </w:r>
      <w:r>
        <w:rPr>
          <w:sz w:val="16"/>
        </w:rPr>
        <w:t>.</w:t>
      </w:r>
    </w:p>
  </w:footnote>
  <w:footnote w:id="5">
    <w:p w:rsidR="003F1CBF" w:rsidRDefault="003F1CBF" w:rsidP="00BF4FFF">
      <w:pPr>
        <w:pStyle w:val="FootnoteText"/>
      </w:pPr>
    </w:p>
  </w:footnote>
  <w:footnote w:id="6">
    <w:p w:rsidR="003F1CBF" w:rsidRDefault="003F1CBF" w:rsidP="00BF4FFF">
      <w:pPr>
        <w:pStyle w:val="FootnoteText"/>
      </w:pPr>
      <w:r w:rsidRPr="00E559A3">
        <w:rPr>
          <w:sz w:val="30"/>
          <w:vertAlign w:val="superscript"/>
        </w:rPr>
        <w:sym w:font="Symbol" w:char="F02A"/>
      </w:r>
      <w:r w:rsidRPr="00E559A3">
        <w:rPr>
          <w:sz w:val="30"/>
        </w:rPr>
        <w:t xml:space="preserve"> </w:t>
      </w:r>
      <w:r>
        <w:rPr>
          <w:sz w:val="16"/>
        </w:rPr>
        <w:t>Mercado radial únicamente.</w:t>
      </w:r>
      <w:r>
        <w:rPr>
          <w:sz w:val="16"/>
        </w:rPr>
        <w:br/>
      </w:r>
      <w:r w:rsidRPr="00E559A3">
        <w:rPr>
          <w:sz w:val="30"/>
          <w:vertAlign w:val="superscript"/>
        </w:rPr>
        <w:sym w:font="Symbol" w:char="F02A"/>
      </w:r>
      <w:r w:rsidRPr="00E559A3">
        <w:rPr>
          <w:sz w:val="30"/>
          <w:vertAlign w:val="superscript"/>
        </w:rPr>
        <w:sym w:font="Symbol" w:char="F02A"/>
      </w:r>
      <w:r w:rsidRPr="00DF5AB1">
        <w:rPr>
          <w:sz w:val="20"/>
          <w:vertAlign w:val="superscript"/>
        </w:rPr>
        <w:t xml:space="preserve"> </w:t>
      </w:r>
      <w:r w:rsidRPr="00481429">
        <w:rPr>
          <w:sz w:val="16"/>
        </w:rPr>
        <w:t>Incluyendo Rusia y Turquía</w:t>
      </w:r>
      <w:r>
        <w:rPr>
          <w:sz w:val="16"/>
        </w:rPr>
        <w:t>.</w:t>
      </w:r>
    </w:p>
  </w:footnote>
  <w:footnote w:id="7">
    <w:p w:rsidR="003F1CBF" w:rsidRDefault="003F1CBF" w:rsidP="00BF4FFF">
      <w:pPr>
        <w:pStyle w:val="FootnoteText"/>
      </w:pPr>
    </w:p>
  </w:footnote>
  <w:footnote w:id="8">
    <w:p w:rsidR="003F1CBF" w:rsidRDefault="003F1CBF" w:rsidP="00BF4FFF">
      <w:pPr>
        <w:pStyle w:val="FootnoteText"/>
      </w:pPr>
    </w:p>
  </w:footnote>
  <w:footnote w:id="9">
    <w:p w:rsidR="003F1CBF" w:rsidRDefault="003F1CBF" w:rsidP="00BF4FFF">
      <w:pPr>
        <w:pStyle w:val="FootnoteText"/>
      </w:pPr>
      <w:r w:rsidRPr="00E559A3">
        <w:rPr>
          <w:sz w:val="30"/>
          <w:vertAlign w:val="superscript"/>
        </w:rPr>
        <w:sym w:font="Symbol" w:char="F02A"/>
      </w:r>
      <w:r w:rsidRPr="00E559A3">
        <w:rPr>
          <w:sz w:val="30"/>
        </w:rPr>
        <w:t xml:space="preserve"> </w:t>
      </w:r>
      <w:r>
        <w:rPr>
          <w:sz w:val="16"/>
        </w:rPr>
        <w:t>Mercado radial únicamente.</w:t>
      </w:r>
      <w:r>
        <w:rPr>
          <w:sz w:val="16"/>
        </w:rPr>
        <w:br/>
      </w:r>
      <w:r w:rsidRPr="00E559A3">
        <w:rPr>
          <w:sz w:val="30"/>
          <w:vertAlign w:val="superscript"/>
        </w:rPr>
        <w:sym w:font="Symbol" w:char="F02A"/>
      </w:r>
      <w:r w:rsidRPr="00E559A3">
        <w:rPr>
          <w:sz w:val="30"/>
          <w:vertAlign w:val="superscript"/>
        </w:rPr>
        <w:sym w:font="Symbol" w:char="F02A"/>
      </w:r>
      <w:r w:rsidRPr="00DF5AB1">
        <w:rPr>
          <w:sz w:val="20"/>
          <w:vertAlign w:val="superscript"/>
        </w:rPr>
        <w:t xml:space="preserve"> </w:t>
      </w:r>
      <w:r w:rsidRPr="00481429">
        <w:rPr>
          <w:sz w:val="16"/>
        </w:rPr>
        <w:t>Incluyendo Rusia y Turquía</w:t>
      </w:r>
      <w:r>
        <w:rPr>
          <w:sz w:val="16"/>
        </w:rPr>
        <w:t>.</w:t>
      </w:r>
    </w:p>
  </w:footnote>
  <w:footnote w:id="10">
    <w:p w:rsidR="003F1CBF" w:rsidRDefault="003F1CBF" w:rsidP="00BF4FFF">
      <w:pPr>
        <w:pStyle w:val="FootnoteText"/>
      </w:pPr>
    </w:p>
  </w:footnote>
  <w:footnote w:id="11">
    <w:p w:rsidR="003F1CBF" w:rsidRDefault="003F1CBF" w:rsidP="00BF4FFF">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BF" w:rsidRDefault="003F1CBF">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E0D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2"/>
    <w:multiLevelType w:val="multilevel"/>
    <w:tmpl w:val="894EE884"/>
    <w:lvl w:ilvl="0">
      <w:start w:val="1"/>
      <w:numFmt w:val="bullet"/>
      <w:lvlText w:val="•"/>
      <w:lvlJc w:val="left"/>
      <w:pPr>
        <w:tabs>
          <w:tab w:val="num" w:pos="282"/>
        </w:tabs>
        <w:ind w:left="282" w:firstLine="426"/>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BC5C6D"/>
    <w:multiLevelType w:val="hybridMultilevel"/>
    <w:tmpl w:val="80D03DF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Symbo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Symbo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0C54104"/>
    <w:multiLevelType w:val="multilevel"/>
    <w:tmpl w:val="B9ACB336"/>
    <w:lvl w:ilvl="0">
      <w:start w:val="1"/>
      <w:numFmt w:val="bullet"/>
      <w:lvlText w:val=""/>
      <w:lvlJc w:val="left"/>
      <w:pPr>
        <w:tabs>
          <w:tab w:val="num" w:pos="360"/>
        </w:tabs>
        <w:ind w:left="360" w:hanging="360"/>
      </w:pPr>
      <w:rPr>
        <w:rFonts w:ascii="Wingdings" w:hAnsi="Wingdings" w:cs="Arial Unicode MS" w:hint="default"/>
      </w:rPr>
    </w:lvl>
    <w:lvl w:ilvl="1">
      <w:start w:val="1"/>
      <w:numFmt w:val="bullet"/>
      <w:lvlText w:val="o"/>
      <w:lvlJc w:val="left"/>
      <w:pPr>
        <w:tabs>
          <w:tab w:val="num" w:pos="1353"/>
        </w:tabs>
        <w:ind w:left="1353"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E17814"/>
    <w:multiLevelType w:val="hybridMultilevel"/>
    <w:tmpl w:val="7C4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D26DE"/>
    <w:multiLevelType w:val="hybridMultilevel"/>
    <w:tmpl w:val="8340B5B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Symbol"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Symbol"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Symbol"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nsid w:val="08427172"/>
    <w:multiLevelType w:val="hybridMultilevel"/>
    <w:tmpl w:val="EDE4CA4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9">
    <w:nsid w:val="0A685B57"/>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5AE7A75"/>
    <w:multiLevelType w:val="hybridMultilevel"/>
    <w:tmpl w:val="78F60AA4"/>
    <w:lvl w:ilvl="0" w:tplc="04090005">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19CA036E"/>
    <w:multiLevelType w:val="hybridMultilevel"/>
    <w:tmpl w:val="961418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A4632"/>
    <w:multiLevelType w:val="hybridMultilevel"/>
    <w:tmpl w:val="517C87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7E54A1"/>
    <w:multiLevelType w:val="hybridMultilevel"/>
    <w:tmpl w:val="D2A82B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05C63A1"/>
    <w:multiLevelType w:val="hybridMultilevel"/>
    <w:tmpl w:val="C0C4C3A6"/>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34B545B3"/>
    <w:multiLevelType w:val="multilevel"/>
    <w:tmpl w:val="5AC84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6644F95"/>
    <w:multiLevelType w:val="hybridMultilevel"/>
    <w:tmpl w:val="4B10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0BFD"/>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86E1608"/>
    <w:multiLevelType w:val="multilevel"/>
    <w:tmpl w:val="D360CA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Unicode M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Unicode MS"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BAF4203"/>
    <w:multiLevelType w:val="hybridMultilevel"/>
    <w:tmpl w:val="6C1C0C0C"/>
    <w:lvl w:ilvl="0" w:tplc="04090003">
      <w:start w:val="1"/>
      <w:numFmt w:val="bullet"/>
      <w:lvlText w:val="o"/>
      <w:lvlJc w:val="left"/>
      <w:pPr>
        <w:ind w:left="360" w:hanging="360"/>
      </w:pPr>
      <w:rPr>
        <w:rFonts w:ascii="Courier New" w:hAnsi="Courier New" w:hint="default"/>
        <w:sz w:val="26"/>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Unicode M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Unicode M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4CE12045"/>
    <w:multiLevelType w:val="multilevel"/>
    <w:tmpl w:val="1A405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DD93FD6"/>
    <w:multiLevelType w:val="hybridMultilevel"/>
    <w:tmpl w:val="F8267B82"/>
    <w:lvl w:ilvl="0" w:tplc="E5D0F60E">
      <w:start w:val="1"/>
      <w:numFmt w:val="bullet"/>
      <w:lvlText w:val=""/>
      <w:lvlJc w:val="left"/>
      <w:pPr>
        <w:tabs>
          <w:tab w:val="num" w:pos="360"/>
        </w:tabs>
        <w:ind w:left="360" w:hanging="360"/>
      </w:pPr>
      <w:rPr>
        <w:rFonts w:ascii="Wingdings" w:hAnsi="Wingdings" w:hint="default"/>
        <w:sz w:val="26"/>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Unicode M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Unicode M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3CB4B02"/>
    <w:multiLevelType w:val="multilevel"/>
    <w:tmpl w:val="F8267B82"/>
    <w:lvl w:ilvl="0">
      <w:start w:val="1"/>
      <w:numFmt w:val="bullet"/>
      <w:lvlText w:val=""/>
      <w:lvlJc w:val="left"/>
      <w:pPr>
        <w:tabs>
          <w:tab w:val="num" w:pos="360"/>
        </w:tabs>
        <w:ind w:left="360" w:hanging="360"/>
      </w:pPr>
      <w:rPr>
        <w:rFonts w:ascii="Wingdings" w:hAnsi="Wingdings" w:hint="default"/>
        <w:sz w:val="2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Unicode M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Unicode MS"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3E822BE"/>
    <w:multiLevelType w:val="hybridMultilevel"/>
    <w:tmpl w:val="1DE2C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9E1330"/>
    <w:multiLevelType w:val="hybridMultilevel"/>
    <w:tmpl w:val="B9ACB336"/>
    <w:lvl w:ilvl="0" w:tplc="E8220E3E">
      <w:start w:val="1"/>
      <w:numFmt w:val="bullet"/>
      <w:pStyle w:val="List2"/>
      <w:lvlText w:val=""/>
      <w:lvlJc w:val="left"/>
      <w:pPr>
        <w:tabs>
          <w:tab w:val="num" w:pos="360"/>
        </w:tabs>
        <w:ind w:left="360" w:hanging="360"/>
      </w:pPr>
      <w:rPr>
        <w:rFonts w:ascii="Wingdings" w:hAnsi="Wingdings" w:cs="Arial Unicode MS" w:hint="default"/>
      </w:rPr>
    </w:lvl>
    <w:lvl w:ilvl="1" w:tplc="040C0003">
      <w:start w:val="1"/>
      <w:numFmt w:val="bullet"/>
      <w:lvlText w:val="o"/>
      <w:lvlJc w:val="left"/>
      <w:pPr>
        <w:tabs>
          <w:tab w:val="num" w:pos="1353"/>
        </w:tabs>
        <w:ind w:left="1353"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A840D5A"/>
    <w:multiLevelType w:val="hybridMultilevel"/>
    <w:tmpl w:val="AE7A1F10"/>
    <w:lvl w:ilvl="0" w:tplc="000B04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0433C1"/>
    <w:multiLevelType w:val="hybridMultilevel"/>
    <w:tmpl w:val="6C9E5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F0B78"/>
    <w:multiLevelType w:val="hybridMultilevel"/>
    <w:tmpl w:val="9D44D6C4"/>
    <w:lvl w:ilvl="0" w:tplc="6D583218">
      <w:start w:val="1"/>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9708A"/>
    <w:multiLevelType w:val="hybridMultilevel"/>
    <w:tmpl w:val="5E74E388"/>
    <w:lvl w:ilvl="0" w:tplc="0A6AFBA8">
      <w:start w:val="1"/>
      <w:numFmt w:val="bullet"/>
      <w:lvlText w:val="o"/>
      <w:lvlJc w:val="left"/>
      <w:pPr>
        <w:tabs>
          <w:tab w:val="num" w:pos="1353"/>
        </w:tabs>
        <w:ind w:left="1353"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978F0"/>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B280744"/>
    <w:multiLevelType w:val="multilevel"/>
    <w:tmpl w:val="1A405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D366597"/>
    <w:multiLevelType w:val="hybridMultilevel"/>
    <w:tmpl w:val="56CAE766"/>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3">
    <w:nsid w:val="7DD52932"/>
    <w:multiLevelType w:val="hybridMultilevel"/>
    <w:tmpl w:val="55704128"/>
    <w:lvl w:ilvl="0" w:tplc="FFFFFFFF">
      <w:start w:val="1"/>
      <w:numFmt w:val="bullet"/>
      <w:pStyle w:val="Bulletpoint"/>
      <w:lvlText w:val=""/>
      <w:lvlJc w:val="left"/>
      <w:pPr>
        <w:tabs>
          <w:tab w:val="num" w:pos="284"/>
        </w:tabs>
        <w:ind w:left="0" w:firstLine="0"/>
      </w:pPr>
      <w:rPr>
        <w:rFonts w:ascii="Wingdings" w:hAnsi="Wingdings" w:hint="default"/>
        <w:color w:val="33339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2"/>
  </w:num>
  <w:num w:numId="4">
    <w:abstractNumId w:val="8"/>
  </w:num>
  <w:num w:numId="5">
    <w:abstractNumId w:val="22"/>
  </w:num>
  <w:num w:numId="6">
    <w:abstractNumId w:val="33"/>
  </w:num>
  <w:num w:numId="7">
    <w:abstractNumId w:val="25"/>
  </w:num>
  <w:num w:numId="8">
    <w:abstractNumId w:val="6"/>
  </w:num>
  <w:num w:numId="9">
    <w:abstractNumId w:val="3"/>
  </w:num>
  <w:num w:numId="10">
    <w:abstractNumId w:val="1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9"/>
  </w:num>
  <w:num w:numId="19">
    <w:abstractNumId w:val="15"/>
  </w:num>
  <w:num w:numId="20">
    <w:abstractNumId w:val="30"/>
  </w:num>
  <w:num w:numId="21">
    <w:abstractNumId w:val="18"/>
  </w:num>
  <w:num w:numId="22">
    <w:abstractNumId w:val="9"/>
  </w:num>
  <w:num w:numId="23">
    <w:abstractNumId w:val="26"/>
  </w:num>
  <w:num w:numId="24">
    <w:abstractNumId w:val="7"/>
  </w:num>
  <w:num w:numId="25">
    <w:abstractNumId w:val="10"/>
  </w:num>
  <w:num w:numId="26">
    <w:abstractNumId w:val="19"/>
  </w:num>
  <w:num w:numId="27">
    <w:abstractNumId w:val="28"/>
  </w:num>
  <w:num w:numId="28">
    <w:abstractNumId w:val="31"/>
  </w:num>
  <w:num w:numId="29">
    <w:abstractNumId w:val="21"/>
  </w:num>
  <w:num w:numId="30">
    <w:abstractNumId w:val="14"/>
  </w:num>
  <w:num w:numId="31">
    <w:abstractNumId w:val="11"/>
  </w:num>
  <w:num w:numId="32">
    <w:abstractNumId w:val="1"/>
  </w:num>
  <w:num w:numId="33">
    <w:abstractNumId w:val="2"/>
  </w:num>
  <w:num w:numId="34">
    <w:abstractNumId w:val="5"/>
  </w:num>
  <w:num w:numId="35">
    <w:abstractNumId w:val="17"/>
  </w:num>
  <w:num w:numId="36">
    <w:abstractNumId w:val="27"/>
  </w:num>
  <w:num w:numId="37">
    <w:abstractNumId w:val="23"/>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EF7CBB"/>
    <w:rsid w:val="00001E9C"/>
    <w:rsid w:val="00007A97"/>
    <w:rsid w:val="00010FA2"/>
    <w:rsid w:val="00012D10"/>
    <w:rsid w:val="00015E4A"/>
    <w:rsid w:val="0002104F"/>
    <w:rsid w:val="00030FE9"/>
    <w:rsid w:val="000339DF"/>
    <w:rsid w:val="00036817"/>
    <w:rsid w:val="00041DD1"/>
    <w:rsid w:val="0004396E"/>
    <w:rsid w:val="00056DF4"/>
    <w:rsid w:val="00057819"/>
    <w:rsid w:val="00060D6B"/>
    <w:rsid w:val="00061551"/>
    <w:rsid w:val="00073B67"/>
    <w:rsid w:val="0007577E"/>
    <w:rsid w:val="00081F13"/>
    <w:rsid w:val="00085B56"/>
    <w:rsid w:val="000949CF"/>
    <w:rsid w:val="000A5A59"/>
    <w:rsid w:val="000B10AC"/>
    <w:rsid w:val="000C1DE8"/>
    <w:rsid w:val="000C2E1C"/>
    <w:rsid w:val="000C34E6"/>
    <w:rsid w:val="000E1929"/>
    <w:rsid w:val="000E197B"/>
    <w:rsid w:val="000E462D"/>
    <w:rsid w:val="000F1411"/>
    <w:rsid w:val="000F7BDA"/>
    <w:rsid w:val="00107C3F"/>
    <w:rsid w:val="0011004E"/>
    <w:rsid w:val="00125C05"/>
    <w:rsid w:val="00127A86"/>
    <w:rsid w:val="0013210B"/>
    <w:rsid w:val="0013303A"/>
    <w:rsid w:val="00135B6F"/>
    <w:rsid w:val="00143FBC"/>
    <w:rsid w:val="001466B0"/>
    <w:rsid w:val="001526CD"/>
    <w:rsid w:val="00166F6B"/>
    <w:rsid w:val="00173468"/>
    <w:rsid w:val="0017399C"/>
    <w:rsid w:val="00181433"/>
    <w:rsid w:val="00185869"/>
    <w:rsid w:val="0019532C"/>
    <w:rsid w:val="00195E54"/>
    <w:rsid w:val="00196C7B"/>
    <w:rsid w:val="00197887"/>
    <w:rsid w:val="001A2763"/>
    <w:rsid w:val="001A6210"/>
    <w:rsid w:val="001B0142"/>
    <w:rsid w:val="001C76EB"/>
    <w:rsid w:val="001E0A40"/>
    <w:rsid w:val="001E1DF7"/>
    <w:rsid w:val="001E3003"/>
    <w:rsid w:val="001E3147"/>
    <w:rsid w:val="001E5C06"/>
    <w:rsid w:val="00202ACD"/>
    <w:rsid w:val="00205B8A"/>
    <w:rsid w:val="00210022"/>
    <w:rsid w:val="00215F02"/>
    <w:rsid w:val="0022106F"/>
    <w:rsid w:val="002212B2"/>
    <w:rsid w:val="0022145A"/>
    <w:rsid w:val="00223CDE"/>
    <w:rsid w:val="0023135F"/>
    <w:rsid w:val="002318E6"/>
    <w:rsid w:val="002420FF"/>
    <w:rsid w:val="00243244"/>
    <w:rsid w:val="002432E8"/>
    <w:rsid w:val="002435F5"/>
    <w:rsid w:val="00245B87"/>
    <w:rsid w:val="00246E8B"/>
    <w:rsid w:val="00250B55"/>
    <w:rsid w:val="00256A87"/>
    <w:rsid w:val="002725F7"/>
    <w:rsid w:val="00272615"/>
    <w:rsid w:val="00280E2F"/>
    <w:rsid w:val="0028355D"/>
    <w:rsid w:val="002854B0"/>
    <w:rsid w:val="002935CF"/>
    <w:rsid w:val="002A6E7D"/>
    <w:rsid w:val="002B5DDB"/>
    <w:rsid w:val="002B6C8F"/>
    <w:rsid w:val="002C158D"/>
    <w:rsid w:val="002D6DAE"/>
    <w:rsid w:val="002D7E0A"/>
    <w:rsid w:val="002E1BDB"/>
    <w:rsid w:val="002E24D1"/>
    <w:rsid w:val="002E5CDD"/>
    <w:rsid w:val="002F41C9"/>
    <w:rsid w:val="002F43CF"/>
    <w:rsid w:val="00302A35"/>
    <w:rsid w:val="00304CDE"/>
    <w:rsid w:val="00314675"/>
    <w:rsid w:val="00317EA3"/>
    <w:rsid w:val="0032029D"/>
    <w:rsid w:val="003202C1"/>
    <w:rsid w:val="0032791B"/>
    <w:rsid w:val="00340AC0"/>
    <w:rsid w:val="003420AB"/>
    <w:rsid w:val="003424E0"/>
    <w:rsid w:val="00347230"/>
    <w:rsid w:val="00353ABD"/>
    <w:rsid w:val="00354077"/>
    <w:rsid w:val="00354ACF"/>
    <w:rsid w:val="00360759"/>
    <w:rsid w:val="003624A0"/>
    <w:rsid w:val="0036426F"/>
    <w:rsid w:val="00370007"/>
    <w:rsid w:val="003861B4"/>
    <w:rsid w:val="00386567"/>
    <w:rsid w:val="003A709E"/>
    <w:rsid w:val="003B5B09"/>
    <w:rsid w:val="003B75A5"/>
    <w:rsid w:val="003B7AE2"/>
    <w:rsid w:val="003B7BF4"/>
    <w:rsid w:val="003B7C02"/>
    <w:rsid w:val="003C2BAB"/>
    <w:rsid w:val="003C77E2"/>
    <w:rsid w:val="003E244C"/>
    <w:rsid w:val="003E5696"/>
    <w:rsid w:val="003F097D"/>
    <w:rsid w:val="003F1CBF"/>
    <w:rsid w:val="00420FD2"/>
    <w:rsid w:val="00424758"/>
    <w:rsid w:val="00426890"/>
    <w:rsid w:val="00444E3F"/>
    <w:rsid w:val="00444F58"/>
    <w:rsid w:val="00445219"/>
    <w:rsid w:val="00451A2C"/>
    <w:rsid w:val="0045220E"/>
    <w:rsid w:val="004541F0"/>
    <w:rsid w:val="004612EF"/>
    <w:rsid w:val="004624C7"/>
    <w:rsid w:val="00465682"/>
    <w:rsid w:val="00474C06"/>
    <w:rsid w:val="004846D5"/>
    <w:rsid w:val="00485325"/>
    <w:rsid w:val="004931C4"/>
    <w:rsid w:val="00495746"/>
    <w:rsid w:val="004A4F03"/>
    <w:rsid w:val="004C0F69"/>
    <w:rsid w:val="004C25AB"/>
    <w:rsid w:val="004D5DCF"/>
    <w:rsid w:val="004D6F34"/>
    <w:rsid w:val="004D7256"/>
    <w:rsid w:val="004E3B20"/>
    <w:rsid w:val="004E71D5"/>
    <w:rsid w:val="004F197A"/>
    <w:rsid w:val="0051462D"/>
    <w:rsid w:val="005171A9"/>
    <w:rsid w:val="00527504"/>
    <w:rsid w:val="00541F4C"/>
    <w:rsid w:val="00544757"/>
    <w:rsid w:val="00544834"/>
    <w:rsid w:val="005575F9"/>
    <w:rsid w:val="0056033E"/>
    <w:rsid w:val="00585178"/>
    <w:rsid w:val="0059597C"/>
    <w:rsid w:val="00597649"/>
    <w:rsid w:val="005A3068"/>
    <w:rsid w:val="005A33C5"/>
    <w:rsid w:val="005A6799"/>
    <w:rsid w:val="005B5875"/>
    <w:rsid w:val="005C0422"/>
    <w:rsid w:val="005C29EF"/>
    <w:rsid w:val="005C58BB"/>
    <w:rsid w:val="005D6908"/>
    <w:rsid w:val="005D7AE3"/>
    <w:rsid w:val="005E008B"/>
    <w:rsid w:val="005E0994"/>
    <w:rsid w:val="005E306E"/>
    <w:rsid w:val="005F7D53"/>
    <w:rsid w:val="00613A67"/>
    <w:rsid w:val="00614F2A"/>
    <w:rsid w:val="00626C26"/>
    <w:rsid w:val="00632CF5"/>
    <w:rsid w:val="006408A4"/>
    <w:rsid w:val="006678D2"/>
    <w:rsid w:val="00667ACA"/>
    <w:rsid w:val="00673D68"/>
    <w:rsid w:val="006748AD"/>
    <w:rsid w:val="0067572B"/>
    <w:rsid w:val="00684C91"/>
    <w:rsid w:val="00692C86"/>
    <w:rsid w:val="0069466D"/>
    <w:rsid w:val="00695481"/>
    <w:rsid w:val="00697D71"/>
    <w:rsid w:val="006A065B"/>
    <w:rsid w:val="006A574B"/>
    <w:rsid w:val="006C21B6"/>
    <w:rsid w:val="006C5630"/>
    <w:rsid w:val="006C6F4F"/>
    <w:rsid w:val="006C75FE"/>
    <w:rsid w:val="006D2E90"/>
    <w:rsid w:val="006D3988"/>
    <w:rsid w:val="006D3E3E"/>
    <w:rsid w:val="006E3A8B"/>
    <w:rsid w:val="006F2092"/>
    <w:rsid w:val="006F6A50"/>
    <w:rsid w:val="00702659"/>
    <w:rsid w:val="00703CEA"/>
    <w:rsid w:val="00705CDE"/>
    <w:rsid w:val="007100DA"/>
    <w:rsid w:val="00737803"/>
    <w:rsid w:val="007426BD"/>
    <w:rsid w:val="007513F8"/>
    <w:rsid w:val="007536A9"/>
    <w:rsid w:val="00762935"/>
    <w:rsid w:val="007649D5"/>
    <w:rsid w:val="007665E7"/>
    <w:rsid w:val="007712BC"/>
    <w:rsid w:val="00777785"/>
    <w:rsid w:val="00785613"/>
    <w:rsid w:val="0079020E"/>
    <w:rsid w:val="007943C4"/>
    <w:rsid w:val="00795FF8"/>
    <w:rsid w:val="007A17D2"/>
    <w:rsid w:val="007A4C1F"/>
    <w:rsid w:val="007B0358"/>
    <w:rsid w:val="007B2378"/>
    <w:rsid w:val="007B44FB"/>
    <w:rsid w:val="007B6199"/>
    <w:rsid w:val="007C6697"/>
    <w:rsid w:val="007D559C"/>
    <w:rsid w:val="007D75A7"/>
    <w:rsid w:val="007F3442"/>
    <w:rsid w:val="007F46A3"/>
    <w:rsid w:val="007F596B"/>
    <w:rsid w:val="00811AFC"/>
    <w:rsid w:val="00815D5C"/>
    <w:rsid w:val="00833107"/>
    <w:rsid w:val="00836DB3"/>
    <w:rsid w:val="008501F6"/>
    <w:rsid w:val="00855CA4"/>
    <w:rsid w:val="008602B5"/>
    <w:rsid w:val="00867D3B"/>
    <w:rsid w:val="00875FF3"/>
    <w:rsid w:val="00892CBE"/>
    <w:rsid w:val="00895D5A"/>
    <w:rsid w:val="00897599"/>
    <w:rsid w:val="008B152B"/>
    <w:rsid w:val="008D0B48"/>
    <w:rsid w:val="008D5BA0"/>
    <w:rsid w:val="008F1D3E"/>
    <w:rsid w:val="008F1DE9"/>
    <w:rsid w:val="008F351D"/>
    <w:rsid w:val="008F740D"/>
    <w:rsid w:val="00902480"/>
    <w:rsid w:val="009026F0"/>
    <w:rsid w:val="00917FBC"/>
    <w:rsid w:val="00934029"/>
    <w:rsid w:val="00940315"/>
    <w:rsid w:val="00940D8D"/>
    <w:rsid w:val="00946635"/>
    <w:rsid w:val="00952713"/>
    <w:rsid w:val="00962600"/>
    <w:rsid w:val="009649E1"/>
    <w:rsid w:val="00966434"/>
    <w:rsid w:val="009668B7"/>
    <w:rsid w:val="00972244"/>
    <w:rsid w:val="00972F65"/>
    <w:rsid w:val="00986CF5"/>
    <w:rsid w:val="00992DF0"/>
    <w:rsid w:val="009A15E2"/>
    <w:rsid w:val="009A3FF9"/>
    <w:rsid w:val="009B0252"/>
    <w:rsid w:val="009B3FDB"/>
    <w:rsid w:val="009B4499"/>
    <w:rsid w:val="009B4B18"/>
    <w:rsid w:val="009B77E5"/>
    <w:rsid w:val="009C1B89"/>
    <w:rsid w:val="009C48BF"/>
    <w:rsid w:val="009D0195"/>
    <w:rsid w:val="009D2BB3"/>
    <w:rsid w:val="009D367D"/>
    <w:rsid w:val="009D4587"/>
    <w:rsid w:val="009D7626"/>
    <w:rsid w:val="009E37B8"/>
    <w:rsid w:val="009E489C"/>
    <w:rsid w:val="009E4A28"/>
    <w:rsid w:val="009E4FF9"/>
    <w:rsid w:val="009F3E26"/>
    <w:rsid w:val="00A01AEF"/>
    <w:rsid w:val="00A03A11"/>
    <w:rsid w:val="00A32B12"/>
    <w:rsid w:val="00A506C1"/>
    <w:rsid w:val="00A52787"/>
    <w:rsid w:val="00A5568E"/>
    <w:rsid w:val="00A6049F"/>
    <w:rsid w:val="00A64967"/>
    <w:rsid w:val="00A70E95"/>
    <w:rsid w:val="00A73BBE"/>
    <w:rsid w:val="00A84066"/>
    <w:rsid w:val="00A85D5E"/>
    <w:rsid w:val="00A923DC"/>
    <w:rsid w:val="00A94322"/>
    <w:rsid w:val="00AA0EF8"/>
    <w:rsid w:val="00AB0969"/>
    <w:rsid w:val="00AB154E"/>
    <w:rsid w:val="00AB2B46"/>
    <w:rsid w:val="00AB6D7C"/>
    <w:rsid w:val="00AC13EE"/>
    <w:rsid w:val="00AC73F4"/>
    <w:rsid w:val="00AE4CC0"/>
    <w:rsid w:val="00B1126D"/>
    <w:rsid w:val="00B1212B"/>
    <w:rsid w:val="00B121CD"/>
    <w:rsid w:val="00B15D59"/>
    <w:rsid w:val="00B16D65"/>
    <w:rsid w:val="00B2623F"/>
    <w:rsid w:val="00B340A4"/>
    <w:rsid w:val="00B400C9"/>
    <w:rsid w:val="00B43C7A"/>
    <w:rsid w:val="00B527E0"/>
    <w:rsid w:val="00B52AD8"/>
    <w:rsid w:val="00B54BBF"/>
    <w:rsid w:val="00B6296F"/>
    <w:rsid w:val="00B72315"/>
    <w:rsid w:val="00B7758D"/>
    <w:rsid w:val="00B817C2"/>
    <w:rsid w:val="00BA6173"/>
    <w:rsid w:val="00BA6381"/>
    <w:rsid w:val="00BB21DF"/>
    <w:rsid w:val="00BC1834"/>
    <w:rsid w:val="00BD2986"/>
    <w:rsid w:val="00BD2C23"/>
    <w:rsid w:val="00BE0BF8"/>
    <w:rsid w:val="00BF0A95"/>
    <w:rsid w:val="00BF4FFF"/>
    <w:rsid w:val="00BF71D8"/>
    <w:rsid w:val="00BF7F71"/>
    <w:rsid w:val="00C0602A"/>
    <w:rsid w:val="00C07354"/>
    <w:rsid w:val="00C1248E"/>
    <w:rsid w:val="00C12509"/>
    <w:rsid w:val="00C21BE7"/>
    <w:rsid w:val="00C30EC1"/>
    <w:rsid w:val="00C31A0D"/>
    <w:rsid w:val="00C42E4C"/>
    <w:rsid w:val="00C44FEA"/>
    <w:rsid w:val="00C54867"/>
    <w:rsid w:val="00C74752"/>
    <w:rsid w:val="00C846BD"/>
    <w:rsid w:val="00C93747"/>
    <w:rsid w:val="00CA5F03"/>
    <w:rsid w:val="00CB4369"/>
    <w:rsid w:val="00CE2A7B"/>
    <w:rsid w:val="00CE7CF3"/>
    <w:rsid w:val="00CF0F78"/>
    <w:rsid w:val="00CF7AB0"/>
    <w:rsid w:val="00D04B52"/>
    <w:rsid w:val="00D066F1"/>
    <w:rsid w:val="00D2129D"/>
    <w:rsid w:val="00D26E0E"/>
    <w:rsid w:val="00D44452"/>
    <w:rsid w:val="00D460C3"/>
    <w:rsid w:val="00D50044"/>
    <w:rsid w:val="00D53232"/>
    <w:rsid w:val="00D53854"/>
    <w:rsid w:val="00D538AA"/>
    <w:rsid w:val="00D5468B"/>
    <w:rsid w:val="00D628D9"/>
    <w:rsid w:val="00D656EE"/>
    <w:rsid w:val="00D66F25"/>
    <w:rsid w:val="00D753AD"/>
    <w:rsid w:val="00D8177B"/>
    <w:rsid w:val="00D82442"/>
    <w:rsid w:val="00D83C12"/>
    <w:rsid w:val="00D85DA6"/>
    <w:rsid w:val="00D92AB7"/>
    <w:rsid w:val="00D92B83"/>
    <w:rsid w:val="00D930B6"/>
    <w:rsid w:val="00DA1EB0"/>
    <w:rsid w:val="00DA263C"/>
    <w:rsid w:val="00DA2BA5"/>
    <w:rsid w:val="00DC2438"/>
    <w:rsid w:val="00DD1666"/>
    <w:rsid w:val="00DD61D6"/>
    <w:rsid w:val="00DF0201"/>
    <w:rsid w:val="00DF213F"/>
    <w:rsid w:val="00DF3396"/>
    <w:rsid w:val="00E02024"/>
    <w:rsid w:val="00E03137"/>
    <w:rsid w:val="00E062AB"/>
    <w:rsid w:val="00E10E70"/>
    <w:rsid w:val="00E274AA"/>
    <w:rsid w:val="00E3355A"/>
    <w:rsid w:val="00E3794C"/>
    <w:rsid w:val="00E40591"/>
    <w:rsid w:val="00E436E3"/>
    <w:rsid w:val="00E5572F"/>
    <w:rsid w:val="00E640B0"/>
    <w:rsid w:val="00E6568A"/>
    <w:rsid w:val="00E92293"/>
    <w:rsid w:val="00E92AC4"/>
    <w:rsid w:val="00EA5A5F"/>
    <w:rsid w:val="00EA6B22"/>
    <w:rsid w:val="00ED35E0"/>
    <w:rsid w:val="00ED36D0"/>
    <w:rsid w:val="00EE130E"/>
    <w:rsid w:val="00EE454B"/>
    <w:rsid w:val="00EE5164"/>
    <w:rsid w:val="00EF5613"/>
    <w:rsid w:val="00EF5B7E"/>
    <w:rsid w:val="00EF665E"/>
    <w:rsid w:val="00EF7CBB"/>
    <w:rsid w:val="00F115C6"/>
    <w:rsid w:val="00F15E8E"/>
    <w:rsid w:val="00F2115B"/>
    <w:rsid w:val="00F21DE2"/>
    <w:rsid w:val="00F23FDA"/>
    <w:rsid w:val="00F278D5"/>
    <w:rsid w:val="00F34C43"/>
    <w:rsid w:val="00F35253"/>
    <w:rsid w:val="00F44DD8"/>
    <w:rsid w:val="00F45CDB"/>
    <w:rsid w:val="00F628BD"/>
    <w:rsid w:val="00F64056"/>
    <w:rsid w:val="00F644A6"/>
    <w:rsid w:val="00F81851"/>
    <w:rsid w:val="00F84034"/>
    <w:rsid w:val="00F87F0B"/>
    <w:rsid w:val="00F944B0"/>
    <w:rsid w:val="00F97DCD"/>
    <w:rsid w:val="00FA0233"/>
    <w:rsid w:val="00FA1356"/>
    <w:rsid w:val="00FA2357"/>
    <w:rsid w:val="00FA2F3A"/>
    <w:rsid w:val="00FA313F"/>
    <w:rsid w:val="00FA4075"/>
    <w:rsid w:val="00FB09F5"/>
    <w:rsid w:val="00FB488E"/>
    <w:rsid w:val="00FC4CD7"/>
    <w:rsid w:val="00FD09EC"/>
    <w:rsid w:val="00FD3327"/>
    <w:rsid w:val="00FD3D46"/>
    <w:rsid w:val="00FD5A60"/>
    <w:rsid w:val="00FE5191"/>
    <w:rsid w:val="00FE6B59"/>
    <w:rsid w:val="00FF1244"/>
  </w:rsids>
  <m:mathPr>
    <m:mathFont m:val="Utopia"/>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BF4FFF"/>
    <w:pPr>
      <w:keepNext/>
      <w:spacing w:before="240" w:after="60"/>
      <w:outlineLvl w:val="1"/>
    </w:pPr>
    <w:rPr>
      <w:b/>
      <w:i/>
      <w:sz w:val="28"/>
    </w:rPr>
  </w:style>
  <w:style w:type="paragraph" w:styleId="Heading3">
    <w:name w:val="heading 3"/>
    <w:basedOn w:val="Normal"/>
    <w:next w:val="Normal"/>
    <w:link w:val="Heading3Char"/>
    <w:qFormat/>
    <w:rsid w:val="00BF4FFF"/>
    <w:pPr>
      <w:keepNext/>
      <w:spacing w:before="240" w:after="60"/>
      <w:outlineLvl w:val="2"/>
    </w:pPr>
    <w:rPr>
      <w:b/>
      <w:sz w:val="26"/>
      <w:szCs w:val="26"/>
    </w:rPr>
  </w:style>
  <w:style w:type="paragraph" w:styleId="Heading4">
    <w:name w:val="heading 4"/>
    <w:basedOn w:val="Normal"/>
    <w:next w:val="Normal"/>
    <w:link w:val="Heading4Char"/>
    <w:qFormat/>
    <w:rsid w:val="00BF4FFF"/>
    <w:pPr>
      <w:keepNext/>
      <w:jc w:val="center"/>
      <w:outlineLvl w:val="3"/>
    </w:pPr>
    <w:rPr>
      <w:rFonts w:ascii="Frutiger 45 Light" w:eastAsia="Times New Roman" w:hAnsi="Frutiger 45 Light"/>
      <w:b/>
      <w:color w:val="0000FF"/>
      <w:sz w:val="32"/>
    </w:rPr>
  </w:style>
  <w:style w:type="paragraph" w:styleId="Heading5">
    <w:name w:val="heading 5"/>
    <w:basedOn w:val="Normal"/>
    <w:next w:val="Normal"/>
    <w:link w:val="Heading5Char"/>
    <w:qFormat/>
    <w:rsid w:val="00BF4FFF"/>
    <w:pPr>
      <w:spacing w:before="240" w:after="60"/>
      <w:outlineLvl w:val="4"/>
    </w:pPr>
    <w:rPr>
      <w:b/>
      <w:i/>
      <w:sz w:val="26"/>
      <w:szCs w:val="26"/>
    </w:rPr>
  </w:style>
  <w:style w:type="paragraph" w:styleId="Heading6">
    <w:name w:val="heading 6"/>
    <w:basedOn w:val="Normal"/>
    <w:next w:val="Normal"/>
    <w:link w:val="Heading6Char"/>
    <w:qFormat/>
    <w:rsid w:val="00BF4FFF"/>
    <w:pPr>
      <w:keepNext/>
      <w:outlineLvl w:val="5"/>
    </w:pPr>
    <w:rPr>
      <w:rFonts w:ascii="Utopia" w:hAnsi="Utopia"/>
      <w:b/>
      <w:color w:val="FF6600"/>
      <w:sz w:val="22"/>
    </w:rPr>
  </w:style>
  <w:style w:type="paragraph" w:styleId="Heading8">
    <w:name w:val="heading 8"/>
    <w:basedOn w:val="Normal"/>
    <w:next w:val="Normal"/>
    <w:link w:val="Heading8Char"/>
    <w:qFormat/>
    <w:rsid w:val="00BF4FFF"/>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7B21FB"/>
    <w:rPr>
      <w:rFonts w:ascii="Lucida Grande" w:hAnsi="Lucida Grande"/>
      <w:sz w:val="18"/>
      <w:szCs w:val="18"/>
    </w:rPr>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character" w:customStyle="1" w:styleId="BalloonTextChar1">
    <w:name w:val="Balloon Text Char1"/>
    <w:basedOn w:val="DefaultParagraphFont"/>
    <w:link w:val="BalloonText"/>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character" w:customStyle="1" w:styleId="Heading2Char">
    <w:name w:val="Heading 2 Char"/>
    <w:basedOn w:val="DefaultParagraphFont"/>
    <w:link w:val="Heading2"/>
    <w:rsid w:val="00BF4FFF"/>
    <w:rPr>
      <w:rFonts w:ascii="Times" w:eastAsia="Times" w:hAnsi="Times"/>
      <w:b/>
      <w:i/>
      <w:sz w:val="28"/>
      <w:lang w:eastAsia="fr-FR"/>
    </w:rPr>
  </w:style>
  <w:style w:type="character" w:customStyle="1" w:styleId="Heading3Char">
    <w:name w:val="Heading 3 Char"/>
    <w:basedOn w:val="DefaultParagraphFont"/>
    <w:link w:val="Heading3"/>
    <w:rsid w:val="00BF4FFF"/>
    <w:rPr>
      <w:rFonts w:ascii="Times" w:eastAsia="Times" w:hAnsi="Times"/>
      <w:b/>
      <w:sz w:val="26"/>
      <w:szCs w:val="26"/>
      <w:lang w:eastAsia="fr-FR"/>
    </w:rPr>
  </w:style>
  <w:style w:type="character" w:customStyle="1" w:styleId="Heading4Char">
    <w:name w:val="Heading 4 Char"/>
    <w:basedOn w:val="DefaultParagraphFont"/>
    <w:link w:val="Heading4"/>
    <w:rsid w:val="00BF4FFF"/>
    <w:rPr>
      <w:rFonts w:ascii="Frutiger 45 Light" w:hAnsi="Frutiger 45 Light"/>
      <w:b/>
      <w:color w:val="0000FF"/>
      <w:sz w:val="32"/>
      <w:lang w:eastAsia="fr-FR"/>
    </w:rPr>
  </w:style>
  <w:style w:type="character" w:customStyle="1" w:styleId="Heading5Char">
    <w:name w:val="Heading 5 Char"/>
    <w:basedOn w:val="DefaultParagraphFont"/>
    <w:link w:val="Heading5"/>
    <w:rsid w:val="00BF4FFF"/>
    <w:rPr>
      <w:rFonts w:ascii="Times" w:eastAsia="Times" w:hAnsi="Times"/>
      <w:b/>
      <w:i/>
      <w:sz w:val="26"/>
      <w:szCs w:val="26"/>
      <w:lang w:eastAsia="fr-FR"/>
    </w:rPr>
  </w:style>
  <w:style w:type="character" w:customStyle="1" w:styleId="Heading6Char">
    <w:name w:val="Heading 6 Char"/>
    <w:basedOn w:val="DefaultParagraphFont"/>
    <w:link w:val="Heading6"/>
    <w:rsid w:val="00BF4FFF"/>
    <w:rPr>
      <w:rFonts w:ascii="Utopia" w:eastAsia="Times" w:hAnsi="Utopia"/>
      <w:b/>
      <w:color w:val="FF6600"/>
      <w:sz w:val="22"/>
      <w:lang w:eastAsia="fr-FR"/>
    </w:rPr>
  </w:style>
  <w:style w:type="character" w:customStyle="1" w:styleId="Heading8Char">
    <w:name w:val="Heading 8 Char"/>
    <w:basedOn w:val="DefaultParagraphFont"/>
    <w:link w:val="Heading8"/>
    <w:rsid w:val="00BF4FFF"/>
    <w:rPr>
      <w:rFonts w:ascii="Times" w:eastAsia="Times" w:hAnsi="Times"/>
      <w:i/>
      <w:lang w:eastAsia="fr-FR"/>
    </w:rPr>
  </w:style>
  <w:style w:type="paragraph" w:styleId="BodyText">
    <w:name w:val="Body Text"/>
    <w:basedOn w:val="Normal"/>
    <w:link w:val="BodyTextChar"/>
    <w:rsid w:val="00BF4FFF"/>
    <w:pPr>
      <w:spacing w:after="120"/>
    </w:pPr>
  </w:style>
  <w:style w:type="character" w:customStyle="1" w:styleId="BodyTextChar">
    <w:name w:val="Body Text Char"/>
    <w:basedOn w:val="DefaultParagraphFont"/>
    <w:link w:val="BodyText"/>
    <w:rsid w:val="00BF4FFF"/>
    <w:rPr>
      <w:rFonts w:ascii="Times" w:eastAsia="Times" w:hAnsi="Times"/>
      <w:lang w:eastAsia="fr-FR"/>
    </w:rPr>
  </w:style>
  <w:style w:type="paragraph" w:customStyle="1" w:styleId="Headline">
    <w:name w:val="Headline"/>
    <w:rsid w:val="00BF4FFF"/>
    <w:pPr>
      <w:spacing w:line="360" w:lineRule="exact"/>
    </w:pPr>
    <w:rPr>
      <w:rFonts w:ascii="Frutiger 95 UltraBlack" w:hAnsi="Frutiger 95 UltraBlack"/>
      <w:snapToGrid w:val="0"/>
      <w:sz w:val="28"/>
    </w:rPr>
  </w:style>
  <w:style w:type="paragraph" w:customStyle="1" w:styleId="Subhead">
    <w:name w:val="Subhead"/>
    <w:rsid w:val="00BF4FFF"/>
    <w:pPr>
      <w:spacing w:line="360" w:lineRule="exact"/>
    </w:pPr>
    <w:rPr>
      <w:rFonts w:ascii="Frutiger 55 Roman" w:hAnsi="Frutiger 55 Roman"/>
      <w:b/>
      <w:snapToGrid w:val="0"/>
      <w:sz w:val="28"/>
    </w:rPr>
  </w:style>
  <w:style w:type="paragraph" w:customStyle="1" w:styleId="Flietext">
    <w:name w:val="Fließtext"/>
    <w:rsid w:val="00BF4FFF"/>
    <w:pPr>
      <w:spacing w:line="360" w:lineRule="exact"/>
      <w:jc w:val="both"/>
    </w:pPr>
    <w:rPr>
      <w:rFonts w:ascii="Utopia" w:hAnsi="Utopia"/>
      <w:snapToGrid w:val="0"/>
      <w:lang w:val="de-DE"/>
    </w:rPr>
  </w:style>
  <w:style w:type="paragraph" w:styleId="ListBullet">
    <w:name w:val="List Bullet"/>
    <w:basedOn w:val="Normal"/>
    <w:autoRedefine/>
    <w:rsid w:val="00BF4FFF"/>
    <w:pPr>
      <w:numPr>
        <w:numId w:val="1"/>
      </w:numPr>
    </w:pPr>
  </w:style>
  <w:style w:type="paragraph" w:customStyle="1" w:styleId="TextoCONTINENTAL">
    <w:name w:val="Texto CONTINENTAL"/>
    <w:basedOn w:val="BodyText"/>
    <w:rsid w:val="00BF4FFF"/>
    <w:pPr>
      <w:spacing w:after="240" w:line="360" w:lineRule="auto"/>
      <w:jc w:val="both"/>
    </w:pPr>
    <w:rPr>
      <w:color w:val="000000"/>
    </w:rPr>
  </w:style>
  <w:style w:type="character" w:styleId="Hyperlink">
    <w:name w:val="Hyperlink"/>
    <w:basedOn w:val="DefaultParagraphFont"/>
    <w:unhideWhenUsed/>
    <w:rsid w:val="00BF4FFF"/>
    <w:rPr>
      <w:color w:val="0000FF"/>
      <w:u w:val="single"/>
    </w:rPr>
  </w:style>
  <w:style w:type="paragraph" w:styleId="BodyText3">
    <w:name w:val="Body Text 3"/>
    <w:basedOn w:val="Normal"/>
    <w:link w:val="BodyText3Char"/>
    <w:rsid w:val="00BF4FFF"/>
    <w:pPr>
      <w:spacing w:after="120"/>
    </w:pPr>
    <w:rPr>
      <w:rFonts w:ascii="Times New Roman" w:hAnsi="Times New Roman"/>
      <w:snapToGrid w:val="0"/>
      <w:sz w:val="16"/>
      <w:szCs w:val="16"/>
      <w:lang w:val="fr-FR" w:eastAsia="es-ES"/>
    </w:rPr>
  </w:style>
  <w:style w:type="character" w:customStyle="1" w:styleId="BodyText3Char">
    <w:name w:val="Body Text 3 Char"/>
    <w:basedOn w:val="DefaultParagraphFont"/>
    <w:link w:val="BodyText3"/>
    <w:rsid w:val="00BF4FFF"/>
    <w:rPr>
      <w:rFonts w:ascii="Times New Roman" w:eastAsia="Times" w:hAnsi="Times New Roman"/>
      <w:snapToGrid w:val="0"/>
      <w:sz w:val="16"/>
      <w:szCs w:val="16"/>
      <w:lang w:val="fr-FR" w:eastAsia="es-ES"/>
    </w:rPr>
  </w:style>
  <w:style w:type="paragraph" w:styleId="NormalWeb">
    <w:name w:val="Normal (Web)"/>
    <w:basedOn w:val="Normal"/>
    <w:rsid w:val="00BF4FFF"/>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DefaultParagraphFont"/>
    <w:rsid w:val="00BF4FFF"/>
    <w:rPr>
      <w:sz w:val="20"/>
      <w:szCs w:val="20"/>
    </w:rPr>
  </w:style>
  <w:style w:type="character" w:styleId="Strong">
    <w:name w:val="Strong"/>
    <w:basedOn w:val="DefaultParagraphFont"/>
    <w:qFormat/>
    <w:rsid w:val="00BF4FFF"/>
    <w:rPr>
      <w:b/>
      <w:bCs/>
    </w:rPr>
  </w:style>
  <w:style w:type="paragraph" w:styleId="ListParagraph">
    <w:name w:val="List Paragraph"/>
    <w:basedOn w:val="Normal"/>
    <w:uiPriority w:val="34"/>
    <w:qFormat/>
    <w:rsid w:val="00BF4FFF"/>
    <w:pPr>
      <w:spacing w:after="200" w:line="276" w:lineRule="auto"/>
      <w:ind w:left="720"/>
      <w:contextualSpacing/>
    </w:pPr>
    <w:rPr>
      <w:rFonts w:ascii="Times New Roman" w:eastAsia="Calibri" w:hAnsi="Times New Roman"/>
      <w:szCs w:val="22"/>
      <w:lang w:val="es-ES"/>
    </w:rPr>
  </w:style>
  <w:style w:type="character" w:styleId="CommentReference">
    <w:name w:val="annotation reference"/>
    <w:basedOn w:val="DefaultParagraphFont"/>
    <w:rsid w:val="00BF4FFF"/>
    <w:rPr>
      <w:sz w:val="18"/>
    </w:rPr>
  </w:style>
  <w:style w:type="paragraph" w:styleId="CommentText">
    <w:name w:val="annotation text"/>
    <w:basedOn w:val="Normal"/>
    <w:link w:val="CommentTextChar"/>
    <w:rsid w:val="00BF4FFF"/>
  </w:style>
  <w:style w:type="character" w:customStyle="1" w:styleId="CommentTextChar">
    <w:name w:val="Comment Text Char"/>
    <w:basedOn w:val="DefaultParagraphFont"/>
    <w:link w:val="CommentText"/>
    <w:rsid w:val="00BF4FFF"/>
    <w:rPr>
      <w:rFonts w:ascii="Times" w:eastAsia="Times" w:hAnsi="Times"/>
      <w:lang w:eastAsia="fr-FR"/>
    </w:rPr>
  </w:style>
  <w:style w:type="paragraph" w:styleId="CommentSubject">
    <w:name w:val="annotation subject"/>
    <w:basedOn w:val="CommentText"/>
    <w:next w:val="CommentText"/>
    <w:link w:val="CommentSubjectChar"/>
    <w:rsid w:val="00BF4FFF"/>
    <w:rPr>
      <w:sz w:val="22"/>
      <w:szCs w:val="20"/>
    </w:rPr>
  </w:style>
  <w:style w:type="character" w:customStyle="1" w:styleId="CommentSubjectChar">
    <w:name w:val="Comment Subject Char"/>
    <w:basedOn w:val="CommentTextChar"/>
    <w:link w:val="CommentSubject"/>
    <w:rsid w:val="00BF4FFF"/>
    <w:rPr>
      <w:rFonts w:ascii="Times" w:eastAsia="Times" w:hAnsi="Times"/>
      <w:sz w:val="22"/>
      <w:szCs w:val="20"/>
      <w:lang w:eastAsia="fr-FR"/>
    </w:rPr>
  </w:style>
  <w:style w:type="paragraph" w:styleId="FootnoteText">
    <w:name w:val="footnote text"/>
    <w:basedOn w:val="Normal"/>
    <w:link w:val="FootnoteTextChar"/>
    <w:rsid w:val="00BF4FFF"/>
  </w:style>
  <w:style w:type="character" w:customStyle="1" w:styleId="FootnoteTextChar">
    <w:name w:val="Footnote Text Char"/>
    <w:basedOn w:val="DefaultParagraphFont"/>
    <w:link w:val="FootnoteText"/>
    <w:rsid w:val="00BF4FFF"/>
    <w:rPr>
      <w:rFonts w:ascii="Times" w:eastAsia="Times" w:hAnsi="Times"/>
      <w:lang w:eastAsia="fr-FR"/>
    </w:rPr>
  </w:style>
  <w:style w:type="character" w:styleId="FootnoteReference">
    <w:name w:val="footnote reference"/>
    <w:basedOn w:val="DefaultParagraphFont"/>
    <w:rsid w:val="00BF4FFF"/>
    <w:rPr>
      <w:vertAlign w:val="superscript"/>
    </w:rPr>
  </w:style>
  <w:style w:type="character" w:styleId="FollowedHyperlink">
    <w:name w:val="FollowedHyperlink"/>
    <w:basedOn w:val="DefaultParagraphFont"/>
    <w:rsid w:val="00BF4FFF"/>
    <w:rPr>
      <w:color w:val="800080"/>
      <w:u w:val="single"/>
    </w:rPr>
  </w:style>
  <w:style w:type="paragraph" w:customStyle="1" w:styleId="EntradillaMICHELIN">
    <w:name w:val="Entradilla MICHELIN"/>
    <w:basedOn w:val="Normal"/>
    <w:rsid w:val="00BF4FFF"/>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DefaultParagraphFont"/>
    <w:rsid w:val="00BF4FFF"/>
  </w:style>
  <w:style w:type="paragraph" w:customStyle="1" w:styleId="SubheadMichelin">
    <w:name w:val="Subhead Michelin"/>
    <w:autoRedefine/>
    <w:rsid w:val="00BF4FFF"/>
    <w:pPr>
      <w:spacing w:line="360" w:lineRule="exact"/>
    </w:pPr>
    <w:rPr>
      <w:rFonts w:ascii="Frutiger 55 Roman" w:hAnsi="Frutiger 55 Roman"/>
      <w:b/>
      <w:snapToGrid w:val="0"/>
      <w:sz w:val="28"/>
    </w:rPr>
  </w:style>
  <w:style w:type="paragraph" w:customStyle="1" w:styleId="SUBTITULOMICHELIN">
    <w:name w:val="SUBTITULO MICHELIN"/>
    <w:basedOn w:val="Normal"/>
    <w:rsid w:val="00BF4FFF"/>
    <w:pPr>
      <w:spacing w:line="360" w:lineRule="exact"/>
    </w:pPr>
    <w:rPr>
      <w:rFonts w:ascii="Frutiger 45 Light" w:hAnsi="Frutiger 45 Light"/>
      <w:b/>
      <w:snapToGrid w:val="0"/>
      <w:sz w:val="36"/>
    </w:rPr>
  </w:style>
  <w:style w:type="paragraph" w:customStyle="1" w:styleId="TtuloDossier">
    <w:name w:val="Título Dossier"/>
    <w:basedOn w:val="Headline"/>
    <w:rsid w:val="00BF4FFF"/>
    <w:pPr>
      <w:spacing w:before="400" w:after="200" w:line="240" w:lineRule="auto"/>
      <w:jc w:val="center"/>
      <w:outlineLvl w:val="0"/>
    </w:pPr>
    <w:rPr>
      <w:color w:val="333399"/>
      <w:sz w:val="70"/>
    </w:rPr>
  </w:style>
  <w:style w:type="paragraph" w:customStyle="1" w:styleId="Dossierdeprensa">
    <w:name w:val="Dossier de prensa"/>
    <w:basedOn w:val="Headline"/>
    <w:rsid w:val="00BF4FFF"/>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BF4FFF"/>
    <w:pPr>
      <w:jc w:val="center"/>
    </w:pPr>
    <w:rPr>
      <w:rFonts w:ascii="Frutiger 45 Light" w:hAnsi="Frutiger 45 Light"/>
      <w:b/>
      <w:color w:val="000000"/>
      <w:sz w:val="36"/>
      <w:lang w:val="es-ES"/>
    </w:rPr>
  </w:style>
  <w:style w:type="paragraph" w:customStyle="1" w:styleId="Predeterminado">
    <w:name w:val="Predeterminado"/>
    <w:rsid w:val="00BF4FFF"/>
    <w:pPr>
      <w:widowControl w:val="0"/>
      <w:autoSpaceDE w:val="0"/>
      <w:autoSpaceDN w:val="0"/>
    </w:pPr>
    <w:rPr>
      <w:rFonts w:ascii="Times New Roman" w:hAnsi="Times New Roman"/>
      <w:lang w:eastAsia="es-ES"/>
    </w:rPr>
  </w:style>
  <w:style w:type="paragraph" w:styleId="BodyText2">
    <w:name w:val="Body Text 2"/>
    <w:basedOn w:val="Normal"/>
    <w:link w:val="BodyText2Char"/>
    <w:rsid w:val="00BF4FFF"/>
    <w:pPr>
      <w:spacing w:after="120" w:line="480" w:lineRule="auto"/>
    </w:pPr>
  </w:style>
  <w:style w:type="character" w:customStyle="1" w:styleId="BodyText2Char">
    <w:name w:val="Body Text 2 Char"/>
    <w:basedOn w:val="DefaultParagraphFont"/>
    <w:link w:val="BodyText2"/>
    <w:rsid w:val="00BF4FFF"/>
    <w:rPr>
      <w:rFonts w:ascii="Times" w:eastAsia="Times" w:hAnsi="Times"/>
      <w:lang w:eastAsia="fr-FR"/>
    </w:rPr>
  </w:style>
  <w:style w:type="paragraph" w:styleId="BodyTextIndent">
    <w:name w:val="Body Text Indent"/>
    <w:basedOn w:val="Normal"/>
    <w:link w:val="BodyTextIndentChar"/>
    <w:rsid w:val="00BF4FFF"/>
    <w:pPr>
      <w:spacing w:after="120"/>
      <w:ind w:left="283"/>
    </w:pPr>
    <w:rPr>
      <w:rFonts w:ascii="Utopia" w:eastAsia="Times New Roman" w:hAnsi="Utopia"/>
      <w:sz w:val="20"/>
    </w:rPr>
  </w:style>
  <w:style w:type="character" w:customStyle="1" w:styleId="BodyTextIndentChar">
    <w:name w:val="Body Text Indent Char"/>
    <w:basedOn w:val="DefaultParagraphFont"/>
    <w:link w:val="BodyTextIndent"/>
    <w:rsid w:val="00BF4FFF"/>
    <w:rPr>
      <w:rFonts w:ascii="Utopia" w:hAnsi="Utopia"/>
      <w:sz w:val="20"/>
      <w:lang w:eastAsia="fr-FR"/>
    </w:rPr>
  </w:style>
  <w:style w:type="paragraph" w:styleId="BlockText">
    <w:name w:val="Block Text"/>
    <w:basedOn w:val="Normal"/>
    <w:rsid w:val="00BF4FFF"/>
    <w:pPr>
      <w:ind w:left="1800" w:right="1990"/>
      <w:jc w:val="center"/>
    </w:pPr>
    <w:rPr>
      <w:rFonts w:ascii="Utopia" w:eastAsia="Times New Roman" w:hAnsi="Utopia"/>
      <w:b/>
      <w:color w:val="333399"/>
      <w:sz w:val="40"/>
    </w:rPr>
  </w:style>
  <w:style w:type="paragraph" w:styleId="Title">
    <w:name w:val="Title"/>
    <w:basedOn w:val="Normal"/>
    <w:link w:val="TitleChar"/>
    <w:qFormat/>
    <w:rsid w:val="00BF4FFF"/>
    <w:pPr>
      <w:jc w:val="center"/>
    </w:pPr>
    <w:rPr>
      <w:rFonts w:ascii="Frutiger 55 Roman" w:eastAsia="Times New Roman" w:hAnsi="Frutiger 55 Roman"/>
      <w:b/>
      <w:sz w:val="32"/>
    </w:rPr>
  </w:style>
  <w:style w:type="character" w:customStyle="1" w:styleId="TitleChar">
    <w:name w:val="Title Char"/>
    <w:basedOn w:val="DefaultParagraphFont"/>
    <w:link w:val="Title"/>
    <w:rsid w:val="00BF4FFF"/>
    <w:rPr>
      <w:rFonts w:ascii="Frutiger 55 Roman" w:hAnsi="Frutiger 55 Roman"/>
      <w:b/>
      <w:sz w:val="32"/>
      <w:lang w:eastAsia="fr-FR"/>
    </w:rPr>
  </w:style>
  <w:style w:type="paragraph" w:customStyle="1" w:styleId="StyleTitre2Frutiger55Roman">
    <w:name w:val="Style Titre 2 + Frutiger 55 Roman"/>
    <w:basedOn w:val="Heading2"/>
    <w:autoRedefine/>
    <w:rsid w:val="00BF4FFF"/>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itle"/>
    <w:rsid w:val="00BF4FFF"/>
    <w:pPr>
      <w:autoSpaceDE w:val="0"/>
      <w:autoSpaceDN w:val="0"/>
      <w:jc w:val="both"/>
    </w:pPr>
    <w:rPr>
      <w:color w:val="000000"/>
      <w:sz w:val="24"/>
    </w:rPr>
  </w:style>
  <w:style w:type="paragraph" w:customStyle="1" w:styleId="TITULARBENDIX">
    <w:name w:val="TITULAR BENDIX"/>
    <w:basedOn w:val="Heading8"/>
    <w:rsid w:val="00BF4FFF"/>
    <w:pPr>
      <w:keepNext/>
      <w:spacing w:before="0" w:after="0"/>
      <w:ind w:right="11"/>
      <w:jc w:val="center"/>
    </w:pPr>
    <w:rPr>
      <w:rFonts w:eastAsia="Times New Roman"/>
      <w:b/>
      <w:i w:val="0"/>
      <w:caps/>
      <w:sz w:val="36"/>
    </w:rPr>
  </w:style>
  <w:style w:type="paragraph" w:customStyle="1" w:styleId="textoContinental0">
    <w:name w:val="texto Continental"/>
    <w:basedOn w:val="Normal"/>
    <w:rsid w:val="00BF4FFF"/>
    <w:pPr>
      <w:spacing w:after="240" w:line="360" w:lineRule="auto"/>
      <w:jc w:val="both"/>
    </w:pPr>
    <w:rPr>
      <w:rFonts w:ascii="Arial" w:hAnsi="Arial"/>
      <w:color w:val="000000"/>
      <w:sz w:val="22"/>
      <w:lang w:val="sl-SI"/>
    </w:rPr>
  </w:style>
  <w:style w:type="paragraph" w:customStyle="1" w:styleId="textocooper">
    <w:name w:val="texto cooper"/>
    <w:basedOn w:val="TextoCOOPER0"/>
    <w:rsid w:val="00BF4FFF"/>
    <w:pPr>
      <w:spacing w:line="360" w:lineRule="auto"/>
      <w:jc w:val="both"/>
    </w:pPr>
    <w:rPr>
      <w:b w:val="0"/>
      <w:sz w:val="24"/>
      <w:lang w:val="es-ES_tradnl"/>
    </w:rPr>
  </w:style>
  <w:style w:type="paragraph" w:customStyle="1" w:styleId="antetituloCONTINENTAL">
    <w:name w:val="antetitulo CONTINENTAL"/>
    <w:basedOn w:val="Heading2"/>
    <w:rsid w:val="00BF4FFF"/>
    <w:pPr>
      <w:spacing w:before="0" w:after="240" w:line="360" w:lineRule="auto"/>
    </w:pPr>
    <w:rPr>
      <w:rFonts w:ascii="Arial" w:hAnsi="Arial"/>
      <w:i w:val="0"/>
      <w:color w:val="000000"/>
      <w:sz w:val="22"/>
    </w:rPr>
  </w:style>
  <w:style w:type="paragraph" w:customStyle="1" w:styleId="titularCONTINENTAL">
    <w:name w:val="titular CONTINENTAL"/>
    <w:basedOn w:val="Normal"/>
    <w:rsid w:val="00BF4FFF"/>
    <w:pPr>
      <w:spacing w:after="240" w:line="360" w:lineRule="auto"/>
    </w:pPr>
    <w:rPr>
      <w:rFonts w:ascii="Arial" w:hAnsi="Arial"/>
      <w:b/>
      <w:color w:val="000000"/>
      <w:sz w:val="32"/>
    </w:rPr>
  </w:style>
  <w:style w:type="paragraph" w:customStyle="1" w:styleId="TextoCOOPER0">
    <w:name w:val="Texto COOPER"/>
    <w:basedOn w:val="Normal"/>
    <w:autoRedefine/>
    <w:rsid w:val="00BF4FFF"/>
    <w:pPr>
      <w:spacing w:after="240"/>
    </w:pPr>
    <w:rPr>
      <w:rFonts w:ascii="Arial" w:eastAsia="Times New Roman" w:hAnsi="Arial"/>
      <w:b/>
      <w:sz w:val="22"/>
      <w:lang w:val="de-DE"/>
    </w:rPr>
  </w:style>
  <w:style w:type="paragraph" w:customStyle="1" w:styleId="ENTRADILLABENDIX">
    <w:name w:val="ENTRADILLA BENDIX"/>
    <w:basedOn w:val="Normal"/>
    <w:rsid w:val="00BF4FFF"/>
    <w:pPr>
      <w:spacing w:after="240" w:line="360" w:lineRule="auto"/>
      <w:jc w:val="both"/>
    </w:pPr>
    <w:rPr>
      <w:rFonts w:eastAsia="Times New Roman"/>
      <w:b/>
    </w:rPr>
  </w:style>
  <w:style w:type="paragraph" w:customStyle="1" w:styleId="TEXTOBENDIX">
    <w:name w:val="TEXTO BENDIX"/>
    <w:basedOn w:val="Normal"/>
    <w:rsid w:val="00BF4FFF"/>
    <w:pPr>
      <w:spacing w:after="240" w:line="360" w:lineRule="auto"/>
      <w:jc w:val="both"/>
    </w:pPr>
    <w:rPr>
      <w:rFonts w:eastAsia="Times New Roman"/>
    </w:rPr>
  </w:style>
  <w:style w:type="paragraph" w:customStyle="1" w:styleId="TitularCOOPER">
    <w:name w:val="Titular COOPER"/>
    <w:basedOn w:val="Normal"/>
    <w:rsid w:val="00BF4FFF"/>
    <w:pPr>
      <w:spacing w:before="120" w:after="120"/>
      <w:jc w:val="center"/>
    </w:pPr>
    <w:rPr>
      <w:rFonts w:ascii="Arial" w:eastAsia="Times New Roman" w:hAnsi="Arial"/>
      <w:b/>
      <w:sz w:val="36"/>
    </w:rPr>
  </w:style>
  <w:style w:type="paragraph" w:customStyle="1" w:styleId="entradillaCOOPER">
    <w:name w:val="entradilla COOPER"/>
    <w:basedOn w:val="Heading2"/>
    <w:autoRedefine/>
    <w:rsid w:val="00BF4FFF"/>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BF4FFF"/>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BF4FFF"/>
    <w:rPr>
      <w:lang w:val="es-ES_tradnl"/>
    </w:rPr>
  </w:style>
  <w:style w:type="paragraph" w:customStyle="1" w:styleId="corporativoCONTINENTAL">
    <w:name w:val="corporativo CONTINENTAL"/>
    <w:basedOn w:val="TextoCONTINENTAL"/>
    <w:rsid w:val="00BF4FFF"/>
    <w:rPr>
      <w:rFonts w:ascii="Arial" w:hAnsi="Arial" w:cs="Arial"/>
      <w:bCs/>
      <w:sz w:val="18"/>
      <w:lang w:val="es-ES" w:eastAsia="es-ES"/>
    </w:rPr>
  </w:style>
  <w:style w:type="paragraph" w:customStyle="1" w:styleId="LADILLOMICHELINOK">
    <w:name w:val="LADILLO MICHELIN OK"/>
    <w:basedOn w:val="Normal"/>
    <w:rsid w:val="00BF4FFF"/>
    <w:pPr>
      <w:spacing w:before="600" w:after="240" w:line="360" w:lineRule="exact"/>
    </w:pPr>
    <w:rPr>
      <w:rFonts w:ascii="Arial" w:hAnsi="Arial"/>
      <w:b/>
      <w:bCs/>
      <w:snapToGrid w:val="0"/>
      <w:color w:val="333399"/>
      <w:sz w:val="28"/>
      <w:lang w:val="es-ES"/>
    </w:rPr>
  </w:style>
  <w:style w:type="paragraph" w:customStyle="1" w:styleId="LadilloMichelinDossier">
    <w:name w:val="Ladillo Michelin Dossier"/>
    <w:basedOn w:val="TextoMichelin"/>
    <w:rsid w:val="00BF4FFF"/>
    <w:pPr>
      <w:spacing w:before="480" w:after="120"/>
      <w:jc w:val="left"/>
    </w:pPr>
    <w:rPr>
      <w:rFonts w:ascii="Times" w:hAnsi="Times"/>
      <w:b/>
      <w:sz w:val="26"/>
    </w:rPr>
  </w:style>
  <w:style w:type="table" w:styleId="TableGrid">
    <w:name w:val="Table Grid"/>
    <w:basedOn w:val="TableNormal"/>
    <w:rsid w:val="00BF4FF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BF4FFF"/>
    <w:pPr>
      <w:jc w:val="both"/>
    </w:pPr>
    <w:rPr>
      <w:rFonts w:ascii="Trebuchet MS" w:eastAsia="Times New Roman" w:hAnsi="Trebuchet MS"/>
      <w:b/>
      <w:kern w:val="32"/>
      <w:sz w:val="22"/>
      <w:lang w:eastAsia="en-US"/>
    </w:rPr>
  </w:style>
  <w:style w:type="paragraph" w:customStyle="1" w:styleId="Normal2">
    <w:name w:val="Normal 2"/>
    <w:basedOn w:val="Normal"/>
    <w:autoRedefine/>
    <w:rsid w:val="00BF4FFF"/>
    <w:pPr>
      <w:jc w:val="both"/>
    </w:pPr>
    <w:rPr>
      <w:rFonts w:ascii="Helvetica" w:eastAsia="Times New Roman" w:hAnsi="Helvetica"/>
      <w:lang w:eastAsia="en-US"/>
    </w:rPr>
  </w:style>
  <w:style w:type="character" w:styleId="Emphasis">
    <w:name w:val="Emphasis"/>
    <w:basedOn w:val="DefaultParagraphFont"/>
    <w:qFormat/>
    <w:rsid w:val="00BF4FFF"/>
    <w:rPr>
      <w:i/>
      <w:iCs/>
    </w:rPr>
  </w:style>
  <w:style w:type="character" w:customStyle="1" w:styleId="tw4winMark">
    <w:name w:val="tw4winMark"/>
    <w:rsid w:val="00BF4FFF"/>
    <w:rPr>
      <w:rFonts w:ascii="Courier New" w:hAnsi="Courier New" w:cs="Courier New"/>
      <w:vanish/>
      <w:color w:val="800080"/>
      <w:sz w:val="24"/>
      <w:szCs w:val="24"/>
      <w:vertAlign w:val="subscript"/>
    </w:rPr>
  </w:style>
  <w:style w:type="character" w:customStyle="1" w:styleId="tw4winError">
    <w:name w:val="tw4winError"/>
    <w:rsid w:val="00BF4FFF"/>
    <w:rPr>
      <w:rFonts w:ascii="Courier New" w:hAnsi="Courier New" w:cs="Courier New"/>
      <w:color w:val="00FF00"/>
      <w:sz w:val="40"/>
      <w:szCs w:val="40"/>
    </w:rPr>
  </w:style>
  <w:style w:type="character" w:customStyle="1" w:styleId="tw4winTerm">
    <w:name w:val="tw4winTerm"/>
    <w:rsid w:val="00BF4FFF"/>
    <w:rPr>
      <w:color w:val="0000FF"/>
    </w:rPr>
  </w:style>
  <w:style w:type="character" w:customStyle="1" w:styleId="tw4winPopup">
    <w:name w:val="tw4winPopup"/>
    <w:rsid w:val="00BF4FFF"/>
    <w:rPr>
      <w:rFonts w:ascii="Courier New" w:hAnsi="Courier New" w:cs="Courier New"/>
      <w:noProof/>
      <w:color w:val="008000"/>
    </w:rPr>
  </w:style>
  <w:style w:type="character" w:customStyle="1" w:styleId="tw4winJump">
    <w:name w:val="tw4winJump"/>
    <w:rsid w:val="00BF4FFF"/>
    <w:rPr>
      <w:rFonts w:ascii="Courier New" w:hAnsi="Courier New" w:cs="Courier New"/>
      <w:noProof/>
      <w:color w:val="008080"/>
    </w:rPr>
  </w:style>
  <w:style w:type="character" w:customStyle="1" w:styleId="tw4winExternal">
    <w:name w:val="tw4winExternal"/>
    <w:rsid w:val="00BF4FFF"/>
    <w:rPr>
      <w:rFonts w:ascii="Courier New" w:hAnsi="Courier New" w:cs="Courier New"/>
      <w:noProof/>
      <w:color w:val="808080"/>
    </w:rPr>
  </w:style>
  <w:style w:type="character" w:customStyle="1" w:styleId="tw4winInternal">
    <w:name w:val="tw4winInternal"/>
    <w:rsid w:val="00BF4FFF"/>
    <w:rPr>
      <w:rFonts w:ascii="Courier New" w:hAnsi="Courier New" w:cs="Courier New"/>
      <w:noProof/>
      <w:color w:val="FF0000"/>
    </w:rPr>
  </w:style>
  <w:style w:type="character" w:customStyle="1" w:styleId="DONOTTRANSLATE">
    <w:name w:val="DO_NOT_TRANSLATE"/>
    <w:rsid w:val="00BF4FFF"/>
    <w:rPr>
      <w:rFonts w:ascii="Courier New" w:hAnsi="Courier New" w:cs="Courier New"/>
      <w:noProof/>
      <w:color w:val="800000"/>
    </w:rPr>
  </w:style>
  <w:style w:type="paragraph" w:styleId="PlainText">
    <w:name w:val="Plain Text"/>
    <w:basedOn w:val="Normal"/>
    <w:link w:val="PlainTextChar"/>
    <w:rsid w:val="00BF4FFF"/>
    <w:rPr>
      <w:rFonts w:ascii="Courier New" w:eastAsia="Times New Roman" w:hAnsi="Courier New" w:cs="Courier New"/>
      <w:sz w:val="20"/>
      <w:lang w:val="fr-FR"/>
    </w:rPr>
  </w:style>
  <w:style w:type="character" w:customStyle="1" w:styleId="PlainTextChar">
    <w:name w:val="Plain Text Char"/>
    <w:basedOn w:val="DefaultParagraphFont"/>
    <w:link w:val="PlainText"/>
    <w:rsid w:val="00BF4FFF"/>
    <w:rPr>
      <w:rFonts w:ascii="Courier New" w:hAnsi="Courier New" w:cs="Courier New"/>
      <w:sz w:val="20"/>
      <w:lang w:val="fr-FR" w:eastAsia="fr-FR"/>
    </w:rPr>
  </w:style>
  <w:style w:type="paragraph" w:customStyle="1" w:styleId="CarCarCarCarCarCarCarCarCar">
    <w:name w:val="Car Car Car Car Car Car Car Car Car"/>
    <w:basedOn w:val="Normal"/>
    <w:rsid w:val="00BF4FFF"/>
    <w:pPr>
      <w:spacing w:after="160" w:line="240" w:lineRule="exact"/>
    </w:pPr>
    <w:rPr>
      <w:rFonts w:ascii="Times New Roman" w:eastAsia="Times New Roman" w:hAnsi="Times New Roman"/>
      <w:sz w:val="20"/>
      <w:lang w:val="fr-FR" w:eastAsia="en-US"/>
    </w:rPr>
  </w:style>
  <w:style w:type="character" w:customStyle="1" w:styleId="CorpsdetexteCar">
    <w:name w:val="Corps de texte Car"/>
    <w:basedOn w:val="DefaultParagraphFont"/>
    <w:rsid w:val="00BF4FFF"/>
    <w:rPr>
      <w:rFonts w:ascii="Arial" w:hAnsi="Arial"/>
      <w:szCs w:val="24"/>
      <w:lang w:val="fr-FR" w:eastAsia="en-GB" w:bidi="ar-SA"/>
    </w:rPr>
  </w:style>
  <w:style w:type="paragraph" w:customStyle="1" w:styleId="corpsdetexte">
    <w:name w:val="corps de texte"/>
    <w:basedOn w:val="Normal"/>
    <w:rsid w:val="00BF4FFF"/>
    <w:pPr>
      <w:ind w:right="7510"/>
      <w:jc w:val="both"/>
    </w:pPr>
    <w:rPr>
      <w:rFonts w:ascii="Arial" w:eastAsia="Times New Roman" w:hAnsi="Arial"/>
      <w:sz w:val="18"/>
      <w:szCs w:val="18"/>
      <w:lang w:val="fr-FR" w:eastAsia="en-GB"/>
    </w:rPr>
  </w:style>
  <w:style w:type="character" w:customStyle="1" w:styleId="corpsdetexteCar0">
    <w:name w:val="corps de texte Car"/>
    <w:basedOn w:val="DefaultParagraphFont"/>
    <w:rsid w:val="00BF4FFF"/>
    <w:rPr>
      <w:rFonts w:ascii="Arial" w:hAnsi="Arial"/>
      <w:sz w:val="18"/>
      <w:szCs w:val="18"/>
      <w:lang w:val="fr-FR" w:eastAsia="en-GB" w:bidi="ar-SA"/>
    </w:rPr>
  </w:style>
  <w:style w:type="paragraph" w:customStyle="1" w:styleId="1">
    <w:name w:val="1"/>
    <w:basedOn w:val="Normal"/>
    <w:rsid w:val="00BF4FFF"/>
    <w:pPr>
      <w:spacing w:after="160" w:line="240" w:lineRule="exact"/>
    </w:pPr>
    <w:rPr>
      <w:rFonts w:ascii="Times New Roman" w:eastAsia="Times New Roman" w:hAnsi="Times New Roman"/>
      <w:sz w:val="20"/>
      <w:lang w:val="fr-FR" w:eastAsia="en-US"/>
    </w:rPr>
  </w:style>
  <w:style w:type="paragraph" w:customStyle="1" w:styleId="Note">
    <w:name w:val="Note"/>
    <w:basedOn w:val="BodyText"/>
    <w:rsid w:val="00BF4FFF"/>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BodyText"/>
    <w:rsid w:val="00BF4FFF"/>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basedOn w:val="corpsdetexteCar0"/>
    <w:rsid w:val="00BF4FFF"/>
    <w:rPr>
      <w:rFonts w:ascii="Arial" w:hAnsi="Arial" w:cs="Verdana"/>
      <w:sz w:val="18"/>
      <w:szCs w:val="18"/>
      <w:lang w:val="fr-FR" w:eastAsia="en-GB" w:bidi="fr-FR"/>
    </w:rPr>
  </w:style>
  <w:style w:type="paragraph" w:customStyle="1" w:styleId="Titreinfo">
    <w:name w:val="Titre info"/>
    <w:basedOn w:val="BodyText"/>
    <w:next w:val="BodyText"/>
    <w:rsid w:val="00BF4FFF"/>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BodyText"/>
    <w:rsid w:val="00BF4FFF"/>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BF4FFF"/>
    <w:pPr>
      <w:spacing w:after="160" w:line="240" w:lineRule="exact"/>
    </w:pPr>
    <w:rPr>
      <w:rFonts w:ascii="Times New Roman" w:eastAsia="Times New Roman" w:hAnsi="Times New Roman"/>
      <w:sz w:val="20"/>
      <w:lang w:val="fr-FR" w:eastAsia="en-US"/>
    </w:rPr>
  </w:style>
  <w:style w:type="numbering" w:customStyle="1" w:styleId="NoList1">
    <w:name w:val="No List1"/>
    <w:next w:val="NoList"/>
    <w:semiHidden/>
    <w:unhideWhenUsed/>
    <w:rsid w:val="00BF4FFF"/>
  </w:style>
  <w:style w:type="table" w:customStyle="1" w:styleId="TableGrid1">
    <w:name w:val="Table Grid1"/>
    <w:basedOn w:val="TableNormal"/>
    <w:next w:val="TableGrid"/>
    <w:rsid w:val="00BF4FFF"/>
    <w:rPr>
      <w:rFonts w:ascii="Times New Roman" w:eastAsia="MS Mincho" w:hAnsi="Times New Roman"/>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news1">
    <w:name w:val="summary_news1"/>
    <w:rsid w:val="00BF4FFF"/>
    <w:rPr>
      <w:rFonts w:ascii="Arial" w:hAnsi="Arial" w:cs="Arial" w:hint="default"/>
      <w:b w:val="0"/>
      <w:bCs w:val="0"/>
      <w:color w:val="666666"/>
      <w:sz w:val="21"/>
      <w:szCs w:val="21"/>
    </w:rPr>
  </w:style>
  <w:style w:type="paragraph" w:customStyle="1" w:styleId="Body1">
    <w:name w:val="Body 1"/>
    <w:rsid w:val="00D8177B"/>
    <w:pPr>
      <w:outlineLvl w:val="0"/>
    </w:pPr>
    <w:rPr>
      <w:rFonts w:ascii="Times New Roman" w:eastAsia="Arial Unicode MS" w:hAnsi="Times New Roman"/>
      <w:color w:val="000000"/>
      <w:szCs w:val="20"/>
      <w:u w:color="000000"/>
    </w:rPr>
  </w:style>
  <w:style w:type="paragraph" w:styleId="List2">
    <w:name w:val="List 2"/>
    <w:basedOn w:val="Normal"/>
    <w:rsid w:val="00B527E0"/>
    <w:pPr>
      <w:numPr>
        <w:numId w:val="7"/>
      </w:numPr>
    </w:pPr>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67"/>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BF4FFF"/>
    <w:pPr>
      <w:keepNext/>
      <w:spacing w:before="240" w:after="60"/>
      <w:outlineLvl w:val="1"/>
    </w:pPr>
    <w:rPr>
      <w:b/>
      <w:i/>
      <w:sz w:val="28"/>
    </w:rPr>
  </w:style>
  <w:style w:type="paragraph" w:styleId="Ttulo3">
    <w:name w:val="heading 3"/>
    <w:basedOn w:val="Normal"/>
    <w:next w:val="Normal"/>
    <w:link w:val="Ttulo3Car"/>
    <w:qFormat/>
    <w:rsid w:val="00BF4FFF"/>
    <w:pPr>
      <w:keepNext/>
      <w:spacing w:before="240" w:after="60"/>
      <w:outlineLvl w:val="2"/>
    </w:pPr>
    <w:rPr>
      <w:b/>
      <w:sz w:val="26"/>
      <w:szCs w:val="26"/>
    </w:rPr>
  </w:style>
  <w:style w:type="paragraph" w:styleId="Ttulo4">
    <w:name w:val="heading 4"/>
    <w:basedOn w:val="Normal"/>
    <w:next w:val="Normal"/>
    <w:link w:val="Ttulo4Car"/>
    <w:qFormat/>
    <w:rsid w:val="00BF4FFF"/>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BF4FFF"/>
    <w:pPr>
      <w:spacing w:before="240" w:after="60"/>
      <w:outlineLvl w:val="4"/>
    </w:pPr>
    <w:rPr>
      <w:b/>
      <w:i/>
      <w:sz w:val="26"/>
      <w:szCs w:val="26"/>
    </w:rPr>
  </w:style>
  <w:style w:type="paragraph" w:styleId="Ttulo6">
    <w:name w:val="heading 6"/>
    <w:basedOn w:val="Normal"/>
    <w:next w:val="Normal"/>
    <w:link w:val="Ttulo6Car"/>
    <w:qFormat/>
    <w:rsid w:val="00BF4FFF"/>
    <w:pPr>
      <w:keepNext/>
      <w:outlineLvl w:val="5"/>
    </w:pPr>
    <w:rPr>
      <w:rFonts w:ascii="Utopia" w:hAnsi="Utopia"/>
      <w:b/>
      <w:color w:val="FF6600"/>
      <w:sz w:val="22"/>
    </w:rPr>
  </w:style>
  <w:style w:type="paragraph" w:styleId="Ttulo8">
    <w:name w:val="heading 8"/>
    <w:basedOn w:val="Normal"/>
    <w:next w:val="Normal"/>
    <w:link w:val="Ttulo8Car"/>
    <w:qFormat/>
    <w:rsid w:val="00BF4FFF"/>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BF4FFF"/>
    <w:rPr>
      <w:rFonts w:ascii="Times" w:eastAsia="Times" w:hAnsi="Times"/>
      <w:b/>
      <w:i/>
      <w:sz w:val="28"/>
      <w:lang w:eastAsia="fr-FR"/>
    </w:rPr>
  </w:style>
  <w:style w:type="character" w:customStyle="1" w:styleId="Ttulo3Car">
    <w:name w:val="Título 3 Car"/>
    <w:basedOn w:val="Fuentedeprrafopredeter"/>
    <w:link w:val="Ttulo3"/>
    <w:rsid w:val="00BF4FFF"/>
    <w:rPr>
      <w:rFonts w:ascii="Times" w:eastAsia="Times" w:hAnsi="Times"/>
      <w:b/>
      <w:sz w:val="26"/>
      <w:szCs w:val="26"/>
      <w:lang w:eastAsia="fr-FR"/>
    </w:rPr>
  </w:style>
  <w:style w:type="character" w:customStyle="1" w:styleId="Ttulo4Car">
    <w:name w:val="Título 4 Car"/>
    <w:basedOn w:val="Fuentedeprrafopredeter"/>
    <w:link w:val="Ttulo4"/>
    <w:rsid w:val="00BF4FFF"/>
    <w:rPr>
      <w:rFonts w:ascii="Frutiger 45 Light" w:hAnsi="Frutiger 45 Light"/>
      <w:b/>
      <w:color w:val="0000FF"/>
      <w:sz w:val="32"/>
      <w:lang w:eastAsia="fr-FR"/>
    </w:rPr>
  </w:style>
  <w:style w:type="character" w:customStyle="1" w:styleId="Ttulo5Car">
    <w:name w:val="Título 5 Car"/>
    <w:basedOn w:val="Fuentedeprrafopredeter"/>
    <w:link w:val="Ttulo5"/>
    <w:rsid w:val="00BF4FFF"/>
    <w:rPr>
      <w:rFonts w:ascii="Times" w:eastAsia="Times" w:hAnsi="Times"/>
      <w:b/>
      <w:i/>
      <w:sz w:val="26"/>
      <w:szCs w:val="26"/>
      <w:lang w:eastAsia="fr-FR"/>
    </w:rPr>
  </w:style>
  <w:style w:type="character" w:customStyle="1" w:styleId="Ttulo6Car">
    <w:name w:val="Título 6 Car"/>
    <w:basedOn w:val="Fuentedeprrafopredeter"/>
    <w:link w:val="Ttulo6"/>
    <w:rsid w:val="00BF4FFF"/>
    <w:rPr>
      <w:rFonts w:ascii="Utopia" w:eastAsia="Times" w:hAnsi="Utopia"/>
      <w:b/>
      <w:color w:val="FF6600"/>
      <w:sz w:val="22"/>
      <w:lang w:eastAsia="fr-FR"/>
    </w:rPr>
  </w:style>
  <w:style w:type="character" w:customStyle="1" w:styleId="Ttulo8Car">
    <w:name w:val="Título 8 Car"/>
    <w:basedOn w:val="Fuentedeprrafopredeter"/>
    <w:link w:val="Ttulo8"/>
    <w:rsid w:val="00BF4FFF"/>
    <w:rPr>
      <w:rFonts w:ascii="Times" w:eastAsia="Times" w:hAnsi="Times"/>
      <w:i/>
      <w:lang w:eastAsia="fr-FR"/>
    </w:rPr>
  </w:style>
  <w:style w:type="paragraph" w:styleId="Textoindependiente">
    <w:name w:val="Body Text"/>
    <w:basedOn w:val="Normal"/>
    <w:link w:val="TextoindependienteCar"/>
    <w:rsid w:val="00BF4FFF"/>
    <w:pPr>
      <w:spacing w:after="120"/>
    </w:pPr>
  </w:style>
  <w:style w:type="character" w:customStyle="1" w:styleId="TextoindependienteCar">
    <w:name w:val="Texto independiente Car"/>
    <w:basedOn w:val="Fuentedeprrafopredeter"/>
    <w:link w:val="Textoindependiente"/>
    <w:rsid w:val="00BF4FFF"/>
    <w:rPr>
      <w:rFonts w:ascii="Times" w:eastAsia="Times" w:hAnsi="Times"/>
      <w:lang w:eastAsia="fr-FR"/>
    </w:rPr>
  </w:style>
  <w:style w:type="paragraph" w:customStyle="1" w:styleId="Headline">
    <w:name w:val="Headline"/>
    <w:rsid w:val="00BF4FFF"/>
    <w:pPr>
      <w:spacing w:line="360" w:lineRule="exact"/>
    </w:pPr>
    <w:rPr>
      <w:rFonts w:ascii="Frutiger 95 UltraBlack" w:hAnsi="Frutiger 95 UltraBlack"/>
      <w:snapToGrid w:val="0"/>
      <w:sz w:val="28"/>
    </w:rPr>
  </w:style>
  <w:style w:type="paragraph" w:customStyle="1" w:styleId="Subhead">
    <w:name w:val="Subhead"/>
    <w:rsid w:val="00BF4FFF"/>
    <w:pPr>
      <w:spacing w:line="360" w:lineRule="exact"/>
    </w:pPr>
    <w:rPr>
      <w:rFonts w:ascii="Frutiger 55 Roman" w:hAnsi="Frutiger 55 Roman"/>
      <w:b/>
      <w:snapToGrid w:val="0"/>
      <w:sz w:val="28"/>
    </w:rPr>
  </w:style>
  <w:style w:type="paragraph" w:customStyle="1" w:styleId="Flietext">
    <w:name w:val="Fließtext"/>
    <w:rsid w:val="00BF4FFF"/>
    <w:pPr>
      <w:spacing w:line="360" w:lineRule="exact"/>
      <w:jc w:val="both"/>
    </w:pPr>
    <w:rPr>
      <w:rFonts w:ascii="Utopia" w:hAnsi="Utopia"/>
      <w:snapToGrid w:val="0"/>
      <w:lang w:val="de-DE"/>
    </w:rPr>
  </w:style>
  <w:style w:type="paragraph" w:styleId="Listaconvietas">
    <w:name w:val="List Bullet"/>
    <w:basedOn w:val="Normal"/>
    <w:autoRedefine/>
    <w:rsid w:val="00BF4FFF"/>
    <w:pPr>
      <w:numPr>
        <w:numId w:val="1"/>
      </w:numPr>
    </w:pPr>
  </w:style>
  <w:style w:type="paragraph" w:customStyle="1" w:styleId="TextoCONTINENTAL">
    <w:name w:val="Texto CONTINENTAL"/>
    <w:basedOn w:val="Textoindependiente"/>
    <w:rsid w:val="00BF4FFF"/>
    <w:pPr>
      <w:spacing w:after="240" w:line="360" w:lineRule="auto"/>
      <w:jc w:val="both"/>
    </w:pPr>
    <w:rPr>
      <w:color w:val="000000"/>
    </w:rPr>
  </w:style>
  <w:style w:type="character" w:styleId="Hipervnculo">
    <w:name w:val="Hyperlink"/>
    <w:basedOn w:val="Fuentedeprrafopredeter"/>
    <w:unhideWhenUsed/>
    <w:rsid w:val="00BF4FFF"/>
    <w:rPr>
      <w:color w:val="0000FF"/>
      <w:u w:val="single"/>
    </w:rPr>
  </w:style>
  <w:style w:type="paragraph" w:styleId="Textoindependiente3">
    <w:name w:val="Body Text 3"/>
    <w:basedOn w:val="Normal"/>
    <w:link w:val="Textoindependiente3Car"/>
    <w:rsid w:val="00BF4FFF"/>
    <w:pPr>
      <w:spacing w:after="120"/>
    </w:pPr>
    <w:rPr>
      <w:rFonts w:ascii="Times New Roman" w:hAnsi="Times New Roman"/>
      <w:snapToGrid w:val="0"/>
      <w:sz w:val="16"/>
      <w:szCs w:val="16"/>
      <w:lang w:val="fr-FR" w:eastAsia="es-ES"/>
    </w:rPr>
  </w:style>
  <w:style w:type="character" w:customStyle="1" w:styleId="Textoindependiente3Car">
    <w:name w:val="Texto independiente 3 Car"/>
    <w:basedOn w:val="Fuentedeprrafopredeter"/>
    <w:link w:val="Textoindependiente3"/>
    <w:rsid w:val="00BF4FFF"/>
    <w:rPr>
      <w:rFonts w:ascii="Times New Roman" w:eastAsia="Times" w:hAnsi="Times New Roman"/>
      <w:snapToGrid w:val="0"/>
      <w:sz w:val="16"/>
      <w:szCs w:val="16"/>
      <w:lang w:val="fr-FR" w:eastAsia="es-ES"/>
    </w:rPr>
  </w:style>
  <w:style w:type="paragraph" w:styleId="NormalWeb">
    <w:name w:val="Normal (Web)"/>
    <w:basedOn w:val="Normal"/>
    <w:rsid w:val="00BF4FFF"/>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Fuentedeprrafopredeter"/>
    <w:rsid w:val="00BF4FFF"/>
    <w:rPr>
      <w:sz w:val="20"/>
      <w:szCs w:val="20"/>
    </w:rPr>
  </w:style>
  <w:style w:type="character" w:styleId="Textoennegrita">
    <w:name w:val="Strong"/>
    <w:basedOn w:val="Fuentedeprrafopredeter"/>
    <w:qFormat/>
    <w:rsid w:val="00BF4FFF"/>
    <w:rPr>
      <w:b/>
      <w:bCs/>
    </w:rPr>
  </w:style>
  <w:style w:type="paragraph" w:styleId="Prrafodelista">
    <w:name w:val="List Paragraph"/>
    <w:basedOn w:val="Normal"/>
    <w:uiPriority w:val="34"/>
    <w:qFormat/>
    <w:rsid w:val="00BF4FFF"/>
    <w:pPr>
      <w:spacing w:after="200" w:line="276" w:lineRule="auto"/>
      <w:ind w:left="720"/>
      <w:contextualSpacing/>
    </w:pPr>
    <w:rPr>
      <w:rFonts w:ascii="Times New Roman" w:eastAsia="Calibri" w:hAnsi="Times New Roman"/>
      <w:szCs w:val="22"/>
      <w:lang w:val="es-ES"/>
    </w:rPr>
  </w:style>
  <w:style w:type="character" w:styleId="Refdecomentario">
    <w:name w:val="annotation reference"/>
    <w:basedOn w:val="Fuentedeprrafopredeter"/>
    <w:rsid w:val="00BF4FFF"/>
    <w:rPr>
      <w:sz w:val="18"/>
    </w:rPr>
  </w:style>
  <w:style w:type="paragraph" w:styleId="Textocomentario">
    <w:name w:val="annotation text"/>
    <w:basedOn w:val="Normal"/>
    <w:link w:val="TextocomentarioCar"/>
    <w:rsid w:val="00BF4FFF"/>
  </w:style>
  <w:style w:type="character" w:customStyle="1" w:styleId="TextocomentarioCar">
    <w:name w:val="Texto comentario Car"/>
    <w:basedOn w:val="Fuentedeprrafopredeter"/>
    <w:link w:val="Textocomentario"/>
    <w:rsid w:val="00BF4FFF"/>
    <w:rPr>
      <w:rFonts w:ascii="Times" w:eastAsia="Times" w:hAnsi="Times"/>
      <w:lang w:eastAsia="fr-FR"/>
    </w:rPr>
  </w:style>
  <w:style w:type="paragraph" w:styleId="Asuntodelcomentario">
    <w:name w:val="annotation subject"/>
    <w:basedOn w:val="Textocomentario"/>
    <w:next w:val="Textocomentario"/>
    <w:link w:val="AsuntodelcomentarioCar"/>
    <w:rsid w:val="00BF4FFF"/>
    <w:rPr>
      <w:sz w:val="22"/>
      <w:szCs w:val="20"/>
    </w:rPr>
  </w:style>
  <w:style w:type="character" w:customStyle="1" w:styleId="AsuntodelcomentarioCar">
    <w:name w:val="Asunto del comentario Car"/>
    <w:basedOn w:val="TextocomentarioCar"/>
    <w:link w:val="Asuntodelcomentario"/>
    <w:rsid w:val="00BF4FFF"/>
    <w:rPr>
      <w:rFonts w:ascii="Times" w:eastAsia="Times" w:hAnsi="Times"/>
      <w:sz w:val="22"/>
      <w:szCs w:val="20"/>
      <w:lang w:eastAsia="fr-FR"/>
    </w:rPr>
  </w:style>
  <w:style w:type="paragraph" w:styleId="Textonotapie">
    <w:name w:val="footnote text"/>
    <w:basedOn w:val="Normal"/>
    <w:link w:val="TextonotapieCar"/>
    <w:rsid w:val="00BF4FFF"/>
  </w:style>
  <w:style w:type="character" w:customStyle="1" w:styleId="TextonotapieCar">
    <w:name w:val="Texto nota pie Car"/>
    <w:basedOn w:val="Fuentedeprrafopredeter"/>
    <w:link w:val="Textonotapie"/>
    <w:rsid w:val="00BF4FFF"/>
    <w:rPr>
      <w:rFonts w:ascii="Times" w:eastAsia="Times" w:hAnsi="Times"/>
      <w:lang w:eastAsia="fr-FR"/>
    </w:rPr>
  </w:style>
  <w:style w:type="character" w:styleId="Refdenotaalpie">
    <w:name w:val="footnote reference"/>
    <w:basedOn w:val="Fuentedeprrafopredeter"/>
    <w:rsid w:val="00BF4FFF"/>
    <w:rPr>
      <w:vertAlign w:val="superscript"/>
    </w:rPr>
  </w:style>
  <w:style w:type="character" w:styleId="Hipervnculovisitado">
    <w:name w:val="FollowedHyperlink"/>
    <w:basedOn w:val="Fuentedeprrafopredeter"/>
    <w:rsid w:val="00BF4FFF"/>
    <w:rPr>
      <w:color w:val="800080"/>
      <w:u w:val="single"/>
    </w:rPr>
  </w:style>
  <w:style w:type="paragraph" w:customStyle="1" w:styleId="EntradillaMICHELIN">
    <w:name w:val="Entradilla MICHELIN"/>
    <w:basedOn w:val="Normal"/>
    <w:rsid w:val="00BF4FFF"/>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Fuentedeprrafopredeter"/>
    <w:rsid w:val="00BF4FFF"/>
  </w:style>
  <w:style w:type="paragraph" w:customStyle="1" w:styleId="SubheadMichelin">
    <w:name w:val="Subhead Michelin"/>
    <w:autoRedefine/>
    <w:rsid w:val="00BF4FFF"/>
    <w:pPr>
      <w:spacing w:line="360" w:lineRule="exact"/>
    </w:pPr>
    <w:rPr>
      <w:rFonts w:ascii="Frutiger 55 Roman" w:hAnsi="Frutiger 55 Roman"/>
      <w:b/>
      <w:snapToGrid w:val="0"/>
      <w:sz w:val="28"/>
    </w:rPr>
  </w:style>
  <w:style w:type="paragraph" w:customStyle="1" w:styleId="SUBTITULOMICHELIN">
    <w:name w:val="SUBTITULO MICHELIN"/>
    <w:basedOn w:val="Normal"/>
    <w:rsid w:val="00BF4FFF"/>
    <w:pPr>
      <w:spacing w:line="360" w:lineRule="exact"/>
    </w:pPr>
    <w:rPr>
      <w:rFonts w:ascii="Frutiger 45 Light" w:hAnsi="Frutiger 45 Light"/>
      <w:b/>
      <w:snapToGrid w:val="0"/>
      <w:sz w:val="36"/>
    </w:rPr>
  </w:style>
  <w:style w:type="paragraph" w:customStyle="1" w:styleId="TtuloDossier">
    <w:name w:val="Título Dossier"/>
    <w:basedOn w:val="Headline"/>
    <w:rsid w:val="00BF4FFF"/>
    <w:pPr>
      <w:spacing w:before="400" w:after="200" w:line="240" w:lineRule="auto"/>
      <w:jc w:val="center"/>
      <w:outlineLvl w:val="0"/>
    </w:pPr>
    <w:rPr>
      <w:color w:val="333399"/>
      <w:sz w:val="70"/>
    </w:rPr>
  </w:style>
  <w:style w:type="paragraph" w:customStyle="1" w:styleId="Dossierdeprensa">
    <w:name w:val="Dossier de prensa"/>
    <w:basedOn w:val="Headline"/>
    <w:rsid w:val="00BF4FFF"/>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BF4FFF"/>
    <w:pPr>
      <w:jc w:val="center"/>
    </w:pPr>
    <w:rPr>
      <w:rFonts w:ascii="Frutiger 45 Light" w:hAnsi="Frutiger 45 Light"/>
      <w:b/>
      <w:color w:val="000000"/>
      <w:sz w:val="36"/>
      <w:lang w:val="es-ES"/>
    </w:rPr>
  </w:style>
  <w:style w:type="paragraph" w:customStyle="1" w:styleId="Predeterminado">
    <w:name w:val="Predeterminado"/>
    <w:rsid w:val="00BF4FFF"/>
    <w:pPr>
      <w:widowControl w:val="0"/>
      <w:autoSpaceDE w:val="0"/>
      <w:autoSpaceDN w:val="0"/>
    </w:pPr>
    <w:rPr>
      <w:rFonts w:ascii="Times New Roman" w:hAnsi="Times New Roman"/>
      <w:lang w:eastAsia="es-ES"/>
    </w:rPr>
  </w:style>
  <w:style w:type="paragraph" w:styleId="Textoindependiente2">
    <w:name w:val="Body Text 2"/>
    <w:basedOn w:val="Normal"/>
    <w:link w:val="Textoindependiente2Car"/>
    <w:rsid w:val="00BF4FFF"/>
    <w:pPr>
      <w:spacing w:after="120" w:line="480" w:lineRule="auto"/>
    </w:pPr>
  </w:style>
  <w:style w:type="character" w:customStyle="1" w:styleId="Textoindependiente2Car">
    <w:name w:val="Texto independiente 2 Car"/>
    <w:basedOn w:val="Fuentedeprrafopredeter"/>
    <w:link w:val="Textoindependiente2"/>
    <w:rsid w:val="00BF4FFF"/>
    <w:rPr>
      <w:rFonts w:ascii="Times" w:eastAsia="Times" w:hAnsi="Times"/>
      <w:lang w:eastAsia="fr-FR"/>
    </w:rPr>
  </w:style>
  <w:style w:type="paragraph" w:styleId="Sangradetextonormal">
    <w:name w:val="Body Text Indent"/>
    <w:basedOn w:val="Normal"/>
    <w:link w:val="SangradetextonormalCar"/>
    <w:rsid w:val="00BF4FFF"/>
    <w:pPr>
      <w:spacing w:after="120"/>
      <w:ind w:left="283"/>
    </w:pPr>
    <w:rPr>
      <w:rFonts w:ascii="Utopia" w:eastAsia="Times New Roman" w:hAnsi="Utopia"/>
      <w:sz w:val="20"/>
    </w:rPr>
  </w:style>
  <w:style w:type="character" w:customStyle="1" w:styleId="SangradetextonormalCar">
    <w:name w:val="Sangría de texto normal Car"/>
    <w:basedOn w:val="Fuentedeprrafopredeter"/>
    <w:link w:val="Sangradetextonormal"/>
    <w:rsid w:val="00BF4FFF"/>
    <w:rPr>
      <w:rFonts w:ascii="Utopia" w:hAnsi="Utopia"/>
      <w:sz w:val="20"/>
      <w:lang w:eastAsia="fr-FR"/>
    </w:rPr>
  </w:style>
  <w:style w:type="paragraph" w:styleId="Textodebloque">
    <w:name w:val="Block Text"/>
    <w:basedOn w:val="Normal"/>
    <w:rsid w:val="00BF4FFF"/>
    <w:pPr>
      <w:ind w:left="1800" w:right="1990"/>
      <w:jc w:val="center"/>
    </w:pPr>
    <w:rPr>
      <w:rFonts w:ascii="Utopia" w:eastAsia="Times New Roman" w:hAnsi="Utopia"/>
      <w:b/>
      <w:color w:val="333399"/>
      <w:sz w:val="40"/>
    </w:rPr>
  </w:style>
  <w:style w:type="paragraph" w:styleId="Ttulo">
    <w:name w:val="Title"/>
    <w:basedOn w:val="Normal"/>
    <w:link w:val="TtuloCar"/>
    <w:qFormat/>
    <w:rsid w:val="00BF4FFF"/>
    <w:pPr>
      <w:jc w:val="center"/>
    </w:pPr>
    <w:rPr>
      <w:rFonts w:ascii="Frutiger 55 Roman" w:eastAsia="Times New Roman" w:hAnsi="Frutiger 55 Roman"/>
      <w:b/>
      <w:sz w:val="32"/>
    </w:rPr>
  </w:style>
  <w:style w:type="character" w:customStyle="1" w:styleId="TtuloCar">
    <w:name w:val="Título Car"/>
    <w:basedOn w:val="Fuentedeprrafopredeter"/>
    <w:link w:val="Ttulo"/>
    <w:rsid w:val="00BF4FFF"/>
    <w:rPr>
      <w:rFonts w:ascii="Frutiger 55 Roman" w:hAnsi="Frutiger 55 Roman"/>
      <w:b/>
      <w:sz w:val="32"/>
      <w:lang w:eastAsia="fr-FR"/>
    </w:rPr>
  </w:style>
  <w:style w:type="paragraph" w:customStyle="1" w:styleId="StyleTitre2Frutiger55Roman">
    <w:name w:val="Style Titre 2 + Frutiger 55 Roman"/>
    <w:basedOn w:val="Ttulo2"/>
    <w:autoRedefine/>
    <w:rsid w:val="00BF4FFF"/>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BF4FFF"/>
    <w:pPr>
      <w:autoSpaceDE w:val="0"/>
      <w:autoSpaceDN w:val="0"/>
      <w:jc w:val="both"/>
    </w:pPr>
    <w:rPr>
      <w:color w:val="000000"/>
      <w:sz w:val="24"/>
    </w:rPr>
  </w:style>
  <w:style w:type="paragraph" w:customStyle="1" w:styleId="TITULARBENDIX">
    <w:name w:val="TITULAR BENDIX"/>
    <w:basedOn w:val="Ttulo8"/>
    <w:rsid w:val="00BF4FFF"/>
    <w:pPr>
      <w:keepNext/>
      <w:spacing w:before="0" w:after="0"/>
      <w:ind w:right="11"/>
      <w:jc w:val="center"/>
    </w:pPr>
    <w:rPr>
      <w:rFonts w:eastAsia="Times New Roman"/>
      <w:b/>
      <w:i w:val="0"/>
      <w:caps/>
      <w:sz w:val="36"/>
    </w:rPr>
  </w:style>
  <w:style w:type="paragraph" w:customStyle="1" w:styleId="textoContinental0">
    <w:name w:val="texto Continental"/>
    <w:basedOn w:val="Normal"/>
    <w:rsid w:val="00BF4FFF"/>
    <w:pPr>
      <w:spacing w:after="240" w:line="360" w:lineRule="auto"/>
      <w:jc w:val="both"/>
    </w:pPr>
    <w:rPr>
      <w:rFonts w:ascii="Arial" w:hAnsi="Arial"/>
      <w:color w:val="000000"/>
      <w:sz w:val="22"/>
      <w:lang w:val="sl-SI"/>
    </w:rPr>
  </w:style>
  <w:style w:type="paragraph" w:customStyle="1" w:styleId="textocooper">
    <w:name w:val="texto cooper"/>
    <w:basedOn w:val="TextoCOOPER0"/>
    <w:rsid w:val="00BF4FFF"/>
    <w:pPr>
      <w:spacing w:line="360" w:lineRule="auto"/>
      <w:jc w:val="both"/>
    </w:pPr>
    <w:rPr>
      <w:b w:val="0"/>
      <w:sz w:val="24"/>
      <w:lang w:val="es-ES_tradnl"/>
    </w:rPr>
  </w:style>
  <w:style w:type="paragraph" w:customStyle="1" w:styleId="antetituloCONTINENTAL">
    <w:name w:val="antetitulo CONTINENTAL"/>
    <w:basedOn w:val="Ttulo2"/>
    <w:rsid w:val="00BF4FFF"/>
    <w:pPr>
      <w:spacing w:before="0" w:after="240" w:line="360" w:lineRule="auto"/>
    </w:pPr>
    <w:rPr>
      <w:rFonts w:ascii="Arial" w:hAnsi="Arial"/>
      <w:i w:val="0"/>
      <w:color w:val="000000"/>
      <w:sz w:val="22"/>
    </w:rPr>
  </w:style>
  <w:style w:type="paragraph" w:customStyle="1" w:styleId="titularCONTINENTAL">
    <w:name w:val="titular CONTINENTAL"/>
    <w:basedOn w:val="Normal"/>
    <w:rsid w:val="00BF4FFF"/>
    <w:pPr>
      <w:spacing w:after="240" w:line="360" w:lineRule="auto"/>
    </w:pPr>
    <w:rPr>
      <w:rFonts w:ascii="Arial" w:hAnsi="Arial"/>
      <w:b/>
      <w:color w:val="000000"/>
      <w:sz w:val="32"/>
    </w:rPr>
  </w:style>
  <w:style w:type="paragraph" w:customStyle="1" w:styleId="TextoCOOPER0">
    <w:name w:val="Texto COOPER"/>
    <w:basedOn w:val="Normal"/>
    <w:autoRedefine/>
    <w:rsid w:val="00BF4FFF"/>
    <w:pPr>
      <w:spacing w:after="240"/>
    </w:pPr>
    <w:rPr>
      <w:rFonts w:ascii="Arial" w:eastAsia="Times New Roman" w:hAnsi="Arial"/>
      <w:b/>
      <w:sz w:val="22"/>
      <w:lang w:val="de-DE"/>
    </w:rPr>
  </w:style>
  <w:style w:type="paragraph" w:customStyle="1" w:styleId="ENTRADILLABENDIX">
    <w:name w:val="ENTRADILLA BENDIX"/>
    <w:basedOn w:val="Normal"/>
    <w:rsid w:val="00BF4FFF"/>
    <w:pPr>
      <w:spacing w:after="240" w:line="360" w:lineRule="auto"/>
      <w:jc w:val="both"/>
    </w:pPr>
    <w:rPr>
      <w:rFonts w:eastAsia="Times New Roman"/>
      <w:b/>
    </w:rPr>
  </w:style>
  <w:style w:type="paragraph" w:customStyle="1" w:styleId="TEXTOBENDIX">
    <w:name w:val="TEXTO BENDIX"/>
    <w:basedOn w:val="Normal"/>
    <w:rsid w:val="00BF4FFF"/>
    <w:pPr>
      <w:spacing w:after="240" w:line="360" w:lineRule="auto"/>
      <w:jc w:val="both"/>
    </w:pPr>
    <w:rPr>
      <w:rFonts w:eastAsia="Times New Roman"/>
    </w:rPr>
  </w:style>
  <w:style w:type="paragraph" w:customStyle="1" w:styleId="TitularCOOPER">
    <w:name w:val="Titular COOPER"/>
    <w:basedOn w:val="Normal"/>
    <w:rsid w:val="00BF4FFF"/>
    <w:pPr>
      <w:spacing w:before="120" w:after="120"/>
      <w:jc w:val="center"/>
    </w:pPr>
    <w:rPr>
      <w:rFonts w:ascii="Arial" w:eastAsia="Times New Roman" w:hAnsi="Arial"/>
      <w:b/>
      <w:sz w:val="36"/>
    </w:rPr>
  </w:style>
  <w:style w:type="paragraph" w:customStyle="1" w:styleId="entradillaCOOPER">
    <w:name w:val="entradilla COOPER"/>
    <w:basedOn w:val="Ttulo2"/>
    <w:autoRedefine/>
    <w:rsid w:val="00BF4FFF"/>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BF4FFF"/>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BF4FFF"/>
    <w:rPr>
      <w:lang w:val="es-ES_tradnl"/>
    </w:rPr>
  </w:style>
  <w:style w:type="paragraph" w:customStyle="1" w:styleId="corporativoCONTINENTAL">
    <w:name w:val="corporativo CONTINENTAL"/>
    <w:basedOn w:val="TextoCONTINENTAL"/>
    <w:rsid w:val="00BF4FFF"/>
    <w:rPr>
      <w:rFonts w:ascii="Arial" w:hAnsi="Arial" w:cs="Arial"/>
      <w:bCs/>
      <w:sz w:val="18"/>
      <w:lang w:val="es-ES" w:eastAsia="es-ES"/>
    </w:rPr>
  </w:style>
  <w:style w:type="paragraph" w:customStyle="1" w:styleId="LADILLOMICHELINOK">
    <w:name w:val="LADILLO MICHELIN OK"/>
    <w:basedOn w:val="Normal"/>
    <w:rsid w:val="00BF4FFF"/>
    <w:pPr>
      <w:spacing w:before="600" w:after="240" w:line="360" w:lineRule="exact"/>
    </w:pPr>
    <w:rPr>
      <w:rFonts w:ascii="Arial" w:hAnsi="Arial"/>
      <w:b/>
      <w:bCs/>
      <w:snapToGrid w:val="0"/>
      <w:color w:val="333399"/>
      <w:sz w:val="28"/>
      <w:lang w:val="es-ES"/>
    </w:rPr>
  </w:style>
  <w:style w:type="paragraph" w:customStyle="1" w:styleId="LadilloMichelinDossier">
    <w:name w:val="Ladillo Michelin Dossier"/>
    <w:basedOn w:val="TextoMichelin"/>
    <w:rsid w:val="00BF4FFF"/>
    <w:pPr>
      <w:spacing w:before="480" w:after="120"/>
      <w:jc w:val="left"/>
    </w:pPr>
    <w:rPr>
      <w:rFonts w:ascii="Times" w:hAnsi="Times"/>
      <w:b/>
      <w:sz w:val="26"/>
    </w:rPr>
  </w:style>
  <w:style w:type="table" w:styleId="Tablaconcuadrcula">
    <w:name w:val="Table Grid"/>
    <w:basedOn w:val="Tablanormal"/>
    <w:rsid w:val="00BF4FF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BF4FFF"/>
    <w:pPr>
      <w:jc w:val="both"/>
    </w:pPr>
    <w:rPr>
      <w:rFonts w:ascii="Trebuchet MS" w:eastAsia="Times New Roman" w:hAnsi="Trebuchet MS"/>
      <w:b/>
      <w:kern w:val="32"/>
      <w:sz w:val="22"/>
      <w:lang w:eastAsia="en-US"/>
    </w:rPr>
  </w:style>
  <w:style w:type="paragraph" w:customStyle="1" w:styleId="Normal2">
    <w:name w:val="Normal 2"/>
    <w:basedOn w:val="Normal"/>
    <w:autoRedefine/>
    <w:rsid w:val="00BF4FFF"/>
    <w:pPr>
      <w:jc w:val="both"/>
    </w:pPr>
    <w:rPr>
      <w:rFonts w:ascii="Helvetica" w:eastAsia="Times New Roman" w:hAnsi="Helvetica"/>
      <w:lang w:eastAsia="en-US"/>
    </w:rPr>
  </w:style>
  <w:style w:type="character" w:styleId="nfasis">
    <w:name w:val="Emphasis"/>
    <w:basedOn w:val="Fuentedeprrafopredeter"/>
    <w:qFormat/>
    <w:rsid w:val="00BF4FFF"/>
    <w:rPr>
      <w:i/>
      <w:iCs/>
    </w:rPr>
  </w:style>
  <w:style w:type="character" w:customStyle="1" w:styleId="tw4winMark">
    <w:name w:val="tw4winMark"/>
    <w:rsid w:val="00BF4FFF"/>
    <w:rPr>
      <w:rFonts w:ascii="Courier New" w:hAnsi="Courier New" w:cs="Courier New"/>
      <w:vanish/>
      <w:color w:val="800080"/>
      <w:sz w:val="24"/>
      <w:szCs w:val="24"/>
      <w:vertAlign w:val="subscript"/>
    </w:rPr>
  </w:style>
  <w:style w:type="character" w:customStyle="1" w:styleId="tw4winError">
    <w:name w:val="tw4winError"/>
    <w:rsid w:val="00BF4FFF"/>
    <w:rPr>
      <w:rFonts w:ascii="Courier New" w:hAnsi="Courier New" w:cs="Courier New"/>
      <w:color w:val="00FF00"/>
      <w:sz w:val="40"/>
      <w:szCs w:val="40"/>
    </w:rPr>
  </w:style>
  <w:style w:type="character" w:customStyle="1" w:styleId="tw4winTerm">
    <w:name w:val="tw4winTerm"/>
    <w:rsid w:val="00BF4FFF"/>
    <w:rPr>
      <w:color w:val="0000FF"/>
    </w:rPr>
  </w:style>
  <w:style w:type="character" w:customStyle="1" w:styleId="tw4winPopup">
    <w:name w:val="tw4winPopup"/>
    <w:rsid w:val="00BF4FFF"/>
    <w:rPr>
      <w:rFonts w:ascii="Courier New" w:hAnsi="Courier New" w:cs="Courier New"/>
      <w:noProof/>
      <w:color w:val="008000"/>
    </w:rPr>
  </w:style>
  <w:style w:type="character" w:customStyle="1" w:styleId="tw4winJump">
    <w:name w:val="tw4winJump"/>
    <w:rsid w:val="00BF4FFF"/>
    <w:rPr>
      <w:rFonts w:ascii="Courier New" w:hAnsi="Courier New" w:cs="Courier New"/>
      <w:noProof/>
      <w:color w:val="008080"/>
    </w:rPr>
  </w:style>
  <w:style w:type="character" w:customStyle="1" w:styleId="tw4winExternal">
    <w:name w:val="tw4winExternal"/>
    <w:rsid w:val="00BF4FFF"/>
    <w:rPr>
      <w:rFonts w:ascii="Courier New" w:hAnsi="Courier New" w:cs="Courier New"/>
      <w:noProof/>
      <w:color w:val="808080"/>
    </w:rPr>
  </w:style>
  <w:style w:type="character" w:customStyle="1" w:styleId="tw4winInternal">
    <w:name w:val="tw4winInternal"/>
    <w:rsid w:val="00BF4FFF"/>
    <w:rPr>
      <w:rFonts w:ascii="Courier New" w:hAnsi="Courier New" w:cs="Courier New"/>
      <w:noProof/>
      <w:color w:val="FF0000"/>
    </w:rPr>
  </w:style>
  <w:style w:type="character" w:customStyle="1" w:styleId="DONOTTRANSLATE">
    <w:name w:val="DO_NOT_TRANSLATE"/>
    <w:rsid w:val="00BF4FFF"/>
    <w:rPr>
      <w:rFonts w:ascii="Courier New" w:hAnsi="Courier New" w:cs="Courier New"/>
      <w:noProof/>
      <w:color w:val="800000"/>
    </w:rPr>
  </w:style>
  <w:style w:type="paragraph" w:styleId="Textosinformato">
    <w:name w:val="Plain Text"/>
    <w:basedOn w:val="Normal"/>
    <w:link w:val="TextosinformatoCar"/>
    <w:rsid w:val="00BF4FFF"/>
    <w:rPr>
      <w:rFonts w:ascii="Courier New" w:eastAsia="Times New Roman" w:hAnsi="Courier New" w:cs="Courier New"/>
      <w:sz w:val="20"/>
      <w:lang w:val="fr-FR"/>
    </w:rPr>
  </w:style>
  <w:style w:type="character" w:customStyle="1" w:styleId="TextosinformatoCar">
    <w:name w:val="Texto sin formato Car"/>
    <w:basedOn w:val="Fuentedeprrafopredeter"/>
    <w:link w:val="Textosinformato"/>
    <w:rsid w:val="00BF4FFF"/>
    <w:rPr>
      <w:rFonts w:ascii="Courier New" w:hAnsi="Courier New" w:cs="Courier New"/>
      <w:sz w:val="20"/>
      <w:lang w:val="fr-FR" w:eastAsia="fr-FR"/>
    </w:rPr>
  </w:style>
  <w:style w:type="paragraph" w:customStyle="1" w:styleId="CarCarCarCarCarCarCarCarCar">
    <w:name w:val="Car Car Car Car Car Car Car Car Car"/>
    <w:basedOn w:val="Normal"/>
    <w:rsid w:val="00BF4FFF"/>
    <w:pPr>
      <w:spacing w:after="160" w:line="240" w:lineRule="exact"/>
    </w:pPr>
    <w:rPr>
      <w:rFonts w:ascii="Times New Roman" w:eastAsia="Times New Roman" w:hAnsi="Times New Roman"/>
      <w:sz w:val="20"/>
      <w:lang w:val="fr-FR" w:eastAsia="en-US"/>
    </w:rPr>
  </w:style>
  <w:style w:type="character" w:customStyle="1" w:styleId="CorpsdetexteCar">
    <w:name w:val="Corps de texte Car"/>
    <w:basedOn w:val="Fuentedeprrafopredeter"/>
    <w:rsid w:val="00BF4FFF"/>
    <w:rPr>
      <w:rFonts w:ascii="Arial" w:hAnsi="Arial"/>
      <w:szCs w:val="24"/>
      <w:lang w:val="fr-FR" w:eastAsia="en-GB" w:bidi="ar-SA"/>
    </w:rPr>
  </w:style>
  <w:style w:type="paragraph" w:customStyle="1" w:styleId="corpsdetexte">
    <w:name w:val="corps de texte"/>
    <w:basedOn w:val="Normal"/>
    <w:rsid w:val="00BF4FFF"/>
    <w:pPr>
      <w:ind w:right="7510"/>
      <w:jc w:val="both"/>
    </w:pPr>
    <w:rPr>
      <w:rFonts w:ascii="Arial" w:eastAsia="Times New Roman" w:hAnsi="Arial"/>
      <w:sz w:val="18"/>
      <w:szCs w:val="18"/>
      <w:lang w:val="fr-FR" w:eastAsia="en-GB"/>
    </w:rPr>
  </w:style>
  <w:style w:type="character" w:customStyle="1" w:styleId="corpsdetexteCar0">
    <w:name w:val="corps de texte Car"/>
    <w:basedOn w:val="Fuentedeprrafopredeter"/>
    <w:rsid w:val="00BF4FFF"/>
    <w:rPr>
      <w:rFonts w:ascii="Arial" w:hAnsi="Arial"/>
      <w:sz w:val="18"/>
      <w:szCs w:val="18"/>
      <w:lang w:val="fr-FR" w:eastAsia="en-GB" w:bidi="ar-SA"/>
    </w:rPr>
  </w:style>
  <w:style w:type="paragraph" w:customStyle="1" w:styleId="1">
    <w:name w:val="1"/>
    <w:basedOn w:val="Normal"/>
    <w:rsid w:val="00BF4FFF"/>
    <w:pPr>
      <w:spacing w:after="160" w:line="240" w:lineRule="exact"/>
    </w:pPr>
    <w:rPr>
      <w:rFonts w:ascii="Times New Roman" w:eastAsia="Times New Roman" w:hAnsi="Times New Roman"/>
      <w:sz w:val="20"/>
      <w:lang w:val="fr-FR" w:eastAsia="en-US"/>
    </w:rPr>
  </w:style>
  <w:style w:type="paragraph" w:customStyle="1" w:styleId="Note">
    <w:name w:val="Note"/>
    <w:basedOn w:val="Textoindependiente"/>
    <w:rsid w:val="00BF4FFF"/>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Textoindependiente"/>
    <w:rsid w:val="00BF4FFF"/>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basedOn w:val="corpsdetexteCar0"/>
    <w:rsid w:val="00BF4FFF"/>
    <w:rPr>
      <w:rFonts w:ascii="Arial" w:hAnsi="Arial" w:cs="Verdana"/>
      <w:sz w:val="18"/>
      <w:szCs w:val="18"/>
      <w:lang w:val="fr-FR" w:eastAsia="en-GB" w:bidi="fr-FR"/>
    </w:rPr>
  </w:style>
  <w:style w:type="paragraph" w:customStyle="1" w:styleId="Titreinfo">
    <w:name w:val="Titre info"/>
    <w:basedOn w:val="Textoindependiente"/>
    <w:next w:val="Textoindependiente"/>
    <w:rsid w:val="00BF4FFF"/>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Textoindependiente"/>
    <w:rsid w:val="00BF4FFF"/>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BF4FFF"/>
    <w:pPr>
      <w:spacing w:after="160" w:line="240" w:lineRule="exact"/>
    </w:pPr>
    <w:rPr>
      <w:rFonts w:ascii="Times New Roman" w:eastAsia="Times New Roman" w:hAnsi="Times New Roman"/>
      <w:sz w:val="20"/>
      <w:lang w:val="fr-FR" w:eastAsia="en-US"/>
    </w:rPr>
  </w:style>
  <w:style w:type="numbering" w:customStyle="1" w:styleId="NoList1">
    <w:name w:val="No List1"/>
    <w:next w:val="Sinlista"/>
    <w:semiHidden/>
    <w:unhideWhenUsed/>
    <w:rsid w:val="00BF4FFF"/>
  </w:style>
  <w:style w:type="table" w:customStyle="1" w:styleId="TableGrid1">
    <w:name w:val="Table Grid1"/>
    <w:basedOn w:val="Tablanormal"/>
    <w:next w:val="Tablaconcuadrcula"/>
    <w:rsid w:val="00BF4FFF"/>
    <w:rPr>
      <w:rFonts w:ascii="Times New Roman" w:eastAsia="MS Mincho" w:hAnsi="Times New Roman"/>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news1">
    <w:name w:val="summary_news1"/>
    <w:rsid w:val="00BF4FFF"/>
    <w:rPr>
      <w:rFonts w:ascii="Arial" w:hAnsi="Arial" w:cs="Arial" w:hint="default"/>
      <w:b w:val="0"/>
      <w:bCs w:val="0"/>
      <w:color w:val="666666"/>
      <w:sz w:val="21"/>
      <w:szCs w:val="21"/>
    </w:rPr>
  </w:style>
  <w:style w:type="paragraph" w:customStyle="1" w:styleId="Body1">
    <w:name w:val="Body 1"/>
    <w:rsid w:val="00D8177B"/>
    <w:pPr>
      <w:outlineLvl w:val="0"/>
    </w:pPr>
    <w:rPr>
      <w:rFonts w:ascii="Times New Roman" w:eastAsia="Arial Unicode MS" w:hAnsi="Times New Roman"/>
      <w:color w:val="000000"/>
      <w:szCs w:val="20"/>
      <w:u w:color="000000"/>
    </w:rPr>
  </w:style>
  <w:style w:type="paragraph" w:styleId="Lista2">
    <w:name w:val="List 2"/>
    <w:basedOn w:val="Normal"/>
    <w:rsid w:val="00B527E0"/>
    <w:pPr>
      <w:numPr>
        <w:numId w:val="7"/>
      </w:numPr>
    </w:pPr>
    <w:rPr>
      <w:rFonts w:ascii="Times New Roman" w:eastAsia="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57286866">
      <w:bodyDiv w:val="1"/>
      <w:marLeft w:val="0"/>
      <w:marRight w:val="0"/>
      <w:marTop w:val="0"/>
      <w:marBottom w:val="0"/>
      <w:divBdr>
        <w:top w:val="none" w:sz="0" w:space="0" w:color="auto"/>
        <w:left w:val="none" w:sz="0" w:space="0" w:color="auto"/>
        <w:bottom w:val="none" w:sz="0" w:space="0" w:color="auto"/>
        <w:right w:val="none" w:sz="0" w:space="0" w:color="auto"/>
      </w:divBdr>
    </w:div>
    <w:div w:id="711464002">
      <w:bodyDiv w:val="1"/>
      <w:marLeft w:val="0"/>
      <w:marRight w:val="0"/>
      <w:marTop w:val="0"/>
      <w:marBottom w:val="0"/>
      <w:divBdr>
        <w:top w:val="none" w:sz="0" w:space="0" w:color="auto"/>
        <w:left w:val="none" w:sz="0" w:space="0" w:color="auto"/>
        <w:bottom w:val="none" w:sz="0" w:space="0" w:color="auto"/>
        <w:right w:val="none" w:sz="0" w:space="0" w:color="auto"/>
      </w:divBdr>
    </w:div>
    <w:div w:id="190035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helin.com/corporate/finance" TargetMode="External"/><Relationship Id="rId8" Type="http://schemas.openxmlformats.org/officeDocument/2006/relationships/hyperlink" Target="http://www.michelin.com"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2981</Words>
  <Characters>16996</Characters>
  <Application>Microsoft Macintosh Word</Application>
  <DocSecurity>0</DocSecurity>
  <Lines>141</Lines>
  <Paragraphs>33</Paragraphs>
  <ScaleCrop>false</ScaleCrop>
  <HeadingPairs>
    <vt:vector size="8" baseType="variant">
      <vt:variant>
        <vt:lpstr>Título</vt:lpstr>
      </vt:variant>
      <vt:variant>
        <vt:i4>1</vt:i4>
      </vt:variant>
      <vt:variant>
        <vt:lpstr>Títulos</vt:lpstr>
      </vt:variant>
      <vt:variant>
        <vt:i4>11</vt:i4>
      </vt:variant>
      <vt:variant>
        <vt:lpstr>Title</vt:lpstr>
      </vt:variant>
      <vt:variant>
        <vt:i4>1</vt:i4>
      </vt:variant>
      <vt:variant>
        <vt:lpstr>Headings</vt:lpstr>
      </vt:variant>
      <vt:variant>
        <vt:i4>8</vt:i4>
      </vt:variant>
    </vt:vector>
  </HeadingPairs>
  <TitlesOfParts>
    <vt:vector size="21" baseType="lpstr">
      <vt:lpstr/>
      <vt:lpstr>INFORMACIÓN DE PRENSA 11/02/2014</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20872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2</cp:revision>
  <cp:lastPrinted>2014-02-11T15:51:00Z</cp:lastPrinted>
  <dcterms:created xsi:type="dcterms:W3CDTF">2014-02-11T15:51:00Z</dcterms:created>
  <dcterms:modified xsi:type="dcterms:W3CDTF">2014-02-11T15:51:00Z</dcterms:modified>
</cp:coreProperties>
</file>