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6273FC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6273FC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6273FC">
        <w:rPr>
          <w:rFonts w:cs="Times"/>
          <w:noProof/>
          <w:color w:val="808080"/>
          <w:lang w:val="pt-PT"/>
        </w:rPr>
        <w:br/>
      </w:r>
      <w:r w:rsidR="00040721" w:rsidRPr="006273FC">
        <w:rPr>
          <w:rFonts w:cs="Times"/>
          <w:noProof/>
          <w:color w:val="808080"/>
          <w:lang w:val="pt-PT"/>
        </w:rPr>
        <w:fldChar w:fldCharType="begin"/>
      </w:r>
      <w:r w:rsidRPr="006273FC">
        <w:rPr>
          <w:rFonts w:cs="Times"/>
          <w:noProof/>
          <w:color w:val="808080"/>
          <w:lang w:val="pt-PT"/>
        </w:rPr>
        <w:instrText xml:space="preserve"> TIME \@ "dd/MM/yyyy" </w:instrText>
      </w:r>
      <w:r w:rsidR="00040721" w:rsidRPr="006273FC">
        <w:rPr>
          <w:rFonts w:cs="Times"/>
          <w:noProof/>
          <w:color w:val="808080"/>
          <w:lang w:val="pt-PT"/>
        </w:rPr>
        <w:fldChar w:fldCharType="separate"/>
      </w:r>
      <w:r w:rsidR="00171BC3">
        <w:rPr>
          <w:rFonts w:cs="Times"/>
          <w:noProof/>
          <w:color w:val="808080"/>
          <w:lang w:val="pt-PT"/>
        </w:rPr>
        <w:t>12</w:t>
      </w:r>
      <w:r w:rsidR="00171BC3" w:rsidRPr="006273FC">
        <w:rPr>
          <w:rFonts w:cs="Times"/>
          <w:noProof/>
          <w:color w:val="808080"/>
          <w:lang w:val="pt-PT"/>
        </w:rPr>
        <w:t>/</w:t>
      </w:r>
      <w:r w:rsidR="00171BC3">
        <w:rPr>
          <w:rFonts w:cs="Times"/>
          <w:noProof/>
          <w:color w:val="808080"/>
          <w:lang w:val="pt-PT"/>
        </w:rPr>
        <w:t>02</w:t>
      </w:r>
      <w:r w:rsidR="00171BC3" w:rsidRPr="006273FC">
        <w:rPr>
          <w:rFonts w:cs="Times"/>
          <w:noProof/>
          <w:color w:val="808080"/>
          <w:lang w:val="pt-PT"/>
        </w:rPr>
        <w:t>/</w:t>
      </w:r>
      <w:r w:rsidR="00171BC3">
        <w:rPr>
          <w:rFonts w:cs="Times"/>
          <w:noProof/>
          <w:color w:val="808080"/>
          <w:lang w:val="pt-PT"/>
        </w:rPr>
        <w:t>2014</w:t>
      </w:r>
      <w:r w:rsidR="00040721" w:rsidRPr="006273FC">
        <w:rPr>
          <w:rFonts w:cs="Times"/>
          <w:noProof/>
          <w:color w:val="808080"/>
          <w:lang w:val="pt-PT"/>
        </w:rPr>
        <w:fldChar w:fldCharType="end"/>
      </w:r>
    </w:p>
    <w:p w:rsidR="001466B0" w:rsidRPr="006273FC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BF4FFF" w:rsidRPr="006273FC" w:rsidRDefault="00BF4FFF" w:rsidP="00BF4FFF">
      <w:pPr>
        <w:spacing w:after="120" w:line="360" w:lineRule="exact"/>
        <w:rPr>
          <w:b/>
          <w:noProof/>
          <w:color w:val="365F91" w:themeColor="accent1" w:themeShade="BF"/>
          <w:sz w:val="28"/>
          <w:szCs w:val="26"/>
          <w:lang w:val="pt-PT"/>
        </w:rPr>
      </w:pPr>
      <w:r w:rsidRPr="006273FC">
        <w:rPr>
          <w:b/>
          <w:bCs/>
          <w:noProof/>
          <w:snapToGrid w:val="0"/>
          <w:color w:val="333399"/>
          <w:sz w:val="40"/>
          <w:szCs w:val="26"/>
          <w:lang w:val="pt-PT"/>
        </w:rPr>
        <w:t>Resultados financeiros do Grupo Michelin</w:t>
      </w:r>
      <w:r w:rsidRPr="006273FC">
        <w:rPr>
          <w:noProof/>
          <w:snapToGrid w:val="0"/>
          <w:color w:val="333399"/>
          <w:sz w:val="40"/>
          <w:szCs w:val="26"/>
          <w:lang w:val="pt-PT"/>
        </w:rPr>
        <w:t xml:space="preserve"> </w:t>
      </w:r>
      <w:r w:rsidRPr="006273FC">
        <w:rPr>
          <w:noProof/>
          <w:snapToGrid w:val="0"/>
          <w:color w:val="333399"/>
          <w:sz w:val="40"/>
          <w:szCs w:val="26"/>
          <w:lang w:val="pt-PT"/>
        </w:rPr>
        <w:br/>
      </w:r>
      <w:r w:rsidRPr="006273FC">
        <w:rPr>
          <w:b/>
          <w:bCs/>
          <w:noProof/>
          <w:color w:val="365F91" w:themeColor="accent1" w:themeShade="BF"/>
          <w:sz w:val="28"/>
          <w:szCs w:val="26"/>
          <w:lang w:val="pt-PT"/>
        </w:rPr>
        <w:t>Informação financeira correspondente a 31 de dezembro de 2013</w:t>
      </w:r>
    </w:p>
    <w:p w:rsidR="00BF4FFF" w:rsidRPr="006273FC" w:rsidRDefault="00BF4FFF" w:rsidP="00BF4FFF">
      <w:pPr>
        <w:jc w:val="center"/>
        <w:rPr>
          <w:rFonts w:ascii="Verdana" w:eastAsia="Times New Roman" w:hAnsi="Verdana"/>
          <w:b/>
          <w:noProof/>
          <w:sz w:val="18"/>
          <w:szCs w:val="18"/>
          <w:lang w:val="pt-PT"/>
        </w:rPr>
      </w:pPr>
    </w:p>
    <w:p w:rsidR="00B15D59" w:rsidRPr="006273FC" w:rsidRDefault="00B15D59" w:rsidP="00B1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noProof/>
          <w:sz w:val="22"/>
          <w:szCs w:val="22"/>
          <w:lang w:val="pt-PT"/>
        </w:rPr>
      </w:pPr>
      <w:r w:rsidRPr="006273FC">
        <w:rPr>
          <w:rFonts w:ascii="Arial" w:hAnsi="Arial"/>
          <w:b/>
          <w:bCs/>
          <w:noProof/>
          <w:sz w:val="22"/>
          <w:szCs w:val="22"/>
          <w:u w:val="single"/>
          <w:lang w:val="pt-PT"/>
        </w:rPr>
        <w:t>2013</w:t>
      </w:r>
      <w:r w:rsidRPr="006273FC">
        <w:rPr>
          <w:rFonts w:ascii="Arial" w:hAnsi="Arial"/>
          <w:b/>
          <w:bCs/>
          <w:noProof/>
          <w:sz w:val="22"/>
          <w:szCs w:val="22"/>
          <w:lang w:val="pt-PT"/>
        </w:rPr>
        <w:t>:</w:t>
      </w:r>
      <w:r w:rsidRPr="006273FC">
        <w:rPr>
          <w:rFonts w:ascii="Arial" w:hAnsi="Arial"/>
          <w:noProof/>
          <w:sz w:val="22"/>
          <w:szCs w:val="22"/>
          <w:lang w:val="pt-PT"/>
        </w:rPr>
        <w:t xml:space="preserve"> </w:t>
      </w:r>
      <w:r w:rsidRPr="006273FC">
        <w:rPr>
          <w:rFonts w:ascii="Arial" w:hAnsi="Arial"/>
          <w:b/>
          <w:bCs/>
          <w:noProof/>
          <w:sz w:val="22"/>
          <w:szCs w:val="22"/>
          <w:lang w:val="pt-PT"/>
        </w:rPr>
        <w:t xml:space="preserve">Importante criação de </w:t>
      </w:r>
      <w:r w:rsidRPr="006273FC">
        <w:rPr>
          <w:rFonts w:ascii="Arial" w:hAnsi="Arial"/>
          <w:b/>
          <w:bCs/>
          <w:i/>
          <w:iCs/>
          <w:noProof/>
          <w:sz w:val="22"/>
          <w:szCs w:val="22"/>
          <w:lang w:val="pt-PT"/>
        </w:rPr>
        <w:t xml:space="preserve">cash flow </w:t>
      </w:r>
      <w:r w:rsidRPr="006273FC">
        <w:rPr>
          <w:rFonts w:ascii="Arial" w:hAnsi="Arial"/>
          <w:b/>
          <w:bCs/>
          <w:noProof/>
          <w:sz w:val="22"/>
          <w:szCs w:val="22"/>
          <w:lang w:val="pt-PT"/>
        </w:rPr>
        <w:t>livre, de 1.154 milhões de euros.</w:t>
      </w:r>
    </w:p>
    <w:p w:rsidR="00B15D59" w:rsidRPr="006273FC" w:rsidRDefault="00E03137" w:rsidP="00B1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noProof/>
          <w:sz w:val="22"/>
          <w:szCs w:val="22"/>
          <w:u w:val="single"/>
          <w:lang w:val="pt-PT"/>
        </w:rPr>
      </w:pPr>
      <w:r w:rsidRPr="006273FC">
        <w:rPr>
          <w:rFonts w:ascii="Arial" w:hAnsi="Arial"/>
          <w:b/>
          <w:bCs/>
          <w:noProof/>
          <w:sz w:val="22"/>
          <w:szCs w:val="22"/>
          <w:lang w:val="pt-PT"/>
        </w:rPr>
        <w:t>Quarto ano a criar valor, com um retorno sobre capitais</w:t>
      </w:r>
      <w:r w:rsidRPr="006273FC">
        <w:rPr>
          <w:rFonts w:ascii="Arial" w:hAnsi="Arial"/>
          <w:noProof/>
          <w:sz w:val="22"/>
          <w:szCs w:val="22"/>
          <w:lang w:val="pt-PT"/>
        </w:rPr>
        <w:t xml:space="preserve"> </w:t>
      </w:r>
      <w:r w:rsidRPr="006273FC">
        <w:rPr>
          <w:rFonts w:ascii="Arial" w:hAnsi="Arial"/>
          <w:noProof/>
          <w:sz w:val="22"/>
          <w:szCs w:val="22"/>
          <w:lang w:val="pt-PT"/>
        </w:rPr>
        <w:br/>
      </w:r>
      <w:r w:rsidRPr="006273FC">
        <w:rPr>
          <w:rFonts w:ascii="Arial" w:hAnsi="Arial"/>
          <w:b/>
          <w:bCs/>
          <w:noProof/>
          <w:sz w:val="22"/>
          <w:szCs w:val="22"/>
          <w:lang w:val="pt-PT"/>
        </w:rPr>
        <w:t>empregues de 11,9 %.</w:t>
      </w:r>
    </w:p>
    <w:p w:rsidR="00B15D59" w:rsidRPr="006273FC" w:rsidRDefault="002D7E0A" w:rsidP="00B1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noProof/>
          <w:sz w:val="22"/>
          <w:szCs w:val="22"/>
          <w:lang w:val="pt-PT"/>
        </w:rPr>
      </w:pPr>
      <w:r w:rsidRPr="006273FC">
        <w:rPr>
          <w:rFonts w:ascii="Arial" w:hAnsi="Arial"/>
          <w:b/>
          <w:bCs/>
          <w:noProof/>
          <w:sz w:val="22"/>
          <w:szCs w:val="22"/>
          <w:lang w:val="pt-PT"/>
        </w:rPr>
        <w:t>Resultado operacional antes de elementos não recorrentes de 2.234 milhões de euros, com um aumento de 41 milhões de euros com perímetro de consolidação e taxa de câmbio constantes.</w:t>
      </w:r>
    </w:p>
    <w:p w:rsidR="00BF4FFF" w:rsidRPr="006273FC" w:rsidRDefault="00B15D59" w:rsidP="00B1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noProof/>
          <w:sz w:val="22"/>
          <w:szCs w:val="22"/>
          <w:lang w:val="pt-PT"/>
        </w:rPr>
      </w:pPr>
      <w:r w:rsidRPr="006273FC">
        <w:rPr>
          <w:rFonts w:ascii="Arial" w:hAnsi="Arial"/>
          <w:b/>
          <w:bCs/>
          <w:noProof/>
          <w:sz w:val="22"/>
          <w:szCs w:val="22"/>
          <w:u w:val="single"/>
          <w:lang w:val="pt-PT"/>
        </w:rPr>
        <w:t>2014</w:t>
      </w:r>
      <w:r w:rsidRPr="006273FC">
        <w:rPr>
          <w:rFonts w:ascii="Arial" w:hAnsi="Arial"/>
          <w:b/>
          <w:bCs/>
          <w:noProof/>
          <w:sz w:val="22"/>
          <w:szCs w:val="22"/>
          <w:lang w:val="pt-PT"/>
        </w:rPr>
        <w:t>:</w:t>
      </w:r>
      <w:r w:rsidRPr="006273FC">
        <w:rPr>
          <w:rFonts w:ascii="Arial" w:hAnsi="Arial"/>
          <w:noProof/>
          <w:sz w:val="22"/>
          <w:szCs w:val="22"/>
          <w:lang w:val="pt-PT"/>
        </w:rPr>
        <w:t xml:space="preserve"> </w:t>
      </w:r>
      <w:r w:rsidRPr="006273FC">
        <w:rPr>
          <w:rFonts w:ascii="Arial" w:hAnsi="Arial"/>
          <w:b/>
          <w:bCs/>
          <w:noProof/>
          <w:sz w:val="22"/>
          <w:szCs w:val="22"/>
          <w:lang w:val="pt-PT"/>
        </w:rPr>
        <w:t>Etapa em consonância com os objetivos para 2015</w:t>
      </w:r>
      <w:r w:rsidRPr="006273FC">
        <w:rPr>
          <w:rStyle w:val="FootnoteReference"/>
          <w:rFonts w:ascii="Arial" w:hAnsi="Arial"/>
          <w:noProof/>
          <w:sz w:val="32"/>
          <w:szCs w:val="22"/>
          <w:lang w:val="pt-PT"/>
        </w:rPr>
        <w:sym w:font="Symbol" w:char="F02A"/>
      </w:r>
      <w:r w:rsidRPr="006273FC">
        <w:rPr>
          <w:rFonts w:ascii="Arial" w:hAnsi="Arial"/>
          <w:noProof/>
          <w:sz w:val="22"/>
          <w:szCs w:val="22"/>
          <w:lang w:val="pt-PT"/>
        </w:rPr>
        <w:t xml:space="preserve"> </w:t>
      </w:r>
    </w:p>
    <w:p w:rsidR="00BF4FFF" w:rsidRPr="006273FC" w:rsidRDefault="00BF4FFF" w:rsidP="00BF4FFF">
      <w:pPr>
        <w:jc w:val="center"/>
        <w:rPr>
          <w:rFonts w:ascii="Verdana" w:eastAsia="Times New Roman" w:hAnsi="Verdana"/>
          <w:b/>
          <w:noProof/>
          <w:sz w:val="18"/>
          <w:szCs w:val="18"/>
          <w:lang w:val="pt-PT"/>
        </w:rPr>
      </w:pPr>
    </w:p>
    <w:p w:rsidR="00007A97" w:rsidRPr="006273FC" w:rsidRDefault="0004396E" w:rsidP="00EE5164">
      <w:pPr>
        <w:numPr>
          <w:ilvl w:val="0"/>
          <w:numId w:val="5"/>
        </w:numPr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footnoteReference w:customMarkFollows="1" w:id="1"/>
        <w:t>Cash flow livre de 1.154 milhões de euros, como consequência de:</w:t>
      </w:r>
    </w:p>
    <w:p w:rsidR="00AC73F4" w:rsidRPr="006273FC" w:rsidRDefault="003861B4" w:rsidP="00AC73F4">
      <w:pPr>
        <w:numPr>
          <w:ilvl w:val="1"/>
          <w:numId w:val="5"/>
        </w:numPr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A capacidade do Grupo para gerar cash estruturalmente</w:t>
      </w:r>
    </w:p>
    <w:p w:rsidR="00EA6B22" w:rsidRPr="006273FC" w:rsidRDefault="003861B4" w:rsidP="00EA6B22">
      <w:pPr>
        <w:numPr>
          <w:ilvl w:val="1"/>
          <w:numId w:val="5"/>
        </w:numPr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O objetivo de criação de valor atribuído a todas as entidades.</w:t>
      </w:r>
    </w:p>
    <w:p w:rsidR="00CB4369" w:rsidRPr="006273FC" w:rsidRDefault="003861B4" w:rsidP="00EA6B22">
      <w:pPr>
        <w:numPr>
          <w:ilvl w:val="0"/>
          <w:numId w:val="5"/>
        </w:numPr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Quarto ano a criar valor, com um retorno sobre capitais empregues (ROCE)</w:t>
      </w:r>
      <w:r w:rsidRPr="006273FC">
        <w:rPr>
          <w:rFonts w:cs="Frutiger 55 Roman"/>
          <w:noProof/>
          <w:snapToGrid w:val="0"/>
          <w:sz w:val="25"/>
          <w:szCs w:val="28"/>
          <w:lang w:val="pt-PT"/>
        </w:rPr>
        <w:t xml:space="preserve"> </w:t>
      </w:r>
    </w:p>
    <w:p w:rsidR="00EA6B22" w:rsidRPr="006273FC" w:rsidRDefault="003861B4" w:rsidP="00CB4369">
      <w:pPr>
        <w:spacing w:after="120" w:line="240" w:lineRule="atLeast"/>
        <w:ind w:left="360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de 11,9 %.</w:t>
      </w:r>
    </w:p>
    <w:p w:rsidR="00EA6B22" w:rsidRPr="006273FC" w:rsidRDefault="00EA6B22" w:rsidP="00EA6B22">
      <w:pPr>
        <w:numPr>
          <w:ilvl w:val="0"/>
          <w:numId w:val="5"/>
        </w:numPr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Volumes estáveis, como se esperava.</w:t>
      </w:r>
    </w:p>
    <w:p w:rsidR="00DA2BA5" w:rsidRPr="006273FC" w:rsidRDefault="00972F65" w:rsidP="00EA6B22">
      <w:pPr>
        <w:numPr>
          <w:ilvl w:val="0"/>
          <w:numId w:val="5"/>
        </w:numPr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Resultado operacional antes de elementos não recorrentes estruturalmente elevado a 2.234 milhões de euros, com um aumento de 41 milhões de euros com perímetro de consolidação e taxa de câmbio constantes e uma margem operacional antes de elementos não recorrentes de 11 % das vendas líquidas.</w:t>
      </w:r>
    </w:p>
    <w:p w:rsidR="00EA6B22" w:rsidRPr="006273FC" w:rsidRDefault="00CB4369" w:rsidP="00EA6B22">
      <w:pPr>
        <w:numPr>
          <w:ilvl w:val="1"/>
          <w:numId w:val="5"/>
        </w:numPr>
        <w:tabs>
          <w:tab w:val="num" w:pos="851"/>
        </w:tabs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Controlo da margem graças ao efeito positivo do preço das matérias-primas (69 milhões de euros).</w:t>
      </w:r>
      <w:r w:rsidRPr="006273FC">
        <w:rPr>
          <w:rFonts w:cs="Frutiger 55 Roman"/>
          <w:noProof/>
          <w:snapToGrid w:val="0"/>
          <w:sz w:val="25"/>
          <w:szCs w:val="28"/>
          <w:lang w:val="pt-PT"/>
        </w:rPr>
        <w:t xml:space="preserve"> </w:t>
      </w:r>
    </w:p>
    <w:p w:rsidR="00EA6B22" w:rsidRPr="006273FC" w:rsidRDefault="00CB4369" w:rsidP="00EA6B22">
      <w:pPr>
        <w:numPr>
          <w:ilvl w:val="1"/>
          <w:numId w:val="5"/>
        </w:numPr>
        <w:tabs>
          <w:tab w:val="num" w:pos="851"/>
        </w:tabs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Eficácia do Plano de competitividade.</w:t>
      </w:r>
    </w:p>
    <w:p w:rsidR="00EA6B22" w:rsidRPr="006273FC" w:rsidRDefault="00CB4369" w:rsidP="00EA6B22">
      <w:pPr>
        <w:numPr>
          <w:ilvl w:val="1"/>
          <w:numId w:val="5"/>
        </w:numPr>
        <w:tabs>
          <w:tab w:val="num" w:pos="851"/>
        </w:tabs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Reequilíbrio do contributo de cada atividade, em particular para o segmento de Camião.</w:t>
      </w:r>
    </w:p>
    <w:p w:rsidR="00EA6B22" w:rsidRPr="006273FC" w:rsidRDefault="004C0F69" w:rsidP="00EA6B22">
      <w:pPr>
        <w:numPr>
          <w:ilvl w:val="0"/>
          <w:numId w:val="5"/>
        </w:numPr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A dívida financeira líquida reduz-se até 142 milhões de euros.</w:t>
      </w:r>
    </w:p>
    <w:p w:rsidR="00940315" w:rsidRPr="006273FC" w:rsidRDefault="00940315" w:rsidP="007943C4">
      <w:pPr>
        <w:spacing w:after="120" w:line="240" w:lineRule="atLeast"/>
        <w:jc w:val="both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</w:p>
    <w:p w:rsidR="004C0F69" w:rsidRPr="006273FC" w:rsidRDefault="00EA6B22" w:rsidP="007943C4">
      <w:pPr>
        <w:spacing w:after="120" w:line="240" w:lineRule="atLeast"/>
        <w:jc w:val="both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Proposta de dividendo de 2,50 euros por ação, sujeita à aprovação da Assembleia Geral de Acionistas de 16 de maio de 2014, o que supõe una taxa de distribuição de 35% do resultado líquido antes de elementos não recorrentes.</w:t>
      </w:r>
    </w:p>
    <w:p w:rsidR="002B6C8F" w:rsidRPr="006273FC" w:rsidRDefault="00940315" w:rsidP="007943C4">
      <w:pPr>
        <w:spacing w:after="120" w:line="240" w:lineRule="atLeast"/>
        <w:jc w:val="both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  <w:r w:rsidRPr="006273FC">
        <w:rPr>
          <w:rFonts w:cs="Frutiger 55 Roman"/>
          <w:noProof/>
          <w:snapToGrid w:val="0"/>
          <w:sz w:val="25"/>
          <w:szCs w:val="28"/>
          <w:lang w:val="pt-PT"/>
        </w:rPr>
        <w:br w:type="column"/>
      </w:r>
      <w:r w:rsidRPr="006273FC"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  <w:t>Jean-Dominique Senard, presidente do Grupo Michelin, declarou: ‘‘Os sólidos resultados da Michelin em 2013, conseguidos num contexto de mercado contrastado, confirmam a ambição do Grupo de atingir um rendimento económico de acordo com os objetivos para 2015*”.</w:t>
      </w:r>
    </w:p>
    <w:p w:rsidR="00BF4FFF" w:rsidRPr="006273FC" w:rsidRDefault="00BF4FFF" w:rsidP="00BF4FFF">
      <w:pPr>
        <w:spacing w:after="120" w:line="240" w:lineRule="atLeast"/>
        <w:rPr>
          <w:rFonts w:cs="Frutiger 55 Roman"/>
          <w:b/>
          <w:bCs/>
          <w:i/>
          <w:iCs/>
          <w:noProof/>
          <w:snapToGrid w:val="0"/>
          <w:sz w:val="25"/>
          <w:szCs w:val="28"/>
          <w:lang w:val="pt-PT"/>
        </w:rPr>
      </w:pPr>
    </w:p>
    <w:p w:rsidR="00BF4FFF" w:rsidRPr="006273FC" w:rsidRDefault="00BF4FFF" w:rsidP="00BF4FFF">
      <w:pPr>
        <w:spacing w:after="240" w:line="270" w:lineRule="atLeast"/>
        <w:jc w:val="both"/>
        <w:rPr>
          <w:rFonts w:ascii="Arial" w:hAnsi="Arial"/>
          <w:b/>
          <w:bCs/>
          <w:noProof/>
          <w:sz w:val="28"/>
          <w:lang w:val="pt-PT"/>
        </w:rPr>
      </w:pPr>
      <w:r w:rsidRPr="006273FC">
        <w:rPr>
          <w:rFonts w:ascii="Arial" w:hAnsi="Arial"/>
          <w:b/>
          <w:bCs/>
          <w:noProof/>
          <w:sz w:val="28"/>
          <w:lang w:val="pt-PT"/>
        </w:rPr>
        <w:t>Perspetivas para 2014</w:t>
      </w:r>
    </w:p>
    <w:p w:rsidR="004D6F34" w:rsidRPr="006273FC" w:rsidRDefault="00875FF3" w:rsidP="00AB0969">
      <w:pPr>
        <w:pStyle w:val="TextoMichelin"/>
        <w:rPr>
          <w:b/>
          <w:noProof/>
          <w:lang w:val="pt-PT"/>
        </w:rPr>
      </w:pPr>
      <w:r w:rsidRPr="006273FC">
        <w:rPr>
          <w:b/>
          <w:bCs/>
          <w:noProof/>
          <w:lang w:val="pt-PT"/>
        </w:rPr>
        <w:t>A procura de pneus em 2014 deveria refletir o dinamismo dos novos mercados e o regresso das regiões maduras a um nível de mercado coerente com a sua atividade económica.</w:t>
      </w:r>
    </w:p>
    <w:p w:rsidR="00FD3327" w:rsidRPr="006273FC" w:rsidRDefault="00875FF3" w:rsidP="00AB0969">
      <w:pPr>
        <w:pStyle w:val="TextoMichelin"/>
        <w:rPr>
          <w:b/>
          <w:noProof/>
          <w:lang w:val="pt-PT"/>
        </w:rPr>
      </w:pPr>
      <w:r w:rsidRPr="006273FC">
        <w:rPr>
          <w:b/>
          <w:bCs/>
          <w:noProof/>
          <w:lang w:val="pt-PT"/>
        </w:rPr>
        <w:t>Nesta conjuntura, a Michelin tem o objetivo de aumentar os seus volumes à volta de 3% em 2014, de acordo com o crescimento do mercado de pneus a nível mundial.</w:t>
      </w:r>
      <w:r w:rsidRPr="006273FC">
        <w:rPr>
          <w:noProof/>
          <w:lang w:val="pt-PT"/>
        </w:rPr>
        <w:t xml:space="preserve"> </w:t>
      </w:r>
      <w:r w:rsidRPr="006273FC">
        <w:rPr>
          <w:b/>
          <w:bCs/>
          <w:noProof/>
          <w:lang w:val="pt-PT"/>
        </w:rPr>
        <w:t>O êxito dos lançamentos de MICHELIN Premier All Season e da gama MICHELIN X Multi, o seguimento da estratégia premium, a robustez estrutural das atividades de especialidades, a posição reforçada da marca MICHELIN, assim como a consolidação das novas instalações industriais deveriam contribuir para atingir este objetivo.</w:t>
      </w:r>
    </w:p>
    <w:p w:rsidR="0069466D" w:rsidRPr="006273FC" w:rsidRDefault="004D6F34" w:rsidP="00AB0969">
      <w:pPr>
        <w:pStyle w:val="TextoMichelin"/>
        <w:rPr>
          <w:b/>
          <w:noProof/>
          <w:lang w:val="pt-PT"/>
        </w:rPr>
      </w:pPr>
      <w:r w:rsidRPr="006273FC">
        <w:rPr>
          <w:b/>
          <w:bCs/>
          <w:noProof/>
          <w:lang w:val="pt-PT"/>
        </w:rPr>
        <w:t>A Michelin continua a controlar a sua margem, conservando um equilíbrio entre a política de preços e os custos das matérias-primas.</w:t>
      </w:r>
      <w:r w:rsidRPr="006273FC">
        <w:rPr>
          <w:noProof/>
          <w:lang w:val="pt-PT"/>
        </w:rPr>
        <w:t xml:space="preserve"> </w:t>
      </w:r>
      <w:r w:rsidRPr="006273FC">
        <w:rPr>
          <w:b/>
          <w:bCs/>
          <w:noProof/>
          <w:lang w:val="pt-PT"/>
        </w:rPr>
        <w:t>Os efeitos do plano de competitividade vão continuar.</w:t>
      </w:r>
    </w:p>
    <w:p w:rsidR="00085B56" w:rsidRPr="006273FC" w:rsidRDefault="004D6F34" w:rsidP="00613A67">
      <w:pPr>
        <w:pStyle w:val="TextoMichelin"/>
        <w:rPr>
          <w:b/>
          <w:noProof/>
          <w:lang w:val="pt-PT"/>
        </w:rPr>
      </w:pPr>
      <w:r w:rsidRPr="006273FC">
        <w:rPr>
          <w:b/>
          <w:bCs/>
          <w:noProof/>
          <w:lang w:val="pt-PT"/>
        </w:rPr>
        <w:t xml:space="preserve">Assim pois, a Michelin marcou como objetivo para 2014 uma rentabilidade dos capitais empregues superior a 11 % e a geração de um </w:t>
      </w:r>
      <w:r w:rsidRPr="006273FC">
        <w:rPr>
          <w:b/>
          <w:bCs/>
          <w:i/>
          <w:iCs/>
          <w:noProof/>
          <w:lang w:val="pt-PT"/>
        </w:rPr>
        <w:t>cash flow</w:t>
      </w:r>
      <w:r w:rsidRPr="006273FC">
        <w:rPr>
          <w:b/>
          <w:bCs/>
          <w:noProof/>
          <w:lang w:val="pt-PT"/>
        </w:rPr>
        <w:t xml:space="preserve"> livre estrutural de mais de 500 milhões de euros, em paralelo a um programa de investimentos que se mantém de cerca de 2.000 milhões de euros.</w:t>
      </w:r>
    </w:p>
    <w:p w:rsidR="00C07354" w:rsidRPr="006273FC" w:rsidRDefault="00C07354" w:rsidP="00C07354">
      <w:pPr>
        <w:autoSpaceDE w:val="0"/>
        <w:autoSpaceDN w:val="0"/>
        <w:adjustRightInd w:val="0"/>
        <w:jc w:val="both"/>
        <w:rPr>
          <w:rFonts w:ascii="Arial" w:hAnsi="Arial"/>
          <w:b/>
          <w:bCs/>
          <w:noProof/>
          <w:sz w:val="21"/>
          <w:lang w:val="pt-PT"/>
        </w:rPr>
      </w:pPr>
    </w:p>
    <w:p w:rsidR="00057819" w:rsidRPr="006273FC" w:rsidRDefault="005A3068" w:rsidP="00057819">
      <w:pPr>
        <w:autoSpaceDE w:val="0"/>
        <w:autoSpaceDN w:val="0"/>
        <w:adjustRightInd w:val="0"/>
        <w:jc w:val="both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br w:type="column"/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003"/>
        <w:gridCol w:w="2108"/>
      </w:tblGrid>
      <w:tr w:rsidR="00DD1666" w:rsidRPr="006273FC">
        <w:trPr>
          <w:jc w:val="center"/>
        </w:trPr>
        <w:tc>
          <w:tcPr>
            <w:tcW w:w="3227" w:type="dxa"/>
            <w:shd w:val="clear" w:color="auto" w:fill="E0E0E0"/>
          </w:tcPr>
          <w:p w:rsidR="00DD1666" w:rsidRPr="006273FC" w:rsidRDefault="00DD1666" w:rsidP="00DD1666">
            <w:pPr>
              <w:pStyle w:val="TextoMichelin"/>
              <w:jc w:val="center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(EM MILHÕES DE EUROS)</w:t>
            </w:r>
          </w:p>
        </w:tc>
        <w:tc>
          <w:tcPr>
            <w:tcW w:w="2003" w:type="dxa"/>
            <w:shd w:val="clear" w:color="auto" w:fill="E0E0E0"/>
          </w:tcPr>
          <w:p w:rsidR="00DD1666" w:rsidRPr="006273FC" w:rsidRDefault="00DD1666" w:rsidP="00CF7AB0">
            <w:pPr>
              <w:pStyle w:val="TextoMichelin"/>
              <w:jc w:val="center"/>
              <w:rPr>
                <w:rFonts w:ascii="Verdana" w:hAnsi="Verdana"/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2013</w:t>
            </w:r>
          </w:p>
        </w:tc>
        <w:tc>
          <w:tcPr>
            <w:tcW w:w="2108" w:type="dxa"/>
            <w:shd w:val="clear" w:color="auto" w:fill="E0E0E0"/>
          </w:tcPr>
          <w:p w:rsidR="00DD1666" w:rsidRPr="006273FC" w:rsidRDefault="00CF7AB0" w:rsidP="00B817C2">
            <w:pPr>
              <w:pStyle w:val="TextoMichelin"/>
              <w:jc w:val="center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2012</w:t>
            </w:r>
            <w:r w:rsidRPr="006273FC">
              <w:rPr>
                <w:noProof/>
                <w:sz w:val="20"/>
                <w:lang w:val="pt-PT"/>
              </w:rPr>
              <w:br/>
              <w:t>PUBLICADO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VENDAS LÍQUIDAS</w:t>
            </w:r>
          </w:p>
        </w:tc>
        <w:tc>
          <w:tcPr>
            <w:tcW w:w="2003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D628D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20.247</w:t>
            </w:r>
          </w:p>
        </w:tc>
        <w:tc>
          <w:tcPr>
            <w:tcW w:w="2108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D628D9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21.474</w:t>
            </w:r>
          </w:p>
        </w:tc>
      </w:tr>
      <w:tr w:rsidR="00CF7AB0" w:rsidRPr="006273FC">
        <w:trPr>
          <w:trHeight w:val="846"/>
          <w:jc w:val="center"/>
        </w:trPr>
        <w:tc>
          <w:tcPr>
            <w:tcW w:w="3227" w:type="dxa"/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RESULTADO OPERACIONAL ANTES DE ELEMENTOS NÃO RECORRENTES</w:t>
            </w:r>
          </w:p>
        </w:tc>
        <w:tc>
          <w:tcPr>
            <w:tcW w:w="2003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D628D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2.234</w:t>
            </w:r>
          </w:p>
        </w:tc>
        <w:tc>
          <w:tcPr>
            <w:tcW w:w="2108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D628D9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2.423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MARGEM OPERACIONAL ANTES DE ELEMENTOS NÃO RECORRENTES</w:t>
            </w:r>
          </w:p>
        </w:tc>
        <w:tc>
          <w:tcPr>
            <w:tcW w:w="2003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D628D9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11,0%</w:t>
            </w:r>
          </w:p>
        </w:tc>
        <w:tc>
          <w:tcPr>
            <w:tcW w:w="2108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D628D9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11,3 %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 xml:space="preserve">LIGEIRO, CAMIONETA E DISTRIBUIÇÃO ASSOCIADA </w:t>
            </w:r>
          </w:p>
        </w:tc>
        <w:tc>
          <w:tcPr>
            <w:tcW w:w="2003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D628D9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10,2 %</w:t>
            </w:r>
          </w:p>
        </w:tc>
        <w:tc>
          <w:tcPr>
            <w:tcW w:w="2108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D628D9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9,3 %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 xml:space="preserve">CAMIÃO E </w:t>
            </w:r>
            <w:r w:rsidRPr="006273FC">
              <w:rPr>
                <w:noProof/>
                <w:sz w:val="20"/>
                <w:lang w:val="pt-PT"/>
              </w:rPr>
              <w:br/>
              <w:t xml:space="preserve">DISTRIBUIÇÃO ASSOCIADA </w:t>
            </w:r>
          </w:p>
        </w:tc>
        <w:tc>
          <w:tcPr>
            <w:tcW w:w="2003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D628D9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7,8 %</w:t>
            </w:r>
          </w:p>
        </w:tc>
        <w:tc>
          <w:tcPr>
            <w:tcW w:w="2108" w:type="dxa"/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D628D9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6,6 %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ATIVIDADES DE ESPECIALIDADES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D628D9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20,6 %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D628D9" w:rsidP="00D628D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26 %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RESULTADO OPERACIONAL APÓS ELEMENTOS NÃO RECORRENTES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D628D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1.974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D628D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2.469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 xml:space="preserve">RESULTADO LÍQUIDO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073B6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1.127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073B6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1.571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INVESTIMENTOS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CF7AB0" w:rsidP="00073B6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1.980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CF7AB0" w:rsidP="00073B6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1.996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ENDIVIDAMENTO LÍQUIDO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142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CF7AB0" w:rsidP="00073B6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1.053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 xml:space="preserve">PERCENTAGEM DE ENDIVIDAMENTO LÍQUIDO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073B67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2 %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073B67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12 %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CASH FLOW LIVRE</w:t>
            </w:r>
            <w:r w:rsidRPr="006273FC">
              <w:rPr>
                <w:rStyle w:val="FootnoteReference"/>
                <w:noProof/>
                <w:sz w:val="20"/>
                <w:lang w:val="pt-PT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073B6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3.895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</w:p>
          <w:p w:rsidR="00CF7AB0" w:rsidRPr="006273FC" w:rsidRDefault="00CF7AB0" w:rsidP="00073B6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4.679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ROCE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CF7AB0" w:rsidP="00073B6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1.154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CF7AB0" w:rsidP="00073B6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1.075</w:t>
            </w:r>
          </w:p>
        </w:tc>
      </w:tr>
      <w:tr w:rsidR="00CF7AB0" w:rsidRPr="006273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DD1666">
            <w:pPr>
              <w:pStyle w:val="TextoMichelin"/>
              <w:jc w:val="left"/>
              <w:rPr>
                <w:bCs/>
                <w:noProof/>
                <w:sz w:val="20"/>
                <w:lang w:val="pt-PT"/>
              </w:rPr>
            </w:pPr>
            <w:r w:rsidRPr="006273FC">
              <w:rPr>
                <w:noProof/>
                <w:sz w:val="20"/>
                <w:lang w:val="pt-PT"/>
              </w:rPr>
              <w:t>EMPREGADOS</w:t>
            </w:r>
            <w:r w:rsidRPr="006273FC">
              <w:rPr>
                <w:rStyle w:val="FootnoteReference"/>
                <w:noProof/>
                <w:sz w:val="20"/>
                <w:lang w:val="pt-PT"/>
              </w:rPr>
              <w:footnoteReference w:id="3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073B67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11,9 %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6273FC" w:rsidRDefault="00CF7AB0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highlight w:val="yellow"/>
                <w:lang w:val="pt-PT"/>
              </w:rPr>
            </w:pPr>
          </w:p>
          <w:p w:rsidR="00CF7AB0" w:rsidRPr="006273FC" w:rsidRDefault="00073B67" w:rsidP="00CF7AB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12,8 %</w:t>
            </w:r>
          </w:p>
        </w:tc>
      </w:tr>
    </w:tbl>
    <w:p w:rsidR="00DD1666" w:rsidRPr="006273FC" w:rsidRDefault="00DD1666" w:rsidP="007B0358">
      <w:pPr>
        <w:tabs>
          <w:tab w:val="left" w:pos="360"/>
        </w:tabs>
        <w:jc w:val="both"/>
        <w:rPr>
          <w:rFonts w:ascii="Arial" w:eastAsia="Times New Roman" w:hAnsi="Arial" w:cs="Arial"/>
          <w:noProof/>
          <w:sz w:val="16"/>
          <w:szCs w:val="16"/>
          <w:vertAlign w:val="superscript"/>
          <w:lang w:val="pt-PT"/>
        </w:rPr>
      </w:pPr>
    </w:p>
    <w:p w:rsidR="00BF4FFF" w:rsidRPr="006273FC" w:rsidRDefault="00BF4FFF" w:rsidP="00BF4FFF">
      <w:pPr>
        <w:tabs>
          <w:tab w:val="left" w:pos="360"/>
        </w:tabs>
        <w:jc w:val="both"/>
        <w:rPr>
          <w:rFonts w:ascii="Verdana" w:eastAsia="Times New Roman" w:hAnsi="Verdana" w:cs="Arial"/>
          <w:b/>
          <w:bCs/>
          <w:noProof/>
          <w:highlight w:val="red"/>
          <w:lang w:val="pt-PT"/>
        </w:rPr>
      </w:pPr>
    </w:p>
    <w:p w:rsidR="00BF4FFF" w:rsidRPr="006273FC" w:rsidRDefault="00BF4FFF" w:rsidP="00BF4FFF">
      <w:pPr>
        <w:tabs>
          <w:tab w:val="left" w:pos="360"/>
        </w:tabs>
        <w:jc w:val="both"/>
        <w:rPr>
          <w:rFonts w:ascii="Verdana" w:eastAsia="Times New Roman" w:hAnsi="Verdana" w:cs="Arial"/>
          <w:b/>
          <w:bCs/>
          <w:noProof/>
          <w:highlight w:val="red"/>
          <w:lang w:val="pt-PT"/>
        </w:rPr>
      </w:pPr>
    </w:p>
    <w:p w:rsidR="00BF4FFF" w:rsidRPr="006273FC" w:rsidRDefault="007B0358" w:rsidP="00BF4FFF">
      <w:pPr>
        <w:spacing w:after="240" w:line="360" w:lineRule="exact"/>
        <w:rPr>
          <w:b/>
          <w:noProof/>
          <w:snapToGrid w:val="0"/>
          <w:color w:val="333399"/>
          <w:sz w:val="40"/>
          <w:szCs w:val="26"/>
          <w:lang w:val="pt-PT"/>
        </w:rPr>
      </w:pPr>
      <w:r w:rsidRPr="006273FC">
        <w:rPr>
          <w:noProof/>
          <w:snapToGrid w:val="0"/>
          <w:color w:val="333399"/>
          <w:sz w:val="40"/>
          <w:szCs w:val="26"/>
          <w:lang w:val="pt-PT"/>
        </w:rPr>
        <w:br w:type="column"/>
      </w:r>
      <w:r w:rsidRPr="006273FC">
        <w:rPr>
          <w:b/>
          <w:bCs/>
          <w:noProof/>
          <w:snapToGrid w:val="0"/>
          <w:color w:val="333399"/>
          <w:sz w:val="40"/>
          <w:szCs w:val="26"/>
          <w:lang w:val="pt-PT"/>
        </w:rPr>
        <w:t>Evolução do mercado de pneus</w:t>
      </w:r>
      <w:r w:rsidRPr="006273FC">
        <w:rPr>
          <w:noProof/>
          <w:snapToGrid w:val="0"/>
          <w:color w:val="333399"/>
          <w:sz w:val="40"/>
          <w:szCs w:val="26"/>
          <w:lang w:val="pt-PT"/>
        </w:rPr>
        <w:t xml:space="preserve"> </w:t>
      </w:r>
    </w:p>
    <w:p w:rsidR="00BF4FFF" w:rsidRPr="006273FC" w:rsidRDefault="00BF4FFF" w:rsidP="00BF4FFF">
      <w:pPr>
        <w:spacing w:before="480" w:after="120" w:line="270" w:lineRule="atLeast"/>
        <w:rPr>
          <w:b/>
          <w:noProof/>
          <w:sz w:val="26"/>
          <w:lang w:val="pt-PT"/>
        </w:rPr>
      </w:pPr>
      <w:r w:rsidRPr="006273FC">
        <w:rPr>
          <w:b/>
          <w:bCs/>
          <w:noProof/>
          <w:sz w:val="26"/>
          <w:lang w:val="pt-PT"/>
        </w:rPr>
        <w:t>Ligeiro e camioneta</w:t>
      </w:r>
    </w:p>
    <w:p w:rsidR="00BF4FFF" w:rsidRPr="006273FC" w:rsidRDefault="00BF4FFF" w:rsidP="00BF4FFF">
      <w:pPr>
        <w:ind w:left="284"/>
        <w:jc w:val="both"/>
        <w:rPr>
          <w:rFonts w:ascii="Arial" w:eastAsia="Times New Roman" w:hAnsi="Arial" w:cs="Arial"/>
          <w:noProof/>
          <w:lang w:val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93"/>
        <w:gridCol w:w="1275"/>
        <w:gridCol w:w="1276"/>
        <w:gridCol w:w="1276"/>
        <w:gridCol w:w="1417"/>
        <w:gridCol w:w="993"/>
      </w:tblGrid>
      <w:tr w:rsidR="00BF4FFF" w:rsidRPr="006273FC">
        <w:trPr>
          <w:trHeight w:val="890"/>
        </w:trPr>
        <w:tc>
          <w:tcPr>
            <w:tcW w:w="2376" w:type="dxa"/>
            <w:shd w:val="clear" w:color="auto" w:fill="E6E6E6"/>
          </w:tcPr>
          <w:p w:rsidR="00BF4FFF" w:rsidRPr="006273FC" w:rsidRDefault="00BF4FFF" w:rsidP="002435F5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2013/2012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</w:r>
            <w:r w:rsidRPr="006273FC">
              <w:rPr>
                <w:rFonts w:ascii="Arial" w:hAnsi="Arial"/>
                <w:b w:val="0"/>
                <w:noProof/>
                <w:sz w:val="18"/>
                <w:lang w:val="pt-PT"/>
              </w:rPr>
              <w:t>(número de pneus)</w:t>
            </w:r>
          </w:p>
        </w:tc>
        <w:tc>
          <w:tcPr>
            <w:tcW w:w="993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Europa</w:t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</w:p>
        </w:tc>
        <w:tc>
          <w:tcPr>
            <w:tcW w:w="1275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footnoteReference w:customMarkFollows="1" w:id="4"/>
              <w:t xml:space="preserve">América 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  <w:t>do Norte</w:t>
            </w:r>
          </w:p>
        </w:tc>
        <w:tc>
          <w:tcPr>
            <w:tcW w:w="1276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Ásia</w:t>
            </w:r>
          </w:p>
          <w:p w:rsidR="00BF4FFF" w:rsidRPr="006273FC" w:rsidRDefault="00BF4FFF" w:rsidP="00DF0201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(sem a Índia)</w:t>
            </w:r>
          </w:p>
        </w:tc>
        <w:tc>
          <w:tcPr>
            <w:tcW w:w="1276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 xml:space="preserve">América 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  <w:t>do Sul</w:t>
            </w:r>
          </w:p>
        </w:tc>
        <w:tc>
          <w:tcPr>
            <w:tcW w:w="1417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África/Índia/Médio Oriente</w:t>
            </w:r>
          </w:p>
        </w:tc>
        <w:tc>
          <w:tcPr>
            <w:tcW w:w="993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Total</w:t>
            </w:r>
          </w:p>
        </w:tc>
      </w:tr>
      <w:tr w:rsidR="002854B0" w:rsidRPr="006273FC">
        <w:trPr>
          <w:trHeight w:val="1271"/>
        </w:trPr>
        <w:tc>
          <w:tcPr>
            <w:tcW w:w="2376" w:type="dxa"/>
          </w:tcPr>
          <w:p w:rsidR="002854B0" w:rsidRPr="006273FC" w:rsidRDefault="002854B0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</w:p>
          <w:p w:rsidR="002854B0" w:rsidRPr="006273FC" w:rsidRDefault="002854B0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Primeira montagem</w:t>
            </w:r>
          </w:p>
          <w:p w:rsidR="002854B0" w:rsidRPr="006273FC" w:rsidRDefault="002854B0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</w:p>
          <w:p w:rsidR="002854B0" w:rsidRPr="006273FC" w:rsidRDefault="002854B0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Substituição</w:t>
            </w:r>
          </w:p>
        </w:tc>
        <w:tc>
          <w:tcPr>
            <w:tcW w:w="993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+ 1 %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- 0 %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</w:tc>
        <w:tc>
          <w:tcPr>
            <w:tcW w:w="1275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+ 5 %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+ 5 %</w:t>
            </w:r>
          </w:p>
        </w:tc>
        <w:tc>
          <w:tcPr>
            <w:tcW w:w="1276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+ 5 %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+ 6 %</w:t>
            </w:r>
          </w:p>
        </w:tc>
        <w:tc>
          <w:tcPr>
            <w:tcW w:w="1276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+ 5 %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+ 10 %</w:t>
            </w:r>
          </w:p>
        </w:tc>
        <w:tc>
          <w:tcPr>
            <w:tcW w:w="1417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- 6 %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+ 4 %</w:t>
            </w:r>
          </w:p>
        </w:tc>
        <w:tc>
          <w:tcPr>
            <w:tcW w:w="993" w:type="dxa"/>
          </w:tcPr>
          <w:p w:rsidR="002854B0" w:rsidRPr="006273FC" w:rsidRDefault="002854B0" w:rsidP="002854B0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+ 3 %</w:t>
            </w:r>
          </w:p>
          <w:p w:rsidR="002854B0" w:rsidRPr="006273FC" w:rsidRDefault="002854B0" w:rsidP="002854B0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+ 3 %</w:t>
            </w:r>
          </w:p>
        </w:tc>
      </w:tr>
    </w:tbl>
    <w:p w:rsidR="00BF4FFF" w:rsidRPr="006273FC" w:rsidRDefault="00BF4FFF" w:rsidP="00BF4FFF">
      <w:pPr>
        <w:ind w:left="284"/>
        <w:jc w:val="both"/>
        <w:rPr>
          <w:rFonts w:ascii="Arial" w:eastAsia="Times New Roman" w:hAnsi="Arial" w:cs="Arial"/>
          <w:noProof/>
          <w:lang w:val="pt-PT"/>
        </w:rPr>
      </w:pPr>
    </w:p>
    <w:p w:rsidR="00BF4FFF" w:rsidRPr="006273FC" w:rsidRDefault="00BF4FFF" w:rsidP="00BF4FFF">
      <w:pPr>
        <w:ind w:left="284"/>
        <w:jc w:val="both"/>
        <w:rPr>
          <w:rFonts w:ascii="Arial" w:eastAsia="Times New Roman" w:hAnsi="Arial" w:cs="Arial"/>
          <w:noProof/>
          <w:lang w:val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275"/>
        <w:gridCol w:w="1276"/>
        <w:gridCol w:w="1276"/>
        <w:gridCol w:w="1417"/>
        <w:gridCol w:w="993"/>
      </w:tblGrid>
      <w:tr w:rsidR="00BF4FFF" w:rsidRPr="006273FC">
        <w:trPr>
          <w:trHeight w:val="890"/>
        </w:trPr>
        <w:tc>
          <w:tcPr>
            <w:tcW w:w="2235" w:type="dxa"/>
            <w:shd w:val="clear" w:color="auto" w:fill="E6E6E6"/>
          </w:tcPr>
          <w:p w:rsidR="00BF4FFF" w:rsidRPr="006273FC" w:rsidRDefault="002854B0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Quarto trimestre</w:t>
            </w:r>
          </w:p>
          <w:p w:rsidR="00BF4FFF" w:rsidRPr="006273FC" w:rsidRDefault="00BF4FFF" w:rsidP="002854B0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2013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</w:r>
            <w:r w:rsidRPr="006273FC">
              <w:rPr>
                <w:rFonts w:ascii="Arial" w:hAnsi="Arial"/>
                <w:b w:val="0"/>
                <w:noProof/>
                <w:sz w:val="18"/>
                <w:lang w:val="pt-PT"/>
              </w:rPr>
              <w:t>(número de pneus)</w:t>
            </w:r>
          </w:p>
        </w:tc>
        <w:tc>
          <w:tcPr>
            <w:tcW w:w="1134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Europa</w:t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</w:p>
        </w:tc>
        <w:tc>
          <w:tcPr>
            <w:tcW w:w="1275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footnoteReference w:customMarkFollows="1" w:id="5"/>
              <w:t xml:space="preserve">América 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  <w:t>do Norte</w:t>
            </w:r>
          </w:p>
        </w:tc>
        <w:tc>
          <w:tcPr>
            <w:tcW w:w="1276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Ásia</w:t>
            </w:r>
          </w:p>
          <w:p w:rsidR="00BF4FFF" w:rsidRPr="006273FC" w:rsidRDefault="00BF4FFF" w:rsidP="00DF0201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(sem a Índia)</w:t>
            </w:r>
          </w:p>
        </w:tc>
        <w:tc>
          <w:tcPr>
            <w:tcW w:w="1276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 xml:space="preserve">América 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  <w:t>do Sul</w:t>
            </w:r>
          </w:p>
        </w:tc>
        <w:tc>
          <w:tcPr>
            <w:tcW w:w="1417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África/Índia/Médio Oriente</w:t>
            </w:r>
          </w:p>
        </w:tc>
        <w:tc>
          <w:tcPr>
            <w:tcW w:w="993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Total</w:t>
            </w:r>
          </w:p>
        </w:tc>
      </w:tr>
      <w:tr w:rsidR="002854B0" w:rsidRPr="006273FC">
        <w:trPr>
          <w:trHeight w:val="1271"/>
        </w:trPr>
        <w:tc>
          <w:tcPr>
            <w:tcW w:w="2235" w:type="dxa"/>
          </w:tcPr>
          <w:p w:rsidR="002854B0" w:rsidRPr="006273FC" w:rsidRDefault="002854B0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  <w:t>Primeira montagem</w:t>
            </w:r>
          </w:p>
          <w:p w:rsidR="002854B0" w:rsidRPr="006273FC" w:rsidRDefault="002854B0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 xml:space="preserve">     </w:t>
            </w:r>
          </w:p>
          <w:p w:rsidR="002854B0" w:rsidRPr="006273FC" w:rsidRDefault="002854B0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Substituição</w:t>
            </w:r>
          </w:p>
        </w:tc>
        <w:tc>
          <w:tcPr>
            <w:tcW w:w="1134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+ 6 %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+ 1 %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</w:tc>
        <w:tc>
          <w:tcPr>
            <w:tcW w:w="1275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+ 6 %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+ 4 %</w:t>
            </w:r>
          </w:p>
        </w:tc>
        <w:tc>
          <w:tcPr>
            <w:tcW w:w="1276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+ 10 %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+ 5 %</w:t>
            </w:r>
          </w:p>
        </w:tc>
        <w:tc>
          <w:tcPr>
            <w:tcW w:w="1276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- 8 %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+ 8 %</w:t>
            </w:r>
          </w:p>
        </w:tc>
        <w:tc>
          <w:tcPr>
            <w:tcW w:w="1417" w:type="dxa"/>
          </w:tcPr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- 7 %</w:t>
            </w: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- 1 %</w:t>
            </w:r>
          </w:p>
        </w:tc>
        <w:tc>
          <w:tcPr>
            <w:tcW w:w="993" w:type="dxa"/>
          </w:tcPr>
          <w:p w:rsidR="002854B0" w:rsidRPr="006273FC" w:rsidRDefault="002854B0" w:rsidP="002854B0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+ 6 %</w:t>
            </w:r>
          </w:p>
          <w:p w:rsidR="002854B0" w:rsidRPr="006273FC" w:rsidRDefault="002854B0" w:rsidP="002854B0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2854B0" w:rsidRPr="006273FC" w:rsidRDefault="002854B0" w:rsidP="002854B0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+ 3 %</w:t>
            </w:r>
          </w:p>
        </w:tc>
      </w:tr>
    </w:tbl>
    <w:p w:rsidR="00BF4FFF" w:rsidRPr="006273FC" w:rsidRDefault="00BF4FFF" w:rsidP="00196C7B">
      <w:pPr>
        <w:spacing w:before="480" w:after="240" w:line="270" w:lineRule="atLeast"/>
        <w:ind w:left="360"/>
        <w:jc w:val="both"/>
        <w:rPr>
          <w:rFonts w:ascii="Arial" w:hAnsi="Arial"/>
          <w:b/>
          <w:bCs/>
          <w:noProof/>
          <w:sz w:val="21"/>
          <w:u w:val="single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Primeira montagem</w:t>
      </w:r>
    </w:p>
    <w:p w:rsidR="005A3068" w:rsidRPr="006273FC" w:rsidRDefault="002854B0" w:rsidP="005A3068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>Na Europa, a procura de pneus cresceu ligeiramente (+ 1 %) com uma melhoria no segundo semestre, de acordo com o aumento da produção de veículos. Este números refletem uma atividade contrastada entre os construtores generalistas de automóveis e o melhor rendimento das marcas especializadas e exportadoras. Os mercados da Europa do Leste afrouxaram 4%.</w:t>
      </w:r>
    </w:p>
    <w:p w:rsidR="002854B0" w:rsidRPr="006273FC" w:rsidRDefault="00EA5A5F" w:rsidP="005A3068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>O mercado da América do Norte beneficia de um rejuvenescimento do parque automobilístico. Aumenta 5 % e recobra os níveis prévios à crise.</w:t>
      </w:r>
    </w:p>
    <w:p w:rsidR="002854B0" w:rsidRPr="006273FC" w:rsidRDefault="002854B0" w:rsidP="00D460C3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>Na Ásia (</w:t>
      </w:r>
      <w:r w:rsidRPr="006273FC">
        <w:rPr>
          <w:rFonts w:hAnsi="Arial Unicode MS"/>
          <w:noProof/>
          <w:lang w:val="pt-PT"/>
        </w:rPr>
        <w:t xml:space="preserve">sem incluir a </w:t>
      </w:r>
      <w:r w:rsidRPr="006273FC">
        <w:rPr>
          <w:rFonts w:hAnsi="Arial Unicode MS"/>
          <w:noProof/>
          <w:lang w:val="pt-PT"/>
        </w:rPr>
        <w:t>Í</w:t>
      </w:r>
      <w:r w:rsidRPr="006273FC">
        <w:rPr>
          <w:rFonts w:hAnsi="Arial Unicode MS"/>
          <w:noProof/>
          <w:lang w:val="pt-PT"/>
        </w:rPr>
        <w:t>ndia</w:t>
      </w:r>
      <w:r w:rsidRPr="006273FC">
        <w:rPr>
          <w:noProof/>
          <w:lang w:val="pt-PT"/>
        </w:rPr>
        <w:t xml:space="preserve">), a procura cresce globalmente 5 % nos mercados contrastados. Na China, o mercado está em forte progresso </w:t>
      </w:r>
      <w:r w:rsidRPr="006273FC">
        <w:rPr>
          <w:noProof/>
          <w:lang w:val="pt-PT"/>
        </w:rPr>
        <w:br/>
        <w:t xml:space="preserve">(+ 15 %), acelerando-se no fim do ano (+ 21 % no quarto trimestre). Em cinco anos, triplicou-se. </w:t>
      </w:r>
    </w:p>
    <w:p w:rsidR="00811AFC" w:rsidRPr="006273FC" w:rsidRDefault="002854B0" w:rsidP="00196C7B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>Na América do Sul, a procura, com um aumento de 5 % anual, caracteriza-se pela crescente proporção da produção local de veículos e por um afrouxamento no segundo semestre.</w:t>
      </w:r>
    </w:p>
    <w:p w:rsidR="00BF4FFF" w:rsidRPr="006273FC" w:rsidRDefault="00811AFC" w:rsidP="00BF4FFF">
      <w:pPr>
        <w:pStyle w:val="TextoMichelin"/>
        <w:numPr>
          <w:ilvl w:val="0"/>
          <w:numId w:val="5"/>
        </w:numPr>
        <w:tabs>
          <w:tab w:val="num" w:pos="1080"/>
        </w:tabs>
        <w:spacing w:before="480"/>
        <w:rPr>
          <w:b/>
          <w:bCs/>
          <w:noProof/>
          <w:lang w:val="pt-PT"/>
        </w:rPr>
      </w:pPr>
      <w:r w:rsidRPr="006273FC">
        <w:rPr>
          <w:noProof/>
          <w:lang w:val="pt-PT"/>
        </w:rPr>
        <w:br w:type="column"/>
      </w:r>
      <w:r w:rsidRPr="006273FC">
        <w:rPr>
          <w:b/>
          <w:bCs/>
          <w:noProof/>
          <w:lang w:val="pt-PT"/>
        </w:rPr>
        <w:t>Substituição</w:t>
      </w:r>
    </w:p>
    <w:p w:rsidR="00C31A0D" w:rsidRPr="006273FC" w:rsidRDefault="00C21BE7" w:rsidP="00C31A0D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>Na Europa, o mercado permanece estável no ano, com uma tendência mais favorável no segundo semestre. Na Europa Ocidental, a estabilidade da procura reflete o crescimento do segmento de verão e o retrocesso antecipado do segmento de inverno (- 4 %), que se acentuou pelas condições meteorológicas. Os pneus de altas performances (17” e superiores) continuam a crescer (+ 7 %). Os stocks da distribuição recobraram os níveis normais em pneus de verão, enquanto ainda são algo elevados em pneus de inverno perante a falta de neve. Na Europa do Leste, o mercado é também estável apesar de uma acentuada volatilidade mensal.</w:t>
      </w:r>
    </w:p>
    <w:p w:rsidR="00272615" w:rsidRPr="006273FC" w:rsidRDefault="00C21BE7" w:rsidP="00272615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>Na América do Norte, o mercado, que aumenta 5 % anual, refletiu ao mesmo tempo o aumento das importações chinesas, após o levantamento das taxas alfandegárias nos Estados Unidos, e a procura sustentada de pneus de inverno no Canadá.</w:t>
      </w:r>
    </w:p>
    <w:p w:rsidR="00420FD2" w:rsidRPr="006273FC" w:rsidRDefault="009F3E26" w:rsidP="00ED36D0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>Na Ásia (</w:t>
      </w:r>
      <w:r w:rsidRPr="006273FC">
        <w:rPr>
          <w:rFonts w:hAnsi="Arial Unicode MS"/>
          <w:noProof/>
          <w:lang w:val="pt-PT"/>
        </w:rPr>
        <w:t xml:space="preserve">sem incluir a </w:t>
      </w:r>
      <w:r w:rsidRPr="006273FC">
        <w:rPr>
          <w:rFonts w:hAnsi="Arial Unicode MS"/>
          <w:noProof/>
          <w:lang w:val="pt-PT"/>
        </w:rPr>
        <w:t>Í</w:t>
      </w:r>
      <w:r w:rsidRPr="006273FC">
        <w:rPr>
          <w:rFonts w:hAnsi="Arial Unicode MS"/>
          <w:noProof/>
          <w:lang w:val="pt-PT"/>
        </w:rPr>
        <w:t>ndia</w:t>
      </w:r>
      <w:r w:rsidRPr="006273FC">
        <w:rPr>
          <w:noProof/>
          <w:lang w:val="pt-PT"/>
        </w:rPr>
        <w:t>), os mercados progridem globalmente 6 %. A procura chinesa cresce 8%, apesar</w:t>
      </w:r>
      <w:r w:rsidRPr="006273FC">
        <w:rPr>
          <w:rFonts w:hAnsi="Arial Unicode MS"/>
          <w:noProof/>
          <w:lang w:val="pt-PT"/>
        </w:rPr>
        <w:t xml:space="preserve"> de um certo afrouxamento do ritmo do crescimento econ</w:t>
      </w:r>
      <w:r w:rsidRPr="006273FC">
        <w:rPr>
          <w:rFonts w:hAnsi="Arial Unicode MS"/>
          <w:noProof/>
          <w:lang w:val="pt-PT"/>
        </w:rPr>
        <w:t>ó</w:t>
      </w:r>
      <w:r w:rsidRPr="006273FC">
        <w:rPr>
          <w:rFonts w:hAnsi="Arial Unicode MS"/>
          <w:noProof/>
          <w:lang w:val="pt-PT"/>
        </w:rPr>
        <w:t>mico. O mercado japon</w:t>
      </w:r>
      <w:r w:rsidRPr="006273FC">
        <w:rPr>
          <w:rFonts w:hAnsi="Arial Unicode MS"/>
          <w:noProof/>
          <w:lang w:val="pt-PT"/>
        </w:rPr>
        <w:t>ê</w:t>
      </w:r>
      <w:r w:rsidRPr="006273FC">
        <w:rPr>
          <w:rFonts w:hAnsi="Arial Unicode MS"/>
          <w:noProof/>
          <w:lang w:val="pt-PT"/>
        </w:rPr>
        <w:t>s</w:t>
      </w:r>
      <w:r w:rsidRPr="006273FC">
        <w:rPr>
          <w:noProof/>
          <w:lang w:val="pt-PT"/>
        </w:rPr>
        <w:t xml:space="preserve"> cresce 3%, de acordo com a sua tendência a longo prazo.</w:t>
      </w:r>
    </w:p>
    <w:p w:rsidR="00420FD2" w:rsidRPr="006273FC" w:rsidRDefault="00420FD2" w:rsidP="00420FD2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>Na América do Sul, a procura aumenta 10 %, com significativos crescimentos em cada mercado, especialmente no Brasil, onde a procura de pneus sobe 14 % num ambiente inflacionista.</w:t>
      </w:r>
    </w:p>
    <w:p w:rsidR="00C21BE7" w:rsidRPr="006273FC" w:rsidRDefault="00C21BE7" w:rsidP="00D50044">
      <w:pPr>
        <w:pStyle w:val="TextoMichelin"/>
        <w:ind w:left="1276"/>
        <w:rPr>
          <w:noProof/>
          <w:lang w:val="pt-PT"/>
        </w:rPr>
      </w:pPr>
    </w:p>
    <w:p w:rsidR="00BF4FFF" w:rsidRPr="006273FC" w:rsidRDefault="00BF4FFF" w:rsidP="00BF4FFF">
      <w:pPr>
        <w:spacing w:before="480" w:after="120" w:line="270" w:lineRule="atLeast"/>
        <w:rPr>
          <w:b/>
          <w:noProof/>
          <w:sz w:val="26"/>
          <w:lang w:val="pt-PT"/>
        </w:rPr>
      </w:pPr>
      <w:r w:rsidRPr="006273FC">
        <w:rPr>
          <w:b/>
          <w:bCs/>
          <w:noProof/>
          <w:sz w:val="26"/>
          <w:lang w:val="pt-PT"/>
        </w:rPr>
        <w:t>Camião</w:t>
      </w:r>
      <w:r w:rsidRPr="006273FC">
        <w:rPr>
          <w:noProof/>
          <w:sz w:val="26"/>
          <w:lang w:val="pt-PT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34"/>
        <w:gridCol w:w="1134"/>
        <w:gridCol w:w="1418"/>
        <w:gridCol w:w="1134"/>
        <w:gridCol w:w="1417"/>
        <w:gridCol w:w="851"/>
      </w:tblGrid>
      <w:tr w:rsidR="00BF4FFF" w:rsidRPr="006273FC">
        <w:trPr>
          <w:trHeight w:val="1002"/>
        </w:trPr>
        <w:tc>
          <w:tcPr>
            <w:tcW w:w="2376" w:type="dxa"/>
            <w:shd w:val="clear" w:color="auto" w:fill="E6E6E6"/>
          </w:tcPr>
          <w:p w:rsidR="00BF4FFF" w:rsidRPr="006273FC" w:rsidRDefault="00BF4FFF" w:rsidP="002435F5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vertAlign w:val="superscript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2013/2012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</w:r>
            <w:r w:rsidRPr="006273FC">
              <w:rPr>
                <w:rFonts w:ascii="Arial" w:hAnsi="Arial"/>
                <w:b w:val="0"/>
                <w:noProof/>
                <w:sz w:val="18"/>
                <w:lang w:val="pt-PT"/>
              </w:rPr>
              <w:t>(número de pneus)</w:t>
            </w:r>
          </w:p>
        </w:tc>
        <w:tc>
          <w:tcPr>
            <w:tcW w:w="1134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Europa</w:t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</w:p>
        </w:tc>
        <w:tc>
          <w:tcPr>
            <w:tcW w:w="1134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footnoteReference w:customMarkFollows="1" w:id="6"/>
              <w:t>América do Norte</w:t>
            </w:r>
          </w:p>
        </w:tc>
        <w:tc>
          <w:tcPr>
            <w:tcW w:w="1418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Ásia</w:t>
            </w:r>
          </w:p>
          <w:p w:rsidR="00BF4FFF" w:rsidRPr="006273FC" w:rsidRDefault="00BF4FFF" w:rsidP="001E3147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(sem a Índia)</w:t>
            </w:r>
          </w:p>
        </w:tc>
        <w:tc>
          <w:tcPr>
            <w:tcW w:w="1134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América do Sul</w:t>
            </w:r>
          </w:p>
        </w:tc>
        <w:tc>
          <w:tcPr>
            <w:tcW w:w="1417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África/Índia/ Médio Oriente</w:t>
            </w:r>
          </w:p>
        </w:tc>
        <w:tc>
          <w:tcPr>
            <w:tcW w:w="851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Total</w:t>
            </w:r>
          </w:p>
        </w:tc>
      </w:tr>
      <w:tr w:rsidR="00C21BE7" w:rsidRPr="006273FC">
        <w:tc>
          <w:tcPr>
            <w:tcW w:w="2376" w:type="dxa"/>
          </w:tcPr>
          <w:p w:rsidR="00C21BE7" w:rsidRPr="006273FC" w:rsidRDefault="00C21BE7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Primeira montagem</w:t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</w:p>
          <w:p w:rsidR="00C21BE7" w:rsidRPr="006273FC" w:rsidRDefault="00C21BE7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</w:p>
          <w:p w:rsidR="00C21BE7" w:rsidRPr="006273FC" w:rsidRDefault="00C21BE7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footnoteReference w:customMarkFollows="1" w:id="7"/>
              <w:t>Substituição</w:t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</w:p>
          <w:p w:rsidR="00C21BE7" w:rsidRPr="006273FC" w:rsidRDefault="00C21BE7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</w:p>
        </w:tc>
        <w:tc>
          <w:tcPr>
            <w:tcW w:w="1134" w:type="dxa"/>
          </w:tcPr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footnoteReference w:customMarkFollows="1" w:id="8"/>
              <w:t>+ 4 %</w:t>
            </w: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+ 8 %</w:t>
            </w:r>
          </w:p>
        </w:tc>
        <w:tc>
          <w:tcPr>
            <w:tcW w:w="1134" w:type="dxa"/>
          </w:tcPr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- 7 %</w:t>
            </w: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- 2 %</w:t>
            </w:r>
          </w:p>
        </w:tc>
        <w:tc>
          <w:tcPr>
            <w:tcW w:w="1418" w:type="dxa"/>
          </w:tcPr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+ 12 %</w:t>
            </w: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+ 5 %</w:t>
            </w:r>
          </w:p>
        </w:tc>
        <w:tc>
          <w:tcPr>
            <w:tcW w:w="1134" w:type="dxa"/>
          </w:tcPr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+ 40 %</w:t>
            </w: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+ 10 %</w:t>
            </w:r>
          </w:p>
        </w:tc>
        <w:tc>
          <w:tcPr>
            <w:tcW w:w="1417" w:type="dxa"/>
          </w:tcPr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- 13 %</w:t>
            </w: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+ 8 %</w:t>
            </w:r>
          </w:p>
        </w:tc>
        <w:tc>
          <w:tcPr>
            <w:tcW w:w="851" w:type="dxa"/>
          </w:tcPr>
          <w:p w:rsidR="00C21BE7" w:rsidRPr="006273FC" w:rsidRDefault="00C21BE7" w:rsidP="00304CDE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+ 6 %</w:t>
            </w:r>
          </w:p>
          <w:p w:rsidR="00C21BE7" w:rsidRPr="006273FC" w:rsidRDefault="00C21BE7" w:rsidP="00304CDE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C21BE7" w:rsidRPr="006273FC" w:rsidRDefault="00C21BE7" w:rsidP="00304CDE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+ 5 %</w:t>
            </w:r>
          </w:p>
        </w:tc>
      </w:tr>
    </w:tbl>
    <w:p w:rsidR="00BF4FFF" w:rsidRPr="006273FC" w:rsidRDefault="00BF4FFF" w:rsidP="00BF4FFF">
      <w:pPr>
        <w:spacing w:before="480" w:after="120" w:line="270" w:lineRule="atLeast"/>
        <w:rPr>
          <w:b/>
          <w:noProof/>
          <w:sz w:val="26"/>
          <w:lang w:val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275"/>
        <w:gridCol w:w="1276"/>
        <w:gridCol w:w="1276"/>
        <w:gridCol w:w="1417"/>
        <w:gridCol w:w="993"/>
      </w:tblGrid>
      <w:tr w:rsidR="00BF4FFF" w:rsidRPr="006273FC">
        <w:trPr>
          <w:trHeight w:val="890"/>
        </w:trPr>
        <w:tc>
          <w:tcPr>
            <w:tcW w:w="2235" w:type="dxa"/>
            <w:shd w:val="clear" w:color="auto" w:fill="E6E6E6"/>
          </w:tcPr>
          <w:p w:rsidR="00BF4FFF" w:rsidRPr="006273FC" w:rsidRDefault="00304CDE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Quarto trimestre</w:t>
            </w:r>
          </w:p>
          <w:p w:rsidR="00BF4FFF" w:rsidRPr="006273FC" w:rsidRDefault="00BF4FFF" w:rsidP="002435F5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2013/2012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</w:r>
            <w:r w:rsidRPr="006273FC">
              <w:rPr>
                <w:rFonts w:ascii="Arial" w:hAnsi="Arial"/>
                <w:b w:val="0"/>
                <w:noProof/>
                <w:sz w:val="18"/>
                <w:lang w:val="pt-PT"/>
              </w:rPr>
              <w:t>(número de pneus)</w:t>
            </w:r>
          </w:p>
        </w:tc>
        <w:tc>
          <w:tcPr>
            <w:tcW w:w="1134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Europa</w:t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</w:p>
        </w:tc>
        <w:tc>
          <w:tcPr>
            <w:tcW w:w="1275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footnoteReference w:customMarkFollows="1" w:id="9"/>
              <w:t xml:space="preserve">América 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  <w:t>do Norte</w:t>
            </w:r>
          </w:p>
        </w:tc>
        <w:tc>
          <w:tcPr>
            <w:tcW w:w="1276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Ásia</w:t>
            </w:r>
          </w:p>
          <w:p w:rsidR="00BF4FFF" w:rsidRPr="006273FC" w:rsidRDefault="00BF4FFF" w:rsidP="001E3147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(sem a Índia)</w:t>
            </w:r>
          </w:p>
        </w:tc>
        <w:tc>
          <w:tcPr>
            <w:tcW w:w="1276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 xml:space="preserve">América 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  <w:t>do Sul</w:t>
            </w:r>
          </w:p>
        </w:tc>
        <w:tc>
          <w:tcPr>
            <w:tcW w:w="1417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África/Índia/Médio Oriente</w:t>
            </w:r>
          </w:p>
        </w:tc>
        <w:tc>
          <w:tcPr>
            <w:tcW w:w="993" w:type="dxa"/>
            <w:shd w:val="clear" w:color="auto" w:fill="E6E6E6"/>
          </w:tcPr>
          <w:p w:rsidR="00BF4FFF" w:rsidRPr="006273FC" w:rsidRDefault="00BF4FFF" w:rsidP="00BF4FFF">
            <w:pPr>
              <w:pStyle w:val="LadilloMichelinDossier"/>
              <w:spacing w:before="0" w:after="0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Total</w:t>
            </w:r>
          </w:p>
        </w:tc>
      </w:tr>
      <w:tr w:rsidR="00304CDE" w:rsidRPr="006273FC">
        <w:trPr>
          <w:trHeight w:val="1271"/>
        </w:trPr>
        <w:tc>
          <w:tcPr>
            <w:tcW w:w="2235" w:type="dxa"/>
          </w:tcPr>
          <w:p w:rsidR="00304CDE" w:rsidRPr="006273FC" w:rsidRDefault="00304CDE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Primeira montagem</w:t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</w:p>
          <w:p w:rsidR="00304CDE" w:rsidRPr="006273FC" w:rsidRDefault="00304CDE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footnoteReference w:customMarkFollows="1" w:id="10"/>
              <w:t xml:space="preserve">     </w:t>
            </w:r>
          </w:p>
          <w:p w:rsidR="00304CDE" w:rsidRPr="006273FC" w:rsidRDefault="00304CDE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>Substituição</w:t>
            </w:r>
            <w:r w:rsidRPr="006273FC">
              <w:rPr>
                <w:rStyle w:val="FootnoteReference"/>
                <w:rFonts w:ascii="Arial" w:hAnsi="Arial"/>
                <w:b w:val="0"/>
                <w:noProof/>
                <w:sz w:val="32"/>
                <w:lang w:val="pt-PT"/>
              </w:rPr>
              <w:sym w:font="Symbol" w:char="F02A"/>
            </w:r>
          </w:p>
        </w:tc>
        <w:tc>
          <w:tcPr>
            <w:tcW w:w="1134" w:type="dxa"/>
          </w:tcPr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footnoteReference w:customMarkFollows="1" w:id="11"/>
              <w:t>+ 17 %</w:t>
            </w: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+ 6 %</w:t>
            </w: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</w:tc>
        <w:tc>
          <w:tcPr>
            <w:tcW w:w="1275" w:type="dxa"/>
          </w:tcPr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- 2 %</w:t>
            </w: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- 2 %</w:t>
            </w:r>
          </w:p>
        </w:tc>
        <w:tc>
          <w:tcPr>
            <w:tcW w:w="1276" w:type="dxa"/>
          </w:tcPr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+ 17 %</w:t>
            </w: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+ 7 %</w:t>
            </w:r>
          </w:p>
        </w:tc>
        <w:tc>
          <w:tcPr>
            <w:tcW w:w="1276" w:type="dxa"/>
          </w:tcPr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+ 36 %</w:t>
            </w: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+ 17 %</w:t>
            </w:r>
          </w:p>
        </w:tc>
        <w:tc>
          <w:tcPr>
            <w:tcW w:w="1417" w:type="dxa"/>
          </w:tcPr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- 18 %</w:t>
            </w: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+ 9 %</w:t>
            </w:r>
          </w:p>
        </w:tc>
        <w:tc>
          <w:tcPr>
            <w:tcW w:w="993" w:type="dxa"/>
          </w:tcPr>
          <w:p w:rsidR="00304CDE" w:rsidRPr="006273FC" w:rsidRDefault="00304CDE" w:rsidP="00304CDE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+ 11 %</w:t>
            </w:r>
          </w:p>
          <w:p w:rsidR="00304CDE" w:rsidRPr="006273FC" w:rsidRDefault="00304CDE" w:rsidP="00304CDE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</w:p>
          <w:p w:rsidR="00304CDE" w:rsidRPr="006273FC" w:rsidRDefault="00304CDE" w:rsidP="00304CDE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noProof/>
                <w:snapToGrid w:val="0"/>
                <w:sz w:val="20"/>
                <w:szCs w:val="18"/>
                <w:lang w:val="pt-PT"/>
              </w:rPr>
            </w:pPr>
            <w:r w:rsidRPr="006273FC">
              <w:rPr>
                <w:rFonts w:ascii="Arial" w:eastAsia="MS Mincho" w:hAnsi="Arial" w:cs="Arial"/>
                <w:b/>
                <w:bCs/>
                <w:noProof/>
                <w:snapToGrid w:val="0"/>
                <w:sz w:val="20"/>
                <w:szCs w:val="18"/>
                <w:lang w:val="pt-PT"/>
              </w:rPr>
              <w:t>+ 6 %</w:t>
            </w:r>
          </w:p>
        </w:tc>
      </w:tr>
    </w:tbl>
    <w:p w:rsidR="00D50044" w:rsidRPr="006273FC" w:rsidRDefault="00BF4FFF" w:rsidP="00867D3B">
      <w:pPr>
        <w:pStyle w:val="TextoMichelin"/>
        <w:numPr>
          <w:ilvl w:val="0"/>
          <w:numId w:val="38"/>
        </w:numPr>
        <w:ind w:left="1276"/>
        <w:rPr>
          <w:rFonts w:hAnsi="Arial Unicode MS"/>
          <w:noProof/>
          <w:lang w:val="pt-PT"/>
        </w:rPr>
      </w:pPr>
      <w:r w:rsidRPr="006273FC">
        <w:rPr>
          <w:b/>
          <w:bCs/>
          <w:noProof/>
          <w:lang w:val="pt-PT"/>
        </w:rPr>
        <w:t xml:space="preserve">Primeira Montagem </w:t>
      </w:r>
      <w:r w:rsidRPr="006273FC">
        <w:rPr>
          <w:noProof/>
          <w:lang w:val="pt-PT"/>
        </w:rPr>
        <w:t>Na Europa, a procura beneficia no fim do ano das compras antecipadas de camiões, devido à entrada em vigor, em 1 de janeiro de 2014, das normas Euro VI.</w:t>
      </w:r>
    </w:p>
    <w:p w:rsidR="000F7BDA" w:rsidRPr="006273FC" w:rsidRDefault="00597649" w:rsidP="00196C7B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 xml:space="preserve">Na </w:t>
      </w:r>
      <w:r w:rsidRPr="006273FC">
        <w:rPr>
          <w:rFonts w:hAnsi="Arial Unicode MS"/>
          <w:noProof/>
          <w:lang w:val="pt-PT"/>
        </w:rPr>
        <w:t>Am</w:t>
      </w:r>
      <w:r w:rsidRPr="006273FC">
        <w:rPr>
          <w:rFonts w:hAnsi="Arial Unicode MS"/>
          <w:noProof/>
          <w:lang w:val="pt-PT"/>
        </w:rPr>
        <w:t>é</w:t>
      </w:r>
      <w:r w:rsidRPr="006273FC">
        <w:rPr>
          <w:rFonts w:hAnsi="Arial Unicode MS"/>
          <w:noProof/>
          <w:lang w:val="pt-PT"/>
        </w:rPr>
        <w:t>rica do Norte</w:t>
      </w:r>
      <w:r w:rsidRPr="006273FC">
        <w:rPr>
          <w:noProof/>
          <w:lang w:val="pt-PT"/>
        </w:rPr>
        <w:t xml:space="preserve">, a </w:t>
      </w:r>
      <w:r w:rsidRPr="006273FC">
        <w:rPr>
          <w:rFonts w:hAnsi="Arial Unicode MS"/>
          <w:noProof/>
          <w:lang w:val="pt-PT"/>
        </w:rPr>
        <w:t>procura</w:t>
      </w:r>
      <w:r w:rsidRPr="006273FC">
        <w:rPr>
          <w:noProof/>
          <w:lang w:val="pt-PT"/>
        </w:rPr>
        <w:t>, átona numa grande parte do ano, mostra sinais de melhoria no último trimestre. O crescimento das compras de camião registadas no quarto trimestre poderiam manter o mercado no princípio de 2014.</w:t>
      </w:r>
    </w:p>
    <w:p w:rsidR="00597649" w:rsidRPr="006273FC" w:rsidRDefault="00785613" w:rsidP="005C58BB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rFonts w:hAnsi="Arial Unicode MS"/>
          <w:noProof/>
          <w:lang w:val="pt-PT"/>
        </w:rPr>
        <w:t xml:space="preserve">Na </w:t>
      </w:r>
      <w:r w:rsidRPr="006273FC">
        <w:rPr>
          <w:rFonts w:hAnsi="Arial Unicode MS"/>
          <w:noProof/>
          <w:lang w:val="pt-PT"/>
        </w:rPr>
        <w:t>Á</w:t>
      </w:r>
      <w:r w:rsidRPr="006273FC">
        <w:rPr>
          <w:rFonts w:hAnsi="Arial Unicode MS"/>
          <w:noProof/>
          <w:lang w:val="pt-PT"/>
        </w:rPr>
        <w:t xml:space="preserve">sia (sem incluir a </w:t>
      </w:r>
      <w:r w:rsidRPr="006273FC">
        <w:rPr>
          <w:rFonts w:hAnsi="Arial Unicode MS"/>
          <w:noProof/>
          <w:lang w:val="pt-PT"/>
        </w:rPr>
        <w:t>Í</w:t>
      </w:r>
      <w:r w:rsidRPr="006273FC">
        <w:rPr>
          <w:rFonts w:hAnsi="Arial Unicode MS"/>
          <w:noProof/>
          <w:lang w:val="pt-PT"/>
        </w:rPr>
        <w:t>ndia), a procura cresce 12</w:t>
      </w:r>
      <w:r w:rsidRPr="006273FC">
        <w:rPr>
          <w:rFonts w:hAnsi="Arial Unicode MS"/>
          <w:noProof/>
          <w:lang w:val="pt-PT"/>
        </w:rPr>
        <w:t> </w:t>
      </w:r>
      <w:r w:rsidRPr="006273FC">
        <w:rPr>
          <w:rFonts w:hAnsi="Arial Unicode MS"/>
          <w:noProof/>
          <w:lang w:val="pt-PT"/>
        </w:rPr>
        <w:t>%. Na China, o mercado aumenta 14</w:t>
      </w:r>
      <w:r w:rsidRPr="006273FC">
        <w:rPr>
          <w:rFonts w:hAnsi="Arial Unicode MS"/>
          <w:noProof/>
          <w:lang w:val="pt-PT"/>
        </w:rPr>
        <w:t> </w:t>
      </w:r>
      <w:r w:rsidRPr="006273FC">
        <w:rPr>
          <w:rFonts w:hAnsi="Arial Unicode MS"/>
          <w:noProof/>
          <w:lang w:val="pt-PT"/>
        </w:rPr>
        <w:t>%, com um crescimento acentuado nos segmentos de Cami</w:t>
      </w:r>
      <w:r w:rsidRPr="006273FC">
        <w:rPr>
          <w:rFonts w:hAnsi="Arial Unicode MS"/>
          <w:noProof/>
          <w:lang w:val="pt-PT"/>
        </w:rPr>
        <w:t>õ</w:t>
      </w:r>
      <w:r w:rsidRPr="006273FC">
        <w:rPr>
          <w:rFonts w:hAnsi="Arial Unicode MS"/>
          <w:noProof/>
          <w:lang w:val="pt-PT"/>
        </w:rPr>
        <w:t>es Pesados e Autocarros. No Sudeste asi</w:t>
      </w:r>
      <w:r w:rsidRPr="006273FC">
        <w:rPr>
          <w:rFonts w:hAnsi="Arial Unicode MS"/>
          <w:noProof/>
          <w:lang w:val="pt-PT"/>
        </w:rPr>
        <w:t>á</w:t>
      </w:r>
      <w:r w:rsidRPr="006273FC">
        <w:rPr>
          <w:rFonts w:hAnsi="Arial Unicode MS"/>
          <w:noProof/>
          <w:lang w:val="pt-PT"/>
        </w:rPr>
        <w:t>tico, a procura de pneus radiais, que tinha aumentado 28 % no primeiro trimestre, cai 4</w:t>
      </w:r>
      <w:r w:rsidRPr="006273FC">
        <w:rPr>
          <w:rFonts w:hAnsi="Arial Unicode MS"/>
          <w:noProof/>
          <w:lang w:val="pt-PT"/>
        </w:rPr>
        <w:t> </w:t>
      </w:r>
      <w:r w:rsidRPr="006273FC">
        <w:rPr>
          <w:rFonts w:hAnsi="Arial Unicode MS"/>
          <w:noProof/>
          <w:lang w:val="pt-PT"/>
        </w:rPr>
        <w:t>%, especialmente com uma forte descida na Tail</w:t>
      </w:r>
      <w:r w:rsidRPr="006273FC">
        <w:rPr>
          <w:rFonts w:hAnsi="Arial Unicode MS"/>
          <w:noProof/>
          <w:lang w:val="pt-PT"/>
        </w:rPr>
        <w:t>â</w:t>
      </w:r>
      <w:r w:rsidRPr="006273FC">
        <w:rPr>
          <w:rFonts w:hAnsi="Arial Unicode MS"/>
          <w:noProof/>
          <w:lang w:val="pt-PT"/>
        </w:rPr>
        <w:t>ndia. No Jap</w:t>
      </w:r>
      <w:r w:rsidRPr="006273FC">
        <w:rPr>
          <w:rFonts w:hAnsi="Arial Unicode MS"/>
          <w:noProof/>
          <w:lang w:val="pt-PT"/>
        </w:rPr>
        <w:t>ã</w:t>
      </w:r>
      <w:r w:rsidRPr="006273FC">
        <w:rPr>
          <w:rFonts w:hAnsi="Arial Unicode MS"/>
          <w:noProof/>
          <w:lang w:val="pt-PT"/>
        </w:rPr>
        <w:t>o, o primeiro equipamento sobe 5 % anual e 27 % no quarto trimestre, sustentado pela recupera</w:t>
      </w:r>
      <w:r w:rsidRPr="006273FC">
        <w:rPr>
          <w:rFonts w:hAnsi="Arial Unicode MS"/>
          <w:noProof/>
          <w:lang w:val="pt-PT"/>
        </w:rPr>
        <w:t>çã</w:t>
      </w:r>
      <w:r w:rsidRPr="006273FC">
        <w:rPr>
          <w:rFonts w:hAnsi="Arial Unicode MS"/>
          <w:noProof/>
          <w:lang w:val="pt-PT"/>
        </w:rPr>
        <w:t>o das exporta</w:t>
      </w:r>
      <w:r w:rsidRPr="006273FC">
        <w:rPr>
          <w:rFonts w:hAnsi="Arial Unicode MS"/>
          <w:noProof/>
          <w:lang w:val="pt-PT"/>
        </w:rPr>
        <w:t>çõ</w:t>
      </w:r>
      <w:r w:rsidRPr="006273FC">
        <w:rPr>
          <w:rFonts w:hAnsi="Arial Unicode MS"/>
          <w:noProof/>
          <w:lang w:val="pt-PT"/>
        </w:rPr>
        <w:t>es e compras antecipadas de cami</w:t>
      </w:r>
      <w:r w:rsidRPr="006273FC">
        <w:rPr>
          <w:rFonts w:hAnsi="Arial Unicode MS"/>
          <w:noProof/>
          <w:lang w:val="pt-PT"/>
        </w:rPr>
        <w:t>õ</w:t>
      </w:r>
      <w:r w:rsidRPr="006273FC">
        <w:rPr>
          <w:rFonts w:hAnsi="Arial Unicode MS"/>
          <w:noProof/>
          <w:lang w:val="pt-PT"/>
        </w:rPr>
        <w:t>es antes do aumento do IVA.</w:t>
      </w:r>
    </w:p>
    <w:p w:rsidR="005C58BB" w:rsidRPr="006273FC" w:rsidRDefault="005C58BB" w:rsidP="0023135F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rFonts w:hAnsi="Arial Unicode MS"/>
          <w:noProof/>
          <w:lang w:val="pt-PT"/>
        </w:rPr>
        <w:t>Na Am</w:t>
      </w:r>
      <w:r w:rsidRPr="006273FC">
        <w:rPr>
          <w:rFonts w:hAnsi="Arial Unicode MS"/>
          <w:noProof/>
          <w:lang w:val="pt-PT"/>
        </w:rPr>
        <w:t>é</w:t>
      </w:r>
      <w:r w:rsidRPr="006273FC">
        <w:rPr>
          <w:rFonts w:hAnsi="Arial Unicode MS"/>
          <w:noProof/>
          <w:lang w:val="pt-PT"/>
        </w:rPr>
        <w:t>rica do Sul, o mercado experimenta um forte aumento (+</w:t>
      </w:r>
      <w:r w:rsidRPr="006273FC">
        <w:rPr>
          <w:rFonts w:hAnsi="Arial Unicode MS"/>
          <w:noProof/>
          <w:lang w:val="pt-PT"/>
        </w:rPr>
        <w:t> </w:t>
      </w:r>
      <w:r w:rsidRPr="006273FC">
        <w:rPr>
          <w:rFonts w:hAnsi="Arial Unicode MS"/>
          <w:noProof/>
          <w:lang w:val="pt-PT"/>
        </w:rPr>
        <w:t>40 %), bem orientado gra</w:t>
      </w:r>
      <w:r w:rsidRPr="006273FC">
        <w:rPr>
          <w:rFonts w:hAnsi="Arial Unicode MS"/>
          <w:noProof/>
          <w:lang w:val="pt-PT"/>
        </w:rPr>
        <w:t>ç</w:t>
      </w:r>
      <w:r w:rsidRPr="006273FC">
        <w:rPr>
          <w:rFonts w:hAnsi="Arial Unicode MS"/>
          <w:noProof/>
          <w:lang w:val="pt-PT"/>
        </w:rPr>
        <w:t xml:space="preserve">as </w:t>
      </w:r>
      <w:r w:rsidRPr="006273FC">
        <w:rPr>
          <w:rFonts w:hAnsi="Arial Unicode MS"/>
          <w:noProof/>
          <w:lang w:val="pt-PT"/>
        </w:rPr>
        <w:t>à</w:t>
      </w:r>
      <w:r w:rsidRPr="006273FC">
        <w:rPr>
          <w:rFonts w:hAnsi="Arial Unicode MS"/>
          <w:noProof/>
          <w:lang w:val="pt-PT"/>
        </w:rPr>
        <w:t xml:space="preserve"> forte procura de cami</w:t>
      </w:r>
      <w:r w:rsidRPr="006273FC">
        <w:rPr>
          <w:rFonts w:hAnsi="Arial Unicode MS"/>
          <w:noProof/>
          <w:lang w:val="pt-PT"/>
        </w:rPr>
        <w:t>õ</w:t>
      </w:r>
      <w:r w:rsidRPr="006273FC">
        <w:rPr>
          <w:rFonts w:hAnsi="Arial Unicode MS"/>
          <w:noProof/>
          <w:lang w:val="pt-PT"/>
        </w:rPr>
        <w:t>es pesados para o setor agr</w:t>
      </w:r>
      <w:r w:rsidRPr="006273FC">
        <w:rPr>
          <w:rFonts w:hAnsi="Arial Unicode MS"/>
          <w:noProof/>
          <w:lang w:val="pt-PT"/>
        </w:rPr>
        <w:t>í</w:t>
      </w:r>
      <w:r w:rsidRPr="006273FC">
        <w:rPr>
          <w:rFonts w:hAnsi="Arial Unicode MS"/>
          <w:noProof/>
          <w:lang w:val="pt-PT"/>
        </w:rPr>
        <w:t>cola e o efeito mec</w:t>
      </w:r>
      <w:r w:rsidRPr="006273FC">
        <w:rPr>
          <w:rFonts w:hAnsi="Arial Unicode MS"/>
          <w:noProof/>
          <w:lang w:val="pt-PT"/>
        </w:rPr>
        <w:t>â</w:t>
      </w:r>
      <w:r w:rsidRPr="006273FC">
        <w:rPr>
          <w:rFonts w:hAnsi="Arial Unicode MS"/>
          <w:noProof/>
          <w:lang w:val="pt-PT"/>
        </w:rPr>
        <w:t>nico da entrada em vigor da norma EURO</w:t>
      </w:r>
      <w:r w:rsidRPr="006273FC">
        <w:rPr>
          <w:rFonts w:hAnsi="Arial Unicode MS"/>
          <w:noProof/>
          <w:lang w:val="pt-PT"/>
        </w:rPr>
        <w:t> </w:t>
      </w:r>
      <w:r w:rsidRPr="006273FC">
        <w:rPr>
          <w:rFonts w:hAnsi="Arial Unicode MS"/>
          <w:noProof/>
          <w:lang w:val="pt-PT"/>
        </w:rPr>
        <w:t>V em 2012.</w:t>
      </w:r>
    </w:p>
    <w:p w:rsidR="00BF4FFF" w:rsidRPr="006273FC" w:rsidRDefault="00BF4FFF" w:rsidP="00196C7B">
      <w:pPr>
        <w:spacing w:before="480" w:after="240" w:line="270" w:lineRule="atLeast"/>
        <w:jc w:val="both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Substituição</w:t>
      </w:r>
    </w:p>
    <w:p w:rsidR="00992DF0" w:rsidRPr="006273FC" w:rsidRDefault="00992DF0" w:rsidP="00E5572F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>Na Europa, o mercado cresce 8 %, mas permanece em níveis baixos. A procura na Europa Ocidental (+ 7 %) reflete a boa tendência das vendas da distribuição às frotas, a redução do número de carcaças disponíveis para recauchutar e a diminuição dos stocks da distribuição. Na Europa do Leste, o mercado de pneus aumenta 13 % no ano, com um afrouxamento no quarto trimestre devido à descida da procura na Rússia (- 4 %).</w:t>
      </w:r>
    </w:p>
    <w:p w:rsidR="00386567" w:rsidRPr="006273FC" w:rsidRDefault="007F596B" w:rsidP="007F596B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 xml:space="preserve">Na América do Norte, o mercado, que cai 2 % anual, sofre, por um lado, a descida dos stocks da distribuição e, por outro, a otimização do transporte pelas frotas. </w:t>
      </w:r>
    </w:p>
    <w:p w:rsidR="00952713" w:rsidRPr="006273FC" w:rsidRDefault="00952713" w:rsidP="00952713">
      <w:pPr>
        <w:pStyle w:val="TextoMichelin"/>
        <w:numPr>
          <w:ilvl w:val="0"/>
          <w:numId w:val="38"/>
        </w:numPr>
        <w:ind w:left="1276"/>
        <w:rPr>
          <w:noProof/>
          <w:lang w:val="pt-PT"/>
        </w:rPr>
      </w:pPr>
      <w:r w:rsidRPr="006273FC">
        <w:rPr>
          <w:noProof/>
          <w:lang w:val="pt-PT"/>
        </w:rPr>
        <w:t xml:space="preserve">Os mercados da Ásia (sem incluir a Índia) crescem 5 %. Na China, o mercado aumenta 5 % anual e 7 % no último trimestre, em conformidade com a ligeira melhoria da economia. No Sudeste asiático, os mercados, em crescimento de 4 %, continuam a beneficiar do processo de «radialização». No Japão, o mercado confirma o seu crescimento, com um aumento de 7 %. </w:t>
      </w:r>
    </w:p>
    <w:p w:rsidR="00BF4FFF" w:rsidRPr="006273FC" w:rsidRDefault="00BF4FFF" w:rsidP="00BF4FFF">
      <w:pPr>
        <w:tabs>
          <w:tab w:val="left" w:pos="284"/>
        </w:tabs>
        <w:jc w:val="both"/>
        <w:rPr>
          <w:rFonts w:ascii="Verdana" w:eastAsia="Times New Roman" w:hAnsi="Verdana" w:cs="Arial"/>
          <w:b/>
          <w:noProof/>
          <w:highlight w:val="red"/>
          <w:lang w:val="pt-PT"/>
        </w:rPr>
      </w:pPr>
    </w:p>
    <w:p w:rsidR="00BF4FFF" w:rsidRPr="006273FC" w:rsidRDefault="00BF4FFF" w:rsidP="00BF4FFF">
      <w:pPr>
        <w:tabs>
          <w:tab w:val="left" w:pos="284"/>
        </w:tabs>
        <w:jc w:val="both"/>
        <w:rPr>
          <w:b/>
          <w:noProof/>
          <w:sz w:val="26"/>
          <w:lang w:val="pt-PT"/>
        </w:rPr>
      </w:pPr>
      <w:r w:rsidRPr="006273FC">
        <w:rPr>
          <w:b/>
          <w:bCs/>
          <w:noProof/>
          <w:sz w:val="26"/>
          <w:lang w:val="pt-PT"/>
        </w:rPr>
        <w:t>Pneus de especialidades</w:t>
      </w:r>
    </w:p>
    <w:p w:rsidR="00BF4FFF" w:rsidRPr="006273FC" w:rsidRDefault="00BF4FFF" w:rsidP="00BF4FFF">
      <w:pPr>
        <w:tabs>
          <w:tab w:val="left" w:pos="284"/>
        </w:tabs>
        <w:jc w:val="both"/>
        <w:rPr>
          <w:rFonts w:ascii="Verdana" w:eastAsia="Times New Roman" w:hAnsi="Verdana" w:cs="Arial"/>
          <w:b/>
          <w:noProof/>
          <w:highlight w:val="red"/>
          <w:lang w:val="pt-PT"/>
        </w:rPr>
      </w:pPr>
    </w:p>
    <w:p w:rsidR="002E1BDB" w:rsidRPr="006273FC" w:rsidRDefault="00B527E0" w:rsidP="00833107">
      <w:pPr>
        <w:pStyle w:val="TextoMichelin"/>
        <w:numPr>
          <w:ilvl w:val="0"/>
          <w:numId w:val="36"/>
        </w:numPr>
        <w:rPr>
          <w:bCs/>
          <w:noProof/>
          <w:lang w:val="pt-PT"/>
        </w:rPr>
      </w:pPr>
      <w:r w:rsidRPr="006273FC">
        <w:rPr>
          <w:b/>
          <w:bCs/>
          <w:noProof/>
          <w:lang w:val="pt-PT"/>
        </w:rPr>
        <w:t>Engenharia civil:</w:t>
      </w:r>
      <w:r w:rsidRPr="006273FC">
        <w:rPr>
          <w:rFonts w:hAnsi="Arial Unicode MS"/>
          <w:b/>
          <w:bCs/>
          <w:noProof/>
          <w:lang w:val="pt-PT"/>
        </w:rPr>
        <w:t xml:space="preserve"> </w:t>
      </w:r>
      <w:r w:rsidRPr="006273FC">
        <w:rPr>
          <w:b/>
          <w:bCs/>
          <w:noProof/>
          <w:lang w:val="pt-PT"/>
        </w:rPr>
        <w:t xml:space="preserve"> </w:t>
      </w:r>
      <w:r w:rsidRPr="006273FC">
        <w:rPr>
          <w:noProof/>
          <w:lang w:val="pt-PT"/>
        </w:rPr>
        <w:t xml:space="preserve">O mercado de pneus de grandes dimensões para a minaria experimenta um ligeiro crescimento no conjunto do ano. No quarto trimestre, sofre uma descida significativa devido à redução do stock das companhias mineiras. </w:t>
      </w:r>
    </w:p>
    <w:p w:rsidR="002E1BDB" w:rsidRPr="006273FC" w:rsidRDefault="00E062AB" w:rsidP="002E1BDB">
      <w:pPr>
        <w:pStyle w:val="TextoMichelin"/>
        <w:ind w:left="720"/>
        <w:rPr>
          <w:bCs/>
          <w:noProof/>
          <w:lang w:val="pt-PT"/>
        </w:rPr>
      </w:pPr>
      <w:r w:rsidRPr="006273FC">
        <w:rPr>
          <w:noProof/>
          <w:lang w:val="pt-PT"/>
        </w:rPr>
        <w:t>Os mercados de primeiros equipamentos sofreram uma forte queda na Europa e na América do Norte, penalizados pela debilidade da procura e por uma forte redução de stock dos construtores, que já chegou ao fim.</w:t>
      </w:r>
    </w:p>
    <w:p w:rsidR="006A574B" w:rsidRPr="006273FC" w:rsidRDefault="002E1BDB" w:rsidP="002E1BDB">
      <w:pPr>
        <w:pStyle w:val="TextoMichelin"/>
        <w:ind w:left="720"/>
        <w:rPr>
          <w:bCs/>
          <w:noProof/>
          <w:lang w:val="pt-PT"/>
        </w:rPr>
      </w:pPr>
      <w:r w:rsidRPr="006273FC">
        <w:rPr>
          <w:noProof/>
          <w:lang w:val="pt-PT"/>
        </w:rPr>
        <w:t xml:space="preserve">O mercado de pneus para infraestruturas e pedreiras está em claro retrocesso nos países maduros, especialmente na América do Norte, onde houve uma descida da atividade e um nível de stock da distribuição ainda significativo, mas a descer no fim do ano. </w:t>
      </w:r>
    </w:p>
    <w:p w:rsidR="00B527E0" w:rsidRPr="006273FC" w:rsidRDefault="00B527E0" w:rsidP="0019532C">
      <w:pPr>
        <w:spacing w:after="60"/>
        <w:jc w:val="both"/>
        <w:rPr>
          <w:rFonts w:ascii="Arial" w:hAnsi="Arial"/>
          <w:bCs/>
          <w:noProof/>
          <w:sz w:val="21"/>
          <w:lang w:val="pt-PT"/>
        </w:rPr>
      </w:pPr>
    </w:p>
    <w:p w:rsidR="00FF1244" w:rsidRPr="006273FC" w:rsidRDefault="00BF4FFF" w:rsidP="00FF1244">
      <w:pPr>
        <w:pStyle w:val="TextoMichelin"/>
        <w:numPr>
          <w:ilvl w:val="0"/>
          <w:numId w:val="36"/>
        </w:numPr>
        <w:rPr>
          <w:bCs/>
          <w:noProof/>
          <w:lang w:val="pt-PT"/>
        </w:rPr>
      </w:pPr>
      <w:r w:rsidRPr="006273FC">
        <w:rPr>
          <w:b/>
          <w:bCs/>
          <w:noProof/>
          <w:lang w:val="pt-PT"/>
        </w:rPr>
        <w:t>Agrícola:</w:t>
      </w:r>
      <w:r w:rsidRPr="006273FC">
        <w:rPr>
          <w:noProof/>
          <w:lang w:val="pt-PT"/>
        </w:rPr>
        <w:t xml:space="preserve"> </w:t>
      </w:r>
      <w:r w:rsidRPr="006273FC">
        <w:rPr>
          <w:rFonts w:hAnsi="Arial Unicode MS"/>
          <w:noProof/>
          <w:lang w:val="pt-PT"/>
        </w:rPr>
        <w:t>A procura mundial do mercado de primeiros equipamentos est</w:t>
      </w:r>
      <w:r w:rsidRPr="006273FC">
        <w:rPr>
          <w:rFonts w:hAnsi="Arial Unicode MS"/>
          <w:noProof/>
          <w:lang w:val="pt-PT"/>
        </w:rPr>
        <w:t>á</w:t>
      </w:r>
      <w:r w:rsidRPr="006273FC">
        <w:rPr>
          <w:rFonts w:hAnsi="Arial Unicode MS"/>
          <w:noProof/>
          <w:lang w:val="pt-PT"/>
        </w:rPr>
        <w:t xml:space="preserve"> globalmente em </w:t>
      </w:r>
      <w:r w:rsidRPr="006273FC">
        <w:rPr>
          <w:noProof/>
          <w:lang w:val="pt-PT"/>
        </w:rPr>
        <w:t xml:space="preserve">retrocesso nos países maduros. Entretanto, a procura de pneus técnicos sobe. </w:t>
      </w:r>
    </w:p>
    <w:p w:rsidR="00FF1244" w:rsidRPr="006273FC" w:rsidRDefault="006A574B" w:rsidP="00FF1244">
      <w:pPr>
        <w:pStyle w:val="TextoMichelin"/>
        <w:ind w:left="720"/>
        <w:rPr>
          <w:bCs/>
          <w:noProof/>
          <w:lang w:val="pt-PT"/>
        </w:rPr>
      </w:pPr>
      <w:r w:rsidRPr="006273FC">
        <w:rPr>
          <w:noProof/>
          <w:lang w:val="pt-PT"/>
        </w:rPr>
        <w:t>O mercado de substituição tem uma aceleração na Europa, mas continua a cair na América do Norte.</w:t>
      </w:r>
    </w:p>
    <w:p w:rsidR="00FF1244" w:rsidRPr="006273FC" w:rsidRDefault="00BF4FFF" w:rsidP="00FF1244">
      <w:pPr>
        <w:pStyle w:val="TextoMichelin"/>
        <w:numPr>
          <w:ilvl w:val="0"/>
          <w:numId w:val="36"/>
        </w:numPr>
        <w:rPr>
          <w:bCs/>
          <w:noProof/>
          <w:lang w:val="pt-PT"/>
        </w:rPr>
      </w:pPr>
      <w:r w:rsidRPr="006273FC">
        <w:rPr>
          <w:b/>
          <w:bCs/>
          <w:noProof/>
          <w:lang w:val="pt-PT"/>
        </w:rPr>
        <w:t>Duas rodas</w:t>
      </w:r>
      <w:r w:rsidRPr="006273FC">
        <w:rPr>
          <w:noProof/>
          <w:lang w:val="pt-PT"/>
        </w:rPr>
        <w:t xml:space="preserve">: </w:t>
      </w:r>
      <w:r w:rsidRPr="006273FC">
        <w:rPr>
          <w:rFonts w:hAnsi="Arial Unicode MS"/>
          <w:noProof/>
          <w:lang w:val="pt-PT"/>
        </w:rPr>
        <w:t>O mercado de moto permanece est</w:t>
      </w:r>
      <w:r w:rsidRPr="006273FC">
        <w:rPr>
          <w:rFonts w:hAnsi="Arial Unicode MS"/>
          <w:noProof/>
          <w:lang w:val="pt-PT"/>
        </w:rPr>
        <w:t>á</w:t>
      </w:r>
      <w:r w:rsidRPr="006273FC">
        <w:rPr>
          <w:rFonts w:hAnsi="Arial Unicode MS"/>
          <w:noProof/>
          <w:lang w:val="pt-PT"/>
        </w:rPr>
        <w:t xml:space="preserve">vel na Europa, contrai-se </w:t>
      </w:r>
      <w:r w:rsidRPr="006273FC">
        <w:rPr>
          <w:noProof/>
          <w:lang w:val="pt-PT"/>
        </w:rPr>
        <w:t>na América do Norte devido às desfavoráveis condições meteorológicas</w:t>
      </w:r>
      <w:r w:rsidRPr="006273FC">
        <w:rPr>
          <w:rFonts w:hAnsi="Arial Unicode MS"/>
          <w:noProof/>
          <w:lang w:val="pt-PT"/>
        </w:rPr>
        <w:t>. O mercado est</w:t>
      </w:r>
      <w:r w:rsidRPr="006273FC">
        <w:rPr>
          <w:rFonts w:hAnsi="Arial Unicode MS"/>
          <w:noProof/>
          <w:lang w:val="pt-PT"/>
        </w:rPr>
        <w:t>á</w:t>
      </w:r>
      <w:r w:rsidRPr="006273FC">
        <w:rPr>
          <w:rFonts w:hAnsi="Arial Unicode MS"/>
          <w:noProof/>
          <w:lang w:val="pt-PT"/>
        </w:rPr>
        <w:t xml:space="preserve"> a subir nos pa</w:t>
      </w:r>
      <w:r w:rsidRPr="006273FC">
        <w:rPr>
          <w:rFonts w:hAnsi="Arial Unicode MS"/>
          <w:noProof/>
          <w:lang w:val="pt-PT"/>
        </w:rPr>
        <w:t>í</w:t>
      </w:r>
      <w:r w:rsidRPr="006273FC">
        <w:rPr>
          <w:rFonts w:hAnsi="Arial Unicode MS"/>
          <w:noProof/>
          <w:lang w:val="pt-PT"/>
        </w:rPr>
        <w:t>ses emergentes.</w:t>
      </w:r>
    </w:p>
    <w:p w:rsidR="00FF1244" w:rsidRPr="006273FC" w:rsidRDefault="00BF4FFF" w:rsidP="0011004E">
      <w:pPr>
        <w:pStyle w:val="TextoMichelin"/>
        <w:numPr>
          <w:ilvl w:val="0"/>
          <w:numId w:val="36"/>
        </w:numPr>
        <w:rPr>
          <w:bCs/>
          <w:noProof/>
          <w:lang w:val="pt-PT"/>
        </w:rPr>
      </w:pPr>
      <w:r w:rsidRPr="006273FC">
        <w:rPr>
          <w:b/>
          <w:bCs/>
          <w:noProof/>
          <w:lang w:val="pt-PT"/>
        </w:rPr>
        <w:t>Avião:</w:t>
      </w:r>
      <w:r w:rsidRPr="006273FC">
        <w:rPr>
          <w:noProof/>
          <w:lang w:val="pt-PT"/>
        </w:rPr>
        <w:t xml:space="preserve"> Os mercados de aviação comercial permanecem estáveis. O mercado militar sofre as restrições orçamentais dos governos</w:t>
      </w:r>
      <w:r w:rsidRPr="006273FC">
        <w:rPr>
          <w:rFonts w:hAnsi="Arial Unicode MS"/>
          <w:noProof/>
          <w:lang w:val="pt-PT"/>
        </w:rPr>
        <w:t>.</w:t>
      </w:r>
    </w:p>
    <w:p w:rsidR="00D66F25" w:rsidRPr="006273FC" w:rsidRDefault="00B6296F" w:rsidP="00833107">
      <w:pPr>
        <w:spacing w:after="240" w:line="360" w:lineRule="exact"/>
        <w:rPr>
          <w:bCs/>
          <w:noProof/>
          <w:lang w:val="pt-PT"/>
        </w:rPr>
      </w:pPr>
      <w:r w:rsidRPr="006273FC">
        <w:rPr>
          <w:noProof/>
          <w:szCs w:val="26"/>
          <w:lang w:val="pt-PT"/>
        </w:rPr>
        <w:br w:type="column"/>
      </w:r>
      <w:r w:rsidRPr="006273FC">
        <w:rPr>
          <w:b/>
          <w:bCs/>
          <w:noProof/>
          <w:snapToGrid w:val="0"/>
          <w:color w:val="333399"/>
          <w:sz w:val="40"/>
          <w:szCs w:val="26"/>
          <w:lang w:val="pt-PT"/>
        </w:rPr>
        <w:t>Atividade e Resultados de 2013</w:t>
      </w:r>
    </w:p>
    <w:p w:rsidR="00D66F25" w:rsidRPr="006273FC" w:rsidRDefault="00D66F25" w:rsidP="00D66F25">
      <w:pPr>
        <w:pStyle w:val="LadilloMichelinDossier"/>
        <w:rPr>
          <w:noProof/>
          <w:lang w:val="pt-PT"/>
        </w:rPr>
      </w:pPr>
      <w:r w:rsidRPr="006273FC">
        <w:rPr>
          <w:bCs/>
          <w:noProof/>
          <w:lang w:val="pt-PT"/>
        </w:rPr>
        <w:t>Vendas líquidas</w:t>
      </w:r>
    </w:p>
    <w:p w:rsidR="007C6697" w:rsidRPr="006273FC" w:rsidRDefault="00173468" w:rsidP="00036817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b/>
          <w:bCs/>
          <w:noProof/>
          <w:lang w:val="pt-PT"/>
        </w:rPr>
        <w:t>As vendas líquidas situam-se em 20.247 milhões de euros,</w:t>
      </w:r>
      <w:r w:rsidRPr="006273FC">
        <w:rPr>
          <w:rFonts w:cs="Arial"/>
          <w:noProof/>
          <w:lang w:val="pt-PT"/>
        </w:rPr>
        <w:t xml:space="preserve"> em relação aos 21.474 milhões de euros de 2012.</w:t>
      </w:r>
    </w:p>
    <w:p w:rsidR="00465682" w:rsidRPr="006273FC" w:rsidRDefault="007C6697" w:rsidP="00036817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A estabilidade dos volumes enquadra-se num contexto de mercados fracos no primeiro semestre e mais dinâmicos no segundo, apesar do afrouxamento dos mercados de Engenharia Civil durante o ano.</w:t>
      </w:r>
    </w:p>
    <w:p w:rsidR="00A6049F" w:rsidRPr="006273FC" w:rsidRDefault="00465682" w:rsidP="00A6049F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 xml:space="preserve">O efeito negativo do mix de preços estabelece-se em - 516 milhões de euros (- 2,4 %). Inclui, até atingir - 550 milhões de euros, o efeito combinado dos ajustes de contratuais de preços para a baixa, relacionados com a indexação das matérias-primas, e os reposicionamentos controlados de preços, em certas dimensões. Isto inclui também 34 milhões de euros, pelo efeito da melhoria do mix, especialmente graças à estratégia premium em Ligeiro e Camioneta. </w:t>
      </w:r>
    </w:p>
    <w:p w:rsidR="003A709E" w:rsidRPr="006273FC" w:rsidRDefault="003A709E" w:rsidP="003A709E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O forte impacto negativo das paridades de câmbio, estabelecido em 716 milhões de euros (- 3,4 %), resulta, principalmente da força do euro.</w:t>
      </w:r>
    </w:p>
    <w:p w:rsidR="00D66F25" w:rsidRPr="006273FC" w:rsidRDefault="00D66F25" w:rsidP="00D66F25">
      <w:pPr>
        <w:pStyle w:val="LadilloMichelinDossier"/>
        <w:rPr>
          <w:noProof/>
          <w:lang w:val="pt-PT"/>
        </w:rPr>
      </w:pPr>
      <w:r w:rsidRPr="006273FC">
        <w:rPr>
          <w:bCs/>
          <w:noProof/>
          <w:lang w:val="pt-PT"/>
        </w:rPr>
        <w:t>Resultados</w:t>
      </w:r>
    </w:p>
    <w:p w:rsidR="00BA6381" w:rsidRPr="006273FC" w:rsidRDefault="00BA6381" w:rsidP="00D66F25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b/>
          <w:bCs/>
          <w:noProof/>
          <w:lang w:val="pt-PT"/>
        </w:rPr>
        <w:t>O resultado operacional do Grupo, antes de elementos não recorrentes, atinge os 2.234 milhões de euros, isto é, 11% das vendas líquidas,</w:t>
      </w:r>
      <w:r w:rsidRPr="006273FC">
        <w:rPr>
          <w:rFonts w:cs="Arial"/>
          <w:noProof/>
          <w:lang w:val="pt-PT"/>
        </w:rPr>
        <w:t xml:space="preserve"> em comparação com os 2.423 milhões de euros e o 11,3% de 2012. Os elementos não recorrentes de 260 milhões de euros correspondem, fundamentalmente, aos gastos de reestruturação por projetos de melhoria da competitividade industrial. </w:t>
      </w:r>
    </w:p>
    <w:p w:rsidR="00D85DA6" w:rsidRPr="006273FC" w:rsidRDefault="00D85DA6" w:rsidP="00D66F25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O resultado operacional sofre essencialmente um forte efeito das paridades devido ao reforço do euro a partir do verão e que supõe 230 milhões de euros em todo o ano.</w:t>
      </w:r>
    </w:p>
    <w:p w:rsidR="009B4499" w:rsidRPr="006273FC" w:rsidRDefault="009D367D" w:rsidP="00D66F25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Como estava previsto, os volumes mantêm-se estáveis em relação a 2012.</w:t>
      </w:r>
    </w:p>
    <w:p w:rsidR="00A94322" w:rsidRPr="006273FC" w:rsidRDefault="009D367D" w:rsidP="00495746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 xml:space="preserve">O controlo da política de preços permite manter um equilíbrio favorável entre o efeito do mix de preços (- 516 milhões de euros) e o das matérias-primas (+ 619 milhões de euros). Os efeitos do plano de competitividade (+ 275 milhões de euros) ultrapassam os objetivos anuais e absorvem uma grande parte da inflação dos custos de produção e de outros gastos (-205 milhões de euros), assim como do esforço de crescimento do Grupo </w:t>
      </w:r>
      <w:r w:rsidRPr="006273FC">
        <w:rPr>
          <w:rFonts w:cs="Arial"/>
          <w:noProof/>
          <w:lang w:val="pt-PT"/>
        </w:rPr>
        <w:br/>
        <w:t xml:space="preserve">(- 168 milhões de euros para os gastos de entrada em funcionamento, a nova ferramenta para a gestão da empresa e os gastos nos novos mercados) </w:t>
      </w:r>
    </w:p>
    <w:p w:rsidR="00081F13" w:rsidRPr="006273FC" w:rsidRDefault="009B77E5" w:rsidP="00D66F25">
      <w:pPr>
        <w:pStyle w:val="TextoMichelin"/>
        <w:rPr>
          <w:rFonts w:cs="Arial"/>
          <w:b/>
          <w:noProof/>
          <w:lang w:val="pt-PT"/>
        </w:rPr>
      </w:pPr>
      <w:r w:rsidRPr="006273FC">
        <w:rPr>
          <w:rFonts w:cs="Arial"/>
          <w:b/>
          <w:bCs/>
          <w:noProof/>
          <w:lang w:val="pt-PT"/>
        </w:rPr>
        <w:t>O resultado líquido lança um lucro de 1.127 milhões de euros.</w:t>
      </w:r>
    </w:p>
    <w:p w:rsidR="00BF4FFF" w:rsidRPr="006273FC" w:rsidRDefault="00614F2A" w:rsidP="00081F13">
      <w:pPr>
        <w:pStyle w:val="LadilloMichelinDossier"/>
        <w:rPr>
          <w:noProof/>
          <w:lang w:val="pt-PT"/>
        </w:rPr>
      </w:pPr>
      <w:r w:rsidRPr="006273FC">
        <w:rPr>
          <w:b w:val="0"/>
          <w:noProof/>
          <w:lang w:val="pt-PT"/>
        </w:rPr>
        <w:br w:type="column"/>
      </w:r>
      <w:r w:rsidRPr="006273FC">
        <w:rPr>
          <w:bCs/>
          <w:noProof/>
          <w:lang w:val="pt-PT"/>
        </w:rPr>
        <w:t>Posição financeira líquida</w:t>
      </w:r>
    </w:p>
    <w:p w:rsidR="00614F2A" w:rsidRPr="006273FC" w:rsidRDefault="00614F2A" w:rsidP="00081F13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 xml:space="preserve">No exercício, o Grupo gerou um </w:t>
      </w:r>
      <w:r w:rsidRPr="006273FC">
        <w:rPr>
          <w:rFonts w:cs="Arial"/>
          <w:b/>
          <w:bCs/>
          <w:i/>
          <w:iCs/>
          <w:noProof/>
          <w:lang w:val="pt-PT"/>
        </w:rPr>
        <w:t>cash flow</w:t>
      </w:r>
      <w:r w:rsidRPr="006273FC">
        <w:rPr>
          <w:rFonts w:cs="Arial"/>
          <w:b/>
          <w:bCs/>
          <w:noProof/>
          <w:lang w:val="pt-PT"/>
        </w:rPr>
        <w:t xml:space="preserve"> livre de 1.154 milhões de euros,</w:t>
      </w:r>
      <w:r w:rsidRPr="006273FC">
        <w:rPr>
          <w:rFonts w:cs="Arial"/>
          <w:noProof/>
          <w:lang w:val="pt-PT"/>
        </w:rPr>
        <w:t xml:space="preserve"> num contexto de investimentos sustentados. </w:t>
      </w:r>
    </w:p>
    <w:p w:rsidR="00614F2A" w:rsidRPr="006273FC" w:rsidRDefault="00614F2A" w:rsidP="00081F13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 xml:space="preserve">Em 31 de dezembro de 2013, o Grupo está praticamente livre de dívidas, com uma </w:t>
      </w:r>
      <w:r w:rsidRPr="006273FC">
        <w:rPr>
          <w:rFonts w:cs="Arial"/>
          <w:b/>
          <w:bCs/>
          <w:noProof/>
          <w:lang w:val="pt-PT"/>
        </w:rPr>
        <w:t>percentagem de endividamento de 2%</w:t>
      </w:r>
      <w:r w:rsidRPr="006273FC">
        <w:rPr>
          <w:rFonts w:cs="Arial"/>
          <w:noProof/>
          <w:lang w:val="pt-PT"/>
        </w:rPr>
        <w:t>, correspondente a um endividamento financeiro líquido de 142 milhões de euros, em comparação com o 12% e os 1.053 milhões de euros de finais de dezembro de 2012.</w:t>
      </w:r>
    </w:p>
    <w:p w:rsidR="00081F13" w:rsidRPr="006273FC" w:rsidRDefault="00081F13" w:rsidP="00081F13">
      <w:pPr>
        <w:pStyle w:val="LadilloMichelinDossier"/>
        <w:rPr>
          <w:rFonts w:ascii="Verdana" w:hAnsi="Verdana" w:cs="Arial"/>
          <w:b w:val="0"/>
          <w:noProof/>
          <w:lang w:val="pt-PT"/>
        </w:rPr>
      </w:pPr>
      <w:r w:rsidRPr="006273FC">
        <w:rPr>
          <w:bCs/>
          <w:noProof/>
          <w:lang w:val="pt-PT"/>
        </w:rPr>
        <w:t>Informação setorial</w:t>
      </w:r>
    </w:p>
    <w:tbl>
      <w:tblPr>
        <w:tblpPr w:leftFromText="141" w:rightFromText="141" w:vertAnchor="text" w:horzAnchor="margin" w:tblpY="160"/>
        <w:tblW w:w="86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/>
      </w:tblPr>
      <w:tblGrid>
        <w:gridCol w:w="1668"/>
        <w:gridCol w:w="1134"/>
        <w:gridCol w:w="1275"/>
        <w:gridCol w:w="1134"/>
        <w:gridCol w:w="1134"/>
        <w:gridCol w:w="1134"/>
        <w:gridCol w:w="1134"/>
      </w:tblGrid>
      <w:tr w:rsidR="00081F13" w:rsidRPr="006273FC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081F13" w:rsidRPr="006273FC" w:rsidRDefault="00081F13" w:rsidP="00081F13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</w:p>
          <w:p w:rsidR="00081F13" w:rsidRPr="006273FC" w:rsidRDefault="00081F13" w:rsidP="00081F13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Cs/>
                <w:noProof/>
                <w:sz w:val="20"/>
                <w:lang w:val="pt-PT"/>
              </w:rPr>
              <w:t>Milhões de euros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081F13" w:rsidRPr="006273FC" w:rsidRDefault="00081F13" w:rsidP="00081F13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br/>
            </w:r>
            <w:r w:rsidRPr="006273FC">
              <w:rPr>
                <w:rFonts w:ascii="Arial" w:hAnsi="Arial"/>
                <w:bCs/>
                <w:noProof/>
                <w:sz w:val="20"/>
                <w:lang w:val="pt-PT"/>
              </w:rPr>
              <w:t>Vendas líquidas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081F13" w:rsidRPr="006273FC" w:rsidRDefault="00081F13" w:rsidP="00081F13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Cs/>
                <w:noProof/>
                <w:sz w:val="20"/>
                <w:lang w:val="pt-PT"/>
              </w:rPr>
              <w:t>Resultado operacional antes de não recorrentes</w:t>
            </w:r>
            <w:r w:rsidRPr="006273FC">
              <w:rPr>
                <w:rFonts w:ascii="Arial" w:hAnsi="Arial"/>
                <w:b w:val="0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081F13" w:rsidRPr="006273FC" w:rsidRDefault="00081F13" w:rsidP="00081F13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6273FC">
              <w:rPr>
                <w:rFonts w:ascii="Arial" w:hAnsi="Arial"/>
                <w:bCs/>
                <w:noProof/>
                <w:sz w:val="20"/>
                <w:lang w:val="pt-PT"/>
              </w:rPr>
              <w:t>Margem operacional antes de não recorrentes</w:t>
            </w:r>
          </w:p>
        </w:tc>
      </w:tr>
      <w:tr w:rsidR="00BD2986" w:rsidRPr="006273FC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BD2986">
            <w:pPr>
              <w:keepNext/>
              <w:spacing w:after="120"/>
              <w:jc w:val="both"/>
              <w:rPr>
                <w:rFonts w:ascii="Arial" w:hAnsi="Arial" w:cs="Arial"/>
                <w:b/>
                <w:noProof/>
                <w:sz w:val="20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BD2986">
            <w:pPr>
              <w:keepNext/>
              <w:spacing w:after="120"/>
              <w:jc w:val="center"/>
              <w:rPr>
                <w:rFonts w:ascii="Verdana" w:hAnsi="Verdana" w:cs="Arial"/>
                <w:smallCap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>2013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BD2986">
            <w:pPr>
              <w:keepNext/>
              <w:spacing w:after="120"/>
              <w:jc w:val="center"/>
              <w:rPr>
                <w:rFonts w:ascii="Verdana" w:hAnsi="Verdana" w:cs="Arial"/>
                <w:smallCap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BD2986">
            <w:pPr>
              <w:keepNext/>
              <w:spacing w:after="120"/>
              <w:jc w:val="center"/>
              <w:rPr>
                <w:rFonts w:ascii="Verdana" w:hAnsi="Verdana" w:cs="Arial"/>
                <w:smallCap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BD2986">
            <w:pPr>
              <w:keepNext/>
              <w:spacing w:after="120"/>
              <w:jc w:val="center"/>
              <w:rPr>
                <w:rFonts w:ascii="Verdana" w:hAnsi="Verdana" w:cs="Arial"/>
                <w:smallCap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BD2986">
            <w:pPr>
              <w:keepNext/>
              <w:spacing w:after="120"/>
              <w:jc w:val="center"/>
              <w:rPr>
                <w:rFonts w:ascii="Verdana" w:hAnsi="Verdana" w:cs="Arial"/>
                <w:smallCap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D2986" w:rsidRPr="006273FC" w:rsidRDefault="00BD2986" w:rsidP="00BD2986">
            <w:pPr>
              <w:keepNext/>
              <w:spacing w:after="120"/>
              <w:jc w:val="center"/>
              <w:rPr>
                <w:rFonts w:ascii="Verdana" w:hAnsi="Verdana" w:cs="Arial"/>
                <w:smallCap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>2012</w:t>
            </w:r>
          </w:p>
        </w:tc>
      </w:tr>
      <w:tr w:rsidR="00BD2986" w:rsidRPr="006273FC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081F13">
            <w:pPr>
              <w:spacing w:after="120"/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 xml:space="preserve">ligeiro </w:t>
            </w:r>
            <w:r w:rsidRPr="006273FC">
              <w:rPr>
                <w:rFonts w:ascii="Arial" w:hAnsi="Arial" w:cs="Arial"/>
                <w:smallCaps/>
                <w:noProof/>
                <w:sz w:val="16"/>
                <w:lang w:val="pt-PT"/>
              </w:rPr>
              <w:t>CAMIONETA</w:t>
            </w: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 xml:space="preserve"> e distribuição associada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10.693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11.098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1.086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1.033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10,2 %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9,3 %</w:t>
            </w:r>
          </w:p>
        </w:tc>
      </w:tr>
      <w:tr w:rsidR="00BD2986" w:rsidRPr="006273FC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081F13">
            <w:pPr>
              <w:spacing w:after="120"/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>camião e distribuição associada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6.425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6.736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7,8 %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6,6 %</w:t>
            </w:r>
          </w:p>
        </w:tc>
      </w:tr>
      <w:tr w:rsidR="00BD2986" w:rsidRPr="006273FC"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081F13">
            <w:pPr>
              <w:spacing w:after="120"/>
              <w:jc w:val="both"/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 xml:space="preserve">atividades </w:t>
            </w:r>
            <w:r w:rsidRPr="006273FC">
              <w:rPr>
                <w:rFonts w:ascii="Arial" w:hAnsi="Arial" w:cs="Arial"/>
                <w:smallCaps/>
                <w:noProof/>
                <w:sz w:val="16"/>
                <w:lang w:val="pt-PT"/>
              </w:rPr>
              <w:t>DE</w:t>
            </w:r>
            <w:r w:rsidRPr="006273FC">
              <w:rPr>
                <w:rFonts w:ascii="Arial" w:hAnsi="Arial" w:cs="Arial"/>
                <w:smallCaps/>
                <w:noProof/>
                <w:sz w:val="20"/>
                <w:lang w:val="pt-PT"/>
              </w:rPr>
              <w:t xml:space="preserve"> especialidades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3.129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3.640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20,6 %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26,0 %</w:t>
            </w:r>
          </w:p>
        </w:tc>
      </w:tr>
      <w:tr w:rsidR="00BD2986" w:rsidRPr="006273FC">
        <w:tc>
          <w:tcPr>
            <w:tcW w:w="1668" w:type="dxa"/>
            <w:tcBorders>
              <w:top w:val="single" w:sz="2" w:space="0" w:color="auto"/>
              <w:right w:val="single" w:sz="2" w:space="0" w:color="auto"/>
            </w:tcBorders>
          </w:tcPr>
          <w:p w:rsidR="00BD2986" w:rsidRPr="006273FC" w:rsidRDefault="00BD2986" w:rsidP="00081F13">
            <w:pPr>
              <w:jc w:val="both"/>
              <w:rPr>
                <w:rFonts w:ascii="Arial" w:hAnsi="Arial" w:cs="Arial"/>
                <w:smallCaps/>
                <w:noProof/>
                <w:sz w:val="20"/>
                <w:lang w:val="pt-PT"/>
              </w:rPr>
            </w:pPr>
          </w:p>
          <w:p w:rsidR="00BD2986" w:rsidRPr="006273FC" w:rsidRDefault="00BD2986" w:rsidP="00081F13">
            <w:pPr>
              <w:jc w:val="both"/>
              <w:rPr>
                <w:rFonts w:ascii="Arial" w:hAnsi="Arial" w:cs="Arial"/>
                <w:smallCaps/>
                <w:noProof/>
                <w:sz w:val="20"/>
                <w:lang w:val="pt-PT"/>
              </w:rPr>
            </w:pPr>
            <w:r w:rsidRPr="006273FC">
              <w:rPr>
                <w:rFonts w:ascii="Arial" w:hAnsi="Arial" w:cs="Arial"/>
                <w:smallCaps/>
                <w:noProof/>
                <w:sz w:val="20"/>
                <w:szCs w:val="18"/>
                <w:lang w:val="pt-PT"/>
              </w:rPr>
              <w:t>grupo</w:t>
            </w:r>
          </w:p>
          <w:p w:rsidR="00BD2986" w:rsidRPr="006273FC" w:rsidRDefault="00BD2986" w:rsidP="00081F13">
            <w:pPr>
              <w:jc w:val="both"/>
              <w:rPr>
                <w:rFonts w:ascii="Arial" w:hAnsi="Arial" w:cs="Arial"/>
                <w:smallCaps/>
                <w:noProof/>
                <w:sz w:val="20"/>
                <w:szCs w:val="16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20.247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21.474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2 234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544757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2.423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11,0 %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:rsidR="00BD2986" w:rsidRPr="006273FC" w:rsidRDefault="00BD2986" w:rsidP="004931C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</w:pPr>
          </w:p>
          <w:p w:rsidR="00BD2986" w:rsidRPr="006273FC" w:rsidRDefault="00BD2986" w:rsidP="004931C4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  <w:lang w:val="pt-PT"/>
              </w:rPr>
            </w:pPr>
            <w:r w:rsidRPr="006273FC">
              <w:rPr>
                <w:rFonts w:ascii="Arial" w:hAnsi="Arial" w:cs="Arial"/>
                <w:b/>
                <w:bCs/>
                <w:noProof/>
                <w:sz w:val="20"/>
                <w:szCs w:val="18"/>
                <w:lang w:val="pt-PT"/>
              </w:rPr>
              <w:t>11,3 %</w:t>
            </w:r>
          </w:p>
        </w:tc>
      </w:tr>
    </w:tbl>
    <w:p w:rsidR="004931C4" w:rsidRPr="006273FC" w:rsidRDefault="004931C4" w:rsidP="00BF4FFF">
      <w:pPr>
        <w:spacing w:line="270" w:lineRule="atLeast"/>
        <w:jc w:val="both"/>
        <w:rPr>
          <w:rFonts w:ascii="Arial" w:hAnsi="Arial"/>
          <w:noProof/>
          <w:sz w:val="21"/>
          <w:lang w:val="pt-PT"/>
        </w:rPr>
      </w:pPr>
    </w:p>
    <w:p w:rsidR="004931C4" w:rsidRPr="006273FC" w:rsidRDefault="004931C4" w:rsidP="004931C4">
      <w:pPr>
        <w:pStyle w:val="LadilloMichelinDossier"/>
        <w:numPr>
          <w:ilvl w:val="0"/>
          <w:numId w:val="5"/>
        </w:numPr>
        <w:spacing w:after="240"/>
        <w:jc w:val="both"/>
        <w:rPr>
          <w:rFonts w:ascii="Verdana" w:hAnsi="Verdana" w:cs="Arial"/>
          <w:smallCaps/>
          <w:noProof/>
          <w:u w:val="single"/>
          <w:lang w:val="pt-PT"/>
        </w:rPr>
      </w:pPr>
      <w:r w:rsidRPr="006273FC">
        <w:rPr>
          <w:rFonts w:ascii="Arial" w:hAnsi="Arial"/>
          <w:bCs/>
          <w:noProof/>
          <w:sz w:val="21"/>
          <w:lang w:val="pt-PT"/>
        </w:rPr>
        <w:t>Ligeiro, camioneta e distribuição associada</w:t>
      </w:r>
      <w:r w:rsidRPr="006273FC">
        <w:rPr>
          <w:rFonts w:ascii="Arial" w:hAnsi="Arial"/>
          <w:b w:val="0"/>
          <w:noProof/>
          <w:sz w:val="21"/>
          <w:lang w:val="pt-PT"/>
        </w:rPr>
        <w:t xml:space="preserve"> </w:t>
      </w:r>
    </w:p>
    <w:p w:rsidR="004931C4" w:rsidRPr="006273FC" w:rsidRDefault="00673D68" w:rsidP="00673D68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 xml:space="preserve">As vendas líquidas do segmento de Ligeiro camioneta e distribuição associada atingem os 10.693 milhões de euros, em comparação com os 11.098 milhões do mesmo período de 2012. Esta descida reflete, principalmente, o efeito da política de preços, a manutenção da melhoria do mix, assim como o ligeiro aumento dos volumes (+ 1 %), num contexto de paridades monetárias desfavorável. </w:t>
      </w:r>
    </w:p>
    <w:p w:rsidR="004931C4" w:rsidRPr="006273FC" w:rsidRDefault="00E92AC4" w:rsidP="00E92AC4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Aproveitando o reforço da marca MICHELIN, o resultado operacional antes de elementos não recorrentes tem um ligeiro crescimento de 1.086 milhões de euros, isto é, 10,2 % das ventas líquidas, em relação aos 1.033 milhões e o 9,3 % de 2012.</w:t>
      </w:r>
    </w:p>
    <w:p w:rsidR="004931C4" w:rsidRPr="006273FC" w:rsidRDefault="004931C4" w:rsidP="004931C4">
      <w:pPr>
        <w:pStyle w:val="LadilloMichelinDossier"/>
        <w:numPr>
          <w:ilvl w:val="0"/>
          <w:numId w:val="5"/>
        </w:numPr>
        <w:spacing w:after="240"/>
        <w:jc w:val="both"/>
        <w:rPr>
          <w:noProof/>
          <w:lang w:val="pt-PT"/>
        </w:rPr>
      </w:pPr>
      <w:r w:rsidRPr="006273FC">
        <w:rPr>
          <w:rFonts w:ascii="Arial" w:hAnsi="Arial"/>
          <w:bCs/>
          <w:noProof/>
          <w:sz w:val="21"/>
          <w:lang w:val="pt-PT"/>
        </w:rPr>
        <w:t>Camião e distribuição associada</w:t>
      </w:r>
      <w:r w:rsidRPr="006273FC">
        <w:rPr>
          <w:b w:val="0"/>
          <w:noProof/>
          <w:lang w:val="pt-PT"/>
        </w:rPr>
        <w:t xml:space="preserve"> </w:t>
      </w:r>
    </w:p>
    <w:p w:rsidR="00C93747" w:rsidRPr="006273FC" w:rsidRDefault="00001E9C" w:rsidP="00C93747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As vendas líquidas do segmento de Camião e distribuição associada estabelecem-se em 6.425 milhões de euros, em comparação com os 6.736 milhões de 2012. Esta queda é o resultado, especialmente, do controlo de preços e do ambiente desfavorável das taxas de câmbio, embora o crescimento dos volumes no ano (+ 1 %) tenha sido moderada, apesar de se ter acelerado no último trimestre (+ 5 %).</w:t>
      </w:r>
    </w:p>
    <w:p w:rsidR="00185869" w:rsidRPr="006273FC" w:rsidRDefault="00185869" w:rsidP="004931C4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Assim, a prioridade dada à rentabilidade levou a um aumento significativo do resultado operacional antes de elementos não recorrentes de 503 milhões de euros, o que representa 7,8 % das vendas líquidas, em comparação com os 444 milhões de euros e 6,6 % das vendas líquidas em 2012.</w:t>
      </w:r>
    </w:p>
    <w:p w:rsidR="004931C4" w:rsidRPr="006273FC" w:rsidRDefault="004931C4" w:rsidP="00A5568E">
      <w:pPr>
        <w:pStyle w:val="LadilloMichelinDossier"/>
        <w:numPr>
          <w:ilvl w:val="0"/>
          <w:numId w:val="5"/>
        </w:numPr>
        <w:spacing w:after="240"/>
        <w:jc w:val="both"/>
        <w:rPr>
          <w:noProof/>
          <w:lang w:val="pt-PT"/>
        </w:rPr>
      </w:pPr>
      <w:r w:rsidRPr="006273FC">
        <w:rPr>
          <w:rFonts w:ascii="Arial" w:hAnsi="Arial"/>
          <w:bCs/>
          <w:noProof/>
          <w:sz w:val="21"/>
          <w:lang w:val="pt-PT"/>
        </w:rPr>
        <w:t>Atividades de especialidades</w:t>
      </w:r>
    </w:p>
    <w:p w:rsidR="00667ACA" w:rsidRPr="006273FC" w:rsidRDefault="00527504" w:rsidP="009D2BB3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As vendas líquidas do Atividades de especialidades e distribuição associada atingem 3.129 milhões de euros, em comparação com os 3.640 milhões de euros de 2012. Esta descida é devida aos ajustes de preços relacionados com as cláusulas de indexação sobre os custos das matérias-primas, do efeito desfavorável das paridades de câmbio e da descida dos volumes (- 7 %). Isto reflete a queda dos mercados de primeiros equipamentos de Engenharia Civil e Infraestruturas.</w:t>
      </w:r>
    </w:p>
    <w:p w:rsidR="004931C4" w:rsidRPr="006273FC" w:rsidRDefault="00667ACA" w:rsidP="00302A35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O resultado operacional antes de elementos não recorrentes estabelece-se em 645 milhões de euros, isto é, 20,6% das vendas líquidas, em comparação com os 946 milhões de euros e o 26% de 2012.</w:t>
      </w:r>
    </w:p>
    <w:p w:rsidR="004931C4" w:rsidRPr="006273FC" w:rsidRDefault="004931C4" w:rsidP="004931C4">
      <w:pPr>
        <w:pStyle w:val="TextoMichelin"/>
        <w:rPr>
          <w:rFonts w:cs="Arial"/>
          <w:noProof/>
          <w:lang w:val="pt-PT"/>
        </w:rPr>
      </w:pPr>
    </w:p>
    <w:p w:rsidR="00A5568E" w:rsidRPr="006273FC" w:rsidRDefault="00E40591" w:rsidP="00A5568E">
      <w:pPr>
        <w:pStyle w:val="TITULARMICHELIN"/>
        <w:spacing w:after="240"/>
        <w:rPr>
          <w:rFonts w:cs="Arial"/>
          <w:bCs/>
          <w:noProof/>
          <w:lang w:val="pt-PT"/>
        </w:rPr>
      </w:pPr>
      <w:r w:rsidRPr="006273FC">
        <w:rPr>
          <w:rFonts w:cs="Arial"/>
          <w:bCs/>
          <w:noProof/>
          <w:lang w:val="pt-PT"/>
        </w:rPr>
        <w:t>Compagnie Générale des Etablissements Michelin</w:t>
      </w:r>
    </w:p>
    <w:p w:rsidR="00A5568E" w:rsidRPr="006273FC" w:rsidRDefault="00E40591" w:rsidP="00A5568E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 xml:space="preserve">A Compagnie Générale des Etablissements Michelin teve um lucro de 303 milhões de euros no exercício 2013. </w:t>
      </w:r>
    </w:p>
    <w:p w:rsidR="00A5568E" w:rsidRPr="006273FC" w:rsidRDefault="00A5568E" w:rsidP="00A5568E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 xml:space="preserve">As contas foram apresentadas ao Conselho de Vigilância na reunião de 6 de fevereiro de 2014. Os procedimentos de auditoria foram realizados e o relatório de auditoria foi emitido em 10 de fevereiro de 2014. </w:t>
      </w:r>
    </w:p>
    <w:p w:rsidR="00A5568E" w:rsidRPr="006273FC" w:rsidRDefault="00A5568E" w:rsidP="00A5568E">
      <w:pPr>
        <w:pStyle w:val="TextoMichelin"/>
        <w:rPr>
          <w:rFonts w:cs="Arial"/>
          <w:noProof/>
          <w:lang w:val="pt-PT"/>
        </w:rPr>
      </w:pPr>
      <w:r w:rsidRPr="006273FC">
        <w:rPr>
          <w:rFonts w:cs="Arial"/>
          <w:noProof/>
          <w:lang w:val="pt-PT"/>
        </w:rPr>
        <w:t>O presidente do Grupo convocou uma Assembleia Geral de Acionistas para a sexta-feira dia 16 de maio de 2014, às 9 horas, em Clermont-Ferrand.</w:t>
      </w:r>
    </w:p>
    <w:p w:rsidR="004D5DCF" w:rsidRPr="006273FC" w:rsidRDefault="00A5568E" w:rsidP="004D5DCF">
      <w:pPr>
        <w:pStyle w:val="TextoMichelin"/>
        <w:rPr>
          <w:rFonts w:cs="Arial"/>
          <w:noProof/>
          <w:color w:val="FF0000"/>
          <w:lang w:val="pt-PT"/>
        </w:rPr>
      </w:pPr>
      <w:r w:rsidRPr="006273FC">
        <w:rPr>
          <w:rFonts w:cs="Arial"/>
          <w:noProof/>
          <w:lang w:val="pt-PT"/>
        </w:rPr>
        <w:t>O presidente do Grupo vai submeter à aprovação dos acionistas o pagamento de um dividendo de 2,5 euros por ação, isto é, uma taxa de distribuição de 35% do resultado líquido consolidado antes de elementos não recorrentes</w:t>
      </w:r>
    </w:p>
    <w:p w:rsidR="004931C4" w:rsidRPr="006273FC" w:rsidRDefault="004931C4" w:rsidP="004931C4">
      <w:pPr>
        <w:pStyle w:val="TextoMichelin"/>
        <w:rPr>
          <w:rFonts w:cs="Arial"/>
          <w:noProof/>
          <w:lang w:val="pt-PT"/>
        </w:rPr>
      </w:pPr>
    </w:p>
    <w:p w:rsidR="00BF4FFF" w:rsidRPr="006273FC" w:rsidRDefault="00BF4FFF" w:rsidP="00BF4FFF">
      <w:pPr>
        <w:spacing w:line="270" w:lineRule="atLeast"/>
        <w:jc w:val="both"/>
        <w:rPr>
          <w:rFonts w:ascii="Arial" w:hAnsi="Arial"/>
          <w:noProof/>
          <w:sz w:val="21"/>
          <w:lang w:val="pt-PT"/>
        </w:rPr>
      </w:pPr>
    </w:p>
    <w:p w:rsidR="00BF4FFF" w:rsidRPr="006273FC" w:rsidRDefault="00BF4FFF" w:rsidP="00BF4FFF">
      <w:pPr>
        <w:spacing w:after="240" w:line="360" w:lineRule="exact"/>
        <w:rPr>
          <w:rFonts w:cs="Arial"/>
          <w:b/>
          <w:bCs/>
          <w:noProof/>
          <w:snapToGrid w:val="0"/>
          <w:color w:val="333399"/>
          <w:sz w:val="40"/>
          <w:lang w:val="pt-PT"/>
        </w:rPr>
      </w:pPr>
      <w:r w:rsidRPr="006273FC">
        <w:rPr>
          <w:rFonts w:cs="Arial"/>
          <w:noProof/>
          <w:snapToGrid w:val="0"/>
          <w:color w:val="333399"/>
          <w:sz w:val="40"/>
          <w:lang w:val="pt-PT"/>
        </w:rPr>
        <w:br w:type="column"/>
      </w:r>
      <w:r w:rsidRPr="006273FC">
        <w:rPr>
          <w:rFonts w:cs="Arial"/>
          <w:b/>
          <w:bCs/>
          <w:noProof/>
          <w:snapToGrid w:val="0"/>
          <w:color w:val="333399"/>
          <w:sz w:val="40"/>
          <w:lang w:val="pt-PT"/>
        </w:rPr>
        <w:t>Fatos destacados de 2013</w:t>
      </w:r>
    </w:p>
    <w:p w:rsidR="004D5DCF" w:rsidRPr="006273FC" w:rsidRDefault="004D5DCF" w:rsidP="001526CD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A Michelin compromete-se com seis grandes objetivos no horizonte de 2020 (18 de setembro de 2013).</w:t>
      </w:r>
    </w:p>
    <w:p w:rsidR="004D5DCF" w:rsidRPr="006273FC" w:rsidRDefault="00F81851" w:rsidP="004D5DCF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A Michelin quer reforçar a sua competitividade industrial e modernizar os seus meios de Investigação e Desenvolvimento (10 de junho de 2013).</w:t>
      </w:r>
    </w:p>
    <w:p w:rsidR="004D5DCF" w:rsidRPr="006273FC" w:rsidRDefault="00F81851" w:rsidP="004D5DCF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A Michelin inaugura uma nova fábrica em Shenyang, China.</w:t>
      </w:r>
      <w:r w:rsidR="006273FC" w:rsidRPr="006273FC">
        <w:rPr>
          <w:rFonts w:ascii="Arial" w:hAnsi="Arial"/>
          <w:b/>
          <w:bCs/>
          <w:noProof/>
          <w:sz w:val="21"/>
          <w:lang w:val="pt-PT"/>
        </w:rPr>
        <w:t xml:space="preserve"> </w:t>
      </w:r>
      <w:r w:rsidRPr="006273FC">
        <w:rPr>
          <w:rFonts w:ascii="Arial" w:hAnsi="Arial"/>
          <w:b/>
          <w:bCs/>
          <w:noProof/>
          <w:sz w:val="21"/>
          <w:lang w:val="pt-PT"/>
        </w:rPr>
        <w:t>(26 de janeiro de 2013)</w:t>
      </w:r>
    </w:p>
    <w:p w:rsidR="004D5DCF" w:rsidRPr="006273FC" w:rsidRDefault="004D5DCF" w:rsidP="00E3794C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A Michelin contribui para a poupança real graças à gama de pneus de camião MICHELIN X</w:t>
      </w:r>
      <w:r w:rsidRPr="006273FC">
        <w:rPr>
          <w:rFonts w:ascii="Arial" w:hAnsi="Arial"/>
          <w:b/>
          <w:bCs/>
          <w:noProof/>
          <w:sz w:val="21"/>
          <w:vertAlign w:val="superscript"/>
          <w:lang w:val="pt-PT"/>
        </w:rPr>
        <w:t>®</w:t>
      </w:r>
      <w:r w:rsidRPr="006273FC">
        <w:rPr>
          <w:rFonts w:ascii="Arial" w:hAnsi="Arial"/>
          <w:b/>
          <w:bCs/>
          <w:noProof/>
          <w:sz w:val="21"/>
          <w:lang w:val="pt-PT"/>
        </w:rPr>
        <w:t xml:space="preserve"> LINE</w:t>
      </w:r>
      <w:r w:rsidRPr="006273FC">
        <w:rPr>
          <w:rFonts w:ascii="Arial" w:hAnsi="Arial"/>
          <w:b/>
          <w:bCs/>
          <w:noProof/>
          <w:sz w:val="21"/>
          <w:vertAlign w:val="superscript"/>
          <w:lang w:val="pt-PT"/>
        </w:rPr>
        <w:t>TM</w:t>
      </w:r>
      <w:r w:rsidRPr="006273FC">
        <w:rPr>
          <w:rFonts w:ascii="Arial" w:hAnsi="Arial"/>
          <w:b/>
          <w:bCs/>
          <w:noProof/>
          <w:sz w:val="21"/>
          <w:lang w:val="pt-PT"/>
        </w:rPr>
        <w:t xml:space="preserve"> Energy</w:t>
      </w:r>
      <w:r w:rsidRPr="006273FC">
        <w:rPr>
          <w:rFonts w:ascii="Arial" w:hAnsi="Arial"/>
          <w:b/>
          <w:bCs/>
          <w:noProof/>
          <w:sz w:val="21"/>
          <w:vertAlign w:val="superscript"/>
          <w:lang w:val="pt-PT"/>
        </w:rPr>
        <w:t>TM</w:t>
      </w:r>
      <w:r w:rsidRPr="006273FC">
        <w:rPr>
          <w:rFonts w:ascii="Arial" w:hAnsi="Arial"/>
          <w:b/>
          <w:bCs/>
          <w:noProof/>
          <w:sz w:val="21"/>
          <w:lang w:val="pt-PT"/>
        </w:rPr>
        <w:t>, quinta geração de pneus de baixo consumo (4 de abril de 2013).</w:t>
      </w:r>
    </w:p>
    <w:p w:rsidR="004D5DCF" w:rsidRPr="006273FC" w:rsidRDefault="004D5DCF" w:rsidP="004D5DCF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A Michelin e a Petrokimia Butadiene Indonésia assinam um acordo para fabricar caucho sintético (17 de junho de 2013).</w:t>
      </w:r>
    </w:p>
    <w:p w:rsidR="004D5DCF" w:rsidRPr="006273FC" w:rsidRDefault="000F1411" w:rsidP="004D5DCF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Primeiro protótipo de pneu de camião em Chennai, Índia</w:t>
      </w:r>
      <w:r w:rsidRPr="006273FC">
        <w:rPr>
          <w:rFonts w:ascii="Arial" w:hAnsi="Arial"/>
          <w:noProof/>
          <w:sz w:val="21"/>
          <w:lang w:val="pt-PT"/>
        </w:rPr>
        <w:t xml:space="preserve"> </w:t>
      </w:r>
      <w:r w:rsidRPr="006273FC">
        <w:rPr>
          <w:rFonts w:ascii="Arial" w:hAnsi="Arial"/>
          <w:noProof/>
          <w:sz w:val="21"/>
          <w:lang w:val="pt-PT"/>
        </w:rPr>
        <w:br/>
      </w:r>
      <w:r w:rsidRPr="006273FC">
        <w:rPr>
          <w:rFonts w:ascii="Arial" w:hAnsi="Arial"/>
          <w:b/>
          <w:bCs/>
          <w:noProof/>
          <w:sz w:val="21"/>
          <w:lang w:val="pt-PT"/>
        </w:rPr>
        <w:t>(19 de julho de 2013).</w:t>
      </w:r>
    </w:p>
    <w:p w:rsidR="004D5DCF" w:rsidRPr="006273FC" w:rsidRDefault="004D5DCF" w:rsidP="000F1411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A Michelin anuncia a sua participação ativa no Campeonato FIA Fórmula E</w:t>
      </w:r>
      <w:r w:rsidRPr="006273FC">
        <w:rPr>
          <w:rFonts w:ascii="Arial" w:hAnsi="Arial"/>
          <w:noProof/>
          <w:sz w:val="21"/>
          <w:lang w:val="pt-PT"/>
        </w:rPr>
        <w:t xml:space="preserve"> </w:t>
      </w:r>
      <w:r w:rsidRPr="006273FC">
        <w:rPr>
          <w:rFonts w:ascii="Arial" w:hAnsi="Arial"/>
          <w:noProof/>
          <w:sz w:val="21"/>
          <w:lang w:val="pt-PT"/>
        </w:rPr>
        <w:br/>
      </w:r>
      <w:r w:rsidRPr="006273FC">
        <w:rPr>
          <w:rFonts w:ascii="Arial" w:hAnsi="Arial"/>
          <w:b/>
          <w:bCs/>
          <w:noProof/>
          <w:sz w:val="21"/>
          <w:lang w:val="pt-PT"/>
        </w:rPr>
        <w:t>(10 de setembro de 2013).</w:t>
      </w:r>
    </w:p>
    <w:p w:rsidR="004D5DCF" w:rsidRPr="006273FC" w:rsidRDefault="004D5DCF" w:rsidP="00125C05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A Michelin amplia a sua gama de pneus de Engenharia Civil: quatro novas dimensões em 25 polegadas (16 de setembro de 2013)</w:t>
      </w:r>
    </w:p>
    <w:p w:rsidR="004D5DCF" w:rsidRPr="006273FC" w:rsidRDefault="00125C05" w:rsidP="004D5DCF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Lançamento do MICHELIN Primacy 3ST no Sudeste asiático e Austrália (13 de outubro de 2013).</w:t>
      </w:r>
    </w:p>
    <w:p w:rsidR="004D5DCF" w:rsidRPr="006273FC" w:rsidRDefault="00C44FEA" w:rsidP="00C44FEA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O Grupo Michelin apresenta o maior pneu para tratores do mundo (22 de outubro de 2013).</w:t>
      </w:r>
    </w:p>
    <w:p w:rsidR="0022145A" w:rsidRPr="006273FC" w:rsidRDefault="004D5DCF" w:rsidP="00B52AD8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noProof/>
          <w:sz w:val="21"/>
          <w:lang w:val="pt-PT"/>
        </w:rPr>
      </w:pPr>
      <w:r w:rsidRPr="006273FC">
        <w:rPr>
          <w:rFonts w:ascii="Arial" w:hAnsi="Arial"/>
          <w:b/>
          <w:bCs/>
          <w:noProof/>
          <w:sz w:val="21"/>
          <w:lang w:val="pt-PT"/>
        </w:rPr>
        <w:t>A Compagnie Générale des Etablissements Michelin apresentou uma oferta de ações para empregados (31 de outubro de 2013).</w:t>
      </w:r>
    </w:p>
    <w:p w:rsidR="00BF4FFF" w:rsidRPr="006273FC" w:rsidRDefault="00BF4FFF" w:rsidP="00BF4FFF">
      <w:pPr>
        <w:tabs>
          <w:tab w:val="left" w:pos="284"/>
        </w:tabs>
        <w:jc w:val="both"/>
        <w:rPr>
          <w:rFonts w:ascii="Verdana" w:hAnsi="Verdana" w:cs="Arial"/>
          <w:b/>
          <w:noProof/>
          <w:lang w:val="pt-PT"/>
        </w:rPr>
      </w:pPr>
    </w:p>
    <w:p w:rsidR="00BF4FFF" w:rsidRPr="006273FC" w:rsidRDefault="00BF4FFF" w:rsidP="00BF4FFF">
      <w:pPr>
        <w:tabs>
          <w:tab w:val="left" w:pos="284"/>
        </w:tabs>
        <w:jc w:val="both"/>
        <w:rPr>
          <w:rFonts w:ascii="Verdana" w:hAnsi="Verdana" w:cs="Arial"/>
          <w:noProof/>
          <w:highlight w:val="yellow"/>
          <w:lang w:val="pt-PT"/>
        </w:rPr>
      </w:pPr>
    </w:p>
    <w:p w:rsidR="00BF4FFF" w:rsidRPr="006273FC" w:rsidRDefault="00BF4FFF" w:rsidP="00BF4FFF">
      <w:pPr>
        <w:keepNext/>
        <w:tabs>
          <w:tab w:val="left" w:pos="284"/>
        </w:tabs>
        <w:jc w:val="both"/>
        <w:rPr>
          <w:rFonts w:ascii="Verdana" w:eastAsia="Times New Roman" w:hAnsi="Verdana" w:cs="Arial"/>
          <w:noProof/>
          <w:lang w:val="pt-PT"/>
        </w:rPr>
      </w:pPr>
    </w:p>
    <w:p w:rsidR="00BF4FFF" w:rsidRPr="006273FC" w:rsidRDefault="007100DA" w:rsidP="00BF4FF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noProof/>
          <w:sz w:val="21"/>
          <w:u w:val="single"/>
          <w:lang w:val="pt-PT"/>
        </w:rPr>
      </w:pPr>
      <w:r w:rsidRPr="006273FC">
        <w:rPr>
          <w:rFonts w:ascii="Arial" w:eastAsia="Times New Roman" w:hAnsi="Arial" w:cs="Arial"/>
          <w:noProof/>
          <w:sz w:val="21"/>
          <w:lang w:val="pt-PT"/>
        </w:rPr>
        <w:t xml:space="preserve">A lista completa dos fatos destacados de 2014 está disponível no Site do Grupo: </w:t>
      </w:r>
      <w:hyperlink r:id="rId7" w:history="1">
        <w:r w:rsidRPr="006273FC">
          <w:rPr>
            <w:rStyle w:val="Hyperlink"/>
            <w:rFonts w:ascii="Arial" w:eastAsia="Times New Roman" w:hAnsi="Arial" w:cs="Arial"/>
            <w:noProof/>
            <w:sz w:val="21"/>
            <w:u w:val="none"/>
            <w:lang w:val="pt-PT"/>
          </w:rPr>
          <w:t>http://www.michelin.com/corporate/finance</w:t>
        </w:r>
      </w:hyperlink>
    </w:p>
    <w:p w:rsidR="00BF4FFF" w:rsidRPr="006273FC" w:rsidRDefault="00BF4FFF" w:rsidP="00BF4FFF">
      <w:pPr>
        <w:tabs>
          <w:tab w:val="left" w:pos="360"/>
        </w:tabs>
        <w:jc w:val="both"/>
        <w:rPr>
          <w:rFonts w:ascii="Utopia" w:eastAsia="Times New Roman" w:hAnsi="Utopia"/>
          <w:i/>
          <w:iCs/>
          <w:noProof/>
          <w:lang w:val="pt-PT"/>
        </w:rPr>
      </w:pPr>
    </w:p>
    <w:p w:rsidR="008B152B" w:rsidRPr="006273FC" w:rsidRDefault="008B152B" w:rsidP="00BF4FFF">
      <w:pPr>
        <w:tabs>
          <w:tab w:val="left" w:pos="360"/>
        </w:tabs>
        <w:jc w:val="both"/>
        <w:rPr>
          <w:rFonts w:ascii="Arial" w:eastAsia="Times New Roman" w:hAnsi="Arial" w:cs="Arial"/>
          <w:b/>
          <w:bCs/>
          <w:smallCaps/>
          <w:noProof/>
          <w:lang w:val="pt-PT"/>
        </w:rPr>
      </w:pPr>
    </w:p>
    <w:p w:rsidR="008B152B" w:rsidRPr="006273FC" w:rsidRDefault="008B152B" w:rsidP="00BF4FFF">
      <w:pPr>
        <w:tabs>
          <w:tab w:val="left" w:pos="360"/>
        </w:tabs>
        <w:jc w:val="both"/>
        <w:rPr>
          <w:rFonts w:ascii="Arial" w:eastAsia="Times New Roman" w:hAnsi="Arial" w:cs="Arial"/>
          <w:b/>
          <w:bCs/>
          <w:smallCaps/>
          <w:noProof/>
          <w:lang w:val="pt-PT"/>
        </w:rPr>
      </w:pPr>
    </w:p>
    <w:p w:rsidR="00BF4FFF" w:rsidRPr="006273FC" w:rsidRDefault="00BF4FFF" w:rsidP="00C74752">
      <w:pPr>
        <w:tabs>
          <w:tab w:val="left" w:pos="360"/>
        </w:tabs>
        <w:jc w:val="both"/>
        <w:rPr>
          <w:rFonts w:ascii="Arial" w:eastAsia="Times New Roman" w:hAnsi="Arial" w:cs="Arial"/>
          <w:noProof/>
          <w:sz w:val="21"/>
          <w:szCs w:val="21"/>
          <w:lang w:val="pt-PT"/>
        </w:rPr>
      </w:pPr>
      <w:r w:rsidRPr="006273FC">
        <w:rPr>
          <w:rFonts w:ascii="Arial" w:eastAsia="Times New Roman" w:hAnsi="Arial" w:cs="Arial"/>
          <w:b/>
          <w:bCs/>
          <w:smallCaps/>
          <w:noProof/>
          <w:lang w:val="pt-PT"/>
        </w:rPr>
        <w:t>Calendário</w:t>
      </w:r>
      <w:r w:rsidRPr="006273FC">
        <w:rPr>
          <w:rFonts w:ascii="Arial" w:eastAsia="Times New Roman" w:hAnsi="Arial" w:cs="Arial"/>
          <w:smallCaps/>
          <w:noProof/>
          <w:lang w:val="pt-PT"/>
        </w:rPr>
        <w:br/>
      </w:r>
    </w:p>
    <w:p w:rsidR="00BF4FFF" w:rsidRPr="006273FC" w:rsidRDefault="00BF4FFF" w:rsidP="00BF4FFF">
      <w:pPr>
        <w:numPr>
          <w:ilvl w:val="0"/>
          <w:numId w:val="23"/>
        </w:numPr>
        <w:tabs>
          <w:tab w:val="left" w:pos="360"/>
        </w:tabs>
        <w:jc w:val="both"/>
        <w:rPr>
          <w:rFonts w:ascii="Arial" w:eastAsia="Times New Roman" w:hAnsi="Arial" w:cs="Arial"/>
          <w:b/>
          <w:noProof/>
          <w:sz w:val="21"/>
          <w:szCs w:val="21"/>
          <w:lang w:val="pt-PT"/>
        </w:rPr>
      </w:pPr>
      <w:r w:rsidRPr="006273FC">
        <w:rPr>
          <w:rFonts w:ascii="Arial" w:eastAsia="Times New Roman" w:hAnsi="Arial" w:cs="Arial"/>
          <w:b/>
          <w:bCs/>
          <w:noProof/>
          <w:sz w:val="21"/>
          <w:szCs w:val="21"/>
          <w:lang w:val="pt-PT"/>
        </w:rPr>
        <w:t>Informação trimestral a 31 de março de 2014:</w:t>
      </w:r>
    </w:p>
    <w:p w:rsidR="00E274AA" w:rsidRPr="006273FC" w:rsidRDefault="0013210B" w:rsidP="00BF4FFF">
      <w:pPr>
        <w:tabs>
          <w:tab w:val="left" w:pos="360"/>
        </w:tabs>
        <w:jc w:val="center"/>
        <w:rPr>
          <w:rFonts w:ascii="Arial" w:eastAsia="Times New Roman" w:hAnsi="Arial" w:cs="Arial"/>
          <w:noProof/>
          <w:sz w:val="21"/>
          <w:szCs w:val="21"/>
          <w:lang w:val="pt-PT"/>
        </w:rPr>
      </w:pPr>
      <w:r w:rsidRPr="006273FC">
        <w:rPr>
          <w:rFonts w:ascii="Arial" w:eastAsia="Times New Roman" w:hAnsi="Arial" w:cs="Arial"/>
          <w:noProof/>
          <w:sz w:val="21"/>
          <w:szCs w:val="21"/>
          <w:lang w:val="pt-PT"/>
        </w:rPr>
        <w:t>Quarta-feira 23 de abril de 2014 depois do encerramento da Bolsa</w:t>
      </w:r>
    </w:p>
    <w:p w:rsidR="00E274AA" w:rsidRPr="006273FC" w:rsidRDefault="00E274AA" w:rsidP="00BF4FFF">
      <w:pPr>
        <w:tabs>
          <w:tab w:val="left" w:pos="360"/>
        </w:tabs>
        <w:jc w:val="center"/>
        <w:rPr>
          <w:rFonts w:ascii="Arial" w:eastAsia="Times New Roman" w:hAnsi="Arial" w:cs="Arial"/>
          <w:noProof/>
          <w:sz w:val="21"/>
          <w:szCs w:val="21"/>
          <w:lang w:val="pt-PT"/>
        </w:rPr>
      </w:pPr>
    </w:p>
    <w:p w:rsidR="00E274AA" w:rsidRPr="006273FC" w:rsidRDefault="00E274AA" w:rsidP="00E274AA">
      <w:pPr>
        <w:numPr>
          <w:ilvl w:val="0"/>
          <w:numId w:val="23"/>
        </w:numPr>
        <w:tabs>
          <w:tab w:val="left" w:pos="360"/>
        </w:tabs>
        <w:jc w:val="both"/>
        <w:rPr>
          <w:rFonts w:ascii="Arial" w:eastAsia="Times New Roman" w:hAnsi="Arial" w:cs="Arial"/>
          <w:b/>
          <w:noProof/>
          <w:sz w:val="21"/>
          <w:szCs w:val="21"/>
          <w:lang w:val="pt-PT"/>
        </w:rPr>
      </w:pPr>
      <w:r w:rsidRPr="006273FC">
        <w:rPr>
          <w:rFonts w:ascii="Arial" w:eastAsia="Times New Roman" w:hAnsi="Arial" w:cs="Arial"/>
          <w:b/>
          <w:bCs/>
          <w:noProof/>
          <w:sz w:val="21"/>
          <w:szCs w:val="21"/>
          <w:lang w:val="pt-PT"/>
        </w:rPr>
        <w:t>Vendas líquidas e resultados a 30 de junho:</w:t>
      </w:r>
    </w:p>
    <w:p w:rsidR="00E274AA" w:rsidRPr="006273FC" w:rsidRDefault="00E274AA" w:rsidP="00E274AA">
      <w:pPr>
        <w:tabs>
          <w:tab w:val="left" w:pos="360"/>
        </w:tabs>
        <w:jc w:val="center"/>
        <w:rPr>
          <w:rFonts w:ascii="Arial" w:eastAsia="Times New Roman" w:hAnsi="Arial" w:cs="Arial"/>
          <w:noProof/>
          <w:sz w:val="21"/>
          <w:szCs w:val="21"/>
          <w:lang w:val="pt-PT"/>
        </w:rPr>
      </w:pPr>
      <w:r w:rsidRPr="006273FC">
        <w:rPr>
          <w:rFonts w:ascii="Arial" w:eastAsia="Times New Roman" w:hAnsi="Arial" w:cs="Arial"/>
          <w:noProof/>
          <w:sz w:val="21"/>
          <w:szCs w:val="21"/>
          <w:lang w:val="pt-PT"/>
        </w:rPr>
        <w:t>Terça-feira, 29 de julho de 2014, antes da abertura da Bolsa.</w:t>
      </w:r>
    </w:p>
    <w:p w:rsidR="00BF4FFF" w:rsidRPr="006273FC" w:rsidRDefault="00BF4FFF" w:rsidP="00BF4FFF">
      <w:pPr>
        <w:tabs>
          <w:tab w:val="left" w:pos="360"/>
        </w:tabs>
        <w:jc w:val="center"/>
        <w:rPr>
          <w:rFonts w:ascii="Arial" w:eastAsia="Times New Roman" w:hAnsi="Arial" w:cs="Arial"/>
          <w:noProof/>
          <w:sz w:val="21"/>
          <w:szCs w:val="21"/>
          <w:lang w:val="pt-PT"/>
        </w:rPr>
      </w:pPr>
    </w:p>
    <w:p w:rsidR="00BF4FFF" w:rsidRPr="006273FC" w:rsidRDefault="00BF4FFF" w:rsidP="00BF4FFF">
      <w:pPr>
        <w:tabs>
          <w:tab w:val="left" w:pos="360"/>
        </w:tabs>
        <w:jc w:val="both"/>
        <w:rPr>
          <w:rFonts w:ascii="Arial" w:eastAsia="Times New Roman" w:hAnsi="Arial" w:cs="Arial"/>
          <w:noProof/>
          <w:sz w:val="21"/>
          <w:szCs w:val="21"/>
          <w:lang w:val="pt-PT"/>
        </w:rPr>
      </w:pPr>
    </w:p>
    <w:p w:rsidR="00BF4FFF" w:rsidRPr="006273FC" w:rsidRDefault="00BF4FFF" w:rsidP="00BF4FFF">
      <w:pPr>
        <w:keepNext/>
        <w:tabs>
          <w:tab w:val="left" w:pos="360"/>
        </w:tabs>
        <w:rPr>
          <w:rFonts w:ascii="Verdana" w:eastAsia="Times New Roman" w:hAnsi="Verdana" w:cs="Arial"/>
          <w:b/>
          <w:noProof/>
          <w:sz w:val="16"/>
          <w:szCs w:val="16"/>
          <w:lang w:val="pt-PT"/>
        </w:rPr>
      </w:pPr>
    </w:p>
    <w:p w:rsidR="00BF4FFF" w:rsidRPr="006273FC" w:rsidRDefault="00BF4FFF" w:rsidP="00BF4FFF">
      <w:pPr>
        <w:keepNext/>
        <w:tabs>
          <w:tab w:val="left" w:pos="360"/>
        </w:tabs>
        <w:jc w:val="center"/>
        <w:rPr>
          <w:rFonts w:ascii="Arial" w:hAnsi="Arial" w:cs="Arial"/>
          <w:b/>
          <w:noProof/>
          <w:sz w:val="21"/>
          <w:lang w:val="pt-PT"/>
        </w:rPr>
      </w:pPr>
      <w:r w:rsidRPr="006273FC">
        <w:rPr>
          <w:rFonts w:ascii="Arial" w:hAnsi="Arial" w:cs="Arial"/>
          <w:b/>
          <w:bCs/>
          <w:noProof/>
          <w:sz w:val="21"/>
          <w:lang w:val="pt-PT"/>
        </w:rPr>
        <w:t>ADVERTÊNCIA</w:t>
      </w:r>
    </w:p>
    <w:p w:rsidR="00BF4FFF" w:rsidRPr="006273FC" w:rsidRDefault="00BF4FFF" w:rsidP="00BF4FFF">
      <w:pPr>
        <w:keepNext/>
        <w:tabs>
          <w:tab w:val="left" w:pos="360"/>
        </w:tabs>
        <w:jc w:val="both"/>
        <w:rPr>
          <w:rFonts w:ascii="Verdana" w:hAnsi="Verdana"/>
          <w:noProof/>
          <w:sz w:val="16"/>
          <w:lang w:val="pt-PT"/>
        </w:rPr>
      </w:pPr>
    </w:p>
    <w:p w:rsidR="00BF4FFF" w:rsidRPr="006273FC" w:rsidRDefault="00BF4FFF" w:rsidP="00BF4FFF">
      <w:pPr>
        <w:keepNext/>
        <w:tabs>
          <w:tab w:val="left" w:pos="360"/>
        </w:tabs>
        <w:jc w:val="both"/>
        <w:rPr>
          <w:rFonts w:ascii="Verdana" w:eastAsia="Times New Roman" w:hAnsi="Verdana"/>
          <w:noProof/>
          <w:lang w:val="pt-PT"/>
        </w:rPr>
      </w:pPr>
      <w:r w:rsidRPr="006273FC">
        <w:rPr>
          <w:rFonts w:ascii="Arial" w:hAnsi="Arial" w:cs="Arial"/>
          <w:b/>
          <w:bCs/>
          <w:i/>
          <w:iCs/>
          <w:noProof/>
          <w:sz w:val="21"/>
          <w:lang w:val="pt-PT"/>
        </w:rPr>
        <w:t>Este comunicado de imprensa não constitui uma oferta de venda ou a solicitação de oferta de compra de ações Michelin.</w:t>
      </w:r>
      <w:r w:rsidRPr="006273FC">
        <w:rPr>
          <w:rFonts w:ascii="Arial" w:hAnsi="Arial" w:cs="Arial"/>
          <w:noProof/>
          <w:sz w:val="21"/>
          <w:lang w:val="pt-PT"/>
        </w:rPr>
        <w:t xml:space="preserve"> </w:t>
      </w:r>
      <w:r w:rsidRPr="006273FC">
        <w:rPr>
          <w:rFonts w:ascii="Arial" w:hAnsi="Arial" w:cs="Arial"/>
          <w:b/>
          <w:bCs/>
          <w:i/>
          <w:iCs/>
          <w:noProof/>
          <w:sz w:val="21"/>
          <w:lang w:val="pt-PT"/>
        </w:rPr>
        <w:t>Se quiser mais informação acerca da Michelin, por favor consulte os documentos públicos depositados em l’Autorité des marchés financiers, na França.</w:t>
      </w:r>
      <w:r w:rsidRPr="006273FC">
        <w:rPr>
          <w:rFonts w:ascii="Arial" w:hAnsi="Arial" w:cs="Arial"/>
          <w:noProof/>
          <w:sz w:val="21"/>
          <w:lang w:val="pt-PT"/>
        </w:rPr>
        <w:t xml:space="preserve"> </w:t>
      </w:r>
      <w:r w:rsidRPr="006273FC">
        <w:rPr>
          <w:rFonts w:ascii="Arial" w:hAnsi="Arial" w:cs="Arial"/>
          <w:b/>
          <w:bCs/>
          <w:i/>
          <w:iCs/>
          <w:noProof/>
          <w:sz w:val="21"/>
          <w:lang w:val="pt-PT"/>
        </w:rPr>
        <w:t xml:space="preserve">Igualmente pode consultá-los no nosso site: </w:t>
      </w:r>
      <w:hyperlink r:id="rId8" w:history="1">
        <w:r w:rsidRPr="006273FC">
          <w:rPr>
            <w:rFonts w:ascii="Arial" w:hAnsi="Arial" w:cs="Arial"/>
            <w:b/>
            <w:bCs/>
            <w:i/>
            <w:iCs/>
            <w:noProof/>
            <w:color w:val="0000FF"/>
            <w:sz w:val="21"/>
            <w:u w:val="single"/>
            <w:lang w:val="pt-PT"/>
          </w:rPr>
          <w:t>www.michelin.com</w:t>
        </w:r>
      </w:hyperlink>
      <w:r w:rsidRPr="006273FC">
        <w:rPr>
          <w:rFonts w:ascii="Arial" w:hAnsi="Arial" w:cs="Arial"/>
          <w:b/>
          <w:bCs/>
          <w:i/>
          <w:iCs/>
          <w:noProof/>
          <w:sz w:val="21"/>
          <w:lang w:val="pt-PT"/>
        </w:rPr>
        <w:t>.</w:t>
      </w:r>
      <w:r w:rsidRPr="006273FC">
        <w:rPr>
          <w:rFonts w:ascii="Arial" w:hAnsi="Arial" w:cs="Arial"/>
          <w:noProof/>
          <w:sz w:val="21"/>
          <w:lang w:val="pt-PT"/>
        </w:rPr>
        <w:t xml:space="preserve"> </w:t>
      </w:r>
      <w:r w:rsidRPr="006273FC">
        <w:rPr>
          <w:rFonts w:ascii="Arial" w:hAnsi="Arial" w:cs="Arial"/>
          <w:b/>
          <w:bCs/>
          <w:i/>
          <w:iCs/>
          <w:noProof/>
          <w:sz w:val="21"/>
          <w:lang w:val="pt-PT"/>
        </w:rPr>
        <w:t>Este comunicado pode conter algumas declarações de caráter provisório.</w:t>
      </w:r>
      <w:r w:rsidRPr="006273FC">
        <w:rPr>
          <w:rFonts w:ascii="Arial" w:hAnsi="Arial" w:cs="Arial"/>
          <w:noProof/>
          <w:sz w:val="21"/>
          <w:lang w:val="pt-PT"/>
        </w:rPr>
        <w:t xml:space="preserve"> </w:t>
      </w:r>
      <w:r w:rsidRPr="006273FC">
        <w:rPr>
          <w:rFonts w:ascii="Arial" w:hAnsi="Arial" w:cs="Arial"/>
          <w:b/>
          <w:bCs/>
          <w:i/>
          <w:iCs/>
          <w:noProof/>
          <w:sz w:val="21"/>
          <w:lang w:val="pt-PT"/>
        </w:rPr>
        <w:t>Embora a companhia estime que as suas declarações estão baseadas em hipóteses razoáveis na data de publicação do documento, as mesmas estão inerentemente sujeitas a riscos e incertezas que podem fazer com que haja alguma diferença entre os resultados reais e aqueles indicados ou induzidos nestas declarações.</w:t>
      </w:r>
    </w:p>
    <w:p w:rsidR="00541F4C" w:rsidRPr="006273FC" w:rsidRDefault="00541F4C" w:rsidP="00FC4CD7">
      <w:pPr>
        <w:pStyle w:val="TextoMichelin"/>
        <w:rPr>
          <w:bCs/>
          <w:noProof/>
          <w:lang w:val="pt-PT"/>
        </w:rPr>
      </w:pPr>
    </w:p>
    <w:p w:rsidR="005171A9" w:rsidRPr="006273FC" w:rsidRDefault="005171A9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5171A9" w:rsidRPr="006273FC" w:rsidRDefault="005171A9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5171A9" w:rsidRPr="006273FC" w:rsidRDefault="005171A9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466B0" w:rsidRPr="006273FC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E5C06" w:rsidRPr="006273FC" w:rsidRDefault="001E5C06" w:rsidP="001E5C06">
      <w:pPr>
        <w:jc w:val="both"/>
        <w:rPr>
          <w:i/>
          <w:noProof/>
          <w:lang w:val="pt-PT"/>
        </w:rPr>
      </w:pPr>
      <w:r w:rsidRPr="006273FC">
        <w:rPr>
          <w:i/>
          <w:iCs/>
          <w:noProof/>
          <w:lang w:val="pt-PT"/>
        </w:rPr>
        <w:t xml:space="preserve">A missão da </w:t>
      </w:r>
      <w:r w:rsidRPr="006273FC">
        <w:rPr>
          <w:b/>
          <w:bCs/>
          <w:i/>
          <w:iCs/>
          <w:noProof/>
          <w:lang w:val="pt-PT"/>
        </w:rPr>
        <w:t>Michelin,</w:t>
      </w:r>
      <w:r w:rsidRPr="006273FC">
        <w:rPr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6273FC">
        <w:rPr>
          <w:noProof/>
          <w:lang w:val="pt-PT"/>
        </w:rPr>
        <w:t xml:space="preserve"> </w:t>
      </w:r>
      <w:r w:rsidRPr="006273FC">
        <w:rPr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6273FC">
        <w:rPr>
          <w:noProof/>
          <w:lang w:val="pt-PT"/>
        </w:rPr>
        <w:t xml:space="preserve"> </w:t>
      </w:r>
      <w:r w:rsidRPr="006273FC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6273FC">
        <w:rPr>
          <w:noProof/>
          <w:lang w:val="pt-PT"/>
        </w:rPr>
        <w:t xml:space="preserve"> </w:t>
      </w:r>
      <w:r w:rsidRPr="006273FC">
        <w:rPr>
          <w:i/>
          <w:iCs/>
          <w:noProof/>
          <w:lang w:val="pt-PT"/>
        </w:rPr>
        <w:t>O Grupo, que tem a sua sede em Clermont-Ferrand (França), está presente em mais de 170 países, emprega a 111.200 pessoas em todo o mundo e dispõe de 69 centros de produção implantados em 16 países diferentes.</w:t>
      </w:r>
      <w:r w:rsidRPr="006273FC">
        <w:rPr>
          <w:noProof/>
          <w:lang w:val="pt-PT"/>
        </w:rPr>
        <w:t xml:space="preserve"> </w:t>
      </w:r>
      <w:r w:rsidRPr="006273FC">
        <w:rPr>
          <w:i/>
          <w:iCs/>
          <w:noProof/>
          <w:lang w:val="pt-PT"/>
        </w:rPr>
        <w:t>O Grupo possui um Centro de Tecnologia que se encarrega da investigação e desenvolvimento com implantação na Europa, América do Norte e Ásia (www.michelin.es).</w:t>
      </w:r>
    </w:p>
    <w:p w:rsidR="001E5C06" w:rsidRPr="006273FC" w:rsidRDefault="001E5C06" w:rsidP="001E5C06">
      <w:pPr>
        <w:jc w:val="both"/>
        <w:rPr>
          <w:i/>
          <w:noProof/>
          <w:lang w:val="pt-PT"/>
        </w:rPr>
      </w:pPr>
    </w:p>
    <w:p w:rsidR="001E5C06" w:rsidRPr="006273FC" w:rsidRDefault="001E5C06" w:rsidP="001E5C06">
      <w:pPr>
        <w:jc w:val="both"/>
        <w:rPr>
          <w:i/>
          <w:noProof/>
          <w:lang w:val="pt-PT"/>
        </w:rPr>
      </w:pPr>
    </w:p>
    <w:p w:rsidR="001E5C06" w:rsidRPr="006273FC" w:rsidRDefault="001E5C06" w:rsidP="001E5C06">
      <w:pPr>
        <w:jc w:val="both"/>
        <w:rPr>
          <w:i/>
          <w:noProof/>
          <w:lang w:val="pt-PT"/>
        </w:rPr>
      </w:pPr>
    </w:p>
    <w:p w:rsidR="001E5C06" w:rsidRPr="006273FC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bookmarkStart w:id="0" w:name="_GoBack"/>
      <w:bookmarkEnd w:id="0"/>
    </w:p>
    <w:p w:rsidR="001E5C06" w:rsidRPr="006273FC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6273FC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6273FC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6273FC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6273FC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6273FC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6273FC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6273FC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6273FC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6273FC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6273FC" w:rsidSect="001466B0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0D" w:rsidRDefault="00D7180D" w:rsidP="001466B0">
      <w:r>
        <w:separator/>
      </w:r>
    </w:p>
  </w:endnote>
  <w:endnote w:type="continuationSeparator" w:id="0">
    <w:p w:rsidR="00D7180D" w:rsidRDefault="00D7180D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95 Ultra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0D" w:rsidRDefault="00D7180D" w:rsidP="00D7180D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end"/>
    </w:r>
  </w:p>
  <w:p w:rsidR="00D7180D" w:rsidRDefault="00D7180D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0D" w:rsidRDefault="00D7180D" w:rsidP="00D7180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BC3">
      <w:rPr>
        <w:rStyle w:val="PageNumber"/>
        <w:noProof/>
      </w:rPr>
      <w:t>1</w:t>
    </w:r>
    <w:r>
      <w:rPr>
        <w:rStyle w:val="PageNumber"/>
      </w:rPr>
      <w:fldChar w:fldCharType="end"/>
    </w:r>
  </w:p>
  <w:p w:rsidR="00D7180D" w:rsidRPr="00096802" w:rsidRDefault="00D7180D" w:rsidP="001A6210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0D" w:rsidRDefault="00D7180D" w:rsidP="001466B0">
      <w:r>
        <w:separator/>
      </w:r>
    </w:p>
  </w:footnote>
  <w:footnote w:type="continuationSeparator" w:id="0">
    <w:p w:rsidR="00D7180D" w:rsidRDefault="00D7180D" w:rsidP="001466B0">
      <w:r>
        <w:continuationSeparator/>
      </w:r>
    </w:p>
  </w:footnote>
  <w:footnote w:id="1">
    <w:p w:rsidR="00D7180D" w:rsidRPr="006273FC" w:rsidRDefault="00D7180D">
      <w:pPr>
        <w:pStyle w:val="FootnoteText"/>
        <w:rPr>
          <w:lang w:val="pt-PT"/>
        </w:rPr>
      </w:pPr>
      <w:r>
        <w:rPr>
          <w:rStyle w:val="FootnoteReference"/>
          <w:sz w:val="32"/>
          <w:lang/>
        </w:rPr>
        <w:sym w:font="Symbol" w:char="F02A"/>
      </w:r>
      <w:r>
        <w:rPr>
          <w:lang/>
        </w:rPr>
        <w:t xml:space="preserve"> </w:t>
      </w:r>
      <w:r>
        <w:rPr>
          <w:rStyle w:val="hps"/>
          <w:sz w:val="16"/>
          <w:lang/>
        </w:rPr>
        <w:t>expressos em paridades médias de 2012.</w:t>
      </w:r>
    </w:p>
  </w:footnote>
  <w:footnote w:id="2">
    <w:p w:rsidR="00D7180D" w:rsidRPr="006273FC" w:rsidRDefault="00D7180D" w:rsidP="00DD1666">
      <w:pPr>
        <w:pStyle w:val="FootnoteText"/>
        <w:rPr>
          <w:lang w:val="pt-PT"/>
        </w:rPr>
      </w:pPr>
      <w:r>
        <w:rPr>
          <w:rStyle w:val="FootnoteReference"/>
          <w:lang/>
        </w:rPr>
        <w:footnoteRef/>
      </w:r>
      <w:r>
        <w:rPr>
          <w:lang/>
        </w:rPr>
        <w:t xml:space="preserve"> </w:t>
      </w:r>
      <w:r>
        <w:rPr>
          <w:rStyle w:val="hps"/>
          <w:sz w:val="16"/>
          <w:lang/>
        </w:rPr>
        <w:t>Cash Flow livre:</w:t>
      </w:r>
      <w:r>
        <w:rPr>
          <w:lang/>
        </w:rPr>
        <w:t xml:space="preserve"> </w:t>
      </w:r>
      <w:r>
        <w:rPr>
          <w:rStyle w:val="hps"/>
          <w:sz w:val="16"/>
          <w:lang/>
        </w:rPr>
        <w:t>Fluxo de tesouraria em atividades operacionais - fluxo de tesouraria em investimentos</w:t>
      </w:r>
      <w:r>
        <w:rPr>
          <w:sz w:val="16"/>
          <w:lang/>
        </w:rPr>
        <w:t>.</w:t>
      </w:r>
    </w:p>
  </w:footnote>
  <w:footnote w:id="3">
    <w:p w:rsidR="00D7180D" w:rsidRPr="006273FC" w:rsidRDefault="00D7180D" w:rsidP="00DD1666">
      <w:pPr>
        <w:pStyle w:val="FootnoteText"/>
        <w:rPr>
          <w:lang w:val="pt-PT"/>
        </w:rPr>
      </w:pPr>
      <w:r w:rsidRPr="00D7180D">
        <w:rPr>
          <w:rStyle w:val="FootnoteReference"/>
        </w:rPr>
        <w:footnoteRef/>
      </w:r>
      <w:r>
        <w:rPr>
          <w:rStyle w:val="hps"/>
          <w:lang/>
        </w:rPr>
        <w:t xml:space="preserve"> </w:t>
      </w:r>
      <w:r>
        <w:rPr>
          <w:rStyle w:val="hps"/>
          <w:sz w:val="16"/>
          <w:lang/>
        </w:rPr>
        <w:t>No fim do período.</w:t>
      </w:r>
    </w:p>
  </w:footnote>
  <w:footnote w:id="4">
    <w:p w:rsidR="00D7180D" w:rsidRPr="006273FC" w:rsidRDefault="00D7180D" w:rsidP="00BF4FFF">
      <w:pPr>
        <w:pStyle w:val="FootnoteText"/>
        <w:rPr>
          <w:lang w:val="pt-PT"/>
        </w:rPr>
      </w:pPr>
      <w:r>
        <w:rPr>
          <w:rStyle w:val="FootnoteReference"/>
          <w:sz w:val="32"/>
          <w:lang/>
        </w:rPr>
        <w:sym w:font="Symbol" w:char="F02A"/>
      </w:r>
      <w:r>
        <w:rPr>
          <w:sz w:val="32"/>
          <w:lang/>
        </w:rPr>
        <w:t xml:space="preserve"> </w:t>
      </w:r>
      <w:r>
        <w:rPr>
          <w:sz w:val="16"/>
          <w:lang/>
        </w:rPr>
        <w:t>Incluindo a Rússia e a Turquia.</w:t>
      </w:r>
    </w:p>
  </w:footnote>
  <w:footnote w:id="5">
    <w:p w:rsidR="00D7180D" w:rsidRPr="006273FC" w:rsidRDefault="00D7180D" w:rsidP="00BF4FFF">
      <w:pPr>
        <w:pStyle w:val="FootnoteText"/>
        <w:rPr>
          <w:lang w:val="pt-PT"/>
        </w:rPr>
      </w:pPr>
    </w:p>
  </w:footnote>
  <w:footnote w:id="6">
    <w:p w:rsidR="00D7180D" w:rsidRPr="006273FC" w:rsidRDefault="00D7180D" w:rsidP="00BF4FFF">
      <w:pPr>
        <w:pStyle w:val="FootnoteText"/>
        <w:rPr>
          <w:lang w:val="pt-PT"/>
        </w:rPr>
      </w:pPr>
      <w:r w:rsidRPr="00D7180D">
        <w:rPr>
          <w:rStyle w:val="FootnoteReference"/>
          <w:sz w:val="32"/>
        </w:rPr>
        <w:sym w:font="Symbol" w:char="F02A"/>
      </w:r>
      <w:r>
        <w:rPr>
          <w:sz w:val="30"/>
          <w:lang/>
        </w:rPr>
        <w:t xml:space="preserve"> </w:t>
      </w:r>
      <w:r>
        <w:rPr>
          <w:sz w:val="16"/>
          <w:lang/>
        </w:rPr>
        <w:t>Mercado radial unicamente.</w:t>
      </w:r>
      <w:r>
        <w:rPr>
          <w:sz w:val="16"/>
          <w:lang/>
        </w:rPr>
        <w:br/>
      </w:r>
      <w:r w:rsidRPr="00D7180D">
        <w:rPr>
          <w:rStyle w:val="FootnoteReference"/>
          <w:sz w:val="32"/>
        </w:rPr>
        <w:sym w:font="Symbol" w:char="F02A"/>
      </w:r>
      <w:r w:rsidRPr="00D7180D">
        <w:rPr>
          <w:rStyle w:val="FootnoteReference"/>
          <w:sz w:val="32"/>
        </w:rPr>
        <w:sym w:font="Symbol" w:char="F02A"/>
      </w:r>
      <w:r>
        <w:rPr>
          <w:sz w:val="20"/>
          <w:vertAlign w:val="superscript"/>
          <w:lang/>
        </w:rPr>
        <w:t xml:space="preserve"> </w:t>
      </w:r>
      <w:r>
        <w:rPr>
          <w:sz w:val="16"/>
          <w:lang/>
        </w:rPr>
        <w:t>Incluindo a Rússia e a Turquia.</w:t>
      </w:r>
    </w:p>
  </w:footnote>
  <w:footnote w:id="7">
    <w:p w:rsidR="00D7180D" w:rsidRPr="006273FC" w:rsidRDefault="00D7180D" w:rsidP="00BF4FFF">
      <w:pPr>
        <w:pStyle w:val="FootnoteText"/>
        <w:rPr>
          <w:lang w:val="pt-PT"/>
        </w:rPr>
      </w:pPr>
    </w:p>
  </w:footnote>
  <w:footnote w:id="8">
    <w:p w:rsidR="00D7180D" w:rsidRPr="006273FC" w:rsidRDefault="00D7180D" w:rsidP="00BF4FFF">
      <w:pPr>
        <w:pStyle w:val="FootnoteText"/>
        <w:rPr>
          <w:lang w:val="pt-PT"/>
        </w:rPr>
      </w:pPr>
    </w:p>
  </w:footnote>
  <w:footnote w:id="9">
    <w:p w:rsidR="00D7180D" w:rsidRPr="006273FC" w:rsidRDefault="00D7180D" w:rsidP="00BF4FFF">
      <w:pPr>
        <w:pStyle w:val="FootnoteText"/>
        <w:rPr>
          <w:lang w:val="pt-PT"/>
        </w:rPr>
      </w:pPr>
      <w:r w:rsidRPr="00D7180D">
        <w:rPr>
          <w:rStyle w:val="FootnoteReference"/>
          <w:sz w:val="32"/>
        </w:rPr>
        <w:sym w:font="Symbol" w:char="F02A"/>
      </w:r>
      <w:r>
        <w:rPr>
          <w:sz w:val="30"/>
          <w:lang/>
        </w:rPr>
        <w:t xml:space="preserve"> </w:t>
      </w:r>
      <w:r>
        <w:rPr>
          <w:sz w:val="16"/>
          <w:lang/>
        </w:rPr>
        <w:t>Mercado radial unicamente.</w:t>
      </w:r>
      <w:r>
        <w:rPr>
          <w:sz w:val="16"/>
          <w:lang/>
        </w:rPr>
        <w:br/>
      </w:r>
      <w:r w:rsidRPr="00D7180D">
        <w:rPr>
          <w:rStyle w:val="FootnoteReference"/>
          <w:sz w:val="32"/>
        </w:rPr>
        <w:sym w:font="Symbol" w:char="F02A"/>
      </w:r>
      <w:r w:rsidRPr="00D7180D">
        <w:rPr>
          <w:rStyle w:val="FootnoteReference"/>
          <w:sz w:val="32"/>
        </w:rPr>
        <w:sym w:font="Symbol" w:char="F02A"/>
      </w:r>
      <w:r>
        <w:rPr>
          <w:sz w:val="20"/>
          <w:vertAlign w:val="superscript"/>
          <w:lang/>
        </w:rPr>
        <w:t xml:space="preserve"> </w:t>
      </w:r>
      <w:r>
        <w:rPr>
          <w:sz w:val="16"/>
          <w:lang/>
        </w:rPr>
        <w:t>Incluindo a Rússia e a Turquia.</w:t>
      </w:r>
    </w:p>
  </w:footnote>
  <w:footnote w:id="10">
    <w:p w:rsidR="00D7180D" w:rsidRPr="006273FC" w:rsidRDefault="00D7180D" w:rsidP="00BF4FFF">
      <w:pPr>
        <w:pStyle w:val="FootnoteText"/>
        <w:rPr>
          <w:lang w:val="pt-PT"/>
        </w:rPr>
      </w:pPr>
    </w:p>
  </w:footnote>
  <w:footnote w:id="11">
    <w:p w:rsidR="00D7180D" w:rsidRPr="006273FC" w:rsidRDefault="00D7180D" w:rsidP="00BF4FFF">
      <w:pPr>
        <w:pStyle w:val="FootnoteText"/>
        <w:rPr>
          <w:lang w:val="pt-PT"/>
        </w:rPr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0D" w:rsidRDefault="00D7180D">
    <w:pPr>
      <w:pStyle w:val="Header"/>
    </w:pPr>
    <w:r>
      <w:rPr>
        <w:lang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2"/>
    <w:multiLevelType w:val="multilevel"/>
    <w:tmpl w:val="894EE884"/>
    <w:lvl w:ilvl="0">
      <w:start w:val="1"/>
      <w:numFmt w:val="bullet"/>
      <w:lvlText w:val="•"/>
      <w:lvlJc w:val="left"/>
      <w:pPr>
        <w:tabs>
          <w:tab w:val="num" w:pos="282"/>
        </w:tabs>
        <w:ind w:left="282" w:firstLine="426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BC5C6D"/>
    <w:multiLevelType w:val="hybridMultilevel"/>
    <w:tmpl w:val="80D03DF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C54104"/>
    <w:multiLevelType w:val="multilevel"/>
    <w:tmpl w:val="B9ACB3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E17814"/>
    <w:multiLevelType w:val="hybridMultilevel"/>
    <w:tmpl w:val="7C46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D26DE"/>
    <w:multiLevelType w:val="hybridMultilevel"/>
    <w:tmpl w:val="8340B5B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08427172"/>
    <w:multiLevelType w:val="hybridMultilevel"/>
    <w:tmpl w:val="EDE4CA42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685B57"/>
    <w:multiLevelType w:val="multilevel"/>
    <w:tmpl w:val="80D0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AE7A75"/>
    <w:multiLevelType w:val="hybridMultilevel"/>
    <w:tmpl w:val="78F60AA4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9CA036E"/>
    <w:multiLevelType w:val="hybridMultilevel"/>
    <w:tmpl w:val="96141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A4632"/>
    <w:multiLevelType w:val="hybridMultilevel"/>
    <w:tmpl w:val="517C8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E54A1"/>
    <w:multiLevelType w:val="hybridMultilevel"/>
    <w:tmpl w:val="D2A82BA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5C63A1"/>
    <w:multiLevelType w:val="hybridMultilevel"/>
    <w:tmpl w:val="C0C4C3A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4B545B3"/>
    <w:multiLevelType w:val="multilevel"/>
    <w:tmpl w:val="5AC8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6644F95"/>
    <w:multiLevelType w:val="hybridMultilevel"/>
    <w:tmpl w:val="4B10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30BFD"/>
    <w:multiLevelType w:val="multilevel"/>
    <w:tmpl w:val="80D0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6E1608"/>
    <w:multiLevelType w:val="multilevel"/>
    <w:tmpl w:val="D360CA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AF4203"/>
    <w:multiLevelType w:val="hybridMultilevel"/>
    <w:tmpl w:val="6C1C0C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E12045"/>
    <w:multiLevelType w:val="multilevel"/>
    <w:tmpl w:val="1A4059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93FD6"/>
    <w:multiLevelType w:val="hybridMultilevel"/>
    <w:tmpl w:val="F8267B82"/>
    <w:lvl w:ilvl="0" w:tplc="E5D0F6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CB4B02"/>
    <w:multiLevelType w:val="multilevel"/>
    <w:tmpl w:val="F8267B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E822BE"/>
    <w:multiLevelType w:val="hybridMultilevel"/>
    <w:tmpl w:val="1DE2C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E1330"/>
    <w:multiLevelType w:val="hybridMultilevel"/>
    <w:tmpl w:val="B9ACB336"/>
    <w:lvl w:ilvl="0" w:tplc="E8220E3E">
      <w:start w:val="1"/>
      <w:numFmt w:val="bullet"/>
      <w:pStyle w:val="List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Arial Unicode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840D5A"/>
    <w:multiLevelType w:val="hybridMultilevel"/>
    <w:tmpl w:val="AE7A1F10"/>
    <w:lvl w:ilvl="0" w:tplc="000B040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0433C1"/>
    <w:multiLevelType w:val="hybridMultilevel"/>
    <w:tmpl w:val="6C9E5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F0B78"/>
    <w:multiLevelType w:val="hybridMultilevel"/>
    <w:tmpl w:val="9D44D6C4"/>
    <w:lvl w:ilvl="0" w:tplc="6D583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9708A"/>
    <w:multiLevelType w:val="hybridMultilevel"/>
    <w:tmpl w:val="5E74E388"/>
    <w:lvl w:ilvl="0" w:tplc="0A6AFBA8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978F0"/>
    <w:multiLevelType w:val="multilevel"/>
    <w:tmpl w:val="80D0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280744"/>
    <w:multiLevelType w:val="multilevel"/>
    <w:tmpl w:val="1A4059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66597"/>
    <w:multiLevelType w:val="hybridMultilevel"/>
    <w:tmpl w:val="56CAE76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D52932"/>
    <w:multiLevelType w:val="hybridMultilevel"/>
    <w:tmpl w:val="55704128"/>
    <w:lvl w:ilvl="0" w:tplc="FFFFFFFF">
      <w:start w:val="1"/>
      <w:numFmt w:val="bullet"/>
      <w:pStyle w:val="Bulletpoin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8"/>
  </w:num>
  <w:num w:numId="5">
    <w:abstractNumId w:val="22"/>
  </w:num>
  <w:num w:numId="6">
    <w:abstractNumId w:val="33"/>
  </w:num>
  <w:num w:numId="7">
    <w:abstractNumId w:val="25"/>
  </w:num>
  <w:num w:numId="8">
    <w:abstractNumId w:val="6"/>
  </w:num>
  <w:num w:numId="9">
    <w:abstractNumId w:val="3"/>
  </w:num>
  <w:num w:numId="10">
    <w:abstractNumId w:val="12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29"/>
  </w:num>
  <w:num w:numId="19">
    <w:abstractNumId w:val="15"/>
  </w:num>
  <w:num w:numId="20">
    <w:abstractNumId w:val="30"/>
  </w:num>
  <w:num w:numId="21">
    <w:abstractNumId w:val="18"/>
  </w:num>
  <w:num w:numId="22">
    <w:abstractNumId w:val="9"/>
  </w:num>
  <w:num w:numId="23">
    <w:abstractNumId w:val="26"/>
  </w:num>
  <w:num w:numId="24">
    <w:abstractNumId w:val="7"/>
  </w:num>
  <w:num w:numId="25">
    <w:abstractNumId w:val="10"/>
  </w:num>
  <w:num w:numId="26">
    <w:abstractNumId w:val="19"/>
  </w:num>
  <w:num w:numId="27">
    <w:abstractNumId w:val="28"/>
  </w:num>
  <w:num w:numId="28">
    <w:abstractNumId w:val="31"/>
  </w:num>
  <w:num w:numId="29">
    <w:abstractNumId w:val="21"/>
  </w:num>
  <w:num w:numId="30">
    <w:abstractNumId w:val="14"/>
  </w:num>
  <w:num w:numId="31">
    <w:abstractNumId w:val="11"/>
  </w:num>
  <w:num w:numId="32">
    <w:abstractNumId w:val="1"/>
  </w:num>
  <w:num w:numId="33">
    <w:abstractNumId w:val="2"/>
  </w:num>
  <w:num w:numId="34">
    <w:abstractNumId w:val="5"/>
  </w:num>
  <w:num w:numId="35">
    <w:abstractNumId w:val="17"/>
  </w:num>
  <w:num w:numId="36">
    <w:abstractNumId w:val="27"/>
  </w:num>
  <w:num w:numId="37">
    <w:abstractNumId w:val="23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CBB"/>
    <w:rsid w:val="00001E9C"/>
    <w:rsid w:val="00007A97"/>
    <w:rsid w:val="00010FA2"/>
    <w:rsid w:val="00012D10"/>
    <w:rsid w:val="00015E4A"/>
    <w:rsid w:val="0002104F"/>
    <w:rsid w:val="00030FE9"/>
    <w:rsid w:val="000339DF"/>
    <w:rsid w:val="00036817"/>
    <w:rsid w:val="00040721"/>
    <w:rsid w:val="00041DD1"/>
    <w:rsid w:val="0004396E"/>
    <w:rsid w:val="00056DF4"/>
    <w:rsid w:val="00057819"/>
    <w:rsid w:val="00060D6B"/>
    <w:rsid w:val="00061551"/>
    <w:rsid w:val="00073B67"/>
    <w:rsid w:val="0007577E"/>
    <w:rsid w:val="00081F13"/>
    <w:rsid w:val="00085B56"/>
    <w:rsid w:val="000949CF"/>
    <w:rsid w:val="000A5A59"/>
    <w:rsid w:val="000B10AC"/>
    <w:rsid w:val="000C1DE8"/>
    <w:rsid w:val="000C2E1C"/>
    <w:rsid w:val="000C34E6"/>
    <w:rsid w:val="000E1929"/>
    <w:rsid w:val="000E197B"/>
    <w:rsid w:val="000E462D"/>
    <w:rsid w:val="000F1411"/>
    <w:rsid w:val="000F7BDA"/>
    <w:rsid w:val="00107C3F"/>
    <w:rsid w:val="0011004E"/>
    <w:rsid w:val="00125C05"/>
    <w:rsid w:val="00127A86"/>
    <w:rsid w:val="0013210B"/>
    <w:rsid w:val="0013303A"/>
    <w:rsid w:val="00135B6F"/>
    <w:rsid w:val="00143FBC"/>
    <w:rsid w:val="001466B0"/>
    <w:rsid w:val="001526CD"/>
    <w:rsid w:val="00166F6B"/>
    <w:rsid w:val="00171BC3"/>
    <w:rsid w:val="00173468"/>
    <w:rsid w:val="0017399C"/>
    <w:rsid w:val="00181433"/>
    <w:rsid w:val="00185869"/>
    <w:rsid w:val="0019532C"/>
    <w:rsid w:val="00195E54"/>
    <w:rsid w:val="00196C7B"/>
    <w:rsid w:val="00197887"/>
    <w:rsid w:val="001A2763"/>
    <w:rsid w:val="001A6210"/>
    <w:rsid w:val="001B0142"/>
    <w:rsid w:val="001C76EB"/>
    <w:rsid w:val="001E0A40"/>
    <w:rsid w:val="001E1DF7"/>
    <w:rsid w:val="001E3003"/>
    <w:rsid w:val="001E3147"/>
    <w:rsid w:val="001E5C06"/>
    <w:rsid w:val="00202ACD"/>
    <w:rsid w:val="00205B8A"/>
    <w:rsid w:val="00210022"/>
    <w:rsid w:val="00215F02"/>
    <w:rsid w:val="0022106F"/>
    <w:rsid w:val="002212B2"/>
    <w:rsid w:val="0022145A"/>
    <w:rsid w:val="00223CDE"/>
    <w:rsid w:val="0023135F"/>
    <w:rsid w:val="002318E6"/>
    <w:rsid w:val="002420FF"/>
    <w:rsid w:val="00243244"/>
    <w:rsid w:val="002432E8"/>
    <w:rsid w:val="002435F5"/>
    <w:rsid w:val="00245B87"/>
    <w:rsid w:val="00246E8B"/>
    <w:rsid w:val="00250B55"/>
    <w:rsid w:val="00256A87"/>
    <w:rsid w:val="002725F7"/>
    <w:rsid w:val="00272615"/>
    <w:rsid w:val="00280E2F"/>
    <w:rsid w:val="0028355D"/>
    <w:rsid w:val="002854B0"/>
    <w:rsid w:val="002935CF"/>
    <w:rsid w:val="002A6E7D"/>
    <w:rsid w:val="002B5DDB"/>
    <w:rsid w:val="002B6C8F"/>
    <w:rsid w:val="002C158D"/>
    <w:rsid w:val="002D6DAE"/>
    <w:rsid w:val="002D7E0A"/>
    <w:rsid w:val="002E1BDB"/>
    <w:rsid w:val="002E24D1"/>
    <w:rsid w:val="002E5CDD"/>
    <w:rsid w:val="002F41C9"/>
    <w:rsid w:val="002F43CF"/>
    <w:rsid w:val="00302A35"/>
    <w:rsid w:val="00304CDE"/>
    <w:rsid w:val="00314675"/>
    <w:rsid w:val="00317EA3"/>
    <w:rsid w:val="0032029D"/>
    <w:rsid w:val="003202C1"/>
    <w:rsid w:val="0032791B"/>
    <w:rsid w:val="00340AC0"/>
    <w:rsid w:val="003420AB"/>
    <w:rsid w:val="003424E0"/>
    <w:rsid w:val="00347230"/>
    <w:rsid w:val="00353ABD"/>
    <w:rsid w:val="00354077"/>
    <w:rsid w:val="00354ACF"/>
    <w:rsid w:val="00360759"/>
    <w:rsid w:val="003624A0"/>
    <w:rsid w:val="0036426F"/>
    <w:rsid w:val="00370007"/>
    <w:rsid w:val="003861B4"/>
    <w:rsid w:val="00386567"/>
    <w:rsid w:val="003A709E"/>
    <w:rsid w:val="003B5B09"/>
    <w:rsid w:val="003B75A5"/>
    <w:rsid w:val="003B7AE2"/>
    <w:rsid w:val="003B7BF4"/>
    <w:rsid w:val="003B7C02"/>
    <w:rsid w:val="003C2BAB"/>
    <w:rsid w:val="003C77E2"/>
    <w:rsid w:val="003E244C"/>
    <w:rsid w:val="003E5696"/>
    <w:rsid w:val="003F097D"/>
    <w:rsid w:val="003F1CBF"/>
    <w:rsid w:val="00420FD2"/>
    <w:rsid w:val="00424758"/>
    <w:rsid w:val="00426890"/>
    <w:rsid w:val="00444E3F"/>
    <w:rsid w:val="00444F58"/>
    <w:rsid w:val="00445219"/>
    <w:rsid w:val="00451A2C"/>
    <w:rsid w:val="0045220E"/>
    <w:rsid w:val="004541F0"/>
    <w:rsid w:val="004612EF"/>
    <w:rsid w:val="004624C7"/>
    <w:rsid w:val="00465682"/>
    <w:rsid w:val="00474C06"/>
    <w:rsid w:val="004846D5"/>
    <w:rsid w:val="00485325"/>
    <w:rsid w:val="004931C4"/>
    <w:rsid w:val="00495746"/>
    <w:rsid w:val="004A4F03"/>
    <w:rsid w:val="004C0F69"/>
    <w:rsid w:val="004C25AB"/>
    <w:rsid w:val="004D5DCF"/>
    <w:rsid w:val="004D6F34"/>
    <w:rsid w:val="004D7256"/>
    <w:rsid w:val="004E3B20"/>
    <w:rsid w:val="004E71D5"/>
    <w:rsid w:val="004F197A"/>
    <w:rsid w:val="0051462D"/>
    <w:rsid w:val="005171A9"/>
    <w:rsid w:val="00527504"/>
    <w:rsid w:val="00541F4C"/>
    <w:rsid w:val="00544757"/>
    <w:rsid w:val="00544834"/>
    <w:rsid w:val="005575F9"/>
    <w:rsid w:val="0056033E"/>
    <w:rsid w:val="00585178"/>
    <w:rsid w:val="0059597C"/>
    <w:rsid w:val="00597649"/>
    <w:rsid w:val="005A3068"/>
    <w:rsid w:val="005A33C5"/>
    <w:rsid w:val="005A6799"/>
    <w:rsid w:val="005B5875"/>
    <w:rsid w:val="005C0422"/>
    <w:rsid w:val="005C29EF"/>
    <w:rsid w:val="005C58BB"/>
    <w:rsid w:val="005D6908"/>
    <w:rsid w:val="005D7AE3"/>
    <w:rsid w:val="005E008B"/>
    <w:rsid w:val="005E0994"/>
    <w:rsid w:val="005E306E"/>
    <w:rsid w:val="005F7D53"/>
    <w:rsid w:val="00613A67"/>
    <w:rsid w:val="00614F2A"/>
    <w:rsid w:val="00626C26"/>
    <w:rsid w:val="006273FC"/>
    <w:rsid w:val="00632CF5"/>
    <w:rsid w:val="006408A4"/>
    <w:rsid w:val="006678D2"/>
    <w:rsid w:val="00667ACA"/>
    <w:rsid w:val="00673D68"/>
    <w:rsid w:val="006748AD"/>
    <w:rsid w:val="0067572B"/>
    <w:rsid w:val="00684C91"/>
    <w:rsid w:val="00692C86"/>
    <w:rsid w:val="0069466D"/>
    <w:rsid w:val="00695481"/>
    <w:rsid w:val="00697D71"/>
    <w:rsid w:val="006A065B"/>
    <w:rsid w:val="006A574B"/>
    <w:rsid w:val="006C21B6"/>
    <w:rsid w:val="006C5630"/>
    <w:rsid w:val="006C6F4F"/>
    <w:rsid w:val="006C75FE"/>
    <w:rsid w:val="006D2E90"/>
    <w:rsid w:val="006D3988"/>
    <w:rsid w:val="006D3E3E"/>
    <w:rsid w:val="006E3A8B"/>
    <w:rsid w:val="006F2092"/>
    <w:rsid w:val="006F6A50"/>
    <w:rsid w:val="00702659"/>
    <w:rsid w:val="00703CEA"/>
    <w:rsid w:val="00705CDE"/>
    <w:rsid w:val="007100DA"/>
    <w:rsid w:val="00737803"/>
    <w:rsid w:val="007426BD"/>
    <w:rsid w:val="007513F8"/>
    <w:rsid w:val="007536A9"/>
    <w:rsid w:val="00762935"/>
    <w:rsid w:val="007649D5"/>
    <w:rsid w:val="007665E7"/>
    <w:rsid w:val="007712BC"/>
    <w:rsid w:val="00777785"/>
    <w:rsid w:val="00785613"/>
    <w:rsid w:val="0079020E"/>
    <w:rsid w:val="007943C4"/>
    <w:rsid w:val="00795FF8"/>
    <w:rsid w:val="007A17D2"/>
    <w:rsid w:val="007A4C1F"/>
    <w:rsid w:val="007B0358"/>
    <w:rsid w:val="007B2378"/>
    <w:rsid w:val="007B44FB"/>
    <w:rsid w:val="007B6199"/>
    <w:rsid w:val="007C6697"/>
    <w:rsid w:val="007D559C"/>
    <w:rsid w:val="007D75A7"/>
    <w:rsid w:val="007F3442"/>
    <w:rsid w:val="007F46A3"/>
    <w:rsid w:val="007F596B"/>
    <w:rsid w:val="00811AFC"/>
    <w:rsid w:val="00815D5C"/>
    <w:rsid w:val="00833107"/>
    <w:rsid w:val="00836DB3"/>
    <w:rsid w:val="008501F6"/>
    <w:rsid w:val="00855CA4"/>
    <w:rsid w:val="008602B5"/>
    <w:rsid w:val="00867D3B"/>
    <w:rsid w:val="00875FF3"/>
    <w:rsid w:val="00892CBE"/>
    <w:rsid w:val="00895D5A"/>
    <w:rsid w:val="00897599"/>
    <w:rsid w:val="008B152B"/>
    <w:rsid w:val="008D0B48"/>
    <w:rsid w:val="008D5BA0"/>
    <w:rsid w:val="008F1D3E"/>
    <w:rsid w:val="008F1DE9"/>
    <w:rsid w:val="008F351D"/>
    <w:rsid w:val="008F740D"/>
    <w:rsid w:val="00902480"/>
    <w:rsid w:val="009026F0"/>
    <w:rsid w:val="00917FBC"/>
    <w:rsid w:val="00934029"/>
    <w:rsid w:val="00940315"/>
    <w:rsid w:val="00940D8D"/>
    <w:rsid w:val="00946635"/>
    <w:rsid w:val="00952713"/>
    <w:rsid w:val="00962600"/>
    <w:rsid w:val="009649E1"/>
    <w:rsid w:val="00966434"/>
    <w:rsid w:val="009668B7"/>
    <w:rsid w:val="00972244"/>
    <w:rsid w:val="00972F65"/>
    <w:rsid w:val="00986CF5"/>
    <w:rsid w:val="00992DF0"/>
    <w:rsid w:val="009A15E2"/>
    <w:rsid w:val="009A3FF9"/>
    <w:rsid w:val="009B0252"/>
    <w:rsid w:val="009B224C"/>
    <w:rsid w:val="009B3FDB"/>
    <w:rsid w:val="009B4499"/>
    <w:rsid w:val="009B4B18"/>
    <w:rsid w:val="009B77E5"/>
    <w:rsid w:val="009C1B89"/>
    <w:rsid w:val="009C48BF"/>
    <w:rsid w:val="009D0195"/>
    <w:rsid w:val="009D2BB3"/>
    <w:rsid w:val="009D367D"/>
    <w:rsid w:val="009D4587"/>
    <w:rsid w:val="009D7626"/>
    <w:rsid w:val="009E37B8"/>
    <w:rsid w:val="009E489C"/>
    <w:rsid w:val="009E4A28"/>
    <w:rsid w:val="009E4FF9"/>
    <w:rsid w:val="009F3E26"/>
    <w:rsid w:val="00A01AEF"/>
    <w:rsid w:val="00A03A11"/>
    <w:rsid w:val="00A32B12"/>
    <w:rsid w:val="00A506C1"/>
    <w:rsid w:val="00A52787"/>
    <w:rsid w:val="00A5568E"/>
    <w:rsid w:val="00A6049F"/>
    <w:rsid w:val="00A64967"/>
    <w:rsid w:val="00A70E95"/>
    <w:rsid w:val="00A73BBE"/>
    <w:rsid w:val="00A84066"/>
    <w:rsid w:val="00A85D5E"/>
    <w:rsid w:val="00A923DC"/>
    <w:rsid w:val="00A94322"/>
    <w:rsid w:val="00AA0EF8"/>
    <w:rsid w:val="00AB0969"/>
    <w:rsid w:val="00AB154E"/>
    <w:rsid w:val="00AB2B46"/>
    <w:rsid w:val="00AB6D7C"/>
    <w:rsid w:val="00AC13EE"/>
    <w:rsid w:val="00AC73F4"/>
    <w:rsid w:val="00AE4CC0"/>
    <w:rsid w:val="00B1126D"/>
    <w:rsid w:val="00B1212B"/>
    <w:rsid w:val="00B121CD"/>
    <w:rsid w:val="00B15D59"/>
    <w:rsid w:val="00B16D65"/>
    <w:rsid w:val="00B2623F"/>
    <w:rsid w:val="00B340A4"/>
    <w:rsid w:val="00B400C9"/>
    <w:rsid w:val="00B43C7A"/>
    <w:rsid w:val="00B527E0"/>
    <w:rsid w:val="00B52AD8"/>
    <w:rsid w:val="00B54BBF"/>
    <w:rsid w:val="00B6296F"/>
    <w:rsid w:val="00B72315"/>
    <w:rsid w:val="00B7758D"/>
    <w:rsid w:val="00B817C2"/>
    <w:rsid w:val="00BA6173"/>
    <w:rsid w:val="00BA6381"/>
    <w:rsid w:val="00BB21DF"/>
    <w:rsid w:val="00BC1834"/>
    <w:rsid w:val="00BD2986"/>
    <w:rsid w:val="00BD2C23"/>
    <w:rsid w:val="00BE0BF8"/>
    <w:rsid w:val="00BF0A95"/>
    <w:rsid w:val="00BF4FFF"/>
    <w:rsid w:val="00BF71D8"/>
    <w:rsid w:val="00BF7F71"/>
    <w:rsid w:val="00C0602A"/>
    <w:rsid w:val="00C07354"/>
    <w:rsid w:val="00C1248E"/>
    <w:rsid w:val="00C12509"/>
    <w:rsid w:val="00C21BE7"/>
    <w:rsid w:val="00C30EC1"/>
    <w:rsid w:val="00C31A0D"/>
    <w:rsid w:val="00C42E4C"/>
    <w:rsid w:val="00C44FEA"/>
    <w:rsid w:val="00C54867"/>
    <w:rsid w:val="00C74752"/>
    <w:rsid w:val="00C846BD"/>
    <w:rsid w:val="00C93747"/>
    <w:rsid w:val="00CA5F03"/>
    <w:rsid w:val="00CB4369"/>
    <w:rsid w:val="00CE2A7B"/>
    <w:rsid w:val="00CE7CF3"/>
    <w:rsid w:val="00CF0F78"/>
    <w:rsid w:val="00CF7AB0"/>
    <w:rsid w:val="00D04B52"/>
    <w:rsid w:val="00D066F1"/>
    <w:rsid w:val="00D2129D"/>
    <w:rsid w:val="00D26E0E"/>
    <w:rsid w:val="00D44452"/>
    <w:rsid w:val="00D460C3"/>
    <w:rsid w:val="00D50044"/>
    <w:rsid w:val="00D53232"/>
    <w:rsid w:val="00D53854"/>
    <w:rsid w:val="00D538AA"/>
    <w:rsid w:val="00D5468B"/>
    <w:rsid w:val="00D628D9"/>
    <w:rsid w:val="00D656EE"/>
    <w:rsid w:val="00D66F25"/>
    <w:rsid w:val="00D7180D"/>
    <w:rsid w:val="00D753AD"/>
    <w:rsid w:val="00D8177B"/>
    <w:rsid w:val="00D82442"/>
    <w:rsid w:val="00D83C12"/>
    <w:rsid w:val="00D85DA6"/>
    <w:rsid w:val="00D92AB7"/>
    <w:rsid w:val="00D92B83"/>
    <w:rsid w:val="00D930B6"/>
    <w:rsid w:val="00DA1EB0"/>
    <w:rsid w:val="00DA263C"/>
    <w:rsid w:val="00DA2BA5"/>
    <w:rsid w:val="00DC2438"/>
    <w:rsid w:val="00DD1666"/>
    <w:rsid w:val="00DD61D6"/>
    <w:rsid w:val="00DF0201"/>
    <w:rsid w:val="00DF213F"/>
    <w:rsid w:val="00DF3396"/>
    <w:rsid w:val="00E02024"/>
    <w:rsid w:val="00E03137"/>
    <w:rsid w:val="00E062AB"/>
    <w:rsid w:val="00E10E70"/>
    <w:rsid w:val="00E274AA"/>
    <w:rsid w:val="00E3355A"/>
    <w:rsid w:val="00E3794C"/>
    <w:rsid w:val="00E40591"/>
    <w:rsid w:val="00E436E3"/>
    <w:rsid w:val="00E5572F"/>
    <w:rsid w:val="00E640B0"/>
    <w:rsid w:val="00E6568A"/>
    <w:rsid w:val="00E92293"/>
    <w:rsid w:val="00E92AC4"/>
    <w:rsid w:val="00EA5A5F"/>
    <w:rsid w:val="00EA6B22"/>
    <w:rsid w:val="00EC182D"/>
    <w:rsid w:val="00ED35E0"/>
    <w:rsid w:val="00ED36D0"/>
    <w:rsid w:val="00EE130E"/>
    <w:rsid w:val="00EE454B"/>
    <w:rsid w:val="00EE5164"/>
    <w:rsid w:val="00EF5613"/>
    <w:rsid w:val="00EF5B7E"/>
    <w:rsid w:val="00EF665E"/>
    <w:rsid w:val="00EF7CBB"/>
    <w:rsid w:val="00F115C6"/>
    <w:rsid w:val="00F15E8E"/>
    <w:rsid w:val="00F2115B"/>
    <w:rsid w:val="00F21DE2"/>
    <w:rsid w:val="00F23FDA"/>
    <w:rsid w:val="00F278D5"/>
    <w:rsid w:val="00F34C43"/>
    <w:rsid w:val="00F35253"/>
    <w:rsid w:val="00F44DD8"/>
    <w:rsid w:val="00F45CDB"/>
    <w:rsid w:val="00F628BD"/>
    <w:rsid w:val="00F64056"/>
    <w:rsid w:val="00F644A6"/>
    <w:rsid w:val="00F81851"/>
    <w:rsid w:val="00F84034"/>
    <w:rsid w:val="00F87F0B"/>
    <w:rsid w:val="00F944B0"/>
    <w:rsid w:val="00F97DCD"/>
    <w:rsid w:val="00FA0233"/>
    <w:rsid w:val="00FA1356"/>
    <w:rsid w:val="00FA2357"/>
    <w:rsid w:val="00FA2F3A"/>
    <w:rsid w:val="00FA313F"/>
    <w:rsid w:val="00FA4075"/>
    <w:rsid w:val="00FB09F5"/>
    <w:rsid w:val="00FB488E"/>
    <w:rsid w:val="00FC4CD7"/>
    <w:rsid w:val="00FD09EC"/>
    <w:rsid w:val="00FD3327"/>
    <w:rsid w:val="00FD3D46"/>
    <w:rsid w:val="00FD5A60"/>
    <w:rsid w:val="00FE5191"/>
    <w:rsid w:val="00FE6B59"/>
    <w:rsid w:val="00FF124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link w:val="Heading2Char"/>
    <w:qFormat/>
    <w:rsid w:val="00BF4FFF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F4FFF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4FFF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Heading5">
    <w:name w:val="heading 5"/>
    <w:basedOn w:val="Normal"/>
    <w:next w:val="Normal"/>
    <w:link w:val="Heading5Char"/>
    <w:qFormat/>
    <w:rsid w:val="00BF4FFF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4FFF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Heading8">
    <w:name w:val="heading 8"/>
    <w:basedOn w:val="Normal"/>
    <w:next w:val="Normal"/>
    <w:link w:val="Heading8Char"/>
    <w:qFormat/>
    <w:rsid w:val="00BF4FFF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uiPriority w:val="99"/>
    <w:semiHidden/>
    <w:rsid w:val="007B21F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character" w:customStyle="1" w:styleId="BalloonTextChar1">
    <w:name w:val="Balloon Text Char1"/>
    <w:basedOn w:val="DefaultParagraphFont"/>
    <w:link w:val="BalloonText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customStyle="1" w:styleId="Heading2Char">
    <w:name w:val="Heading 2 Char"/>
    <w:basedOn w:val="DefaultParagraphFont"/>
    <w:link w:val="Heading2"/>
    <w:rsid w:val="00BF4FFF"/>
    <w:rPr>
      <w:rFonts w:ascii="Times" w:eastAsia="Times" w:hAnsi="Times"/>
      <w:b/>
      <w:i/>
      <w:sz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BF4FFF"/>
    <w:rPr>
      <w:rFonts w:ascii="Times" w:eastAsia="Times" w:hAnsi="Times"/>
      <w:b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rsid w:val="00BF4FFF"/>
    <w:rPr>
      <w:rFonts w:ascii="Frutiger 45 Light" w:hAnsi="Frutiger 45 Light"/>
      <w:b/>
      <w:color w:val="0000FF"/>
      <w:sz w:val="32"/>
      <w:lang w:eastAsia="fr-FR"/>
    </w:rPr>
  </w:style>
  <w:style w:type="character" w:customStyle="1" w:styleId="Heading5Char">
    <w:name w:val="Heading 5 Char"/>
    <w:basedOn w:val="DefaultParagraphFont"/>
    <w:link w:val="Heading5"/>
    <w:rsid w:val="00BF4FFF"/>
    <w:rPr>
      <w:rFonts w:ascii="Times" w:eastAsia="Times" w:hAnsi="Times"/>
      <w:b/>
      <w:i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rsid w:val="00BF4FFF"/>
    <w:rPr>
      <w:rFonts w:ascii="Utopia" w:eastAsia="Times" w:hAnsi="Utopia"/>
      <w:b/>
      <w:color w:val="FF6600"/>
      <w:sz w:val="22"/>
      <w:lang w:eastAsia="fr-FR"/>
    </w:rPr>
  </w:style>
  <w:style w:type="character" w:customStyle="1" w:styleId="Heading8Char">
    <w:name w:val="Heading 8 Char"/>
    <w:basedOn w:val="DefaultParagraphFont"/>
    <w:link w:val="Heading8"/>
    <w:rsid w:val="00BF4FFF"/>
    <w:rPr>
      <w:rFonts w:ascii="Times" w:eastAsia="Times" w:hAnsi="Times"/>
      <w:i/>
      <w:lang w:eastAsia="fr-FR"/>
    </w:rPr>
  </w:style>
  <w:style w:type="paragraph" w:styleId="BodyText">
    <w:name w:val="Body Text"/>
    <w:basedOn w:val="Normal"/>
    <w:link w:val="BodyTextChar"/>
    <w:rsid w:val="00BF4F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4FFF"/>
    <w:rPr>
      <w:rFonts w:ascii="Times" w:eastAsia="Times" w:hAnsi="Times"/>
      <w:lang w:eastAsia="fr-FR"/>
    </w:rPr>
  </w:style>
  <w:style w:type="paragraph" w:customStyle="1" w:styleId="Headline">
    <w:name w:val="Headline"/>
    <w:rsid w:val="00BF4FFF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BF4FFF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BF4FFF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Bullet">
    <w:name w:val="List Bullet"/>
    <w:basedOn w:val="Normal"/>
    <w:autoRedefine/>
    <w:rsid w:val="00BF4FFF"/>
    <w:pPr>
      <w:numPr>
        <w:numId w:val="1"/>
      </w:numPr>
    </w:pPr>
  </w:style>
  <w:style w:type="paragraph" w:customStyle="1" w:styleId="TextoCONTINENTAL">
    <w:name w:val="Texto CONTINENTAL"/>
    <w:basedOn w:val="BodyText"/>
    <w:rsid w:val="00BF4FFF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basedOn w:val="DefaultParagraphFont"/>
    <w:unhideWhenUsed/>
    <w:rsid w:val="00BF4FFF"/>
    <w:rPr>
      <w:color w:val="0000FF"/>
      <w:u w:val="single"/>
    </w:rPr>
  </w:style>
  <w:style w:type="paragraph" w:styleId="BodyText3">
    <w:name w:val="Body Text 3"/>
    <w:basedOn w:val="Normal"/>
    <w:link w:val="BodyText3Char"/>
    <w:rsid w:val="00BF4FFF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BodyText3Char">
    <w:name w:val="Body Text 3 Char"/>
    <w:basedOn w:val="DefaultParagraphFont"/>
    <w:link w:val="BodyText3"/>
    <w:rsid w:val="00BF4FFF"/>
    <w:rPr>
      <w:rFonts w:ascii="Times New Roman" w:eastAsia="Times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BF4FFF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DefaultParagraphFont"/>
    <w:rsid w:val="00BF4FFF"/>
    <w:rPr>
      <w:sz w:val="20"/>
      <w:szCs w:val="20"/>
    </w:rPr>
  </w:style>
  <w:style w:type="character" w:styleId="Strong">
    <w:name w:val="Strong"/>
    <w:basedOn w:val="DefaultParagraphFont"/>
    <w:qFormat/>
    <w:rsid w:val="00BF4FFF"/>
    <w:rPr>
      <w:b/>
      <w:bCs/>
    </w:rPr>
  </w:style>
  <w:style w:type="paragraph" w:styleId="ListParagraph">
    <w:name w:val="List Paragraph"/>
    <w:basedOn w:val="Normal"/>
    <w:uiPriority w:val="34"/>
    <w:qFormat/>
    <w:rsid w:val="00BF4FFF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CommentReference">
    <w:name w:val="annotation reference"/>
    <w:basedOn w:val="DefaultParagraphFont"/>
    <w:rsid w:val="00BF4FFF"/>
    <w:rPr>
      <w:sz w:val="18"/>
    </w:rPr>
  </w:style>
  <w:style w:type="paragraph" w:styleId="CommentText">
    <w:name w:val="annotation text"/>
    <w:basedOn w:val="Normal"/>
    <w:link w:val="CommentTextChar"/>
    <w:rsid w:val="00BF4FFF"/>
  </w:style>
  <w:style w:type="character" w:customStyle="1" w:styleId="CommentTextChar">
    <w:name w:val="Comment Text Char"/>
    <w:basedOn w:val="DefaultParagraphFont"/>
    <w:link w:val="CommentText"/>
    <w:rsid w:val="00BF4FFF"/>
    <w:rPr>
      <w:rFonts w:ascii="Times" w:eastAsia="Times" w:hAnsi="Times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F4FFF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F4FFF"/>
    <w:rPr>
      <w:rFonts w:ascii="Times" w:eastAsia="Times" w:hAnsi="Times"/>
      <w:sz w:val="22"/>
      <w:szCs w:val="20"/>
      <w:lang w:eastAsia="fr-FR"/>
    </w:rPr>
  </w:style>
  <w:style w:type="paragraph" w:styleId="FootnoteText">
    <w:name w:val="footnote text"/>
    <w:basedOn w:val="Normal"/>
    <w:link w:val="FootnoteTextChar"/>
    <w:rsid w:val="00BF4FFF"/>
  </w:style>
  <w:style w:type="character" w:customStyle="1" w:styleId="FootnoteTextChar">
    <w:name w:val="Footnote Text Char"/>
    <w:basedOn w:val="DefaultParagraphFont"/>
    <w:link w:val="FootnoteText"/>
    <w:rsid w:val="00BF4FFF"/>
    <w:rPr>
      <w:rFonts w:ascii="Times" w:eastAsia="Times" w:hAnsi="Times"/>
      <w:lang w:eastAsia="fr-FR"/>
    </w:rPr>
  </w:style>
  <w:style w:type="character" w:styleId="FootnoteReference">
    <w:name w:val="footnote reference"/>
    <w:basedOn w:val="DefaultParagraphFont"/>
    <w:rsid w:val="00BF4FFF"/>
    <w:rPr>
      <w:vertAlign w:val="superscript"/>
    </w:rPr>
  </w:style>
  <w:style w:type="character" w:styleId="FollowedHyperlink">
    <w:name w:val="FollowedHyperlink"/>
    <w:basedOn w:val="DefaultParagraphFont"/>
    <w:rsid w:val="00BF4FFF"/>
    <w:rPr>
      <w:color w:val="800080"/>
      <w:u w:val="single"/>
    </w:rPr>
  </w:style>
  <w:style w:type="paragraph" w:customStyle="1" w:styleId="EntradillaMICHELIN">
    <w:name w:val="Entradilla MICHELIN"/>
    <w:basedOn w:val="Normal"/>
    <w:rsid w:val="00BF4FFF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character" w:customStyle="1" w:styleId="hps">
    <w:name w:val="hps"/>
    <w:basedOn w:val="DefaultParagraphFont"/>
    <w:rsid w:val="00BF4FFF"/>
  </w:style>
  <w:style w:type="paragraph" w:customStyle="1" w:styleId="SubheadMichelin">
    <w:name w:val="Subhead Michelin"/>
    <w:autoRedefine/>
    <w:rsid w:val="00BF4FFF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BF4FFF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tuloDossier">
    <w:name w:val="Título Dossier"/>
    <w:basedOn w:val="Headline"/>
    <w:rsid w:val="00BF4FFF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BF4FFF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BF4FFF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Predeterminado">
    <w:name w:val="Predeterminado"/>
    <w:rsid w:val="00BF4FFF"/>
    <w:pPr>
      <w:widowControl w:val="0"/>
      <w:autoSpaceDE w:val="0"/>
      <w:autoSpaceDN w:val="0"/>
    </w:pPr>
    <w:rPr>
      <w:rFonts w:ascii="Times New Roman" w:hAnsi="Times New Roman"/>
      <w:lang w:eastAsia="es-ES"/>
    </w:rPr>
  </w:style>
  <w:style w:type="paragraph" w:styleId="BodyText2">
    <w:name w:val="Body Text 2"/>
    <w:basedOn w:val="Normal"/>
    <w:link w:val="BodyText2Char"/>
    <w:rsid w:val="00BF4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4FFF"/>
    <w:rPr>
      <w:rFonts w:ascii="Times" w:eastAsia="Times" w:hAnsi="Times"/>
      <w:lang w:eastAsia="fr-FR"/>
    </w:rPr>
  </w:style>
  <w:style w:type="paragraph" w:styleId="BodyTextIndent">
    <w:name w:val="Body Text Indent"/>
    <w:basedOn w:val="Normal"/>
    <w:link w:val="BodyTextIndentChar"/>
    <w:rsid w:val="00BF4FFF"/>
    <w:pPr>
      <w:spacing w:after="120"/>
      <w:ind w:left="283"/>
    </w:pPr>
    <w:rPr>
      <w:rFonts w:ascii="Utopia" w:eastAsia="Times New Roman" w:hAnsi="Utopi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F4FFF"/>
    <w:rPr>
      <w:rFonts w:ascii="Utopia" w:hAnsi="Utopia"/>
      <w:sz w:val="20"/>
      <w:lang w:eastAsia="fr-FR"/>
    </w:rPr>
  </w:style>
  <w:style w:type="paragraph" w:styleId="BlockText">
    <w:name w:val="Block Text"/>
    <w:basedOn w:val="Normal"/>
    <w:rsid w:val="00BF4FFF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itle">
    <w:name w:val="Title"/>
    <w:basedOn w:val="Normal"/>
    <w:link w:val="TitleChar"/>
    <w:qFormat/>
    <w:rsid w:val="00BF4FFF"/>
    <w:pPr>
      <w:jc w:val="center"/>
    </w:pPr>
    <w:rPr>
      <w:rFonts w:ascii="Frutiger 55 Roman" w:eastAsia="Times New Roman" w:hAnsi="Frutiger 55 Roman"/>
      <w:b/>
      <w:sz w:val="32"/>
    </w:rPr>
  </w:style>
  <w:style w:type="character" w:customStyle="1" w:styleId="TitleChar">
    <w:name w:val="Title Char"/>
    <w:basedOn w:val="DefaultParagraphFont"/>
    <w:link w:val="Title"/>
    <w:rsid w:val="00BF4FFF"/>
    <w:rPr>
      <w:rFonts w:ascii="Frutiger 55 Roman" w:hAnsi="Frutiger 55 Roman"/>
      <w:b/>
      <w:sz w:val="32"/>
      <w:lang w:eastAsia="fr-FR"/>
    </w:rPr>
  </w:style>
  <w:style w:type="paragraph" w:customStyle="1" w:styleId="StyleTitre2Frutiger55Roman">
    <w:name w:val="Style Titre 2 + Frutiger 55 Roman"/>
    <w:basedOn w:val="Heading2"/>
    <w:autoRedefine/>
    <w:rsid w:val="00BF4FFF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rsid w:val="00BF4FFF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Heading8"/>
    <w:rsid w:val="00BF4FFF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BF4FFF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BF4FFF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Heading2"/>
    <w:rsid w:val="00BF4FFF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BF4FFF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BF4FFF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BF4FFF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BF4FFF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BF4FFF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Heading2"/>
    <w:autoRedefine/>
    <w:rsid w:val="00BF4FFF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BF4FFF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BF4FFF"/>
    <w:rPr>
      <w:lang w:val="es-ES_tradnl"/>
    </w:rPr>
  </w:style>
  <w:style w:type="paragraph" w:customStyle="1" w:styleId="corporativoCONTINENTAL">
    <w:name w:val="corporativo CONTINENTAL"/>
    <w:basedOn w:val="TextoCONTINENTAL"/>
    <w:rsid w:val="00BF4FFF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BF4FFF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LadilloMichelinDossier">
    <w:name w:val="Ladillo Michelin Dossier"/>
    <w:basedOn w:val="TextoMichelin"/>
    <w:rsid w:val="00BF4FFF"/>
    <w:pPr>
      <w:spacing w:before="480" w:after="120"/>
      <w:jc w:val="left"/>
    </w:pPr>
    <w:rPr>
      <w:rFonts w:ascii="Times" w:hAnsi="Times"/>
      <w:b/>
      <w:sz w:val="26"/>
    </w:rPr>
  </w:style>
  <w:style w:type="table" w:styleId="TableGrid">
    <w:name w:val="Table Grid"/>
    <w:basedOn w:val="TableNormal"/>
    <w:rsid w:val="00BF4FF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Normal"/>
    <w:autoRedefine/>
    <w:rsid w:val="00BF4FFF"/>
    <w:pPr>
      <w:jc w:val="both"/>
    </w:pPr>
    <w:rPr>
      <w:rFonts w:ascii="Trebuchet MS" w:eastAsia="Times New Roman" w:hAnsi="Trebuchet MS"/>
      <w:b/>
      <w:kern w:val="32"/>
      <w:sz w:val="22"/>
      <w:lang w:eastAsia="en-US"/>
    </w:rPr>
  </w:style>
  <w:style w:type="paragraph" w:customStyle="1" w:styleId="Normal2">
    <w:name w:val="Normal 2"/>
    <w:basedOn w:val="Normal"/>
    <w:autoRedefine/>
    <w:rsid w:val="00BF4FFF"/>
    <w:pPr>
      <w:jc w:val="both"/>
    </w:pPr>
    <w:rPr>
      <w:rFonts w:ascii="Helvetica" w:eastAsia="Times New Roman" w:hAnsi="Helvetica"/>
      <w:lang w:eastAsia="en-US"/>
    </w:rPr>
  </w:style>
  <w:style w:type="character" w:styleId="Emphasis">
    <w:name w:val="Emphasis"/>
    <w:basedOn w:val="DefaultParagraphFont"/>
    <w:qFormat/>
    <w:rsid w:val="00BF4FFF"/>
    <w:rPr>
      <w:i/>
      <w:iCs/>
    </w:rPr>
  </w:style>
  <w:style w:type="character" w:customStyle="1" w:styleId="tw4winMark">
    <w:name w:val="tw4winMark"/>
    <w:rsid w:val="00BF4FF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F4FF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F4FFF"/>
    <w:rPr>
      <w:color w:val="0000FF"/>
    </w:rPr>
  </w:style>
  <w:style w:type="character" w:customStyle="1" w:styleId="tw4winPopup">
    <w:name w:val="tw4winPopup"/>
    <w:rsid w:val="00BF4FF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F4FF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F4FF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F4FF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F4FFF"/>
    <w:rPr>
      <w:rFonts w:ascii="Courier New" w:hAnsi="Courier New" w:cs="Courier New"/>
      <w:noProof/>
      <w:color w:val="800000"/>
    </w:rPr>
  </w:style>
  <w:style w:type="paragraph" w:styleId="PlainText">
    <w:name w:val="Plain Text"/>
    <w:basedOn w:val="Normal"/>
    <w:link w:val="PlainTextChar"/>
    <w:rsid w:val="00BF4FFF"/>
    <w:rPr>
      <w:rFonts w:ascii="Courier New" w:eastAsia="Times New Roman" w:hAnsi="Courier New" w:cs="Courier New"/>
      <w:sz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BF4FFF"/>
    <w:rPr>
      <w:rFonts w:ascii="Courier New" w:hAnsi="Courier New" w:cs="Courier New"/>
      <w:sz w:val="20"/>
      <w:lang w:val="fr-FR" w:eastAsia="fr-FR"/>
    </w:rPr>
  </w:style>
  <w:style w:type="paragraph" w:customStyle="1" w:styleId="CarCarCarCarCarCarCarCarCar">
    <w:name w:val="Car Car Car Car Car Car Car Car Car"/>
    <w:basedOn w:val="Normal"/>
    <w:rsid w:val="00BF4FFF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CorpsdetexteCar">
    <w:name w:val="Corps de texte Car"/>
    <w:basedOn w:val="DefaultParagraphFont"/>
    <w:rsid w:val="00BF4FFF"/>
    <w:rPr>
      <w:rFonts w:ascii="Arial" w:hAnsi="Arial"/>
      <w:szCs w:val="24"/>
      <w:lang w:val="fr-FR" w:eastAsia="en-GB" w:bidi="ar-SA"/>
    </w:rPr>
  </w:style>
  <w:style w:type="paragraph" w:customStyle="1" w:styleId="corpsdetexte">
    <w:name w:val="corps de texte"/>
    <w:basedOn w:val="Normal"/>
    <w:rsid w:val="00BF4FFF"/>
    <w:pPr>
      <w:ind w:right="7510"/>
      <w:jc w:val="both"/>
    </w:pPr>
    <w:rPr>
      <w:rFonts w:ascii="Arial" w:eastAsia="Times New Roman" w:hAnsi="Arial"/>
      <w:sz w:val="18"/>
      <w:szCs w:val="18"/>
      <w:lang w:val="fr-FR" w:eastAsia="en-GB"/>
    </w:rPr>
  </w:style>
  <w:style w:type="character" w:customStyle="1" w:styleId="corpsdetexteCar0">
    <w:name w:val="corps de texte Car"/>
    <w:basedOn w:val="DefaultParagraphFont"/>
    <w:rsid w:val="00BF4FFF"/>
    <w:rPr>
      <w:rFonts w:ascii="Arial" w:hAnsi="Arial"/>
      <w:sz w:val="18"/>
      <w:szCs w:val="18"/>
      <w:lang w:val="fr-FR" w:eastAsia="en-GB" w:bidi="ar-SA"/>
    </w:rPr>
  </w:style>
  <w:style w:type="paragraph" w:customStyle="1" w:styleId="1">
    <w:name w:val="1"/>
    <w:basedOn w:val="Normal"/>
    <w:rsid w:val="00BF4FFF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paragraph" w:customStyle="1" w:styleId="Note">
    <w:name w:val="Note"/>
    <w:basedOn w:val="BodyText"/>
    <w:rsid w:val="00BF4FFF"/>
    <w:pPr>
      <w:spacing w:before="60" w:after="0"/>
      <w:ind w:right="4649"/>
      <w:jc w:val="both"/>
    </w:pPr>
    <w:rPr>
      <w:rFonts w:ascii="Arial" w:eastAsia="Times New Roman" w:hAnsi="Arial" w:cs="Verdana"/>
      <w:i/>
      <w:sz w:val="16"/>
      <w:szCs w:val="16"/>
      <w:lang w:val="en-GB" w:eastAsia="en-GB" w:bidi="fr-FR"/>
    </w:rPr>
  </w:style>
  <w:style w:type="paragraph" w:customStyle="1" w:styleId="Bulletpoint">
    <w:name w:val="Bullet point"/>
    <w:basedOn w:val="BodyText"/>
    <w:rsid w:val="00BF4FFF"/>
    <w:pPr>
      <w:numPr>
        <w:numId w:val="6"/>
      </w:numPr>
      <w:spacing w:after="60"/>
      <w:ind w:right="4649"/>
      <w:jc w:val="both"/>
    </w:pPr>
    <w:rPr>
      <w:rFonts w:ascii="Arial" w:eastAsia="Times New Roman" w:hAnsi="Arial" w:cs="Verdana"/>
      <w:sz w:val="18"/>
      <w:szCs w:val="18"/>
      <w:lang w:val="fr-FR" w:eastAsia="en-GB" w:bidi="fr-FR"/>
    </w:rPr>
  </w:style>
  <w:style w:type="character" w:customStyle="1" w:styleId="BulletpointCar">
    <w:name w:val="Bullet point Car"/>
    <w:basedOn w:val="corpsdetexteCar0"/>
    <w:rsid w:val="00BF4FFF"/>
    <w:rPr>
      <w:rFonts w:ascii="Arial" w:hAnsi="Arial" w:cs="Verdana"/>
      <w:sz w:val="18"/>
      <w:szCs w:val="18"/>
      <w:lang w:val="fr-FR" w:eastAsia="en-GB" w:bidi="fr-FR"/>
    </w:rPr>
  </w:style>
  <w:style w:type="paragraph" w:customStyle="1" w:styleId="Titreinfo">
    <w:name w:val="Titre info"/>
    <w:basedOn w:val="BodyText"/>
    <w:next w:val="BodyText"/>
    <w:rsid w:val="00BF4FFF"/>
    <w:pPr>
      <w:keepNext/>
      <w:spacing w:after="60"/>
      <w:ind w:right="4649"/>
      <w:jc w:val="both"/>
    </w:pPr>
    <w:rPr>
      <w:rFonts w:ascii="Arial" w:eastAsia="Times New Roman" w:hAnsi="Arial" w:cs="Verdana"/>
      <w:b/>
      <w:color w:val="333399"/>
      <w:sz w:val="18"/>
      <w:szCs w:val="18"/>
      <w:lang w:val="fr-FR" w:eastAsia="en-GB" w:bidi="fr-FR"/>
    </w:rPr>
  </w:style>
  <w:style w:type="paragraph" w:customStyle="1" w:styleId="Titre4">
    <w:name w:val="Titre4"/>
    <w:basedOn w:val="Normal"/>
    <w:next w:val="BodyText"/>
    <w:rsid w:val="00BF4FFF"/>
    <w:pPr>
      <w:keepNext/>
      <w:spacing w:before="240" w:after="120"/>
      <w:ind w:right="4649"/>
    </w:pPr>
    <w:rPr>
      <w:rFonts w:ascii="Arial" w:eastAsia="Times New Roman" w:hAnsi="Arial"/>
      <w:b/>
      <w:bCs/>
      <w:color w:val="333399"/>
      <w:sz w:val="22"/>
      <w:lang w:val="fr-FR" w:eastAsia="en-GB"/>
    </w:rPr>
  </w:style>
  <w:style w:type="paragraph" w:customStyle="1" w:styleId="CarChar">
    <w:name w:val="Car Char"/>
    <w:basedOn w:val="Normal"/>
    <w:rsid w:val="00BF4FFF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numbering" w:customStyle="1" w:styleId="NoList1">
    <w:name w:val="No List1"/>
    <w:next w:val="NoList"/>
    <w:semiHidden/>
    <w:unhideWhenUsed/>
    <w:rsid w:val="00BF4FFF"/>
  </w:style>
  <w:style w:type="table" w:customStyle="1" w:styleId="TableGrid1">
    <w:name w:val="Table Grid1"/>
    <w:basedOn w:val="TableNormal"/>
    <w:next w:val="TableGrid"/>
    <w:rsid w:val="00BF4FFF"/>
    <w:rPr>
      <w:rFonts w:ascii="Times New Roman" w:eastAsia="MS Mincho" w:hAnsi="Times New Roman"/>
      <w:snapToGrid w:val="0"/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news1">
    <w:name w:val="summary_news1"/>
    <w:rsid w:val="00BF4FFF"/>
    <w:rPr>
      <w:rFonts w:ascii="Arial" w:hAnsi="Arial" w:cs="Arial" w:hint="default"/>
      <w:b w:val="0"/>
      <w:bCs w:val="0"/>
      <w:color w:val="666666"/>
      <w:sz w:val="21"/>
      <w:szCs w:val="21"/>
    </w:rPr>
  </w:style>
  <w:style w:type="paragraph" w:customStyle="1" w:styleId="Body1">
    <w:name w:val="Body 1"/>
    <w:rsid w:val="00D8177B"/>
    <w:pPr>
      <w:outlineLvl w:val="0"/>
    </w:pPr>
    <w:rPr>
      <w:rFonts w:ascii="Times New Roman" w:eastAsia="Arial Unicode MS" w:hAnsi="Times New Roman"/>
      <w:color w:val="000000"/>
      <w:szCs w:val="20"/>
      <w:u w:color="000000"/>
    </w:rPr>
  </w:style>
  <w:style w:type="paragraph" w:styleId="List2">
    <w:name w:val="List 2"/>
    <w:basedOn w:val="Normal"/>
    <w:rsid w:val="00B527E0"/>
    <w:pPr>
      <w:numPr>
        <w:numId w:val="7"/>
      </w:numPr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elin.com/corporate/finance" TargetMode="External"/><Relationship Id="rId8" Type="http://schemas.openxmlformats.org/officeDocument/2006/relationships/hyperlink" Target="http://www.micheli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2844</Words>
  <Characters>16211</Characters>
  <Application>Microsoft Macintosh Word</Application>
  <DocSecurity>0</DocSecurity>
  <Lines>135</Lines>
  <Paragraphs>32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21" baseType="lpstr">
      <vt:lpstr/>
      <vt:lpstr>INFORMACIÓN DE PRENSA 11/02/2014</vt:lpstr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19908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5</cp:revision>
  <cp:lastPrinted>2014-02-12T15:07:00Z</cp:lastPrinted>
  <dcterms:created xsi:type="dcterms:W3CDTF">2014-02-11T15:51:00Z</dcterms:created>
  <dcterms:modified xsi:type="dcterms:W3CDTF">2014-02-12T15:07:00Z</dcterms:modified>
</cp:coreProperties>
</file>