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61D17" w14:textId="552E4880" w:rsidR="00700DFB" w:rsidRPr="001829E7" w:rsidRDefault="009F7ED2">
      <w:pPr>
        <w:pStyle w:val="Cuerpo"/>
        <w:keepNext/>
        <w:spacing w:after="230"/>
        <w:jc w:val="right"/>
        <w:outlineLvl w:val="0"/>
        <w:rPr>
          <w:b/>
          <w:bCs/>
          <w:color w:val="808080"/>
          <w:u w:color="808080"/>
        </w:rPr>
      </w:pPr>
      <w:r w:rsidRPr="001829E7">
        <w:rPr>
          <w:b/>
          <w:bCs/>
          <w:color w:val="808080"/>
          <w:u w:color="808080"/>
        </w:rPr>
        <w:t>INFORMACIÓN DE PRENSA</w:t>
      </w:r>
      <w:r w:rsidRPr="001829E7">
        <w:rPr>
          <w:b/>
          <w:bCs/>
          <w:color w:val="808080"/>
          <w:u w:color="808080"/>
        </w:rPr>
        <w:br/>
      </w:r>
      <w:r w:rsidR="00865F8A">
        <w:rPr>
          <w:color w:val="808080"/>
          <w:u w:color="808080"/>
        </w:rPr>
        <w:fldChar w:fldCharType="begin"/>
      </w:r>
      <w:r w:rsidR="00865F8A">
        <w:rPr>
          <w:color w:val="808080"/>
          <w:u w:color="808080"/>
        </w:rPr>
        <w:instrText xml:space="preserve"> TIME \@ "d/M/yyyy" </w:instrText>
      </w:r>
      <w:r w:rsidR="00865F8A">
        <w:rPr>
          <w:color w:val="808080"/>
          <w:u w:color="808080"/>
        </w:rPr>
        <w:fldChar w:fldCharType="separate"/>
      </w:r>
      <w:r w:rsidR="00826388">
        <w:rPr>
          <w:noProof/>
          <w:color w:val="808080"/>
          <w:u w:color="808080"/>
        </w:rPr>
        <w:t>11/2/2015</w:t>
      </w:r>
      <w:r w:rsidR="00865F8A">
        <w:rPr>
          <w:color w:val="808080"/>
          <w:u w:color="808080"/>
        </w:rPr>
        <w:fldChar w:fldCharType="end"/>
      </w:r>
    </w:p>
    <w:p w14:paraId="07D6F4D1" w14:textId="77777777" w:rsidR="00700DFB" w:rsidRPr="001829E7" w:rsidRDefault="00700DFB">
      <w:pPr>
        <w:pStyle w:val="TITULARMICHELIN"/>
        <w:spacing w:after="230"/>
        <w:rPr>
          <w:rFonts w:ascii="Arial" w:eastAsia="Arial" w:hAnsi="Arial" w:cs="Arial"/>
        </w:rPr>
      </w:pPr>
    </w:p>
    <w:p w14:paraId="5C7ABA42" w14:textId="77777777" w:rsidR="00700DFB" w:rsidRPr="001829E7" w:rsidRDefault="009F7ED2">
      <w:pPr>
        <w:pStyle w:val="Cuerpo"/>
        <w:spacing w:after="120" w:line="360" w:lineRule="exact"/>
        <w:rPr>
          <w:b/>
          <w:bCs/>
          <w:color w:val="365F91"/>
          <w:sz w:val="28"/>
          <w:szCs w:val="28"/>
          <w:u w:color="365F91"/>
        </w:rPr>
      </w:pPr>
      <w:r w:rsidRPr="001829E7">
        <w:rPr>
          <w:b/>
          <w:bCs/>
          <w:color w:val="333399"/>
          <w:sz w:val="40"/>
          <w:szCs w:val="40"/>
          <w:u w:color="333399"/>
        </w:rPr>
        <w:t xml:space="preserve">Resultados financieros del Grupo Michelin </w:t>
      </w:r>
      <w:r w:rsidRPr="001829E7">
        <w:rPr>
          <w:b/>
          <w:bCs/>
          <w:color w:val="333399"/>
          <w:sz w:val="40"/>
          <w:szCs w:val="40"/>
          <w:u w:color="333399"/>
        </w:rPr>
        <w:br/>
      </w:r>
      <w:r w:rsidRPr="001829E7">
        <w:rPr>
          <w:b/>
          <w:bCs/>
          <w:color w:val="365F91"/>
          <w:sz w:val="28"/>
          <w:szCs w:val="28"/>
          <w:u w:color="365F91"/>
        </w:rPr>
        <w:t>Información financiera correspondiente al 31 de diciembre de 2014</w:t>
      </w:r>
    </w:p>
    <w:p w14:paraId="6B4868FD" w14:textId="77777777" w:rsidR="00700DFB" w:rsidRPr="001829E7" w:rsidRDefault="00700DFB">
      <w:pPr>
        <w:pStyle w:val="Cuerpo"/>
        <w:jc w:val="center"/>
        <w:rPr>
          <w:rFonts w:ascii="Verdana" w:eastAsia="Verdana" w:hAnsi="Verdana" w:cs="Verdana"/>
          <w:b/>
          <w:bCs/>
          <w:sz w:val="18"/>
          <w:szCs w:val="18"/>
        </w:rPr>
      </w:pPr>
    </w:p>
    <w:p w14:paraId="53F0AB25" w14:textId="77777777" w:rsidR="00700DFB" w:rsidRPr="001829E7" w:rsidRDefault="009F7ED2">
      <w:pPr>
        <w:pStyle w:val="Cuerpo"/>
        <w:pBdr>
          <w:top w:val="single" w:sz="4" w:space="0" w:color="000000"/>
          <w:left w:val="single" w:sz="4" w:space="0" w:color="000000"/>
          <w:bottom w:val="single" w:sz="4" w:space="0" w:color="000000"/>
          <w:right w:val="single" w:sz="4" w:space="0" w:color="000000"/>
        </w:pBdr>
        <w:spacing w:after="120"/>
        <w:jc w:val="center"/>
        <w:rPr>
          <w:rFonts w:ascii="Arial" w:eastAsia="Arial" w:hAnsi="Arial" w:cs="Arial"/>
          <w:b/>
          <w:bCs/>
          <w:sz w:val="22"/>
          <w:szCs w:val="22"/>
        </w:rPr>
      </w:pPr>
      <w:r w:rsidRPr="001829E7">
        <w:rPr>
          <w:rFonts w:ascii="Arial" w:hAnsi="Arial"/>
          <w:b/>
          <w:bCs/>
          <w:sz w:val="22"/>
          <w:szCs w:val="22"/>
          <w:u w:val="single"/>
        </w:rPr>
        <w:t>2014</w:t>
      </w:r>
      <w:r w:rsidRPr="001829E7">
        <w:rPr>
          <w:rFonts w:ascii="Arial" w:hAnsi="Arial"/>
          <w:b/>
          <w:bCs/>
          <w:sz w:val="22"/>
          <w:szCs w:val="22"/>
        </w:rPr>
        <w:t xml:space="preserve">: Fuerte generación de </w:t>
      </w:r>
      <w:r w:rsidRPr="001829E7">
        <w:rPr>
          <w:rFonts w:ascii="Arial" w:hAnsi="Arial"/>
          <w:b/>
          <w:bCs/>
          <w:i/>
          <w:iCs/>
          <w:sz w:val="22"/>
          <w:szCs w:val="22"/>
        </w:rPr>
        <w:t xml:space="preserve">cash </w:t>
      </w:r>
      <w:proofErr w:type="spellStart"/>
      <w:r w:rsidRPr="001829E7">
        <w:rPr>
          <w:rFonts w:ascii="Arial" w:hAnsi="Arial"/>
          <w:b/>
          <w:bCs/>
          <w:i/>
          <w:iCs/>
          <w:sz w:val="22"/>
          <w:szCs w:val="22"/>
        </w:rPr>
        <w:t>flow</w:t>
      </w:r>
      <w:proofErr w:type="spellEnd"/>
      <w:r w:rsidRPr="001829E7">
        <w:rPr>
          <w:rFonts w:ascii="Arial" w:hAnsi="Arial"/>
          <w:b/>
          <w:bCs/>
          <w:i/>
          <w:iCs/>
          <w:sz w:val="22"/>
          <w:szCs w:val="22"/>
        </w:rPr>
        <w:t xml:space="preserve"> </w:t>
      </w:r>
      <w:r w:rsidRPr="001829E7">
        <w:rPr>
          <w:rFonts w:ascii="Arial" w:hAnsi="Arial"/>
          <w:b/>
          <w:bCs/>
          <w:sz w:val="22"/>
          <w:szCs w:val="22"/>
        </w:rPr>
        <w:t xml:space="preserve">libre </w:t>
      </w:r>
      <w:r w:rsidRPr="001829E7">
        <w:rPr>
          <w:rFonts w:ascii="Arial" w:hAnsi="Arial"/>
          <w:b/>
          <w:bCs/>
          <w:sz w:val="22"/>
          <w:szCs w:val="22"/>
        </w:rPr>
        <w:br/>
        <w:t>de 722 millones de euros.</w:t>
      </w:r>
    </w:p>
    <w:p w14:paraId="52E28062" w14:textId="77777777" w:rsidR="00700DFB" w:rsidRPr="001829E7" w:rsidRDefault="009F7ED2">
      <w:pPr>
        <w:pStyle w:val="Cuerpo"/>
        <w:pBdr>
          <w:top w:val="single" w:sz="4" w:space="0" w:color="000000"/>
          <w:left w:val="single" w:sz="4" w:space="0" w:color="000000"/>
          <w:bottom w:val="single" w:sz="4" w:space="0" w:color="000000"/>
          <w:right w:val="single" w:sz="4" w:space="0" w:color="000000"/>
        </w:pBdr>
        <w:spacing w:after="120"/>
        <w:jc w:val="center"/>
        <w:rPr>
          <w:rFonts w:ascii="Arial" w:eastAsia="Arial" w:hAnsi="Arial" w:cs="Arial"/>
          <w:b/>
          <w:bCs/>
          <w:sz w:val="22"/>
          <w:szCs w:val="22"/>
          <w:u w:val="single"/>
        </w:rPr>
      </w:pPr>
      <w:r w:rsidRPr="001829E7">
        <w:rPr>
          <w:rFonts w:ascii="Arial" w:hAnsi="Arial"/>
          <w:b/>
          <w:bCs/>
          <w:sz w:val="22"/>
          <w:szCs w:val="22"/>
        </w:rPr>
        <w:t xml:space="preserve">Sólido resultado operativo antes de elementos no recurrentes 2.170 millones </w:t>
      </w:r>
      <w:r w:rsidR="00BD1C8B" w:rsidRPr="001829E7">
        <w:rPr>
          <w:rFonts w:ascii="Arial" w:hAnsi="Arial"/>
          <w:b/>
          <w:bCs/>
          <w:sz w:val="22"/>
          <w:szCs w:val="22"/>
        </w:rPr>
        <w:br/>
      </w:r>
      <w:r w:rsidRPr="001829E7">
        <w:rPr>
          <w:rFonts w:ascii="Arial" w:hAnsi="Arial"/>
          <w:b/>
          <w:bCs/>
          <w:sz w:val="22"/>
          <w:szCs w:val="22"/>
        </w:rPr>
        <w:t xml:space="preserve">de euros, es decir, un aumento de 81 millones con perímetro de consolidación </w:t>
      </w:r>
      <w:r w:rsidR="00BD1C8B" w:rsidRPr="001829E7">
        <w:rPr>
          <w:rFonts w:ascii="Arial" w:hAnsi="Arial"/>
          <w:b/>
          <w:bCs/>
          <w:sz w:val="22"/>
          <w:szCs w:val="22"/>
        </w:rPr>
        <w:br/>
      </w:r>
      <w:r w:rsidRPr="001829E7">
        <w:rPr>
          <w:rFonts w:ascii="Arial" w:hAnsi="Arial"/>
          <w:b/>
          <w:bCs/>
          <w:sz w:val="22"/>
          <w:szCs w:val="22"/>
        </w:rPr>
        <w:t>y tasa de cambio constantes.</w:t>
      </w:r>
    </w:p>
    <w:p w14:paraId="5664168D" w14:textId="77777777" w:rsidR="00700DFB" w:rsidRPr="001829E7" w:rsidRDefault="009F7ED2">
      <w:pPr>
        <w:pStyle w:val="Cuerpo"/>
        <w:pBdr>
          <w:top w:val="single" w:sz="4" w:space="0" w:color="000000"/>
          <w:left w:val="single" w:sz="4" w:space="0" w:color="000000"/>
          <w:bottom w:val="single" w:sz="4" w:space="0" w:color="000000"/>
          <w:right w:val="single" w:sz="4" w:space="0" w:color="000000"/>
        </w:pBdr>
        <w:spacing w:after="120"/>
        <w:jc w:val="center"/>
        <w:rPr>
          <w:rFonts w:ascii="Arial" w:eastAsia="Arial" w:hAnsi="Arial" w:cs="Arial"/>
          <w:b/>
          <w:bCs/>
          <w:sz w:val="22"/>
          <w:szCs w:val="22"/>
          <w:u w:val="single"/>
        </w:rPr>
      </w:pPr>
      <w:r w:rsidRPr="001829E7">
        <w:rPr>
          <w:rFonts w:ascii="Arial" w:hAnsi="Arial"/>
          <w:b/>
          <w:bCs/>
          <w:sz w:val="22"/>
          <w:szCs w:val="22"/>
          <w:u w:val="single"/>
        </w:rPr>
        <w:t>2015:</w:t>
      </w:r>
      <w:r w:rsidRPr="001829E7">
        <w:rPr>
          <w:rFonts w:ascii="Arial" w:hAnsi="Arial"/>
          <w:b/>
          <w:bCs/>
          <w:sz w:val="22"/>
          <w:szCs w:val="22"/>
        </w:rPr>
        <w:t xml:space="preserve"> Crecimiento en línea con los mercados.</w:t>
      </w:r>
    </w:p>
    <w:p w14:paraId="58C20F17" w14:textId="77777777" w:rsidR="00700DFB" w:rsidRPr="001829E7" w:rsidRDefault="00700DFB">
      <w:pPr>
        <w:pStyle w:val="Cuerpo"/>
        <w:spacing w:after="120" w:line="240" w:lineRule="atLeast"/>
        <w:rPr>
          <w:b/>
          <w:bCs/>
          <w:i/>
          <w:iCs/>
          <w:sz w:val="25"/>
          <w:szCs w:val="25"/>
        </w:rPr>
      </w:pPr>
    </w:p>
    <w:p w14:paraId="27C9C677" w14:textId="77777777" w:rsidR="00700DFB" w:rsidRPr="001829E7" w:rsidRDefault="009F7ED2" w:rsidP="00D5131A">
      <w:pPr>
        <w:pStyle w:val="Cuerpo"/>
        <w:numPr>
          <w:ilvl w:val="0"/>
          <w:numId w:val="1"/>
        </w:numPr>
        <w:tabs>
          <w:tab w:val="left" w:pos="360"/>
        </w:tabs>
        <w:spacing w:after="120" w:line="240" w:lineRule="atLeast"/>
        <w:ind w:left="346" w:hanging="346"/>
        <w:rPr>
          <w:rFonts w:ascii="Times New Roman" w:eastAsia="Times New Roman" w:hAnsi="Times New Roman" w:cs="Times New Roman"/>
          <w:b/>
          <w:bCs/>
          <w:i/>
          <w:iCs/>
        </w:rPr>
      </w:pPr>
      <w:r w:rsidRPr="001829E7">
        <w:rPr>
          <w:b/>
          <w:bCs/>
          <w:i/>
          <w:iCs/>
          <w:sz w:val="25"/>
          <w:szCs w:val="25"/>
        </w:rPr>
        <w:t xml:space="preserve">Mercados con poco desarrollo, con </w:t>
      </w:r>
      <w:r w:rsidR="00BD1C8B" w:rsidRPr="001829E7">
        <w:rPr>
          <w:b/>
          <w:bCs/>
          <w:i/>
          <w:iCs/>
          <w:sz w:val="25"/>
          <w:szCs w:val="25"/>
        </w:rPr>
        <w:t>excepción</w:t>
      </w:r>
      <w:r w:rsidRPr="001829E7">
        <w:rPr>
          <w:b/>
          <w:bCs/>
          <w:i/>
          <w:iCs/>
          <w:sz w:val="25"/>
          <w:szCs w:val="25"/>
        </w:rPr>
        <w:t xml:space="preserve"> de </w:t>
      </w:r>
      <w:r w:rsidR="00BD1C8B" w:rsidRPr="001829E7">
        <w:rPr>
          <w:b/>
          <w:bCs/>
          <w:i/>
          <w:iCs/>
          <w:sz w:val="25"/>
          <w:szCs w:val="25"/>
        </w:rPr>
        <w:t>América</w:t>
      </w:r>
      <w:r w:rsidRPr="001829E7">
        <w:rPr>
          <w:b/>
          <w:bCs/>
          <w:i/>
          <w:iCs/>
          <w:sz w:val="25"/>
          <w:szCs w:val="25"/>
        </w:rPr>
        <w:t xml:space="preserve"> del Norte y China.</w:t>
      </w:r>
    </w:p>
    <w:p w14:paraId="02CF864C" w14:textId="77777777" w:rsidR="00700DFB" w:rsidRPr="001829E7" w:rsidRDefault="009F7ED2" w:rsidP="00BD1C8B">
      <w:pPr>
        <w:pStyle w:val="Cuerpo"/>
        <w:numPr>
          <w:ilvl w:val="0"/>
          <w:numId w:val="56"/>
        </w:numPr>
        <w:spacing w:after="120" w:line="240" w:lineRule="atLeast"/>
        <w:ind w:left="851"/>
        <w:rPr>
          <w:rFonts w:ascii="Times New Roman" w:eastAsia="Times New Roman" w:hAnsi="Times New Roman" w:cs="Times New Roman"/>
          <w:b/>
          <w:bCs/>
          <w:i/>
          <w:iCs/>
        </w:rPr>
      </w:pPr>
      <w:r w:rsidRPr="001829E7">
        <w:rPr>
          <w:b/>
          <w:bCs/>
          <w:i/>
          <w:iCs/>
          <w:sz w:val="25"/>
          <w:szCs w:val="25"/>
        </w:rPr>
        <w:t>Ralentización de la demanda en Turismo Camioneta y Camión, en Europa en el segmento de invierno, así como en Primer equipo en mercados nuevos, excepto en China.</w:t>
      </w:r>
    </w:p>
    <w:p w14:paraId="6E5FB486" w14:textId="77777777" w:rsidR="00700DFB" w:rsidRPr="001829E7" w:rsidRDefault="009F7ED2" w:rsidP="00BD1C8B">
      <w:pPr>
        <w:pStyle w:val="Cuerpo"/>
        <w:numPr>
          <w:ilvl w:val="0"/>
          <w:numId w:val="56"/>
        </w:numPr>
        <w:tabs>
          <w:tab w:val="left" w:pos="851"/>
          <w:tab w:val="left" w:pos="1080"/>
        </w:tabs>
        <w:spacing w:after="120" w:line="240" w:lineRule="atLeast"/>
        <w:ind w:left="851"/>
        <w:rPr>
          <w:rFonts w:ascii="Times New Roman" w:eastAsia="Times New Roman" w:hAnsi="Times New Roman" w:cs="Times New Roman"/>
          <w:b/>
          <w:bCs/>
          <w:i/>
          <w:iCs/>
        </w:rPr>
      </w:pPr>
      <w:r w:rsidRPr="001829E7">
        <w:rPr>
          <w:b/>
          <w:bCs/>
          <w:i/>
          <w:iCs/>
          <w:sz w:val="25"/>
          <w:szCs w:val="25"/>
        </w:rPr>
        <w:t>Retroceso de los mercados Agrícola y de Minería, atenuado por la aceleración de la actividad de Ingeniería Civil en Primer equipo e Infraestructuras.</w:t>
      </w:r>
    </w:p>
    <w:p w14:paraId="689D6B3F" w14:textId="77777777" w:rsidR="00700DFB" w:rsidRPr="001829E7" w:rsidRDefault="009F7ED2" w:rsidP="00BD1C8B">
      <w:pPr>
        <w:pStyle w:val="Cuerpo"/>
        <w:numPr>
          <w:ilvl w:val="0"/>
          <w:numId w:val="56"/>
        </w:numPr>
        <w:tabs>
          <w:tab w:val="left" w:pos="851"/>
          <w:tab w:val="left" w:pos="1080"/>
        </w:tabs>
        <w:spacing w:after="120" w:line="240" w:lineRule="atLeast"/>
        <w:ind w:left="851"/>
        <w:rPr>
          <w:rFonts w:ascii="Times New Roman" w:eastAsia="Times New Roman" w:hAnsi="Times New Roman" w:cs="Times New Roman"/>
          <w:b/>
          <w:bCs/>
          <w:i/>
          <w:iCs/>
        </w:rPr>
      </w:pPr>
      <w:r w:rsidRPr="001829E7">
        <w:rPr>
          <w:b/>
          <w:bCs/>
          <w:i/>
          <w:iCs/>
          <w:sz w:val="25"/>
          <w:szCs w:val="25"/>
        </w:rPr>
        <w:t>Mantenimiento de un sólido crecimiento en América del Norte y China.</w:t>
      </w:r>
    </w:p>
    <w:p w14:paraId="7A28364F" w14:textId="77777777" w:rsidR="00700DFB" w:rsidRPr="001829E7" w:rsidRDefault="009F7ED2" w:rsidP="00D5131A">
      <w:pPr>
        <w:pStyle w:val="Cuerpo"/>
        <w:numPr>
          <w:ilvl w:val="0"/>
          <w:numId w:val="5"/>
        </w:numPr>
        <w:tabs>
          <w:tab w:val="left" w:pos="360"/>
        </w:tabs>
        <w:spacing w:after="120" w:line="240" w:lineRule="atLeast"/>
        <w:ind w:left="346" w:hanging="346"/>
        <w:rPr>
          <w:rFonts w:ascii="Times New Roman" w:eastAsia="Times New Roman" w:hAnsi="Times New Roman" w:cs="Times New Roman"/>
          <w:b/>
          <w:bCs/>
          <w:i/>
          <w:iCs/>
        </w:rPr>
      </w:pPr>
      <w:r w:rsidRPr="001829E7">
        <w:rPr>
          <w:b/>
          <w:bCs/>
          <w:i/>
          <w:iCs/>
          <w:sz w:val="25"/>
          <w:szCs w:val="25"/>
        </w:rPr>
        <w:t>En este contexto, ligera subida de los volúmenes de ventas (+ 0,7 %)</w:t>
      </w:r>
    </w:p>
    <w:p w14:paraId="73B88083" w14:textId="77777777" w:rsidR="00700DFB" w:rsidRPr="001829E7" w:rsidRDefault="009F7ED2" w:rsidP="001829E7">
      <w:pPr>
        <w:pStyle w:val="Cuerpo"/>
        <w:numPr>
          <w:ilvl w:val="0"/>
          <w:numId w:val="56"/>
        </w:numPr>
        <w:tabs>
          <w:tab w:val="left" w:pos="851"/>
          <w:tab w:val="left" w:pos="1080"/>
        </w:tabs>
        <w:spacing w:after="120" w:line="240" w:lineRule="atLeast"/>
        <w:ind w:left="851"/>
        <w:rPr>
          <w:b/>
          <w:bCs/>
          <w:i/>
          <w:iCs/>
          <w:sz w:val="25"/>
          <w:szCs w:val="25"/>
        </w:rPr>
      </w:pPr>
      <w:r w:rsidRPr="001829E7">
        <w:rPr>
          <w:b/>
          <w:bCs/>
          <w:i/>
          <w:iCs/>
          <w:sz w:val="25"/>
          <w:szCs w:val="25"/>
        </w:rPr>
        <w:t xml:space="preserve">Crecimiento de la marca MICHELIN en línea con los mercados. </w:t>
      </w:r>
    </w:p>
    <w:p w14:paraId="08271FB3" w14:textId="77777777" w:rsidR="00700DFB" w:rsidRPr="001829E7" w:rsidRDefault="009F7ED2" w:rsidP="001829E7">
      <w:pPr>
        <w:pStyle w:val="Cuerpo"/>
        <w:numPr>
          <w:ilvl w:val="0"/>
          <w:numId w:val="56"/>
        </w:numPr>
        <w:tabs>
          <w:tab w:val="left" w:pos="851"/>
          <w:tab w:val="left" w:pos="1080"/>
        </w:tabs>
        <w:spacing w:after="120" w:line="240" w:lineRule="atLeast"/>
        <w:ind w:left="851"/>
        <w:rPr>
          <w:b/>
          <w:bCs/>
          <w:i/>
          <w:iCs/>
          <w:sz w:val="25"/>
          <w:szCs w:val="25"/>
        </w:rPr>
      </w:pPr>
      <w:r w:rsidRPr="001829E7">
        <w:rPr>
          <w:b/>
          <w:bCs/>
          <w:i/>
          <w:iCs/>
          <w:sz w:val="25"/>
          <w:szCs w:val="25"/>
        </w:rPr>
        <w:t xml:space="preserve">Volúmenes de Especialidades casi estables, a pesar de la bajada del mercado de Minería y del segmento Agrícola. </w:t>
      </w:r>
    </w:p>
    <w:p w14:paraId="5FF7BE1D" w14:textId="77777777" w:rsidR="00700DFB" w:rsidRPr="001829E7" w:rsidRDefault="009F7ED2" w:rsidP="00D5131A">
      <w:pPr>
        <w:pStyle w:val="Cuerpo"/>
        <w:numPr>
          <w:ilvl w:val="0"/>
          <w:numId w:val="8"/>
        </w:numPr>
        <w:tabs>
          <w:tab w:val="left" w:pos="360"/>
        </w:tabs>
        <w:spacing w:after="120" w:line="240" w:lineRule="atLeast"/>
        <w:ind w:left="346" w:hanging="346"/>
        <w:rPr>
          <w:rFonts w:ascii="Times New Roman" w:eastAsia="Times New Roman" w:hAnsi="Times New Roman" w:cs="Times New Roman"/>
          <w:b/>
          <w:bCs/>
          <w:i/>
          <w:iCs/>
        </w:rPr>
      </w:pPr>
      <w:r w:rsidRPr="001829E7">
        <w:rPr>
          <w:b/>
          <w:bCs/>
          <w:i/>
          <w:iCs/>
          <w:sz w:val="25"/>
          <w:szCs w:val="25"/>
        </w:rPr>
        <w:t xml:space="preserve">El efecto positivo del mix/materias primas en 118 millones de euros, como se esperaba. </w:t>
      </w:r>
    </w:p>
    <w:p w14:paraId="3E453F31" w14:textId="77777777" w:rsidR="00700DFB" w:rsidRPr="001829E7" w:rsidRDefault="009F7ED2" w:rsidP="00D5131A">
      <w:pPr>
        <w:pStyle w:val="Cuerpo"/>
        <w:numPr>
          <w:ilvl w:val="0"/>
          <w:numId w:val="9"/>
        </w:numPr>
        <w:tabs>
          <w:tab w:val="left" w:pos="360"/>
        </w:tabs>
        <w:spacing w:after="120" w:line="240" w:lineRule="atLeast"/>
        <w:ind w:left="346" w:hanging="346"/>
        <w:rPr>
          <w:rFonts w:ascii="Times New Roman" w:eastAsia="Times New Roman" w:hAnsi="Times New Roman" w:cs="Times New Roman"/>
          <w:b/>
          <w:bCs/>
          <w:i/>
          <w:iCs/>
        </w:rPr>
      </w:pPr>
      <w:r w:rsidRPr="001829E7">
        <w:rPr>
          <w:b/>
          <w:bCs/>
          <w:i/>
          <w:iCs/>
          <w:sz w:val="25"/>
          <w:szCs w:val="25"/>
        </w:rPr>
        <w:t>El plan de competitividad permite asumir la inflación de los costes de producción y los gastos generales.</w:t>
      </w:r>
    </w:p>
    <w:p w14:paraId="019620C8" w14:textId="77777777" w:rsidR="00700DFB" w:rsidRPr="001829E7" w:rsidRDefault="009F7ED2" w:rsidP="00D5131A">
      <w:pPr>
        <w:pStyle w:val="Cuerpo"/>
        <w:numPr>
          <w:ilvl w:val="0"/>
          <w:numId w:val="10"/>
        </w:numPr>
        <w:tabs>
          <w:tab w:val="left" w:pos="360"/>
        </w:tabs>
        <w:spacing w:after="120" w:line="240" w:lineRule="atLeast"/>
        <w:ind w:left="346" w:hanging="346"/>
        <w:rPr>
          <w:rFonts w:ascii="Times New Roman" w:eastAsia="Times New Roman" w:hAnsi="Times New Roman" w:cs="Times New Roman"/>
          <w:b/>
          <w:bCs/>
          <w:i/>
          <w:iCs/>
        </w:rPr>
      </w:pPr>
      <w:r w:rsidRPr="001829E7">
        <w:rPr>
          <w:b/>
          <w:bCs/>
          <w:i/>
          <w:iCs/>
          <w:sz w:val="25"/>
          <w:szCs w:val="25"/>
        </w:rPr>
        <w:t xml:space="preserve">Fuerte generación de cash </w:t>
      </w:r>
      <w:proofErr w:type="spellStart"/>
      <w:r w:rsidRPr="001829E7">
        <w:rPr>
          <w:b/>
          <w:bCs/>
          <w:i/>
          <w:iCs/>
          <w:sz w:val="25"/>
          <w:szCs w:val="25"/>
        </w:rPr>
        <w:t>flow</w:t>
      </w:r>
      <w:proofErr w:type="spellEnd"/>
      <w:r w:rsidRPr="001829E7">
        <w:rPr>
          <w:b/>
          <w:bCs/>
          <w:i/>
          <w:iCs/>
          <w:sz w:val="25"/>
          <w:szCs w:val="25"/>
        </w:rPr>
        <w:t xml:space="preserve"> libre de 722 millones de euros, antes de la adquisición de </w:t>
      </w:r>
      <w:proofErr w:type="spellStart"/>
      <w:r w:rsidRPr="001829E7">
        <w:rPr>
          <w:b/>
          <w:bCs/>
          <w:i/>
          <w:iCs/>
          <w:sz w:val="25"/>
          <w:szCs w:val="25"/>
        </w:rPr>
        <w:t>Sascar</w:t>
      </w:r>
      <w:proofErr w:type="spellEnd"/>
      <w:r w:rsidRPr="001829E7">
        <w:rPr>
          <w:b/>
          <w:bCs/>
          <w:i/>
          <w:iCs/>
          <w:sz w:val="25"/>
          <w:szCs w:val="25"/>
        </w:rPr>
        <w:t xml:space="preserve"> (400 millones de euros) y con inversiones de 1.883 millones de euros.</w:t>
      </w:r>
    </w:p>
    <w:p w14:paraId="7774544C" w14:textId="77777777" w:rsidR="00700DFB" w:rsidRPr="001829E7" w:rsidRDefault="009F7ED2" w:rsidP="00D5131A">
      <w:pPr>
        <w:pStyle w:val="Cuerpo"/>
        <w:numPr>
          <w:ilvl w:val="0"/>
          <w:numId w:val="11"/>
        </w:numPr>
        <w:tabs>
          <w:tab w:val="left" w:pos="360"/>
        </w:tabs>
        <w:spacing w:after="120" w:line="240" w:lineRule="atLeast"/>
        <w:ind w:left="346" w:hanging="346"/>
        <w:rPr>
          <w:rFonts w:ascii="Times New Roman" w:eastAsia="Times New Roman" w:hAnsi="Times New Roman" w:cs="Times New Roman"/>
          <w:b/>
          <w:bCs/>
          <w:i/>
          <w:iCs/>
        </w:rPr>
      </w:pPr>
      <w:r w:rsidRPr="001829E7">
        <w:rPr>
          <w:b/>
          <w:bCs/>
          <w:i/>
          <w:iCs/>
          <w:sz w:val="25"/>
          <w:szCs w:val="25"/>
        </w:rPr>
        <w:t>Propuesta de un dividendo de 2,50 euros por acción, que se someterá a la aprobación de la Asamblea General de Accionistas del 22 de mayo de 2015, establecido en relación al año anterior y que refleja la confianza en el futuro del Grupo.</w:t>
      </w:r>
    </w:p>
    <w:p w14:paraId="44D2D7EE" w14:textId="77777777" w:rsidR="00700DFB" w:rsidRPr="001829E7" w:rsidRDefault="00700DFB">
      <w:pPr>
        <w:pStyle w:val="Cuerpo"/>
        <w:spacing w:after="120" w:line="240" w:lineRule="atLeast"/>
        <w:jc w:val="both"/>
        <w:rPr>
          <w:rFonts w:ascii="Arial" w:eastAsia="Arial" w:hAnsi="Arial" w:cs="Arial"/>
          <w:b/>
          <w:bCs/>
          <w:sz w:val="21"/>
          <w:szCs w:val="21"/>
        </w:rPr>
      </w:pPr>
    </w:p>
    <w:p w14:paraId="67B28F43" w14:textId="77777777" w:rsidR="00700DFB" w:rsidRPr="001829E7" w:rsidRDefault="00700DFB">
      <w:pPr>
        <w:pStyle w:val="Cuerpo"/>
        <w:spacing w:after="120" w:line="240" w:lineRule="atLeast"/>
        <w:jc w:val="both"/>
        <w:rPr>
          <w:b/>
          <w:bCs/>
          <w:i/>
          <w:iCs/>
          <w:sz w:val="25"/>
          <w:szCs w:val="25"/>
        </w:rPr>
      </w:pPr>
    </w:p>
    <w:p w14:paraId="482EFA52" w14:textId="77777777" w:rsidR="00700DFB" w:rsidRPr="001829E7" w:rsidRDefault="009F7ED2">
      <w:pPr>
        <w:pStyle w:val="Cuerpo"/>
        <w:spacing w:after="120" w:line="240" w:lineRule="atLeast"/>
        <w:jc w:val="both"/>
        <w:rPr>
          <w:b/>
          <w:bCs/>
          <w:i/>
          <w:iCs/>
          <w:sz w:val="25"/>
          <w:szCs w:val="25"/>
        </w:rPr>
      </w:pPr>
      <w:r w:rsidRPr="001829E7">
        <w:rPr>
          <w:b/>
          <w:bCs/>
          <w:i/>
          <w:iCs/>
          <w:sz w:val="25"/>
          <w:szCs w:val="25"/>
        </w:rPr>
        <w:lastRenderedPageBreak/>
        <w:t xml:space="preserve">Jean-Dominique </w:t>
      </w:r>
      <w:proofErr w:type="spellStart"/>
      <w:r w:rsidRPr="001829E7">
        <w:rPr>
          <w:b/>
          <w:bCs/>
          <w:i/>
          <w:iCs/>
          <w:sz w:val="25"/>
          <w:szCs w:val="25"/>
        </w:rPr>
        <w:t>Senard</w:t>
      </w:r>
      <w:proofErr w:type="spellEnd"/>
      <w:r w:rsidRPr="001829E7">
        <w:rPr>
          <w:b/>
          <w:bCs/>
          <w:i/>
          <w:iCs/>
          <w:sz w:val="25"/>
          <w:szCs w:val="25"/>
        </w:rPr>
        <w:t xml:space="preserve">, presidente del Grupo Michelin, ha declarado: ‘‘Los resultados del año 2014 confirman la solidez de los fundamentos del Grupo. En 2015, nuestra prioridad se establecerá en la aceleración de las palancas de crecimiento: los lanzamientos de nuevas gamas de la marca MICHELIN y una renovación de la oferta de otras marcas, una mejora neta de la calidad del servicio para nuestros clientes y una distribución más </w:t>
      </w:r>
      <w:r w:rsidRPr="008654ED">
        <w:rPr>
          <w:rFonts w:ascii="Times New Roman"/>
          <w:b/>
          <w:bCs/>
          <w:i/>
          <w:iCs/>
          <w:color w:val="auto"/>
          <w:sz w:val="25"/>
          <w:szCs w:val="25"/>
        </w:rPr>
        <w:t>agresiva</w:t>
      </w:r>
      <w:r w:rsidRPr="008654ED">
        <w:rPr>
          <w:b/>
          <w:bCs/>
          <w:i/>
          <w:iCs/>
          <w:color w:val="auto"/>
          <w:sz w:val="25"/>
          <w:szCs w:val="25"/>
        </w:rPr>
        <w:t>.</w:t>
      </w:r>
      <w:r w:rsidRPr="001829E7">
        <w:rPr>
          <w:b/>
          <w:bCs/>
          <w:i/>
          <w:iCs/>
          <w:sz w:val="25"/>
          <w:szCs w:val="25"/>
        </w:rPr>
        <w:t xml:space="preserve"> El plan de competitividad también se acelerará. El objetivo ahora es alcanzar ganancias acumuladas de 1.200 millones de euros en el periodo 2012-2016, contra los 1.000 millones previstos previamente”.</w:t>
      </w:r>
    </w:p>
    <w:p w14:paraId="4D45F4BA" w14:textId="77777777" w:rsidR="00700DFB" w:rsidRPr="001829E7" w:rsidRDefault="00700DFB">
      <w:pPr>
        <w:pStyle w:val="Cuerpo"/>
        <w:spacing w:after="120" w:line="240" w:lineRule="atLeast"/>
        <w:jc w:val="both"/>
        <w:rPr>
          <w:b/>
          <w:bCs/>
          <w:i/>
          <w:iCs/>
          <w:sz w:val="25"/>
          <w:szCs w:val="25"/>
        </w:rPr>
      </w:pPr>
    </w:p>
    <w:p w14:paraId="0FCA74B7" w14:textId="77777777" w:rsidR="00700DFB" w:rsidRPr="001829E7" w:rsidRDefault="009F7ED2">
      <w:pPr>
        <w:pStyle w:val="Cuerpo"/>
        <w:spacing w:after="240" w:line="270" w:lineRule="atLeast"/>
        <w:jc w:val="both"/>
        <w:rPr>
          <w:rFonts w:ascii="Arial" w:eastAsia="Arial" w:hAnsi="Arial" w:cs="Arial"/>
          <w:b/>
          <w:bCs/>
          <w:sz w:val="28"/>
          <w:szCs w:val="28"/>
        </w:rPr>
      </w:pPr>
      <w:r w:rsidRPr="001829E7">
        <w:rPr>
          <w:rFonts w:ascii="Arial"/>
          <w:b/>
          <w:bCs/>
          <w:sz w:val="28"/>
          <w:szCs w:val="28"/>
        </w:rPr>
        <w:t>Perspectivas para 2015</w:t>
      </w:r>
    </w:p>
    <w:p w14:paraId="64EC4E98" w14:textId="42BB2C37" w:rsidR="00700DFB" w:rsidRPr="00CC6C47" w:rsidRDefault="009F7ED2">
      <w:pPr>
        <w:pStyle w:val="TextoMichelin"/>
        <w:rPr>
          <w:rFonts w:hAnsi="Arial"/>
          <w:b/>
          <w:bCs/>
        </w:rPr>
      </w:pPr>
      <w:r w:rsidRPr="00CC6C47">
        <w:rPr>
          <w:rFonts w:hAnsi="Arial"/>
          <w:b/>
          <w:bCs/>
        </w:rPr>
        <w:t>En 2015, la demanda de neumáticos de Turismo Camioneta y Camión debería continuar creciendo en América del Norte y China, progresar ligeramente en Europa, mantenerse en los niveles observados en 2014 en los nuevos mercados y repuntar en el Sudeste asiático. Los clientes de neumáticos mineros deberían continuar reduciendo su stock, el segmento de neumáticos de Agrícola debería retroceder en Primer equipo, mientras que los de Ingeniería Civil e Infraestructura en Primer equipo deberían crecer ligeramente.</w:t>
      </w:r>
    </w:p>
    <w:p w14:paraId="58900D4F" w14:textId="77777777" w:rsidR="00700DFB" w:rsidRPr="00CC6C47" w:rsidRDefault="009F7ED2">
      <w:pPr>
        <w:pStyle w:val="TextoMichelin"/>
        <w:rPr>
          <w:rFonts w:hAnsi="Arial"/>
          <w:b/>
          <w:bCs/>
        </w:rPr>
      </w:pPr>
      <w:r w:rsidRPr="00CC6C47">
        <w:rPr>
          <w:rFonts w:hAnsi="Arial"/>
          <w:b/>
          <w:bCs/>
        </w:rPr>
        <w:t xml:space="preserve">En esta coyuntura, Michelin tiene como objetivo un crecimiento de los volúmenes en línea con la evolución mundial de los mercados en los que opera. El Grupo se fija también como objetivo para 2015 un resultado operativo antes de elementos no recurrentes en crecimiento más allá del efecto del cambio, una rentabilidad de los capitales empleados superior al 11 % y la generación de un </w:t>
      </w:r>
      <w:r w:rsidRPr="009B7D6D">
        <w:rPr>
          <w:rFonts w:hAnsi="Arial"/>
          <w:b/>
          <w:bCs/>
          <w:i/>
        </w:rPr>
        <w:t xml:space="preserve">cash </w:t>
      </w:r>
      <w:proofErr w:type="spellStart"/>
      <w:r w:rsidRPr="009B7D6D">
        <w:rPr>
          <w:rFonts w:hAnsi="Arial"/>
          <w:b/>
          <w:bCs/>
          <w:i/>
        </w:rPr>
        <w:t>flow</w:t>
      </w:r>
      <w:proofErr w:type="spellEnd"/>
      <w:r w:rsidRPr="00CC6C47">
        <w:rPr>
          <w:rFonts w:hAnsi="Arial"/>
          <w:b/>
          <w:bCs/>
        </w:rPr>
        <w:t xml:space="preserve"> libre estructural de alrededor de 700 millones de euros, en paralelo a un programa de inversiones de entre 1.700 y 1.800 millones de euros. </w:t>
      </w:r>
    </w:p>
    <w:p w14:paraId="295B85B7" w14:textId="77777777" w:rsidR="00700DFB" w:rsidRPr="001829E7" w:rsidRDefault="00700DFB">
      <w:pPr>
        <w:pStyle w:val="TextoMichelin"/>
        <w:rPr>
          <w:b/>
          <w:bCs/>
        </w:rPr>
      </w:pPr>
    </w:p>
    <w:p w14:paraId="3725742E" w14:textId="77777777" w:rsidR="00700DFB" w:rsidRPr="001829E7" w:rsidRDefault="00700DFB">
      <w:pPr>
        <w:pStyle w:val="TextoMichelin"/>
        <w:rPr>
          <w:b/>
          <w:bCs/>
        </w:rPr>
      </w:pPr>
    </w:p>
    <w:p w14:paraId="32E6D31E" w14:textId="77777777" w:rsidR="00700DFB" w:rsidRPr="001829E7" w:rsidRDefault="00700DFB">
      <w:pPr>
        <w:pStyle w:val="TextoMichelin"/>
        <w:rPr>
          <w:b/>
          <w:bCs/>
        </w:rPr>
      </w:pPr>
    </w:p>
    <w:p w14:paraId="5C3DE789" w14:textId="77777777" w:rsidR="00700DFB" w:rsidRPr="001829E7" w:rsidRDefault="00700DFB">
      <w:pPr>
        <w:pStyle w:val="TextoMichelin"/>
        <w:rPr>
          <w:b/>
          <w:bCs/>
        </w:rPr>
      </w:pPr>
    </w:p>
    <w:p w14:paraId="4DE8511B" w14:textId="77777777" w:rsidR="00700DFB" w:rsidRPr="001829E7" w:rsidRDefault="00700DFB">
      <w:pPr>
        <w:pStyle w:val="TextoMichelin"/>
        <w:rPr>
          <w:b/>
          <w:bCs/>
        </w:rPr>
      </w:pPr>
    </w:p>
    <w:p w14:paraId="647C4695" w14:textId="77777777" w:rsidR="00700DFB" w:rsidRPr="001829E7" w:rsidRDefault="00700DFB">
      <w:pPr>
        <w:pStyle w:val="TextoMichelin"/>
        <w:rPr>
          <w:b/>
          <w:bCs/>
        </w:rPr>
      </w:pPr>
    </w:p>
    <w:p w14:paraId="0EACB0CD" w14:textId="77777777" w:rsidR="00700DFB" w:rsidRPr="001829E7" w:rsidRDefault="00700DFB">
      <w:pPr>
        <w:pStyle w:val="TextoMichelin"/>
        <w:rPr>
          <w:b/>
          <w:bCs/>
        </w:rPr>
      </w:pPr>
    </w:p>
    <w:p w14:paraId="120766D1" w14:textId="77777777" w:rsidR="00700DFB" w:rsidRPr="001829E7" w:rsidRDefault="00700DFB">
      <w:pPr>
        <w:pStyle w:val="TextoMichelin"/>
        <w:rPr>
          <w:b/>
          <w:bCs/>
        </w:rPr>
      </w:pPr>
    </w:p>
    <w:p w14:paraId="41001832" w14:textId="77777777" w:rsidR="00700DFB" w:rsidRPr="001829E7" w:rsidRDefault="00700DFB">
      <w:pPr>
        <w:pStyle w:val="TextoMichelin"/>
        <w:rPr>
          <w:b/>
          <w:bCs/>
        </w:rPr>
      </w:pPr>
    </w:p>
    <w:p w14:paraId="3BAD1FD0" w14:textId="77777777" w:rsidR="00700DFB" w:rsidRPr="001829E7" w:rsidRDefault="00700DFB">
      <w:pPr>
        <w:pStyle w:val="TextoMichelin"/>
        <w:rPr>
          <w:b/>
          <w:bCs/>
        </w:rPr>
      </w:pPr>
    </w:p>
    <w:p w14:paraId="7BAA4CBE" w14:textId="77777777" w:rsidR="00700DFB" w:rsidRPr="001829E7" w:rsidRDefault="00700DFB">
      <w:pPr>
        <w:pStyle w:val="TextoMichelin"/>
        <w:rPr>
          <w:b/>
          <w:bCs/>
        </w:rPr>
      </w:pPr>
    </w:p>
    <w:p w14:paraId="4F4F2197" w14:textId="77777777" w:rsidR="00700DFB" w:rsidRPr="001829E7" w:rsidRDefault="00700DFB">
      <w:pPr>
        <w:pStyle w:val="TextoMichelin"/>
        <w:widowControl w:val="0"/>
        <w:rPr>
          <w:b/>
          <w:bCs/>
        </w:rPr>
      </w:pPr>
    </w:p>
    <w:tbl>
      <w:tblPr>
        <w:tblStyle w:val="TableNormal"/>
        <w:tblW w:w="84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38"/>
        <w:gridCol w:w="2462"/>
        <w:gridCol w:w="2298"/>
      </w:tblGrid>
      <w:tr w:rsidR="00700DFB" w:rsidRPr="001829E7" w14:paraId="3F4D2B66" w14:textId="77777777" w:rsidTr="00AC69EC">
        <w:trPr>
          <w:trHeight w:val="331"/>
        </w:trPr>
        <w:tc>
          <w:tcPr>
            <w:tcW w:w="373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9C86E68" w14:textId="77777777" w:rsidR="00700DFB" w:rsidRPr="001829E7" w:rsidRDefault="009F7ED2">
            <w:pPr>
              <w:pStyle w:val="TextoMichelin"/>
              <w:jc w:val="center"/>
            </w:pPr>
            <w:r w:rsidRPr="001829E7">
              <w:rPr>
                <w:sz w:val="20"/>
                <w:szCs w:val="20"/>
              </w:rPr>
              <w:lastRenderedPageBreak/>
              <w:t>(EN MILLONES DE EUROS)</w:t>
            </w:r>
          </w:p>
        </w:tc>
        <w:tc>
          <w:tcPr>
            <w:tcW w:w="2462"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24BA732" w14:textId="77777777" w:rsidR="00700DFB" w:rsidRPr="00E47469" w:rsidRDefault="009F7ED2">
            <w:pPr>
              <w:pStyle w:val="Cuerpo"/>
              <w:tabs>
                <w:tab w:val="left" w:pos="360"/>
              </w:tabs>
              <w:jc w:val="center"/>
              <w:rPr>
                <w:rFonts w:ascii="Arial" w:hAnsi="Arial"/>
                <w:sz w:val="20"/>
                <w:szCs w:val="20"/>
              </w:rPr>
            </w:pPr>
            <w:r w:rsidRPr="00E47469">
              <w:rPr>
                <w:rFonts w:ascii="Arial" w:hAnsi="Arial"/>
                <w:sz w:val="20"/>
                <w:szCs w:val="20"/>
              </w:rPr>
              <w:t>2014</w:t>
            </w:r>
          </w:p>
        </w:tc>
        <w:tc>
          <w:tcPr>
            <w:tcW w:w="229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E7E5344" w14:textId="77777777" w:rsidR="00700DFB" w:rsidRPr="00E47469" w:rsidRDefault="009F7ED2">
            <w:pPr>
              <w:pStyle w:val="Cuerpo"/>
              <w:tabs>
                <w:tab w:val="left" w:pos="360"/>
              </w:tabs>
              <w:jc w:val="center"/>
              <w:rPr>
                <w:rFonts w:ascii="Arial" w:hAnsi="Arial"/>
                <w:sz w:val="20"/>
                <w:szCs w:val="20"/>
              </w:rPr>
            </w:pPr>
            <w:r w:rsidRPr="00E47469">
              <w:rPr>
                <w:rFonts w:ascii="Arial" w:hAnsi="Arial"/>
                <w:sz w:val="20"/>
                <w:szCs w:val="20"/>
              </w:rPr>
              <w:t>2013</w:t>
            </w:r>
          </w:p>
        </w:tc>
      </w:tr>
      <w:tr w:rsidR="00700DFB" w:rsidRPr="001829E7" w14:paraId="272F4228" w14:textId="77777777" w:rsidTr="00AC69EC">
        <w:trPr>
          <w:trHeight w:val="443"/>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6BDC7" w14:textId="77777777" w:rsidR="00700DFB" w:rsidRPr="001829E7" w:rsidRDefault="009F7ED2">
            <w:pPr>
              <w:pStyle w:val="TextoMichelin"/>
              <w:jc w:val="left"/>
            </w:pPr>
            <w:r w:rsidRPr="001829E7">
              <w:rPr>
                <w:sz w:val="20"/>
                <w:szCs w:val="20"/>
              </w:rPr>
              <w:t>VENTAS NETAS</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B26F9" w14:textId="77777777" w:rsidR="00700DFB" w:rsidRPr="001829E7" w:rsidRDefault="00700DFB">
            <w:pPr>
              <w:pStyle w:val="Cuerpo"/>
              <w:tabs>
                <w:tab w:val="left" w:pos="360"/>
              </w:tabs>
              <w:jc w:val="center"/>
              <w:rPr>
                <w:rFonts w:ascii="Arial" w:eastAsia="Arial" w:hAnsi="Arial" w:cs="Arial"/>
                <w:sz w:val="20"/>
                <w:szCs w:val="20"/>
              </w:rPr>
            </w:pPr>
          </w:p>
          <w:p w14:paraId="2C831AB1" w14:textId="77777777" w:rsidR="00700DFB" w:rsidRPr="001829E7" w:rsidRDefault="009F7ED2">
            <w:pPr>
              <w:pStyle w:val="Cuerpo"/>
              <w:tabs>
                <w:tab w:val="left" w:pos="360"/>
              </w:tabs>
              <w:jc w:val="center"/>
            </w:pPr>
            <w:r w:rsidRPr="001829E7">
              <w:rPr>
                <w:rFonts w:ascii="Arial"/>
                <w:b/>
                <w:bCs/>
                <w:sz w:val="20"/>
                <w:szCs w:val="20"/>
              </w:rPr>
              <w:t>19.553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3B1EC" w14:textId="77777777" w:rsidR="00700DFB" w:rsidRPr="001829E7" w:rsidRDefault="00700DFB">
            <w:pPr>
              <w:pStyle w:val="Cuerpo"/>
              <w:tabs>
                <w:tab w:val="left" w:pos="360"/>
              </w:tabs>
              <w:jc w:val="center"/>
              <w:rPr>
                <w:rFonts w:ascii="Arial" w:eastAsia="Arial" w:hAnsi="Arial" w:cs="Arial"/>
                <w:sz w:val="20"/>
                <w:szCs w:val="20"/>
              </w:rPr>
            </w:pPr>
          </w:p>
          <w:p w14:paraId="6EED785C" w14:textId="77777777" w:rsidR="00700DFB" w:rsidRPr="001829E7" w:rsidRDefault="009F7ED2">
            <w:pPr>
              <w:pStyle w:val="Cuerpo"/>
              <w:tabs>
                <w:tab w:val="left" w:pos="360"/>
              </w:tabs>
              <w:jc w:val="center"/>
            </w:pPr>
            <w:r w:rsidRPr="001829E7">
              <w:rPr>
                <w:rFonts w:ascii="Arial"/>
                <w:b/>
                <w:bCs/>
                <w:sz w:val="20"/>
                <w:szCs w:val="20"/>
              </w:rPr>
              <w:t>20.247</w:t>
            </w:r>
          </w:p>
        </w:tc>
      </w:tr>
      <w:tr w:rsidR="00700DFB" w:rsidRPr="001829E7" w14:paraId="2469BF3B" w14:textId="77777777" w:rsidTr="00AC69EC">
        <w:trPr>
          <w:trHeight w:val="959"/>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9BF30" w14:textId="77777777" w:rsidR="00700DFB" w:rsidRPr="001829E7" w:rsidRDefault="009F7ED2">
            <w:pPr>
              <w:pStyle w:val="TextoMichelin"/>
              <w:jc w:val="left"/>
              <w:rPr>
                <w:sz w:val="20"/>
                <w:szCs w:val="20"/>
              </w:rPr>
            </w:pPr>
            <w:r w:rsidRPr="001829E7">
              <w:rPr>
                <w:sz w:val="20"/>
                <w:szCs w:val="20"/>
              </w:rPr>
              <w:t xml:space="preserve">RESULTADO OPERATIVO ANTES DE ELEMENTOS NO RECURRENTES </w:t>
            </w:r>
          </w:p>
          <w:p w14:paraId="1FF8794B" w14:textId="77777777" w:rsidR="00700DFB" w:rsidRPr="001829E7" w:rsidRDefault="009F7ED2">
            <w:pPr>
              <w:pStyle w:val="TextoMichelin"/>
              <w:jc w:val="right"/>
            </w:pPr>
            <w:r w:rsidRPr="001829E7">
              <w:rPr>
                <w:sz w:val="18"/>
                <w:szCs w:val="18"/>
              </w:rPr>
              <w:t xml:space="preserve">EFECTO </w:t>
            </w:r>
            <w:r w:rsidRPr="009B7D6D">
              <w:rPr>
                <w:color w:val="auto"/>
                <w:sz w:val="18"/>
                <w:szCs w:val="18"/>
              </w:rPr>
              <w:t>PARIDADES</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1F875" w14:textId="77777777" w:rsidR="00700DFB" w:rsidRPr="001829E7" w:rsidRDefault="00700DFB">
            <w:pPr>
              <w:pStyle w:val="Cuerpo"/>
              <w:tabs>
                <w:tab w:val="left" w:pos="360"/>
              </w:tabs>
              <w:jc w:val="center"/>
              <w:rPr>
                <w:rFonts w:ascii="Arial" w:eastAsia="Arial" w:hAnsi="Arial" w:cs="Arial"/>
                <w:sz w:val="20"/>
                <w:szCs w:val="20"/>
              </w:rPr>
            </w:pPr>
          </w:p>
          <w:p w14:paraId="55B55B8C" w14:textId="77777777" w:rsidR="00700DFB" w:rsidRPr="001829E7" w:rsidRDefault="00700DFB">
            <w:pPr>
              <w:pStyle w:val="Cuerpo"/>
              <w:tabs>
                <w:tab w:val="left" w:pos="360"/>
              </w:tabs>
              <w:jc w:val="center"/>
              <w:rPr>
                <w:rFonts w:ascii="Arial" w:eastAsia="Arial" w:hAnsi="Arial" w:cs="Arial"/>
                <w:sz w:val="20"/>
                <w:szCs w:val="20"/>
              </w:rPr>
            </w:pPr>
          </w:p>
          <w:p w14:paraId="2985E8CC" w14:textId="77777777" w:rsidR="00700DFB" w:rsidRPr="001829E7" w:rsidRDefault="009F7ED2">
            <w:pPr>
              <w:pStyle w:val="Cuerpo"/>
              <w:tabs>
                <w:tab w:val="left" w:pos="360"/>
              </w:tabs>
              <w:jc w:val="center"/>
              <w:rPr>
                <w:rFonts w:ascii="Arial" w:eastAsia="Arial" w:hAnsi="Arial" w:cs="Arial"/>
                <w:b/>
                <w:bCs/>
                <w:sz w:val="20"/>
                <w:szCs w:val="20"/>
              </w:rPr>
            </w:pPr>
            <w:r w:rsidRPr="001829E7">
              <w:rPr>
                <w:rFonts w:ascii="Arial"/>
                <w:b/>
                <w:bCs/>
                <w:sz w:val="20"/>
                <w:szCs w:val="20"/>
              </w:rPr>
              <w:t>2.170</w:t>
            </w:r>
          </w:p>
          <w:p w14:paraId="114092E8" w14:textId="77777777" w:rsidR="00700DFB" w:rsidRPr="001829E7" w:rsidRDefault="00700DFB">
            <w:pPr>
              <w:pStyle w:val="Cuerpo"/>
              <w:tabs>
                <w:tab w:val="left" w:pos="360"/>
              </w:tabs>
              <w:jc w:val="center"/>
              <w:rPr>
                <w:rFonts w:ascii="Arial" w:eastAsia="Arial" w:hAnsi="Arial" w:cs="Arial"/>
                <w:b/>
                <w:bCs/>
                <w:sz w:val="20"/>
                <w:szCs w:val="20"/>
              </w:rPr>
            </w:pPr>
          </w:p>
          <w:p w14:paraId="75509BFB" w14:textId="0C4666DB" w:rsidR="00700DFB" w:rsidRPr="001829E7" w:rsidRDefault="009F7ED2" w:rsidP="009B7D6D">
            <w:pPr>
              <w:pStyle w:val="Cuerpo"/>
              <w:tabs>
                <w:tab w:val="left" w:pos="360"/>
              </w:tabs>
              <w:spacing w:after="120"/>
              <w:jc w:val="right"/>
            </w:pPr>
            <w:r w:rsidRPr="001829E7">
              <w:rPr>
                <w:rFonts w:ascii="Arial"/>
                <w:sz w:val="20"/>
                <w:szCs w:val="20"/>
              </w:rPr>
              <w:t xml:space="preserve">-145  </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CD3E3" w14:textId="77777777" w:rsidR="00700DFB" w:rsidRPr="001829E7" w:rsidRDefault="00700DFB">
            <w:pPr>
              <w:pStyle w:val="Cuerpo"/>
              <w:tabs>
                <w:tab w:val="left" w:pos="360"/>
              </w:tabs>
              <w:jc w:val="center"/>
              <w:rPr>
                <w:rFonts w:ascii="Arial" w:eastAsia="Arial" w:hAnsi="Arial" w:cs="Arial"/>
                <w:sz w:val="20"/>
                <w:szCs w:val="20"/>
              </w:rPr>
            </w:pPr>
          </w:p>
          <w:p w14:paraId="3FD96DED" w14:textId="77777777" w:rsidR="00700DFB" w:rsidRPr="001829E7" w:rsidRDefault="00700DFB">
            <w:pPr>
              <w:pStyle w:val="Cuerpo"/>
              <w:tabs>
                <w:tab w:val="left" w:pos="360"/>
              </w:tabs>
              <w:jc w:val="center"/>
              <w:rPr>
                <w:rFonts w:ascii="Arial" w:eastAsia="Arial" w:hAnsi="Arial" w:cs="Arial"/>
                <w:sz w:val="20"/>
                <w:szCs w:val="20"/>
              </w:rPr>
            </w:pPr>
          </w:p>
          <w:p w14:paraId="135AFB5C" w14:textId="77777777" w:rsidR="00700DFB" w:rsidRPr="001829E7" w:rsidRDefault="009F7ED2">
            <w:pPr>
              <w:pStyle w:val="Cuerpo"/>
              <w:tabs>
                <w:tab w:val="left" w:pos="360"/>
              </w:tabs>
              <w:jc w:val="center"/>
            </w:pPr>
            <w:r w:rsidRPr="001829E7">
              <w:rPr>
                <w:rFonts w:ascii="Arial"/>
                <w:b/>
                <w:bCs/>
                <w:sz w:val="20"/>
                <w:szCs w:val="20"/>
              </w:rPr>
              <w:t>2.234</w:t>
            </w:r>
          </w:p>
        </w:tc>
      </w:tr>
      <w:tr w:rsidR="00700DFB" w:rsidRPr="001829E7" w14:paraId="281F87EA" w14:textId="77777777" w:rsidTr="00AC69EC">
        <w:trPr>
          <w:trHeight w:val="200"/>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A06DD" w14:textId="77777777" w:rsidR="00700DFB" w:rsidRPr="001829E7" w:rsidRDefault="009F7ED2">
            <w:pPr>
              <w:pStyle w:val="TextoMichelin"/>
              <w:jc w:val="left"/>
            </w:pPr>
            <w:r w:rsidRPr="001829E7">
              <w:rPr>
                <w:sz w:val="20"/>
                <w:szCs w:val="20"/>
              </w:rPr>
              <w:t>MARGEN OPERATIVO ANTES DE ELEMENTOS NO RECURRENTES</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41B67" w14:textId="77777777" w:rsidR="00700DFB" w:rsidRPr="001829E7" w:rsidRDefault="00700DFB">
            <w:pPr>
              <w:pStyle w:val="Cuerpo"/>
              <w:tabs>
                <w:tab w:val="left" w:pos="360"/>
              </w:tabs>
              <w:jc w:val="center"/>
              <w:rPr>
                <w:rFonts w:ascii="Arial" w:eastAsia="Arial" w:hAnsi="Arial" w:cs="Arial"/>
                <w:b/>
                <w:bCs/>
                <w:sz w:val="20"/>
                <w:szCs w:val="20"/>
              </w:rPr>
            </w:pPr>
          </w:p>
          <w:p w14:paraId="0C9C3CAD" w14:textId="77777777" w:rsidR="00700DFB" w:rsidRPr="001829E7" w:rsidRDefault="009F7ED2">
            <w:pPr>
              <w:pStyle w:val="Cuerpo"/>
              <w:tabs>
                <w:tab w:val="left" w:pos="360"/>
              </w:tabs>
              <w:jc w:val="center"/>
            </w:pPr>
            <w:r w:rsidRPr="001829E7">
              <w:rPr>
                <w:rFonts w:ascii="Arial"/>
                <w:b/>
                <w:bCs/>
                <w:sz w:val="20"/>
                <w:szCs w:val="20"/>
              </w:rPr>
              <w:t>11,1</w:t>
            </w:r>
            <w:r w:rsidRPr="001829E7">
              <w:rPr>
                <w:rFonts w:hAnsi="Arial Unicode MS"/>
                <w:b/>
                <w:bCs/>
                <w:sz w:val="20"/>
                <w:szCs w:val="20"/>
              </w:rPr>
              <w:t> </w:t>
            </w:r>
            <w:r w:rsidRPr="001829E7">
              <w:rPr>
                <w:rFonts w:ascii="Arial"/>
                <w:b/>
                <w:bCs/>
                <w:sz w:val="20"/>
                <w:szCs w:val="20"/>
              </w:rPr>
              <w:t>%</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7598F" w14:textId="77777777" w:rsidR="00700DFB" w:rsidRPr="001829E7" w:rsidRDefault="00700DFB">
            <w:pPr>
              <w:pStyle w:val="Cuerpo"/>
              <w:tabs>
                <w:tab w:val="left" w:pos="360"/>
              </w:tabs>
              <w:jc w:val="center"/>
              <w:rPr>
                <w:rFonts w:ascii="Arial" w:eastAsia="Arial" w:hAnsi="Arial" w:cs="Arial"/>
                <w:b/>
                <w:bCs/>
                <w:sz w:val="20"/>
                <w:szCs w:val="20"/>
              </w:rPr>
            </w:pPr>
          </w:p>
          <w:p w14:paraId="6173876F" w14:textId="77777777" w:rsidR="00700DFB" w:rsidRPr="001829E7" w:rsidRDefault="009F7ED2">
            <w:pPr>
              <w:pStyle w:val="Cuerpo"/>
              <w:tabs>
                <w:tab w:val="left" w:pos="360"/>
              </w:tabs>
              <w:jc w:val="center"/>
            </w:pPr>
            <w:r w:rsidRPr="001829E7">
              <w:rPr>
                <w:rFonts w:ascii="Arial"/>
                <w:b/>
                <w:bCs/>
                <w:sz w:val="20"/>
                <w:szCs w:val="20"/>
              </w:rPr>
              <w:t>11,0</w:t>
            </w:r>
            <w:r w:rsidRPr="001829E7">
              <w:rPr>
                <w:rFonts w:hAnsi="Arial Unicode MS"/>
                <w:b/>
                <w:bCs/>
                <w:sz w:val="20"/>
                <w:szCs w:val="20"/>
              </w:rPr>
              <w:t> </w:t>
            </w:r>
            <w:r w:rsidRPr="001829E7">
              <w:rPr>
                <w:rFonts w:ascii="Arial"/>
                <w:b/>
                <w:bCs/>
                <w:sz w:val="20"/>
                <w:szCs w:val="20"/>
              </w:rPr>
              <w:t>%</w:t>
            </w:r>
          </w:p>
        </w:tc>
      </w:tr>
      <w:tr w:rsidR="00700DFB" w:rsidRPr="001829E7" w14:paraId="345ADCE5" w14:textId="77777777" w:rsidTr="00AC69EC">
        <w:trPr>
          <w:trHeight w:val="493"/>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DE6A3" w14:textId="77777777" w:rsidR="00700DFB" w:rsidRPr="001829E7" w:rsidRDefault="009F7ED2">
            <w:pPr>
              <w:pStyle w:val="TextoMichelin"/>
              <w:jc w:val="left"/>
            </w:pPr>
            <w:r w:rsidRPr="001829E7">
              <w:rPr>
                <w:sz w:val="20"/>
                <w:szCs w:val="20"/>
              </w:rPr>
              <w:t>TURISMO, CAMIONETA Y DISTRIBUCI</w:t>
            </w:r>
            <w:r w:rsidRPr="001829E7">
              <w:rPr>
                <w:sz w:val="20"/>
                <w:szCs w:val="20"/>
              </w:rPr>
              <w:t>Ó</w:t>
            </w:r>
            <w:r w:rsidRPr="001829E7">
              <w:rPr>
                <w:sz w:val="20"/>
                <w:szCs w:val="20"/>
              </w:rPr>
              <w:t xml:space="preserve">N ASOCIADA </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5D1C3" w14:textId="77777777" w:rsidR="00700DFB" w:rsidRPr="001829E7" w:rsidRDefault="00700DFB">
            <w:pPr>
              <w:pStyle w:val="Cuerpo"/>
              <w:tabs>
                <w:tab w:val="left" w:pos="360"/>
              </w:tabs>
              <w:jc w:val="center"/>
              <w:rPr>
                <w:rFonts w:ascii="Arial" w:eastAsia="Arial" w:hAnsi="Arial" w:cs="Arial"/>
                <w:b/>
                <w:bCs/>
                <w:sz w:val="20"/>
                <w:szCs w:val="20"/>
              </w:rPr>
            </w:pPr>
          </w:p>
          <w:p w14:paraId="40FCD173" w14:textId="77777777" w:rsidR="00700DFB" w:rsidRPr="001829E7" w:rsidRDefault="009F7ED2">
            <w:pPr>
              <w:pStyle w:val="Cuerpo"/>
              <w:tabs>
                <w:tab w:val="left" w:pos="360"/>
              </w:tabs>
              <w:jc w:val="center"/>
            </w:pPr>
            <w:r w:rsidRPr="001829E7">
              <w:rPr>
                <w:rFonts w:ascii="Arial"/>
                <w:b/>
                <w:bCs/>
                <w:sz w:val="20"/>
                <w:szCs w:val="20"/>
              </w:rPr>
              <w:t>10,5</w:t>
            </w:r>
            <w:r w:rsidRPr="001829E7">
              <w:rPr>
                <w:rFonts w:hAnsi="Arial Unicode MS"/>
                <w:b/>
                <w:bCs/>
                <w:sz w:val="20"/>
                <w:szCs w:val="20"/>
              </w:rPr>
              <w:t> </w:t>
            </w:r>
            <w:r w:rsidRPr="001829E7">
              <w:rPr>
                <w:rFonts w:ascii="Arial"/>
                <w:b/>
                <w:bCs/>
                <w:sz w:val="20"/>
                <w:szCs w:val="20"/>
              </w:rPr>
              <w:t>%</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BF7AD" w14:textId="77777777" w:rsidR="00700DFB" w:rsidRPr="001829E7" w:rsidRDefault="00700DFB">
            <w:pPr>
              <w:pStyle w:val="Cuerpo"/>
              <w:tabs>
                <w:tab w:val="left" w:pos="360"/>
              </w:tabs>
              <w:jc w:val="center"/>
              <w:rPr>
                <w:rFonts w:ascii="Arial" w:eastAsia="Arial" w:hAnsi="Arial" w:cs="Arial"/>
                <w:b/>
                <w:bCs/>
                <w:sz w:val="20"/>
                <w:szCs w:val="20"/>
              </w:rPr>
            </w:pPr>
          </w:p>
          <w:p w14:paraId="06598BF5" w14:textId="77777777" w:rsidR="00700DFB" w:rsidRPr="001829E7" w:rsidRDefault="009F7ED2">
            <w:pPr>
              <w:pStyle w:val="Cuerpo"/>
              <w:tabs>
                <w:tab w:val="left" w:pos="360"/>
              </w:tabs>
              <w:jc w:val="center"/>
            </w:pPr>
            <w:r w:rsidRPr="001829E7">
              <w:rPr>
                <w:rFonts w:ascii="Arial"/>
                <w:b/>
                <w:bCs/>
                <w:sz w:val="20"/>
                <w:szCs w:val="20"/>
              </w:rPr>
              <w:t>10,2</w:t>
            </w:r>
            <w:r w:rsidRPr="001829E7">
              <w:rPr>
                <w:rFonts w:hAnsi="Arial Unicode MS"/>
                <w:b/>
                <w:bCs/>
                <w:sz w:val="20"/>
                <w:szCs w:val="20"/>
              </w:rPr>
              <w:t> </w:t>
            </w:r>
            <w:r w:rsidRPr="001829E7">
              <w:rPr>
                <w:rFonts w:ascii="Arial"/>
                <w:b/>
                <w:bCs/>
                <w:sz w:val="20"/>
                <w:szCs w:val="20"/>
              </w:rPr>
              <w:t>%</w:t>
            </w:r>
          </w:p>
        </w:tc>
      </w:tr>
      <w:tr w:rsidR="00700DFB" w:rsidRPr="001829E7" w14:paraId="31B38B2E" w14:textId="77777777" w:rsidTr="00AC69EC">
        <w:trPr>
          <w:trHeight w:val="493"/>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8FB16" w14:textId="7FE11F83" w:rsidR="00700DFB" w:rsidRPr="001829E7" w:rsidRDefault="009F7ED2" w:rsidP="00E47469">
            <w:pPr>
              <w:pStyle w:val="TextoMichelin"/>
              <w:jc w:val="left"/>
            </w:pPr>
            <w:r w:rsidRPr="001829E7">
              <w:rPr>
                <w:sz w:val="20"/>
                <w:szCs w:val="20"/>
              </w:rPr>
              <w:t>CAMI</w:t>
            </w:r>
            <w:r w:rsidRPr="001829E7">
              <w:rPr>
                <w:sz w:val="20"/>
                <w:szCs w:val="20"/>
              </w:rPr>
              <w:t>Ó</w:t>
            </w:r>
            <w:r w:rsidRPr="001829E7">
              <w:rPr>
                <w:sz w:val="20"/>
                <w:szCs w:val="20"/>
              </w:rPr>
              <w:t>N Y DISTRIBUCI</w:t>
            </w:r>
            <w:r w:rsidRPr="001829E7">
              <w:rPr>
                <w:sz w:val="20"/>
                <w:szCs w:val="20"/>
              </w:rPr>
              <w:t>Ó</w:t>
            </w:r>
            <w:r w:rsidRPr="001829E7">
              <w:rPr>
                <w:sz w:val="20"/>
                <w:szCs w:val="20"/>
              </w:rPr>
              <w:t xml:space="preserve">N ASOCIADA </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840EF" w14:textId="77777777" w:rsidR="00700DFB" w:rsidRPr="001829E7" w:rsidRDefault="009F7ED2">
            <w:pPr>
              <w:pStyle w:val="Cuerpo"/>
              <w:tabs>
                <w:tab w:val="left" w:pos="360"/>
              </w:tabs>
              <w:jc w:val="center"/>
            </w:pPr>
            <w:r w:rsidRPr="001829E7">
              <w:rPr>
                <w:rFonts w:ascii="Arial"/>
                <w:b/>
                <w:bCs/>
                <w:sz w:val="20"/>
                <w:szCs w:val="20"/>
              </w:rPr>
              <w:t>8,1</w:t>
            </w:r>
            <w:r w:rsidRPr="001829E7">
              <w:rPr>
                <w:rFonts w:hAnsi="Arial Unicode MS"/>
                <w:b/>
                <w:bCs/>
                <w:sz w:val="20"/>
                <w:szCs w:val="20"/>
              </w:rPr>
              <w:t> </w:t>
            </w:r>
            <w:r w:rsidRPr="001829E7">
              <w:rPr>
                <w:rFonts w:ascii="Arial"/>
                <w:b/>
                <w:bCs/>
                <w:sz w:val="20"/>
                <w:szCs w:val="20"/>
              </w:rPr>
              <w:t>%</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A87AC" w14:textId="77777777" w:rsidR="00700DFB" w:rsidRPr="001829E7" w:rsidRDefault="009F7ED2">
            <w:pPr>
              <w:pStyle w:val="Cuerpo"/>
              <w:tabs>
                <w:tab w:val="left" w:pos="360"/>
              </w:tabs>
              <w:jc w:val="center"/>
            </w:pPr>
            <w:r w:rsidRPr="001829E7">
              <w:rPr>
                <w:rFonts w:ascii="Arial"/>
                <w:b/>
                <w:bCs/>
                <w:sz w:val="20"/>
                <w:szCs w:val="20"/>
              </w:rPr>
              <w:t>7,8</w:t>
            </w:r>
            <w:r w:rsidRPr="001829E7">
              <w:rPr>
                <w:rFonts w:hAnsi="Arial Unicode MS"/>
                <w:b/>
                <w:bCs/>
                <w:sz w:val="20"/>
                <w:szCs w:val="20"/>
              </w:rPr>
              <w:t> </w:t>
            </w:r>
            <w:r w:rsidRPr="001829E7">
              <w:rPr>
                <w:rFonts w:ascii="Arial"/>
                <w:b/>
                <w:bCs/>
                <w:sz w:val="20"/>
                <w:szCs w:val="20"/>
              </w:rPr>
              <w:t>%</w:t>
            </w:r>
          </w:p>
        </w:tc>
      </w:tr>
      <w:tr w:rsidR="00700DFB" w:rsidRPr="001829E7" w14:paraId="58CD775F" w14:textId="77777777" w:rsidTr="00AC69EC">
        <w:trPr>
          <w:trHeight w:val="493"/>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F384F" w14:textId="77777777" w:rsidR="00700DFB" w:rsidRPr="001829E7" w:rsidRDefault="009F7ED2">
            <w:pPr>
              <w:pStyle w:val="TextoMichelin"/>
              <w:jc w:val="left"/>
            </w:pPr>
            <w:r w:rsidRPr="001829E7">
              <w:rPr>
                <w:sz w:val="20"/>
                <w:szCs w:val="20"/>
              </w:rPr>
              <w:t>ACTIVIDADES DE ESPECIALIDADES</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FFBF4" w14:textId="77777777" w:rsidR="00700DFB" w:rsidRPr="001829E7" w:rsidRDefault="00700DFB">
            <w:pPr>
              <w:pStyle w:val="Cuerpo"/>
              <w:tabs>
                <w:tab w:val="left" w:pos="360"/>
              </w:tabs>
              <w:jc w:val="center"/>
              <w:rPr>
                <w:rFonts w:ascii="Arial" w:eastAsia="Arial" w:hAnsi="Arial" w:cs="Arial"/>
                <w:b/>
                <w:bCs/>
                <w:sz w:val="20"/>
                <w:szCs w:val="20"/>
                <w:shd w:val="clear" w:color="auto" w:fill="FFFF00"/>
              </w:rPr>
            </w:pPr>
          </w:p>
          <w:p w14:paraId="42817D88" w14:textId="77777777" w:rsidR="00700DFB" w:rsidRPr="001829E7" w:rsidRDefault="009F7ED2">
            <w:pPr>
              <w:pStyle w:val="Cuerpo"/>
              <w:tabs>
                <w:tab w:val="left" w:pos="360"/>
              </w:tabs>
              <w:jc w:val="center"/>
            </w:pPr>
            <w:r w:rsidRPr="001829E7">
              <w:rPr>
                <w:rFonts w:ascii="Arial"/>
                <w:b/>
                <w:bCs/>
                <w:sz w:val="20"/>
                <w:szCs w:val="20"/>
              </w:rPr>
              <w:t>19,3</w:t>
            </w:r>
            <w:r w:rsidRPr="001829E7">
              <w:rPr>
                <w:rFonts w:hAnsi="Arial Unicode MS"/>
                <w:b/>
                <w:bCs/>
                <w:sz w:val="20"/>
                <w:szCs w:val="20"/>
              </w:rPr>
              <w:t> </w:t>
            </w:r>
            <w:r w:rsidRPr="001829E7">
              <w:rPr>
                <w:rFonts w:ascii="Arial"/>
                <w:b/>
                <w:bCs/>
                <w:sz w:val="20"/>
                <w:szCs w:val="20"/>
              </w:rPr>
              <w:t>%</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9A597" w14:textId="77777777" w:rsidR="00700DFB" w:rsidRPr="001829E7" w:rsidRDefault="00700DFB">
            <w:pPr>
              <w:pStyle w:val="Cuerpo"/>
              <w:tabs>
                <w:tab w:val="left" w:pos="360"/>
              </w:tabs>
              <w:jc w:val="center"/>
              <w:rPr>
                <w:rFonts w:ascii="Arial" w:eastAsia="Arial" w:hAnsi="Arial" w:cs="Arial"/>
                <w:b/>
                <w:bCs/>
                <w:sz w:val="20"/>
                <w:szCs w:val="20"/>
              </w:rPr>
            </w:pPr>
          </w:p>
          <w:p w14:paraId="7912943A" w14:textId="77777777" w:rsidR="00700DFB" w:rsidRPr="001829E7" w:rsidRDefault="009F7ED2">
            <w:pPr>
              <w:pStyle w:val="Cuerpo"/>
              <w:tabs>
                <w:tab w:val="left" w:pos="360"/>
              </w:tabs>
              <w:jc w:val="center"/>
            </w:pPr>
            <w:r w:rsidRPr="001829E7">
              <w:rPr>
                <w:rFonts w:ascii="Arial"/>
                <w:b/>
                <w:bCs/>
                <w:sz w:val="20"/>
                <w:szCs w:val="20"/>
              </w:rPr>
              <w:t>20,6</w:t>
            </w:r>
            <w:r w:rsidRPr="001829E7">
              <w:rPr>
                <w:rFonts w:hAnsi="Arial Unicode MS"/>
                <w:b/>
                <w:bCs/>
                <w:sz w:val="20"/>
                <w:szCs w:val="20"/>
              </w:rPr>
              <w:t> </w:t>
            </w:r>
            <w:r w:rsidRPr="001829E7">
              <w:rPr>
                <w:rFonts w:ascii="Arial"/>
                <w:b/>
                <w:bCs/>
                <w:sz w:val="20"/>
                <w:szCs w:val="20"/>
              </w:rPr>
              <w:t>%</w:t>
            </w:r>
          </w:p>
        </w:tc>
      </w:tr>
      <w:tr w:rsidR="00700DFB" w:rsidRPr="001829E7" w14:paraId="3B35A350" w14:textId="77777777" w:rsidTr="00AC69EC">
        <w:trPr>
          <w:trHeight w:val="763"/>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94C8E" w14:textId="77777777" w:rsidR="00700DFB" w:rsidRPr="001829E7" w:rsidRDefault="009F7ED2">
            <w:pPr>
              <w:pStyle w:val="TextoMichelin"/>
              <w:jc w:val="left"/>
            </w:pPr>
            <w:r w:rsidRPr="001829E7">
              <w:rPr>
                <w:sz w:val="20"/>
                <w:szCs w:val="20"/>
              </w:rPr>
              <w:t>RESULTADO OPERATIVO TRAS ELEMENTOS NO RECURRENTES</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AC3A5" w14:textId="77777777" w:rsidR="00700DFB" w:rsidRPr="001829E7" w:rsidRDefault="00700DFB">
            <w:pPr>
              <w:pStyle w:val="Cuerpo"/>
              <w:tabs>
                <w:tab w:val="left" w:pos="360"/>
              </w:tabs>
              <w:jc w:val="center"/>
              <w:rPr>
                <w:rFonts w:ascii="Arial" w:eastAsia="Arial" w:hAnsi="Arial" w:cs="Arial"/>
                <w:b/>
                <w:bCs/>
                <w:sz w:val="20"/>
                <w:szCs w:val="20"/>
              </w:rPr>
            </w:pPr>
          </w:p>
          <w:p w14:paraId="51206589" w14:textId="77777777" w:rsidR="00700DFB" w:rsidRPr="001829E7" w:rsidRDefault="009F7ED2">
            <w:pPr>
              <w:pStyle w:val="Cuerpo"/>
              <w:tabs>
                <w:tab w:val="left" w:pos="360"/>
              </w:tabs>
              <w:jc w:val="center"/>
            </w:pPr>
            <w:r w:rsidRPr="001829E7">
              <w:rPr>
                <w:rFonts w:ascii="Arial"/>
                <w:b/>
                <w:bCs/>
                <w:sz w:val="20"/>
                <w:szCs w:val="20"/>
              </w:rPr>
              <w:t>1.991</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41561" w14:textId="77777777" w:rsidR="00700DFB" w:rsidRPr="001829E7" w:rsidRDefault="00700DFB">
            <w:pPr>
              <w:pStyle w:val="Cuerpo"/>
              <w:tabs>
                <w:tab w:val="left" w:pos="360"/>
              </w:tabs>
              <w:jc w:val="center"/>
              <w:rPr>
                <w:rFonts w:ascii="Arial" w:eastAsia="Arial" w:hAnsi="Arial" w:cs="Arial"/>
                <w:b/>
                <w:bCs/>
                <w:sz w:val="20"/>
                <w:szCs w:val="20"/>
              </w:rPr>
            </w:pPr>
          </w:p>
          <w:p w14:paraId="6315178F" w14:textId="77777777" w:rsidR="00700DFB" w:rsidRPr="001829E7" w:rsidRDefault="009F7ED2">
            <w:pPr>
              <w:pStyle w:val="Cuerpo"/>
              <w:tabs>
                <w:tab w:val="left" w:pos="360"/>
              </w:tabs>
              <w:jc w:val="center"/>
            </w:pPr>
            <w:r w:rsidRPr="001829E7">
              <w:rPr>
                <w:rFonts w:ascii="Arial"/>
                <w:b/>
                <w:bCs/>
                <w:sz w:val="20"/>
                <w:szCs w:val="20"/>
              </w:rPr>
              <w:t>1.974</w:t>
            </w:r>
          </w:p>
        </w:tc>
      </w:tr>
      <w:tr w:rsidR="00700DFB" w:rsidRPr="001829E7" w14:paraId="70D74F0D" w14:textId="77777777" w:rsidTr="00AC69EC">
        <w:trPr>
          <w:trHeight w:val="443"/>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71027" w14:textId="77777777" w:rsidR="00700DFB" w:rsidRPr="001829E7" w:rsidRDefault="009F7ED2">
            <w:pPr>
              <w:pStyle w:val="TextoMichelin"/>
              <w:jc w:val="left"/>
            </w:pPr>
            <w:r w:rsidRPr="001829E7">
              <w:rPr>
                <w:sz w:val="20"/>
                <w:szCs w:val="20"/>
              </w:rPr>
              <w:t xml:space="preserve">RESULTADO NETO </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364B5" w14:textId="77777777" w:rsidR="00700DFB" w:rsidRPr="001829E7" w:rsidRDefault="00700DFB">
            <w:pPr>
              <w:pStyle w:val="Cuerpo"/>
              <w:tabs>
                <w:tab w:val="left" w:pos="360"/>
              </w:tabs>
              <w:jc w:val="center"/>
              <w:rPr>
                <w:rFonts w:ascii="Arial" w:eastAsia="Arial" w:hAnsi="Arial" w:cs="Arial"/>
                <w:b/>
                <w:bCs/>
                <w:sz w:val="20"/>
                <w:szCs w:val="20"/>
              </w:rPr>
            </w:pPr>
          </w:p>
          <w:p w14:paraId="20FB6AF8" w14:textId="77777777" w:rsidR="00700DFB" w:rsidRPr="001829E7" w:rsidRDefault="009F7ED2">
            <w:pPr>
              <w:pStyle w:val="Cuerpo"/>
              <w:tabs>
                <w:tab w:val="left" w:pos="360"/>
              </w:tabs>
              <w:jc w:val="center"/>
            </w:pPr>
            <w:r w:rsidRPr="001829E7">
              <w:rPr>
                <w:rFonts w:ascii="Arial"/>
                <w:b/>
                <w:bCs/>
                <w:sz w:val="20"/>
                <w:szCs w:val="20"/>
              </w:rPr>
              <w:t>1.031</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35F31" w14:textId="77777777" w:rsidR="00700DFB" w:rsidRPr="001829E7" w:rsidRDefault="00700DFB">
            <w:pPr>
              <w:pStyle w:val="Cuerpo"/>
              <w:tabs>
                <w:tab w:val="left" w:pos="360"/>
              </w:tabs>
              <w:jc w:val="center"/>
              <w:rPr>
                <w:rFonts w:ascii="Arial" w:eastAsia="Arial" w:hAnsi="Arial" w:cs="Arial"/>
                <w:b/>
                <w:bCs/>
                <w:sz w:val="20"/>
                <w:szCs w:val="20"/>
              </w:rPr>
            </w:pPr>
          </w:p>
          <w:p w14:paraId="7BA7D65B" w14:textId="77777777" w:rsidR="00700DFB" w:rsidRPr="001829E7" w:rsidRDefault="009F7ED2">
            <w:pPr>
              <w:pStyle w:val="Cuerpo"/>
              <w:tabs>
                <w:tab w:val="left" w:pos="360"/>
              </w:tabs>
              <w:jc w:val="center"/>
            </w:pPr>
            <w:r w:rsidRPr="001829E7">
              <w:rPr>
                <w:rFonts w:ascii="Arial"/>
                <w:b/>
                <w:bCs/>
                <w:sz w:val="20"/>
                <w:szCs w:val="20"/>
              </w:rPr>
              <w:t>1.127</w:t>
            </w:r>
          </w:p>
        </w:tc>
      </w:tr>
      <w:tr w:rsidR="00700DFB" w:rsidRPr="001829E7" w14:paraId="4DA2497F" w14:textId="77777777" w:rsidTr="00AC69EC">
        <w:trPr>
          <w:trHeight w:val="443"/>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09871" w14:textId="77777777" w:rsidR="00700DFB" w:rsidRPr="001829E7" w:rsidRDefault="009F7ED2">
            <w:pPr>
              <w:pStyle w:val="TextoMichelin"/>
              <w:jc w:val="left"/>
            </w:pPr>
            <w:r w:rsidRPr="001829E7">
              <w:rPr>
                <w:sz w:val="20"/>
                <w:szCs w:val="20"/>
              </w:rPr>
              <w:t>INVERSIONES</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4DE20" w14:textId="77777777" w:rsidR="00700DFB" w:rsidRPr="001829E7" w:rsidRDefault="00700DFB">
            <w:pPr>
              <w:pStyle w:val="Cuerpo"/>
              <w:tabs>
                <w:tab w:val="left" w:pos="360"/>
              </w:tabs>
              <w:jc w:val="center"/>
              <w:rPr>
                <w:rFonts w:ascii="Arial" w:eastAsia="Arial" w:hAnsi="Arial" w:cs="Arial"/>
                <w:b/>
                <w:bCs/>
                <w:sz w:val="20"/>
                <w:szCs w:val="20"/>
              </w:rPr>
            </w:pPr>
          </w:p>
          <w:p w14:paraId="7B2A3881" w14:textId="77777777" w:rsidR="00700DFB" w:rsidRPr="001829E7" w:rsidRDefault="009F7ED2">
            <w:pPr>
              <w:pStyle w:val="Cuerpo"/>
              <w:tabs>
                <w:tab w:val="left" w:pos="360"/>
              </w:tabs>
              <w:jc w:val="center"/>
            </w:pPr>
            <w:r w:rsidRPr="001829E7">
              <w:rPr>
                <w:rFonts w:ascii="Arial"/>
                <w:b/>
                <w:bCs/>
                <w:sz w:val="20"/>
                <w:szCs w:val="20"/>
              </w:rPr>
              <w:t>1.883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6A6A0" w14:textId="77777777" w:rsidR="00700DFB" w:rsidRPr="001829E7" w:rsidRDefault="00700DFB">
            <w:pPr>
              <w:pStyle w:val="Cuerpo"/>
              <w:tabs>
                <w:tab w:val="left" w:pos="360"/>
              </w:tabs>
              <w:jc w:val="center"/>
              <w:rPr>
                <w:rFonts w:ascii="Arial" w:eastAsia="Arial" w:hAnsi="Arial" w:cs="Arial"/>
                <w:b/>
                <w:bCs/>
                <w:sz w:val="20"/>
                <w:szCs w:val="20"/>
              </w:rPr>
            </w:pPr>
          </w:p>
          <w:p w14:paraId="68F3020B" w14:textId="77777777" w:rsidR="00700DFB" w:rsidRPr="001829E7" w:rsidRDefault="009F7ED2">
            <w:pPr>
              <w:pStyle w:val="Cuerpo"/>
              <w:tabs>
                <w:tab w:val="left" w:pos="360"/>
              </w:tabs>
              <w:jc w:val="center"/>
            </w:pPr>
            <w:r w:rsidRPr="001829E7">
              <w:rPr>
                <w:rFonts w:ascii="Arial"/>
                <w:b/>
                <w:bCs/>
                <w:sz w:val="20"/>
                <w:szCs w:val="20"/>
              </w:rPr>
              <w:t>1.980</w:t>
            </w:r>
          </w:p>
        </w:tc>
      </w:tr>
      <w:tr w:rsidR="00700DFB" w:rsidRPr="001829E7" w14:paraId="0E10B831" w14:textId="77777777" w:rsidTr="00AC69EC">
        <w:trPr>
          <w:trHeight w:val="443"/>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A5D62" w14:textId="77777777" w:rsidR="00700DFB" w:rsidRPr="001829E7" w:rsidRDefault="009F7ED2">
            <w:pPr>
              <w:pStyle w:val="TextoMichelin"/>
              <w:jc w:val="left"/>
            </w:pPr>
            <w:r w:rsidRPr="001829E7">
              <w:rPr>
                <w:sz w:val="20"/>
                <w:szCs w:val="20"/>
              </w:rPr>
              <w:t>ENDEUDAMIENTO NETO</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D670B" w14:textId="77777777" w:rsidR="00700DFB" w:rsidRPr="001829E7" w:rsidRDefault="00700DFB">
            <w:pPr>
              <w:pStyle w:val="Cuerpo"/>
              <w:tabs>
                <w:tab w:val="left" w:pos="360"/>
              </w:tabs>
              <w:jc w:val="center"/>
              <w:rPr>
                <w:rFonts w:ascii="Arial" w:eastAsia="Arial" w:hAnsi="Arial" w:cs="Arial"/>
                <w:b/>
                <w:bCs/>
                <w:sz w:val="20"/>
                <w:szCs w:val="20"/>
              </w:rPr>
            </w:pPr>
          </w:p>
          <w:p w14:paraId="7C370728" w14:textId="77777777" w:rsidR="00700DFB" w:rsidRPr="001829E7" w:rsidRDefault="009F7ED2">
            <w:pPr>
              <w:pStyle w:val="Cuerpo"/>
              <w:tabs>
                <w:tab w:val="left" w:pos="360"/>
              </w:tabs>
              <w:jc w:val="center"/>
            </w:pPr>
            <w:r w:rsidRPr="001829E7">
              <w:rPr>
                <w:rFonts w:ascii="Arial"/>
                <w:b/>
                <w:bCs/>
                <w:sz w:val="20"/>
                <w:szCs w:val="20"/>
              </w:rPr>
              <w:t>707</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A749A" w14:textId="77777777" w:rsidR="00700DFB" w:rsidRPr="001829E7" w:rsidRDefault="00700DFB">
            <w:pPr>
              <w:pStyle w:val="Cuerpo"/>
              <w:tabs>
                <w:tab w:val="left" w:pos="360"/>
              </w:tabs>
              <w:jc w:val="center"/>
              <w:rPr>
                <w:rFonts w:ascii="Arial" w:eastAsia="Arial" w:hAnsi="Arial" w:cs="Arial"/>
                <w:b/>
                <w:bCs/>
                <w:sz w:val="20"/>
                <w:szCs w:val="20"/>
              </w:rPr>
            </w:pPr>
          </w:p>
          <w:p w14:paraId="1FF82784" w14:textId="77777777" w:rsidR="00700DFB" w:rsidRPr="001829E7" w:rsidRDefault="009F7ED2">
            <w:pPr>
              <w:pStyle w:val="Cuerpo"/>
              <w:tabs>
                <w:tab w:val="left" w:pos="360"/>
              </w:tabs>
              <w:jc w:val="center"/>
            </w:pPr>
            <w:r w:rsidRPr="001829E7">
              <w:rPr>
                <w:rFonts w:ascii="Arial"/>
                <w:b/>
                <w:bCs/>
                <w:sz w:val="20"/>
                <w:szCs w:val="20"/>
              </w:rPr>
              <w:t>142</w:t>
            </w:r>
          </w:p>
        </w:tc>
      </w:tr>
      <w:tr w:rsidR="00700DFB" w:rsidRPr="001829E7" w14:paraId="2408990F" w14:textId="77777777" w:rsidTr="00AC69EC">
        <w:trPr>
          <w:trHeight w:val="493"/>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6DCFC" w14:textId="77777777" w:rsidR="00700DFB" w:rsidRPr="001829E7" w:rsidRDefault="009F7ED2">
            <w:pPr>
              <w:pStyle w:val="TextoMichelin"/>
              <w:jc w:val="left"/>
            </w:pPr>
            <w:r w:rsidRPr="001829E7">
              <w:rPr>
                <w:sz w:val="20"/>
                <w:szCs w:val="20"/>
              </w:rPr>
              <w:t>PORCENTAJE DE ENDEUDAMIENTO NETO</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87755" w14:textId="77777777" w:rsidR="00700DFB" w:rsidRPr="001829E7" w:rsidRDefault="00700DFB">
            <w:pPr>
              <w:pStyle w:val="Cuerpo"/>
              <w:tabs>
                <w:tab w:val="left" w:pos="360"/>
              </w:tabs>
              <w:jc w:val="center"/>
              <w:rPr>
                <w:rFonts w:ascii="Arial" w:eastAsia="Arial" w:hAnsi="Arial" w:cs="Arial"/>
                <w:b/>
                <w:bCs/>
                <w:sz w:val="20"/>
                <w:szCs w:val="20"/>
              </w:rPr>
            </w:pPr>
          </w:p>
          <w:p w14:paraId="00D6ABCF" w14:textId="77777777" w:rsidR="00700DFB" w:rsidRPr="001829E7" w:rsidRDefault="009F7ED2">
            <w:pPr>
              <w:pStyle w:val="Cuerpo"/>
              <w:tabs>
                <w:tab w:val="left" w:pos="360"/>
              </w:tabs>
              <w:jc w:val="center"/>
            </w:pPr>
            <w:r w:rsidRPr="001829E7">
              <w:rPr>
                <w:rFonts w:ascii="Arial"/>
                <w:b/>
                <w:bCs/>
                <w:sz w:val="20"/>
                <w:szCs w:val="20"/>
              </w:rPr>
              <w:t>7</w:t>
            </w:r>
            <w:r w:rsidRPr="001829E7">
              <w:rPr>
                <w:rFonts w:hAnsi="Arial Unicode MS"/>
                <w:b/>
                <w:bCs/>
                <w:sz w:val="20"/>
                <w:szCs w:val="20"/>
              </w:rPr>
              <w:t> </w:t>
            </w:r>
            <w:r w:rsidRPr="001829E7">
              <w:rPr>
                <w:rFonts w:ascii="Arial"/>
                <w:b/>
                <w:bCs/>
                <w:sz w:val="20"/>
                <w:szCs w:val="20"/>
              </w:rPr>
              <w:t>%</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9D2F4" w14:textId="77777777" w:rsidR="00700DFB" w:rsidRPr="001829E7" w:rsidRDefault="00700DFB">
            <w:pPr>
              <w:pStyle w:val="Cuerpo"/>
              <w:tabs>
                <w:tab w:val="left" w:pos="360"/>
              </w:tabs>
              <w:jc w:val="center"/>
              <w:rPr>
                <w:rFonts w:ascii="Arial" w:eastAsia="Arial" w:hAnsi="Arial" w:cs="Arial"/>
                <w:b/>
                <w:bCs/>
                <w:sz w:val="20"/>
                <w:szCs w:val="20"/>
              </w:rPr>
            </w:pPr>
          </w:p>
          <w:p w14:paraId="306EC1AB" w14:textId="77777777" w:rsidR="00700DFB" w:rsidRPr="001829E7" w:rsidRDefault="009F7ED2">
            <w:pPr>
              <w:pStyle w:val="Cuerpo"/>
              <w:tabs>
                <w:tab w:val="left" w:pos="360"/>
              </w:tabs>
              <w:jc w:val="center"/>
            </w:pPr>
            <w:r w:rsidRPr="001829E7">
              <w:rPr>
                <w:rFonts w:ascii="Arial"/>
                <w:b/>
                <w:bCs/>
                <w:sz w:val="20"/>
                <w:szCs w:val="20"/>
              </w:rPr>
              <w:t>2</w:t>
            </w:r>
            <w:r w:rsidRPr="001829E7">
              <w:rPr>
                <w:rFonts w:hAnsi="Arial Unicode MS"/>
                <w:b/>
                <w:bCs/>
                <w:sz w:val="20"/>
                <w:szCs w:val="20"/>
              </w:rPr>
              <w:t> </w:t>
            </w:r>
            <w:r w:rsidRPr="001829E7">
              <w:rPr>
                <w:rFonts w:ascii="Arial"/>
                <w:b/>
                <w:bCs/>
                <w:sz w:val="20"/>
                <w:szCs w:val="20"/>
              </w:rPr>
              <w:t>%</w:t>
            </w:r>
          </w:p>
        </w:tc>
      </w:tr>
      <w:tr w:rsidR="00700DFB" w:rsidRPr="001829E7" w14:paraId="08F764B1" w14:textId="77777777" w:rsidTr="00AC69EC">
        <w:trPr>
          <w:trHeight w:val="443"/>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4A96A" w14:textId="77777777" w:rsidR="00700DFB" w:rsidRPr="001829E7" w:rsidRDefault="009F7ED2">
            <w:pPr>
              <w:pStyle w:val="TextoMichelin"/>
              <w:jc w:val="left"/>
            </w:pPr>
            <w:r w:rsidRPr="001829E7">
              <w:rPr>
                <w:sz w:val="20"/>
                <w:szCs w:val="20"/>
              </w:rPr>
              <w:t xml:space="preserve">DEUDA SOCIAL  </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446F5" w14:textId="77777777" w:rsidR="00700DFB" w:rsidRPr="001829E7" w:rsidRDefault="00700DFB">
            <w:pPr>
              <w:pStyle w:val="Cuerpo"/>
              <w:tabs>
                <w:tab w:val="left" w:pos="360"/>
              </w:tabs>
              <w:jc w:val="center"/>
              <w:rPr>
                <w:rFonts w:ascii="Arial" w:eastAsia="Arial" w:hAnsi="Arial" w:cs="Arial"/>
                <w:b/>
                <w:bCs/>
                <w:sz w:val="20"/>
                <w:szCs w:val="20"/>
              </w:rPr>
            </w:pPr>
          </w:p>
          <w:p w14:paraId="11632429" w14:textId="77777777" w:rsidR="00700DFB" w:rsidRPr="001829E7" w:rsidRDefault="009F7ED2">
            <w:pPr>
              <w:pStyle w:val="Cuerpo"/>
              <w:tabs>
                <w:tab w:val="left" w:pos="360"/>
              </w:tabs>
              <w:jc w:val="center"/>
            </w:pPr>
            <w:r w:rsidRPr="001829E7">
              <w:rPr>
                <w:rFonts w:ascii="Arial"/>
                <w:b/>
                <w:bCs/>
                <w:sz w:val="20"/>
                <w:szCs w:val="20"/>
              </w:rPr>
              <w:t>4.612</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EF5D0" w14:textId="77777777" w:rsidR="00700DFB" w:rsidRPr="001829E7" w:rsidRDefault="00700DFB">
            <w:pPr>
              <w:pStyle w:val="Cuerpo"/>
              <w:tabs>
                <w:tab w:val="left" w:pos="360"/>
              </w:tabs>
              <w:jc w:val="center"/>
              <w:rPr>
                <w:rFonts w:ascii="Arial" w:eastAsia="Arial" w:hAnsi="Arial" w:cs="Arial"/>
                <w:b/>
                <w:bCs/>
                <w:sz w:val="20"/>
                <w:szCs w:val="20"/>
              </w:rPr>
            </w:pPr>
          </w:p>
          <w:p w14:paraId="72D8F9E3" w14:textId="77777777" w:rsidR="00700DFB" w:rsidRPr="001829E7" w:rsidRDefault="009F7ED2">
            <w:pPr>
              <w:pStyle w:val="Cuerpo"/>
              <w:tabs>
                <w:tab w:val="left" w:pos="360"/>
              </w:tabs>
              <w:jc w:val="center"/>
            </w:pPr>
            <w:r w:rsidRPr="001829E7">
              <w:rPr>
                <w:rFonts w:ascii="Arial"/>
                <w:b/>
                <w:bCs/>
                <w:sz w:val="20"/>
                <w:szCs w:val="20"/>
              </w:rPr>
              <w:t>3.895</w:t>
            </w:r>
          </w:p>
        </w:tc>
      </w:tr>
    </w:tbl>
    <w:p w14:paraId="3E1CA9CB" w14:textId="77777777" w:rsidR="00AC69EC" w:rsidRDefault="00AC69EC">
      <w:pPr>
        <w:pStyle w:val="TextoMichelin"/>
        <w:jc w:val="left"/>
        <w:rPr>
          <w:sz w:val="20"/>
          <w:szCs w:val="20"/>
        </w:rPr>
        <w:sectPr w:rsidR="00AC69EC">
          <w:headerReference w:type="default" r:id="rId8"/>
          <w:footerReference w:type="default" r:id="rId9"/>
          <w:footnotePr>
            <w:numFmt w:val="chicago"/>
          </w:footnotePr>
          <w:pgSz w:w="11900" w:h="16840"/>
          <w:pgMar w:top="1417" w:right="1701" w:bottom="1417" w:left="1701" w:header="708" w:footer="396" w:gutter="0"/>
          <w:cols w:space="720"/>
        </w:sectPr>
      </w:pPr>
    </w:p>
    <w:tbl>
      <w:tblPr>
        <w:tblStyle w:val="TableNormal"/>
        <w:tblW w:w="84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38"/>
        <w:gridCol w:w="2462"/>
        <w:gridCol w:w="2298"/>
      </w:tblGrid>
      <w:tr w:rsidR="00700DFB" w:rsidRPr="001829E7" w14:paraId="4263F19A" w14:textId="77777777" w:rsidTr="00AC69EC">
        <w:trPr>
          <w:trHeight w:val="443"/>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E8B15" w14:textId="6CAAAD5B" w:rsidR="00700DFB" w:rsidRPr="001829E7" w:rsidRDefault="009F7ED2">
            <w:pPr>
              <w:pStyle w:val="TextoMichelin"/>
              <w:jc w:val="left"/>
            </w:pPr>
            <w:r w:rsidRPr="001829E7">
              <w:rPr>
                <w:sz w:val="20"/>
                <w:szCs w:val="20"/>
              </w:rPr>
              <w:lastRenderedPageBreak/>
              <w:t>CASH FLOW LIBRE</w:t>
            </w:r>
            <w:r w:rsidR="009B7D6D">
              <w:rPr>
                <w:rStyle w:val="Refdenotaalpie"/>
                <w:sz w:val="20"/>
                <w:szCs w:val="20"/>
              </w:rPr>
              <w:footnoteReference w:id="1"/>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A61A0" w14:textId="77777777" w:rsidR="00700DFB" w:rsidRPr="001829E7" w:rsidRDefault="00700DFB">
            <w:pPr>
              <w:pStyle w:val="Cuerpo"/>
              <w:tabs>
                <w:tab w:val="left" w:pos="360"/>
              </w:tabs>
              <w:jc w:val="center"/>
              <w:rPr>
                <w:rFonts w:ascii="Arial" w:eastAsia="Arial" w:hAnsi="Arial" w:cs="Arial"/>
                <w:b/>
                <w:bCs/>
                <w:sz w:val="20"/>
                <w:szCs w:val="20"/>
              </w:rPr>
            </w:pPr>
          </w:p>
          <w:p w14:paraId="78CFE50E" w14:textId="77777777" w:rsidR="00700DFB" w:rsidRPr="001829E7" w:rsidRDefault="009F7ED2">
            <w:pPr>
              <w:pStyle w:val="Cuerpo"/>
              <w:tabs>
                <w:tab w:val="left" w:pos="360"/>
              </w:tabs>
              <w:jc w:val="center"/>
            </w:pPr>
            <w:r w:rsidRPr="001829E7">
              <w:rPr>
                <w:rFonts w:ascii="Arial"/>
                <w:b/>
                <w:bCs/>
                <w:sz w:val="20"/>
                <w:szCs w:val="20"/>
              </w:rPr>
              <w:t>322</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33130" w14:textId="77777777" w:rsidR="00700DFB" w:rsidRPr="001829E7" w:rsidRDefault="00700DFB">
            <w:pPr>
              <w:pStyle w:val="Cuerpo"/>
              <w:tabs>
                <w:tab w:val="left" w:pos="360"/>
              </w:tabs>
              <w:jc w:val="center"/>
              <w:rPr>
                <w:rFonts w:ascii="Arial" w:eastAsia="Arial" w:hAnsi="Arial" w:cs="Arial"/>
                <w:b/>
                <w:bCs/>
                <w:sz w:val="20"/>
                <w:szCs w:val="20"/>
              </w:rPr>
            </w:pPr>
          </w:p>
          <w:p w14:paraId="5BD2D5E1" w14:textId="77777777" w:rsidR="00700DFB" w:rsidRPr="001829E7" w:rsidRDefault="009F7ED2">
            <w:pPr>
              <w:pStyle w:val="Cuerpo"/>
              <w:tabs>
                <w:tab w:val="left" w:pos="360"/>
              </w:tabs>
              <w:jc w:val="center"/>
            </w:pPr>
            <w:r w:rsidRPr="001829E7">
              <w:rPr>
                <w:rFonts w:ascii="Arial"/>
                <w:b/>
                <w:bCs/>
                <w:sz w:val="20"/>
                <w:szCs w:val="20"/>
              </w:rPr>
              <w:t>1.154</w:t>
            </w:r>
          </w:p>
        </w:tc>
      </w:tr>
      <w:tr w:rsidR="00700DFB" w:rsidRPr="001829E7" w14:paraId="1389F66F" w14:textId="77777777" w:rsidTr="00AC69EC">
        <w:trPr>
          <w:trHeight w:val="443"/>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88B1F" w14:textId="77777777" w:rsidR="00700DFB" w:rsidRPr="001829E7" w:rsidRDefault="009F7ED2">
            <w:pPr>
              <w:pStyle w:val="TextoMichelin"/>
              <w:jc w:val="left"/>
            </w:pPr>
            <w:r w:rsidRPr="001829E7">
              <w:rPr>
                <w:sz w:val="20"/>
                <w:szCs w:val="20"/>
              </w:rPr>
              <w:t>ROCE</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DE681" w14:textId="77777777" w:rsidR="00700DFB" w:rsidRPr="001829E7" w:rsidRDefault="00700DFB">
            <w:pPr>
              <w:pStyle w:val="Cuerpo"/>
              <w:tabs>
                <w:tab w:val="left" w:pos="360"/>
              </w:tabs>
              <w:jc w:val="center"/>
              <w:rPr>
                <w:rFonts w:ascii="Arial" w:eastAsia="Arial" w:hAnsi="Arial" w:cs="Arial"/>
                <w:b/>
                <w:bCs/>
                <w:sz w:val="20"/>
                <w:szCs w:val="20"/>
              </w:rPr>
            </w:pPr>
          </w:p>
          <w:p w14:paraId="6CC085DA" w14:textId="77777777" w:rsidR="00700DFB" w:rsidRPr="001829E7" w:rsidRDefault="009F7ED2">
            <w:pPr>
              <w:pStyle w:val="Cuerpo"/>
              <w:tabs>
                <w:tab w:val="left" w:pos="360"/>
              </w:tabs>
              <w:jc w:val="center"/>
            </w:pPr>
            <w:r w:rsidRPr="001829E7">
              <w:rPr>
                <w:rFonts w:ascii="Arial"/>
                <w:b/>
                <w:bCs/>
                <w:sz w:val="20"/>
                <w:szCs w:val="20"/>
              </w:rPr>
              <w:t>11,1 %</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BF5BB" w14:textId="77777777" w:rsidR="00700DFB" w:rsidRPr="001829E7" w:rsidRDefault="00700DFB">
            <w:pPr>
              <w:pStyle w:val="Cuerpo"/>
              <w:tabs>
                <w:tab w:val="left" w:pos="360"/>
              </w:tabs>
              <w:jc w:val="center"/>
              <w:rPr>
                <w:rFonts w:ascii="Arial" w:eastAsia="Arial" w:hAnsi="Arial" w:cs="Arial"/>
                <w:b/>
                <w:bCs/>
                <w:sz w:val="20"/>
                <w:szCs w:val="20"/>
              </w:rPr>
            </w:pPr>
          </w:p>
          <w:p w14:paraId="016ED264" w14:textId="77777777" w:rsidR="00700DFB" w:rsidRPr="001829E7" w:rsidRDefault="009F7ED2">
            <w:pPr>
              <w:pStyle w:val="Cuerpo"/>
              <w:tabs>
                <w:tab w:val="left" w:pos="360"/>
              </w:tabs>
              <w:jc w:val="center"/>
            </w:pPr>
            <w:r w:rsidRPr="001829E7">
              <w:rPr>
                <w:rFonts w:ascii="Arial"/>
                <w:b/>
                <w:bCs/>
                <w:sz w:val="20"/>
                <w:szCs w:val="20"/>
              </w:rPr>
              <w:t>11,9</w:t>
            </w:r>
            <w:r w:rsidRPr="001829E7">
              <w:rPr>
                <w:rFonts w:hAnsi="Arial Unicode MS"/>
                <w:b/>
                <w:bCs/>
                <w:sz w:val="20"/>
                <w:szCs w:val="20"/>
              </w:rPr>
              <w:t> </w:t>
            </w:r>
            <w:r w:rsidRPr="001829E7">
              <w:rPr>
                <w:rFonts w:ascii="Arial"/>
                <w:b/>
                <w:bCs/>
                <w:sz w:val="20"/>
                <w:szCs w:val="20"/>
              </w:rPr>
              <w:t>%</w:t>
            </w:r>
          </w:p>
        </w:tc>
      </w:tr>
      <w:tr w:rsidR="00700DFB" w:rsidRPr="001829E7" w14:paraId="7616998F" w14:textId="77777777" w:rsidTr="00AC69EC">
        <w:trPr>
          <w:trHeight w:val="443"/>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FCB54" w14:textId="4499F0B8" w:rsidR="00700DFB" w:rsidRPr="001829E7" w:rsidRDefault="009F7ED2">
            <w:pPr>
              <w:pStyle w:val="TextoMichelin"/>
              <w:jc w:val="left"/>
            </w:pPr>
            <w:r w:rsidRPr="001829E7">
              <w:rPr>
                <w:sz w:val="20"/>
                <w:szCs w:val="20"/>
              </w:rPr>
              <w:t>EMPLEADOS</w:t>
            </w:r>
            <w:r w:rsidR="009B7D6D">
              <w:rPr>
                <w:rStyle w:val="Refdenotaalpie"/>
                <w:sz w:val="20"/>
                <w:szCs w:val="20"/>
              </w:rPr>
              <w:footnoteReference w:id="2"/>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8340A" w14:textId="77777777" w:rsidR="00700DFB" w:rsidRPr="001829E7" w:rsidRDefault="00700DFB">
            <w:pPr>
              <w:pStyle w:val="Cuerpo"/>
              <w:tabs>
                <w:tab w:val="left" w:pos="360"/>
              </w:tabs>
              <w:jc w:val="center"/>
              <w:rPr>
                <w:rFonts w:ascii="Arial" w:eastAsia="Arial" w:hAnsi="Arial" w:cs="Arial"/>
                <w:b/>
                <w:bCs/>
                <w:sz w:val="20"/>
                <w:szCs w:val="20"/>
              </w:rPr>
            </w:pPr>
          </w:p>
          <w:p w14:paraId="7D212FA5" w14:textId="77777777" w:rsidR="00700DFB" w:rsidRPr="001829E7" w:rsidRDefault="009F7ED2">
            <w:pPr>
              <w:pStyle w:val="Cuerpo"/>
              <w:tabs>
                <w:tab w:val="left" w:pos="360"/>
              </w:tabs>
              <w:jc w:val="center"/>
            </w:pPr>
            <w:r w:rsidRPr="001829E7">
              <w:rPr>
                <w:rFonts w:hAnsi="Arial Unicode MS"/>
                <w:b/>
                <w:bCs/>
                <w:sz w:val="20"/>
                <w:szCs w:val="20"/>
              </w:rPr>
              <w:t> </w:t>
            </w:r>
            <w:r w:rsidRPr="001829E7">
              <w:rPr>
                <w:rFonts w:ascii="Arial"/>
                <w:b/>
                <w:bCs/>
                <w:sz w:val="20"/>
                <w:szCs w:val="20"/>
              </w:rPr>
              <w:t>112.300</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DC47C" w14:textId="77777777" w:rsidR="00700DFB" w:rsidRPr="001829E7" w:rsidRDefault="00700DFB">
            <w:pPr>
              <w:pStyle w:val="Cuerpo"/>
              <w:tabs>
                <w:tab w:val="left" w:pos="360"/>
              </w:tabs>
              <w:jc w:val="center"/>
              <w:rPr>
                <w:rFonts w:ascii="Arial" w:eastAsia="Arial" w:hAnsi="Arial" w:cs="Arial"/>
                <w:b/>
                <w:bCs/>
                <w:sz w:val="20"/>
                <w:szCs w:val="20"/>
              </w:rPr>
            </w:pPr>
          </w:p>
          <w:p w14:paraId="5FD7D516" w14:textId="77777777" w:rsidR="00700DFB" w:rsidRPr="001829E7" w:rsidRDefault="009F7ED2">
            <w:pPr>
              <w:pStyle w:val="Cuerpo"/>
              <w:tabs>
                <w:tab w:val="left" w:pos="360"/>
              </w:tabs>
              <w:jc w:val="center"/>
            </w:pPr>
            <w:r w:rsidRPr="001829E7">
              <w:rPr>
                <w:rFonts w:hAnsi="Arial Unicode MS"/>
                <w:b/>
                <w:bCs/>
                <w:sz w:val="20"/>
                <w:szCs w:val="20"/>
              </w:rPr>
              <w:t> </w:t>
            </w:r>
            <w:r w:rsidRPr="001829E7">
              <w:rPr>
                <w:rFonts w:ascii="Arial"/>
                <w:b/>
                <w:bCs/>
                <w:sz w:val="20"/>
                <w:szCs w:val="20"/>
              </w:rPr>
              <w:t>111.200</w:t>
            </w:r>
          </w:p>
        </w:tc>
      </w:tr>
    </w:tbl>
    <w:p w14:paraId="14099874" w14:textId="77777777" w:rsidR="00700DFB" w:rsidRPr="001829E7" w:rsidRDefault="009F7ED2">
      <w:pPr>
        <w:pStyle w:val="TextoMichelin"/>
        <w:rPr>
          <w:rFonts w:ascii="Times" w:eastAsia="Times" w:hAnsi="Times" w:cs="Times"/>
          <w:b/>
          <w:bCs/>
          <w:color w:val="333399"/>
          <w:sz w:val="40"/>
          <w:szCs w:val="40"/>
          <w:u w:color="333399"/>
        </w:rPr>
      </w:pPr>
      <w:r w:rsidRPr="001829E7">
        <w:rPr>
          <w:rFonts w:ascii="Times" w:eastAsia="Times" w:hAnsi="Times" w:cs="Times"/>
          <w:b/>
          <w:bCs/>
          <w:color w:val="333399"/>
          <w:sz w:val="40"/>
          <w:szCs w:val="40"/>
          <w:u w:color="333399"/>
        </w:rPr>
        <w:lastRenderedPageBreak/>
        <w:t xml:space="preserve">Evolución del mercado de neumáticos </w:t>
      </w:r>
    </w:p>
    <w:p w14:paraId="4F2A67D7" w14:textId="77777777" w:rsidR="00700DFB" w:rsidRPr="001829E7" w:rsidRDefault="009F7ED2">
      <w:pPr>
        <w:pStyle w:val="Cuerpo"/>
        <w:spacing w:before="480" w:after="120" w:line="270" w:lineRule="atLeast"/>
        <w:rPr>
          <w:b/>
          <w:bCs/>
          <w:sz w:val="26"/>
          <w:szCs w:val="26"/>
        </w:rPr>
      </w:pPr>
      <w:r w:rsidRPr="001829E7">
        <w:rPr>
          <w:b/>
          <w:bCs/>
          <w:sz w:val="26"/>
          <w:szCs w:val="26"/>
        </w:rPr>
        <w:t>Turismo y camioneta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993"/>
        <w:gridCol w:w="1275"/>
        <w:gridCol w:w="1276"/>
        <w:gridCol w:w="1276"/>
        <w:gridCol w:w="1417"/>
        <w:gridCol w:w="993"/>
      </w:tblGrid>
      <w:tr w:rsidR="009A68DC" w:rsidRPr="00A540CC" w14:paraId="095CDE10" w14:textId="77777777" w:rsidTr="009A68DC">
        <w:trPr>
          <w:trHeight w:val="890"/>
        </w:trPr>
        <w:tc>
          <w:tcPr>
            <w:tcW w:w="2376" w:type="dxa"/>
            <w:shd w:val="clear" w:color="auto" w:fill="E6E6E6"/>
          </w:tcPr>
          <w:p w14:paraId="4C4B03C2" w14:textId="77777777" w:rsidR="009A68DC" w:rsidRPr="00A540CC" w:rsidRDefault="009A68DC" w:rsidP="009A68DC">
            <w:pPr>
              <w:pStyle w:val="LadilloMichelinDossier"/>
              <w:spacing w:before="0" w:after="0"/>
              <w:rPr>
                <w:b w:val="0"/>
                <w:bCs w:val="0"/>
                <w:sz w:val="20"/>
                <w:lang w:bidi="es-ES_tradnl"/>
              </w:rPr>
            </w:pPr>
            <w:r w:rsidRPr="00A540CC">
              <w:rPr>
                <w:rFonts w:ascii="Arial" w:hAnsi="Arial"/>
                <w:b w:val="0"/>
                <w:bCs w:val="0"/>
                <w:sz w:val="20"/>
                <w:lang w:bidi="es-ES_tradnl"/>
              </w:rPr>
              <w:t>2014/2013</w:t>
            </w:r>
            <w:r w:rsidRPr="00A540CC">
              <w:rPr>
                <w:rFonts w:ascii="Arial" w:hAnsi="Arial"/>
                <w:b w:val="0"/>
                <w:bCs w:val="0"/>
                <w:sz w:val="20"/>
                <w:lang w:bidi="es-ES_tradnl"/>
              </w:rPr>
              <w:br/>
            </w:r>
            <w:r w:rsidRPr="00A540CC">
              <w:rPr>
                <w:rFonts w:ascii="Arial" w:hAnsi="Arial"/>
                <w:b w:val="0"/>
                <w:bCs w:val="0"/>
                <w:sz w:val="18"/>
                <w:lang w:bidi="es-ES_tradnl"/>
              </w:rPr>
              <w:t>(número de neumáticos)</w:t>
            </w:r>
          </w:p>
        </w:tc>
        <w:tc>
          <w:tcPr>
            <w:tcW w:w="993" w:type="dxa"/>
            <w:shd w:val="clear" w:color="auto" w:fill="E6E6E6"/>
          </w:tcPr>
          <w:p w14:paraId="74DC0405" w14:textId="77777777" w:rsidR="009A68DC" w:rsidRPr="00A540CC" w:rsidRDefault="009A68DC" w:rsidP="009A68DC">
            <w:pPr>
              <w:pStyle w:val="LadilloMichelinDossier"/>
              <w:spacing w:before="0" w:after="0"/>
              <w:rPr>
                <w:b w:val="0"/>
                <w:bCs w:val="0"/>
                <w:sz w:val="20"/>
                <w:lang w:bidi="es-ES_tradnl"/>
              </w:rPr>
            </w:pPr>
            <w:r w:rsidRPr="00A540CC">
              <w:rPr>
                <w:rFonts w:ascii="Arial" w:hAnsi="Arial"/>
                <w:b w:val="0"/>
                <w:bCs w:val="0"/>
                <w:sz w:val="20"/>
                <w:lang w:bidi="es-ES_tradnl"/>
              </w:rPr>
              <w:t>Europa</w:t>
            </w:r>
            <w:r w:rsidRPr="00A540CC">
              <w:rPr>
                <w:rStyle w:val="Refdenotaalpie"/>
                <w:rFonts w:ascii="Arial" w:hAnsi="Arial"/>
                <w:b w:val="0"/>
                <w:bCs w:val="0"/>
                <w:sz w:val="32"/>
                <w:lang w:bidi="es-ES_tradnl"/>
              </w:rPr>
              <w:footnoteReference w:customMarkFollows="1" w:id="3"/>
              <w:sym w:font="Symbol" w:char="F02A"/>
            </w:r>
          </w:p>
        </w:tc>
        <w:tc>
          <w:tcPr>
            <w:tcW w:w="1275" w:type="dxa"/>
            <w:shd w:val="clear" w:color="auto" w:fill="E6E6E6"/>
          </w:tcPr>
          <w:p w14:paraId="37932CE7" w14:textId="77777777" w:rsidR="009A68DC" w:rsidRPr="00A540CC" w:rsidRDefault="009A68DC" w:rsidP="009A68DC">
            <w:pPr>
              <w:pStyle w:val="LadilloMichelinDossier"/>
              <w:spacing w:before="0" w:after="0"/>
              <w:rPr>
                <w:b w:val="0"/>
                <w:bCs w:val="0"/>
                <w:sz w:val="20"/>
                <w:lang w:bidi="es-ES_tradnl"/>
              </w:rPr>
            </w:pPr>
            <w:r w:rsidRPr="00A540CC">
              <w:rPr>
                <w:rFonts w:ascii="Arial" w:hAnsi="Arial"/>
                <w:b w:val="0"/>
                <w:bCs w:val="0"/>
                <w:sz w:val="20"/>
                <w:lang w:bidi="es-ES_tradnl"/>
              </w:rPr>
              <w:t xml:space="preserve">América </w:t>
            </w:r>
            <w:r w:rsidRPr="00A540CC">
              <w:rPr>
                <w:rFonts w:ascii="Arial" w:hAnsi="Arial"/>
                <w:b w:val="0"/>
                <w:bCs w:val="0"/>
                <w:sz w:val="20"/>
                <w:lang w:bidi="es-ES_tradnl"/>
              </w:rPr>
              <w:br/>
              <w:t>del Norte</w:t>
            </w:r>
          </w:p>
        </w:tc>
        <w:tc>
          <w:tcPr>
            <w:tcW w:w="1276" w:type="dxa"/>
            <w:shd w:val="clear" w:color="auto" w:fill="E6E6E6"/>
          </w:tcPr>
          <w:p w14:paraId="242E61C7" w14:textId="77777777" w:rsidR="009A68DC" w:rsidRPr="00A540CC" w:rsidRDefault="009A68DC" w:rsidP="009A68DC">
            <w:pPr>
              <w:pStyle w:val="LadilloMichelinDossier"/>
              <w:spacing w:before="0" w:after="0"/>
              <w:rPr>
                <w:rFonts w:ascii="Arial" w:hAnsi="Arial"/>
                <w:b w:val="0"/>
                <w:bCs w:val="0"/>
                <w:sz w:val="20"/>
                <w:lang w:bidi="es-ES_tradnl"/>
              </w:rPr>
            </w:pPr>
            <w:r w:rsidRPr="00A540CC">
              <w:rPr>
                <w:rFonts w:ascii="Arial" w:hAnsi="Arial"/>
                <w:b w:val="0"/>
                <w:bCs w:val="0"/>
                <w:sz w:val="20"/>
                <w:lang w:bidi="es-ES_tradnl"/>
              </w:rPr>
              <w:t>Asia</w:t>
            </w:r>
          </w:p>
          <w:p w14:paraId="2269CA30" w14:textId="77777777" w:rsidR="009A68DC" w:rsidRPr="00A540CC" w:rsidRDefault="009A68DC" w:rsidP="009A68DC">
            <w:pPr>
              <w:pStyle w:val="LadilloMichelinDossier"/>
              <w:spacing w:before="0" w:after="0"/>
              <w:rPr>
                <w:b w:val="0"/>
                <w:bCs w:val="0"/>
                <w:sz w:val="20"/>
                <w:lang w:bidi="es-ES_tradnl"/>
              </w:rPr>
            </w:pPr>
            <w:r w:rsidRPr="00A540CC">
              <w:rPr>
                <w:rFonts w:ascii="Arial" w:hAnsi="Arial"/>
                <w:b w:val="0"/>
                <w:bCs w:val="0"/>
                <w:sz w:val="20"/>
                <w:lang w:bidi="es-ES_tradnl"/>
              </w:rPr>
              <w:t>(sin India)</w:t>
            </w:r>
          </w:p>
        </w:tc>
        <w:tc>
          <w:tcPr>
            <w:tcW w:w="1276" w:type="dxa"/>
            <w:shd w:val="clear" w:color="auto" w:fill="E6E6E6"/>
          </w:tcPr>
          <w:p w14:paraId="4F7E646F" w14:textId="77777777" w:rsidR="009A68DC" w:rsidRPr="00A540CC" w:rsidRDefault="009A68DC" w:rsidP="009A68DC">
            <w:pPr>
              <w:pStyle w:val="LadilloMichelinDossier"/>
              <w:spacing w:before="0" w:after="0"/>
              <w:rPr>
                <w:b w:val="0"/>
                <w:bCs w:val="0"/>
                <w:sz w:val="20"/>
                <w:lang w:bidi="es-ES_tradnl"/>
              </w:rPr>
            </w:pPr>
            <w:r w:rsidRPr="00A540CC">
              <w:rPr>
                <w:rFonts w:ascii="Arial" w:hAnsi="Arial"/>
                <w:b w:val="0"/>
                <w:bCs w:val="0"/>
                <w:sz w:val="20"/>
                <w:lang w:bidi="es-ES_tradnl"/>
              </w:rPr>
              <w:t xml:space="preserve">América </w:t>
            </w:r>
            <w:r w:rsidRPr="00A540CC">
              <w:rPr>
                <w:rFonts w:ascii="Arial" w:hAnsi="Arial"/>
                <w:b w:val="0"/>
                <w:bCs w:val="0"/>
                <w:sz w:val="20"/>
                <w:lang w:bidi="es-ES_tradnl"/>
              </w:rPr>
              <w:br/>
              <w:t>del Sur</w:t>
            </w:r>
          </w:p>
        </w:tc>
        <w:tc>
          <w:tcPr>
            <w:tcW w:w="1417" w:type="dxa"/>
            <w:shd w:val="clear" w:color="auto" w:fill="E6E6E6"/>
          </w:tcPr>
          <w:p w14:paraId="3EDFDDBA" w14:textId="77777777" w:rsidR="009A68DC" w:rsidRPr="00A540CC" w:rsidRDefault="009A68DC" w:rsidP="009A68DC">
            <w:pPr>
              <w:pStyle w:val="LadilloMichelinDossier"/>
              <w:spacing w:before="0" w:after="0"/>
              <w:rPr>
                <w:b w:val="0"/>
                <w:bCs w:val="0"/>
                <w:sz w:val="20"/>
                <w:lang w:bidi="es-ES_tradnl"/>
              </w:rPr>
            </w:pPr>
            <w:r w:rsidRPr="00A540CC">
              <w:rPr>
                <w:rFonts w:ascii="Arial" w:hAnsi="Arial"/>
                <w:b w:val="0"/>
                <w:bCs w:val="0"/>
                <w:sz w:val="20"/>
                <w:lang w:bidi="es-ES_tradnl"/>
              </w:rPr>
              <w:t>África/India/Oriente Medio</w:t>
            </w:r>
          </w:p>
        </w:tc>
        <w:tc>
          <w:tcPr>
            <w:tcW w:w="993" w:type="dxa"/>
            <w:shd w:val="clear" w:color="auto" w:fill="E6E6E6"/>
          </w:tcPr>
          <w:p w14:paraId="2D49F586" w14:textId="77777777" w:rsidR="009A68DC" w:rsidRPr="00A540CC" w:rsidRDefault="009A68DC" w:rsidP="009A68DC">
            <w:pPr>
              <w:pStyle w:val="LadilloMichelinDossier"/>
              <w:spacing w:before="0" w:after="0"/>
              <w:rPr>
                <w:b w:val="0"/>
                <w:bCs w:val="0"/>
                <w:sz w:val="20"/>
                <w:lang w:bidi="es-ES_tradnl"/>
              </w:rPr>
            </w:pPr>
            <w:r w:rsidRPr="00A540CC">
              <w:rPr>
                <w:rFonts w:ascii="Arial" w:hAnsi="Arial"/>
                <w:b w:val="0"/>
                <w:bCs w:val="0"/>
                <w:sz w:val="20"/>
                <w:lang w:bidi="es-ES_tradnl"/>
              </w:rPr>
              <w:t>Total</w:t>
            </w:r>
          </w:p>
        </w:tc>
      </w:tr>
      <w:tr w:rsidR="009A68DC" w:rsidRPr="00A540CC" w14:paraId="14DE9BC4" w14:textId="77777777" w:rsidTr="009A68DC">
        <w:trPr>
          <w:trHeight w:val="1271"/>
        </w:trPr>
        <w:tc>
          <w:tcPr>
            <w:tcW w:w="2376" w:type="dxa"/>
          </w:tcPr>
          <w:p w14:paraId="4ABFD11F" w14:textId="77777777" w:rsidR="009A68DC" w:rsidRPr="00A540CC" w:rsidRDefault="009A68DC" w:rsidP="009A68DC">
            <w:pPr>
              <w:pStyle w:val="LadilloMichelinDossier"/>
              <w:spacing w:before="0" w:after="0"/>
              <w:jc w:val="both"/>
              <w:rPr>
                <w:rFonts w:ascii="Arial" w:hAnsi="Arial"/>
                <w:b w:val="0"/>
                <w:bCs w:val="0"/>
                <w:sz w:val="20"/>
                <w:lang w:bidi="es-ES_tradnl"/>
              </w:rPr>
            </w:pPr>
          </w:p>
          <w:p w14:paraId="3BC66CC7" w14:textId="77777777" w:rsidR="009A68DC" w:rsidRPr="00A540CC" w:rsidRDefault="009A68DC" w:rsidP="009A68DC">
            <w:pPr>
              <w:pStyle w:val="LadilloMichelinDossier"/>
              <w:spacing w:before="0" w:after="0"/>
              <w:jc w:val="both"/>
              <w:rPr>
                <w:rFonts w:ascii="Arial" w:hAnsi="Arial"/>
                <w:b w:val="0"/>
                <w:bCs w:val="0"/>
                <w:sz w:val="20"/>
                <w:lang w:bidi="es-ES_tradnl"/>
              </w:rPr>
            </w:pPr>
            <w:r w:rsidRPr="00A540CC">
              <w:rPr>
                <w:rFonts w:ascii="Arial" w:hAnsi="Arial"/>
                <w:b w:val="0"/>
                <w:bCs w:val="0"/>
                <w:sz w:val="20"/>
                <w:lang w:bidi="es-ES_tradnl"/>
              </w:rPr>
              <w:t>Primera monta</w:t>
            </w:r>
          </w:p>
          <w:p w14:paraId="4647D1F4" w14:textId="77777777" w:rsidR="009A68DC" w:rsidRPr="00A540CC" w:rsidRDefault="009A68DC" w:rsidP="009A68DC">
            <w:pPr>
              <w:pStyle w:val="LadilloMichelinDossier"/>
              <w:spacing w:before="0" w:after="0"/>
              <w:jc w:val="both"/>
              <w:rPr>
                <w:rFonts w:ascii="Arial" w:hAnsi="Arial"/>
                <w:b w:val="0"/>
                <w:bCs w:val="0"/>
                <w:sz w:val="20"/>
                <w:lang w:bidi="es-ES_tradnl"/>
              </w:rPr>
            </w:pPr>
          </w:p>
          <w:p w14:paraId="4C4E584E" w14:textId="77777777" w:rsidR="009A68DC" w:rsidRPr="00A540CC" w:rsidRDefault="009A68DC" w:rsidP="009A68DC">
            <w:pPr>
              <w:pStyle w:val="LadilloMichelinDossier"/>
              <w:spacing w:before="0" w:after="0"/>
              <w:jc w:val="both"/>
              <w:rPr>
                <w:b w:val="0"/>
                <w:bCs w:val="0"/>
                <w:sz w:val="20"/>
                <w:lang w:bidi="es-ES_tradnl"/>
              </w:rPr>
            </w:pPr>
            <w:r w:rsidRPr="00A540CC">
              <w:rPr>
                <w:rFonts w:ascii="Arial" w:hAnsi="Arial"/>
                <w:b w:val="0"/>
                <w:bCs w:val="0"/>
                <w:sz w:val="20"/>
                <w:lang w:bidi="es-ES_tradnl"/>
              </w:rPr>
              <w:t>Reemplazo</w:t>
            </w:r>
          </w:p>
        </w:tc>
        <w:tc>
          <w:tcPr>
            <w:tcW w:w="993" w:type="dxa"/>
          </w:tcPr>
          <w:p w14:paraId="749E79EE"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p>
          <w:p w14:paraId="7EB8983E"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t>+ 3 %</w:t>
            </w:r>
          </w:p>
          <w:p w14:paraId="0AB57B3D"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p>
          <w:p w14:paraId="6F45783F"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t>+ 1 %</w:t>
            </w:r>
          </w:p>
          <w:p w14:paraId="572305B7"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p>
        </w:tc>
        <w:tc>
          <w:tcPr>
            <w:tcW w:w="1275" w:type="dxa"/>
          </w:tcPr>
          <w:p w14:paraId="759F2EFE"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p>
          <w:p w14:paraId="76DACD97"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t>+ 5 %</w:t>
            </w:r>
          </w:p>
          <w:p w14:paraId="430E1BDB"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p>
          <w:p w14:paraId="0F4F8018"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t>+ 6 %</w:t>
            </w:r>
          </w:p>
        </w:tc>
        <w:tc>
          <w:tcPr>
            <w:tcW w:w="1276" w:type="dxa"/>
          </w:tcPr>
          <w:p w14:paraId="77F1E2E5"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p>
          <w:p w14:paraId="159A64A7"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t>+ 4 %</w:t>
            </w:r>
          </w:p>
          <w:p w14:paraId="5F141F13"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p>
          <w:p w14:paraId="21F915E3"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t>+ 4 %</w:t>
            </w:r>
          </w:p>
        </w:tc>
        <w:tc>
          <w:tcPr>
            <w:tcW w:w="1276" w:type="dxa"/>
          </w:tcPr>
          <w:p w14:paraId="6BC97436"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p>
          <w:p w14:paraId="2A7C3826"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t>- 16 %</w:t>
            </w:r>
          </w:p>
          <w:p w14:paraId="7A82DF72"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p>
          <w:p w14:paraId="09C309DC"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t>+ 5 %</w:t>
            </w:r>
          </w:p>
        </w:tc>
        <w:tc>
          <w:tcPr>
            <w:tcW w:w="1417" w:type="dxa"/>
          </w:tcPr>
          <w:p w14:paraId="1A5DF0B3"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p>
          <w:p w14:paraId="20E7CA36"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t>+ 2 %</w:t>
            </w:r>
          </w:p>
          <w:p w14:paraId="77454285"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p>
          <w:p w14:paraId="3715DE67"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t>+ 4 %</w:t>
            </w:r>
          </w:p>
        </w:tc>
        <w:tc>
          <w:tcPr>
            <w:tcW w:w="993" w:type="dxa"/>
          </w:tcPr>
          <w:p w14:paraId="5D01F972" w14:textId="77777777" w:rsidR="009A68DC" w:rsidRPr="00A540CC" w:rsidRDefault="009A68DC" w:rsidP="009A68DC">
            <w:pPr>
              <w:tabs>
                <w:tab w:val="left" w:pos="1168"/>
              </w:tabs>
              <w:spacing w:line="270" w:lineRule="atLeast"/>
              <w:ind w:right="-108"/>
              <w:jc w:val="center"/>
              <w:rPr>
                <w:rFonts w:ascii="Arial" w:eastAsia="MS Mincho" w:hAnsi="Arial" w:cs="Arial"/>
                <w:b/>
                <w:snapToGrid w:val="0"/>
                <w:sz w:val="20"/>
                <w:szCs w:val="20"/>
              </w:rPr>
            </w:pPr>
          </w:p>
          <w:p w14:paraId="2FCB7710" w14:textId="77777777" w:rsidR="009A68DC" w:rsidRPr="00A540CC" w:rsidRDefault="009A68DC" w:rsidP="009A68DC">
            <w:pPr>
              <w:tabs>
                <w:tab w:val="left" w:pos="1168"/>
              </w:tabs>
              <w:spacing w:line="270" w:lineRule="atLeast"/>
              <w:ind w:right="-108"/>
              <w:jc w:val="center"/>
              <w:rPr>
                <w:rFonts w:ascii="Arial" w:eastAsia="MS Mincho" w:hAnsi="Arial" w:cs="Arial"/>
                <w:b/>
                <w:snapToGrid w:val="0"/>
                <w:sz w:val="20"/>
                <w:szCs w:val="20"/>
              </w:rPr>
            </w:pPr>
            <w:r w:rsidRPr="00A540CC">
              <w:rPr>
                <w:rFonts w:ascii="Arial" w:eastAsia="MS Mincho" w:hAnsi="Arial" w:cs="Arial"/>
                <w:b/>
                <w:snapToGrid w:val="0"/>
                <w:sz w:val="20"/>
                <w:szCs w:val="20"/>
              </w:rPr>
              <w:t>+ 3 %</w:t>
            </w:r>
          </w:p>
          <w:p w14:paraId="2BA362D3" w14:textId="77777777" w:rsidR="009A68DC" w:rsidRPr="00A540CC" w:rsidRDefault="009A68DC" w:rsidP="009A68DC">
            <w:pPr>
              <w:tabs>
                <w:tab w:val="left" w:pos="1168"/>
              </w:tabs>
              <w:spacing w:line="270" w:lineRule="atLeast"/>
              <w:ind w:right="-108"/>
              <w:jc w:val="center"/>
              <w:rPr>
                <w:rFonts w:ascii="Arial" w:eastAsia="MS Mincho" w:hAnsi="Arial" w:cs="Arial"/>
                <w:b/>
                <w:snapToGrid w:val="0"/>
                <w:sz w:val="20"/>
                <w:szCs w:val="20"/>
              </w:rPr>
            </w:pPr>
          </w:p>
          <w:p w14:paraId="36131377" w14:textId="77777777" w:rsidR="009A68DC" w:rsidRPr="00A540CC" w:rsidRDefault="009A68DC" w:rsidP="009A68DC">
            <w:pPr>
              <w:tabs>
                <w:tab w:val="left" w:pos="1168"/>
              </w:tabs>
              <w:spacing w:line="270" w:lineRule="atLeast"/>
              <w:ind w:right="-108"/>
              <w:jc w:val="center"/>
              <w:rPr>
                <w:rFonts w:ascii="Arial" w:eastAsia="MS Mincho" w:hAnsi="Arial" w:cs="Arial"/>
                <w:b/>
                <w:snapToGrid w:val="0"/>
                <w:sz w:val="20"/>
                <w:szCs w:val="20"/>
              </w:rPr>
            </w:pPr>
            <w:r w:rsidRPr="00A540CC">
              <w:rPr>
                <w:rFonts w:ascii="Arial" w:eastAsia="MS Mincho" w:hAnsi="Arial" w:cs="Arial"/>
                <w:b/>
                <w:snapToGrid w:val="0"/>
                <w:sz w:val="20"/>
                <w:szCs w:val="20"/>
              </w:rPr>
              <w:t>+ 4 %</w:t>
            </w:r>
          </w:p>
        </w:tc>
      </w:tr>
    </w:tbl>
    <w:p w14:paraId="28DE8ACF" w14:textId="77777777" w:rsidR="00700DFB" w:rsidRPr="001829E7" w:rsidRDefault="00700DFB">
      <w:pPr>
        <w:pStyle w:val="Cuerpo"/>
        <w:widowControl w:val="0"/>
        <w:ind w:left="284"/>
        <w:jc w:val="both"/>
        <w:rPr>
          <w:rFonts w:ascii="Arial" w:eastAsia="Arial" w:hAnsi="Arial" w:cs="Arial"/>
        </w:rPr>
      </w:pPr>
    </w:p>
    <w:p w14:paraId="356D0155" w14:textId="77777777" w:rsidR="00700DFB" w:rsidRPr="001829E7" w:rsidRDefault="00700DFB">
      <w:pPr>
        <w:pStyle w:val="Cuerpo"/>
        <w:widowControl w:val="0"/>
        <w:ind w:left="284"/>
        <w:jc w:val="both"/>
        <w:rPr>
          <w:rFonts w:ascii="Arial" w:eastAsia="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134"/>
        <w:gridCol w:w="1275"/>
        <w:gridCol w:w="1276"/>
        <w:gridCol w:w="1276"/>
        <w:gridCol w:w="1417"/>
        <w:gridCol w:w="993"/>
      </w:tblGrid>
      <w:tr w:rsidR="009A68DC" w:rsidRPr="00A540CC" w14:paraId="14044D93" w14:textId="77777777" w:rsidTr="009A68DC">
        <w:trPr>
          <w:trHeight w:val="890"/>
        </w:trPr>
        <w:tc>
          <w:tcPr>
            <w:tcW w:w="2235" w:type="dxa"/>
            <w:shd w:val="clear" w:color="auto" w:fill="E6E6E6"/>
          </w:tcPr>
          <w:p w14:paraId="4BE1D192" w14:textId="77777777" w:rsidR="009A68DC" w:rsidRPr="00A540CC" w:rsidRDefault="009A68DC" w:rsidP="009A68DC">
            <w:pPr>
              <w:pStyle w:val="LadilloMichelinDossier"/>
              <w:spacing w:before="0" w:after="0"/>
              <w:rPr>
                <w:rFonts w:ascii="Arial" w:hAnsi="Arial"/>
                <w:b w:val="0"/>
                <w:bCs w:val="0"/>
                <w:sz w:val="20"/>
                <w:lang w:bidi="es-ES_tradnl"/>
              </w:rPr>
            </w:pPr>
            <w:r w:rsidRPr="00A540CC">
              <w:rPr>
                <w:rFonts w:ascii="Arial" w:hAnsi="Arial"/>
                <w:b w:val="0"/>
                <w:bCs w:val="0"/>
                <w:sz w:val="20"/>
                <w:lang w:bidi="es-ES_tradnl"/>
              </w:rPr>
              <w:t>Cuarto trimestre</w:t>
            </w:r>
          </w:p>
          <w:p w14:paraId="3131B43E" w14:textId="77777777" w:rsidR="009A68DC" w:rsidRPr="00A540CC" w:rsidRDefault="009A68DC" w:rsidP="009A68DC">
            <w:pPr>
              <w:pStyle w:val="LadilloMichelinDossier"/>
              <w:spacing w:before="0" w:after="0"/>
              <w:rPr>
                <w:b w:val="0"/>
                <w:bCs w:val="0"/>
                <w:sz w:val="20"/>
                <w:lang w:bidi="es-ES_tradnl"/>
              </w:rPr>
            </w:pPr>
            <w:r w:rsidRPr="00A540CC">
              <w:rPr>
                <w:rFonts w:ascii="Arial" w:hAnsi="Arial"/>
                <w:b w:val="0"/>
                <w:bCs w:val="0"/>
                <w:sz w:val="20"/>
                <w:lang w:bidi="es-ES_tradnl"/>
              </w:rPr>
              <w:t>2014</w:t>
            </w:r>
            <w:r w:rsidRPr="00A540CC">
              <w:rPr>
                <w:rFonts w:ascii="Arial" w:hAnsi="Arial"/>
                <w:b w:val="0"/>
                <w:bCs w:val="0"/>
                <w:sz w:val="20"/>
                <w:lang w:bidi="es-ES_tradnl"/>
              </w:rPr>
              <w:br/>
            </w:r>
            <w:r w:rsidRPr="00A540CC">
              <w:rPr>
                <w:rFonts w:ascii="Arial" w:hAnsi="Arial"/>
                <w:b w:val="0"/>
                <w:bCs w:val="0"/>
                <w:sz w:val="18"/>
                <w:lang w:bidi="es-ES_tradnl"/>
              </w:rPr>
              <w:t>(número de neumáticos)</w:t>
            </w:r>
          </w:p>
        </w:tc>
        <w:tc>
          <w:tcPr>
            <w:tcW w:w="1134" w:type="dxa"/>
            <w:shd w:val="clear" w:color="auto" w:fill="E6E6E6"/>
          </w:tcPr>
          <w:p w14:paraId="5ADC7F12" w14:textId="77777777" w:rsidR="009A68DC" w:rsidRPr="00A540CC" w:rsidRDefault="009A68DC" w:rsidP="009A68DC">
            <w:pPr>
              <w:pStyle w:val="LadilloMichelinDossier"/>
              <w:spacing w:before="0" w:after="0"/>
              <w:rPr>
                <w:b w:val="0"/>
                <w:bCs w:val="0"/>
                <w:sz w:val="20"/>
                <w:lang w:bidi="es-ES_tradnl"/>
              </w:rPr>
            </w:pPr>
            <w:r w:rsidRPr="00A540CC">
              <w:rPr>
                <w:rFonts w:ascii="Arial" w:hAnsi="Arial"/>
                <w:b w:val="0"/>
                <w:bCs w:val="0"/>
                <w:sz w:val="20"/>
                <w:lang w:bidi="es-ES_tradnl"/>
              </w:rPr>
              <w:t>Europa</w:t>
            </w:r>
            <w:r w:rsidRPr="00A540CC">
              <w:rPr>
                <w:rStyle w:val="Refdenotaalpie"/>
                <w:rFonts w:ascii="Arial" w:hAnsi="Arial"/>
                <w:b w:val="0"/>
                <w:bCs w:val="0"/>
                <w:sz w:val="32"/>
                <w:lang w:bidi="es-ES_tradnl"/>
              </w:rPr>
              <w:footnoteReference w:customMarkFollows="1" w:id="4"/>
              <w:sym w:font="Symbol" w:char="F02A"/>
            </w:r>
          </w:p>
        </w:tc>
        <w:tc>
          <w:tcPr>
            <w:tcW w:w="1275" w:type="dxa"/>
            <w:shd w:val="clear" w:color="auto" w:fill="E6E6E6"/>
          </w:tcPr>
          <w:p w14:paraId="5803B97E" w14:textId="77777777" w:rsidR="009A68DC" w:rsidRPr="00A540CC" w:rsidRDefault="009A68DC" w:rsidP="009A68DC">
            <w:pPr>
              <w:pStyle w:val="LadilloMichelinDossier"/>
              <w:spacing w:before="0" w:after="0"/>
              <w:rPr>
                <w:b w:val="0"/>
                <w:bCs w:val="0"/>
                <w:sz w:val="20"/>
                <w:lang w:bidi="es-ES_tradnl"/>
              </w:rPr>
            </w:pPr>
            <w:r w:rsidRPr="00A540CC">
              <w:rPr>
                <w:rFonts w:ascii="Arial" w:hAnsi="Arial"/>
                <w:b w:val="0"/>
                <w:bCs w:val="0"/>
                <w:sz w:val="20"/>
                <w:lang w:bidi="es-ES_tradnl"/>
              </w:rPr>
              <w:t xml:space="preserve">América </w:t>
            </w:r>
            <w:r w:rsidRPr="00A540CC">
              <w:rPr>
                <w:rFonts w:ascii="Arial" w:hAnsi="Arial"/>
                <w:b w:val="0"/>
                <w:bCs w:val="0"/>
                <w:sz w:val="20"/>
                <w:lang w:bidi="es-ES_tradnl"/>
              </w:rPr>
              <w:br/>
              <w:t>del Norte</w:t>
            </w:r>
          </w:p>
        </w:tc>
        <w:tc>
          <w:tcPr>
            <w:tcW w:w="1276" w:type="dxa"/>
            <w:shd w:val="clear" w:color="auto" w:fill="E6E6E6"/>
          </w:tcPr>
          <w:p w14:paraId="21EFFC74" w14:textId="77777777" w:rsidR="009A68DC" w:rsidRPr="00A540CC" w:rsidRDefault="009A68DC" w:rsidP="009A68DC">
            <w:pPr>
              <w:pStyle w:val="LadilloMichelinDossier"/>
              <w:spacing w:before="0" w:after="0"/>
              <w:rPr>
                <w:rFonts w:ascii="Arial" w:hAnsi="Arial"/>
                <w:b w:val="0"/>
                <w:bCs w:val="0"/>
                <w:sz w:val="20"/>
                <w:lang w:bidi="es-ES_tradnl"/>
              </w:rPr>
            </w:pPr>
            <w:r w:rsidRPr="00A540CC">
              <w:rPr>
                <w:rFonts w:ascii="Arial" w:hAnsi="Arial"/>
                <w:b w:val="0"/>
                <w:bCs w:val="0"/>
                <w:sz w:val="20"/>
                <w:lang w:bidi="es-ES_tradnl"/>
              </w:rPr>
              <w:t>Asia</w:t>
            </w:r>
          </w:p>
          <w:p w14:paraId="0EB4B447" w14:textId="77777777" w:rsidR="009A68DC" w:rsidRPr="00A540CC" w:rsidRDefault="009A68DC" w:rsidP="009A68DC">
            <w:pPr>
              <w:pStyle w:val="LadilloMichelinDossier"/>
              <w:spacing w:before="0" w:after="0"/>
              <w:rPr>
                <w:b w:val="0"/>
                <w:bCs w:val="0"/>
                <w:sz w:val="20"/>
                <w:lang w:bidi="es-ES_tradnl"/>
              </w:rPr>
            </w:pPr>
            <w:r w:rsidRPr="00A540CC">
              <w:rPr>
                <w:rFonts w:ascii="Arial" w:hAnsi="Arial"/>
                <w:b w:val="0"/>
                <w:bCs w:val="0"/>
                <w:sz w:val="20"/>
                <w:lang w:bidi="es-ES_tradnl"/>
              </w:rPr>
              <w:t>(sin India)</w:t>
            </w:r>
          </w:p>
        </w:tc>
        <w:tc>
          <w:tcPr>
            <w:tcW w:w="1276" w:type="dxa"/>
            <w:shd w:val="clear" w:color="auto" w:fill="E6E6E6"/>
          </w:tcPr>
          <w:p w14:paraId="4574BBDE" w14:textId="77777777" w:rsidR="009A68DC" w:rsidRPr="00A540CC" w:rsidRDefault="009A68DC" w:rsidP="009A68DC">
            <w:pPr>
              <w:pStyle w:val="LadilloMichelinDossier"/>
              <w:spacing w:before="0" w:after="0"/>
              <w:rPr>
                <w:b w:val="0"/>
                <w:bCs w:val="0"/>
                <w:sz w:val="20"/>
                <w:lang w:bidi="es-ES_tradnl"/>
              </w:rPr>
            </w:pPr>
            <w:r w:rsidRPr="00A540CC">
              <w:rPr>
                <w:rFonts w:ascii="Arial" w:hAnsi="Arial"/>
                <w:b w:val="0"/>
                <w:bCs w:val="0"/>
                <w:sz w:val="20"/>
                <w:lang w:bidi="es-ES_tradnl"/>
              </w:rPr>
              <w:t xml:space="preserve">América </w:t>
            </w:r>
            <w:r w:rsidRPr="00A540CC">
              <w:rPr>
                <w:rFonts w:ascii="Arial" w:hAnsi="Arial"/>
                <w:b w:val="0"/>
                <w:bCs w:val="0"/>
                <w:sz w:val="20"/>
                <w:lang w:bidi="es-ES_tradnl"/>
              </w:rPr>
              <w:br/>
              <w:t>del Sur</w:t>
            </w:r>
          </w:p>
        </w:tc>
        <w:tc>
          <w:tcPr>
            <w:tcW w:w="1417" w:type="dxa"/>
            <w:shd w:val="clear" w:color="auto" w:fill="E6E6E6"/>
          </w:tcPr>
          <w:p w14:paraId="2A5816B5" w14:textId="77777777" w:rsidR="009A68DC" w:rsidRPr="00A540CC" w:rsidRDefault="009A68DC" w:rsidP="009A68DC">
            <w:pPr>
              <w:pStyle w:val="LadilloMichelinDossier"/>
              <w:spacing w:before="0" w:after="0"/>
              <w:rPr>
                <w:b w:val="0"/>
                <w:bCs w:val="0"/>
                <w:sz w:val="20"/>
                <w:lang w:bidi="es-ES_tradnl"/>
              </w:rPr>
            </w:pPr>
            <w:r w:rsidRPr="00A540CC">
              <w:rPr>
                <w:rFonts w:ascii="Arial" w:hAnsi="Arial"/>
                <w:b w:val="0"/>
                <w:bCs w:val="0"/>
                <w:sz w:val="20"/>
                <w:lang w:bidi="es-ES_tradnl"/>
              </w:rPr>
              <w:t>África/India/Oriente Medio</w:t>
            </w:r>
          </w:p>
        </w:tc>
        <w:tc>
          <w:tcPr>
            <w:tcW w:w="993" w:type="dxa"/>
            <w:shd w:val="clear" w:color="auto" w:fill="E6E6E6"/>
          </w:tcPr>
          <w:p w14:paraId="106BD62E" w14:textId="77777777" w:rsidR="009A68DC" w:rsidRPr="00A540CC" w:rsidRDefault="009A68DC" w:rsidP="009A68DC">
            <w:pPr>
              <w:pStyle w:val="LadilloMichelinDossier"/>
              <w:spacing w:before="0" w:after="0"/>
              <w:rPr>
                <w:b w:val="0"/>
                <w:bCs w:val="0"/>
                <w:sz w:val="20"/>
                <w:lang w:bidi="es-ES_tradnl"/>
              </w:rPr>
            </w:pPr>
            <w:r w:rsidRPr="00A540CC">
              <w:rPr>
                <w:rFonts w:ascii="Arial" w:hAnsi="Arial"/>
                <w:b w:val="0"/>
                <w:bCs w:val="0"/>
                <w:sz w:val="20"/>
                <w:lang w:bidi="es-ES_tradnl"/>
              </w:rPr>
              <w:t>Total</w:t>
            </w:r>
          </w:p>
        </w:tc>
      </w:tr>
      <w:tr w:rsidR="009A68DC" w:rsidRPr="00A540CC" w14:paraId="5A88D453" w14:textId="77777777" w:rsidTr="009A68DC">
        <w:trPr>
          <w:trHeight w:val="1271"/>
        </w:trPr>
        <w:tc>
          <w:tcPr>
            <w:tcW w:w="2235" w:type="dxa"/>
          </w:tcPr>
          <w:p w14:paraId="0420AFFC" w14:textId="77777777" w:rsidR="009A68DC" w:rsidRPr="00A540CC" w:rsidRDefault="009A68DC" w:rsidP="009A68DC">
            <w:pPr>
              <w:pStyle w:val="LadilloMichelinDossier"/>
              <w:spacing w:before="0" w:after="0"/>
              <w:jc w:val="both"/>
              <w:rPr>
                <w:rFonts w:ascii="Arial" w:hAnsi="Arial"/>
                <w:b w:val="0"/>
                <w:bCs w:val="0"/>
                <w:sz w:val="20"/>
                <w:lang w:bidi="es-ES_tradnl"/>
              </w:rPr>
            </w:pPr>
            <w:r w:rsidRPr="00A540CC">
              <w:rPr>
                <w:rFonts w:ascii="Arial" w:hAnsi="Arial"/>
                <w:b w:val="0"/>
                <w:bCs w:val="0"/>
                <w:sz w:val="20"/>
                <w:lang w:bidi="es-ES_tradnl"/>
              </w:rPr>
              <w:br/>
              <w:t>Primera monta</w:t>
            </w:r>
          </w:p>
          <w:p w14:paraId="750C1722" w14:textId="77777777" w:rsidR="009A68DC" w:rsidRPr="00A540CC" w:rsidRDefault="009A68DC" w:rsidP="009A68DC">
            <w:pPr>
              <w:pStyle w:val="LadilloMichelinDossier"/>
              <w:spacing w:before="0" w:after="0"/>
              <w:jc w:val="both"/>
              <w:rPr>
                <w:rFonts w:ascii="Arial" w:hAnsi="Arial"/>
                <w:b w:val="0"/>
                <w:bCs w:val="0"/>
                <w:sz w:val="20"/>
                <w:lang w:bidi="es-ES_tradnl"/>
              </w:rPr>
            </w:pPr>
            <w:r w:rsidRPr="00A540CC">
              <w:rPr>
                <w:rFonts w:ascii="Arial" w:hAnsi="Arial"/>
                <w:b w:val="0"/>
                <w:bCs w:val="0"/>
                <w:sz w:val="20"/>
                <w:lang w:bidi="es-ES_tradnl"/>
              </w:rPr>
              <w:t xml:space="preserve">     </w:t>
            </w:r>
          </w:p>
          <w:p w14:paraId="6BE06338" w14:textId="77777777" w:rsidR="009A68DC" w:rsidRPr="00A540CC" w:rsidRDefault="009A68DC" w:rsidP="009A68DC">
            <w:pPr>
              <w:pStyle w:val="LadilloMichelinDossier"/>
              <w:spacing w:before="0" w:after="0"/>
              <w:jc w:val="both"/>
              <w:rPr>
                <w:b w:val="0"/>
                <w:bCs w:val="0"/>
                <w:sz w:val="20"/>
                <w:lang w:bidi="es-ES_tradnl"/>
              </w:rPr>
            </w:pPr>
            <w:r w:rsidRPr="00A540CC">
              <w:rPr>
                <w:rFonts w:ascii="Arial" w:hAnsi="Arial"/>
                <w:b w:val="0"/>
                <w:bCs w:val="0"/>
                <w:sz w:val="20"/>
                <w:lang w:bidi="es-ES_tradnl"/>
              </w:rPr>
              <w:t>Reemplazo</w:t>
            </w:r>
          </w:p>
        </w:tc>
        <w:tc>
          <w:tcPr>
            <w:tcW w:w="1134" w:type="dxa"/>
          </w:tcPr>
          <w:p w14:paraId="1A4B3C87"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p>
          <w:p w14:paraId="535DD125"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t>- 0 %</w:t>
            </w:r>
          </w:p>
          <w:p w14:paraId="512D6AEE"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p>
          <w:p w14:paraId="566C1B47"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t>- 7%</w:t>
            </w:r>
          </w:p>
          <w:p w14:paraId="0C5F6570"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p>
        </w:tc>
        <w:tc>
          <w:tcPr>
            <w:tcW w:w="1275" w:type="dxa"/>
          </w:tcPr>
          <w:p w14:paraId="42C329B7"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p>
          <w:p w14:paraId="54243BE1"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t>+ 4 %</w:t>
            </w:r>
          </w:p>
          <w:p w14:paraId="0D19FDE2"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p>
          <w:p w14:paraId="392D8418"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t>+ 6 %</w:t>
            </w:r>
          </w:p>
        </w:tc>
        <w:tc>
          <w:tcPr>
            <w:tcW w:w="1276" w:type="dxa"/>
          </w:tcPr>
          <w:p w14:paraId="22316104"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p>
          <w:p w14:paraId="5B639731"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t>- 0 %</w:t>
            </w:r>
          </w:p>
          <w:p w14:paraId="16AC0A3F"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p>
          <w:p w14:paraId="6111C563"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t>+ 3 %</w:t>
            </w:r>
          </w:p>
        </w:tc>
        <w:tc>
          <w:tcPr>
            <w:tcW w:w="1276" w:type="dxa"/>
          </w:tcPr>
          <w:p w14:paraId="01CE5124"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p>
          <w:p w14:paraId="630B9450"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t>- 9 %</w:t>
            </w:r>
          </w:p>
          <w:p w14:paraId="4E45B0C8"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p>
          <w:p w14:paraId="629BD2D4"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t>+ 5 %</w:t>
            </w:r>
          </w:p>
        </w:tc>
        <w:tc>
          <w:tcPr>
            <w:tcW w:w="1417" w:type="dxa"/>
          </w:tcPr>
          <w:p w14:paraId="0EF3F79E"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p>
          <w:p w14:paraId="406F31C1"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t>+ 12 %</w:t>
            </w:r>
          </w:p>
          <w:p w14:paraId="04D48C4A"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p>
          <w:p w14:paraId="691697D2" w14:textId="77777777" w:rsidR="009A68DC" w:rsidRPr="00A540CC" w:rsidRDefault="009A68DC" w:rsidP="009A68DC">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t>+ 4 %</w:t>
            </w:r>
          </w:p>
        </w:tc>
        <w:tc>
          <w:tcPr>
            <w:tcW w:w="993" w:type="dxa"/>
          </w:tcPr>
          <w:p w14:paraId="22CB422F" w14:textId="77777777" w:rsidR="009A68DC" w:rsidRPr="00A540CC" w:rsidRDefault="009A68DC" w:rsidP="009A68DC">
            <w:pPr>
              <w:tabs>
                <w:tab w:val="left" w:pos="1168"/>
              </w:tabs>
              <w:spacing w:line="270" w:lineRule="atLeast"/>
              <w:ind w:right="-108"/>
              <w:jc w:val="center"/>
              <w:rPr>
                <w:rFonts w:ascii="Arial" w:eastAsia="MS Mincho" w:hAnsi="Arial" w:cs="Arial"/>
                <w:b/>
                <w:snapToGrid w:val="0"/>
                <w:sz w:val="20"/>
                <w:szCs w:val="20"/>
              </w:rPr>
            </w:pPr>
          </w:p>
          <w:p w14:paraId="6AB6D851" w14:textId="77777777" w:rsidR="009A68DC" w:rsidRPr="00A540CC" w:rsidRDefault="009A68DC" w:rsidP="009A68DC">
            <w:pPr>
              <w:tabs>
                <w:tab w:val="left" w:pos="1168"/>
              </w:tabs>
              <w:spacing w:line="270" w:lineRule="atLeast"/>
              <w:ind w:right="-108"/>
              <w:jc w:val="center"/>
              <w:rPr>
                <w:rFonts w:ascii="Arial" w:eastAsia="MS Mincho" w:hAnsi="Arial" w:cs="Arial"/>
                <w:b/>
                <w:snapToGrid w:val="0"/>
                <w:sz w:val="20"/>
                <w:szCs w:val="20"/>
              </w:rPr>
            </w:pPr>
            <w:r w:rsidRPr="00A540CC">
              <w:rPr>
                <w:rFonts w:ascii="Arial" w:eastAsia="MS Mincho" w:hAnsi="Arial" w:cs="Arial"/>
                <w:b/>
                <w:snapToGrid w:val="0"/>
                <w:sz w:val="20"/>
                <w:szCs w:val="20"/>
              </w:rPr>
              <w:t>+ 1 %</w:t>
            </w:r>
          </w:p>
          <w:p w14:paraId="03959410" w14:textId="77777777" w:rsidR="009A68DC" w:rsidRPr="00A540CC" w:rsidRDefault="009A68DC" w:rsidP="009A68DC">
            <w:pPr>
              <w:tabs>
                <w:tab w:val="left" w:pos="1168"/>
              </w:tabs>
              <w:spacing w:line="270" w:lineRule="atLeast"/>
              <w:ind w:right="-108"/>
              <w:jc w:val="center"/>
              <w:rPr>
                <w:rFonts w:ascii="Arial" w:eastAsia="MS Mincho" w:hAnsi="Arial" w:cs="Arial"/>
                <w:b/>
                <w:snapToGrid w:val="0"/>
                <w:sz w:val="20"/>
                <w:szCs w:val="20"/>
              </w:rPr>
            </w:pPr>
          </w:p>
          <w:p w14:paraId="1C5DEE39" w14:textId="77777777" w:rsidR="009A68DC" w:rsidRPr="00A540CC" w:rsidRDefault="009A68DC" w:rsidP="009A68DC">
            <w:pPr>
              <w:tabs>
                <w:tab w:val="left" w:pos="1168"/>
              </w:tabs>
              <w:spacing w:line="270" w:lineRule="atLeast"/>
              <w:ind w:right="-108"/>
              <w:jc w:val="center"/>
              <w:rPr>
                <w:rFonts w:ascii="Arial" w:eastAsia="MS Mincho" w:hAnsi="Arial" w:cs="Arial"/>
                <w:b/>
                <w:snapToGrid w:val="0"/>
                <w:sz w:val="20"/>
                <w:szCs w:val="20"/>
              </w:rPr>
            </w:pPr>
            <w:r w:rsidRPr="00A540CC">
              <w:rPr>
                <w:rFonts w:ascii="Arial" w:eastAsia="MS Mincho" w:hAnsi="Arial" w:cs="Arial"/>
                <w:b/>
                <w:snapToGrid w:val="0"/>
                <w:sz w:val="20"/>
                <w:szCs w:val="20"/>
              </w:rPr>
              <w:t>+ 1 %</w:t>
            </w:r>
          </w:p>
        </w:tc>
      </w:tr>
    </w:tbl>
    <w:p w14:paraId="050716F6" w14:textId="77777777" w:rsidR="00700DFB" w:rsidRPr="001829E7" w:rsidRDefault="00700DFB">
      <w:pPr>
        <w:pStyle w:val="Cuerpo"/>
        <w:widowControl w:val="0"/>
        <w:ind w:left="284"/>
        <w:jc w:val="both"/>
        <w:rPr>
          <w:rFonts w:ascii="Arial" w:eastAsia="Arial" w:hAnsi="Arial" w:cs="Arial"/>
        </w:rPr>
      </w:pPr>
    </w:p>
    <w:p w14:paraId="7C0897AE" w14:textId="77777777" w:rsidR="00700DFB" w:rsidRPr="001829E7" w:rsidRDefault="009F7ED2" w:rsidP="00D5131A">
      <w:pPr>
        <w:pStyle w:val="Cuerpo"/>
        <w:numPr>
          <w:ilvl w:val="0"/>
          <w:numId w:val="12"/>
        </w:numPr>
        <w:tabs>
          <w:tab w:val="clear" w:pos="360"/>
          <w:tab w:val="num" w:pos="411"/>
        </w:tabs>
        <w:spacing w:before="480" w:after="240" w:line="270" w:lineRule="atLeast"/>
        <w:ind w:left="411" w:hanging="411"/>
        <w:jc w:val="both"/>
        <w:rPr>
          <w:rFonts w:ascii="Arial" w:eastAsia="Arial" w:hAnsi="Arial" w:cs="Arial"/>
          <w:b/>
          <w:bCs/>
        </w:rPr>
      </w:pPr>
      <w:r w:rsidRPr="001829E7">
        <w:rPr>
          <w:rFonts w:ascii="Arial"/>
          <w:b/>
          <w:bCs/>
          <w:sz w:val="21"/>
          <w:szCs w:val="21"/>
        </w:rPr>
        <w:t>Primeros Equipos</w:t>
      </w:r>
    </w:p>
    <w:p w14:paraId="70AFF6E1" w14:textId="77777777" w:rsidR="00700DFB" w:rsidRPr="003C2B56" w:rsidRDefault="009F7ED2" w:rsidP="003C2B56">
      <w:pPr>
        <w:pStyle w:val="TextoMichelin"/>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276" w:hanging="283"/>
        <w:rPr>
          <w:rFonts w:eastAsia="Times" w:hAnsi="Arial" w:cs="Times New Roman"/>
          <w:color w:val="auto"/>
          <w:szCs w:val="24"/>
          <w:bdr w:val="none" w:sz="0" w:space="0" w:color="auto"/>
          <w:lang w:eastAsia="fr-FR"/>
        </w:rPr>
      </w:pPr>
      <w:r w:rsidRPr="003C2B56">
        <w:rPr>
          <w:rFonts w:eastAsia="Times" w:hAnsi="Arial" w:cs="Times New Roman"/>
          <w:color w:val="auto"/>
          <w:szCs w:val="24"/>
          <w:bdr w:val="none" w:sz="0" w:space="0" w:color="auto"/>
          <w:lang w:eastAsia="fr-FR"/>
        </w:rPr>
        <w:t>En Europa, la demanda, en crecimiento del 3 %, combinado con un aumento del 5 % en Europa Occidental en comparación con unos mercados débiles a comienzos de 2013, y un retroceso del 12 % (- 25 % en el cuarto trimestre) en Europa del Este en un difícil contexto geopolítico y económico.</w:t>
      </w:r>
    </w:p>
    <w:p w14:paraId="299EFB91" w14:textId="77777777" w:rsidR="00700DFB" w:rsidRPr="003C2B56" w:rsidRDefault="009F7ED2" w:rsidP="003C2B56">
      <w:pPr>
        <w:pStyle w:val="TextoMichelin"/>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276" w:hanging="283"/>
        <w:rPr>
          <w:rFonts w:eastAsia="Times" w:hAnsi="Arial" w:cs="Times New Roman"/>
          <w:color w:val="auto"/>
          <w:szCs w:val="24"/>
          <w:bdr w:val="none" w:sz="0" w:space="0" w:color="auto"/>
          <w:lang w:eastAsia="fr-FR"/>
        </w:rPr>
      </w:pPr>
      <w:r w:rsidRPr="003C2B56">
        <w:rPr>
          <w:rFonts w:eastAsia="Times" w:hAnsi="Arial" w:cs="Times New Roman"/>
          <w:color w:val="auto"/>
          <w:szCs w:val="24"/>
          <w:bdr w:val="none" w:sz="0" w:space="0" w:color="auto"/>
          <w:lang w:eastAsia="fr-FR"/>
        </w:rPr>
        <w:t xml:space="preserve">En América del Norte, el mercado, siempre en desarrollo, crece un 5 % en el año, sostenido por la demanda de vehículos y una coyuntura económica favorable. </w:t>
      </w:r>
    </w:p>
    <w:p w14:paraId="5325BDD2" w14:textId="77777777" w:rsidR="00700DFB" w:rsidRDefault="009F7ED2" w:rsidP="003C2B56">
      <w:pPr>
        <w:pStyle w:val="TextoMichelin"/>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276" w:hanging="283"/>
        <w:rPr>
          <w:rFonts w:eastAsia="Times" w:hAnsi="Arial" w:cs="Times New Roman"/>
          <w:color w:val="auto"/>
          <w:szCs w:val="24"/>
          <w:bdr w:val="none" w:sz="0" w:space="0" w:color="auto"/>
          <w:lang w:eastAsia="fr-FR"/>
        </w:rPr>
      </w:pPr>
      <w:r w:rsidRPr="003C2B56">
        <w:rPr>
          <w:rFonts w:eastAsia="Times" w:hAnsi="Arial" w:cs="Times New Roman"/>
          <w:color w:val="auto"/>
          <w:szCs w:val="24"/>
          <w:bdr w:val="none" w:sz="0" w:space="0" w:color="auto"/>
          <w:lang w:eastAsia="fr-FR"/>
        </w:rPr>
        <w:t xml:space="preserve">En Asia (sin incluir India), la demanda experimenta un crecimiento global del 4 % hasta finales de diciembre. En China, el mercado continúan en fuerte crecimiento anual (+ 9 %), a pesar de la ralentización del segundo semestre, en línea con la situación económica de la zona. El mercado japonés crece un 1 %, con una ralentización en el segundo semestre, en paralelo a las tendencia a la largo plazo, tras el comienzo de año impulsado por las compras antes de la subida del IVA del pasado 1 de abril. El mercado del Sudeste asiático (- 8 %) sigue a la baja, fundamentalmente por el contexto político y económico tailandés. </w:t>
      </w:r>
    </w:p>
    <w:p w14:paraId="69EFFA74" w14:textId="77777777" w:rsidR="00700DFB" w:rsidRPr="003C2B56" w:rsidRDefault="009F7ED2" w:rsidP="003C2B56">
      <w:pPr>
        <w:pStyle w:val="TextoMichelin"/>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276" w:hanging="283"/>
        <w:rPr>
          <w:rFonts w:eastAsia="Times" w:hAnsi="Arial" w:cs="Times New Roman"/>
          <w:color w:val="auto"/>
          <w:szCs w:val="24"/>
          <w:bdr w:val="none" w:sz="0" w:space="0" w:color="auto"/>
          <w:lang w:eastAsia="fr-FR"/>
        </w:rPr>
      </w:pPr>
      <w:r w:rsidRPr="003C2B56">
        <w:rPr>
          <w:rFonts w:eastAsia="Times" w:hAnsi="Arial" w:cs="Times New Roman"/>
          <w:color w:val="auto"/>
          <w:szCs w:val="24"/>
          <w:bdr w:val="none" w:sz="0" w:space="0" w:color="auto"/>
          <w:lang w:eastAsia="fr-FR"/>
        </w:rPr>
        <w:lastRenderedPageBreak/>
        <w:t>En Sudamérica, la demanda (- 16 %) está a la baja constante desde comienzos de año, dada la situación económica de Brasil y Argentina.</w:t>
      </w:r>
    </w:p>
    <w:p w14:paraId="366813D3" w14:textId="77777777" w:rsidR="00700DFB" w:rsidRPr="001829E7" w:rsidRDefault="009F7ED2" w:rsidP="00D5131A">
      <w:pPr>
        <w:pStyle w:val="Cuerpo"/>
        <w:numPr>
          <w:ilvl w:val="0"/>
          <w:numId w:val="17"/>
        </w:numPr>
        <w:tabs>
          <w:tab w:val="clear" w:pos="360"/>
          <w:tab w:val="num" w:pos="411"/>
        </w:tabs>
        <w:spacing w:before="480" w:after="240" w:line="270" w:lineRule="atLeast"/>
        <w:ind w:left="411" w:hanging="411"/>
        <w:jc w:val="both"/>
        <w:rPr>
          <w:rFonts w:ascii="Arial" w:eastAsia="Arial" w:hAnsi="Arial" w:cs="Arial"/>
          <w:b/>
          <w:bCs/>
        </w:rPr>
      </w:pPr>
      <w:r w:rsidRPr="001829E7">
        <w:rPr>
          <w:rFonts w:ascii="Arial"/>
          <w:b/>
          <w:bCs/>
          <w:sz w:val="21"/>
          <w:szCs w:val="21"/>
        </w:rPr>
        <w:t>Reemplazo</w:t>
      </w:r>
    </w:p>
    <w:p w14:paraId="51CD5DC4" w14:textId="781C954F" w:rsidR="00700DFB" w:rsidRPr="00857E56" w:rsidRDefault="009F7ED2" w:rsidP="00857E56">
      <w:pPr>
        <w:pStyle w:val="TextoMichelin"/>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276" w:hanging="283"/>
        <w:rPr>
          <w:rFonts w:eastAsia="Times" w:hAnsi="Arial" w:cs="Times New Roman"/>
          <w:color w:val="auto"/>
          <w:szCs w:val="24"/>
          <w:bdr w:val="none" w:sz="0" w:space="0" w:color="auto"/>
          <w:lang w:eastAsia="fr-FR"/>
        </w:rPr>
      </w:pPr>
      <w:r w:rsidRPr="00857E56">
        <w:rPr>
          <w:rFonts w:eastAsia="Times" w:hAnsi="Arial" w:cs="Times New Roman"/>
          <w:color w:val="auto"/>
          <w:szCs w:val="24"/>
          <w:bdr w:val="none" w:sz="0" w:space="0" w:color="auto"/>
          <w:lang w:eastAsia="fr-FR"/>
        </w:rPr>
        <w:t>En Europa, el mercado experimenta un ligero crecimiento (+ 1 %) hasta finales de diciembre. La demanda en Europa Occidental aumenta un 2 % anual, con una bajada del 8 % en el cuarto trimestre, principalmente relacionada con el mercado de invierno. En el año, el segmento de invierno permanece estable, combinando un suministro a los distribuidores desde el mes de junio por parte de cierta competencia y un marcado descenso en otoño debido a un suave invierno, con elevados stocks de ciertas marcas en los distribuidores. En Europa del Este, el mercado cae en un 3 % anual, fuertemente afectado por los dificultades políticas y económicas en Rusia.</w:t>
      </w:r>
    </w:p>
    <w:p w14:paraId="4E93196B" w14:textId="77777777" w:rsidR="00700DFB" w:rsidRPr="00857E56" w:rsidRDefault="009F7ED2" w:rsidP="00857E56">
      <w:pPr>
        <w:pStyle w:val="TextoMichelin"/>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276" w:hanging="283"/>
        <w:rPr>
          <w:rFonts w:eastAsia="Times" w:hAnsi="Arial" w:cs="Times New Roman"/>
          <w:color w:val="auto"/>
          <w:szCs w:val="24"/>
          <w:bdr w:val="none" w:sz="0" w:space="0" w:color="auto"/>
          <w:lang w:eastAsia="fr-FR"/>
        </w:rPr>
      </w:pPr>
      <w:r w:rsidRPr="00857E56">
        <w:rPr>
          <w:rFonts w:eastAsia="Times" w:hAnsi="Arial" w:cs="Times New Roman"/>
          <w:color w:val="auto"/>
          <w:szCs w:val="24"/>
          <w:bdr w:val="none" w:sz="0" w:space="0" w:color="auto"/>
          <w:lang w:eastAsia="fr-FR"/>
        </w:rPr>
        <w:t xml:space="preserve">En América del Norte, el mercado aumenta un 6 % anual, bajo el efecto de una fuerte acumulación de stock de las importaciones de neumáticos chinos antes de entrada en vigor de los aranceles aduaneros, la demanda sostenida de neumáticos de invierno en Canadá y el dinamismo del mercado mexicano.  </w:t>
      </w:r>
    </w:p>
    <w:p w14:paraId="7C430951" w14:textId="77777777" w:rsidR="00700DFB" w:rsidRPr="00857E56" w:rsidRDefault="009F7ED2" w:rsidP="00857E56">
      <w:pPr>
        <w:pStyle w:val="TextoMichelin"/>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276" w:hanging="283"/>
        <w:rPr>
          <w:rFonts w:eastAsia="Times" w:hAnsi="Arial" w:cs="Times New Roman"/>
          <w:color w:val="auto"/>
          <w:szCs w:val="24"/>
          <w:bdr w:val="none" w:sz="0" w:space="0" w:color="auto"/>
          <w:lang w:eastAsia="fr-FR"/>
        </w:rPr>
      </w:pPr>
      <w:r w:rsidRPr="00857E56">
        <w:rPr>
          <w:rFonts w:eastAsia="Times" w:hAnsi="Arial" w:cs="Times New Roman"/>
          <w:color w:val="auto"/>
          <w:szCs w:val="24"/>
          <w:bdr w:val="none" w:sz="0" w:space="0" w:color="auto"/>
          <w:lang w:eastAsia="fr-FR"/>
        </w:rPr>
        <w:t>En Asia (sin incluir India), los mercados progresan globalmente un 4 %. La demanda china se caracteriza por una nueva mejora del mix y aumenta un 8 % anual, a pesar de la ralentización en el segundo semestre en un contexto económico menos positivo. El mercado japonés crece un 2 %, animado por la demanda de neumáticos de invierno. El crecimiento del 4 % en el Sudeste asiático está sostenido especialmente por Indonesia y Vietnam.</w:t>
      </w:r>
    </w:p>
    <w:p w14:paraId="32C95466" w14:textId="77777777" w:rsidR="00700DFB" w:rsidRPr="00857E56" w:rsidRDefault="009F7ED2" w:rsidP="00857E56">
      <w:pPr>
        <w:pStyle w:val="TextoMichelin"/>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276" w:hanging="283"/>
        <w:rPr>
          <w:rFonts w:eastAsia="Times" w:hAnsi="Arial" w:cs="Times New Roman"/>
          <w:color w:val="auto"/>
          <w:szCs w:val="24"/>
          <w:bdr w:val="none" w:sz="0" w:space="0" w:color="auto"/>
          <w:lang w:eastAsia="fr-FR"/>
        </w:rPr>
      </w:pPr>
      <w:r w:rsidRPr="00857E56">
        <w:rPr>
          <w:rFonts w:eastAsia="Times" w:hAnsi="Arial" w:cs="Times New Roman"/>
          <w:color w:val="auto"/>
          <w:szCs w:val="24"/>
          <w:bdr w:val="none" w:sz="0" w:space="0" w:color="auto"/>
          <w:lang w:eastAsia="fr-FR"/>
        </w:rPr>
        <w:t>En Sudamérica, la demanda aumenta un 5 %, espoleada por Brasil y el mantenimiento artificial de la demanda generado por las promociones de los neumáticos no vendidos en primer equipo.</w:t>
      </w:r>
    </w:p>
    <w:p w14:paraId="4F14C1AD" w14:textId="52095BB1" w:rsidR="00700DFB" w:rsidRPr="001829E7" w:rsidRDefault="00857E56">
      <w:pPr>
        <w:pStyle w:val="Cuerpo"/>
        <w:widowControl w:val="0"/>
        <w:spacing w:before="480" w:after="120" w:line="270" w:lineRule="atLeast"/>
        <w:rPr>
          <w:b/>
          <w:bCs/>
          <w:sz w:val="26"/>
          <w:szCs w:val="26"/>
        </w:rPr>
      </w:pPr>
      <w:r>
        <w:rPr>
          <w:b/>
          <w:bCs/>
          <w:sz w:val="26"/>
          <w:szCs w:val="26"/>
        </w:rPr>
        <w:br w:type="column"/>
      </w:r>
      <w:r w:rsidR="009F7ED2" w:rsidRPr="001829E7">
        <w:rPr>
          <w:b/>
          <w:bCs/>
          <w:sz w:val="26"/>
          <w:szCs w:val="26"/>
        </w:rPr>
        <w:lastRenderedPageBreak/>
        <w:t>Camión</w:t>
      </w:r>
      <w:r w:rsidR="009F7ED2" w:rsidRPr="001829E7">
        <w:rPr>
          <w:b/>
          <w:bCs/>
          <w:sz w:val="26"/>
          <w:szCs w:val="26"/>
        </w:rPr>
        <w:br/>
      </w:r>
    </w:p>
    <w:tbl>
      <w:tblPr>
        <w:tblStyle w:val="TableNormal"/>
        <w:tblW w:w="94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77"/>
        <w:gridCol w:w="1134"/>
        <w:gridCol w:w="1134"/>
        <w:gridCol w:w="1418"/>
        <w:gridCol w:w="1134"/>
        <w:gridCol w:w="1416"/>
        <w:gridCol w:w="851"/>
      </w:tblGrid>
      <w:tr w:rsidR="00F9716E" w:rsidRPr="001829E7" w14:paraId="4E46EAF7" w14:textId="77777777" w:rsidTr="00F9716E">
        <w:trPr>
          <w:trHeight w:val="842"/>
        </w:trPr>
        <w:tc>
          <w:tcPr>
            <w:tcW w:w="237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A56E1E3" w14:textId="27D66E54" w:rsidR="00F9716E" w:rsidRPr="001829E7" w:rsidRDefault="00F9716E">
            <w:pPr>
              <w:pStyle w:val="LadilloMichelinDossier"/>
              <w:spacing w:before="0" w:after="0"/>
              <w:jc w:val="both"/>
            </w:pPr>
            <w:r w:rsidRPr="00A540CC">
              <w:rPr>
                <w:rFonts w:ascii="Arial" w:hAnsi="Arial"/>
                <w:b w:val="0"/>
                <w:bCs w:val="0"/>
                <w:sz w:val="20"/>
                <w:lang w:bidi="es-ES_tradnl"/>
              </w:rPr>
              <w:t>2014/2013</w:t>
            </w:r>
            <w:r w:rsidRPr="00A540CC">
              <w:rPr>
                <w:rFonts w:ascii="Arial" w:hAnsi="Arial"/>
                <w:b w:val="0"/>
                <w:bCs w:val="0"/>
                <w:sz w:val="20"/>
                <w:lang w:bidi="es-ES_tradnl"/>
              </w:rPr>
              <w:br/>
            </w:r>
            <w:r w:rsidRPr="00A540CC">
              <w:rPr>
                <w:rFonts w:ascii="Arial" w:hAnsi="Arial"/>
                <w:b w:val="0"/>
                <w:bCs w:val="0"/>
                <w:sz w:val="18"/>
                <w:lang w:bidi="es-ES_tradnl"/>
              </w:rPr>
              <w:t>(número de neumáticos)</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224ABB7" w14:textId="5DCA996F" w:rsidR="00F9716E" w:rsidRPr="001829E7" w:rsidRDefault="00F9716E" w:rsidP="005B4C08">
            <w:pPr>
              <w:pStyle w:val="LadilloMichelinDossier"/>
              <w:spacing w:before="0" w:after="0"/>
              <w:jc w:val="both"/>
            </w:pPr>
            <w:r w:rsidRPr="00A540CC">
              <w:rPr>
                <w:rFonts w:ascii="Arial" w:hAnsi="Arial"/>
                <w:b w:val="0"/>
                <w:bCs w:val="0"/>
                <w:sz w:val="20"/>
                <w:lang w:bidi="es-ES_tradnl"/>
              </w:rPr>
              <w:t>Europa</w:t>
            </w:r>
            <w:r w:rsidRPr="00A540CC">
              <w:rPr>
                <w:rStyle w:val="Refdenotaalpie"/>
                <w:rFonts w:ascii="Arial" w:hAnsi="Arial"/>
                <w:b w:val="0"/>
                <w:bCs w:val="0"/>
                <w:sz w:val="32"/>
                <w:lang w:bidi="es-ES_tradnl"/>
              </w:rPr>
              <w:footnoteReference w:customMarkFollows="1" w:id="5"/>
              <w:sym w:font="Symbol" w:char="F02A"/>
            </w:r>
            <w:r w:rsidRPr="00A540CC">
              <w:rPr>
                <w:rStyle w:val="Refdenotaalpie"/>
                <w:rFonts w:ascii="Arial" w:hAnsi="Arial"/>
                <w:b w:val="0"/>
                <w:bCs w:val="0"/>
                <w:sz w:val="32"/>
                <w:lang w:bidi="es-ES_tradnl"/>
              </w:rPr>
              <w:sym w:font="Symbol" w:char="F02A"/>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3DC54AF" w14:textId="67B59EE7" w:rsidR="00F9716E" w:rsidRPr="001829E7" w:rsidRDefault="00F9716E">
            <w:pPr>
              <w:pStyle w:val="LadilloMichelinDossier"/>
              <w:spacing w:before="0" w:after="0"/>
              <w:jc w:val="both"/>
            </w:pPr>
            <w:r w:rsidRPr="00A540CC">
              <w:rPr>
                <w:rFonts w:ascii="Arial" w:hAnsi="Arial"/>
                <w:b w:val="0"/>
                <w:bCs w:val="0"/>
                <w:sz w:val="20"/>
                <w:lang w:bidi="es-ES_tradnl"/>
              </w:rPr>
              <w:t>América del Norte</w:t>
            </w:r>
          </w:p>
        </w:tc>
        <w:tc>
          <w:tcPr>
            <w:tcW w:w="141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11F75CB" w14:textId="77777777" w:rsidR="00F9716E" w:rsidRPr="00A540CC" w:rsidRDefault="00F9716E" w:rsidP="00F9716E">
            <w:pPr>
              <w:pStyle w:val="LadilloMichelinDossier"/>
              <w:spacing w:before="0" w:after="0"/>
              <w:jc w:val="both"/>
              <w:rPr>
                <w:rFonts w:ascii="Arial" w:hAnsi="Arial"/>
                <w:b w:val="0"/>
                <w:bCs w:val="0"/>
                <w:sz w:val="20"/>
                <w:lang w:bidi="es-ES_tradnl"/>
              </w:rPr>
            </w:pPr>
            <w:r w:rsidRPr="00A540CC">
              <w:rPr>
                <w:rFonts w:ascii="Arial" w:hAnsi="Arial"/>
                <w:b w:val="0"/>
                <w:bCs w:val="0"/>
                <w:sz w:val="20"/>
                <w:lang w:bidi="es-ES_tradnl"/>
              </w:rPr>
              <w:t>Asia</w:t>
            </w:r>
          </w:p>
          <w:p w14:paraId="15CBD088" w14:textId="5EF6ED65" w:rsidR="00F9716E" w:rsidRPr="001829E7" w:rsidRDefault="00F9716E">
            <w:pPr>
              <w:pStyle w:val="LadilloMichelinDossier"/>
              <w:spacing w:before="0" w:after="0"/>
              <w:jc w:val="both"/>
            </w:pPr>
            <w:r w:rsidRPr="00A540CC">
              <w:rPr>
                <w:rFonts w:ascii="Arial" w:hAnsi="Arial"/>
                <w:b w:val="0"/>
                <w:bCs w:val="0"/>
                <w:sz w:val="20"/>
                <w:lang w:bidi="es-ES_tradnl"/>
              </w:rPr>
              <w:t>(sin India)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70BB930" w14:textId="509A59E1" w:rsidR="00F9716E" w:rsidRPr="001829E7" w:rsidRDefault="00F9716E">
            <w:pPr>
              <w:pStyle w:val="LadilloMichelinDossier"/>
              <w:spacing w:before="0" w:after="0"/>
              <w:jc w:val="both"/>
            </w:pPr>
            <w:r w:rsidRPr="00A540CC">
              <w:rPr>
                <w:rFonts w:ascii="Arial" w:hAnsi="Arial"/>
                <w:b w:val="0"/>
                <w:bCs w:val="0"/>
                <w:sz w:val="20"/>
                <w:lang w:bidi="es-ES_tradnl"/>
              </w:rPr>
              <w:t>América del Sur</w:t>
            </w:r>
          </w:p>
        </w:tc>
        <w:tc>
          <w:tcPr>
            <w:tcW w:w="1416"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7CC40BA" w14:textId="0C32E281" w:rsidR="00F9716E" w:rsidRPr="001829E7" w:rsidRDefault="00F9716E">
            <w:pPr>
              <w:pStyle w:val="LadilloMichelinDossier"/>
              <w:spacing w:before="0" w:after="0"/>
              <w:jc w:val="both"/>
            </w:pPr>
            <w:r w:rsidRPr="00A540CC">
              <w:rPr>
                <w:rFonts w:ascii="Arial" w:hAnsi="Arial"/>
                <w:b w:val="0"/>
                <w:bCs w:val="0"/>
                <w:sz w:val="20"/>
                <w:lang w:bidi="es-ES_tradnl"/>
              </w:rPr>
              <w:t>África/India/ Oriente Medio</w:t>
            </w:r>
          </w:p>
        </w:tc>
        <w:tc>
          <w:tcPr>
            <w:tcW w:w="85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1DBF4B0" w14:textId="7B975FCE" w:rsidR="00F9716E" w:rsidRPr="001829E7" w:rsidRDefault="00F9716E">
            <w:pPr>
              <w:pStyle w:val="LadilloMichelinDossier"/>
              <w:spacing w:before="0" w:after="0"/>
              <w:jc w:val="both"/>
            </w:pPr>
            <w:r w:rsidRPr="00A540CC">
              <w:rPr>
                <w:rFonts w:ascii="Arial" w:hAnsi="Arial"/>
                <w:b w:val="0"/>
                <w:bCs w:val="0"/>
                <w:sz w:val="20"/>
                <w:lang w:bidi="es-ES_tradnl"/>
              </w:rPr>
              <w:t>Total</w:t>
            </w:r>
          </w:p>
        </w:tc>
      </w:tr>
      <w:tr w:rsidR="00F9716E" w:rsidRPr="001829E7" w14:paraId="05CD1773" w14:textId="77777777" w:rsidTr="00F9716E">
        <w:trPr>
          <w:trHeight w:val="1033"/>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AE109" w14:textId="77777777" w:rsidR="00F9716E" w:rsidRPr="00A540CC" w:rsidRDefault="00F9716E" w:rsidP="00F9716E">
            <w:pPr>
              <w:pStyle w:val="LadilloMichelinDossier"/>
              <w:spacing w:before="0" w:after="0"/>
              <w:jc w:val="both"/>
              <w:rPr>
                <w:rFonts w:ascii="Arial" w:hAnsi="Arial"/>
                <w:b w:val="0"/>
                <w:bCs w:val="0"/>
                <w:sz w:val="20"/>
                <w:lang w:bidi="es-ES_tradnl"/>
              </w:rPr>
            </w:pPr>
            <w:r w:rsidRPr="00A540CC">
              <w:rPr>
                <w:rFonts w:ascii="Arial" w:hAnsi="Arial"/>
                <w:b w:val="0"/>
                <w:bCs w:val="0"/>
                <w:sz w:val="20"/>
                <w:lang w:bidi="es-ES_tradnl"/>
              </w:rPr>
              <w:t>Primera monta</w:t>
            </w:r>
            <w:r w:rsidRPr="00A540CC">
              <w:rPr>
                <w:rStyle w:val="Refdenotaalpie"/>
                <w:rFonts w:ascii="Arial" w:hAnsi="Arial"/>
                <w:b w:val="0"/>
                <w:bCs w:val="0"/>
                <w:sz w:val="32"/>
                <w:lang w:bidi="es-ES_tradnl"/>
              </w:rPr>
              <w:footnoteReference w:customMarkFollows="1" w:id="6"/>
              <w:sym w:font="Symbol" w:char="F02A"/>
            </w:r>
          </w:p>
          <w:p w14:paraId="1897DFED" w14:textId="77777777" w:rsidR="00F9716E" w:rsidRPr="00A540CC" w:rsidRDefault="00F9716E" w:rsidP="00F9716E">
            <w:pPr>
              <w:pStyle w:val="LadilloMichelinDossier"/>
              <w:spacing w:before="0" w:after="0"/>
              <w:jc w:val="both"/>
              <w:rPr>
                <w:rFonts w:ascii="Arial" w:hAnsi="Arial"/>
                <w:b w:val="0"/>
                <w:bCs w:val="0"/>
                <w:sz w:val="20"/>
                <w:lang w:bidi="es-ES_tradnl"/>
              </w:rPr>
            </w:pPr>
          </w:p>
          <w:p w14:paraId="15764FC8" w14:textId="77777777" w:rsidR="00F9716E" w:rsidRPr="00A540CC" w:rsidRDefault="00F9716E" w:rsidP="00F9716E">
            <w:pPr>
              <w:pStyle w:val="LadilloMichelinDossier"/>
              <w:spacing w:before="0" w:after="0"/>
              <w:jc w:val="both"/>
              <w:rPr>
                <w:rFonts w:ascii="Arial" w:hAnsi="Arial"/>
                <w:b w:val="0"/>
                <w:bCs w:val="0"/>
                <w:sz w:val="20"/>
                <w:lang w:bidi="es-ES_tradnl"/>
              </w:rPr>
            </w:pPr>
            <w:r w:rsidRPr="00A540CC">
              <w:rPr>
                <w:rFonts w:ascii="Arial" w:hAnsi="Arial"/>
                <w:b w:val="0"/>
                <w:bCs w:val="0"/>
                <w:sz w:val="20"/>
                <w:lang w:bidi="es-ES_tradnl"/>
              </w:rPr>
              <w:t>Reemplazo</w:t>
            </w:r>
            <w:r w:rsidRPr="00A540CC">
              <w:rPr>
                <w:rStyle w:val="Refdenotaalpie"/>
                <w:rFonts w:ascii="Arial" w:hAnsi="Arial"/>
                <w:b w:val="0"/>
                <w:bCs w:val="0"/>
                <w:sz w:val="32"/>
                <w:lang w:bidi="es-ES_tradnl"/>
              </w:rPr>
              <w:footnoteReference w:customMarkFollows="1" w:id="7"/>
              <w:sym w:font="Symbol" w:char="F02A"/>
            </w:r>
          </w:p>
          <w:p w14:paraId="1E4F2C2D" w14:textId="79436808" w:rsidR="00F9716E" w:rsidRPr="001829E7" w:rsidRDefault="00F9716E">
            <w:pPr>
              <w:pStyle w:val="LadilloMichelinDossier"/>
              <w:spacing w:before="0" w:after="0"/>
              <w:jc w:val="both"/>
              <w:rPr>
                <w:rFonts w:ascii="Arial" w:eastAsia="Arial" w:hAnsi="Arial" w:cs="Arial"/>
                <w:b w:val="0"/>
                <w:bCs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95B35" w14:textId="77777777" w:rsidR="00F9716E" w:rsidRPr="00A540CC" w:rsidRDefault="00F9716E" w:rsidP="00F9716E">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t>- 9 %</w:t>
            </w:r>
          </w:p>
          <w:p w14:paraId="3ACCF990" w14:textId="77777777" w:rsidR="00F9716E" w:rsidRPr="00A540CC" w:rsidRDefault="00F9716E" w:rsidP="00F9716E">
            <w:pPr>
              <w:tabs>
                <w:tab w:val="left" w:pos="284"/>
              </w:tabs>
              <w:spacing w:line="270" w:lineRule="atLeast"/>
              <w:jc w:val="center"/>
              <w:rPr>
                <w:rFonts w:ascii="Arial" w:eastAsia="MS Mincho" w:hAnsi="Arial" w:cs="Arial"/>
                <w:b/>
                <w:snapToGrid w:val="0"/>
                <w:sz w:val="20"/>
                <w:szCs w:val="20"/>
              </w:rPr>
            </w:pPr>
          </w:p>
          <w:p w14:paraId="648EE626" w14:textId="77777777" w:rsidR="00F9716E" w:rsidRPr="00A540CC" w:rsidRDefault="00F9716E" w:rsidP="00F9716E">
            <w:pPr>
              <w:tabs>
                <w:tab w:val="left" w:pos="284"/>
              </w:tabs>
              <w:spacing w:line="270" w:lineRule="atLeast"/>
              <w:jc w:val="center"/>
              <w:rPr>
                <w:rFonts w:ascii="Arial" w:eastAsia="MS Mincho" w:hAnsi="Arial" w:cs="Arial"/>
                <w:b/>
                <w:snapToGrid w:val="0"/>
                <w:sz w:val="20"/>
                <w:szCs w:val="20"/>
              </w:rPr>
            </w:pPr>
          </w:p>
          <w:p w14:paraId="0177AA33" w14:textId="59201BAA" w:rsidR="00F9716E" w:rsidRPr="001829E7" w:rsidRDefault="00F9716E">
            <w:pPr>
              <w:pStyle w:val="Cuerpo"/>
              <w:tabs>
                <w:tab w:val="left" w:pos="284"/>
              </w:tabs>
              <w:spacing w:line="270" w:lineRule="atLeast"/>
              <w:jc w:val="center"/>
            </w:pPr>
            <w:r w:rsidRPr="00A540CC">
              <w:rPr>
                <w:rFonts w:ascii="Arial" w:eastAsia="MS Mincho" w:hAnsi="Arial" w:cs="Arial"/>
                <w:b/>
                <w:snapToGrid w:val="0"/>
                <w:sz w:val="20"/>
                <w:szCs w:val="20"/>
              </w:rPr>
              <w:t>+ 1 %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FAB78" w14:textId="77777777" w:rsidR="00F9716E" w:rsidRPr="00A540CC" w:rsidRDefault="00F9716E" w:rsidP="00F9716E">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t>+ 16 %</w:t>
            </w:r>
          </w:p>
          <w:p w14:paraId="5FE2194C" w14:textId="77777777" w:rsidR="00F9716E" w:rsidRPr="00A540CC" w:rsidRDefault="00F9716E" w:rsidP="00F9716E">
            <w:pPr>
              <w:tabs>
                <w:tab w:val="left" w:pos="284"/>
              </w:tabs>
              <w:spacing w:line="270" w:lineRule="atLeast"/>
              <w:jc w:val="center"/>
              <w:rPr>
                <w:rFonts w:ascii="Arial" w:eastAsia="MS Mincho" w:hAnsi="Arial" w:cs="Arial"/>
                <w:b/>
                <w:snapToGrid w:val="0"/>
                <w:sz w:val="20"/>
                <w:szCs w:val="20"/>
              </w:rPr>
            </w:pPr>
          </w:p>
          <w:p w14:paraId="7FF15870" w14:textId="77777777" w:rsidR="00F9716E" w:rsidRPr="00A540CC" w:rsidRDefault="00F9716E" w:rsidP="00F9716E">
            <w:pPr>
              <w:tabs>
                <w:tab w:val="left" w:pos="284"/>
              </w:tabs>
              <w:spacing w:line="270" w:lineRule="atLeast"/>
              <w:jc w:val="center"/>
              <w:rPr>
                <w:rFonts w:ascii="Arial" w:eastAsia="MS Mincho" w:hAnsi="Arial" w:cs="Arial"/>
                <w:b/>
                <w:snapToGrid w:val="0"/>
                <w:sz w:val="20"/>
                <w:szCs w:val="20"/>
              </w:rPr>
            </w:pPr>
          </w:p>
          <w:p w14:paraId="7CBBEA29" w14:textId="68DACD1A" w:rsidR="00F9716E" w:rsidRPr="001829E7" w:rsidRDefault="00F9716E">
            <w:pPr>
              <w:pStyle w:val="Cuerpo"/>
              <w:tabs>
                <w:tab w:val="left" w:pos="284"/>
              </w:tabs>
              <w:spacing w:line="270" w:lineRule="atLeast"/>
              <w:jc w:val="center"/>
            </w:pPr>
            <w:r w:rsidRPr="00A540CC">
              <w:rPr>
                <w:rFonts w:ascii="Arial" w:eastAsia="MS Mincho" w:hAnsi="Arial" w:cs="Arial"/>
                <w:b/>
                <w:snapToGrid w:val="0"/>
                <w:sz w:val="20"/>
                <w:szCs w:val="20"/>
              </w:rPr>
              <w:t>+ 8 %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57FCF" w14:textId="77777777" w:rsidR="00F9716E" w:rsidRPr="00A540CC" w:rsidRDefault="00F9716E" w:rsidP="00F9716E">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t>+ 1 %</w:t>
            </w:r>
          </w:p>
          <w:p w14:paraId="6B3504E2" w14:textId="77777777" w:rsidR="00F9716E" w:rsidRPr="00A540CC" w:rsidRDefault="00F9716E" w:rsidP="00F9716E">
            <w:pPr>
              <w:tabs>
                <w:tab w:val="left" w:pos="284"/>
              </w:tabs>
              <w:spacing w:line="270" w:lineRule="atLeast"/>
              <w:jc w:val="center"/>
              <w:rPr>
                <w:rFonts w:ascii="Arial" w:eastAsia="MS Mincho" w:hAnsi="Arial" w:cs="Arial"/>
                <w:b/>
                <w:snapToGrid w:val="0"/>
                <w:sz w:val="20"/>
                <w:szCs w:val="20"/>
              </w:rPr>
            </w:pPr>
          </w:p>
          <w:p w14:paraId="6C094663" w14:textId="77777777" w:rsidR="00F9716E" w:rsidRPr="00A540CC" w:rsidRDefault="00F9716E" w:rsidP="00F9716E">
            <w:pPr>
              <w:tabs>
                <w:tab w:val="left" w:pos="284"/>
              </w:tabs>
              <w:spacing w:line="270" w:lineRule="atLeast"/>
              <w:jc w:val="center"/>
              <w:rPr>
                <w:rFonts w:ascii="Arial" w:eastAsia="MS Mincho" w:hAnsi="Arial" w:cs="Arial"/>
                <w:b/>
                <w:snapToGrid w:val="0"/>
                <w:sz w:val="20"/>
                <w:szCs w:val="20"/>
              </w:rPr>
            </w:pPr>
          </w:p>
          <w:p w14:paraId="756CA9F1" w14:textId="3ADE4092" w:rsidR="00F9716E" w:rsidRPr="001829E7" w:rsidRDefault="00F9716E">
            <w:pPr>
              <w:pStyle w:val="Cuerpo"/>
              <w:tabs>
                <w:tab w:val="left" w:pos="284"/>
              </w:tabs>
              <w:spacing w:line="270" w:lineRule="atLeast"/>
              <w:jc w:val="center"/>
            </w:pPr>
            <w:r w:rsidRPr="00A540CC">
              <w:rPr>
                <w:rFonts w:ascii="Arial" w:eastAsia="MS Mincho" w:hAnsi="Arial" w:cs="Arial"/>
                <w:b/>
                <w:snapToGrid w:val="0"/>
                <w:sz w:val="20"/>
                <w:szCs w:val="20"/>
              </w:rPr>
              <w:t>+ 1 %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FD6C2" w14:textId="77777777" w:rsidR="00F9716E" w:rsidRPr="00A540CC" w:rsidRDefault="00F9716E" w:rsidP="00F9716E">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t>- 21%</w:t>
            </w:r>
          </w:p>
          <w:p w14:paraId="252E88C0" w14:textId="77777777" w:rsidR="00F9716E" w:rsidRPr="00A540CC" w:rsidRDefault="00F9716E" w:rsidP="00F9716E">
            <w:pPr>
              <w:tabs>
                <w:tab w:val="left" w:pos="284"/>
              </w:tabs>
              <w:spacing w:line="270" w:lineRule="atLeast"/>
              <w:jc w:val="center"/>
              <w:rPr>
                <w:rFonts w:ascii="Arial" w:eastAsia="MS Mincho" w:hAnsi="Arial" w:cs="Arial"/>
                <w:b/>
                <w:snapToGrid w:val="0"/>
                <w:sz w:val="20"/>
                <w:szCs w:val="20"/>
              </w:rPr>
            </w:pPr>
          </w:p>
          <w:p w14:paraId="0540F10A" w14:textId="77777777" w:rsidR="00F9716E" w:rsidRPr="00A540CC" w:rsidRDefault="00F9716E" w:rsidP="00F9716E">
            <w:pPr>
              <w:tabs>
                <w:tab w:val="left" w:pos="284"/>
              </w:tabs>
              <w:spacing w:line="270" w:lineRule="atLeast"/>
              <w:jc w:val="center"/>
              <w:rPr>
                <w:rFonts w:ascii="Arial" w:eastAsia="MS Mincho" w:hAnsi="Arial" w:cs="Arial"/>
                <w:b/>
                <w:snapToGrid w:val="0"/>
                <w:sz w:val="20"/>
                <w:szCs w:val="20"/>
              </w:rPr>
            </w:pPr>
          </w:p>
          <w:p w14:paraId="26C4EB4F" w14:textId="276BC475" w:rsidR="00F9716E" w:rsidRPr="001829E7" w:rsidRDefault="00F9716E">
            <w:pPr>
              <w:pStyle w:val="Cuerpo"/>
              <w:tabs>
                <w:tab w:val="left" w:pos="284"/>
              </w:tabs>
              <w:spacing w:line="270" w:lineRule="atLeast"/>
              <w:jc w:val="center"/>
            </w:pPr>
            <w:r w:rsidRPr="00A540CC">
              <w:rPr>
                <w:rFonts w:ascii="Arial" w:eastAsia="MS Mincho" w:hAnsi="Arial" w:cs="Arial"/>
                <w:b/>
                <w:snapToGrid w:val="0"/>
                <w:sz w:val="20"/>
                <w:szCs w:val="20"/>
              </w:rPr>
              <w:t>- 4 %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B0C85" w14:textId="77777777" w:rsidR="00F9716E" w:rsidRPr="00A540CC" w:rsidRDefault="00F9716E" w:rsidP="00F9716E">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t>+ 3 %</w:t>
            </w:r>
          </w:p>
          <w:p w14:paraId="2FBC07FC" w14:textId="77777777" w:rsidR="00F9716E" w:rsidRPr="00A540CC" w:rsidRDefault="00F9716E" w:rsidP="00F9716E">
            <w:pPr>
              <w:tabs>
                <w:tab w:val="left" w:pos="284"/>
              </w:tabs>
              <w:spacing w:line="270" w:lineRule="atLeast"/>
              <w:jc w:val="center"/>
              <w:rPr>
                <w:rFonts w:ascii="Arial" w:eastAsia="MS Mincho" w:hAnsi="Arial" w:cs="Arial"/>
                <w:b/>
                <w:snapToGrid w:val="0"/>
                <w:sz w:val="20"/>
                <w:szCs w:val="20"/>
              </w:rPr>
            </w:pPr>
          </w:p>
          <w:p w14:paraId="5B8B14D4" w14:textId="77777777" w:rsidR="00F9716E" w:rsidRPr="00A540CC" w:rsidRDefault="00F9716E" w:rsidP="00F9716E">
            <w:pPr>
              <w:tabs>
                <w:tab w:val="left" w:pos="284"/>
              </w:tabs>
              <w:spacing w:line="270" w:lineRule="atLeast"/>
              <w:jc w:val="center"/>
              <w:rPr>
                <w:rFonts w:ascii="Arial" w:eastAsia="MS Mincho" w:hAnsi="Arial" w:cs="Arial"/>
                <w:b/>
                <w:snapToGrid w:val="0"/>
                <w:sz w:val="20"/>
                <w:szCs w:val="20"/>
              </w:rPr>
            </w:pPr>
          </w:p>
          <w:p w14:paraId="30E0DFAD" w14:textId="01AAF165" w:rsidR="00F9716E" w:rsidRPr="001829E7" w:rsidRDefault="00F9716E">
            <w:pPr>
              <w:pStyle w:val="Cuerpo"/>
              <w:tabs>
                <w:tab w:val="left" w:pos="284"/>
              </w:tabs>
              <w:spacing w:line="270" w:lineRule="atLeast"/>
              <w:jc w:val="center"/>
            </w:pPr>
            <w:r w:rsidRPr="00A540CC">
              <w:rPr>
                <w:rFonts w:ascii="Arial" w:eastAsia="MS Mincho" w:hAnsi="Arial" w:cs="Arial"/>
                <w:b/>
                <w:snapToGrid w:val="0"/>
                <w:sz w:val="20"/>
                <w:szCs w:val="20"/>
              </w:rPr>
              <w:t>- 1 %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D989D" w14:textId="77777777" w:rsidR="00F9716E" w:rsidRPr="00A540CC" w:rsidRDefault="00F9716E" w:rsidP="00F9716E">
            <w:pPr>
              <w:tabs>
                <w:tab w:val="left" w:pos="1168"/>
              </w:tabs>
              <w:spacing w:line="270" w:lineRule="atLeast"/>
              <w:ind w:right="-108"/>
              <w:jc w:val="center"/>
              <w:rPr>
                <w:rFonts w:ascii="Arial" w:eastAsia="MS Mincho" w:hAnsi="Arial" w:cs="Arial"/>
                <w:b/>
                <w:snapToGrid w:val="0"/>
                <w:sz w:val="20"/>
                <w:szCs w:val="20"/>
              </w:rPr>
            </w:pPr>
            <w:r w:rsidRPr="00A540CC">
              <w:rPr>
                <w:rFonts w:ascii="Arial" w:eastAsia="MS Mincho" w:hAnsi="Arial" w:cs="Arial"/>
                <w:b/>
                <w:snapToGrid w:val="0"/>
                <w:sz w:val="20"/>
                <w:szCs w:val="20"/>
              </w:rPr>
              <w:t>- 1 %</w:t>
            </w:r>
          </w:p>
          <w:p w14:paraId="1E14A038" w14:textId="77777777" w:rsidR="00F9716E" w:rsidRPr="00A540CC" w:rsidRDefault="00F9716E" w:rsidP="00F9716E">
            <w:pPr>
              <w:tabs>
                <w:tab w:val="left" w:pos="1168"/>
              </w:tabs>
              <w:spacing w:line="270" w:lineRule="atLeast"/>
              <w:ind w:right="-108"/>
              <w:jc w:val="center"/>
              <w:rPr>
                <w:rFonts w:ascii="Arial" w:eastAsia="MS Mincho" w:hAnsi="Arial" w:cs="Arial"/>
                <w:b/>
                <w:snapToGrid w:val="0"/>
                <w:sz w:val="20"/>
                <w:szCs w:val="20"/>
              </w:rPr>
            </w:pPr>
          </w:p>
          <w:p w14:paraId="18534E60" w14:textId="77777777" w:rsidR="00F9716E" w:rsidRPr="00A540CC" w:rsidRDefault="00F9716E" w:rsidP="00F9716E">
            <w:pPr>
              <w:tabs>
                <w:tab w:val="left" w:pos="1168"/>
              </w:tabs>
              <w:spacing w:line="270" w:lineRule="atLeast"/>
              <w:ind w:right="-108"/>
              <w:jc w:val="center"/>
              <w:rPr>
                <w:rFonts w:ascii="Arial" w:eastAsia="MS Mincho" w:hAnsi="Arial" w:cs="Arial"/>
                <w:b/>
                <w:snapToGrid w:val="0"/>
                <w:sz w:val="20"/>
                <w:szCs w:val="20"/>
              </w:rPr>
            </w:pPr>
          </w:p>
          <w:p w14:paraId="328079CA" w14:textId="4EF27E09" w:rsidR="00F9716E" w:rsidRPr="001829E7" w:rsidRDefault="00F9716E">
            <w:pPr>
              <w:pStyle w:val="Cuerpo"/>
              <w:tabs>
                <w:tab w:val="left" w:pos="1168"/>
              </w:tabs>
              <w:spacing w:line="270" w:lineRule="atLeast"/>
              <w:jc w:val="center"/>
            </w:pPr>
            <w:r w:rsidRPr="00A540CC">
              <w:rPr>
                <w:rFonts w:ascii="Arial" w:eastAsia="MS Mincho" w:hAnsi="Arial" w:cs="Arial"/>
                <w:b/>
                <w:snapToGrid w:val="0"/>
                <w:sz w:val="20"/>
                <w:szCs w:val="20"/>
              </w:rPr>
              <w:t>+ 1 %</w:t>
            </w:r>
          </w:p>
        </w:tc>
      </w:tr>
    </w:tbl>
    <w:p w14:paraId="06DB8814" w14:textId="77777777" w:rsidR="00700DFB" w:rsidRPr="001829E7" w:rsidRDefault="00700DFB">
      <w:pPr>
        <w:pStyle w:val="Cuerpo"/>
        <w:widowControl w:val="0"/>
        <w:spacing w:before="480" w:after="120" w:line="270" w:lineRule="atLeast"/>
        <w:rPr>
          <w:b/>
          <w:bCs/>
          <w:sz w:val="26"/>
          <w:szCs w:val="26"/>
        </w:rPr>
      </w:pPr>
    </w:p>
    <w:tbl>
      <w:tblPr>
        <w:tblStyle w:val="TableNormal"/>
        <w:tblW w:w="94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82"/>
        <w:gridCol w:w="1134"/>
        <w:gridCol w:w="1128"/>
        <w:gridCol w:w="1424"/>
        <w:gridCol w:w="1128"/>
        <w:gridCol w:w="1417"/>
        <w:gridCol w:w="857"/>
      </w:tblGrid>
      <w:tr w:rsidR="00F9716E" w:rsidRPr="001829E7" w14:paraId="23C37046" w14:textId="77777777" w:rsidTr="005B4C08">
        <w:trPr>
          <w:trHeight w:val="1014"/>
        </w:trPr>
        <w:tc>
          <w:tcPr>
            <w:tcW w:w="2382"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A45039B" w14:textId="77777777" w:rsidR="00F9716E" w:rsidRPr="00A540CC" w:rsidRDefault="00F9716E" w:rsidP="00F9716E">
            <w:pPr>
              <w:pStyle w:val="LadilloMichelinDossier"/>
              <w:spacing w:before="0" w:after="0"/>
              <w:rPr>
                <w:rFonts w:ascii="Arial" w:hAnsi="Arial"/>
                <w:b w:val="0"/>
                <w:bCs w:val="0"/>
                <w:sz w:val="20"/>
                <w:lang w:bidi="es-ES_tradnl"/>
              </w:rPr>
            </w:pPr>
            <w:r w:rsidRPr="00A540CC">
              <w:rPr>
                <w:rFonts w:ascii="Arial" w:hAnsi="Arial"/>
                <w:b w:val="0"/>
                <w:bCs w:val="0"/>
                <w:sz w:val="20"/>
                <w:lang w:bidi="es-ES_tradnl"/>
              </w:rPr>
              <w:t>Cuarto trimestre</w:t>
            </w:r>
          </w:p>
          <w:p w14:paraId="32CB043A" w14:textId="74A83A48" w:rsidR="00F9716E" w:rsidRPr="001829E7" w:rsidRDefault="00F9716E">
            <w:pPr>
              <w:pStyle w:val="LadilloMichelinDossier"/>
              <w:spacing w:before="0" w:after="0"/>
            </w:pPr>
            <w:r w:rsidRPr="00A540CC">
              <w:rPr>
                <w:rFonts w:ascii="Arial" w:hAnsi="Arial"/>
                <w:b w:val="0"/>
                <w:bCs w:val="0"/>
                <w:sz w:val="20"/>
                <w:lang w:bidi="es-ES_tradnl"/>
              </w:rPr>
              <w:t>2014/2013</w:t>
            </w:r>
            <w:r w:rsidRPr="00A540CC">
              <w:rPr>
                <w:rFonts w:ascii="Arial" w:hAnsi="Arial"/>
                <w:b w:val="0"/>
                <w:bCs w:val="0"/>
                <w:sz w:val="20"/>
                <w:lang w:bidi="es-ES_tradnl"/>
              </w:rPr>
              <w:br/>
            </w:r>
            <w:r w:rsidRPr="00A540CC">
              <w:rPr>
                <w:rFonts w:ascii="Arial" w:hAnsi="Arial"/>
                <w:b w:val="0"/>
                <w:bCs w:val="0"/>
                <w:sz w:val="18"/>
                <w:lang w:bidi="es-ES_tradnl"/>
              </w:rPr>
              <w:t>(número de neumáticos)</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16DE9E5" w14:textId="08A309A1" w:rsidR="00F9716E" w:rsidRPr="001829E7" w:rsidRDefault="00F9716E">
            <w:pPr>
              <w:pStyle w:val="LadilloMichelinDossier"/>
              <w:spacing w:before="0" w:after="0"/>
            </w:pPr>
            <w:r w:rsidRPr="00A540CC">
              <w:rPr>
                <w:rFonts w:ascii="Arial" w:hAnsi="Arial"/>
                <w:b w:val="0"/>
                <w:bCs w:val="0"/>
                <w:sz w:val="20"/>
                <w:lang w:bidi="es-ES_tradnl"/>
              </w:rPr>
              <w:t>Europa</w:t>
            </w:r>
            <w:r w:rsidRPr="00A540CC">
              <w:rPr>
                <w:rStyle w:val="Refdenotaalpie"/>
                <w:rFonts w:ascii="Arial" w:hAnsi="Arial"/>
                <w:b w:val="0"/>
                <w:bCs w:val="0"/>
                <w:sz w:val="32"/>
                <w:lang w:bidi="es-ES_tradnl"/>
              </w:rPr>
              <w:footnoteReference w:customMarkFollows="1" w:id="8"/>
              <w:sym w:font="Symbol" w:char="F02A"/>
            </w:r>
            <w:r w:rsidRPr="00A540CC">
              <w:rPr>
                <w:rStyle w:val="Refdenotaalpie"/>
                <w:rFonts w:ascii="Arial" w:hAnsi="Arial"/>
                <w:b w:val="0"/>
                <w:bCs w:val="0"/>
                <w:sz w:val="32"/>
                <w:lang w:bidi="es-ES_tradnl"/>
              </w:rPr>
              <w:sym w:font="Symbol" w:char="F02A"/>
            </w:r>
          </w:p>
        </w:tc>
        <w:tc>
          <w:tcPr>
            <w:tcW w:w="112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0B2B697" w14:textId="65870453" w:rsidR="00F9716E" w:rsidRPr="001829E7" w:rsidRDefault="00F9716E">
            <w:pPr>
              <w:pStyle w:val="LadilloMichelinDossier"/>
              <w:spacing w:before="0" w:after="0"/>
            </w:pPr>
            <w:r w:rsidRPr="00A540CC">
              <w:rPr>
                <w:rFonts w:ascii="Arial" w:hAnsi="Arial"/>
                <w:b w:val="0"/>
                <w:bCs w:val="0"/>
                <w:sz w:val="20"/>
                <w:lang w:bidi="es-ES_tradnl"/>
              </w:rPr>
              <w:t xml:space="preserve">América </w:t>
            </w:r>
            <w:r w:rsidRPr="00A540CC">
              <w:rPr>
                <w:rFonts w:ascii="Arial" w:hAnsi="Arial"/>
                <w:b w:val="0"/>
                <w:bCs w:val="0"/>
                <w:sz w:val="20"/>
                <w:lang w:bidi="es-ES_tradnl"/>
              </w:rPr>
              <w:br/>
              <w:t>del Norte</w:t>
            </w:r>
          </w:p>
        </w:tc>
        <w:tc>
          <w:tcPr>
            <w:tcW w:w="142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7988F25" w14:textId="77777777" w:rsidR="00F9716E" w:rsidRPr="00A540CC" w:rsidRDefault="00F9716E" w:rsidP="00F9716E">
            <w:pPr>
              <w:pStyle w:val="LadilloMichelinDossier"/>
              <w:spacing w:before="0" w:after="0"/>
              <w:rPr>
                <w:rFonts w:ascii="Arial" w:hAnsi="Arial"/>
                <w:b w:val="0"/>
                <w:bCs w:val="0"/>
                <w:sz w:val="20"/>
                <w:lang w:bidi="es-ES_tradnl"/>
              </w:rPr>
            </w:pPr>
            <w:r w:rsidRPr="00A540CC">
              <w:rPr>
                <w:rFonts w:ascii="Arial" w:hAnsi="Arial"/>
                <w:b w:val="0"/>
                <w:bCs w:val="0"/>
                <w:sz w:val="20"/>
                <w:lang w:bidi="es-ES_tradnl"/>
              </w:rPr>
              <w:t>Asia</w:t>
            </w:r>
          </w:p>
          <w:p w14:paraId="65665D4F" w14:textId="52B82DCC" w:rsidR="00F9716E" w:rsidRPr="001829E7" w:rsidRDefault="00F9716E">
            <w:pPr>
              <w:pStyle w:val="LadilloMichelinDossier"/>
              <w:spacing w:before="0" w:after="0"/>
            </w:pPr>
            <w:r w:rsidRPr="00A540CC">
              <w:rPr>
                <w:rFonts w:ascii="Arial" w:hAnsi="Arial"/>
                <w:b w:val="0"/>
                <w:bCs w:val="0"/>
                <w:sz w:val="20"/>
                <w:lang w:bidi="es-ES_tradnl"/>
              </w:rPr>
              <w:t>(sin India)</w:t>
            </w:r>
          </w:p>
        </w:tc>
        <w:tc>
          <w:tcPr>
            <w:tcW w:w="112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3169EDB" w14:textId="69827D66" w:rsidR="00F9716E" w:rsidRPr="001829E7" w:rsidRDefault="00F9716E">
            <w:pPr>
              <w:pStyle w:val="LadilloMichelinDossier"/>
              <w:spacing w:before="0" w:after="0"/>
            </w:pPr>
            <w:r w:rsidRPr="00A540CC">
              <w:rPr>
                <w:rFonts w:ascii="Arial" w:hAnsi="Arial"/>
                <w:b w:val="0"/>
                <w:bCs w:val="0"/>
                <w:sz w:val="20"/>
                <w:lang w:bidi="es-ES_tradnl"/>
              </w:rPr>
              <w:t xml:space="preserve">América </w:t>
            </w:r>
            <w:r w:rsidRPr="00A540CC">
              <w:rPr>
                <w:rFonts w:ascii="Arial" w:hAnsi="Arial"/>
                <w:b w:val="0"/>
                <w:bCs w:val="0"/>
                <w:sz w:val="20"/>
                <w:lang w:bidi="es-ES_tradnl"/>
              </w:rPr>
              <w:br/>
              <w:t>del Sur</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5D8F467" w14:textId="13221701" w:rsidR="00F9716E" w:rsidRPr="001829E7" w:rsidRDefault="00F9716E">
            <w:pPr>
              <w:pStyle w:val="LadilloMichelinDossier"/>
              <w:spacing w:before="0" w:after="0"/>
            </w:pPr>
            <w:r w:rsidRPr="00A540CC">
              <w:rPr>
                <w:rFonts w:ascii="Arial" w:hAnsi="Arial"/>
                <w:b w:val="0"/>
                <w:bCs w:val="0"/>
                <w:sz w:val="20"/>
                <w:lang w:bidi="es-ES_tradnl"/>
              </w:rPr>
              <w:t>África/India/Oriente Medio</w:t>
            </w:r>
          </w:p>
        </w:tc>
        <w:tc>
          <w:tcPr>
            <w:tcW w:w="85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F24D9C6" w14:textId="3099301B" w:rsidR="00F9716E" w:rsidRPr="001829E7" w:rsidRDefault="00F9716E">
            <w:pPr>
              <w:pStyle w:val="LadilloMichelinDossier"/>
              <w:spacing w:before="0" w:after="0"/>
            </w:pPr>
            <w:r w:rsidRPr="00A540CC">
              <w:rPr>
                <w:rFonts w:ascii="Arial" w:hAnsi="Arial"/>
                <w:b w:val="0"/>
                <w:bCs w:val="0"/>
                <w:sz w:val="20"/>
                <w:lang w:bidi="es-ES_tradnl"/>
              </w:rPr>
              <w:t>Total</w:t>
            </w:r>
          </w:p>
        </w:tc>
      </w:tr>
      <w:tr w:rsidR="00F9716E" w:rsidRPr="001829E7" w14:paraId="6AB45871" w14:textId="77777777" w:rsidTr="005B4C08">
        <w:trPr>
          <w:trHeight w:val="1111"/>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A9827" w14:textId="77777777" w:rsidR="00F9716E" w:rsidRPr="00A540CC" w:rsidRDefault="00F9716E" w:rsidP="00F9716E">
            <w:pPr>
              <w:pStyle w:val="LadilloMichelinDossier"/>
              <w:spacing w:before="0" w:after="0"/>
              <w:jc w:val="both"/>
              <w:rPr>
                <w:rFonts w:ascii="Arial" w:hAnsi="Arial"/>
                <w:b w:val="0"/>
                <w:bCs w:val="0"/>
                <w:sz w:val="20"/>
                <w:lang w:bidi="es-ES_tradnl"/>
              </w:rPr>
            </w:pPr>
            <w:r w:rsidRPr="00A540CC">
              <w:rPr>
                <w:rFonts w:ascii="Arial" w:hAnsi="Arial"/>
                <w:b w:val="0"/>
                <w:bCs w:val="0"/>
                <w:sz w:val="20"/>
                <w:lang w:bidi="es-ES_tradnl"/>
              </w:rPr>
              <w:t>Primera monta</w:t>
            </w:r>
            <w:r w:rsidRPr="00A540CC">
              <w:rPr>
                <w:rStyle w:val="Refdenotaalpie"/>
                <w:rFonts w:ascii="Arial" w:hAnsi="Arial"/>
                <w:b w:val="0"/>
                <w:bCs w:val="0"/>
                <w:sz w:val="32"/>
                <w:lang w:bidi="es-ES_tradnl"/>
              </w:rPr>
              <w:footnoteReference w:customMarkFollows="1" w:id="9"/>
              <w:sym w:font="Symbol" w:char="F02A"/>
            </w:r>
          </w:p>
          <w:p w14:paraId="19FBCEBC" w14:textId="77777777" w:rsidR="00F9716E" w:rsidRPr="00A540CC" w:rsidRDefault="00F9716E" w:rsidP="00F9716E">
            <w:pPr>
              <w:pStyle w:val="LadilloMichelinDossier"/>
              <w:spacing w:before="0" w:after="0"/>
              <w:jc w:val="both"/>
              <w:rPr>
                <w:rFonts w:ascii="Arial" w:hAnsi="Arial"/>
                <w:b w:val="0"/>
                <w:bCs w:val="0"/>
                <w:sz w:val="20"/>
                <w:lang w:bidi="es-ES_tradnl"/>
              </w:rPr>
            </w:pPr>
            <w:r w:rsidRPr="00A540CC">
              <w:rPr>
                <w:rFonts w:ascii="Arial" w:hAnsi="Arial"/>
                <w:b w:val="0"/>
                <w:bCs w:val="0"/>
                <w:sz w:val="20"/>
                <w:lang w:bidi="es-ES_tradnl"/>
              </w:rPr>
              <w:t xml:space="preserve">     </w:t>
            </w:r>
          </w:p>
          <w:p w14:paraId="66D4D3A4" w14:textId="6C36CF79" w:rsidR="00F9716E" w:rsidRPr="001829E7" w:rsidRDefault="00F9716E">
            <w:pPr>
              <w:pStyle w:val="LadilloMichelinDossier"/>
              <w:spacing w:before="0" w:after="0"/>
              <w:jc w:val="both"/>
            </w:pPr>
            <w:r w:rsidRPr="00A540CC">
              <w:rPr>
                <w:rFonts w:ascii="Arial" w:hAnsi="Arial"/>
                <w:b w:val="0"/>
                <w:bCs w:val="0"/>
                <w:sz w:val="20"/>
                <w:lang w:bidi="es-ES_tradnl"/>
              </w:rPr>
              <w:t>Reemplazo</w:t>
            </w:r>
            <w:r w:rsidRPr="00A540CC">
              <w:rPr>
                <w:rStyle w:val="Refdenotaalpie"/>
                <w:rFonts w:ascii="Arial" w:hAnsi="Arial"/>
                <w:b w:val="0"/>
                <w:bCs w:val="0"/>
                <w:sz w:val="32"/>
                <w:lang w:bidi="es-ES_tradnl"/>
              </w:rPr>
              <w:footnoteReference w:customMarkFollows="1" w:id="10"/>
              <w:sym w:font="Symbol" w:char="F02A"/>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61D4F" w14:textId="77777777" w:rsidR="00F9716E" w:rsidRPr="00A540CC" w:rsidRDefault="00F9716E" w:rsidP="00F9716E">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t>- 15 %</w:t>
            </w:r>
          </w:p>
          <w:p w14:paraId="7FFF5050" w14:textId="77777777" w:rsidR="00F9716E" w:rsidRPr="00A540CC" w:rsidRDefault="00F9716E" w:rsidP="00F9716E">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br/>
            </w:r>
          </w:p>
          <w:p w14:paraId="044361D1" w14:textId="00B90D92" w:rsidR="00F9716E" w:rsidRPr="001829E7" w:rsidRDefault="00F9716E">
            <w:pPr>
              <w:pStyle w:val="Cuerpo"/>
              <w:tabs>
                <w:tab w:val="left" w:pos="284"/>
              </w:tabs>
              <w:spacing w:line="270" w:lineRule="atLeast"/>
              <w:jc w:val="center"/>
            </w:pPr>
            <w:r w:rsidRPr="00A540CC">
              <w:rPr>
                <w:rFonts w:ascii="Arial" w:eastAsia="MS Mincho" w:hAnsi="Arial" w:cs="Arial"/>
                <w:b/>
                <w:snapToGrid w:val="0"/>
                <w:sz w:val="20"/>
                <w:szCs w:val="20"/>
              </w:rPr>
              <w:t>- 4 %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3B2B2" w14:textId="77777777" w:rsidR="00F9716E" w:rsidRPr="00A540CC" w:rsidRDefault="00F9716E" w:rsidP="00F9716E">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t>+ 25 %</w:t>
            </w:r>
          </w:p>
          <w:p w14:paraId="06AB5419" w14:textId="77777777" w:rsidR="00F9716E" w:rsidRPr="00A540CC" w:rsidRDefault="00F9716E" w:rsidP="00F9716E">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br/>
            </w:r>
          </w:p>
          <w:p w14:paraId="2D07DB50" w14:textId="75C5F941" w:rsidR="00F9716E" w:rsidRPr="001829E7" w:rsidRDefault="00F9716E">
            <w:pPr>
              <w:pStyle w:val="Cuerpo"/>
              <w:tabs>
                <w:tab w:val="left" w:pos="284"/>
              </w:tabs>
              <w:spacing w:line="270" w:lineRule="atLeast"/>
              <w:jc w:val="center"/>
            </w:pPr>
            <w:r w:rsidRPr="00A540CC">
              <w:rPr>
                <w:rFonts w:ascii="Arial" w:eastAsia="MS Mincho" w:hAnsi="Arial" w:cs="Arial"/>
                <w:b/>
                <w:snapToGrid w:val="0"/>
                <w:sz w:val="20"/>
                <w:szCs w:val="20"/>
              </w:rPr>
              <w:t>+ 5 %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29A5E" w14:textId="77777777" w:rsidR="00F9716E" w:rsidRPr="00A540CC" w:rsidRDefault="00F9716E" w:rsidP="00F9716E">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t>- 4 %</w:t>
            </w:r>
          </w:p>
          <w:p w14:paraId="2E48CB6F" w14:textId="77777777" w:rsidR="00F9716E" w:rsidRPr="00A540CC" w:rsidRDefault="00F9716E" w:rsidP="00F9716E">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br/>
            </w:r>
          </w:p>
          <w:p w14:paraId="63EB41E3" w14:textId="39B13F83" w:rsidR="00F9716E" w:rsidRPr="001829E7" w:rsidRDefault="00F9716E">
            <w:pPr>
              <w:pStyle w:val="Cuerpo"/>
              <w:tabs>
                <w:tab w:val="left" w:pos="284"/>
              </w:tabs>
              <w:spacing w:line="270" w:lineRule="atLeast"/>
              <w:jc w:val="center"/>
            </w:pPr>
            <w:r w:rsidRPr="00A540CC">
              <w:rPr>
                <w:rFonts w:ascii="Arial" w:eastAsia="MS Mincho" w:hAnsi="Arial" w:cs="Arial"/>
                <w:b/>
                <w:snapToGrid w:val="0"/>
                <w:sz w:val="20"/>
                <w:szCs w:val="20"/>
              </w:rPr>
              <w:t>- 2 %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40082" w14:textId="77777777" w:rsidR="00F9716E" w:rsidRPr="00A540CC" w:rsidRDefault="00F9716E" w:rsidP="00F9716E">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t>- 34%</w:t>
            </w:r>
          </w:p>
          <w:p w14:paraId="67C45F2E" w14:textId="77777777" w:rsidR="00F9716E" w:rsidRPr="00A540CC" w:rsidRDefault="00F9716E" w:rsidP="00F9716E">
            <w:pPr>
              <w:tabs>
                <w:tab w:val="left" w:pos="284"/>
              </w:tabs>
              <w:spacing w:line="270" w:lineRule="atLeast"/>
              <w:jc w:val="center"/>
              <w:rPr>
                <w:rFonts w:ascii="Arial" w:eastAsia="MS Mincho" w:hAnsi="Arial" w:cs="Arial"/>
                <w:b/>
                <w:snapToGrid w:val="0"/>
                <w:sz w:val="20"/>
                <w:szCs w:val="20"/>
              </w:rPr>
            </w:pPr>
          </w:p>
          <w:p w14:paraId="73844D89" w14:textId="77777777" w:rsidR="00F9716E" w:rsidRPr="00A540CC" w:rsidRDefault="00F9716E" w:rsidP="00F9716E">
            <w:pPr>
              <w:tabs>
                <w:tab w:val="left" w:pos="284"/>
              </w:tabs>
              <w:spacing w:line="270" w:lineRule="atLeast"/>
              <w:jc w:val="center"/>
              <w:rPr>
                <w:rFonts w:ascii="Arial" w:eastAsia="MS Mincho" w:hAnsi="Arial" w:cs="Arial"/>
                <w:b/>
                <w:snapToGrid w:val="0"/>
                <w:sz w:val="20"/>
                <w:szCs w:val="20"/>
              </w:rPr>
            </w:pPr>
          </w:p>
          <w:p w14:paraId="1BABF974" w14:textId="359F7B34" w:rsidR="00F9716E" w:rsidRPr="001829E7" w:rsidRDefault="00F9716E">
            <w:pPr>
              <w:pStyle w:val="Cuerpo"/>
              <w:tabs>
                <w:tab w:val="left" w:pos="284"/>
              </w:tabs>
              <w:spacing w:line="270" w:lineRule="atLeast"/>
              <w:jc w:val="center"/>
            </w:pPr>
            <w:r w:rsidRPr="00A540CC">
              <w:rPr>
                <w:rFonts w:ascii="Arial" w:eastAsia="MS Mincho" w:hAnsi="Arial" w:cs="Arial"/>
                <w:b/>
                <w:snapToGrid w:val="0"/>
                <w:sz w:val="20"/>
                <w:szCs w:val="20"/>
              </w:rPr>
              <w:t>- 10 %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78B8A" w14:textId="77777777" w:rsidR="00F9716E" w:rsidRPr="00A540CC" w:rsidRDefault="00F9716E" w:rsidP="00F9716E">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t>- 0 %</w:t>
            </w:r>
          </w:p>
          <w:p w14:paraId="56E0FCA1" w14:textId="77777777" w:rsidR="00F9716E" w:rsidRPr="00A540CC" w:rsidRDefault="00F9716E" w:rsidP="00F9716E">
            <w:pPr>
              <w:tabs>
                <w:tab w:val="left" w:pos="284"/>
              </w:tabs>
              <w:spacing w:line="270" w:lineRule="atLeast"/>
              <w:jc w:val="center"/>
              <w:rPr>
                <w:rFonts w:ascii="Arial" w:eastAsia="MS Mincho" w:hAnsi="Arial" w:cs="Arial"/>
                <w:b/>
                <w:snapToGrid w:val="0"/>
                <w:sz w:val="20"/>
                <w:szCs w:val="20"/>
              </w:rPr>
            </w:pPr>
            <w:r w:rsidRPr="00A540CC">
              <w:rPr>
                <w:rFonts w:ascii="Arial" w:eastAsia="MS Mincho" w:hAnsi="Arial" w:cs="Arial"/>
                <w:b/>
                <w:snapToGrid w:val="0"/>
                <w:sz w:val="20"/>
                <w:szCs w:val="20"/>
              </w:rPr>
              <w:br/>
            </w:r>
          </w:p>
          <w:p w14:paraId="4C38DB7C" w14:textId="1048A1FB" w:rsidR="00F9716E" w:rsidRPr="001829E7" w:rsidRDefault="00F9716E">
            <w:pPr>
              <w:pStyle w:val="Cuerpo"/>
              <w:tabs>
                <w:tab w:val="left" w:pos="284"/>
              </w:tabs>
              <w:spacing w:line="270" w:lineRule="atLeast"/>
              <w:jc w:val="center"/>
            </w:pPr>
            <w:r w:rsidRPr="00A540CC">
              <w:rPr>
                <w:rFonts w:ascii="Arial" w:eastAsia="MS Mincho" w:hAnsi="Arial" w:cs="Arial"/>
                <w:b/>
                <w:snapToGrid w:val="0"/>
                <w:sz w:val="20"/>
                <w:szCs w:val="20"/>
              </w:rPr>
              <w:t>- 1 %</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CAA7A" w14:textId="77777777" w:rsidR="00F9716E" w:rsidRPr="00A540CC" w:rsidRDefault="00F9716E" w:rsidP="00F9716E">
            <w:pPr>
              <w:tabs>
                <w:tab w:val="left" w:pos="1168"/>
              </w:tabs>
              <w:spacing w:line="270" w:lineRule="atLeast"/>
              <w:ind w:right="-108"/>
              <w:jc w:val="center"/>
              <w:rPr>
                <w:rFonts w:ascii="Arial" w:eastAsia="MS Mincho" w:hAnsi="Arial" w:cs="Arial"/>
                <w:b/>
                <w:snapToGrid w:val="0"/>
                <w:sz w:val="20"/>
                <w:szCs w:val="20"/>
              </w:rPr>
            </w:pPr>
            <w:r w:rsidRPr="00A540CC">
              <w:rPr>
                <w:rFonts w:ascii="Arial" w:eastAsia="MS Mincho" w:hAnsi="Arial" w:cs="Arial"/>
                <w:b/>
                <w:snapToGrid w:val="0"/>
                <w:sz w:val="20"/>
                <w:szCs w:val="20"/>
              </w:rPr>
              <w:t>- 4 %</w:t>
            </w:r>
          </w:p>
          <w:p w14:paraId="38C51610" w14:textId="77777777" w:rsidR="00F9716E" w:rsidRPr="00A540CC" w:rsidRDefault="00F9716E" w:rsidP="00F9716E">
            <w:pPr>
              <w:tabs>
                <w:tab w:val="left" w:pos="1168"/>
              </w:tabs>
              <w:spacing w:line="270" w:lineRule="atLeast"/>
              <w:ind w:right="-108"/>
              <w:jc w:val="center"/>
              <w:rPr>
                <w:rFonts w:ascii="Arial" w:eastAsia="MS Mincho" w:hAnsi="Arial" w:cs="Arial"/>
                <w:b/>
                <w:snapToGrid w:val="0"/>
                <w:sz w:val="20"/>
                <w:szCs w:val="20"/>
              </w:rPr>
            </w:pPr>
            <w:r w:rsidRPr="00A540CC">
              <w:rPr>
                <w:rFonts w:ascii="Arial" w:eastAsia="MS Mincho" w:hAnsi="Arial" w:cs="Arial"/>
                <w:b/>
                <w:snapToGrid w:val="0"/>
                <w:sz w:val="20"/>
                <w:szCs w:val="20"/>
              </w:rPr>
              <w:br/>
            </w:r>
          </w:p>
          <w:p w14:paraId="26D8EACC" w14:textId="7BEC3482" w:rsidR="00F9716E" w:rsidRPr="001829E7" w:rsidRDefault="00F9716E">
            <w:pPr>
              <w:pStyle w:val="Cuerpo"/>
              <w:tabs>
                <w:tab w:val="left" w:pos="1168"/>
              </w:tabs>
              <w:spacing w:line="270" w:lineRule="atLeast"/>
              <w:jc w:val="center"/>
            </w:pPr>
            <w:r w:rsidRPr="00A540CC">
              <w:rPr>
                <w:rFonts w:ascii="Arial" w:eastAsia="MS Mincho" w:hAnsi="Arial" w:cs="Arial"/>
                <w:b/>
                <w:snapToGrid w:val="0"/>
                <w:sz w:val="20"/>
                <w:szCs w:val="20"/>
              </w:rPr>
              <w:t>- 2 %</w:t>
            </w:r>
          </w:p>
        </w:tc>
      </w:tr>
    </w:tbl>
    <w:p w14:paraId="32544F27" w14:textId="77777777" w:rsidR="00700DFB" w:rsidRPr="001829E7" w:rsidRDefault="009F7ED2" w:rsidP="00D5131A">
      <w:pPr>
        <w:pStyle w:val="Cuerpo"/>
        <w:numPr>
          <w:ilvl w:val="0"/>
          <w:numId w:val="22"/>
        </w:numPr>
        <w:tabs>
          <w:tab w:val="clear" w:pos="360"/>
          <w:tab w:val="num" w:pos="411"/>
        </w:tabs>
        <w:spacing w:before="480" w:after="240" w:line="270" w:lineRule="atLeast"/>
        <w:ind w:left="411" w:hanging="411"/>
        <w:jc w:val="both"/>
        <w:rPr>
          <w:rFonts w:ascii="Arial" w:eastAsia="Arial" w:hAnsi="Arial" w:cs="Arial"/>
          <w:b/>
          <w:bCs/>
        </w:rPr>
      </w:pPr>
      <w:r w:rsidRPr="001829E7">
        <w:rPr>
          <w:rFonts w:ascii="Arial"/>
          <w:b/>
          <w:bCs/>
          <w:sz w:val="21"/>
          <w:szCs w:val="21"/>
        </w:rPr>
        <w:t>Primeros Equipos</w:t>
      </w:r>
    </w:p>
    <w:p w14:paraId="676D6441" w14:textId="77777777" w:rsidR="00700DFB" w:rsidRPr="004D4E3A" w:rsidRDefault="009F7ED2" w:rsidP="004D4E3A">
      <w:pPr>
        <w:pStyle w:val="TextoMichelin"/>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276" w:hanging="283"/>
        <w:rPr>
          <w:rFonts w:eastAsia="Times" w:hAnsi="Arial" w:cs="Times New Roman"/>
          <w:color w:val="auto"/>
          <w:szCs w:val="24"/>
          <w:bdr w:val="none" w:sz="0" w:space="0" w:color="auto"/>
          <w:lang w:eastAsia="fr-FR"/>
        </w:rPr>
      </w:pPr>
      <w:r w:rsidRPr="004D4E3A">
        <w:rPr>
          <w:rFonts w:eastAsia="Times" w:hAnsi="Arial" w:cs="Times New Roman"/>
          <w:color w:val="auto"/>
          <w:szCs w:val="24"/>
          <w:bdr w:val="none" w:sz="0" w:space="0" w:color="auto"/>
          <w:lang w:eastAsia="fr-FR"/>
        </w:rPr>
        <w:t xml:space="preserve">En Europa, el mercado cae fuertemente (- 9 %). En Europa Occidental </w:t>
      </w:r>
      <w:r w:rsidRPr="004D4E3A">
        <w:rPr>
          <w:rFonts w:eastAsia="Times" w:hAnsi="Arial" w:cs="Times New Roman"/>
          <w:color w:val="auto"/>
          <w:szCs w:val="24"/>
          <w:bdr w:val="none" w:sz="0" w:space="0" w:color="auto"/>
          <w:lang w:eastAsia="fr-FR"/>
        </w:rPr>
        <w:br/>
        <w:t xml:space="preserve">(- 4 %), sufre la bajada de la demanda de la exportación, así como la entrada en vigor de las normas Euro VI. En Europa del Este, el mercado cae un 35 % en un contexto geopolítico y económico desfavorable. </w:t>
      </w:r>
    </w:p>
    <w:p w14:paraId="6AAC10B0" w14:textId="664FFD5F" w:rsidR="00700DFB" w:rsidRPr="004D4E3A" w:rsidRDefault="009F7ED2" w:rsidP="004D4E3A">
      <w:pPr>
        <w:pStyle w:val="TextoMichelin"/>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276" w:hanging="283"/>
        <w:rPr>
          <w:rFonts w:eastAsia="Times" w:hAnsi="Arial" w:cs="Times New Roman"/>
          <w:color w:val="auto"/>
          <w:szCs w:val="24"/>
          <w:bdr w:val="none" w:sz="0" w:space="0" w:color="auto"/>
          <w:lang w:eastAsia="fr-FR"/>
        </w:rPr>
      </w:pPr>
      <w:r w:rsidRPr="004D4E3A">
        <w:rPr>
          <w:rFonts w:eastAsia="Times" w:hAnsi="Arial" w:cs="Times New Roman"/>
          <w:color w:val="auto"/>
          <w:szCs w:val="24"/>
          <w:bdr w:val="none" w:sz="0" w:space="0" w:color="auto"/>
          <w:lang w:eastAsia="fr-FR"/>
        </w:rPr>
        <w:t xml:space="preserve">En América del Norte, el mercado continúa con fuerte crecimiento (+ 16 %) sostenido por la demanda de los constructores que operan a plena capacidad y por un incremento especialmente acentuado del segmento Clase 8. </w:t>
      </w:r>
    </w:p>
    <w:p w14:paraId="66093289" w14:textId="77777777" w:rsidR="00700DFB" w:rsidRPr="004D4E3A" w:rsidRDefault="009F7ED2" w:rsidP="004D4E3A">
      <w:pPr>
        <w:pStyle w:val="TextoMichelin"/>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276" w:hanging="283"/>
        <w:rPr>
          <w:rFonts w:eastAsia="Times" w:hAnsi="Arial" w:cs="Times New Roman"/>
          <w:color w:val="auto"/>
          <w:szCs w:val="24"/>
          <w:bdr w:val="none" w:sz="0" w:space="0" w:color="auto"/>
          <w:lang w:eastAsia="fr-FR"/>
        </w:rPr>
      </w:pPr>
      <w:r w:rsidRPr="004D4E3A">
        <w:rPr>
          <w:rFonts w:eastAsia="Times" w:hAnsi="Arial" w:cs="Times New Roman"/>
          <w:color w:val="auto"/>
          <w:szCs w:val="24"/>
          <w:bdr w:val="none" w:sz="0" w:space="0" w:color="auto"/>
          <w:lang w:eastAsia="fr-FR"/>
        </w:rPr>
        <w:t xml:space="preserve">En Asia (sin incluir India), la demanda radial y diagonal crece un 1 %. En China, el mercado aumenta un 1 %, bajo el efecto de una búsqueda de la eficiencia de la industria del transporte y de una caída del segmento Autobús y Autocar, por la competencia del ferrocarril. En el Sudeste asiático, la </w:t>
      </w:r>
      <w:r w:rsidRPr="004D4E3A">
        <w:rPr>
          <w:rFonts w:eastAsia="Times" w:hAnsi="Arial" w:cs="Times New Roman"/>
          <w:color w:val="auto"/>
          <w:szCs w:val="24"/>
          <w:bdr w:val="none" w:sz="0" w:space="0" w:color="auto"/>
          <w:lang w:eastAsia="fr-FR"/>
        </w:rPr>
        <w:lastRenderedPageBreak/>
        <w:t>demanda cae un 16 %, debido a la ralentización económica y la situación política inestable de Tailandia. En Japón, el primer equipo repunta un 19 % anual, sostenido por la demanda del sector de la Construcción y la recuperación de las exportaciones.</w:t>
      </w:r>
    </w:p>
    <w:p w14:paraId="09E4A29D" w14:textId="77777777" w:rsidR="00700DFB" w:rsidRPr="00A640DF" w:rsidRDefault="009F7ED2" w:rsidP="00A640DF">
      <w:pPr>
        <w:pStyle w:val="TextoMichelin"/>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276" w:hanging="283"/>
        <w:rPr>
          <w:rFonts w:eastAsia="Times" w:hAnsi="Arial" w:cs="Times New Roman"/>
          <w:color w:val="auto"/>
          <w:szCs w:val="24"/>
          <w:bdr w:val="none" w:sz="0" w:space="0" w:color="auto"/>
          <w:lang w:eastAsia="fr-FR"/>
        </w:rPr>
      </w:pPr>
      <w:r w:rsidRPr="00A640DF">
        <w:rPr>
          <w:rFonts w:eastAsia="Times" w:hAnsi="Arial" w:cs="Times New Roman"/>
          <w:color w:val="auto"/>
          <w:szCs w:val="24"/>
          <w:bdr w:val="none" w:sz="0" w:space="0" w:color="auto"/>
          <w:lang w:eastAsia="fr-FR"/>
        </w:rPr>
        <w:t>En Sudamérica, en un contexto económico en retroceso, la demanda experimenta una fuerte bajada (- 21 % anual, - 34 % en el cuarto trimestre), tras un año 2013 que había registrado una fuerte demanda camiones pesados para el sector agrícola.</w:t>
      </w:r>
    </w:p>
    <w:p w14:paraId="233F29A5" w14:textId="77777777" w:rsidR="00700DFB" w:rsidRPr="001829E7" w:rsidRDefault="009F7ED2" w:rsidP="00D5131A">
      <w:pPr>
        <w:pStyle w:val="Cuerpo"/>
        <w:numPr>
          <w:ilvl w:val="0"/>
          <w:numId w:val="27"/>
        </w:numPr>
        <w:tabs>
          <w:tab w:val="clear" w:pos="360"/>
          <w:tab w:val="num" w:pos="411"/>
        </w:tabs>
        <w:spacing w:before="480" w:after="240" w:line="270" w:lineRule="atLeast"/>
        <w:ind w:left="411" w:hanging="411"/>
        <w:jc w:val="both"/>
        <w:rPr>
          <w:rFonts w:ascii="Arial" w:eastAsia="Arial" w:hAnsi="Arial" w:cs="Arial"/>
          <w:b/>
          <w:bCs/>
        </w:rPr>
      </w:pPr>
      <w:r w:rsidRPr="001829E7">
        <w:rPr>
          <w:rFonts w:ascii="Arial"/>
          <w:b/>
          <w:bCs/>
          <w:sz w:val="21"/>
          <w:szCs w:val="21"/>
        </w:rPr>
        <w:t>Reemplazo</w:t>
      </w:r>
    </w:p>
    <w:p w14:paraId="492D52CB" w14:textId="77777777" w:rsidR="00700DFB" w:rsidRPr="00A640DF" w:rsidRDefault="009F7ED2" w:rsidP="00A640DF">
      <w:pPr>
        <w:pStyle w:val="TextoMichelin"/>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276" w:hanging="283"/>
        <w:rPr>
          <w:rFonts w:eastAsia="Times" w:hAnsi="Arial" w:cs="Times New Roman"/>
          <w:color w:val="auto"/>
          <w:szCs w:val="24"/>
          <w:bdr w:val="none" w:sz="0" w:space="0" w:color="auto"/>
          <w:lang w:eastAsia="fr-FR"/>
        </w:rPr>
      </w:pPr>
      <w:r w:rsidRPr="00A640DF">
        <w:rPr>
          <w:rFonts w:eastAsia="Times" w:hAnsi="Arial" w:cs="Times New Roman"/>
          <w:color w:val="auto"/>
          <w:szCs w:val="24"/>
          <w:bdr w:val="none" w:sz="0" w:space="0" w:color="auto"/>
          <w:lang w:eastAsia="fr-FR"/>
        </w:rPr>
        <w:t>En Europa, el mercado se mantiene globalmente al alza con un 1 % anual. En Europa Occidental, el mercado, con crecimientos del 4 %, se sostiene por la actividad del transporte, la liberación de stocks de la distribución y la falta de carcasas disponibles para recauchutado. En Europa del Este, el mercado de neumáticos cae un 2 % en el año, con una bajada más acentuada en el cuarto trimestre. Los segmentos de neumáticos de gama básica suben fuertemente.</w:t>
      </w:r>
    </w:p>
    <w:p w14:paraId="6ACE03E5" w14:textId="77777777" w:rsidR="00700DFB" w:rsidRPr="00A640DF" w:rsidRDefault="009F7ED2" w:rsidP="00A640DF">
      <w:pPr>
        <w:pStyle w:val="TextoMichelin"/>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276" w:hanging="283"/>
        <w:rPr>
          <w:rFonts w:eastAsia="Times" w:hAnsi="Arial" w:cs="Times New Roman"/>
          <w:color w:val="auto"/>
          <w:szCs w:val="24"/>
          <w:bdr w:val="none" w:sz="0" w:space="0" w:color="auto"/>
          <w:lang w:eastAsia="fr-FR"/>
        </w:rPr>
      </w:pPr>
      <w:r w:rsidRPr="00A640DF">
        <w:rPr>
          <w:rFonts w:eastAsia="Times" w:hAnsi="Arial" w:cs="Times New Roman"/>
          <w:color w:val="auto"/>
          <w:szCs w:val="24"/>
          <w:bdr w:val="none" w:sz="0" w:space="0" w:color="auto"/>
          <w:lang w:eastAsia="fr-FR"/>
        </w:rPr>
        <w:t xml:space="preserve">En América del Norte, el mercado continúa su dinámica de crecimiento </w:t>
      </w:r>
      <w:r w:rsidRPr="00A640DF">
        <w:rPr>
          <w:rFonts w:eastAsia="Times" w:hAnsi="Arial" w:cs="Times New Roman"/>
          <w:color w:val="auto"/>
          <w:szCs w:val="24"/>
          <w:bdr w:val="none" w:sz="0" w:space="0" w:color="auto"/>
          <w:lang w:eastAsia="fr-FR"/>
        </w:rPr>
        <w:br/>
        <w:t xml:space="preserve">(+ 8 %), con una ralentización aparente en el último trimestre debido a la base de comparación con 2103. Los factores macroeconómicos y la evolución de la industria del transporte permanecen favorables, mientras que las importaciones se incrementan, especialmente en México. </w:t>
      </w:r>
    </w:p>
    <w:p w14:paraId="7C785356" w14:textId="77777777" w:rsidR="00700DFB" w:rsidRPr="00A640DF" w:rsidRDefault="009F7ED2" w:rsidP="00A640DF">
      <w:pPr>
        <w:pStyle w:val="TextoMichelin"/>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276" w:hanging="283"/>
        <w:rPr>
          <w:rFonts w:eastAsia="Times" w:hAnsi="Arial" w:cs="Times New Roman"/>
          <w:color w:val="auto"/>
          <w:szCs w:val="24"/>
          <w:bdr w:val="none" w:sz="0" w:space="0" w:color="auto"/>
          <w:lang w:eastAsia="fr-FR"/>
        </w:rPr>
      </w:pPr>
      <w:r w:rsidRPr="00A640DF">
        <w:rPr>
          <w:rFonts w:eastAsia="Times" w:hAnsi="Arial" w:cs="Times New Roman"/>
          <w:color w:val="auto"/>
          <w:szCs w:val="24"/>
          <w:bdr w:val="none" w:sz="0" w:space="0" w:color="auto"/>
          <w:lang w:eastAsia="fr-FR"/>
        </w:rPr>
        <w:t>Los mercados de Asia (sin incluir India) crecen ligeramente un 1 %. En China, el mercado aumenta un 1 %, con una ralentización, sin embargo, de los fletes y la estabilización del transporte de personas. En Japón, el mercado progresa un 6 % anual, espoleado por la demanda de neumáticos de invierno tras las compras anticipadas que habían precedido a la subida del IVA del 1 de abril. En el Sudeste asiático, el mercado permanece estable, a pesar de un fuerte retroceso en Tailandia (- 18 %).</w:t>
      </w:r>
    </w:p>
    <w:p w14:paraId="2F2200DB" w14:textId="77777777" w:rsidR="00700DFB" w:rsidRPr="00A640DF" w:rsidRDefault="009F7ED2" w:rsidP="00A640DF">
      <w:pPr>
        <w:pStyle w:val="TextoMichelin"/>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276" w:hanging="283"/>
        <w:rPr>
          <w:rFonts w:eastAsia="Times" w:hAnsi="Arial" w:cs="Times New Roman"/>
          <w:color w:val="auto"/>
          <w:szCs w:val="24"/>
          <w:bdr w:val="none" w:sz="0" w:space="0" w:color="auto"/>
          <w:lang w:eastAsia="fr-FR"/>
        </w:rPr>
      </w:pPr>
      <w:r w:rsidRPr="00A640DF">
        <w:rPr>
          <w:rFonts w:eastAsia="Times" w:hAnsi="Arial" w:cs="Times New Roman"/>
          <w:color w:val="auto"/>
          <w:szCs w:val="24"/>
          <w:bdr w:val="none" w:sz="0" w:space="0" w:color="auto"/>
          <w:lang w:eastAsia="fr-FR"/>
        </w:rPr>
        <w:t>En Sudamérica, el mercado cae un 4 % en un entorno social y económico más difícil. La caída de la demanda en Brasil (- 1 %) se amplía por la comparación con 2013, que se benefició del dinamismo del sector agrícola.</w:t>
      </w:r>
    </w:p>
    <w:p w14:paraId="468799B7" w14:textId="77777777" w:rsidR="00700DFB" w:rsidRPr="001829E7" w:rsidRDefault="00700DFB">
      <w:pPr>
        <w:pStyle w:val="Cuerpo"/>
        <w:tabs>
          <w:tab w:val="left" w:pos="284"/>
        </w:tabs>
        <w:jc w:val="both"/>
        <w:rPr>
          <w:rFonts w:ascii="Verdana" w:eastAsia="Verdana" w:hAnsi="Verdana" w:cs="Verdana"/>
          <w:b/>
          <w:bCs/>
          <w:shd w:val="clear" w:color="auto" w:fill="FF0000"/>
        </w:rPr>
      </w:pPr>
    </w:p>
    <w:p w14:paraId="5B20D83F" w14:textId="77777777" w:rsidR="00700DFB" w:rsidRPr="001829E7" w:rsidRDefault="009F7ED2">
      <w:pPr>
        <w:pStyle w:val="Cuerpo"/>
        <w:tabs>
          <w:tab w:val="left" w:pos="284"/>
        </w:tabs>
        <w:jc w:val="both"/>
        <w:rPr>
          <w:b/>
          <w:bCs/>
          <w:sz w:val="26"/>
          <w:szCs w:val="26"/>
        </w:rPr>
      </w:pPr>
      <w:r w:rsidRPr="001829E7">
        <w:rPr>
          <w:b/>
          <w:bCs/>
          <w:sz w:val="26"/>
          <w:szCs w:val="26"/>
        </w:rPr>
        <w:t>Neumáticos de especialidades</w:t>
      </w:r>
    </w:p>
    <w:p w14:paraId="1614CFC4" w14:textId="77777777" w:rsidR="00700DFB" w:rsidRPr="001829E7" w:rsidRDefault="00700DFB">
      <w:pPr>
        <w:pStyle w:val="Cuerpo"/>
        <w:tabs>
          <w:tab w:val="left" w:pos="284"/>
        </w:tabs>
        <w:jc w:val="both"/>
        <w:rPr>
          <w:rFonts w:ascii="Verdana" w:eastAsia="Verdana" w:hAnsi="Verdana" w:cs="Verdana"/>
          <w:b/>
          <w:bCs/>
          <w:shd w:val="clear" w:color="auto" w:fill="FF0000"/>
        </w:rPr>
      </w:pPr>
    </w:p>
    <w:p w14:paraId="377354BE" w14:textId="77777777" w:rsidR="00700DFB" w:rsidRPr="001829E7" w:rsidRDefault="009F7ED2" w:rsidP="00C03CBD">
      <w:pPr>
        <w:pStyle w:val="TextoMichelin"/>
        <w:numPr>
          <w:ilvl w:val="0"/>
          <w:numId w:val="60"/>
        </w:numPr>
        <w:rPr>
          <w:rFonts w:eastAsia="Arial" w:hAnsi="Arial" w:cs="Arial"/>
        </w:rPr>
      </w:pPr>
      <w:r w:rsidRPr="001829E7">
        <w:rPr>
          <w:b/>
          <w:bCs/>
        </w:rPr>
        <w:t>Ingenier</w:t>
      </w:r>
      <w:r w:rsidRPr="001829E7">
        <w:rPr>
          <w:rFonts w:ascii="Arial Unicode MS"/>
          <w:b/>
          <w:bCs/>
        </w:rPr>
        <w:t>í</w:t>
      </w:r>
      <w:r w:rsidRPr="001829E7">
        <w:rPr>
          <w:b/>
          <w:bCs/>
        </w:rPr>
        <w:t xml:space="preserve">a civil: </w:t>
      </w:r>
      <w:r w:rsidRPr="001829E7">
        <w:t>El mercado de neum</w:t>
      </w:r>
      <w:r w:rsidRPr="001829E7">
        <w:rPr>
          <w:rFonts w:ascii="Arial Unicode MS"/>
        </w:rPr>
        <w:t>á</w:t>
      </w:r>
      <w:r w:rsidRPr="001829E7">
        <w:t>ticos para miner</w:t>
      </w:r>
      <w:r w:rsidRPr="001829E7">
        <w:rPr>
          <w:rFonts w:ascii="Arial Unicode MS"/>
        </w:rPr>
        <w:t>í</w:t>
      </w:r>
      <w:r w:rsidRPr="001829E7">
        <w:t>a sigue en retroceso significativo en relaci</w:t>
      </w:r>
      <w:r w:rsidRPr="001829E7">
        <w:rPr>
          <w:rFonts w:ascii="Arial Unicode MS"/>
        </w:rPr>
        <w:t>ó</w:t>
      </w:r>
      <w:r w:rsidRPr="001829E7">
        <w:t>n con el a</w:t>
      </w:r>
      <w:r w:rsidRPr="001829E7">
        <w:rPr>
          <w:rFonts w:ascii="Arial Unicode MS"/>
        </w:rPr>
        <w:t>ñ</w:t>
      </w:r>
      <w:r w:rsidRPr="001829E7">
        <w:t>o precedente, penalizado por la disminuci</w:t>
      </w:r>
      <w:r w:rsidRPr="001829E7">
        <w:rPr>
          <w:rFonts w:ascii="Arial Unicode MS"/>
        </w:rPr>
        <w:t>ó</w:t>
      </w:r>
      <w:r w:rsidRPr="001829E7">
        <w:t>n del stock de las compa</w:t>
      </w:r>
      <w:r w:rsidRPr="001829E7">
        <w:rPr>
          <w:rFonts w:ascii="Arial Unicode MS"/>
        </w:rPr>
        <w:t>ñí</w:t>
      </w:r>
      <w:r w:rsidRPr="001829E7">
        <w:t>as mineras y la bajada de la actividad de extracci</w:t>
      </w:r>
      <w:r w:rsidRPr="001829E7">
        <w:rPr>
          <w:rFonts w:ascii="Arial Unicode MS"/>
        </w:rPr>
        <w:t>ó</w:t>
      </w:r>
      <w:r w:rsidRPr="001829E7">
        <w:t>n en algunas minas, afectadas por la ca</w:t>
      </w:r>
      <w:r w:rsidRPr="001829E7">
        <w:rPr>
          <w:rFonts w:ascii="Arial Unicode MS"/>
        </w:rPr>
        <w:t>í</w:t>
      </w:r>
      <w:r w:rsidRPr="001829E7">
        <w:t>da de la cotizaci</w:t>
      </w:r>
      <w:r w:rsidRPr="001829E7">
        <w:rPr>
          <w:rFonts w:ascii="Arial Unicode MS"/>
        </w:rPr>
        <w:t>ó</w:t>
      </w:r>
      <w:r w:rsidRPr="001829E7">
        <w:t xml:space="preserve">n de las materias primas. </w:t>
      </w:r>
    </w:p>
    <w:p w14:paraId="5E86BBE3" w14:textId="77777777" w:rsidR="00700DFB" w:rsidRPr="001829E7" w:rsidRDefault="009F7ED2" w:rsidP="00C03CBD">
      <w:pPr>
        <w:pStyle w:val="Body1"/>
        <w:numPr>
          <w:ilvl w:val="1"/>
          <w:numId w:val="60"/>
        </w:numPr>
        <w:tabs>
          <w:tab w:val="left" w:pos="360"/>
        </w:tabs>
        <w:spacing w:after="60"/>
        <w:jc w:val="both"/>
        <w:rPr>
          <w:rFonts w:ascii="Arial" w:eastAsia="Arial" w:hAnsi="Arial" w:cs="Arial"/>
          <w:sz w:val="21"/>
          <w:szCs w:val="21"/>
        </w:rPr>
      </w:pPr>
      <w:r w:rsidRPr="001829E7">
        <w:rPr>
          <w:rFonts w:ascii="Arial"/>
          <w:sz w:val="21"/>
          <w:szCs w:val="21"/>
        </w:rPr>
        <w:t>Los mercados de primeros equipos repuntan en las zonas maduras, por la reducci</w:t>
      </w:r>
      <w:r w:rsidRPr="001829E7">
        <w:rPr>
          <w:sz w:val="21"/>
          <w:szCs w:val="21"/>
        </w:rPr>
        <w:t>ó</w:t>
      </w:r>
      <w:r w:rsidRPr="001829E7">
        <w:rPr>
          <w:rFonts w:ascii="Arial"/>
          <w:sz w:val="21"/>
          <w:szCs w:val="21"/>
        </w:rPr>
        <w:t xml:space="preserve">n </w:t>
      </w:r>
      <w:r w:rsidRPr="00A640DF">
        <w:rPr>
          <w:rFonts w:ascii="Arial"/>
          <w:color w:val="auto"/>
          <w:sz w:val="21"/>
          <w:szCs w:val="21"/>
        </w:rPr>
        <w:t>de stock realizada</w:t>
      </w:r>
      <w:r w:rsidRPr="001829E7">
        <w:rPr>
          <w:rFonts w:ascii="Arial"/>
          <w:sz w:val="21"/>
          <w:szCs w:val="21"/>
        </w:rPr>
        <w:t xml:space="preserve"> en 2013 por los constructores.</w:t>
      </w:r>
    </w:p>
    <w:p w14:paraId="71E2DC83" w14:textId="77777777" w:rsidR="00700DFB" w:rsidRPr="001829E7" w:rsidRDefault="009F7ED2" w:rsidP="00C03CBD">
      <w:pPr>
        <w:pStyle w:val="TextoMichelin"/>
        <w:numPr>
          <w:ilvl w:val="1"/>
          <w:numId w:val="60"/>
        </w:numPr>
      </w:pPr>
      <w:r w:rsidRPr="001829E7">
        <w:t>El mercado de neum</w:t>
      </w:r>
      <w:r w:rsidRPr="001829E7">
        <w:t>á</w:t>
      </w:r>
      <w:r w:rsidRPr="001829E7">
        <w:t>ticos para infraestructuras y canteras est</w:t>
      </w:r>
      <w:r w:rsidRPr="001829E7">
        <w:t>á</w:t>
      </w:r>
      <w:r w:rsidRPr="001829E7">
        <w:t xml:space="preserve"> en crecimiento en los pa</w:t>
      </w:r>
      <w:r w:rsidRPr="001829E7">
        <w:t>í</w:t>
      </w:r>
      <w:r w:rsidRPr="001829E7">
        <w:t>ses maduros, gracias especialmente, al nivel de stock de la distribuci</w:t>
      </w:r>
      <w:r w:rsidRPr="001829E7">
        <w:t>ó</w:t>
      </w:r>
      <w:r w:rsidRPr="001829E7">
        <w:t>n, m</w:t>
      </w:r>
      <w:r w:rsidRPr="001829E7">
        <w:t>á</w:t>
      </w:r>
      <w:r w:rsidRPr="001829E7">
        <w:t>s bajo que el a</w:t>
      </w:r>
      <w:r w:rsidRPr="001829E7">
        <w:t>ñ</w:t>
      </w:r>
      <w:r w:rsidRPr="001829E7">
        <w:t xml:space="preserve">o anterior. </w:t>
      </w:r>
    </w:p>
    <w:p w14:paraId="273280C2" w14:textId="77777777" w:rsidR="00700DFB" w:rsidRPr="001829E7" w:rsidRDefault="009F7ED2" w:rsidP="00C03CBD">
      <w:pPr>
        <w:pStyle w:val="TextoMichelin"/>
        <w:numPr>
          <w:ilvl w:val="0"/>
          <w:numId w:val="60"/>
        </w:numPr>
        <w:rPr>
          <w:rFonts w:eastAsia="Arial" w:hAnsi="Arial" w:cs="Arial"/>
        </w:rPr>
      </w:pPr>
      <w:r w:rsidRPr="001829E7">
        <w:rPr>
          <w:b/>
          <w:bCs/>
        </w:rPr>
        <w:lastRenderedPageBreak/>
        <w:t>Agr</w:t>
      </w:r>
      <w:r w:rsidRPr="001829E7">
        <w:rPr>
          <w:rFonts w:ascii="Arial Unicode MS"/>
          <w:b/>
          <w:bCs/>
        </w:rPr>
        <w:t>í</w:t>
      </w:r>
      <w:r w:rsidRPr="001829E7">
        <w:rPr>
          <w:b/>
          <w:bCs/>
        </w:rPr>
        <w:t xml:space="preserve">cola: </w:t>
      </w:r>
      <w:r w:rsidRPr="001829E7">
        <w:t>La demanda mundial del mercado de primeros equipos baja netamente en los pa</w:t>
      </w:r>
      <w:r w:rsidRPr="001829E7">
        <w:rPr>
          <w:rFonts w:ascii="Arial Unicode MS"/>
        </w:rPr>
        <w:t>í</w:t>
      </w:r>
      <w:r w:rsidRPr="001829E7">
        <w:t>ses maduros debido a una importante renovaci</w:t>
      </w:r>
      <w:r w:rsidRPr="001829E7">
        <w:rPr>
          <w:rFonts w:ascii="Arial Unicode MS"/>
        </w:rPr>
        <w:t>ó</w:t>
      </w:r>
      <w:r w:rsidRPr="001829E7">
        <w:t xml:space="preserve">n del parque en los </w:t>
      </w:r>
      <w:r w:rsidRPr="001829E7">
        <w:rPr>
          <w:rFonts w:ascii="Arial Unicode MS"/>
        </w:rPr>
        <w:t>ú</w:t>
      </w:r>
      <w:r w:rsidRPr="001829E7">
        <w:t>ltimos a</w:t>
      </w:r>
      <w:r w:rsidRPr="001829E7">
        <w:rPr>
          <w:rFonts w:ascii="Arial Unicode MS"/>
        </w:rPr>
        <w:t>ñ</w:t>
      </w:r>
      <w:r w:rsidRPr="001829E7">
        <w:t>os, a la bajada de la cotizaci</w:t>
      </w:r>
      <w:r w:rsidRPr="001829E7">
        <w:rPr>
          <w:rFonts w:ascii="Arial Unicode MS"/>
        </w:rPr>
        <w:t>ó</w:t>
      </w:r>
      <w:r w:rsidRPr="001829E7">
        <w:t>n de los cereales y a la reducci</w:t>
      </w:r>
      <w:r w:rsidRPr="001829E7">
        <w:rPr>
          <w:rFonts w:ascii="Arial Unicode MS"/>
        </w:rPr>
        <w:t>ó</w:t>
      </w:r>
      <w:r w:rsidRPr="001829E7">
        <w:t>n de  los incentivos fiscales de apoyo al sector en Estados Unidos.</w:t>
      </w:r>
    </w:p>
    <w:p w14:paraId="57824CFF" w14:textId="77777777" w:rsidR="00700DFB" w:rsidRPr="00C03CBD" w:rsidRDefault="009F7ED2" w:rsidP="00C03CBD">
      <w:pPr>
        <w:pStyle w:val="TextoMichelin"/>
        <w:numPr>
          <w:ilvl w:val="0"/>
          <w:numId w:val="60"/>
        </w:numPr>
        <w:rPr>
          <w:bCs/>
        </w:rPr>
      </w:pPr>
      <w:r w:rsidRPr="00C03CBD">
        <w:rPr>
          <w:bCs/>
        </w:rPr>
        <w:t>El mercado de reemplazo en Europa permanece estable en el a</w:t>
      </w:r>
      <w:r w:rsidRPr="00C03CBD">
        <w:rPr>
          <w:bCs/>
        </w:rPr>
        <w:t>ñ</w:t>
      </w:r>
      <w:r w:rsidRPr="00C03CBD">
        <w:rPr>
          <w:bCs/>
        </w:rPr>
        <w:t>o, marcado por la bajada en el segundo semestre. Tambi</w:t>
      </w:r>
      <w:r w:rsidRPr="00C03CBD">
        <w:rPr>
          <w:bCs/>
        </w:rPr>
        <w:t>é</w:t>
      </w:r>
      <w:r w:rsidRPr="00C03CBD">
        <w:rPr>
          <w:bCs/>
        </w:rPr>
        <w:t>n cae significativamente en Am</w:t>
      </w:r>
      <w:r w:rsidRPr="00C03CBD">
        <w:rPr>
          <w:bCs/>
        </w:rPr>
        <w:t>é</w:t>
      </w:r>
      <w:r w:rsidRPr="00C03CBD">
        <w:rPr>
          <w:bCs/>
        </w:rPr>
        <w:t>rica del Norte.</w:t>
      </w:r>
    </w:p>
    <w:p w14:paraId="3CD0A728" w14:textId="77777777" w:rsidR="00700DFB" w:rsidRPr="001829E7" w:rsidRDefault="009F7ED2" w:rsidP="00C03CBD">
      <w:pPr>
        <w:pStyle w:val="TextoMichelin"/>
        <w:numPr>
          <w:ilvl w:val="0"/>
          <w:numId w:val="60"/>
        </w:numPr>
        <w:rPr>
          <w:rFonts w:eastAsia="Arial" w:hAnsi="Arial" w:cs="Arial"/>
        </w:rPr>
      </w:pPr>
      <w:r w:rsidRPr="001829E7">
        <w:rPr>
          <w:b/>
          <w:bCs/>
        </w:rPr>
        <w:t>Dos ruedas</w:t>
      </w:r>
      <w:r w:rsidRPr="001829E7">
        <w:t>: El mercado de moto progresa en Europa, gracias a una meteorolog</w:t>
      </w:r>
      <w:r w:rsidRPr="001829E7">
        <w:t>í</w:t>
      </w:r>
      <w:r w:rsidRPr="001829E7">
        <w:t>a favorable, mientras, baja Am</w:t>
      </w:r>
      <w:r w:rsidRPr="001829E7">
        <w:t>é</w:t>
      </w:r>
      <w:r w:rsidRPr="001829E7">
        <w:t>rica del Norte.</w:t>
      </w:r>
    </w:p>
    <w:p w14:paraId="2BA97F2D" w14:textId="027EBEDB" w:rsidR="00700DFB" w:rsidRPr="001829E7" w:rsidRDefault="009F7ED2" w:rsidP="00C03CBD">
      <w:pPr>
        <w:pStyle w:val="TextoMichelin"/>
        <w:numPr>
          <w:ilvl w:val="0"/>
          <w:numId w:val="60"/>
        </w:numPr>
        <w:rPr>
          <w:rFonts w:eastAsia="Arial" w:hAnsi="Arial" w:cs="Arial"/>
        </w:rPr>
      </w:pPr>
      <w:r w:rsidRPr="001829E7">
        <w:rPr>
          <w:b/>
          <w:bCs/>
        </w:rPr>
        <w:t>Avi</w:t>
      </w:r>
      <w:r w:rsidRPr="001829E7">
        <w:rPr>
          <w:rFonts w:ascii="Arial Unicode MS"/>
          <w:b/>
          <w:bCs/>
        </w:rPr>
        <w:t>ó</w:t>
      </w:r>
      <w:r w:rsidRPr="001829E7">
        <w:rPr>
          <w:b/>
          <w:bCs/>
        </w:rPr>
        <w:t>n:</w:t>
      </w:r>
      <w:r w:rsidRPr="001829E7">
        <w:t xml:space="preserve"> El mercados de neum</w:t>
      </w:r>
      <w:r w:rsidRPr="001829E7">
        <w:rPr>
          <w:rFonts w:ascii="Arial Unicode MS"/>
        </w:rPr>
        <w:t>á</w:t>
      </w:r>
      <w:r w:rsidRPr="001829E7">
        <w:t>ticos para aviaci</w:t>
      </w:r>
      <w:r w:rsidRPr="001829E7">
        <w:rPr>
          <w:rFonts w:ascii="Arial Unicode MS"/>
        </w:rPr>
        <w:t>ó</w:t>
      </w:r>
      <w:r w:rsidRPr="001829E7">
        <w:t>n comercial crece, debido al aumento del tr</w:t>
      </w:r>
      <w:r w:rsidRPr="001829E7">
        <w:rPr>
          <w:rFonts w:ascii="Arial Unicode MS"/>
        </w:rPr>
        <w:t>á</w:t>
      </w:r>
      <w:r w:rsidRPr="001829E7">
        <w:t>fico de pasajeros</w:t>
      </w:r>
      <w:r w:rsidR="00E6743C">
        <w:t>.</w:t>
      </w:r>
    </w:p>
    <w:p w14:paraId="2080AC6E" w14:textId="77777777" w:rsidR="00700DFB" w:rsidRPr="001829E7" w:rsidRDefault="00700DFB">
      <w:pPr>
        <w:pStyle w:val="Cuerpo"/>
        <w:spacing w:after="60"/>
        <w:jc w:val="both"/>
        <w:rPr>
          <w:b/>
          <w:bCs/>
          <w:color w:val="333399"/>
          <w:sz w:val="40"/>
          <w:szCs w:val="40"/>
          <w:u w:color="333399"/>
        </w:rPr>
      </w:pPr>
    </w:p>
    <w:p w14:paraId="0363AB97" w14:textId="77777777" w:rsidR="00700DFB" w:rsidRPr="001829E7" w:rsidRDefault="009F7ED2">
      <w:pPr>
        <w:pStyle w:val="Cuerpo"/>
        <w:spacing w:after="60"/>
        <w:jc w:val="both"/>
        <w:rPr>
          <w:b/>
          <w:bCs/>
          <w:color w:val="333399"/>
          <w:sz w:val="40"/>
          <w:szCs w:val="40"/>
          <w:u w:color="333399"/>
        </w:rPr>
      </w:pPr>
      <w:r w:rsidRPr="001829E7">
        <w:rPr>
          <w:b/>
          <w:bCs/>
          <w:color w:val="333399"/>
          <w:sz w:val="40"/>
          <w:szCs w:val="40"/>
          <w:u w:color="333399"/>
        </w:rPr>
        <w:t>Actividad y resultados de 2014</w:t>
      </w:r>
    </w:p>
    <w:p w14:paraId="21BA791A" w14:textId="77777777" w:rsidR="00700DFB" w:rsidRPr="001829E7" w:rsidRDefault="009F7ED2">
      <w:pPr>
        <w:pStyle w:val="LadilloMichelinDossier"/>
      </w:pPr>
      <w:r w:rsidRPr="001829E7">
        <w:t>Ventas netas</w:t>
      </w:r>
    </w:p>
    <w:p w14:paraId="09C4AB99" w14:textId="77777777" w:rsidR="00700DFB" w:rsidRPr="00E6743C" w:rsidRDefault="009F7ED2">
      <w:pPr>
        <w:pStyle w:val="TextoMichelin"/>
        <w:rPr>
          <w:color w:val="auto"/>
        </w:rPr>
      </w:pPr>
      <w:r w:rsidRPr="00E6743C">
        <w:rPr>
          <w:color w:val="auto"/>
        </w:rPr>
        <w:t>Teniendo en cuenta un efecto desfavorable del cambio de 304 millones de euros y de un  cambio del per</w:t>
      </w:r>
      <w:r w:rsidRPr="00E6743C">
        <w:rPr>
          <w:rFonts w:ascii="Arial Unicode MS"/>
          <w:color w:val="auto"/>
        </w:rPr>
        <w:t>í</w:t>
      </w:r>
      <w:r w:rsidRPr="00E6743C">
        <w:rPr>
          <w:color w:val="auto"/>
        </w:rPr>
        <w:t>metro de consolidaci</w:t>
      </w:r>
      <w:r w:rsidRPr="00E6743C">
        <w:rPr>
          <w:rFonts w:ascii="Arial Unicode MS"/>
          <w:color w:val="auto"/>
        </w:rPr>
        <w:t>ó</w:t>
      </w:r>
      <w:r w:rsidRPr="00E6743C">
        <w:rPr>
          <w:color w:val="auto"/>
        </w:rPr>
        <w:t xml:space="preserve">n de - 75 millones de euros, las </w:t>
      </w:r>
      <w:r w:rsidRPr="00E6743C">
        <w:rPr>
          <w:b/>
          <w:bCs/>
          <w:color w:val="auto"/>
        </w:rPr>
        <w:t>ventas netas se sit</w:t>
      </w:r>
      <w:r w:rsidRPr="00E6743C">
        <w:rPr>
          <w:rFonts w:ascii="Arial Unicode MS"/>
          <w:b/>
          <w:bCs/>
          <w:color w:val="auto"/>
        </w:rPr>
        <w:t>ú</w:t>
      </w:r>
      <w:r w:rsidRPr="00E6743C">
        <w:rPr>
          <w:b/>
          <w:bCs/>
          <w:color w:val="auto"/>
        </w:rPr>
        <w:t>an en 19.553</w:t>
      </w:r>
      <w:r w:rsidRPr="00E6743C">
        <w:rPr>
          <w:rFonts w:ascii="Times" w:eastAsia="Times" w:hAnsi="Times" w:cs="Times"/>
          <w:color w:val="auto"/>
          <w:sz w:val="24"/>
          <w:szCs w:val="24"/>
        </w:rPr>
        <w:t xml:space="preserve"> </w:t>
      </w:r>
      <w:r w:rsidRPr="00E6743C">
        <w:rPr>
          <w:b/>
          <w:bCs/>
          <w:color w:val="auto"/>
        </w:rPr>
        <w:t>millones de euros</w:t>
      </w:r>
      <w:r w:rsidRPr="00E6743C">
        <w:rPr>
          <w:color w:val="auto"/>
        </w:rPr>
        <w:t>, en comparaci</w:t>
      </w:r>
      <w:r w:rsidRPr="00E6743C">
        <w:rPr>
          <w:rFonts w:ascii="Arial Unicode MS"/>
          <w:color w:val="auto"/>
        </w:rPr>
        <w:t>ó</w:t>
      </w:r>
      <w:r w:rsidRPr="00E6743C">
        <w:rPr>
          <w:color w:val="auto"/>
        </w:rPr>
        <w:t>n con los 20.247 millones de 2013.</w:t>
      </w:r>
    </w:p>
    <w:p w14:paraId="58F7B531" w14:textId="77777777" w:rsidR="00700DFB" w:rsidRPr="00E6743C" w:rsidRDefault="009F7ED2">
      <w:pPr>
        <w:pStyle w:val="TextoMichelin"/>
        <w:rPr>
          <w:color w:val="auto"/>
        </w:rPr>
      </w:pPr>
      <w:r w:rsidRPr="00E6743C">
        <w:rPr>
          <w:color w:val="auto"/>
        </w:rPr>
        <w:t>El crecimiento del 0,7 % de los vol</w:t>
      </w:r>
      <w:r w:rsidRPr="00E6743C">
        <w:rPr>
          <w:rFonts w:ascii="Arial Unicode MS"/>
          <w:color w:val="auto"/>
        </w:rPr>
        <w:t>ú</w:t>
      </w:r>
      <w:r w:rsidRPr="00E6743C">
        <w:rPr>
          <w:color w:val="auto"/>
        </w:rPr>
        <w:t>menes, en mercados poco desarrollados, refleja la buena resistencia de la marca MICHELIN en l</w:t>
      </w:r>
      <w:r w:rsidRPr="00E6743C">
        <w:rPr>
          <w:rFonts w:ascii="Arial Unicode MS"/>
          <w:color w:val="auto"/>
        </w:rPr>
        <w:t>í</w:t>
      </w:r>
      <w:r w:rsidRPr="00E6743C">
        <w:rPr>
          <w:color w:val="auto"/>
        </w:rPr>
        <w:t>nea con la evoluci</w:t>
      </w:r>
      <w:r w:rsidRPr="00E6743C">
        <w:rPr>
          <w:rFonts w:ascii="Arial Unicode MS"/>
          <w:color w:val="auto"/>
        </w:rPr>
        <w:t>ó</w:t>
      </w:r>
      <w:r w:rsidRPr="00E6743C">
        <w:rPr>
          <w:color w:val="auto"/>
        </w:rPr>
        <w:t xml:space="preserve">n de los mercados. </w:t>
      </w:r>
    </w:p>
    <w:p w14:paraId="31EF03E0" w14:textId="536C8E55" w:rsidR="00700DFB" w:rsidRPr="00E6743C" w:rsidRDefault="009F7ED2">
      <w:pPr>
        <w:pStyle w:val="TextoMichelin"/>
        <w:rPr>
          <w:color w:val="auto"/>
        </w:rPr>
      </w:pPr>
      <w:r w:rsidRPr="00E6743C">
        <w:rPr>
          <w:color w:val="auto"/>
        </w:rPr>
        <w:t>El efecto negativo del mix de precios  se sit</w:t>
      </w:r>
      <w:r w:rsidRPr="00E6743C">
        <w:rPr>
          <w:rFonts w:ascii="Arial Unicode MS"/>
          <w:color w:val="auto"/>
        </w:rPr>
        <w:t>ú</w:t>
      </w:r>
      <w:r w:rsidRPr="00E6743C">
        <w:rPr>
          <w:color w:val="auto"/>
        </w:rPr>
        <w:t>a en - 449 millones de euros (-2,2</w:t>
      </w:r>
      <w:r w:rsidRPr="00E6743C">
        <w:rPr>
          <w:rFonts w:ascii="Arial Unicode MS"/>
          <w:color w:val="auto"/>
        </w:rPr>
        <w:t> </w:t>
      </w:r>
      <w:r w:rsidRPr="00E6743C">
        <w:rPr>
          <w:color w:val="auto"/>
        </w:rPr>
        <w:t>%). Que es el resultado de, - 596 millones de euros, debidos a la evoluci</w:t>
      </w:r>
      <w:r w:rsidRPr="00E6743C">
        <w:rPr>
          <w:rFonts w:ascii="Arial Unicode MS"/>
          <w:color w:val="auto"/>
        </w:rPr>
        <w:t>ó</w:t>
      </w:r>
      <w:r w:rsidRPr="00E6743C">
        <w:rPr>
          <w:color w:val="auto"/>
        </w:rPr>
        <w:t>n de los precios, donde alrededor de un 35 % corresponde a los ajustes por las cl</w:t>
      </w:r>
      <w:r w:rsidRPr="00E6743C">
        <w:rPr>
          <w:rFonts w:ascii="Arial Unicode MS"/>
          <w:color w:val="auto"/>
        </w:rPr>
        <w:t>á</w:t>
      </w:r>
      <w:r w:rsidRPr="00E6743C">
        <w:rPr>
          <w:color w:val="auto"/>
        </w:rPr>
        <w:t>usulas de indexaci</w:t>
      </w:r>
      <w:r w:rsidRPr="00E6743C">
        <w:rPr>
          <w:rFonts w:ascii="Arial Unicode MS"/>
          <w:color w:val="auto"/>
        </w:rPr>
        <w:t>ó</w:t>
      </w:r>
      <w:r w:rsidRPr="00E6743C">
        <w:rPr>
          <w:color w:val="auto"/>
        </w:rPr>
        <w:t xml:space="preserve">n de precios a los costes de las materias primas, y 147 millones de euros, como consecuencia de la mejora del mix, debido principalmente a la estrategia </w:t>
      </w:r>
      <w:proofErr w:type="spellStart"/>
      <w:r w:rsidRPr="00E6743C">
        <w:rPr>
          <w:color w:val="auto"/>
        </w:rPr>
        <w:t>premium</w:t>
      </w:r>
      <w:proofErr w:type="spellEnd"/>
      <w:r w:rsidRPr="00E6743C">
        <w:rPr>
          <w:color w:val="auto"/>
        </w:rPr>
        <w:t xml:space="preserve"> de la marca MICHELIN en Turismo y Camioneta.</w:t>
      </w:r>
    </w:p>
    <w:p w14:paraId="39747181" w14:textId="77777777" w:rsidR="00700DFB" w:rsidRPr="00E6743C" w:rsidRDefault="009F7ED2">
      <w:pPr>
        <w:pStyle w:val="TextoMichelin"/>
        <w:rPr>
          <w:color w:val="auto"/>
        </w:rPr>
      </w:pPr>
      <w:r w:rsidRPr="00E6743C">
        <w:rPr>
          <w:color w:val="auto"/>
        </w:rPr>
        <w:t>El impacto de las paridades de cambio de -</w:t>
      </w:r>
      <w:r w:rsidRPr="00E6743C">
        <w:rPr>
          <w:rFonts w:ascii="Arial Unicode MS"/>
          <w:color w:val="auto"/>
        </w:rPr>
        <w:t> </w:t>
      </w:r>
      <w:r w:rsidRPr="00E6743C">
        <w:rPr>
          <w:color w:val="auto"/>
        </w:rPr>
        <w:t>304 millones de euros (- 1,5</w:t>
      </w:r>
      <w:r w:rsidRPr="00E6743C">
        <w:rPr>
          <w:rFonts w:ascii="Arial Unicode MS"/>
          <w:color w:val="auto"/>
        </w:rPr>
        <w:t> </w:t>
      </w:r>
      <w:r w:rsidRPr="00E6743C">
        <w:rPr>
          <w:color w:val="auto"/>
        </w:rPr>
        <w:t>%) combina la evoluci</w:t>
      </w:r>
      <w:r w:rsidRPr="00E6743C">
        <w:rPr>
          <w:rFonts w:ascii="Arial Unicode MS"/>
          <w:color w:val="auto"/>
        </w:rPr>
        <w:t>ó</w:t>
      </w:r>
      <w:r w:rsidRPr="00E6743C">
        <w:rPr>
          <w:color w:val="auto"/>
        </w:rPr>
        <w:t>n del euro en relaci</w:t>
      </w:r>
      <w:r w:rsidRPr="00E6743C">
        <w:rPr>
          <w:rFonts w:ascii="Arial Unicode MS"/>
          <w:color w:val="auto"/>
        </w:rPr>
        <w:t>ó</w:t>
      </w:r>
      <w:r w:rsidRPr="00E6743C">
        <w:rPr>
          <w:color w:val="auto"/>
        </w:rPr>
        <w:t>n al d</w:t>
      </w:r>
      <w:r w:rsidRPr="00E6743C">
        <w:rPr>
          <w:rFonts w:ascii="Arial Unicode MS"/>
          <w:color w:val="auto"/>
        </w:rPr>
        <w:t>ó</w:t>
      </w:r>
      <w:r w:rsidRPr="00E6743C">
        <w:rPr>
          <w:color w:val="auto"/>
        </w:rPr>
        <w:t>lar americano, fuertemente desfavorable hasta verano y que se ha invertido desde septiembre, as</w:t>
      </w:r>
      <w:r w:rsidRPr="00E6743C">
        <w:rPr>
          <w:rFonts w:ascii="Arial Unicode MS"/>
          <w:color w:val="auto"/>
        </w:rPr>
        <w:t xml:space="preserve">í </w:t>
      </w:r>
      <w:r w:rsidRPr="00E6743C">
        <w:rPr>
          <w:color w:val="auto"/>
        </w:rPr>
        <w:t>como la subida del euro, globalmente negativa, en relaci</w:t>
      </w:r>
      <w:r w:rsidRPr="00E6743C">
        <w:rPr>
          <w:rFonts w:ascii="Arial Unicode MS"/>
          <w:color w:val="auto"/>
        </w:rPr>
        <w:t>ó</w:t>
      </w:r>
      <w:r w:rsidRPr="00E6743C">
        <w:rPr>
          <w:color w:val="auto"/>
        </w:rPr>
        <w:t>n al real brasile</w:t>
      </w:r>
      <w:r w:rsidRPr="00E6743C">
        <w:rPr>
          <w:rFonts w:ascii="Arial Unicode MS"/>
          <w:color w:val="auto"/>
        </w:rPr>
        <w:t>ñ</w:t>
      </w:r>
      <w:r w:rsidRPr="00E6743C">
        <w:rPr>
          <w:color w:val="auto"/>
        </w:rPr>
        <w:t>o, al rublo ruso, al peso argentino y al d</w:t>
      </w:r>
      <w:r w:rsidRPr="00E6743C">
        <w:rPr>
          <w:rFonts w:ascii="Arial Unicode MS"/>
          <w:color w:val="auto"/>
        </w:rPr>
        <w:t>ó</w:t>
      </w:r>
      <w:r w:rsidRPr="00E6743C">
        <w:rPr>
          <w:color w:val="auto"/>
        </w:rPr>
        <w:t xml:space="preserve">lar canadiense, especialmente. </w:t>
      </w:r>
    </w:p>
    <w:p w14:paraId="4333467E" w14:textId="77777777" w:rsidR="00700DFB" w:rsidRPr="001829E7" w:rsidRDefault="009F7ED2">
      <w:pPr>
        <w:pStyle w:val="LadilloMichelinDossier"/>
      </w:pPr>
      <w:r w:rsidRPr="001829E7">
        <w:t>Resultados</w:t>
      </w:r>
    </w:p>
    <w:p w14:paraId="21242771" w14:textId="77777777" w:rsidR="00700DFB" w:rsidRPr="001829E7" w:rsidRDefault="009F7ED2">
      <w:pPr>
        <w:pStyle w:val="TextoMichelin"/>
      </w:pPr>
      <w:r w:rsidRPr="001829E7">
        <w:rPr>
          <w:b/>
          <w:bCs/>
        </w:rPr>
        <w:t>El resultado operativo del Grupo antes de elementos no recurrentes alcanza los 2.170</w:t>
      </w:r>
      <w:r w:rsidRPr="001829E7">
        <w:rPr>
          <w:rFonts w:ascii="Arial Unicode MS"/>
          <w:b/>
          <w:bCs/>
        </w:rPr>
        <w:t> </w:t>
      </w:r>
      <w:r w:rsidRPr="001829E7">
        <w:rPr>
          <w:b/>
          <w:bCs/>
        </w:rPr>
        <w:t xml:space="preserve">millones de euros, </w:t>
      </w:r>
      <w:r w:rsidRPr="001829E7">
        <w:t>en comparaci</w:t>
      </w:r>
      <w:r w:rsidRPr="001829E7">
        <w:rPr>
          <w:rFonts w:ascii="Arial Unicode MS"/>
        </w:rPr>
        <w:t>ó</w:t>
      </w:r>
      <w:r w:rsidRPr="001829E7">
        <w:t xml:space="preserve">n con los 2.234 millones de euros de 2013. Los elementos no recurrentes de 179 millones de euros corresponden, fundamentalmente, a los gastos </w:t>
      </w:r>
      <w:r w:rsidRPr="00E6743C">
        <w:rPr>
          <w:color w:val="auto"/>
        </w:rPr>
        <w:t>de reestructuraci</w:t>
      </w:r>
      <w:r w:rsidRPr="00E6743C">
        <w:rPr>
          <w:rFonts w:ascii="Arial Unicode MS"/>
          <w:color w:val="auto"/>
        </w:rPr>
        <w:t>ó</w:t>
      </w:r>
      <w:r w:rsidRPr="00E6743C">
        <w:rPr>
          <w:color w:val="auto"/>
        </w:rPr>
        <w:t>n por</w:t>
      </w:r>
      <w:r w:rsidRPr="001829E7">
        <w:t xml:space="preserve"> proyectos de mejora de la competitividad industrial del Grupo. </w:t>
      </w:r>
    </w:p>
    <w:p w14:paraId="0309E176" w14:textId="77777777" w:rsidR="00700DFB" w:rsidRPr="001829E7" w:rsidRDefault="00700DFB">
      <w:pPr>
        <w:pStyle w:val="TextoMichelin"/>
      </w:pPr>
    </w:p>
    <w:p w14:paraId="2D1B2351" w14:textId="079870B8" w:rsidR="00700DFB" w:rsidRPr="001829E7" w:rsidRDefault="009F7ED2">
      <w:pPr>
        <w:pStyle w:val="TextoMichelin"/>
      </w:pPr>
      <w:r w:rsidRPr="001829E7">
        <w:lastRenderedPageBreak/>
        <w:t>Exceptuando el efecto de las variaciones del cambio (-</w:t>
      </w:r>
      <w:r w:rsidRPr="001829E7">
        <w:rPr>
          <w:rFonts w:ascii="Arial Unicode MS"/>
        </w:rPr>
        <w:t> </w:t>
      </w:r>
      <w:r w:rsidRPr="001829E7">
        <w:t>145 millones de euros), el resultado operativo antes de elementos no recurrentes</w:t>
      </w:r>
      <w:r w:rsidRPr="001829E7">
        <w:rPr>
          <w:b/>
          <w:bCs/>
        </w:rPr>
        <w:t xml:space="preserve"> </w:t>
      </w:r>
      <w:r w:rsidRPr="001829E7">
        <w:t>registra el efecto neto favorable de 118 millones de euros, gracias al control del mix de precios (- 449 millones de euros</w:t>
      </w:r>
      <w:r w:rsidRPr="00E6743C">
        <w:rPr>
          <w:color w:val="auto"/>
        </w:rPr>
        <w:t xml:space="preserve">), al impacto favorable del precio de las materias primas </w:t>
      </w:r>
      <w:r w:rsidRPr="00E6743C">
        <w:rPr>
          <w:color w:val="auto"/>
        </w:rPr>
        <w:br/>
      </w:r>
      <w:r w:rsidRPr="001829E7">
        <w:t>(+</w:t>
      </w:r>
      <w:r w:rsidRPr="001829E7">
        <w:rPr>
          <w:rFonts w:ascii="Arial Unicode MS"/>
        </w:rPr>
        <w:t> </w:t>
      </w:r>
      <w:r w:rsidRPr="001829E7">
        <w:t>51 millones de euros), los efectos del plan de competitividad (+ 238 millone</w:t>
      </w:r>
      <w:r w:rsidR="00E6743C">
        <w:t>s de euros)</w:t>
      </w:r>
      <w:r w:rsidRPr="001829E7">
        <w:t>, conforme a los objetivos anuales, la inflaci</w:t>
      </w:r>
      <w:r w:rsidRPr="001829E7">
        <w:rPr>
          <w:rFonts w:ascii="Arial Unicode MS"/>
        </w:rPr>
        <w:t>ó</w:t>
      </w:r>
      <w:r w:rsidRPr="001829E7">
        <w:t>n de los costes de producci</w:t>
      </w:r>
      <w:r w:rsidRPr="001829E7">
        <w:rPr>
          <w:rFonts w:ascii="Arial Unicode MS"/>
        </w:rPr>
        <w:t>ó</w:t>
      </w:r>
      <w:r w:rsidRPr="001829E7">
        <w:t xml:space="preserve">n y otros gastos </w:t>
      </w:r>
      <w:r w:rsidRPr="001829E7">
        <w:br/>
        <w:t>(-</w:t>
      </w:r>
      <w:r w:rsidRPr="001829E7">
        <w:rPr>
          <w:rFonts w:ascii="Arial Unicode MS"/>
        </w:rPr>
        <w:t> </w:t>
      </w:r>
      <w:r w:rsidRPr="001829E7">
        <w:t>256 millones de euros), as</w:t>
      </w:r>
      <w:r w:rsidRPr="001829E7">
        <w:rPr>
          <w:rFonts w:ascii="Arial Unicode MS"/>
        </w:rPr>
        <w:t xml:space="preserve">í </w:t>
      </w:r>
      <w:r w:rsidRPr="001829E7">
        <w:t>como la evoluci</w:t>
      </w:r>
      <w:r w:rsidRPr="001829E7">
        <w:rPr>
          <w:rFonts w:ascii="Arial Unicode MS"/>
        </w:rPr>
        <w:t>ó</w:t>
      </w:r>
      <w:r w:rsidRPr="001829E7">
        <w:t>n de los gastos relacionados especialmente con la nueva herramienta para la gesti</w:t>
      </w:r>
      <w:r w:rsidRPr="001829E7">
        <w:rPr>
          <w:rFonts w:ascii="Arial Unicode MS"/>
        </w:rPr>
        <w:t>ó</w:t>
      </w:r>
      <w:r w:rsidRPr="001829E7">
        <w:t>n de la empresa y los gastos en los nuevos mercados.</w:t>
      </w:r>
    </w:p>
    <w:p w14:paraId="05269DCB" w14:textId="77777777" w:rsidR="00700DFB" w:rsidRPr="001829E7" w:rsidRDefault="009F7ED2">
      <w:pPr>
        <w:pStyle w:val="TextoMichelin"/>
        <w:rPr>
          <w:b/>
          <w:bCs/>
        </w:rPr>
      </w:pPr>
      <w:r w:rsidRPr="001829E7">
        <w:rPr>
          <w:b/>
          <w:bCs/>
        </w:rPr>
        <w:t>El resultado neto arroja un beneficio de 1.031 millones de euros.</w:t>
      </w:r>
    </w:p>
    <w:p w14:paraId="3580242D" w14:textId="77777777" w:rsidR="00700DFB" w:rsidRPr="001829E7" w:rsidRDefault="009F7ED2">
      <w:pPr>
        <w:pStyle w:val="LadilloMichelinDossier"/>
      </w:pPr>
      <w:r w:rsidRPr="001829E7">
        <w:t>Posición financiera neta</w:t>
      </w:r>
    </w:p>
    <w:p w14:paraId="0FF8AB5E" w14:textId="77777777" w:rsidR="00700DFB" w:rsidRPr="001829E7" w:rsidRDefault="009F7ED2">
      <w:pPr>
        <w:pStyle w:val="TextoMichelin"/>
      </w:pPr>
      <w:r w:rsidRPr="001829E7">
        <w:t xml:space="preserve">En el ejercicio, el Grupo ha generado un </w:t>
      </w:r>
      <w:r w:rsidRPr="001829E7">
        <w:rPr>
          <w:b/>
          <w:bCs/>
          <w:i/>
          <w:iCs/>
        </w:rPr>
        <w:t xml:space="preserve">cash </w:t>
      </w:r>
      <w:proofErr w:type="spellStart"/>
      <w:r w:rsidRPr="001829E7">
        <w:rPr>
          <w:b/>
          <w:bCs/>
          <w:i/>
          <w:iCs/>
        </w:rPr>
        <w:t>flow</w:t>
      </w:r>
      <w:proofErr w:type="spellEnd"/>
      <w:r w:rsidRPr="001829E7">
        <w:rPr>
          <w:b/>
          <w:bCs/>
        </w:rPr>
        <w:t xml:space="preserve"> libre de 722 millones de euros, </w:t>
      </w:r>
      <w:r w:rsidRPr="001829E7">
        <w:t>exceptuando la adquisici</w:t>
      </w:r>
      <w:r w:rsidRPr="001829E7">
        <w:rPr>
          <w:rFonts w:ascii="Arial Unicode MS"/>
        </w:rPr>
        <w:t>ó</w:t>
      </w:r>
      <w:r w:rsidRPr="001829E7">
        <w:t xml:space="preserve">n de </w:t>
      </w:r>
      <w:proofErr w:type="spellStart"/>
      <w:r w:rsidRPr="001829E7">
        <w:t>Sascar</w:t>
      </w:r>
      <w:proofErr w:type="spellEnd"/>
      <w:r w:rsidRPr="001829E7">
        <w:t>, tras inversiones de 1.883</w:t>
      </w:r>
      <w:r w:rsidRPr="001829E7">
        <w:rPr>
          <w:rFonts w:ascii="Times" w:eastAsia="Times" w:hAnsi="Times" w:cs="Times"/>
          <w:sz w:val="24"/>
          <w:szCs w:val="24"/>
        </w:rPr>
        <w:t xml:space="preserve"> </w:t>
      </w:r>
      <w:r w:rsidRPr="001829E7">
        <w:t xml:space="preserve">millones de euros. </w:t>
      </w:r>
    </w:p>
    <w:p w14:paraId="51D2E088" w14:textId="77777777" w:rsidR="00700DFB" w:rsidRPr="001829E7" w:rsidRDefault="009F7ED2">
      <w:pPr>
        <w:pStyle w:val="TextoMichelin"/>
      </w:pPr>
      <w:r w:rsidRPr="001829E7">
        <w:t xml:space="preserve">A 31 de diciembre de 2014, el Grupo tiene un </w:t>
      </w:r>
      <w:r w:rsidRPr="001829E7">
        <w:rPr>
          <w:b/>
          <w:bCs/>
        </w:rPr>
        <w:t xml:space="preserve">ratio de endeudamiento del 7 %, </w:t>
      </w:r>
      <w:r w:rsidRPr="001829E7">
        <w:t>que supone un endeudamiento financiero neto de 707 millones de euros, en comparaci</w:t>
      </w:r>
      <w:r w:rsidRPr="001829E7">
        <w:rPr>
          <w:rFonts w:ascii="Arial Unicode MS"/>
        </w:rPr>
        <w:t>ó</w:t>
      </w:r>
      <w:r w:rsidRPr="001829E7">
        <w:t>n con el 2 % y los 142 millones de euros de finales de diciembre de 2013.</w:t>
      </w:r>
    </w:p>
    <w:p w14:paraId="21FCA1C4" w14:textId="77777777" w:rsidR="00700DFB" w:rsidRPr="001829E7" w:rsidRDefault="009F7ED2">
      <w:pPr>
        <w:pStyle w:val="LadilloMichelinDossier"/>
        <w:rPr>
          <w:rFonts w:ascii="Verdana" w:eastAsia="Verdana" w:hAnsi="Verdana" w:cs="Verdana"/>
          <w:b w:val="0"/>
          <w:bCs w:val="0"/>
        </w:rPr>
      </w:pPr>
      <w:r w:rsidRPr="001829E7">
        <w:t>Información sectorial</w:t>
      </w:r>
    </w:p>
    <w:tbl>
      <w:tblPr>
        <w:tblStyle w:val="TableNormal"/>
        <w:tblW w:w="84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47"/>
        <w:gridCol w:w="1119"/>
        <w:gridCol w:w="1258"/>
        <w:gridCol w:w="1118"/>
        <w:gridCol w:w="1119"/>
        <w:gridCol w:w="1118"/>
        <w:gridCol w:w="1119"/>
      </w:tblGrid>
      <w:tr w:rsidR="00700DFB" w:rsidRPr="001829E7" w14:paraId="6B69AED5" w14:textId="77777777">
        <w:trPr>
          <w:trHeight w:val="758"/>
        </w:trPr>
        <w:tc>
          <w:tcPr>
            <w:tcW w:w="1645" w:type="dxa"/>
            <w:tcBorders>
              <w:top w:val="single" w:sz="2" w:space="0" w:color="000000"/>
              <w:left w:val="single" w:sz="2" w:space="0" w:color="000000"/>
              <w:bottom w:val="single" w:sz="2" w:space="0" w:color="000000"/>
              <w:right w:val="single" w:sz="2" w:space="0" w:color="000000"/>
            </w:tcBorders>
            <w:shd w:val="clear" w:color="auto" w:fill="E0E0E0"/>
            <w:tcMar>
              <w:top w:w="80" w:type="dxa"/>
              <w:left w:w="80" w:type="dxa"/>
              <w:bottom w:w="80" w:type="dxa"/>
              <w:right w:w="80" w:type="dxa"/>
            </w:tcMar>
          </w:tcPr>
          <w:p w14:paraId="73D6A64E" w14:textId="77777777" w:rsidR="00700DFB" w:rsidRPr="001829E7" w:rsidRDefault="00700DFB">
            <w:pPr>
              <w:pStyle w:val="LadilloMichelinDossier"/>
              <w:spacing w:before="0" w:after="0"/>
              <w:jc w:val="center"/>
              <w:rPr>
                <w:rFonts w:ascii="Arial" w:eastAsia="Arial" w:hAnsi="Arial" w:cs="Arial"/>
                <w:sz w:val="20"/>
                <w:szCs w:val="20"/>
              </w:rPr>
            </w:pPr>
          </w:p>
          <w:p w14:paraId="0CB6F0D4" w14:textId="77777777" w:rsidR="00700DFB" w:rsidRPr="001829E7" w:rsidRDefault="009F7ED2">
            <w:pPr>
              <w:pStyle w:val="LadilloMichelinDossier"/>
              <w:spacing w:before="0" w:after="0"/>
              <w:jc w:val="center"/>
            </w:pPr>
            <w:r w:rsidRPr="001829E7">
              <w:rPr>
                <w:rFonts w:ascii="Arial"/>
                <w:sz w:val="20"/>
                <w:szCs w:val="20"/>
              </w:rPr>
              <w:t>Millones de euros</w:t>
            </w:r>
          </w:p>
        </w:tc>
        <w:tc>
          <w:tcPr>
            <w:tcW w:w="2376" w:type="dxa"/>
            <w:gridSpan w:val="2"/>
            <w:tcBorders>
              <w:top w:val="single" w:sz="2" w:space="0" w:color="000000"/>
              <w:left w:val="single" w:sz="2" w:space="0" w:color="000000"/>
              <w:bottom w:val="single" w:sz="2" w:space="0" w:color="000000"/>
              <w:right w:val="single" w:sz="2" w:space="0" w:color="000000"/>
            </w:tcBorders>
            <w:shd w:val="clear" w:color="auto" w:fill="E0E0E0"/>
            <w:tcMar>
              <w:top w:w="80" w:type="dxa"/>
              <w:left w:w="80" w:type="dxa"/>
              <w:bottom w:w="80" w:type="dxa"/>
              <w:right w:w="80" w:type="dxa"/>
            </w:tcMar>
          </w:tcPr>
          <w:p w14:paraId="6141BD78" w14:textId="77777777" w:rsidR="00700DFB" w:rsidRPr="001829E7" w:rsidRDefault="009F7ED2">
            <w:pPr>
              <w:pStyle w:val="LadilloMichelinDossier"/>
              <w:spacing w:before="0" w:after="0"/>
              <w:jc w:val="center"/>
            </w:pPr>
            <w:r w:rsidRPr="001829E7">
              <w:rPr>
                <w:rFonts w:ascii="Arial" w:eastAsia="Arial" w:hAnsi="Arial" w:cs="Arial"/>
                <w:sz w:val="20"/>
                <w:szCs w:val="20"/>
              </w:rPr>
              <w:br/>
            </w:r>
            <w:r w:rsidRPr="001829E7">
              <w:rPr>
                <w:rFonts w:ascii="Arial"/>
                <w:sz w:val="20"/>
                <w:szCs w:val="20"/>
              </w:rPr>
              <w:t>Ventas netas</w:t>
            </w:r>
          </w:p>
        </w:tc>
        <w:tc>
          <w:tcPr>
            <w:tcW w:w="2237" w:type="dxa"/>
            <w:gridSpan w:val="2"/>
            <w:tcBorders>
              <w:top w:val="single" w:sz="2" w:space="0" w:color="000000"/>
              <w:left w:val="single" w:sz="2" w:space="0" w:color="000000"/>
              <w:bottom w:val="single" w:sz="2" w:space="0" w:color="000000"/>
              <w:right w:val="single" w:sz="2" w:space="0" w:color="000000"/>
            </w:tcBorders>
            <w:shd w:val="clear" w:color="auto" w:fill="E0E0E0"/>
            <w:tcMar>
              <w:top w:w="80" w:type="dxa"/>
              <w:left w:w="80" w:type="dxa"/>
              <w:bottom w:w="80" w:type="dxa"/>
              <w:right w:w="80" w:type="dxa"/>
            </w:tcMar>
          </w:tcPr>
          <w:p w14:paraId="320E973C" w14:textId="77777777" w:rsidR="00700DFB" w:rsidRPr="001829E7" w:rsidRDefault="009F7ED2">
            <w:pPr>
              <w:pStyle w:val="LadilloMichelinDossier"/>
              <w:spacing w:before="0" w:after="0"/>
              <w:jc w:val="center"/>
            </w:pPr>
            <w:r w:rsidRPr="001829E7">
              <w:rPr>
                <w:rFonts w:ascii="Arial"/>
                <w:sz w:val="20"/>
                <w:szCs w:val="20"/>
              </w:rPr>
              <w:t xml:space="preserve">Resultado operativo antes de no recurrentes </w:t>
            </w:r>
          </w:p>
        </w:tc>
        <w:tc>
          <w:tcPr>
            <w:tcW w:w="2237" w:type="dxa"/>
            <w:gridSpan w:val="2"/>
            <w:tcBorders>
              <w:top w:val="single" w:sz="2" w:space="0" w:color="000000"/>
              <w:left w:val="single" w:sz="2" w:space="0" w:color="000000"/>
              <w:bottom w:val="single" w:sz="2" w:space="0" w:color="000000"/>
              <w:right w:val="single" w:sz="2" w:space="0" w:color="000000"/>
            </w:tcBorders>
            <w:shd w:val="clear" w:color="auto" w:fill="E0E0E0"/>
            <w:tcMar>
              <w:top w:w="80" w:type="dxa"/>
              <w:left w:w="80" w:type="dxa"/>
              <w:bottom w:w="80" w:type="dxa"/>
              <w:right w:w="80" w:type="dxa"/>
            </w:tcMar>
          </w:tcPr>
          <w:p w14:paraId="74CCAF30" w14:textId="77777777" w:rsidR="00700DFB" w:rsidRPr="001829E7" w:rsidRDefault="009F7ED2">
            <w:pPr>
              <w:pStyle w:val="LadilloMichelinDossier"/>
              <w:spacing w:before="0" w:after="0"/>
              <w:jc w:val="center"/>
            </w:pPr>
            <w:r w:rsidRPr="001829E7">
              <w:rPr>
                <w:rFonts w:ascii="Arial"/>
                <w:sz w:val="20"/>
                <w:szCs w:val="20"/>
              </w:rPr>
              <w:t>Margen operativo antes de no recurrentes</w:t>
            </w:r>
          </w:p>
        </w:tc>
      </w:tr>
      <w:tr w:rsidR="00700DFB" w:rsidRPr="001829E7" w14:paraId="3BFC386C" w14:textId="77777777">
        <w:trPr>
          <w:trHeight w:val="225"/>
        </w:trPr>
        <w:tc>
          <w:tcPr>
            <w:tcW w:w="1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651EE2" w14:textId="77777777" w:rsidR="00700DFB" w:rsidRPr="001829E7" w:rsidRDefault="00700DFB"/>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5EA788" w14:textId="77777777" w:rsidR="00700DFB" w:rsidRPr="001829E7" w:rsidRDefault="009F7ED2">
            <w:pPr>
              <w:pStyle w:val="Cuerpo"/>
              <w:keepNext/>
              <w:spacing w:after="120"/>
              <w:jc w:val="center"/>
            </w:pPr>
            <w:r w:rsidRPr="001829E7">
              <w:rPr>
                <w:rFonts w:ascii="Arial"/>
                <w:smallCaps/>
                <w:sz w:val="20"/>
                <w:szCs w:val="20"/>
              </w:rPr>
              <w:t>2014</w:t>
            </w:r>
          </w:p>
        </w:tc>
        <w:tc>
          <w:tcPr>
            <w:tcW w:w="12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4DE7AC" w14:textId="77777777" w:rsidR="00700DFB" w:rsidRPr="001829E7" w:rsidRDefault="009F7ED2">
            <w:pPr>
              <w:pStyle w:val="Cuerpo"/>
              <w:keepNext/>
              <w:spacing w:after="120"/>
              <w:jc w:val="center"/>
            </w:pPr>
            <w:r w:rsidRPr="001829E7">
              <w:rPr>
                <w:rFonts w:ascii="Arial"/>
                <w:smallCaps/>
                <w:sz w:val="20"/>
                <w:szCs w:val="20"/>
              </w:rPr>
              <w:t>2013</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BD6E1B" w14:textId="77777777" w:rsidR="00700DFB" w:rsidRPr="001829E7" w:rsidRDefault="009F7ED2">
            <w:pPr>
              <w:pStyle w:val="Cuerpo"/>
              <w:keepNext/>
              <w:spacing w:after="120"/>
              <w:jc w:val="center"/>
            </w:pPr>
            <w:r w:rsidRPr="001829E7">
              <w:rPr>
                <w:rFonts w:ascii="Arial"/>
                <w:smallCaps/>
                <w:sz w:val="20"/>
                <w:szCs w:val="20"/>
              </w:rPr>
              <w:t>2014</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35B342" w14:textId="77777777" w:rsidR="00700DFB" w:rsidRPr="001829E7" w:rsidRDefault="009F7ED2">
            <w:pPr>
              <w:pStyle w:val="Cuerpo"/>
              <w:keepNext/>
              <w:spacing w:after="120"/>
              <w:jc w:val="center"/>
            </w:pPr>
            <w:r w:rsidRPr="001829E7">
              <w:rPr>
                <w:rFonts w:ascii="Arial"/>
                <w:smallCaps/>
                <w:sz w:val="20"/>
                <w:szCs w:val="20"/>
              </w:rPr>
              <w:t>2013</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2AE6B0" w14:textId="77777777" w:rsidR="00700DFB" w:rsidRPr="001829E7" w:rsidRDefault="009F7ED2">
            <w:pPr>
              <w:pStyle w:val="Cuerpo"/>
              <w:keepNext/>
              <w:spacing w:after="120"/>
              <w:jc w:val="center"/>
            </w:pPr>
            <w:r w:rsidRPr="001829E7">
              <w:rPr>
                <w:rFonts w:ascii="Arial"/>
                <w:smallCaps/>
                <w:sz w:val="20"/>
                <w:szCs w:val="20"/>
              </w:rPr>
              <w:t>2014</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E09D37" w14:textId="77777777" w:rsidR="00700DFB" w:rsidRPr="001829E7" w:rsidRDefault="009F7ED2">
            <w:pPr>
              <w:pStyle w:val="Cuerpo"/>
              <w:keepNext/>
              <w:spacing w:after="120"/>
              <w:jc w:val="center"/>
            </w:pPr>
            <w:r w:rsidRPr="001829E7">
              <w:rPr>
                <w:rFonts w:ascii="Arial"/>
                <w:smallCaps/>
                <w:sz w:val="20"/>
                <w:szCs w:val="20"/>
              </w:rPr>
              <w:t>2013</w:t>
            </w:r>
          </w:p>
        </w:tc>
      </w:tr>
      <w:tr w:rsidR="00700DFB" w:rsidRPr="001829E7" w14:paraId="19FEA181" w14:textId="77777777">
        <w:trPr>
          <w:trHeight w:val="878"/>
        </w:trPr>
        <w:tc>
          <w:tcPr>
            <w:tcW w:w="1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0D6139" w14:textId="77777777" w:rsidR="00700DFB" w:rsidRPr="001829E7" w:rsidRDefault="009F7ED2">
            <w:pPr>
              <w:pStyle w:val="Cuerpo"/>
              <w:spacing w:after="120"/>
            </w:pPr>
            <w:r w:rsidRPr="001829E7">
              <w:rPr>
                <w:rFonts w:ascii="Arial"/>
                <w:smallCaps/>
                <w:sz w:val="20"/>
                <w:szCs w:val="20"/>
              </w:rPr>
              <w:t xml:space="preserve">turismo </w:t>
            </w:r>
            <w:r w:rsidRPr="001829E7">
              <w:rPr>
                <w:rFonts w:ascii="Arial"/>
                <w:smallCaps/>
                <w:sz w:val="16"/>
                <w:szCs w:val="16"/>
              </w:rPr>
              <w:t>CAMIONETA</w:t>
            </w:r>
            <w:r w:rsidRPr="001829E7">
              <w:rPr>
                <w:rFonts w:ascii="Arial"/>
                <w:smallCaps/>
                <w:sz w:val="20"/>
                <w:szCs w:val="20"/>
              </w:rPr>
              <w:t xml:space="preserve"> y distribuci</w:t>
            </w:r>
            <w:r w:rsidRPr="001829E7">
              <w:rPr>
                <w:rFonts w:hAnsi="Arial Unicode MS"/>
                <w:smallCaps/>
                <w:sz w:val="20"/>
                <w:szCs w:val="20"/>
              </w:rPr>
              <w:t>ó</w:t>
            </w:r>
            <w:r w:rsidRPr="001829E7">
              <w:rPr>
                <w:rFonts w:ascii="Arial"/>
                <w:smallCaps/>
                <w:sz w:val="20"/>
                <w:szCs w:val="20"/>
              </w:rPr>
              <w:t>n asociada</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57A750" w14:textId="77777777" w:rsidR="00700DFB" w:rsidRPr="001829E7" w:rsidRDefault="00700DFB">
            <w:pPr>
              <w:pStyle w:val="Cuerpo"/>
              <w:tabs>
                <w:tab w:val="left" w:pos="360"/>
              </w:tabs>
              <w:jc w:val="center"/>
              <w:rPr>
                <w:rFonts w:ascii="Arial" w:eastAsia="Arial" w:hAnsi="Arial" w:cs="Arial"/>
                <w:b/>
                <w:bCs/>
                <w:sz w:val="20"/>
                <w:szCs w:val="20"/>
              </w:rPr>
            </w:pPr>
          </w:p>
          <w:p w14:paraId="6FBA9F92" w14:textId="77777777" w:rsidR="00700DFB" w:rsidRPr="001829E7" w:rsidRDefault="00700DFB">
            <w:pPr>
              <w:pStyle w:val="Cuerpo"/>
              <w:tabs>
                <w:tab w:val="left" w:pos="360"/>
              </w:tabs>
              <w:jc w:val="center"/>
              <w:rPr>
                <w:rFonts w:ascii="Arial" w:eastAsia="Arial" w:hAnsi="Arial" w:cs="Arial"/>
                <w:b/>
                <w:bCs/>
                <w:sz w:val="20"/>
                <w:szCs w:val="20"/>
              </w:rPr>
            </w:pPr>
          </w:p>
          <w:p w14:paraId="65889960" w14:textId="77777777" w:rsidR="00700DFB" w:rsidRPr="001829E7" w:rsidRDefault="00700DFB">
            <w:pPr>
              <w:pStyle w:val="Cuerpo"/>
              <w:tabs>
                <w:tab w:val="left" w:pos="360"/>
              </w:tabs>
              <w:jc w:val="center"/>
              <w:rPr>
                <w:rFonts w:ascii="Arial" w:eastAsia="Arial" w:hAnsi="Arial" w:cs="Arial"/>
                <w:b/>
                <w:bCs/>
                <w:sz w:val="20"/>
                <w:szCs w:val="20"/>
              </w:rPr>
            </w:pPr>
          </w:p>
          <w:p w14:paraId="4470E319" w14:textId="77777777" w:rsidR="00700DFB" w:rsidRPr="001829E7" w:rsidRDefault="009F7ED2">
            <w:pPr>
              <w:pStyle w:val="Cuerpo"/>
              <w:tabs>
                <w:tab w:val="left" w:pos="360"/>
              </w:tabs>
              <w:jc w:val="center"/>
            </w:pPr>
            <w:r w:rsidRPr="001829E7">
              <w:rPr>
                <w:rFonts w:ascii="Arial"/>
                <w:b/>
                <w:bCs/>
                <w:sz w:val="20"/>
                <w:szCs w:val="20"/>
              </w:rPr>
              <w:t>10.498</w:t>
            </w:r>
          </w:p>
        </w:tc>
        <w:tc>
          <w:tcPr>
            <w:tcW w:w="12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C50D26" w14:textId="77777777" w:rsidR="00700DFB" w:rsidRPr="001829E7" w:rsidRDefault="00700DFB">
            <w:pPr>
              <w:pStyle w:val="Cuerpo"/>
              <w:tabs>
                <w:tab w:val="left" w:pos="360"/>
              </w:tabs>
              <w:jc w:val="center"/>
              <w:rPr>
                <w:rFonts w:ascii="Arial" w:eastAsia="Arial" w:hAnsi="Arial" w:cs="Arial"/>
                <w:b/>
                <w:bCs/>
                <w:sz w:val="20"/>
                <w:szCs w:val="20"/>
              </w:rPr>
            </w:pPr>
          </w:p>
          <w:p w14:paraId="57964731" w14:textId="77777777" w:rsidR="00700DFB" w:rsidRPr="001829E7" w:rsidRDefault="00700DFB">
            <w:pPr>
              <w:pStyle w:val="Cuerpo"/>
              <w:tabs>
                <w:tab w:val="left" w:pos="360"/>
              </w:tabs>
              <w:jc w:val="center"/>
              <w:rPr>
                <w:rFonts w:ascii="Arial" w:eastAsia="Arial" w:hAnsi="Arial" w:cs="Arial"/>
                <w:b/>
                <w:bCs/>
                <w:sz w:val="20"/>
                <w:szCs w:val="20"/>
              </w:rPr>
            </w:pPr>
          </w:p>
          <w:p w14:paraId="3B35FB37" w14:textId="77777777" w:rsidR="00700DFB" w:rsidRPr="001829E7" w:rsidRDefault="00700DFB">
            <w:pPr>
              <w:pStyle w:val="Cuerpo"/>
              <w:tabs>
                <w:tab w:val="left" w:pos="360"/>
              </w:tabs>
              <w:jc w:val="center"/>
              <w:rPr>
                <w:rFonts w:ascii="Arial" w:eastAsia="Arial" w:hAnsi="Arial" w:cs="Arial"/>
                <w:b/>
                <w:bCs/>
                <w:sz w:val="20"/>
                <w:szCs w:val="20"/>
              </w:rPr>
            </w:pPr>
          </w:p>
          <w:p w14:paraId="20F353B6" w14:textId="77777777" w:rsidR="00700DFB" w:rsidRPr="001829E7" w:rsidRDefault="009F7ED2">
            <w:pPr>
              <w:pStyle w:val="Cuerpo"/>
              <w:tabs>
                <w:tab w:val="left" w:pos="360"/>
              </w:tabs>
              <w:jc w:val="center"/>
            </w:pPr>
            <w:r w:rsidRPr="001829E7">
              <w:rPr>
                <w:rFonts w:ascii="Arial"/>
                <w:b/>
                <w:bCs/>
                <w:sz w:val="20"/>
                <w:szCs w:val="20"/>
              </w:rPr>
              <w:t>10.693</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DF21B8" w14:textId="77777777" w:rsidR="00700DFB" w:rsidRPr="001829E7" w:rsidRDefault="00700DFB">
            <w:pPr>
              <w:pStyle w:val="Cuerpo"/>
              <w:jc w:val="center"/>
              <w:rPr>
                <w:rFonts w:ascii="Arial" w:eastAsia="Arial" w:hAnsi="Arial" w:cs="Arial"/>
                <w:b/>
                <w:bCs/>
                <w:sz w:val="20"/>
                <w:szCs w:val="20"/>
              </w:rPr>
            </w:pPr>
          </w:p>
          <w:p w14:paraId="581D56F3" w14:textId="77777777" w:rsidR="00700DFB" w:rsidRPr="001829E7" w:rsidRDefault="00700DFB">
            <w:pPr>
              <w:pStyle w:val="Cuerpo"/>
              <w:jc w:val="center"/>
              <w:rPr>
                <w:rFonts w:ascii="Arial" w:eastAsia="Arial" w:hAnsi="Arial" w:cs="Arial"/>
                <w:b/>
                <w:bCs/>
                <w:sz w:val="20"/>
                <w:szCs w:val="20"/>
              </w:rPr>
            </w:pPr>
          </w:p>
          <w:p w14:paraId="789D9093" w14:textId="77777777" w:rsidR="00700DFB" w:rsidRPr="001829E7" w:rsidRDefault="00700DFB">
            <w:pPr>
              <w:pStyle w:val="Cuerpo"/>
              <w:jc w:val="center"/>
              <w:rPr>
                <w:rFonts w:ascii="Arial" w:eastAsia="Arial" w:hAnsi="Arial" w:cs="Arial"/>
                <w:b/>
                <w:bCs/>
                <w:sz w:val="20"/>
                <w:szCs w:val="20"/>
              </w:rPr>
            </w:pPr>
          </w:p>
          <w:p w14:paraId="4FC0519C" w14:textId="77777777" w:rsidR="00700DFB" w:rsidRPr="001829E7" w:rsidRDefault="009F7ED2">
            <w:pPr>
              <w:pStyle w:val="Cuerpo"/>
              <w:jc w:val="center"/>
            </w:pPr>
            <w:r w:rsidRPr="001829E7">
              <w:rPr>
                <w:rFonts w:ascii="Arial"/>
                <w:b/>
                <w:bCs/>
                <w:sz w:val="20"/>
                <w:szCs w:val="20"/>
              </w:rPr>
              <w:t>1.101</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07B167" w14:textId="77777777" w:rsidR="00700DFB" w:rsidRPr="001829E7" w:rsidRDefault="00700DFB">
            <w:pPr>
              <w:pStyle w:val="Cuerpo"/>
              <w:jc w:val="center"/>
              <w:rPr>
                <w:rFonts w:ascii="Arial" w:eastAsia="Arial" w:hAnsi="Arial" w:cs="Arial"/>
                <w:b/>
                <w:bCs/>
                <w:sz w:val="20"/>
                <w:szCs w:val="20"/>
              </w:rPr>
            </w:pPr>
          </w:p>
          <w:p w14:paraId="622D8D30" w14:textId="77777777" w:rsidR="00700DFB" w:rsidRPr="001829E7" w:rsidRDefault="00700DFB">
            <w:pPr>
              <w:pStyle w:val="Cuerpo"/>
              <w:jc w:val="center"/>
              <w:rPr>
                <w:rFonts w:ascii="Arial" w:eastAsia="Arial" w:hAnsi="Arial" w:cs="Arial"/>
                <w:b/>
                <w:bCs/>
                <w:sz w:val="20"/>
                <w:szCs w:val="20"/>
              </w:rPr>
            </w:pPr>
          </w:p>
          <w:p w14:paraId="088E634D" w14:textId="77777777" w:rsidR="00700DFB" w:rsidRPr="001829E7" w:rsidRDefault="00700DFB">
            <w:pPr>
              <w:pStyle w:val="Cuerpo"/>
              <w:jc w:val="center"/>
              <w:rPr>
                <w:rFonts w:ascii="Arial" w:eastAsia="Arial" w:hAnsi="Arial" w:cs="Arial"/>
                <w:b/>
                <w:bCs/>
                <w:sz w:val="20"/>
                <w:szCs w:val="20"/>
              </w:rPr>
            </w:pPr>
          </w:p>
          <w:p w14:paraId="598433EC" w14:textId="77777777" w:rsidR="00700DFB" w:rsidRPr="001829E7" w:rsidRDefault="009F7ED2">
            <w:pPr>
              <w:pStyle w:val="Cuerpo"/>
              <w:jc w:val="center"/>
            </w:pPr>
            <w:r w:rsidRPr="001829E7">
              <w:rPr>
                <w:rFonts w:ascii="Arial"/>
                <w:b/>
                <w:bCs/>
                <w:sz w:val="20"/>
                <w:szCs w:val="20"/>
              </w:rPr>
              <w:t>1.086</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C8D25B" w14:textId="77777777" w:rsidR="00700DFB" w:rsidRPr="001829E7" w:rsidRDefault="00700DFB">
            <w:pPr>
              <w:pStyle w:val="Cuerpo"/>
              <w:tabs>
                <w:tab w:val="left" w:pos="360"/>
              </w:tabs>
              <w:jc w:val="center"/>
              <w:rPr>
                <w:rFonts w:ascii="Arial" w:eastAsia="Arial" w:hAnsi="Arial" w:cs="Arial"/>
                <w:b/>
                <w:bCs/>
                <w:sz w:val="20"/>
                <w:szCs w:val="20"/>
              </w:rPr>
            </w:pPr>
          </w:p>
          <w:p w14:paraId="163ABCEF" w14:textId="77777777" w:rsidR="00700DFB" w:rsidRPr="001829E7" w:rsidRDefault="00700DFB">
            <w:pPr>
              <w:pStyle w:val="Cuerpo"/>
              <w:tabs>
                <w:tab w:val="left" w:pos="360"/>
              </w:tabs>
              <w:jc w:val="center"/>
              <w:rPr>
                <w:rFonts w:ascii="Arial" w:eastAsia="Arial" w:hAnsi="Arial" w:cs="Arial"/>
                <w:b/>
                <w:bCs/>
                <w:sz w:val="20"/>
                <w:szCs w:val="20"/>
              </w:rPr>
            </w:pPr>
          </w:p>
          <w:p w14:paraId="666EE86D" w14:textId="77777777" w:rsidR="00700DFB" w:rsidRPr="001829E7" w:rsidRDefault="00700DFB">
            <w:pPr>
              <w:pStyle w:val="Cuerpo"/>
              <w:tabs>
                <w:tab w:val="left" w:pos="360"/>
              </w:tabs>
              <w:jc w:val="center"/>
              <w:rPr>
                <w:rFonts w:ascii="Arial" w:eastAsia="Arial" w:hAnsi="Arial" w:cs="Arial"/>
                <w:b/>
                <w:bCs/>
                <w:sz w:val="20"/>
                <w:szCs w:val="20"/>
              </w:rPr>
            </w:pPr>
          </w:p>
          <w:p w14:paraId="47D78200" w14:textId="77777777" w:rsidR="00700DFB" w:rsidRPr="001829E7" w:rsidRDefault="009F7ED2">
            <w:pPr>
              <w:pStyle w:val="Cuerpo"/>
              <w:tabs>
                <w:tab w:val="left" w:pos="360"/>
              </w:tabs>
              <w:jc w:val="center"/>
            </w:pPr>
            <w:r w:rsidRPr="001829E7">
              <w:rPr>
                <w:rFonts w:ascii="Arial"/>
                <w:b/>
                <w:bCs/>
                <w:sz w:val="20"/>
                <w:szCs w:val="20"/>
              </w:rPr>
              <w:t>10,5 %</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A32320" w14:textId="77777777" w:rsidR="00700DFB" w:rsidRPr="001829E7" w:rsidRDefault="00700DFB">
            <w:pPr>
              <w:pStyle w:val="Cuerpo"/>
              <w:tabs>
                <w:tab w:val="left" w:pos="360"/>
              </w:tabs>
              <w:jc w:val="center"/>
              <w:rPr>
                <w:rFonts w:ascii="Arial" w:eastAsia="Arial" w:hAnsi="Arial" w:cs="Arial"/>
                <w:b/>
                <w:bCs/>
                <w:sz w:val="20"/>
                <w:szCs w:val="20"/>
              </w:rPr>
            </w:pPr>
          </w:p>
          <w:p w14:paraId="5A875665" w14:textId="77777777" w:rsidR="00700DFB" w:rsidRPr="001829E7" w:rsidRDefault="00700DFB">
            <w:pPr>
              <w:pStyle w:val="Cuerpo"/>
              <w:tabs>
                <w:tab w:val="left" w:pos="360"/>
              </w:tabs>
              <w:jc w:val="center"/>
              <w:rPr>
                <w:rFonts w:ascii="Arial" w:eastAsia="Arial" w:hAnsi="Arial" w:cs="Arial"/>
                <w:b/>
                <w:bCs/>
                <w:sz w:val="20"/>
                <w:szCs w:val="20"/>
              </w:rPr>
            </w:pPr>
          </w:p>
          <w:p w14:paraId="150A3D61" w14:textId="77777777" w:rsidR="00700DFB" w:rsidRPr="001829E7" w:rsidRDefault="00700DFB">
            <w:pPr>
              <w:pStyle w:val="Cuerpo"/>
              <w:tabs>
                <w:tab w:val="left" w:pos="360"/>
              </w:tabs>
              <w:jc w:val="center"/>
              <w:rPr>
                <w:rFonts w:ascii="Arial" w:eastAsia="Arial" w:hAnsi="Arial" w:cs="Arial"/>
                <w:b/>
                <w:bCs/>
                <w:sz w:val="20"/>
                <w:szCs w:val="20"/>
              </w:rPr>
            </w:pPr>
          </w:p>
          <w:p w14:paraId="44E1802A" w14:textId="77777777" w:rsidR="00700DFB" w:rsidRPr="001829E7" w:rsidRDefault="009F7ED2">
            <w:pPr>
              <w:pStyle w:val="Cuerpo"/>
              <w:tabs>
                <w:tab w:val="left" w:pos="360"/>
              </w:tabs>
              <w:jc w:val="center"/>
            </w:pPr>
            <w:r w:rsidRPr="001829E7">
              <w:rPr>
                <w:rFonts w:ascii="Arial"/>
                <w:b/>
                <w:bCs/>
                <w:sz w:val="20"/>
                <w:szCs w:val="20"/>
              </w:rPr>
              <w:t>10,2 %</w:t>
            </w:r>
          </w:p>
        </w:tc>
      </w:tr>
      <w:tr w:rsidR="00700DFB" w:rsidRPr="001829E7" w14:paraId="00595FBD" w14:textId="77777777">
        <w:trPr>
          <w:trHeight w:val="658"/>
        </w:trPr>
        <w:tc>
          <w:tcPr>
            <w:tcW w:w="1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8687F6" w14:textId="77777777" w:rsidR="00700DFB" w:rsidRPr="001829E7" w:rsidRDefault="009F7ED2">
            <w:pPr>
              <w:pStyle w:val="Cuerpo"/>
              <w:spacing w:after="120"/>
            </w:pPr>
            <w:r w:rsidRPr="001829E7">
              <w:rPr>
                <w:rFonts w:ascii="Arial"/>
                <w:smallCaps/>
                <w:sz w:val="20"/>
                <w:szCs w:val="20"/>
              </w:rPr>
              <w:t>cami</w:t>
            </w:r>
            <w:r w:rsidRPr="001829E7">
              <w:rPr>
                <w:rFonts w:hAnsi="Arial Unicode MS"/>
                <w:smallCaps/>
                <w:sz w:val="20"/>
                <w:szCs w:val="20"/>
              </w:rPr>
              <w:t>ó</w:t>
            </w:r>
            <w:r w:rsidRPr="001829E7">
              <w:rPr>
                <w:rFonts w:ascii="Arial"/>
                <w:smallCaps/>
                <w:sz w:val="20"/>
                <w:szCs w:val="20"/>
              </w:rPr>
              <w:t>n y distribuci</w:t>
            </w:r>
            <w:r w:rsidRPr="001829E7">
              <w:rPr>
                <w:rFonts w:hAnsi="Arial Unicode MS"/>
                <w:smallCaps/>
                <w:sz w:val="20"/>
                <w:szCs w:val="20"/>
              </w:rPr>
              <w:t>ó</w:t>
            </w:r>
            <w:r w:rsidRPr="001829E7">
              <w:rPr>
                <w:rFonts w:ascii="Arial"/>
                <w:smallCaps/>
                <w:sz w:val="20"/>
                <w:szCs w:val="20"/>
              </w:rPr>
              <w:t>n asociada</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1AC7C0" w14:textId="77777777" w:rsidR="00700DFB" w:rsidRPr="001829E7" w:rsidRDefault="00700DFB">
            <w:pPr>
              <w:pStyle w:val="Cuerpo"/>
              <w:tabs>
                <w:tab w:val="left" w:pos="360"/>
              </w:tabs>
              <w:jc w:val="center"/>
              <w:rPr>
                <w:rFonts w:ascii="Arial" w:eastAsia="Arial" w:hAnsi="Arial" w:cs="Arial"/>
                <w:b/>
                <w:bCs/>
                <w:sz w:val="20"/>
                <w:szCs w:val="20"/>
              </w:rPr>
            </w:pPr>
          </w:p>
          <w:p w14:paraId="6A6DF35A" w14:textId="77777777" w:rsidR="00700DFB" w:rsidRPr="001829E7" w:rsidRDefault="00700DFB">
            <w:pPr>
              <w:pStyle w:val="Cuerpo"/>
              <w:tabs>
                <w:tab w:val="left" w:pos="360"/>
              </w:tabs>
              <w:jc w:val="center"/>
              <w:rPr>
                <w:rFonts w:ascii="Arial" w:eastAsia="Arial" w:hAnsi="Arial" w:cs="Arial"/>
                <w:b/>
                <w:bCs/>
                <w:sz w:val="20"/>
                <w:szCs w:val="20"/>
              </w:rPr>
            </w:pPr>
          </w:p>
          <w:p w14:paraId="171DC566" w14:textId="77777777" w:rsidR="00700DFB" w:rsidRPr="001829E7" w:rsidRDefault="009F7ED2">
            <w:pPr>
              <w:pStyle w:val="Cuerpo"/>
              <w:tabs>
                <w:tab w:val="left" w:pos="360"/>
              </w:tabs>
              <w:jc w:val="center"/>
            </w:pPr>
            <w:r w:rsidRPr="001829E7">
              <w:rPr>
                <w:rFonts w:ascii="Arial"/>
                <w:b/>
                <w:bCs/>
                <w:sz w:val="20"/>
                <w:szCs w:val="20"/>
              </w:rPr>
              <w:t>6.082</w:t>
            </w:r>
          </w:p>
        </w:tc>
        <w:tc>
          <w:tcPr>
            <w:tcW w:w="12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2A9DA3" w14:textId="77777777" w:rsidR="00700DFB" w:rsidRPr="001829E7" w:rsidRDefault="00700DFB">
            <w:pPr>
              <w:pStyle w:val="Cuerpo"/>
              <w:tabs>
                <w:tab w:val="left" w:pos="360"/>
              </w:tabs>
              <w:jc w:val="center"/>
              <w:rPr>
                <w:rFonts w:ascii="Arial" w:eastAsia="Arial" w:hAnsi="Arial" w:cs="Arial"/>
                <w:b/>
                <w:bCs/>
                <w:sz w:val="20"/>
                <w:szCs w:val="20"/>
              </w:rPr>
            </w:pPr>
          </w:p>
          <w:p w14:paraId="39EE7046" w14:textId="77777777" w:rsidR="00700DFB" w:rsidRPr="001829E7" w:rsidRDefault="00700DFB">
            <w:pPr>
              <w:pStyle w:val="Cuerpo"/>
              <w:tabs>
                <w:tab w:val="left" w:pos="360"/>
              </w:tabs>
              <w:jc w:val="center"/>
              <w:rPr>
                <w:rFonts w:ascii="Arial" w:eastAsia="Arial" w:hAnsi="Arial" w:cs="Arial"/>
                <w:b/>
                <w:bCs/>
                <w:sz w:val="20"/>
                <w:szCs w:val="20"/>
              </w:rPr>
            </w:pPr>
          </w:p>
          <w:p w14:paraId="0B56033A" w14:textId="77777777" w:rsidR="00700DFB" w:rsidRPr="001829E7" w:rsidRDefault="009F7ED2">
            <w:pPr>
              <w:pStyle w:val="Cuerpo"/>
              <w:tabs>
                <w:tab w:val="left" w:pos="360"/>
              </w:tabs>
              <w:jc w:val="center"/>
            </w:pPr>
            <w:r w:rsidRPr="001829E7">
              <w:rPr>
                <w:rFonts w:ascii="Arial"/>
                <w:b/>
                <w:bCs/>
                <w:sz w:val="20"/>
                <w:szCs w:val="20"/>
              </w:rPr>
              <w:t>6.425</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C67AB8" w14:textId="77777777" w:rsidR="00700DFB" w:rsidRPr="001829E7" w:rsidRDefault="00700DFB">
            <w:pPr>
              <w:pStyle w:val="Cuerpo"/>
              <w:jc w:val="center"/>
              <w:rPr>
                <w:rFonts w:ascii="Arial" w:eastAsia="Arial" w:hAnsi="Arial" w:cs="Arial"/>
                <w:b/>
                <w:bCs/>
                <w:sz w:val="20"/>
                <w:szCs w:val="20"/>
              </w:rPr>
            </w:pPr>
          </w:p>
          <w:p w14:paraId="425EDCF4" w14:textId="77777777" w:rsidR="00700DFB" w:rsidRPr="001829E7" w:rsidRDefault="00700DFB">
            <w:pPr>
              <w:pStyle w:val="Cuerpo"/>
              <w:jc w:val="center"/>
              <w:rPr>
                <w:rFonts w:ascii="Arial" w:eastAsia="Arial" w:hAnsi="Arial" w:cs="Arial"/>
                <w:b/>
                <w:bCs/>
                <w:sz w:val="20"/>
                <w:szCs w:val="20"/>
              </w:rPr>
            </w:pPr>
          </w:p>
          <w:p w14:paraId="4C4F5D13" w14:textId="77777777" w:rsidR="00700DFB" w:rsidRPr="001829E7" w:rsidRDefault="009F7ED2">
            <w:pPr>
              <w:pStyle w:val="Cuerpo"/>
              <w:jc w:val="center"/>
            </w:pPr>
            <w:r w:rsidRPr="001829E7">
              <w:rPr>
                <w:rFonts w:ascii="Arial"/>
                <w:b/>
                <w:bCs/>
                <w:sz w:val="20"/>
                <w:szCs w:val="20"/>
              </w:rPr>
              <w:t>495</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B272FA" w14:textId="77777777" w:rsidR="00700DFB" w:rsidRPr="001829E7" w:rsidRDefault="00700DFB">
            <w:pPr>
              <w:pStyle w:val="Cuerpo"/>
              <w:jc w:val="center"/>
              <w:rPr>
                <w:rFonts w:ascii="Arial" w:eastAsia="Arial" w:hAnsi="Arial" w:cs="Arial"/>
                <w:b/>
                <w:bCs/>
                <w:sz w:val="20"/>
                <w:szCs w:val="20"/>
              </w:rPr>
            </w:pPr>
          </w:p>
          <w:p w14:paraId="27F1A8D4" w14:textId="77777777" w:rsidR="00700DFB" w:rsidRPr="001829E7" w:rsidRDefault="00700DFB">
            <w:pPr>
              <w:pStyle w:val="Cuerpo"/>
              <w:jc w:val="center"/>
              <w:rPr>
                <w:rFonts w:ascii="Arial" w:eastAsia="Arial" w:hAnsi="Arial" w:cs="Arial"/>
                <w:b/>
                <w:bCs/>
                <w:sz w:val="20"/>
                <w:szCs w:val="20"/>
              </w:rPr>
            </w:pPr>
          </w:p>
          <w:p w14:paraId="7CE695D8" w14:textId="77777777" w:rsidR="00700DFB" w:rsidRPr="001829E7" w:rsidRDefault="009F7ED2">
            <w:pPr>
              <w:pStyle w:val="Cuerpo"/>
              <w:jc w:val="center"/>
            </w:pPr>
            <w:r w:rsidRPr="001829E7">
              <w:rPr>
                <w:rFonts w:ascii="Arial"/>
                <w:b/>
                <w:bCs/>
                <w:sz w:val="20"/>
                <w:szCs w:val="20"/>
              </w:rPr>
              <w:t>503</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0F6E97" w14:textId="77777777" w:rsidR="00700DFB" w:rsidRPr="001829E7" w:rsidRDefault="00700DFB">
            <w:pPr>
              <w:pStyle w:val="Cuerpo"/>
              <w:tabs>
                <w:tab w:val="left" w:pos="360"/>
              </w:tabs>
              <w:jc w:val="center"/>
              <w:rPr>
                <w:rFonts w:ascii="Arial" w:eastAsia="Arial" w:hAnsi="Arial" w:cs="Arial"/>
                <w:b/>
                <w:bCs/>
                <w:sz w:val="20"/>
                <w:szCs w:val="20"/>
              </w:rPr>
            </w:pPr>
          </w:p>
          <w:p w14:paraId="2C1258B8" w14:textId="77777777" w:rsidR="00700DFB" w:rsidRPr="001829E7" w:rsidRDefault="00700DFB">
            <w:pPr>
              <w:pStyle w:val="Cuerpo"/>
              <w:tabs>
                <w:tab w:val="left" w:pos="360"/>
              </w:tabs>
              <w:jc w:val="center"/>
              <w:rPr>
                <w:rFonts w:ascii="Arial" w:eastAsia="Arial" w:hAnsi="Arial" w:cs="Arial"/>
                <w:b/>
                <w:bCs/>
                <w:sz w:val="20"/>
                <w:szCs w:val="20"/>
              </w:rPr>
            </w:pPr>
          </w:p>
          <w:p w14:paraId="56E257B8" w14:textId="77777777" w:rsidR="00700DFB" w:rsidRPr="001829E7" w:rsidRDefault="009F7ED2">
            <w:pPr>
              <w:pStyle w:val="Cuerpo"/>
              <w:tabs>
                <w:tab w:val="left" w:pos="360"/>
              </w:tabs>
              <w:jc w:val="center"/>
            </w:pPr>
            <w:r w:rsidRPr="001829E7">
              <w:rPr>
                <w:rFonts w:ascii="Arial"/>
                <w:b/>
                <w:bCs/>
                <w:sz w:val="20"/>
                <w:szCs w:val="20"/>
              </w:rPr>
              <w:t>8,1</w:t>
            </w:r>
            <w:r w:rsidRPr="001829E7">
              <w:rPr>
                <w:rFonts w:hAnsi="Arial Unicode MS"/>
                <w:b/>
                <w:bCs/>
                <w:sz w:val="20"/>
                <w:szCs w:val="20"/>
              </w:rPr>
              <w:t> </w:t>
            </w:r>
            <w:r w:rsidRPr="001829E7">
              <w:rPr>
                <w:rFonts w:ascii="Arial"/>
                <w:b/>
                <w:bCs/>
                <w:sz w:val="20"/>
                <w:szCs w:val="20"/>
              </w:rPr>
              <w:t>%</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4C159F" w14:textId="77777777" w:rsidR="00700DFB" w:rsidRPr="001829E7" w:rsidRDefault="00700DFB">
            <w:pPr>
              <w:pStyle w:val="Cuerpo"/>
              <w:tabs>
                <w:tab w:val="left" w:pos="360"/>
              </w:tabs>
              <w:jc w:val="center"/>
              <w:rPr>
                <w:rFonts w:ascii="Arial" w:eastAsia="Arial" w:hAnsi="Arial" w:cs="Arial"/>
                <w:b/>
                <w:bCs/>
                <w:sz w:val="20"/>
                <w:szCs w:val="20"/>
              </w:rPr>
            </w:pPr>
          </w:p>
          <w:p w14:paraId="35E63E31" w14:textId="77777777" w:rsidR="00700DFB" w:rsidRPr="001829E7" w:rsidRDefault="00700DFB">
            <w:pPr>
              <w:pStyle w:val="Cuerpo"/>
              <w:tabs>
                <w:tab w:val="left" w:pos="360"/>
              </w:tabs>
              <w:jc w:val="center"/>
              <w:rPr>
                <w:rFonts w:ascii="Arial" w:eastAsia="Arial" w:hAnsi="Arial" w:cs="Arial"/>
                <w:b/>
                <w:bCs/>
                <w:sz w:val="20"/>
                <w:szCs w:val="20"/>
              </w:rPr>
            </w:pPr>
          </w:p>
          <w:p w14:paraId="5CECB7F0" w14:textId="77777777" w:rsidR="00700DFB" w:rsidRPr="001829E7" w:rsidRDefault="009F7ED2">
            <w:pPr>
              <w:pStyle w:val="Cuerpo"/>
              <w:tabs>
                <w:tab w:val="left" w:pos="360"/>
              </w:tabs>
              <w:jc w:val="center"/>
            </w:pPr>
            <w:r w:rsidRPr="001829E7">
              <w:rPr>
                <w:rFonts w:ascii="Arial"/>
                <w:b/>
                <w:bCs/>
                <w:sz w:val="20"/>
                <w:szCs w:val="20"/>
              </w:rPr>
              <w:t>7,8</w:t>
            </w:r>
            <w:r w:rsidRPr="001829E7">
              <w:rPr>
                <w:rFonts w:hAnsi="Arial Unicode MS"/>
                <w:b/>
                <w:bCs/>
                <w:sz w:val="20"/>
                <w:szCs w:val="20"/>
              </w:rPr>
              <w:t> </w:t>
            </w:r>
            <w:r w:rsidRPr="001829E7">
              <w:rPr>
                <w:rFonts w:ascii="Arial"/>
                <w:b/>
                <w:bCs/>
                <w:sz w:val="20"/>
                <w:szCs w:val="20"/>
              </w:rPr>
              <w:t>%</w:t>
            </w:r>
          </w:p>
        </w:tc>
      </w:tr>
      <w:tr w:rsidR="00700DFB" w:rsidRPr="001829E7" w14:paraId="0D0DEF39" w14:textId="77777777">
        <w:trPr>
          <w:trHeight w:val="438"/>
        </w:trPr>
        <w:tc>
          <w:tcPr>
            <w:tcW w:w="1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BA7833" w14:textId="77777777" w:rsidR="00700DFB" w:rsidRPr="001829E7" w:rsidRDefault="009F7ED2">
            <w:pPr>
              <w:pStyle w:val="Cuerpo"/>
              <w:spacing w:after="120"/>
              <w:jc w:val="both"/>
            </w:pPr>
            <w:r w:rsidRPr="001829E7">
              <w:rPr>
                <w:rFonts w:ascii="Arial"/>
                <w:smallCaps/>
                <w:sz w:val="20"/>
                <w:szCs w:val="20"/>
              </w:rPr>
              <w:t xml:space="preserve">actividades </w:t>
            </w:r>
            <w:r w:rsidRPr="001829E7">
              <w:rPr>
                <w:rFonts w:ascii="Arial"/>
                <w:smallCaps/>
                <w:sz w:val="16"/>
                <w:szCs w:val="16"/>
              </w:rPr>
              <w:t>DE</w:t>
            </w:r>
            <w:r w:rsidRPr="001829E7">
              <w:rPr>
                <w:rFonts w:ascii="Arial"/>
                <w:smallCaps/>
                <w:sz w:val="20"/>
                <w:szCs w:val="20"/>
              </w:rPr>
              <w:t xml:space="preserve"> especialidades</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A2329E" w14:textId="77777777" w:rsidR="00700DFB" w:rsidRPr="001829E7" w:rsidRDefault="00700DFB">
            <w:pPr>
              <w:pStyle w:val="Cuerpo"/>
              <w:tabs>
                <w:tab w:val="left" w:pos="360"/>
              </w:tabs>
              <w:jc w:val="center"/>
              <w:rPr>
                <w:rFonts w:ascii="Arial" w:eastAsia="Arial" w:hAnsi="Arial" w:cs="Arial"/>
                <w:b/>
                <w:bCs/>
                <w:sz w:val="20"/>
                <w:szCs w:val="20"/>
              </w:rPr>
            </w:pPr>
          </w:p>
          <w:p w14:paraId="7C7CA373" w14:textId="77777777" w:rsidR="00700DFB" w:rsidRPr="001829E7" w:rsidRDefault="009F7ED2">
            <w:pPr>
              <w:pStyle w:val="Cuerpo"/>
              <w:tabs>
                <w:tab w:val="left" w:pos="360"/>
              </w:tabs>
              <w:jc w:val="center"/>
            </w:pPr>
            <w:r w:rsidRPr="001829E7">
              <w:rPr>
                <w:rFonts w:ascii="Arial"/>
                <w:b/>
                <w:bCs/>
                <w:sz w:val="20"/>
                <w:szCs w:val="20"/>
              </w:rPr>
              <w:t>2.973</w:t>
            </w:r>
          </w:p>
        </w:tc>
        <w:tc>
          <w:tcPr>
            <w:tcW w:w="12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975AA1" w14:textId="77777777" w:rsidR="00700DFB" w:rsidRPr="001829E7" w:rsidRDefault="00700DFB">
            <w:pPr>
              <w:pStyle w:val="Cuerpo"/>
              <w:tabs>
                <w:tab w:val="left" w:pos="360"/>
              </w:tabs>
              <w:jc w:val="center"/>
              <w:rPr>
                <w:rFonts w:ascii="Arial" w:eastAsia="Arial" w:hAnsi="Arial" w:cs="Arial"/>
                <w:b/>
                <w:bCs/>
                <w:sz w:val="20"/>
                <w:szCs w:val="20"/>
              </w:rPr>
            </w:pPr>
          </w:p>
          <w:p w14:paraId="4D7CA309" w14:textId="77777777" w:rsidR="00700DFB" w:rsidRPr="001829E7" w:rsidRDefault="009F7ED2">
            <w:pPr>
              <w:pStyle w:val="Cuerpo"/>
              <w:tabs>
                <w:tab w:val="left" w:pos="360"/>
              </w:tabs>
              <w:jc w:val="center"/>
            </w:pPr>
            <w:r w:rsidRPr="001829E7">
              <w:rPr>
                <w:rFonts w:ascii="Arial"/>
                <w:b/>
                <w:bCs/>
                <w:sz w:val="20"/>
                <w:szCs w:val="20"/>
              </w:rPr>
              <w:t>3.129</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877439" w14:textId="77777777" w:rsidR="00700DFB" w:rsidRPr="001829E7" w:rsidRDefault="00700DFB">
            <w:pPr>
              <w:pStyle w:val="Cuerpo"/>
              <w:jc w:val="center"/>
              <w:rPr>
                <w:rFonts w:ascii="Arial" w:eastAsia="Arial" w:hAnsi="Arial" w:cs="Arial"/>
                <w:b/>
                <w:bCs/>
                <w:sz w:val="20"/>
                <w:szCs w:val="20"/>
              </w:rPr>
            </w:pPr>
          </w:p>
          <w:p w14:paraId="04829464" w14:textId="77777777" w:rsidR="00700DFB" w:rsidRPr="001829E7" w:rsidRDefault="009F7ED2">
            <w:pPr>
              <w:pStyle w:val="Cuerpo"/>
              <w:jc w:val="center"/>
            </w:pPr>
            <w:r w:rsidRPr="001829E7">
              <w:rPr>
                <w:rFonts w:ascii="Arial"/>
                <w:b/>
                <w:bCs/>
                <w:sz w:val="20"/>
                <w:szCs w:val="20"/>
              </w:rPr>
              <w:t>574</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83601A" w14:textId="77777777" w:rsidR="00700DFB" w:rsidRPr="001829E7" w:rsidRDefault="00700DFB">
            <w:pPr>
              <w:pStyle w:val="Cuerpo"/>
              <w:jc w:val="center"/>
              <w:rPr>
                <w:rFonts w:ascii="Arial" w:eastAsia="Arial" w:hAnsi="Arial" w:cs="Arial"/>
                <w:b/>
                <w:bCs/>
                <w:sz w:val="20"/>
                <w:szCs w:val="20"/>
              </w:rPr>
            </w:pPr>
          </w:p>
          <w:p w14:paraId="6B0A7985" w14:textId="77777777" w:rsidR="00700DFB" w:rsidRPr="001829E7" w:rsidRDefault="009F7ED2">
            <w:pPr>
              <w:pStyle w:val="Cuerpo"/>
              <w:jc w:val="center"/>
            </w:pPr>
            <w:r w:rsidRPr="001829E7">
              <w:rPr>
                <w:rFonts w:ascii="Arial"/>
                <w:b/>
                <w:bCs/>
                <w:sz w:val="20"/>
                <w:szCs w:val="20"/>
              </w:rPr>
              <w:t>645</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E4C660" w14:textId="77777777" w:rsidR="00700DFB" w:rsidRPr="001829E7" w:rsidRDefault="00700DFB">
            <w:pPr>
              <w:pStyle w:val="Cuerpo"/>
              <w:tabs>
                <w:tab w:val="left" w:pos="360"/>
              </w:tabs>
              <w:jc w:val="center"/>
              <w:rPr>
                <w:rFonts w:ascii="Arial" w:eastAsia="Arial" w:hAnsi="Arial" w:cs="Arial"/>
                <w:b/>
                <w:bCs/>
                <w:sz w:val="20"/>
                <w:szCs w:val="20"/>
              </w:rPr>
            </w:pPr>
          </w:p>
          <w:p w14:paraId="629B0972" w14:textId="77777777" w:rsidR="00700DFB" w:rsidRPr="001829E7" w:rsidRDefault="009F7ED2">
            <w:pPr>
              <w:pStyle w:val="Cuerpo"/>
              <w:tabs>
                <w:tab w:val="left" w:pos="360"/>
              </w:tabs>
              <w:jc w:val="center"/>
            </w:pPr>
            <w:r w:rsidRPr="001829E7">
              <w:rPr>
                <w:rFonts w:ascii="Arial"/>
                <w:b/>
                <w:bCs/>
                <w:sz w:val="20"/>
                <w:szCs w:val="20"/>
              </w:rPr>
              <w:t>19,3</w:t>
            </w:r>
            <w:r w:rsidRPr="001829E7">
              <w:rPr>
                <w:rFonts w:hAnsi="Arial Unicode MS"/>
                <w:b/>
                <w:bCs/>
                <w:sz w:val="20"/>
                <w:szCs w:val="20"/>
              </w:rPr>
              <w:t> </w:t>
            </w:r>
            <w:r w:rsidRPr="001829E7">
              <w:rPr>
                <w:rFonts w:ascii="Arial"/>
                <w:b/>
                <w:bCs/>
                <w:sz w:val="20"/>
                <w:szCs w:val="20"/>
              </w:rPr>
              <w:t>%</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C63992" w14:textId="77777777" w:rsidR="00700DFB" w:rsidRPr="001829E7" w:rsidRDefault="00700DFB">
            <w:pPr>
              <w:pStyle w:val="Cuerpo"/>
              <w:tabs>
                <w:tab w:val="left" w:pos="360"/>
              </w:tabs>
              <w:jc w:val="center"/>
              <w:rPr>
                <w:rFonts w:ascii="Arial" w:eastAsia="Arial" w:hAnsi="Arial" w:cs="Arial"/>
                <w:b/>
                <w:bCs/>
                <w:sz w:val="20"/>
                <w:szCs w:val="20"/>
              </w:rPr>
            </w:pPr>
          </w:p>
          <w:p w14:paraId="7F9B8A19" w14:textId="77777777" w:rsidR="00700DFB" w:rsidRPr="001829E7" w:rsidRDefault="009F7ED2">
            <w:pPr>
              <w:pStyle w:val="Cuerpo"/>
              <w:tabs>
                <w:tab w:val="left" w:pos="360"/>
              </w:tabs>
              <w:jc w:val="center"/>
            </w:pPr>
            <w:r w:rsidRPr="001829E7">
              <w:rPr>
                <w:rFonts w:ascii="Arial"/>
                <w:b/>
                <w:bCs/>
                <w:sz w:val="20"/>
                <w:szCs w:val="20"/>
              </w:rPr>
              <w:t>20,6</w:t>
            </w:r>
            <w:r w:rsidRPr="001829E7">
              <w:rPr>
                <w:rFonts w:hAnsi="Arial Unicode MS"/>
                <w:b/>
                <w:bCs/>
                <w:sz w:val="20"/>
                <w:szCs w:val="20"/>
              </w:rPr>
              <w:t> </w:t>
            </w:r>
            <w:r w:rsidRPr="001829E7">
              <w:rPr>
                <w:rFonts w:ascii="Arial"/>
                <w:b/>
                <w:bCs/>
                <w:sz w:val="20"/>
                <w:szCs w:val="20"/>
              </w:rPr>
              <w:t>%</w:t>
            </w:r>
          </w:p>
        </w:tc>
      </w:tr>
      <w:tr w:rsidR="00700DFB" w:rsidRPr="001829E7" w14:paraId="266D3D36" w14:textId="77777777">
        <w:trPr>
          <w:trHeight w:val="618"/>
        </w:trPr>
        <w:tc>
          <w:tcPr>
            <w:tcW w:w="16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9F2736" w14:textId="77777777" w:rsidR="00700DFB" w:rsidRPr="001829E7" w:rsidRDefault="00700DFB">
            <w:pPr>
              <w:pStyle w:val="Cuerpo"/>
              <w:jc w:val="both"/>
              <w:rPr>
                <w:rFonts w:ascii="Arial" w:eastAsia="Arial" w:hAnsi="Arial" w:cs="Arial"/>
                <w:smallCaps/>
                <w:sz w:val="20"/>
                <w:szCs w:val="20"/>
              </w:rPr>
            </w:pPr>
          </w:p>
          <w:p w14:paraId="76B023B9" w14:textId="77777777" w:rsidR="00700DFB" w:rsidRPr="001829E7" w:rsidRDefault="009F7ED2">
            <w:pPr>
              <w:pStyle w:val="Cuerpo"/>
              <w:jc w:val="both"/>
              <w:rPr>
                <w:rFonts w:ascii="Arial" w:eastAsia="Arial" w:hAnsi="Arial" w:cs="Arial"/>
                <w:smallCaps/>
                <w:sz w:val="20"/>
                <w:szCs w:val="20"/>
              </w:rPr>
            </w:pPr>
            <w:r w:rsidRPr="001829E7">
              <w:rPr>
                <w:rFonts w:ascii="Arial"/>
                <w:smallCaps/>
                <w:sz w:val="20"/>
                <w:szCs w:val="20"/>
              </w:rPr>
              <w:t>grupo</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5759A1" w14:textId="77777777" w:rsidR="00700DFB" w:rsidRPr="001829E7" w:rsidRDefault="00700DFB">
            <w:pPr>
              <w:pStyle w:val="Cuerpo"/>
              <w:tabs>
                <w:tab w:val="left" w:pos="360"/>
              </w:tabs>
              <w:jc w:val="center"/>
              <w:rPr>
                <w:rFonts w:ascii="Arial" w:eastAsia="Arial" w:hAnsi="Arial" w:cs="Arial"/>
                <w:b/>
                <w:bCs/>
                <w:sz w:val="20"/>
                <w:szCs w:val="20"/>
              </w:rPr>
            </w:pPr>
          </w:p>
          <w:p w14:paraId="58166535" w14:textId="77777777" w:rsidR="00700DFB" w:rsidRPr="001829E7" w:rsidRDefault="009F7ED2">
            <w:pPr>
              <w:pStyle w:val="Cuerpo"/>
              <w:tabs>
                <w:tab w:val="left" w:pos="360"/>
              </w:tabs>
              <w:jc w:val="center"/>
            </w:pPr>
            <w:r w:rsidRPr="001829E7">
              <w:rPr>
                <w:rFonts w:ascii="Arial"/>
                <w:b/>
                <w:bCs/>
                <w:sz w:val="20"/>
                <w:szCs w:val="20"/>
              </w:rPr>
              <w:t>19.553</w:t>
            </w:r>
          </w:p>
        </w:tc>
        <w:tc>
          <w:tcPr>
            <w:tcW w:w="12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35756C" w14:textId="77777777" w:rsidR="00700DFB" w:rsidRPr="001829E7" w:rsidRDefault="00700DFB">
            <w:pPr>
              <w:pStyle w:val="Cuerpo"/>
              <w:tabs>
                <w:tab w:val="left" w:pos="360"/>
              </w:tabs>
              <w:jc w:val="center"/>
              <w:rPr>
                <w:rFonts w:ascii="Arial" w:eastAsia="Arial" w:hAnsi="Arial" w:cs="Arial"/>
                <w:b/>
                <w:bCs/>
                <w:sz w:val="20"/>
                <w:szCs w:val="20"/>
              </w:rPr>
            </w:pPr>
          </w:p>
          <w:p w14:paraId="13E6A1E7" w14:textId="77777777" w:rsidR="00700DFB" w:rsidRPr="001829E7" w:rsidRDefault="009F7ED2">
            <w:pPr>
              <w:pStyle w:val="Cuerpo"/>
              <w:tabs>
                <w:tab w:val="left" w:pos="360"/>
              </w:tabs>
              <w:jc w:val="center"/>
            </w:pPr>
            <w:r w:rsidRPr="001829E7">
              <w:rPr>
                <w:rFonts w:ascii="Arial"/>
                <w:b/>
                <w:bCs/>
                <w:sz w:val="20"/>
                <w:szCs w:val="20"/>
              </w:rPr>
              <w:t>20.247</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DDE387" w14:textId="77777777" w:rsidR="00700DFB" w:rsidRPr="001829E7" w:rsidRDefault="00700DFB">
            <w:pPr>
              <w:pStyle w:val="Cuerpo"/>
              <w:jc w:val="center"/>
              <w:rPr>
                <w:rFonts w:ascii="Arial" w:eastAsia="Arial" w:hAnsi="Arial" w:cs="Arial"/>
                <w:b/>
                <w:bCs/>
                <w:sz w:val="20"/>
                <w:szCs w:val="20"/>
              </w:rPr>
            </w:pPr>
          </w:p>
          <w:p w14:paraId="086E65E6" w14:textId="77777777" w:rsidR="00700DFB" w:rsidRPr="001829E7" w:rsidRDefault="009F7ED2">
            <w:pPr>
              <w:pStyle w:val="Cuerpo"/>
              <w:jc w:val="center"/>
            </w:pPr>
            <w:r w:rsidRPr="001829E7">
              <w:rPr>
                <w:rFonts w:ascii="Arial"/>
                <w:b/>
                <w:bCs/>
                <w:sz w:val="20"/>
                <w:szCs w:val="20"/>
              </w:rPr>
              <w:t>2.170</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47D058" w14:textId="77777777" w:rsidR="00700DFB" w:rsidRPr="001829E7" w:rsidRDefault="00700DFB">
            <w:pPr>
              <w:pStyle w:val="Cuerpo"/>
              <w:jc w:val="center"/>
              <w:rPr>
                <w:rFonts w:ascii="Arial" w:eastAsia="Arial" w:hAnsi="Arial" w:cs="Arial"/>
                <w:b/>
                <w:bCs/>
                <w:sz w:val="20"/>
                <w:szCs w:val="20"/>
              </w:rPr>
            </w:pPr>
          </w:p>
          <w:p w14:paraId="741084C0" w14:textId="77777777" w:rsidR="00700DFB" w:rsidRPr="001829E7" w:rsidRDefault="009F7ED2">
            <w:pPr>
              <w:pStyle w:val="Cuerpo"/>
              <w:jc w:val="center"/>
            </w:pPr>
            <w:r w:rsidRPr="001829E7">
              <w:rPr>
                <w:rFonts w:ascii="Arial"/>
                <w:b/>
                <w:bCs/>
                <w:sz w:val="20"/>
                <w:szCs w:val="20"/>
              </w:rPr>
              <w:t>2.234</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C1B036" w14:textId="77777777" w:rsidR="00700DFB" w:rsidRPr="001829E7" w:rsidRDefault="00700DFB">
            <w:pPr>
              <w:pStyle w:val="Cuerpo"/>
              <w:jc w:val="center"/>
              <w:rPr>
                <w:rFonts w:ascii="Arial" w:eastAsia="Arial" w:hAnsi="Arial" w:cs="Arial"/>
                <w:b/>
                <w:bCs/>
                <w:sz w:val="20"/>
                <w:szCs w:val="20"/>
              </w:rPr>
            </w:pPr>
          </w:p>
          <w:p w14:paraId="7991E832" w14:textId="77777777" w:rsidR="00700DFB" w:rsidRPr="001829E7" w:rsidRDefault="009F7ED2">
            <w:pPr>
              <w:pStyle w:val="Cuerpo"/>
              <w:jc w:val="center"/>
            </w:pPr>
            <w:r w:rsidRPr="001829E7">
              <w:rPr>
                <w:rFonts w:ascii="Arial"/>
                <w:b/>
                <w:bCs/>
                <w:sz w:val="20"/>
                <w:szCs w:val="20"/>
              </w:rPr>
              <w:t>11,1</w:t>
            </w:r>
            <w:r w:rsidRPr="001829E7">
              <w:rPr>
                <w:rFonts w:hAnsi="Arial Unicode MS"/>
                <w:b/>
                <w:bCs/>
                <w:sz w:val="20"/>
                <w:szCs w:val="20"/>
              </w:rPr>
              <w:t> </w:t>
            </w:r>
            <w:r w:rsidRPr="001829E7">
              <w:rPr>
                <w:rFonts w:ascii="Arial"/>
                <w:b/>
                <w:bCs/>
                <w:sz w:val="20"/>
                <w:szCs w:val="20"/>
              </w:rPr>
              <w:t>%</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85CB89" w14:textId="77777777" w:rsidR="00700DFB" w:rsidRPr="001829E7" w:rsidRDefault="00700DFB">
            <w:pPr>
              <w:pStyle w:val="Cuerpo"/>
              <w:jc w:val="center"/>
              <w:rPr>
                <w:rFonts w:ascii="Arial" w:eastAsia="Arial" w:hAnsi="Arial" w:cs="Arial"/>
                <w:b/>
                <w:bCs/>
                <w:sz w:val="20"/>
                <w:szCs w:val="20"/>
              </w:rPr>
            </w:pPr>
          </w:p>
          <w:p w14:paraId="40DE2CE6" w14:textId="77777777" w:rsidR="00700DFB" w:rsidRPr="001829E7" w:rsidRDefault="009F7ED2">
            <w:pPr>
              <w:pStyle w:val="Cuerpo"/>
              <w:jc w:val="center"/>
            </w:pPr>
            <w:r w:rsidRPr="001829E7">
              <w:rPr>
                <w:rFonts w:ascii="Arial"/>
                <w:b/>
                <w:bCs/>
                <w:sz w:val="20"/>
                <w:szCs w:val="20"/>
              </w:rPr>
              <w:t>11,0</w:t>
            </w:r>
            <w:r w:rsidRPr="001829E7">
              <w:rPr>
                <w:rFonts w:hAnsi="Arial Unicode MS"/>
                <w:b/>
                <w:bCs/>
                <w:sz w:val="20"/>
                <w:szCs w:val="20"/>
              </w:rPr>
              <w:t> </w:t>
            </w:r>
            <w:r w:rsidRPr="001829E7">
              <w:rPr>
                <w:rFonts w:ascii="Arial"/>
                <w:b/>
                <w:bCs/>
                <w:sz w:val="20"/>
                <w:szCs w:val="20"/>
              </w:rPr>
              <w:t>%</w:t>
            </w:r>
          </w:p>
        </w:tc>
      </w:tr>
    </w:tbl>
    <w:p w14:paraId="47D2094C" w14:textId="77777777" w:rsidR="00700DFB" w:rsidRPr="001829E7" w:rsidRDefault="00700DFB">
      <w:pPr>
        <w:pStyle w:val="Cuerpo"/>
        <w:jc w:val="both"/>
        <w:rPr>
          <w:rFonts w:ascii="Arial" w:eastAsia="Arial" w:hAnsi="Arial" w:cs="Arial"/>
          <w:sz w:val="21"/>
          <w:szCs w:val="21"/>
        </w:rPr>
      </w:pPr>
    </w:p>
    <w:p w14:paraId="12A988E7" w14:textId="77777777" w:rsidR="00C76547" w:rsidRPr="00C76547" w:rsidRDefault="00C76547" w:rsidP="00C76547">
      <w:pPr>
        <w:pStyle w:val="LadilloMichelinDossier"/>
        <w:spacing w:after="240"/>
        <w:ind w:left="360"/>
        <w:jc w:val="both"/>
        <w:rPr>
          <w:rFonts w:ascii="Verdana" w:eastAsia="Verdana" w:hAnsi="Verdana" w:cs="Verdana"/>
          <w:smallCaps/>
          <w:u w:val="single"/>
        </w:rPr>
      </w:pPr>
    </w:p>
    <w:p w14:paraId="0CF5B08E" w14:textId="77777777" w:rsidR="00C76547" w:rsidRPr="00C76547" w:rsidRDefault="00C76547" w:rsidP="00C76547">
      <w:pPr>
        <w:pStyle w:val="LadilloMichelinDossier"/>
        <w:spacing w:after="240"/>
        <w:ind w:left="360"/>
        <w:jc w:val="both"/>
        <w:rPr>
          <w:rFonts w:ascii="Verdana" w:eastAsia="Verdana" w:hAnsi="Verdana" w:cs="Verdana"/>
          <w:smallCaps/>
          <w:u w:val="single"/>
        </w:rPr>
      </w:pPr>
      <w:bookmarkStart w:id="0" w:name="_GoBack"/>
      <w:bookmarkEnd w:id="0"/>
    </w:p>
    <w:p w14:paraId="5FBB89CA" w14:textId="77777777" w:rsidR="00700DFB" w:rsidRPr="001829E7" w:rsidRDefault="009F7ED2" w:rsidP="00D5131A">
      <w:pPr>
        <w:pStyle w:val="LadilloMichelinDossier"/>
        <w:numPr>
          <w:ilvl w:val="0"/>
          <w:numId w:val="36"/>
        </w:numPr>
        <w:tabs>
          <w:tab w:val="clear" w:pos="291"/>
          <w:tab w:val="num" w:pos="360"/>
        </w:tabs>
        <w:spacing w:after="240"/>
        <w:ind w:left="360" w:hanging="360"/>
        <w:jc w:val="both"/>
        <w:rPr>
          <w:rFonts w:ascii="Verdana" w:eastAsia="Verdana" w:hAnsi="Verdana" w:cs="Verdana"/>
          <w:smallCaps/>
          <w:u w:val="single"/>
        </w:rPr>
      </w:pPr>
      <w:r w:rsidRPr="001829E7">
        <w:rPr>
          <w:rFonts w:ascii="Arial"/>
          <w:sz w:val="21"/>
          <w:szCs w:val="21"/>
        </w:rPr>
        <w:lastRenderedPageBreak/>
        <w:t>Turismo, camioneta y distribuci</w:t>
      </w:r>
      <w:r w:rsidRPr="001829E7">
        <w:rPr>
          <w:rFonts w:hAnsi="Arial Unicode MS"/>
          <w:sz w:val="21"/>
          <w:szCs w:val="21"/>
        </w:rPr>
        <w:t>ó</w:t>
      </w:r>
      <w:r w:rsidRPr="001829E7">
        <w:rPr>
          <w:rFonts w:ascii="Arial"/>
          <w:sz w:val="21"/>
          <w:szCs w:val="21"/>
        </w:rPr>
        <w:t xml:space="preserve">n asociada </w:t>
      </w:r>
    </w:p>
    <w:p w14:paraId="38A1FAC7" w14:textId="77777777" w:rsidR="00700DFB" w:rsidRPr="001829E7" w:rsidRDefault="009F7ED2">
      <w:pPr>
        <w:pStyle w:val="TextoMichelin"/>
      </w:pPr>
      <w:r w:rsidRPr="001829E7">
        <w:t>Las ventas netas del segmento de Turismo camioneta y distribuci</w:t>
      </w:r>
      <w:r w:rsidRPr="001829E7">
        <w:rPr>
          <w:rFonts w:ascii="Arial Unicode MS"/>
        </w:rPr>
        <w:t>ó</w:t>
      </w:r>
      <w:r w:rsidRPr="001829E7">
        <w:t xml:space="preserve">n asociada se elevan a 10.498 millones de euros, con un efecto desfavorable de las paridades de cambio del </w:t>
      </w:r>
      <w:r w:rsidRPr="001829E7">
        <w:br/>
        <w:t>- 1,3 %, en comparaci</w:t>
      </w:r>
      <w:r w:rsidRPr="001829E7">
        <w:rPr>
          <w:rFonts w:ascii="Arial Unicode MS"/>
        </w:rPr>
        <w:t>ó</w:t>
      </w:r>
      <w:r w:rsidRPr="001829E7">
        <w:t xml:space="preserve">n con los 10.693 millones para el mismo periodo de 2013. </w:t>
      </w:r>
    </w:p>
    <w:p w14:paraId="391E6974" w14:textId="77777777" w:rsidR="00700DFB" w:rsidRPr="001829E7" w:rsidRDefault="009F7ED2">
      <w:pPr>
        <w:pStyle w:val="TextoMichelin"/>
      </w:pPr>
      <w:r w:rsidRPr="001829E7">
        <w:t>El resultado operativo antes de elementos no recurrentes se eleva hasta los 1.101 millones de euros, es decir un 10,5</w:t>
      </w:r>
      <w:r w:rsidRPr="001829E7">
        <w:rPr>
          <w:rFonts w:ascii="Arial Unicode MS"/>
        </w:rPr>
        <w:t> </w:t>
      </w:r>
      <w:r w:rsidRPr="001829E7">
        <w:t>% de las ventas netas, en comparaci</w:t>
      </w:r>
      <w:r w:rsidRPr="001829E7">
        <w:rPr>
          <w:rFonts w:ascii="Arial Unicode MS"/>
        </w:rPr>
        <w:t>ó</w:t>
      </w:r>
      <w:r w:rsidRPr="001829E7">
        <w:t>n con los 1.086 millones de euros y el 10,2</w:t>
      </w:r>
      <w:r w:rsidRPr="001829E7">
        <w:rPr>
          <w:rFonts w:ascii="Arial Unicode MS"/>
        </w:rPr>
        <w:t> </w:t>
      </w:r>
      <w:r w:rsidRPr="001829E7">
        <w:t>% de 2013.</w:t>
      </w:r>
    </w:p>
    <w:p w14:paraId="5EC053B7" w14:textId="77777777" w:rsidR="00700DFB" w:rsidRPr="001829E7" w:rsidRDefault="009F7ED2">
      <w:pPr>
        <w:pStyle w:val="TextoMichelin"/>
      </w:pPr>
      <w:r w:rsidRPr="001829E7">
        <w:t>Adem</w:t>
      </w:r>
      <w:r w:rsidRPr="001829E7">
        <w:rPr>
          <w:rFonts w:ascii="Arial Unicode MS"/>
        </w:rPr>
        <w:t>á</w:t>
      </w:r>
      <w:r w:rsidRPr="001829E7">
        <w:t xml:space="preserve">s del efecto de las paridades, </w:t>
      </w:r>
      <w:r w:rsidRPr="00923198">
        <w:rPr>
          <w:color w:val="auto"/>
        </w:rPr>
        <w:t>esta progresi</w:t>
      </w:r>
      <w:r w:rsidRPr="00923198">
        <w:rPr>
          <w:rFonts w:ascii="Arial Unicode MS"/>
          <w:color w:val="auto"/>
        </w:rPr>
        <w:t>ó</w:t>
      </w:r>
      <w:r w:rsidRPr="00923198">
        <w:rPr>
          <w:color w:val="auto"/>
        </w:rPr>
        <w:t>n refleja, principalmente, el aumento del 2</w:t>
      </w:r>
      <w:r w:rsidRPr="00923198">
        <w:rPr>
          <w:rFonts w:ascii="Arial Unicode MS"/>
          <w:color w:val="auto"/>
        </w:rPr>
        <w:t> </w:t>
      </w:r>
      <w:r w:rsidRPr="00923198">
        <w:rPr>
          <w:color w:val="auto"/>
        </w:rPr>
        <w:t>% de los vol</w:t>
      </w:r>
      <w:r w:rsidRPr="00923198">
        <w:rPr>
          <w:rFonts w:ascii="Arial Unicode MS"/>
          <w:color w:val="auto"/>
        </w:rPr>
        <w:t>ú</w:t>
      </w:r>
      <w:r w:rsidRPr="00923198">
        <w:rPr>
          <w:color w:val="auto"/>
        </w:rPr>
        <w:t>menes, a pesar del mal resultado de las marcas de gama media, y de un efecto del mix de precios positivo debido a la bajada de los costes de las materias primas, resultado de la pol</w:t>
      </w:r>
      <w:r w:rsidRPr="00923198">
        <w:rPr>
          <w:rFonts w:ascii="Arial Unicode MS"/>
          <w:color w:val="auto"/>
        </w:rPr>
        <w:t>í</w:t>
      </w:r>
      <w:r w:rsidRPr="00923198">
        <w:rPr>
          <w:color w:val="auto"/>
        </w:rPr>
        <w:t>tica de control de precios. La mejora continua</w:t>
      </w:r>
      <w:r w:rsidRPr="001829E7">
        <w:t xml:space="preserve"> del mix se sostiene por el </w:t>
      </w:r>
      <w:r w:rsidRPr="001829E7">
        <w:rPr>
          <w:rFonts w:ascii="Arial Unicode MS"/>
        </w:rPr>
        <w:t>é</w:t>
      </w:r>
      <w:r w:rsidRPr="001829E7">
        <w:t xml:space="preserve">xito de la estrategia en el segmento de las 17 pulgadas y superior y a los lanzamientos como MICHELIN Premier A/S, MICHELIN </w:t>
      </w:r>
      <w:proofErr w:type="spellStart"/>
      <w:r w:rsidRPr="001829E7">
        <w:t>Alpin</w:t>
      </w:r>
      <w:proofErr w:type="spellEnd"/>
      <w:r w:rsidRPr="001829E7">
        <w:t xml:space="preserve"> 5, MICHELIN </w:t>
      </w:r>
      <w:proofErr w:type="spellStart"/>
      <w:r w:rsidRPr="001829E7">
        <w:t>Pilot</w:t>
      </w:r>
      <w:proofErr w:type="spellEnd"/>
      <w:r w:rsidRPr="001829E7">
        <w:t xml:space="preserve"> Sport Cup 2 y, a finales de a</w:t>
      </w:r>
      <w:r w:rsidRPr="001829E7">
        <w:rPr>
          <w:rFonts w:ascii="Arial Unicode MS"/>
        </w:rPr>
        <w:t>ñ</w:t>
      </w:r>
      <w:r w:rsidRPr="001829E7">
        <w:t xml:space="preserve">o, </w:t>
      </w:r>
      <w:proofErr w:type="spellStart"/>
      <w:r w:rsidRPr="001829E7">
        <w:t>BFGoodrich</w:t>
      </w:r>
      <w:proofErr w:type="spellEnd"/>
      <w:r w:rsidRPr="001829E7">
        <w:t xml:space="preserve"> KO2.</w:t>
      </w:r>
    </w:p>
    <w:p w14:paraId="135885C0" w14:textId="77777777" w:rsidR="00700DFB" w:rsidRPr="001829E7" w:rsidRDefault="009F7ED2" w:rsidP="00D5131A">
      <w:pPr>
        <w:pStyle w:val="LadilloMichelinDossier"/>
        <w:numPr>
          <w:ilvl w:val="0"/>
          <w:numId w:val="37"/>
        </w:numPr>
        <w:tabs>
          <w:tab w:val="clear" w:pos="291"/>
          <w:tab w:val="num" w:pos="360"/>
        </w:tabs>
        <w:spacing w:after="240"/>
        <w:ind w:left="360" w:hanging="360"/>
        <w:jc w:val="both"/>
      </w:pPr>
      <w:r w:rsidRPr="001829E7">
        <w:rPr>
          <w:rFonts w:ascii="Arial"/>
          <w:sz w:val="21"/>
          <w:szCs w:val="21"/>
        </w:rPr>
        <w:t>Cami</w:t>
      </w:r>
      <w:r w:rsidRPr="001829E7">
        <w:rPr>
          <w:rFonts w:hAnsi="Arial Unicode MS"/>
          <w:sz w:val="21"/>
          <w:szCs w:val="21"/>
        </w:rPr>
        <w:t>ó</w:t>
      </w:r>
      <w:r w:rsidRPr="001829E7">
        <w:rPr>
          <w:rFonts w:ascii="Arial"/>
          <w:sz w:val="21"/>
          <w:szCs w:val="21"/>
        </w:rPr>
        <w:t>n y distribuci</w:t>
      </w:r>
      <w:r w:rsidRPr="001829E7">
        <w:rPr>
          <w:rFonts w:hAnsi="Arial Unicode MS"/>
          <w:sz w:val="21"/>
          <w:szCs w:val="21"/>
        </w:rPr>
        <w:t>ó</w:t>
      </w:r>
      <w:r w:rsidRPr="001829E7">
        <w:rPr>
          <w:rFonts w:ascii="Arial"/>
          <w:sz w:val="21"/>
          <w:szCs w:val="21"/>
        </w:rPr>
        <w:t>n asociada</w:t>
      </w:r>
      <w:r w:rsidRPr="001829E7">
        <w:rPr>
          <w:rFonts w:ascii="Times New Roman"/>
        </w:rPr>
        <w:t xml:space="preserve"> </w:t>
      </w:r>
    </w:p>
    <w:p w14:paraId="460FCA4D" w14:textId="77777777" w:rsidR="00700DFB" w:rsidRPr="00923198" w:rsidRDefault="009F7ED2">
      <w:pPr>
        <w:pStyle w:val="TextoMichelin"/>
        <w:rPr>
          <w:color w:val="auto"/>
        </w:rPr>
      </w:pPr>
      <w:r w:rsidRPr="001829E7">
        <w:t>Las ventas netas del segmento de Cami</w:t>
      </w:r>
      <w:r w:rsidRPr="001829E7">
        <w:rPr>
          <w:rFonts w:ascii="Arial Unicode MS"/>
        </w:rPr>
        <w:t>ó</w:t>
      </w:r>
      <w:r w:rsidRPr="001829E7">
        <w:t>n y distribuci</w:t>
      </w:r>
      <w:r w:rsidRPr="001829E7">
        <w:rPr>
          <w:rFonts w:ascii="Arial Unicode MS"/>
        </w:rPr>
        <w:t>ó</w:t>
      </w:r>
      <w:r w:rsidRPr="001829E7">
        <w:t xml:space="preserve">n asociada se </w:t>
      </w:r>
      <w:r w:rsidRPr="00923198">
        <w:rPr>
          <w:color w:val="auto"/>
        </w:rPr>
        <w:t>sit</w:t>
      </w:r>
      <w:r w:rsidRPr="00923198">
        <w:rPr>
          <w:rFonts w:ascii="Arial Unicode MS"/>
          <w:color w:val="auto"/>
        </w:rPr>
        <w:t>ú</w:t>
      </w:r>
      <w:r w:rsidRPr="00923198">
        <w:rPr>
          <w:color w:val="auto"/>
        </w:rPr>
        <w:t>an en 6.082 millones de euros, en comparaci</w:t>
      </w:r>
      <w:r w:rsidRPr="00923198">
        <w:rPr>
          <w:rFonts w:ascii="Arial Unicode MS"/>
          <w:color w:val="auto"/>
        </w:rPr>
        <w:t>ó</w:t>
      </w:r>
      <w:r w:rsidRPr="00923198">
        <w:rPr>
          <w:color w:val="auto"/>
        </w:rPr>
        <w:t>n con los 6.425 millones de euros de 2013. Esta ca</w:t>
      </w:r>
      <w:r w:rsidRPr="00923198">
        <w:rPr>
          <w:rFonts w:ascii="Arial Unicode MS"/>
          <w:color w:val="auto"/>
        </w:rPr>
        <w:t>í</w:t>
      </w:r>
      <w:r w:rsidRPr="00923198">
        <w:rPr>
          <w:color w:val="auto"/>
        </w:rPr>
        <w:t>da es el resultado del efecto desfavorable de las paridades monetarias (hasta en un - 2,2 %).</w:t>
      </w:r>
    </w:p>
    <w:p w14:paraId="66D0C49C" w14:textId="77777777" w:rsidR="00700DFB" w:rsidRPr="00923198" w:rsidRDefault="009F7ED2">
      <w:pPr>
        <w:pStyle w:val="TextoMichelin"/>
        <w:rPr>
          <w:color w:val="auto"/>
        </w:rPr>
      </w:pPr>
      <w:r w:rsidRPr="00923198">
        <w:rPr>
          <w:color w:val="auto"/>
        </w:rPr>
        <w:t>El resultado operativo antes de elementos no recurrentes se eleva hasta los 495 millones de euros, representando el 8,1</w:t>
      </w:r>
      <w:r w:rsidRPr="00923198">
        <w:rPr>
          <w:rFonts w:ascii="Arial Unicode MS"/>
          <w:color w:val="auto"/>
        </w:rPr>
        <w:t> </w:t>
      </w:r>
      <w:r w:rsidRPr="00923198">
        <w:rPr>
          <w:color w:val="auto"/>
        </w:rPr>
        <w:t>% de las ventas netas, en relaci</w:t>
      </w:r>
      <w:r w:rsidRPr="00923198">
        <w:rPr>
          <w:rFonts w:ascii="Arial Unicode MS"/>
          <w:color w:val="auto"/>
        </w:rPr>
        <w:t>ó</w:t>
      </w:r>
      <w:r w:rsidRPr="00923198">
        <w:rPr>
          <w:color w:val="auto"/>
        </w:rPr>
        <w:t>n con los 503 millones de euros y el 7,8 % de las ventas netas de 2013.</w:t>
      </w:r>
    </w:p>
    <w:p w14:paraId="7213904D" w14:textId="0CB4BCBC" w:rsidR="00700DFB" w:rsidRPr="00923198" w:rsidRDefault="009F7ED2">
      <w:pPr>
        <w:pStyle w:val="TextoMichelin"/>
        <w:rPr>
          <w:color w:val="auto"/>
        </w:rPr>
      </w:pPr>
      <w:r w:rsidRPr="00923198">
        <w:rPr>
          <w:color w:val="auto"/>
        </w:rPr>
        <w:t>En l</w:t>
      </w:r>
      <w:r w:rsidRPr="00923198">
        <w:rPr>
          <w:rFonts w:ascii="Arial Unicode MS"/>
          <w:color w:val="auto"/>
        </w:rPr>
        <w:t>í</w:t>
      </w:r>
      <w:r w:rsidRPr="00923198">
        <w:rPr>
          <w:color w:val="auto"/>
        </w:rPr>
        <w:t>nea con el objetivo de recuperaci</w:t>
      </w:r>
      <w:r w:rsidRPr="00923198">
        <w:rPr>
          <w:rFonts w:ascii="Arial Unicode MS"/>
          <w:color w:val="auto"/>
        </w:rPr>
        <w:t>ó</w:t>
      </w:r>
      <w:r w:rsidRPr="00923198">
        <w:rPr>
          <w:color w:val="auto"/>
        </w:rPr>
        <w:t>n de la rentabilidad, este resultado refleja</w:t>
      </w:r>
      <w:r w:rsidRPr="00923198">
        <w:rPr>
          <w:rFonts w:hAnsi="Arial"/>
          <w:color w:val="auto"/>
        </w:rPr>
        <w:t xml:space="preserve"> </w:t>
      </w:r>
      <w:r w:rsidRPr="00923198">
        <w:rPr>
          <w:color w:val="auto"/>
        </w:rPr>
        <w:t>el buen control de los precios, en un entorno fuertemente competitivo relacionado con el coste de las materias primas, y la ligera disminuci</w:t>
      </w:r>
      <w:r w:rsidRPr="00923198">
        <w:rPr>
          <w:rFonts w:ascii="Arial Unicode MS"/>
          <w:color w:val="auto"/>
        </w:rPr>
        <w:t>ó</w:t>
      </w:r>
      <w:r w:rsidRPr="00923198">
        <w:rPr>
          <w:color w:val="auto"/>
        </w:rPr>
        <w:t>n del los vol</w:t>
      </w:r>
      <w:r w:rsidRPr="00923198">
        <w:rPr>
          <w:rFonts w:ascii="Arial Unicode MS"/>
          <w:color w:val="auto"/>
        </w:rPr>
        <w:t>ú</w:t>
      </w:r>
      <w:r w:rsidRPr="00923198">
        <w:rPr>
          <w:color w:val="auto"/>
        </w:rPr>
        <w:t>menes de venta (- 1 %). Igualmente, registra el impacto de las paridades y la estricta gesti</w:t>
      </w:r>
      <w:r w:rsidRPr="00923198">
        <w:rPr>
          <w:rFonts w:ascii="Arial Unicode MS"/>
          <w:color w:val="auto"/>
        </w:rPr>
        <w:t>ó</w:t>
      </w:r>
      <w:r w:rsidRPr="00923198">
        <w:rPr>
          <w:color w:val="auto"/>
        </w:rPr>
        <w:t>n de los costes industriales y los gastos generales.</w:t>
      </w:r>
    </w:p>
    <w:p w14:paraId="7393CEEF" w14:textId="77777777" w:rsidR="00700DFB" w:rsidRPr="001829E7" w:rsidRDefault="009F7ED2" w:rsidP="00D5131A">
      <w:pPr>
        <w:pStyle w:val="LadilloMichelinDossier"/>
        <w:numPr>
          <w:ilvl w:val="0"/>
          <w:numId w:val="38"/>
        </w:numPr>
        <w:tabs>
          <w:tab w:val="clear" w:pos="291"/>
          <w:tab w:val="num" w:pos="360"/>
        </w:tabs>
        <w:spacing w:after="240"/>
        <w:ind w:left="360" w:hanging="360"/>
        <w:jc w:val="both"/>
      </w:pPr>
      <w:r w:rsidRPr="001829E7">
        <w:rPr>
          <w:rFonts w:ascii="Arial"/>
          <w:sz w:val="21"/>
          <w:szCs w:val="21"/>
        </w:rPr>
        <w:t>Actividades de especialidades</w:t>
      </w:r>
    </w:p>
    <w:p w14:paraId="0876957F" w14:textId="77777777" w:rsidR="00700DFB" w:rsidRPr="00923198" w:rsidRDefault="009F7ED2">
      <w:pPr>
        <w:pStyle w:val="TextoMichelin"/>
        <w:rPr>
          <w:color w:val="auto"/>
        </w:rPr>
      </w:pPr>
      <w:r w:rsidRPr="001829E7">
        <w:t>Las ventas netas del segmento de Actividades de especialidades alcanzan los 2.973</w:t>
      </w:r>
      <w:r w:rsidRPr="001829E7">
        <w:rPr>
          <w:rFonts w:ascii="Arial Unicode MS"/>
        </w:rPr>
        <w:t> </w:t>
      </w:r>
      <w:r w:rsidRPr="001829E7">
        <w:t>millones de euros, en comparaci</w:t>
      </w:r>
      <w:r w:rsidRPr="001829E7">
        <w:rPr>
          <w:rFonts w:ascii="Arial Unicode MS"/>
        </w:rPr>
        <w:t>ó</w:t>
      </w:r>
      <w:r w:rsidRPr="001829E7">
        <w:t>n con los 3.129 millones de euros de 2013, teniendo en cuento el impacto negativo del cambio (- 1,7</w:t>
      </w:r>
      <w:r w:rsidRPr="001829E7">
        <w:rPr>
          <w:rFonts w:ascii="Arial Unicode MS"/>
        </w:rPr>
        <w:t> </w:t>
      </w:r>
      <w:r w:rsidRPr="001829E7">
        <w:t>%) y de un descenso de los vol</w:t>
      </w:r>
      <w:r w:rsidRPr="001829E7">
        <w:rPr>
          <w:rFonts w:ascii="Arial Unicode MS"/>
        </w:rPr>
        <w:t>ú</w:t>
      </w:r>
      <w:r w:rsidRPr="001829E7">
        <w:t>menes limitado al 1</w:t>
      </w:r>
      <w:r w:rsidRPr="001829E7">
        <w:rPr>
          <w:rFonts w:ascii="Arial Unicode MS"/>
        </w:rPr>
        <w:t> </w:t>
      </w:r>
      <w:r w:rsidRPr="001829E7">
        <w:t xml:space="preserve">%, a pesar de que continua la </w:t>
      </w:r>
      <w:r w:rsidRPr="00923198">
        <w:rPr>
          <w:color w:val="auto"/>
        </w:rPr>
        <w:t>reducci</w:t>
      </w:r>
      <w:r w:rsidRPr="00923198">
        <w:rPr>
          <w:rFonts w:ascii="Arial Unicode MS"/>
          <w:color w:val="auto"/>
        </w:rPr>
        <w:t>ó</w:t>
      </w:r>
      <w:r w:rsidRPr="00923198">
        <w:rPr>
          <w:color w:val="auto"/>
        </w:rPr>
        <w:t>n de stocks de neum</w:t>
      </w:r>
      <w:r w:rsidRPr="00923198">
        <w:rPr>
          <w:rFonts w:ascii="Arial Unicode MS"/>
          <w:color w:val="auto"/>
        </w:rPr>
        <w:t>á</w:t>
      </w:r>
      <w:r w:rsidRPr="00923198">
        <w:rPr>
          <w:color w:val="auto"/>
        </w:rPr>
        <w:t>ticos en las compa</w:t>
      </w:r>
      <w:r w:rsidRPr="00923198">
        <w:rPr>
          <w:rFonts w:ascii="Arial Unicode MS"/>
          <w:color w:val="auto"/>
        </w:rPr>
        <w:t>ñí</w:t>
      </w:r>
      <w:r w:rsidRPr="00923198">
        <w:rPr>
          <w:color w:val="auto"/>
        </w:rPr>
        <w:t>as mineras y el retroceso del segmento Agr</w:t>
      </w:r>
      <w:r w:rsidRPr="00923198">
        <w:rPr>
          <w:rFonts w:ascii="Arial Unicode MS"/>
          <w:color w:val="auto"/>
        </w:rPr>
        <w:t>í</w:t>
      </w:r>
      <w:r w:rsidRPr="00923198">
        <w:rPr>
          <w:color w:val="auto"/>
        </w:rPr>
        <w:t>cola.</w:t>
      </w:r>
    </w:p>
    <w:p w14:paraId="4851E78D" w14:textId="77777777" w:rsidR="00700DFB" w:rsidRPr="00923198" w:rsidRDefault="009F7ED2">
      <w:pPr>
        <w:pStyle w:val="TextoMichelin"/>
        <w:rPr>
          <w:color w:val="auto"/>
        </w:rPr>
      </w:pPr>
      <w:r w:rsidRPr="00923198">
        <w:rPr>
          <w:color w:val="auto"/>
        </w:rPr>
        <w:t>El resultado operativo antes de elementos no recurrentes se establece en 574 millones de euros, es decir, el 19,3</w:t>
      </w:r>
      <w:r w:rsidRPr="00923198">
        <w:rPr>
          <w:rFonts w:ascii="Arial Unicode MS"/>
          <w:color w:val="auto"/>
        </w:rPr>
        <w:t> </w:t>
      </w:r>
      <w:r w:rsidRPr="00923198">
        <w:rPr>
          <w:color w:val="auto"/>
        </w:rPr>
        <w:t>% de las ventas netas, en comparaci</w:t>
      </w:r>
      <w:r w:rsidRPr="00923198">
        <w:rPr>
          <w:rFonts w:ascii="Arial Unicode MS"/>
          <w:color w:val="auto"/>
        </w:rPr>
        <w:t>ó</w:t>
      </w:r>
      <w:r w:rsidRPr="00923198">
        <w:rPr>
          <w:color w:val="auto"/>
        </w:rPr>
        <w:t>n con los 645 millones de euros y el 20,6  % de 2013.</w:t>
      </w:r>
    </w:p>
    <w:p w14:paraId="092CF1D4" w14:textId="77777777" w:rsidR="00700DFB" w:rsidRPr="001829E7" w:rsidRDefault="009F7ED2">
      <w:pPr>
        <w:pStyle w:val="TextoMichelin"/>
      </w:pPr>
      <w:r w:rsidRPr="00923198">
        <w:rPr>
          <w:color w:val="auto"/>
        </w:rPr>
        <w:t>La evoluci</w:t>
      </w:r>
      <w:r w:rsidRPr="00923198">
        <w:rPr>
          <w:rFonts w:ascii="Arial Unicode MS"/>
          <w:color w:val="auto"/>
        </w:rPr>
        <w:t>ó</w:t>
      </w:r>
      <w:r w:rsidRPr="00923198">
        <w:rPr>
          <w:color w:val="auto"/>
        </w:rPr>
        <w:t>n del resultado operativo proviene, adem</w:t>
      </w:r>
      <w:r w:rsidRPr="00923198">
        <w:rPr>
          <w:rFonts w:ascii="Arial Unicode MS"/>
          <w:color w:val="auto"/>
        </w:rPr>
        <w:t>á</w:t>
      </w:r>
      <w:r w:rsidRPr="00923198">
        <w:rPr>
          <w:color w:val="auto"/>
        </w:rPr>
        <w:t>s de los efectos del volumen y de la tasa de cambio, de los ajustes de precios relacionados con las cl</w:t>
      </w:r>
      <w:r w:rsidRPr="00923198">
        <w:rPr>
          <w:rFonts w:ascii="Arial Unicode MS"/>
          <w:color w:val="auto"/>
        </w:rPr>
        <w:t>á</w:t>
      </w:r>
      <w:r w:rsidRPr="00923198">
        <w:rPr>
          <w:color w:val="auto"/>
        </w:rPr>
        <w:t>usulas de indexaci</w:t>
      </w:r>
      <w:r w:rsidRPr="00923198">
        <w:rPr>
          <w:rFonts w:ascii="Arial Unicode MS"/>
          <w:color w:val="auto"/>
        </w:rPr>
        <w:t>ó</w:t>
      </w:r>
      <w:r w:rsidRPr="00923198">
        <w:rPr>
          <w:color w:val="auto"/>
        </w:rPr>
        <w:t>n</w:t>
      </w:r>
      <w:r w:rsidRPr="001829E7">
        <w:t xml:space="preserve"> en un contexto de bajada de precio de las materias primas</w:t>
      </w:r>
    </w:p>
    <w:p w14:paraId="1C46112F" w14:textId="77777777" w:rsidR="00700DFB" w:rsidRPr="001829E7" w:rsidRDefault="009F7ED2">
      <w:pPr>
        <w:pStyle w:val="Cuerpo"/>
        <w:spacing w:after="60"/>
      </w:pPr>
      <w:r w:rsidRPr="001829E7">
        <w:rPr>
          <w:b/>
          <w:bCs/>
          <w:color w:val="333399"/>
          <w:sz w:val="40"/>
          <w:szCs w:val="40"/>
          <w:u w:color="333399"/>
        </w:rPr>
        <w:br w:type="column"/>
      </w:r>
    </w:p>
    <w:p w14:paraId="470DF045" w14:textId="77777777" w:rsidR="00700DFB" w:rsidRPr="001829E7" w:rsidRDefault="009F7ED2">
      <w:pPr>
        <w:pStyle w:val="Cuerpo"/>
        <w:spacing w:after="60"/>
        <w:rPr>
          <w:b/>
          <w:bCs/>
          <w:color w:val="333399"/>
          <w:sz w:val="40"/>
          <w:szCs w:val="40"/>
          <w:u w:color="333399"/>
        </w:rPr>
      </w:pPr>
      <w:proofErr w:type="spellStart"/>
      <w:r w:rsidRPr="001829E7">
        <w:rPr>
          <w:b/>
          <w:bCs/>
          <w:color w:val="333399"/>
          <w:sz w:val="40"/>
          <w:szCs w:val="40"/>
          <w:u w:color="333399"/>
        </w:rPr>
        <w:t>Compagnie</w:t>
      </w:r>
      <w:proofErr w:type="spellEnd"/>
      <w:r w:rsidRPr="001829E7">
        <w:rPr>
          <w:b/>
          <w:bCs/>
          <w:color w:val="333399"/>
          <w:sz w:val="40"/>
          <w:szCs w:val="40"/>
          <w:u w:color="333399"/>
        </w:rPr>
        <w:t xml:space="preserve"> Générale des </w:t>
      </w:r>
      <w:proofErr w:type="spellStart"/>
      <w:r w:rsidRPr="001829E7">
        <w:rPr>
          <w:b/>
          <w:bCs/>
          <w:color w:val="333399"/>
          <w:sz w:val="40"/>
          <w:szCs w:val="40"/>
          <w:u w:color="333399"/>
        </w:rPr>
        <w:t>Etablissements</w:t>
      </w:r>
      <w:proofErr w:type="spellEnd"/>
      <w:r w:rsidRPr="001829E7">
        <w:rPr>
          <w:b/>
          <w:bCs/>
          <w:color w:val="333399"/>
          <w:sz w:val="40"/>
          <w:szCs w:val="40"/>
          <w:u w:color="333399"/>
        </w:rPr>
        <w:t xml:space="preserve"> Michelin</w:t>
      </w:r>
    </w:p>
    <w:p w14:paraId="7CC769BE" w14:textId="77777777" w:rsidR="00700DFB" w:rsidRPr="001829E7" w:rsidRDefault="009F7ED2">
      <w:pPr>
        <w:pStyle w:val="TextoMichelin"/>
      </w:pPr>
      <w:r w:rsidRPr="001829E7">
        <w:t xml:space="preserve">La </w:t>
      </w:r>
      <w:proofErr w:type="spellStart"/>
      <w:r w:rsidRPr="001829E7">
        <w:t>Compagnie</w:t>
      </w:r>
      <w:proofErr w:type="spellEnd"/>
      <w:r w:rsidRPr="001829E7">
        <w:t xml:space="preserve"> G</w:t>
      </w:r>
      <w:r w:rsidRPr="001829E7">
        <w:rPr>
          <w:rFonts w:ascii="Arial Unicode MS"/>
        </w:rPr>
        <w:t>é</w:t>
      </w:r>
      <w:r w:rsidRPr="001829E7">
        <w:t>n</w:t>
      </w:r>
      <w:r w:rsidRPr="001829E7">
        <w:rPr>
          <w:rFonts w:ascii="Arial Unicode MS"/>
        </w:rPr>
        <w:t>é</w:t>
      </w:r>
      <w:r w:rsidRPr="001829E7">
        <w:t xml:space="preserve">rale des </w:t>
      </w:r>
      <w:proofErr w:type="spellStart"/>
      <w:r w:rsidRPr="001829E7">
        <w:t>Etablissements</w:t>
      </w:r>
      <w:proofErr w:type="spellEnd"/>
      <w:r w:rsidRPr="001829E7">
        <w:t xml:space="preserve"> Michelin ha tenido un beneficio de 555  millones de euros en el ejercicio 2014, tras obtener un beneficio de 303 millones de euros en 2013. </w:t>
      </w:r>
    </w:p>
    <w:p w14:paraId="0930A6B2" w14:textId="77777777" w:rsidR="00700DFB" w:rsidRPr="001829E7" w:rsidRDefault="009F7ED2">
      <w:pPr>
        <w:pStyle w:val="TextoMichelin"/>
      </w:pPr>
      <w:r w:rsidRPr="001829E7">
        <w:t>Las cuentas han sido presentadas al Consejo de Vigilancia en su reuni</w:t>
      </w:r>
      <w:r w:rsidRPr="001829E7">
        <w:rPr>
          <w:rFonts w:ascii="Arial Unicode MS"/>
        </w:rPr>
        <w:t>ó</w:t>
      </w:r>
      <w:r w:rsidRPr="001829E7">
        <w:t>n del 5 de febrero de 2015. Los procedimientos de auditor</w:t>
      </w:r>
      <w:r w:rsidRPr="001829E7">
        <w:rPr>
          <w:rFonts w:ascii="Arial Unicode MS"/>
        </w:rPr>
        <w:t>í</w:t>
      </w:r>
      <w:r w:rsidRPr="001829E7">
        <w:t>a han sido realizados y el informe de auditor</w:t>
      </w:r>
      <w:r w:rsidRPr="001829E7">
        <w:rPr>
          <w:rFonts w:ascii="Arial Unicode MS"/>
        </w:rPr>
        <w:t>í</w:t>
      </w:r>
      <w:r w:rsidRPr="001829E7">
        <w:t xml:space="preserve">a ha sido emitido el 9 de febrero de 2015. </w:t>
      </w:r>
    </w:p>
    <w:p w14:paraId="2A77BA21" w14:textId="77777777" w:rsidR="00700DFB" w:rsidRPr="001829E7" w:rsidRDefault="009F7ED2">
      <w:pPr>
        <w:pStyle w:val="TextoMichelin"/>
      </w:pPr>
      <w:r w:rsidRPr="001829E7">
        <w:t>El presidente del Grupo ha convocado una Asamblea General de Accionistas para el viernes 22 de mayo de 2015, a las 9 horas, en Clermont-Ferrand.</w:t>
      </w:r>
    </w:p>
    <w:p w14:paraId="4E2C580F" w14:textId="77777777" w:rsidR="00700DFB" w:rsidRPr="001829E7" w:rsidRDefault="009F7ED2">
      <w:pPr>
        <w:pStyle w:val="TextoMichelin"/>
        <w:rPr>
          <w:color w:val="FF0000"/>
          <w:u w:color="FF0000"/>
        </w:rPr>
      </w:pPr>
      <w:r w:rsidRPr="001829E7">
        <w:t>El presidente del Grupo someter</w:t>
      </w:r>
      <w:r w:rsidRPr="001829E7">
        <w:rPr>
          <w:rFonts w:ascii="Arial Unicode MS"/>
        </w:rPr>
        <w:t xml:space="preserve">á </w:t>
      </w:r>
      <w:r w:rsidRPr="001829E7">
        <w:t>a la aprobaci</w:t>
      </w:r>
      <w:r w:rsidRPr="001829E7">
        <w:rPr>
          <w:rFonts w:ascii="Arial Unicode MS"/>
        </w:rPr>
        <w:t>ó</w:t>
      </w:r>
      <w:r w:rsidRPr="001829E7">
        <w:t>n de los accionistas el pago de un dividendo de 2,50 euros por acci</w:t>
      </w:r>
      <w:r w:rsidRPr="001829E7">
        <w:rPr>
          <w:rFonts w:ascii="Arial Unicode MS"/>
        </w:rPr>
        <w:t>ó</w:t>
      </w:r>
      <w:r w:rsidRPr="001829E7">
        <w:t>n, establecido en relaci</w:t>
      </w:r>
      <w:r w:rsidRPr="001829E7">
        <w:rPr>
          <w:rFonts w:ascii="Arial Unicode MS"/>
        </w:rPr>
        <w:t>ó</w:t>
      </w:r>
      <w:r w:rsidRPr="001829E7">
        <w:t>n al ejercicio precedente.</w:t>
      </w:r>
    </w:p>
    <w:p w14:paraId="163B09A6" w14:textId="77777777" w:rsidR="00700DFB" w:rsidRPr="001829E7" w:rsidRDefault="00700DFB">
      <w:pPr>
        <w:pStyle w:val="TextoMichelin"/>
      </w:pPr>
    </w:p>
    <w:p w14:paraId="71EDE2BE" w14:textId="77777777" w:rsidR="00700DFB" w:rsidRPr="001829E7" w:rsidRDefault="009F7ED2">
      <w:pPr>
        <w:pStyle w:val="Cuerpo"/>
        <w:spacing w:after="240" w:line="360" w:lineRule="exact"/>
      </w:pPr>
      <w:r w:rsidRPr="001829E7">
        <w:rPr>
          <w:b/>
          <w:bCs/>
          <w:color w:val="333399"/>
          <w:sz w:val="40"/>
          <w:szCs w:val="40"/>
          <w:u w:color="333399"/>
        </w:rPr>
        <w:br w:type="column"/>
      </w:r>
    </w:p>
    <w:p w14:paraId="4E209121" w14:textId="77777777" w:rsidR="00700DFB" w:rsidRPr="001829E7" w:rsidRDefault="009F7ED2">
      <w:pPr>
        <w:pStyle w:val="Cuerpo"/>
        <w:spacing w:after="240" w:line="360" w:lineRule="exact"/>
        <w:rPr>
          <w:b/>
          <w:bCs/>
          <w:color w:val="333399"/>
          <w:sz w:val="40"/>
          <w:szCs w:val="40"/>
          <w:u w:color="333399"/>
        </w:rPr>
      </w:pPr>
      <w:r w:rsidRPr="001829E7">
        <w:rPr>
          <w:b/>
          <w:bCs/>
          <w:color w:val="333399"/>
          <w:sz w:val="40"/>
          <w:szCs w:val="40"/>
          <w:u w:color="333399"/>
        </w:rPr>
        <w:t>Hechos destacados de 2014</w:t>
      </w:r>
    </w:p>
    <w:p w14:paraId="526C6D70" w14:textId="657F53F7" w:rsidR="00700DFB" w:rsidRPr="00B9386E" w:rsidRDefault="009F7ED2" w:rsidP="00D154CB">
      <w:pPr>
        <w:pStyle w:val="Cuerpo"/>
        <w:numPr>
          <w:ilvl w:val="0"/>
          <w:numId w:val="61"/>
        </w:numPr>
        <w:spacing w:after="240" w:line="270" w:lineRule="atLeast"/>
        <w:ind w:left="426" w:hanging="284"/>
        <w:outlineLvl w:val="0"/>
        <w:rPr>
          <w:rFonts w:ascii="Arial" w:eastAsia="Arial" w:hAnsi="Arial" w:cs="Arial"/>
          <w:b/>
          <w:bCs/>
          <w:color w:val="auto"/>
        </w:rPr>
      </w:pPr>
      <w:r w:rsidRPr="00B9386E">
        <w:rPr>
          <w:rFonts w:ascii="Arial" w:hAnsi="Arial" w:cs="Arial"/>
          <w:b/>
          <w:bCs/>
          <w:color w:val="auto"/>
          <w:sz w:val="21"/>
          <w:szCs w:val="21"/>
        </w:rPr>
        <w:t>Lanzamiento del MICHELIN</w:t>
      </w:r>
      <w:r w:rsidRPr="00B9386E">
        <w:rPr>
          <w:rFonts w:ascii="Arial" w:hAnsi="Arial" w:cs="Arial"/>
          <w:b/>
          <w:bCs/>
          <w:color w:val="auto"/>
          <w:sz w:val="21"/>
          <w:szCs w:val="21"/>
          <w:vertAlign w:val="superscript"/>
        </w:rPr>
        <w:t>®</w:t>
      </w:r>
      <w:r w:rsidRPr="00B9386E">
        <w:rPr>
          <w:rFonts w:ascii="Arial" w:hAnsi="Arial" w:cs="Arial"/>
          <w:b/>
          <w:bCs/>
          <w:color w:val="auto"/>
          <w:sz w:val="21"/>
          <w:szCs w:val="21"/>
        </w:rPr>
        <w:t xml:space="preserve"> Premier</w:t>
      </w:r>
      <w:r w:rsidRPr="00B9386E">
        <w:rPr>
          <w:rFonts w:ascii="Arial" w:hAnsi="Arial" w:cs="Arial"/>
          <w:b/>
          <w:bCs/>
          <w:color w:val="auto"/>
          <w:sz w:val="21"/>
          <w:szCs w:val="21"/>
          <w:vertAlign w:val="superscript"/>
        </w:rPr>
        <w:t>®</w:t>
      </w:r>
      <w:r w:rsidRPr="00B9386E">
        <w:rPr>
          <w:rFonts w:ascii="Arial" w:hAnsi="Arial" w:cs="Arial"/>
          <w:b/>
          <w:bCs/>
          <w:color w:val="auto"/>
          <w:sz w:val="21"/>
          <w:szCs w:val="21"/>
        </w:rPr>
        <w:t xml:space="preserve"> A/S, un neumático que se </w:t>
      </w:r>
      <w:proofErr w:type="spellStart"/>
      <w:r w:rsidRPr="00B9386E">
        <w:rPr>
          <w:rFonts w:ascii="Arial" w:hAnsi="Arial" w:cs="Arial"/>
          <w:b/>
          <w:bCs/>
          <w:color w:val="auto"/>
          <w:sz w:val="21"/>
          <w:szCs w:val="21"/>
        </w:rPr>
        <w:t>autorregenera</w:t>
      </w:r>
      <w:proofErr w:type="spellEnd"/>
      <w:r w:rsidRPr="00B9386E">
        <w:rPr>
          <w:rFonts w:ascii="Arial" w:hAnsi="Arial" w:cs="Arial"/>
          <w:b/>
          <w:bCs/>
          <w:color w:val="auto"/>
          <w:sz w:val="21"/>
          <w:szCs w:val="21"/>
        </w:rPr>
        <w:t>, mant</w:t>
      </w:r>
      <w:r w:rsidR="00D154CB">
        <w:rPr>
          <w:rFonts w:ascii="Arial" w:hAnsi="Arial" w:cs="Arial"/>
          <w:b/>
          <w:bCs/>
          <w:color w:val="auto"/>
          <w:sz w:val="21"/>
          <w:szCs w:val="21"/>
        </w:rPr>
        <w:t>eni</w:t>
      </w:r>
      <w:r w:rsidRPr="00B9386E">
        <w:rPr>
          <w:rFonts w:ascii="Arial" w:hAnsi="Arial" w:cs="Arial"/>
          <w:b/>
          <w:bCs/>
          <w:color w:val="auto"/>
          <w:sz w:val="21"/>
          <w:szCs w:val="21"/>
        </w:rPr>
        <w:t>éndose seguro a pesar del desgaste. (15 de enero de 2014)</w:t>
      </w:r>
    </w:p>
    <w:p w14:paraId="24AF4259" w14:textId="77777777" w:rsidR="00700DFB" w:rsidRPr="00B9386E" w:rsidRDefault="009F7ED2" w:rsidP="00D154CB">
      <w:pPr>
        <w:pStyle w:val="Cuerpo"/>
        <w:numPr>
          <w:ilvl w:val="0"/>
          <w:numId w:val="61"/>
        </w:numPr>
        <w:spacing w:after="240" w:line="270" w:lineRule="atLeast"/>
        <w:ind w:left="426" w:hanging="284"/>
        <w:outlineLvl w:val="0"/>
        <w:rPr>
          <w:rFonts w:ascii="Arial" w:eastAsia="Arial" w:hAnsi="Arial" w:cs="Arial"/>
          <w:b/>
          <w:bCs/>
          <w:color w:val="auto"/>
        </w:rPr>
      </w:pPr>
      <w:r w:rsidRPr="00B9386E">
        <w:rPr>
          <w:rFonts w:ascii="Arial" w:hAnsi="Arial" w:cs="Arial"/>
          <w:b/>
          <w:bCs/>
          <w:color w:val="auto"/>
          <w:sz w:val="21"/>
          <w:szCs w:val="21"/>
        </w:rPr>
        <w:t xml:space="preserve">El </w:t>
      </w:r>
      <w:proofErr w:type="spellStart"/>
      <w:r w:rsidRPr="00B9386E">
        <w:rPr>
          <w:rFonts w:ascii="Arial" w:hAnsi="Arial" w:cs="Arial"/>
          <w:b/>
          <w:bCs/>
          <w:color w:val="auto"/>
          <w:sz w:val="21"/>
          <w:szCs w:val="21"/>
        </w:rPr>
        <w:t>Comisaridado</w:t>
      </w:r>
      <w:proofErr w:type="spellEnd"/>
      <w:r w:rsidRPr="00B9386E">
        <w:rPr>
          <w:rFonts w:ascii="Arial" w:hAnsi="Arial" w:cs="Arial"/>
          <w:b/>
          <w:bCs/>
          <w:color w:val="auto"/>
          <w:sz w:val="21"/>
          <w:szCs w:val="21"/>
        </w:rPr>
        <w:t xml:space="preserve"> de la Energía Atómica y otras Energías Alternativas (CEA), Michelin, </w:t>
      </w:r>
      <w:proofErr w:type="spellStart"/>
      <w:r w:rsidRPr="00B9386E">
        <w:rPr>
          <w:rFonts w:ascii="Arial" w:hAnsi="Arial" w:cs="Arial"/>
          <w:b/>
          <w:bCs/>
          <w:color w:val="auto"/>
          <w:sz w:val="21"/>
          <w:szCs w:val="21"/>
        </w:rPr>
        <w:t>Protéus</w:t>
      </w:r>
      <w:proofErr w:type="spellEnd"/>
      <w:r w:rsidRPr="00B9386E">
        <w:rPr>
          <w:rFonts w:ascii="Arial" w:hAnsi="Arial" w:cs="Arial"/>
          <w:b/>
          <w:bCs/>
          <w:color w:val="auto"/>
          <w:sz w:val="21"/>
          <w:szCs w:val="21"/>
        </w:rPr>
        <w:t xml:space="preserve"> (</w:t>
      </w:r>
      <w:proofErr w:type="spellStart"/>
      <w:r w:rsidRPr="00B9386E">
        <w:rPr>
          <w:rFonts w:ascii="Arial" w:hAnsi="Arial" w:cs="Arial"/>
          <w:b/>
          <w:bCs/>
          <w:color w:val="auto"/>
          <w:sz w:val="21"/>
          <w:szCs w:val="21"/>
        </w:rPr>
        <w:t>Groupe</w:t>
      </w:r>
      <w:proofErr w:type="spellEnd"/>
      <w:r w:rsidRPr="00B9386E">
        <w:rPr>
          <w:rFonts w:ascii="Arial" w:hAnsi="Arial" w:cs="Arial"/>
          <w:b/>
          <w:bCs/>
          <w:color w:val="auto"/>
          <w:sz w:val="21"/>
          <w:szCs w:val="21"/>
        </w:rPr>
        <w:t xml:space="preserve"> PCAS)) y </w:t>
      </w:r>
      <w:proofErr w:type="spellStart"/>
      <w:r w:rsidRPr="00B9386E">
        <w:rPr>
          <w:rFonts w:ascii="Arial" w:hAnsi="Arial" w:cs="Arial"/>
          <w:b/>
          <w:bCs/>
          <w:color w:val="auto"/>
          <w:sz w:val="21"/>
          <w:szCs w:val="21"/>
        </w:rPr>
        <w:t>SDTech</w:t>
      </w:r>
      <w:proofErr w:type="spellEnd"/>
      <w:r w:rsidRPr="00B9386E">
        <w:rPr>
          <w:rFonts w:ascii="Arial" w:hAnsi="Arial" w:cs="Arial"/>
          <w:b/>
          <w:bCs/>
          <w:color w:val="auto"/>
          <w:sz w:val="21"/>
          <w:szCs w:val="21"/>
        </w:rPr>
        <w:t xml:space="preserve"> desarrollarán conjuntamente dos innovadoras vías de valoración de neumáticos usados. (28 de enero de 2014)</w:t>
      </w:r>
    </w:p>
    <w:p w14:paraId="72910FF2" w14:textId="49BA8D77" w:rsidR="00700DFB" w:rsidRPr="00B9386E" w:rsidRDefault="009F7ED2" w:rsidP="00D154CB">
      <w:pPr>
        <w:pStyle w:val="Cuerpo"/>
        <w:numPr>
          <w:ilvl w:val="0"/>
          <w:numId w:val="61"/>
        </w:numPr>
        <w:spacing w:after="240" w:line="270" w:lineRule="atLeast"/>
        <w:ind w:left="426" w:hanging="284"/>
        <w:outlineLvl w:val="0"/>
        <w:rPr>
          <w:rFonts w:ascii="Arial" w:eastAsia="Arial" w:hAnsi="Arial" w:cs="Arial"/>
          <w:b/>
          <w:bCs/>
          <w:color w:val="auto"/>
        </w:rPr>
      </w:pPr>
      <w:r w:rsidRPr="00B9386E">
        <w:rPr>
          <w:rFonts w:ascii="Arial" w:hAnsi="Arial" w:cs="Arial"/>
          <w:b/>
          <w:bCs/>
          <w:color w:val="auto"/>
          <w:sz w:val="21"/>
          <w:szCs w:val="21"/>
        </w:rPr>
        <w:t xml:space="preserve">Michelin Canadá anuncia una reducción de su capacidad de producción de neumáticos, de pequeña dimensión, en sus instalaciones de </w:t>
      </w:r>
      <w:proofErr w:type="spellStart"/>
      <w:r w:rsidRPr="00B9386E">
        <w:rPr>
          <w:rFonts w:ascii="Arial" w:hAnsi="Arial" w:cs="Arial"/>
          <w:b/>
          <w:bCs/>
          <w:color w:val="auto"/>
          <w:sz w:val="21"/>
          <w:szCs w:val="21"/>
        </w:rPr>
        <w:t>Pictou</w:t>
      </w:r>
      <w:proofErr w:type="spellEnd"/>
      <w:r w:rsidRPr="00B9386E">
        <w:rPr>
          <w:rFonts w:ascii="Arial" w:hAnsi="Arial" w:cs="Arial"/>
          <w:b/>
          <w:bCs/>
          <w:color w:val="auto"/>
          <w:sz w:val="21"/>
          <w:szCs w:val="21"/>
        </w:rPr>
        <w:t xml:space="preserve"> County en Canadá, antes de julio de 2015. Michelin informa también de una inversión de 66,5 millones de CAD (dólares</w:t>
      </w:r>
      <w:r w:rsidR="00B9386E">
        <w:rPr>
          <w:rFonts w:ascii="Arial" w:hAnsi="Arial" w:cs="Arial"/>
          <w:b/>
          <w:bCs/>
          <w:color w:val="auto"/>
          <w:sz w:val="21"/>
          <w:szCs w:val="21"/>
        </w:rPr>
        <w:t xml:space="preserve"> canadienses) para reforzar sus </w:t>
      </w:r>
      <w:r w:rsidRPr="00B9386E">
        <w:rPr>
          <w:rFonts w:ascii="Arial" w:hAnsi="Arial" w:cs="Arial"/>
          <w:b/>
          <w:bCs/>
          <w:color w:val="auto"/>
          <w:sz w:val="21"/>
          <w:szCs w:val="21"/>
        </w:rPr>
        <w:t>instalaciones productivas de sus tres fábricas en el país. (3 de marzo de 2014)</w:t>
      </w:r>
    </w:p>
    <w:p w14:paraId="421D98EC" w14:textId="77777777" w:rsidR="00700DFB" w:rsidRPr="00B9386E" w:rsidRDefault="009F7ED2" w:rsidP="00D154CB">
      <w:pPr>
        <w:pStyle w:val="Cuerpo"/>
        <w:numPr>
          <w:ilvl w:val="0"/>
          <w:numId w:val="61"/>
        </w:numPr>
        <w:spacing w:after="240" w:line="270" w:lineRule="atLeast"/>
        <w:ind w:left="426" w:hanging="284"/>
        <w:outlineLvl w:val="0"/>
        <w:rPr>
          <w:rFonts w:ascii="Arial" w:eastAsia="Arial" w:hAnsi="Arial" w:cs="Arial"/>
          <w:b/>
          <w:bCs/>
          <w:color w:val="auto"/>
        </w:rPr>
      </w:pPr>
      <w:r w:rsidRPr="00B9386E">
        <w:rPr>
          <w:rFonts w:ascii="Arial" w:hAnsi="Arial" w:cs="Arial"/>
          <w:b/>
          <w:bCs/>
          <w:color w:val="auto"/>
          <w:sz w:val="21"/>
          <w:szCs w:val="21"/>
        </w:rPr>
        <w:t>Michelin firma un contrato de equipamiento de neumáticos en primer equipo con Boeing para las aeronaves B737 MAX 7 y 8. (10 de marzo de 2014)</w:t>
      </w:r>
    </w:p>
    <w:p w14:paraId="04805FB1" w14:textId="77777777" w:rsidR="00700DFB" w:rsidRPr="00B9386E" w:rsidRDefault="009F7ED2" w:rsidP="00D154CB">
      <w:pPr>
        <w:pStyle w:val="Cuerpo"/>
        <w:numPr>
          <w:ilvl w:val="0"/>
          <w:numId w:val="61"/>
        </w:numPr>
        <w:spacing w:after="240" w:line="270" w:lineRule="atLeast"/>
        <w:ind w:left="426" w:hanging="284"/>
        <w:outlineLvl w:val="0"/>
        <w:rPr>
          <w:rFonts w:ascii="Arial" w:eastAsia="Arial" w:hAnsi="Arial" w:cs="Arial"/>
          <w:b/>
          <w:bCs/>
          <w:color w:val="auto"/>
        </w:rPr>
      </w:pPr>
      <w:r w:rsidRPr="00B9386E">
        <w:rPr>
          <w:rFonts w:ascii="Arial" w:hAnsi="Arial" w:cs="Arial"/>
          <w:b/>
          <w:bCs/>
          <w:color w:val="auto"/>
          <w:sz w:val="21"/>
          <w:szCs w:val="21"/>
        </w:rPr>
        <w:t>Michelin prevé reconfigurar su presencia industrial en Hungría y anuncia su proyecto de cerrar su planta de producción de neumáticos para camión de Budapest. ( 6 de mayo de 2014)</w:t>
      </w:r>
    </w:p>
    <w:p w14:paraId="4BE3C77E" w14:textId="77777777" w:rsidR="00700DFB" w:rsidRPr="00B9386E" w:rsidRDefault="009F7ED2" w:rsidP="00D154CB">
      <w:pPr>
        <w:pStyle w:val="Cuerpo"/>
        <w:numPr>
          <w:ilvl w:val="0"/>
          <w:numId w:val="61"/>
        </w:numPr>
        <w:spacing w:after="240"/>
        <w:ind w:left="426" w:hanging="284"/>
        <w:rPr>
          <w:rFonts w:ascii="Arial" w:eastAsia="Arial" w:hAnsi="Arial" w:cs="Arial"/>
          <w:b/>
          <w:bCs/>
          <w:color w:val="auto"/>
        </w:rPr>
      </w:pPr>
      <w:r w:rsidRPr="00B9386E">
        <w:rPr>
          <w:rFonts w:ascii="Arial" w:hAnsi="Arial" w:cs="Arial"/>
          <w:b/>
          <w:bCs/>
          <w:color w:val="auto"/>
          <w:sz w:val="21"/>
          <w:szCs w:val="21"/>
        </w:rPr>
        <w:t>Michelin se compromete al diálogo con actores sociales en cuestiones de movilidad y de desarrollo (13-14 de mayo de 2014)</w:t>
      </w:r>
    </w:p>
    <w:p w14:paraId="7C68FD78" w14:textId="77777777" w:rsidR="00700DFB" w:rsidRPr="00B9386E" w:rsidRDefault="009F7ED2" w:rsidP="00D154CB">
      <w:pPr>
        <w:pStyle w:val="Cuerpo"/>
        <w:numPr>
          <w:ilvl w:val="0"/>
          <w:numId w:val="61"/>
        </w:numPr>
        <w:spacing w:after="240"/>
        <w:ind w:left="426" w:hanging="284"/>
        <w:rPr>
          <w:rFonts w:ascii="Arial" w:eastAsia="Arial" w:hAnsi="Arial" w:cs="Arial"/>
          <w:b/>
          <w:bCs/>
          <w:color w:val="auto"/>
        </w:rPr>
      </w:pPr>
      <w:r w:rsidRPr="00B9386E">
        <w:rPr>
          <w:rFonts w:ascii="Arial" w:hAnsi="Arial" w:cs="Arial"/>
          <w:b/>
          <w:bCs/>
          <w:color w:val="auto"/>
          <w:sz w:val="21"/>
          <w:szCs w:val="21"/>
        </w:rPr>
        <w:t>El nuevo neumático MICHELIN X-STRADDLE 2: ofrece más seguridad y productividad en las actividades portuarias. (14 de mayo de 2014)</w:t>
      </w:r>
    </w:p>
    <w:p w14:paraId="62D0D67C" w14:textId="77777777" w:rsidR="00700DFB" w:rsidRPr="00B9386E" w:rsidRDefault="009F7ED2" w:rsidP="00D154CB">
      <w:pPr>
        <w:pStyle w:val="Cuerpo"/>
        <w:numPr>
          <w:ilvl w:val="0"/>
          <w:numId w:val="61"/>
        </w:numPr>
        <w:spacing w:after="240" w:line="270" w:lineRule="atLeast"/>
        <w:ind w:left="426" w:hanging="284"/>
        <w:rPr>
          <w:rFonts w:ascii="Arial" w:eastAsia="Arial" w:hAnsi="Arial" w:cs="Arial"/>
          <w:b/>
          <w:bCs/>
          <w:color w:val="auto"/>
        </w:rPr>
      </w:pPr>
      <w:r w:rsidRPr="00B9386E">
        <w:rPr>
          <w:rFonts w:ascii="Arial" w:hAnsi="Arial" w:cs="Arial"/>
          <w:b/>
          <w:bCs/>
          <w:color w:val="auto"/>
          <w:sz w:val="21"/>
          <w:szCs w:val="21"/>
        </w:rPr>
        <w:t xml:space="preserve">Michelin finaliza la compra de </w:t>
      </w:r>
      <w:proofErr w:type="spellStart"/>
      <w:r w:rsidRPr="00B9386E">
        <w:rPr>
          <w:rFonts w:ascii="Arial" w:hAnsi="Arial" w:cs="Arial"/>
          <w:b/>
          <w:bCs/>
          <w:color w:val="auto"/>
          <w:sz w:val="21"/>
          <w:szCs w:val="21"/>
        </w:rPr>
        <w:t>Sascar</w:t>
      </w:r>
      <w:proofErr w:type="spellEnd"/>
      <w:r w:rsidRPr="00B9386E">
        <w:rPr>
          <w:rFonts w:ascii="Arial" w:hAnsi="Arial" w:cs="Arial"/>
          <w:b/>
          <w:bCs/>
          <w:color w:val="auto"/>
          <w:sz w:val="21"/>
          <w:szCs w:val="21"/>
        </w:rPr>
        <w:t xml:space="preserve"> (1 de septiembre de 2014)</w:t>
      </w:r>
    </w:p>
    <w:p w14:paraId="00C1307D" w14:textId="77777777" w:rsidR="00700DFB" w:rsidRPr="00B9386E" w:rsidRDefault="009F7ED2" w:rsidP="00D154CB">
      <w:pPr>
        <w:pStyle w:val="Cuerpo"/>
        <w:numPr>
          <w:ilvl w:val="0"/>
          <w:numId w:val="61"/>
        </w:numPr>
        <w:spacing w:after="240" w:line="270" w:lineRule="atLeast"/>
        <w:ind w:left="426" w:hanging="284"/>
        <w:rPr>
          <w:rFonts w:ascii="Arial" w:eastAsia="Arial" w:hAnsi="Arial" w:cs="Arial"/>
          <w:b/>
          <w:bCs/>
          <w:color w:val="auto"/>
        </w:rPr>
      </w:pPr>
      <w:r w:rsidRPr="00B9386E">
        <w:rPr>
          <w:rFonts w:ascii="Arial" w:hAnsi="Arial" w:cs="Arial"/>
          <w:b/>
          <w:bCs/>
          <w:color w:val="auto"/>
          <w:sz w:val="21"/>
          <w:szCs w:val="21"/>
        </w:rPr>
        <w:t xml:space="preserve">Distribución: TYREPLUS abre su centro número 1.000 en China. </w:t>
      </w:r>
      <w:r w:rsidRPr="00B9386E">
        <w:rPr>
          <w:rFonts w:ascii="Arial" w:eastAsia="Arial" w:hAnsi="Arial" w:cs="Arial"/>
          <w:b/>
          <w:bCs/>
          <w:color w:val="auto"/>
          <w:sz w:val="21"/>
          <w:szCs w:val="21"/>
        </w:rPr>
        <w:br/>
      </w:r>
      <w:r w:rsidRPr="00B9386E">
        <w:rPr>
          <w:rFonts w:ascii="Arial" w:hAnsi="Arial" w:cs="Arial"/>
          <w:b/>
          <w:bCs/>
          <w:color w:val="auto"/>
          <w:sz w:val="21"/>
          <w:szCs w:val="21"/>
        </w:rPr>
        <w:t>(8 de septiembre de 2014)</w:t>
      </w:r>
    </w:p>
    <w:p w14:paraId="0E6DCBEF" w14:textId="60C5205E" w:rsidR="00700DFB" w:rsidRPr="00B9386E" w:rsidRDefault="009F7ED2" w:rsidP="00D154CB">
      <w:pPr>
        <w:pStyle w:val="Cuerpo"/>
        <w:numPr>
          <w:ilvl w:val="0"/>
          <w:numId w:val="61"/>
        </w:numPr>
        <w:spacing w:after="240" w:line="270" w:lineRule="atLeast"/>
        <w:ind w:left="426" w:hanging="284"/>
        <w:rPr>
          <w:rFonts w:ascii="Arial" w:eastAsia="Arial" w:hAnsi="Arial" w:cs="Arial"/>
          <w:b/>
          <w:bCs/>
          <w:color w:val="auto"/>
        </w:rPr>
      </w:pPr>
      <w:r w:rsidRPr="00B9386E">
        <w:rPr>
          <w:rFonts w:ascii="Arial" w:hAnsi="Arial" w:cs="Arial"/>
          <w:b/>
          <w:bCs/>
          <w:color w:val="auto"/>
          <w:sz w:val="21"/>
          <w:szCs w:val="21"/>
        </w:rPr>
        <w:t xml:space="preserve">Primera carrera en Pekín, China. Michelin socio oficial del Campeonato FIA </w:t>
      </w:r>
      <w:r w:rsidR="00D154CB">
        <w:rPr>
          <w:rFonts w:ascii="Arial" w:hAnsi="Arial" w:cs="Arial"/>
          <w:b/>
          <w:bCs/>
          <w:color w:val="auto"/>
          <w:sz w:val="21"/>
          <w:szCs w:val="21"/>
        </w:rPr>
        <w:br/>
      </w:r>
      <w:r w:rsidRPr="00B9386E">
        <w:rPr>
          <w:rFonts w:ascii="Arial" w:hAnsi="Arial" w:cs="Arial"/>
          <w:b/>
          <w:bCs/>
          <w:color w:val="auto"/>
          <w:sz w:val="21"/>
          <w:szCs w:val="21"/>
        </w:rPr>
        <w:t>de Fórmula E. (13 de septiembre de 2014)</w:t>
      </w:r>
    </w:p>
    <w:p w14:paraId="25353CDC" w14:textId="77777777" w:rsidR="00700DFB" w:rsidRPr="00B9386E" w:rsidRDefault="009F7ED2" w:rsidP="00D154CB">
      <w:pPr>
        <w:pStyle w:val="Cuerpo"/>
        <w:numPr>
          <w:ilvl w:val="0"/>
          <w:numId w:val="61"/>
        </w:numPr>
        <w:spacing w:after="240" w:line="270" w:lineRule="atLeast"/>
        <w:ind w:left="426" w:hanging="284"/>
        <w:rPr>
          <w:rFonts w:ascii="Arial" w:eastAsia="Arial" w:hAnsi="Arial" w:cs="Arial"/>
          <w:b/>
          <w:bCs/>
          <w:color w:val="auto"/>
        </w:rPr>
      </w:pPr>
      <w:r w:rsidRPr="00B9386E">
        <w:rPr>
          <w:rFonts w:ascii="Arial" w:hAnsi="Arial" w:cs="Arial"/>
          <w:b/>
          <w:bCs/>
          <w:color w:val="auto"/>
          <w:sz w:val="21"/>
          <w:szCs w:val="21"/>
        </w:rPr>
        <w:t xml:space="preserve">MICHELIN </w:t>
      </w:r>
      <w:proofErr w:type="spellStart"/>
      <w:r w:rsidRPr="00B9386E">
        <w:rPr>
          <w:rFonts w:ascii="Arial" w:hAnsi="Arial" w:cs="Arial"/>
          <w:b/>
          <w:bCs/>
          <w:color w:val="auto"/>
          <w:sz w:val="21"/>
          <w:szCs w:val="21"/>
        </w:rPr>
        <w:t>Ultraflex</w:t>
      </w:r>
      <w:proofErr w:type="spellEnd"/>
      <w:r w:rsidRPr="00B9386E">
        <w:rPr>
          <w:rFonts w:ascii="Arial" w:hAnsi="Arial" w:cs="Arial"/>
          <w:b/>
          <w:bCs/>
          <w:color w:val="auto"/>
          <w:sz w:val="21"/>
          <w:szCs w:val="21"/>
        </w:rPr>
        <w:t xml:space="preserve"> Technologies, mejora hasta un 4 % el rendimiento agrícola. 2004-2014: diez años de baja presión al servicio del rendimiento, de la productividad y de la preservación de los suelos. (30 de septiembre de 2014)</w:t>
      </w:r>
    </w:p>
    <w:p w14:paraId="066C8946" w14:textId="77777777" w:rsidR="00700DFB" w:rsidRPr="00B9386E" w:rsidRDefault="009F7ED2" w:rsidP="00D154CB">
      <w:pPr>
        <w:pStyle w:val="Cuerpo"/>
        <w:numPr>
          <w:ilvl w:val="0"/>
          <w:numId w:val="61"/>
        </w:numPr>
        <w:spacing w:after="240" w:line="270" w:lineRule="atLeast"/>
        <w:ind w:left="426" w:hanging="284"/>
        <w:rPr>
          <w:rFonts w:ascii="Arial" w:eastAsia="Arial" w:hAnsi="Arial" w:cs="Arial"/>
          <w:b/>
          <w:bCs/>
          <w:color w:val="auto"/>
        </w:rPr>
      </w:pPr>
      <w:r w:rsidRPr="00B9386E">
        <w:rPr>
          <w:rFonts w:ascii="Arial" w:hAnsi="Arial" w:cs="Arial"/>
          <w:b/>
          <w:bCs/>
          <w:color w:val="auto"/>
          <w:sz w:val="21"/>
          <w:szCs w:val="21"/>
        </w:rPr>
        <w:t>Lanzamiento de la gama de Camión MICHELIN X</w:t>
      </w:r>
      <w:r w:rsidRPr="00B9386E">
        <w:rPr>
          <w:rFonts w:ascii="Arial" w:hAnsi="Arial" w:cs="Arial"/>
          <w:b/>
          <w:bCs/>
          <w:color w:val="auto"/>
          <w:sz w:val="21"/>
          <w:szCs w:val="21"/>
          <w:vertAlign w:val="superscript"/>
        </w:rPr>
        <w:t>®</w:t>
      </w:r>
      <w:r w:rsidRPr="00B9386E">
        <w:rPr>
          <w:rFonts w:ascii="Arial" w:hAnsi="Arial" w:cs="Arial"/>
          <w:b/>
          <w:bCs/>
          <w:color w:val="auto"/>
          <w:sz w:val="21"/>
          <w:szCs w:val="21"/>
        </w:rPr>
        <w:t xml:space="preserve"> MULTI</w:t>
      </w:r>
      <w:r w:rsidRPr="00B9386E">
        <w:rPr>
          <w:rFonts w:ascii="Arial" w:hAnsi="Arial" w:cs="Arial"/>
          <w:b/>
          <w:bCs/>
          <w:color w:val="auto"/>
          <w:sz w:val="21"/>
          <w:szCs w:val="21"/>
          <w:vertAlign w:val="superscript"/>
        </w:rPr>
        <w:t>TM</w:t>
      </w:r>
      <w:r w:rsidRPr="00B9386E">
        <w:rPr>
          <w:rFonts w:ascii="Arial" w:hAnsi="Arial" w:cs="Arial"/>
          <w:b/>
          <w:bCs/>
          <w:color w:val="auto"/>
          <w:sz w:val="21"/>
          <w:szCs w:val="21"/>
        </w:rPr>
        <w:t xml:space="preserve"> en Asia.</w:t>
      </w:r>
      <w:r w:rsidRPr="00B9386E">
        <w:rPr>
          <w:rFonts w:ascii="Arial" w:eastAsia="Arial" w:hAnsi="Arial" w:cs="Arial"/>
          <w:b/>
          <w:bCs/>
          <w:color w:val="auto"/>
          <w:sz w:val="21"/>
          <w:szCs w:val="21"/>
        </w:rPr>
        <w:br/>
      </w:r>
      <w:r w:rsidRPr="00B9386E">
        <w:rPr>
          <w:rFonts w:ascii="Arial" w:hAnsi="Arial" w:cs="Arial"/>
          <w:b/>
          <w:bCs/>
          <w:color w:val="auto"/>
          <w:sz w:val="21"/>
          <w:szCs w:val="21"/>
        </w:rPr>
        <w:t>(7 de octubre de 2014)</w:t>
      </w:r>
    </w:p>
    <w:p w14:paraId="0CDAE6E3" w14:textId="09869DAF" w:rsidR="00700DFB" w:rsidRPr="00B9386E" w:rsidRDefault="009F7ED2" w:rsidP="00D154CB">
      <w:pPr>
        <w:pStyle w:val="Cuerpo"/>
        <w:numPr>
          <w:ilvl w:val="0"/>
          <w:numId w:val="61"/>
        </w:numPr>
        <w:spacing w:after="240" w:line="270" w:lineRule="atLeast"/>
        <w:ind w:left="426" w:hanging="284"/>
        <w:rPr>
          <w:rFonts w:ascii="Arial" w:eastAsia="Arial" w:hAnsi="Arial" w:cs="Arial"/>
          <w:b/>
          <w:bCs/>
          <w:color w:val="auto"/>
        </w:rPr>
      </w:pPr>
      <w:r w:rsidRPr="00B9386E">
        <w:rPr>
          <w:rFonts w:ascii="Arial" w:hAnsi="Arial" w:cs="Arial"/>
          <w:b/>
          <w:bCs/>
          <w:color w:val="auto"/>
          <w:sz w:val="21"/>
          <w:szCs w:val="21"/>
        </w:rPr>
        <w:t>Michelin clasificado “</w:t>
      </w:r>
      <w:proofErr w:type="spellStart"/>
      <w:r w:rsidRPr="00B9386E">
        <w:rPr>
          <w:rFonts w:ascii="Arial" w:hAnsi="Arial" w:cs="Arial"/>
          <w:b/>
          <w:bCs/>
          <w:color w:val="auto"/>
          <w:sz w:val="21"/>
          <w:szCs w:val="21"/>
        </w:rPr>
        <w:t>Industry</w:t>
      </w:r>
      <w:proofErr w:type="spellEnd"/>
      <w:r w:rsidRPr="00B9386E">
        <w:rPr>
          <w:rFonts w:ascii="Arial" w:hAnsi="Arial" w:cs="Arial"/>
          <w:b/>
          <w:bCs/>
          <w:color w:val="auto"/>
          <w:sz w:val="21"/>
          <w:szCs w:val="21"/>
        </w:rPr>
        <w:t xml:space="preserve"> </w:t>
      </w:r>
      <w:proofErr w:type="spellStart"/>
      <w:r w:rsidRPr="00B9386E">
        <w:rPr>
          <w:rFonts w:ascii="Arial" w:hAnsi="Arial" w:cs="Arial"/>
          <w:b/>
          <w:bCs/>
          <w:color w:val="auto"/>
          <w:sz w:val="21"/>
          <w:szCs w:val="21"/>
        </w:rPr>
        <w:t>best</w:t>
      </w:r>
      <w:proofErr w:type="spellEnd"/>
      <w:r w:rsidRPr="00B9386E">
        <w:rPr>
          <w:rFonts w:ascii="Arial" w:hAnsi="Arial" w:cs="Arial"/>
          <w:b/>
          <w:bCs/>
          <w:color w:val="auto"/>
          <w:sz w:val="21"/>
          <w:szCs w:val="21"/>
        </w:rPr>
        <w:t xml:space="preserve">” en la categoría de gestión de la innovación y en otras cinco relacionadas con el desarrollo sostenible. </w:t>
      </w:r>
      <w:r w:rsidR="007757DD">
        <w:rPr>
          <w:rFonts w:ascii="Arial" w:hAnsi="Arial" w:cs="Arial"/>
          <w:b/>
          <w:bCs/>
          <w:color w:val="auto"/>
          <w:sz w:val="21"/>
          <w:szCs w:val="21"/>
        </w:rPr>
        <w:br/>
      </w:r>
      <w:r w:rsidRPr="00B9386E">
        <w:rPr>
          <w:rFonts w:ascii="Arial" w:hAnsi="Arial" w:cs="Arial"/>
          <w:b/>
          <w:bCs/>
          <w:color w:val="auto"/>
          <w:sz w:val="21"/>
          <w:szCs w:val="21"/>
        </w:rPr>
        <w:t>(23 de octubre de 2014)</w:t>
      </w:r>
    </w:p>
    <w:p w14:paraId="44D840E2" w14:textId="0C5BE5CB" w:rsidR="00700DFB" w:rsidRPr="00B9386E" w:rsidRDefault="009F7ED2" w:rsidP="00D154CB">
      <w:pPr>
        <w:pStyle w:val="Cuerpo"/>
        <w:numPr>
          <w:ilvl w:val="0"/>
          <w:numId w:val="61"/>
        </w:numPr>
        <w:spacing w:after="240" w:line="270" w:lineRule="atLeast"/>
        <w:ind w:left="426" w:hanging="284"/>
        <w:rPr>
          <w:rFonts w:ascii="Arial" w:eastAsia="Arial" w:hAnsi="Arial" w:cs="Arial"/>
          <w:b/>
          <w:bCs/>
          <w:color w:val="auto"/>
        </w:rPr>
      </w:pPr>
      <w:r w:rsidRPr="00B9386E">
        <w:rPr>
          <w:rFonts w:ascii="Arial" w:hAnsi="Arial" w:cs="Arial"/>
          <w:b/>
          <w:bCs/>
          <w:color w:val="auto"/>
          <w:sz w:val="21"/>
          <w:szCs w:val="21"/>
        </w:rPr>
        <w:t xml:space="preserve">Renovación del mandato de Jean-Dominique </w:t>
      </w:r>
      <w:proofErr w:type="spellStart"/>
      <w:r w:rsidRPr="00B9386E">
        <w:rPr>
          <w:rFonts w:ascii="Arial" w:hAnsi="Arial" w:cs="Arial"/>
          <w:b/>
          <w:bCs/>
          <w:color w:val="auto"/>
          <w:sz w:val="21"/>
          <w:szCs w:val="21"/>
        </w:rPr>
        <w:t>Senard</w:t>
      </w:r>
      <w:proofErr w:type="spellEnd"/>
      <w:r w:rsidRPr="00B9386E">
        <w:rPr>
          <w:rFonts w:ascii="Arial" w:hAnsi="Arial" w:cs="Arial"/>
          <w:b/>
          <w:bCs/>
          <w:color w:val="auto"/>
          <w:sz w:val="21"/>
          <w:szCs w:val="21"/>
        </w:rPr>
        <w:t xml:space="preserve">, Presidente del Grupo. </w:t>
      </w:r>
      <w:r w:rsidR="007757DD">
        <w:rPr>
          <w:rFonts w:ascii="Arial" w:hAnsi="Arial" w:cs="Arial"/>
          <w:b/>
          <w:bCs/>
          <w:color w:val="auto"/>
          <w:sz w:val="21"/>
          <w:szCs w:val="21"/>
        </w:rPr>
        <w:br/>
      </w:r>
      <w:r w:rsidRPr="00B9386E">
        <w:rPr>
          <w:rFonts w:ascii="Arial" w:hAnsi="Arial" w:cs="Arial"/>
          <w:b/>
          <w:bCs/>
          <w:color w:val="auto"/>
          <w:sz w:val="21"/>
          <w:szCs w:val="21"/>
        </w:rPr>
        <w:t>(3 de noviembre de 2014).</w:t>
      </w:r>
    </w:p>
    <w:p w14:paraId="373DF8F4" w14:textId="77777777" w:rsidR="00700DFB" w:rsidRPr="00B9386E" w:rsidRDefault="009F7ED2" w:rsidP="00D154CB">
      <w:pPr>
        <w:pStyle w:val="Cuerpo"/>
        <w:numPr>
          <w:ilvl w:val="0"/>
          <w:numId w:val="61"/>
        </w:numPr>
        <w:spacing w:after="240" w:line="270" w:lineRule="atLeast"/>
        <w:ind w:left="426" w:hanging="284"/>
        <w:rPr>
          <w:rFonts w:ascii="Arial" w:eastAsia="Arial" w:hAnsi="Arial" w:cs="Arial"/>
          <w:b/>
          <w:bCs/>
          <w:color w:val="auto"/>
        </w:rPr>
      </w:pPr>
      <w:r w:rsidRPr="00B9386E">
        <w:rPr>
          <w:rFonts w:ascii="Arial" w:hAnsi="Arial" w:cs="Arial"/>
          <w:b/>
          <w:bCs/>
          <w:color w:val="auto"/>
          <w:sz w:val="21"/>
          <w:szCs w:val="21"/>
        </w:rPr>
        <w:lastRenderedPageBreak/>
        <w:t xml:space="preserve">Michelin </w:t>
      </w:r>
      <w:proofErr w:type="spellStart"/>
      <w:r w:rsidRPr="00B9386E">
        <w:rPr>
          <w:rFonts w:ascii="Arial" w:hAnsi="Arial" w:cs="Arial"/>
          <w:b/>
          <w:bCs/>
          <w:color w:val="auto"/>
          <w:sz w:val="21"/>
          <w:szCs w:val="21"/>
        </w:rPr>
        <w:t>Challenge</w:t>
      </w:r>
      <w:proofErr w:type="spellEnd"/>
      <w:r w:rsidRPr="00B9386E">
        <w:rPr>
          <w:rFonts w:ascii="Arial" w:hAnsi="Arial" w:cs="Arial"/>
          <w:b/>
          <w:bCs/>
          <w:color w:val="auto"/>
          <w:sz w:val="21"/>
          <w:szCs w:val="21"/>
        </w:rPr>
        <w:t xml:space="preserve"> </w:t>
      </w:r>
      <w:proofErr w:type="spellStart"/>
      <w:r w:rsidRPr="00B9386E">
        <w:rPr>
          <w:rFonts w:ascii="Arial" w:hAnsi="Arial" w:cs="Arial"/>
          <w:b/>
          <w:bCs/>
          <w:color w:val="auto"/>
          <w:sz w:val="21"/>
          <w:szCs w:val="21"/>
        </w:rPr>
        <w:t>Bibendum</w:t>
      </w:r>
      <w:proofErr w:type="spellEnd"/>
      <w:r w:rsidRPr="00B9386E">
        <w:rPr>
          <w:rFonts w:ascii="Arial" w:hAnsi="Arial" w:cs="Arial"/>
          <w:b/>
          <w:bCs/>
          <w:color w:val="auto"/>
          <w:sz w:val="21"/>
          <w:szCs w:val="21"/>
        </w:rPr>
        <w:t xml:space="preserve"> "</w:t>
      </w:r>
      <w:proofErr w:type="spellStart"/>
      <w:r w:rsidRPr="00B9386E">
        <w:rPr>
          <w:rFonts w:ascii="Arial" w:hAnsi="Arial" w:cs="Arial"/>
          <w:b/>
          <w:bCs/>
          <w:color w:val="auto"/>
          <w:sz w:val="21"/>
          <w:szCs w:val="21"/>
        </w:rPr>
        <w:t>Think</w:t>
      </w:r>
      <w:proofErr w:type="spellEnd"/>
      <w:r w:rsidRPr="00B9386E">
        <w:rPr>
          <w:rFonts w:ascii="Arial" w:hAnsi="Arial" w:cs="Arial"/>
          <w:b/>
          <w:bCs/>
          <w:color w:val="auto"/>
          <w:sz w:val="21"/>
          <w:szCs w:val="21"/>
        </w:rPr>
        <w:t xml:space="preserve"> and </w:t>
      </w:r>
      <w:proofErr w:type="spellStart"/>
      <w:r w:rsidRPr="00B9386E">
        <w:rPr>
          <w:rFonts w:ascii="Arial" w:hAnsi="Arial" w:cs="Arial"/>
          <w:b/>
          <w:bCs/>
          <w:color w:val="auto"/>
          <w:sz w:val="21"/>
          <w:szCs w:val="21"/>
        </w:rPr>
        <w:t>Action</w:t>
      </w:r>
      <w:proofErr w:type="spellEnd"/>
      <w:r w:rsidRPr="00B9386E">
        <w:rPr>
          <w:rFonts w:ascii="Arial" w:hAnsi="Arial" w:cs="Arial"/>
          <w:b/>
          <w:bCs/>
          <w:color w:val="auto"/>
          <w:sz w:val="21"/>
          <w:szCs w:val="21"/>
        </w:rPr>
        <w:t xml:space="preserve"> </w:t>
      </w:r>
      <w:proofErr w:type="spellStart"/>
      <w:r w:rsidRPr="00B9386E">
        <w:rPr>
          <w:rFonts w:ascii="Arial" w:hAnsi="Arial" w:cs="Arial"/>
          <w:b/>
          <w:bCs/>
          <w:color w:val="auto"/>
          <w:sz w:val="21"/>
          <w:szCs w:val="21"/>
        </w:rPr>
        <w:t>Tank</w:t>
      </w:r>
      <w:proofErr w:type="spellEnd"/>
      <w:r w:rsidRPr="00B9386E">
        <w:rPr>
          <w:rFonts w:ascii="Arial" w:hAnsi="Arial" w:cs="Arial"/>
          <w:b/>
          <w:bCs/>
          <w:color w:val="auto"/>
          <w:sz w:val="21"/>
          <w:szCs w:val="21"/>
        </w:rPr>
        <w:t xml:space="preserve">" dedicado a la movilidad del futuro. (11 - 14 de noviembre de 2014) </w:t>
      </w:r>
    </w:p>
    <w:p w14:paraId="5F847883" w14:textId="3C8B5E75" w:rsidR="00700DFB" w:rsidRPr="00B9386E" w:rsidRDefault="009F7ED2" w:rsidP="00D154CB">
      <w:pPr>
        <w:pStyle w:val="Cuerpo"/>
        <w:numPr>
          <w:ilvl w:val="0"/>
          <w:numId w:val="61"/>
        </w:numPr>
        <w:spacing w:after="240" w:line="270" w:lineRule="atLeast"/>
        <w:ind w:left="426" w:hanging="284"/>
        <w:rPr>
          <w:rFonts w:ascii="Arial" w:eastAsia="Arial" w:hAnsi="Arial" w:cs="Arial"/>
          <w:b/>
          <w:bCs/>
          <w:color w:val="auto"/>
        </w:rPr>
      </w:pPr>
      <w:r w:rsidRPr="00B9386E">
        <w:rPr>
          <w:rFonts w:ascii="Arial" w:hAnsi="Arial" w:cs="Arial"/>
          <w:b/>
          <w:bCs/>
          <w:color w:val="auto"/>
          <w:sz w:val="21"/>
          <w:szCs w:val="21"/>
        </w:rPr>
        <w:t>Michelin inaugura la primera fábrica del mundo para la producción de un neumático revolucionario sin aire, el MICHELIN</w:t>
      </w:r>
      <w:r w:rsidRPr="00B9386E">
        <w:rPr>
          <w:rFonts w:ascii="Arial" w:hAnsi="Arial" w:cs="Arial"/>
          <w:b/>
          <w:bCs/>
          <w:color w:val="auto"/>
          <w:sz w:val="21"/>
          <w:szCs w:val="21"/>
          <w:vertAlign w:val="superscript"/>
        </w:rPr>
        <w:t xml:space="preserve">® </w:t>
      </w:r>
      <w:r w:rsidRPr="00B9386E">
        <w:rPr>
          <w:rFonts w:ascii="Arial" w:hAnsi="Arial" w:cs="Arial"/>
          <w:b/>
          <w:bCs/>
          <w:color w:val="auto"/>
          <w:sz w:val="21"/>
          <w:szCs w:val="21"/>
        </w:rPr>
        <w:t>TWEEL</w:t>
      </w:r>
      <w:r w:rsidRPr="00B9386E">
        <w:rPr>
          <w:rFonts w:ascii="Arial" w:hAnsi="Arial" w:cs="Arial"/>
          <w:b/>
          <w:bCs/>
          <w:color w:val="auto"/>
          <w:sz w:val="21"/>
          <w:szCs w:val="21"/>
          <w:vertAlign w:val="superscript"/>
        </w:rPr>
        <w:t>®</w:t>
      </w:r>
      <w:r w:rsidRPr="00B9386E">
        <w:rPr>
          <w:rFonts w:ascii="Arial" w:hAnsi="Arial" w:cs="Arial"/>
          <w:b/>
          <w:bCs/>
          <w:color w:val="auto"/>
          <w:sz w:val="21"/>
          <w:szCs w:val="21"/>
        </w:rPr>
        <w:t xml:space="preserve">. </w:t>
      </w:r>
      <w:r w:rsidR="007757DD">
        <w:rPr>
          <w:rFonts w:ascii="Arial" w:hAnsi="Arial" w:cs="Arial"/>
          <w:b/>
          <w:bCs/>
          <w:color w:val="auto"/>
          <w:sz w:val="21"/>
          <w:szCs w:val="21"/>
        </w:rPr>
        <w:br/>
      </w:r>
      <w:r w:rsidRPr="00B9386E">
        <w:rPr>
          <w:rFonts w:ascii="Arial" w:hAnsi="Arial" w:cs="Arial"/>
          <w:b/>
          <w:bCs/>
          <w:color w:val="auto"/>
          <w:sz w:val="21"/>
          <w:szCs w:val="21"/>
        </w:rPr>
        <w:t xml:space="preserve">(20 de noviembre de 2014) </w:t>
      </w:r>
    </w:p>
    <w:p w14:paraId="78102B8D" w14:textId="77777777" w:rsidR="00700DFB" w:rsidRPr="001829E7" w:rsidRDefault="00700DFB">
      <w:pPr>
        <w:pStyle w:val="Cuerpo"/>
        <w:tabs>
          <w:tab w:val="left" w:pos="284"/>
        </w:tabs>
        <w:jc w:val="both"/>
        <w:rPr>
          <w:rFonts w:ascii="Verdana" w:eastAsia="Verdana" w:hAnsi="Verdana" w:cs="Verdana"/>
          <w:b/>
          <w:bCs/>
        </w:rPr>
      </w:pPr>
    </w:p>
    <w:p w14:paraId="1F63CAFE" w14:textId="77777777" w:rsidR="00700DFB" w:rsidRPr="001829E7" w:rsidRDefault="00700DFB">
      <w:pPr>
        <w:pStyle w:val="Cuerpo"/>
        <w:keepNext/>
        <w:tabs>
          <w:tab w:val="left" w:pos="284"/>
        </w:tabs>
        <w:jc w:val="both"/>
        <w:rPr>
          <w:rFonts w:ascii="Verdana" w:eastAsia="Verdana" w:hAnsi="Verdana" w:cs="Verdana"/>
        </w:rPr>
      </w:pPr>
    </w:p>
    <w:p w14:paraId="526F3509" w14:textId="77777777" w:rsidR="00700DFB" w:rsidRPr="001829E7" w:rsidRDefault="009F7ED2">
      <w:pPr>
        <w:pStyle w:val="Cuerpo"/>
        <w:keepNext/>
        <w:pBdr>
          <w:top w:val="single" w:sz="4" w:space="0" w:color="000000"/>
          <w:left w:val="single" w:sz="4" w:space="0" w:color="000000"/>
          <w:bottom w:val="single" w:sz="4" w:space="0" w:color="000000"/>
          <w:right w:val="single" w:sz="4" w:space="0" w:color="000000"/>
        </w:pBdr>
        <w:jc w:val="center"/>
        <w:rPr>
          <w:rFonts w:ascii="Arial" w:eastAsia="Arial" w:hAnsi="Arial" w:cs="Arial"/>
          <w:sz w:val="21"/>
          <w:szCs w:val="21"/>
          <w:u w:val="single"/>
        </w:rPr>
      </w:pPr>
      <w:r w:rsidRPr="001829E7">
        <w:rPr>
          <w:rFonts w:ascii="Arial"/>
          <w:sz w:val="21"/>
          <w:szCs w:val="21"/>
        </w:rPr>
        <w:t>La lista completa de los hechos destacados de 2014 est</w:t>
      </w:r>
      <w:r w:rsidRPr="001829E7">
        <w:rPr>
          <w:rFonts w:hAnsi="Arial Unicode MS"/>
          <w:sz w:val="21"/>
          <w:szCs w:val="21"/>
        </w:rPr>
        <w:t>á</w:t>
      </w:r>
      <w:r w:rsidRPr="001829E7">
        <w:rPr>
          <w:rFonts w:hAnsi="Arial Unicode MS"/>
          <w:sz w:val="21"/>
          <w:szCs w:val="21"/>
        </w:rPr>
        <w:t xml:space="preserve"> </w:t>
      </w:r>
      <w:r w:rsidRPr="001829E7">
        <w:rPr>
          <w:rFonts w:ascii="Arial"/>
          <w:sz w:val="21"/>
          <w:szCs w:val="21"/>
        </w:rPr>
        <w:t xml:space="preserve">disponible en la web del Grupo: </w:t>
      </w:r>
      <w:hyperlink r:id="rId10" w:history="1">
        <w:r w:rsidRPr="001829E7">
          <w:rPr>
            <w:rStyle w:val="Hyperlink0"/>
          </w:rPr>
          <w:t>http://www.michelin.com/corporate/finance</w:t>
        </w:r>
      </w:hyperlink>
    </w:p>
    <w:p w14:paraId="0F526E0B" w14:textId="77777777" w:rsidR="00700DFB" w:rsidRPr="001829E7" w:rsidRDefault="00700DFB">
      <w:pPr>
        <w:pStyle w:val="Cuerpo"/>
        <w:tabs>
          <w:tab w:val="left" w:pos="360"/>
        </w:tabs>
        <w:jc w:val="both"/>
        <w:rPr>
          <w:rFonts w:ascii="Utopia" w:eastAsia="Utopia" w:hAnsi="Utopia" w:cs="Utopia"/>
          <w:i/>
          <w:iCs/>
        </w:rPr>
      </w:pPr>
    </w:p>
    <w:p w14:paraId="68545251" w14:textId="77777777" w:rsidR="00700DFB" w:rsidRPr="001829E7" w:rsidRDefault="00700DFB">
      <w:pPr>
        <w:pStyle w:val="Cuerpo"/>
        <w:tabs>
          <w:tab w:val="left" w:pos="360"/>
        </w:tabs>
        <w:jc w:val="both"/>
        <w:rPr>
          <w:rFonts w:ascii="Arial" w:eastAsia="Arial" w:hAnsi="Arial" w:cs="Arial"/>
          <w:b/>
          <w:bCs/>
          <w:smallCaps/>
        </w:rPr>
      </w:pPr>
    </w:p>
    <w:p w14:paraId="05E6E1B8" w14:textId="77777777" w:rsidR="00700DFB" w:rsidRPr="001829E7" w:rsidRDefault="00700DFB">
      <w:pPr>
        <w:pStyle w:val="Cuerpo"/>
        <w:tabs>
          <w:tab w:val="left" w:pos="360"/>
        </w:tabs>
        <w:jc w:val="both"/>
        <w:rPr>
          <w:rFonts w:ascii="Arial" w:eastAsia="Arial" w:hAnsi="Arial" w:cs="Arial"/>
          <w:sz w:val="21"/>
          <w:szCs w:val="21"/>
        </w:rPr>
      </w:pPr>
    </w:p>
    <w:p w14:paraId="056DFFBA" w14:textId="77777777" w:rsidR="00700DFB" w:rsidRPr="001829E7" w:rsidRDefault="00700DFB">
      <w:pPr>
        <w:pStyle w:val="Cuerpo"/>
        <w:keepNext/>
        <w:tabs>
          <w:tab w:val="left" w:pos="360"/>
        </w:tabs>
        <w:rPr>
          <w:rFonts w:ascii="Verdana" w:eastAsia="Verdana" w:hAnsi="Verdana" w:cs="Verdana"/>
          <w:b/>
          <w:bCs/>
          <w:sz w:val="16"/>
          <w:szCs w:val="16"/>
        </w:rPr>
      </w:pPr>
    </w:p>
    <w:p w14:paraId="67F838AB" w14:textId="77777777" w:rsidR="00700DFB" w:rsidRPr="001829E7" w:rsidRDefault="009F7ED2">
      <w:pPr>
        <w:pStyle w:val="Cuerpo"/>
        <w:keepNext/>
        <w:tabs>
          <w:tab w:val="left" w:pos="360"/>
        </w:tabs>
        <w:jc w:val="center"/>
        <w:rPr>
          <w:rFonts w:ascii="Arial" w:eastAsia="Arial" w:hAnsi="Arial" w:cs="Arial"/>
          <w:b/>
          <w:bCs/>
          <w:sz w:val="21"/>
          <w:szCs w:val="21"/>
        </w:rPr>
      </w:pPr>
      <w:r w:rsidRPr="001829E7">
        <w:rPr>
          <w:rFonts w:ascii="Arial"/>
          <w:b/>
          <w:bCs/>
          <w:sz w:val="21"/>
          <w:szCs w:val="21"/>
        </w:rPr>
        <w:t>ADVERTENCIA</w:t>
      </w:r>
    </w:p>
    <w:p w14:paraId="38A2D781" w14:textId="77777777" w:rsidR="00700DFB" w:rsidRPr="001829E7" w:rsidRDefault="00700DFB">
      <w:pPr>
        <w:pStyle w:val="Cuerpo"/>
        <w:keepNext/>
        <w:tabs>
          <w:tab w:val="left" w:pos="360"/>
        </w:tabs>
        <w:jc w:val="both"/>
        <w:rPr>
          <w:rFonts w:ascii="Verdana" w:eastAsia="Verdana" w:hAnsi="Verdana" w:cs="Verdana"/>
          <w:sz w:val="16"/>
          <w:szCs w:val="16"/>
        </w:rPr>
      </w:pPr>
    </w:p>
    <w:p w14:paraId="5A325278" w14:textId="77777777" w:rsidR="00700DFB" w:rsidRPr="007757DD" w:rsidRDefault="009F7ED2">
      <w:pPr>
        <w:pStyle w:val="Cuerpo"/>
        <w:keepNext/>
        <w:tabs>
          <w:tab w:val="left" w:pos="360"/>
        </w:tabs>
        <w:jc w:val="both"/>
        <w:rPr>
          <w:rFonts w:ascii="Arial" w:eastAsia="Verdana" w:hAnsi="Arial" w:cs="Arial"/>
        </w:rPr>
      </w:pPr>
      <w:r w:rsidRPr="007757DD">
        <w:rPr>
          <w:rFonts w:ascii="Arial" w:hAnsi="Arial" w:cs="Arial"/>
          <w:b/>
          <w:bCs/>
          <w:i/>
          <w:iCs/>
          <w:sz w:val="21"/>
          <w:szCs w:val="21"/>
        </w:rPr>
        <w:t xml:space="preserve">Este comunicado de prensa no constituye una oferta de venta o la solicitud de oferta de compra de acciones Michelin. Si desea obtener información más detallada acerca de Michelin, por favor consulte los documentos públicos depositados en </w:t>
      </w:r>
      <w:proofErr w:type="spellStart"/>
      <w:r w:rsidRPr="007757DD">
        <w:rPr>
          <w:rFonts w:ascii="Arial" w:hAnsi="Arial" w:cs="Arial"/>
          <w:b/>
          <w:bCs/>
          <w:i/>
          <w:iCs/>
          <w:sz w:val="21"/>
          <w:szCs w:val="21"/>
        </w:rPr>
        <w:t>l’Autorité</w:t>
      </w:r>
      <w:proofErr w:type="spellEnd"/>
      <w:r w:rsidRPr="007757DD">
        <w:rPr>
          <w:rFonts w:ascii="Arial" w:hAnsi="Arial" w:cs="Arial"/>
          <w:b/>
          <w:bCs/>
          <w:i/>
          <w:iCs/>
          <w:sz w:val="21"/>
          <w:szCs w:val="21"/>
        </w:rPr>
        <w:t xml:space="preserve"> des </w:t>
      </w:r>
      <w:proofErr w:type="spellStart"/>
      <w:r w:rsidRPr="007757DD">
        <w:rPr>
          <w:rFonts w:ascii="Arial" w:hAnsi="Arial" w:cs="Arial"/>
          <w:b/>
          <w:bCs/>
          <w:i/>
          <w:iCs/>
          <w:sz w:val="21"/>
          <w:szCs w:val="21"/>
        </w:rPr>
        <w:t>marchés</w:t>
      </w:r>
      <w:proofErr w:type="spellEnd"/>
      <w:r w:rsidRPr="007757DD">
        <w:rPr>
          <w:rFonts w:ascii="Arial" w:hAnsi="Arial" w:cs="Arial"/>
          <w:b/>
          <w:bCs/>
          <w:i/>
          <w:iCs/>
          <w:sz w:val="21"/>
          <w:szCs w:val="21"/>
        </w:rPr>
        <w:t xml:space="preserve"> </w:t>
      </w:r>
      <w:proofErr w:type="spellStart"/>
      <w:r w:rsidRPr="007757DD">
        <w:rPr>
          <w:rFonts w:ascii="Arial" w:hAnsi="Arial" w:cs="Arial"/>
          <w:b/>
          <w:bCs/>
          <w:i/>
          <w:iCs/>
          <w:sz w:val="21"/>
          <w:szCs w:val="21"/>
        </w:rPr>
        <w:t>financiers</w:t>
      </w:r>
      <w:proofErr w:type="spellEnd"/>
      <w:r w:rsidRPr="007757DD">
        <w:rPr>
          <w:rFonts w:ascii="Arial" w:hAnsi="Arial" w:cs="Arial"/>
          <w:b/>
          <w:bCs/>
          <w:i/>
          <w:iCs/>
          <w:sz w:val="21"/>
          <w:szCs w:val="21"/>
        </w:rPr>
        <w:t xml:space="preserve">, en Francia. Igualmente puede consultarlos en nuestra página web: </w:t>
      </w:r>
      <w:hyperlink r:id="rId11" w:history="1">
        <w:r w:rsidRPr="007757DD">
          <w:rPr>
            <w:rStyle w:val="Hyperlink1"/>
          </w:rPr>
          <w:t>www.michelin.com</w:t>
        </w:r>
      </w:hyperlink>
      <w:r w:rsidRPr="007757DD">
        <w:rPr>
          <w:rFonts w:ascii="Arial" w:hAnsi="Arial" w:cs="Arial"/>
          <w:b/>
          <w:bCs/>
          <w:i/>
          <w:iCs/>
          <w:sz w:val="21"/>
          <w:szCs w:val="21"/>
        </w:rPr>
        <w:t>. Este comunicado puede contener algunas declaraciones de carácter previsional. Si bien la compañía estima que sus declaraciones están basadas en hipótesis razonables a fecha de publicación del documento, éstas están inherentemente sujetas a riesgos e incertidumbres que pueden hacer que haya alguna diferencia entre los resultados reales y aquellos indicados o inducidos en estas declaraciones.</w:t>
      </w:r>
    </w:p>
    <w:p w14:paraId="5792A0EE" w14:textId="77777777" w:rsidR="00700DFB" w:rsidRPr="001829E7" w:rsidRDefault="00700DFB">
      <w:pPr>
        <w:pStyle w:val="titulocapitulodossier"/>
        <w:rPr>
          <w:rFonts w:ascii="Arial" w:eastAsia="Arial" w:hAnsi="Arial" w:cs="Arial"/>
          <w:b w:val="0"/>
          <w:bCs w:val="0"/>
          <w:color w:val="000000"/>
          <w:sz w:val="21"/>
          <w:szCs w:val="21"/>
          <w:u w:color="000000"/>
        </w:rPr>
      </w:pPr>
    </w:p>
    <w:p w14:paraId="2F34B469" w14:textId="77777777" w:rsidR="00700DFB" w:rsidRPr="001829E7" w:rsidRDefault="00700DFB">
      <w:pPr>
        <w:pStyle w:val="titulocapitulodossier"/>
        <w:rPr>
          <w:rFonts w:ascii="Arial" w:eastAsia="Arial" w:hAnsi="Arial" w:cs="Arial"/>
          <w:b w:val="0"/>
          <w:bCs w:val="0"/>
          <w:color w:val="000000"/>
          <w:sz w:val="21"/>
          <w:szCs w:val="21"/>
          <w:u w:color="000000"/>
        </w:rPr>
      </w:pPr>
    </w:p>
    <w:p w14:paraId="13F9F3D8" w14:textId="77777777" w:rsidR="00700DFB" w:rsidRPr="001829E7" w:rsidRDefault="009F7ED2">
      <w:pPr>
        <w:pStyle w:val="Cuerpo"/>
        <w:jc w:val="both"/>
        <w:rPr>
          <w:i/>
          <w:iCs/>
        </w:rPr>
      </w:pPr>
      <w:r w:rsidRPr="001829E7">
        <w:rPr>
          <w:i/>
          <w:iCs/>
        </w:rPr>
        <w:t xml:space="preserve">La misión de </w:t>
      </w:r>
      <w:r w:rsidRPr="001829E7">
        <w:rPr>
          <w:b/>
          <w:bCs/>
          <w:i/>
          <w:iCs/>
        </w:rPr>
        <w:t>Michelin,</w:t>
      </w:r>
      <w:r w:rsidRPr="001829E7">
        <w:rPr>
          <w:i/>
          <w:iCs/>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111.200 personas en todo el mundo y dispone de 67 centros de producción implantados en 17 países diferentes. El Grupo posee un Centro de Tecnología encargado de la investigación y desarrollo con implantación en Europa, América del Norte y Asia. (www.michelin.es).</w:t>
      </w:r>
    </w:p>
    <w:p w14:paraId="770C54D2" w14:textId="77777777" w:rsidR="00700DFB" w:rsidRPr="001829E7" w:rsidRDefault="00700DFB">
      <w:pPr>
        <w:pStyle w:val="Cuerpo"/>
        <w:jc w:val="both"/>
        <w:rPr>
          <w:i/>
          <w:iCs/>
        </w:rPr>
      </w:pPr>
    </w:p>
    <w:p w14:paraId="2F1EF4B3" w14:textId="77777777" w:rsidR="00700DFB" w:rsidRPr="001829E7" w:rsidRDefault="00700DFB">
      <w:pPr>
        <w:pStyle w:val="Cuerpo"/>
        <w:jc w:val="both"/>
        <w:rPr>
          <w:i/>
          <w:iCs/>
        </w:rPr>
      </w:pPr>
    </w:p>
    <w:p w14:paraId="519E4CF8" w14:textId="77777777" w:rsidR="00700DFB" w:rsidRPr="001829E7" w:rsidRDefault="00700DFB">
      <w:pPr>
        <w:pStyle w:val="Piedepgina"/>
        <w:tabs>
          <w:tab w:val="clear" w:pos="8504"/>
          <w:tab w:val="right" w:pos="8478"/>
        </w:tabs>
        <w:outlineLvl w:val="0"/>
        <w:rPr>
          <w:rFonts w:ascii="Arial" w:eastAsia="Arial" w:hAnsi="Arial" w:cs="Arial"/>
          <w:b/>
          <w:bCs/>
          <w:color w:val="808080"/>
          <w:sz w:val="18"/>
          <w:szCs w:val="18"/>
          <w:u w:color="808080"/>
        </w:rPr>
      </w:pPr>
    </w:p>
    <w:p w14:paraId="40FBAD0C" w14:textId="77777777" w:rsidR="00700DFB" w:rsidRPr="001829E7" w:rsidRDefault="00700DFB">
      <w:pPr>
        <w:pStyle w:val="Piedepgina"/>
        <w:tabs>
          <w:tab w:val="clear" w:pos="8504"/>
          <w:tab w:val="right" w:pos="8478"/>
        </w:tabs>
        <w:outlineLvl w:val="0"/>
        <w:rPr>
          <w:rFonts w:ascii="Arial" w:eastAsia="Arial" w:hAnsi="Arial" w:cs="Arial"/>
          <w:b/>
          <w:bCs/>
          <w:color w:val="808080"/>
          <w:sz w:val="18"/>
          <w:szCs w:val="18"/>
          <w:u w:color="808080"/>
        </w:rPr>
      </w:pPr>
    </w:p>
    <w:p w14:paraId="122A6EDE" w14:textId="77777777" w:rsidR="00700DFB" w:rsidRPr="001829E7" w:rsidRDefault="009F7ED2">
      <w:pPr>
        <w:pStyle w:val="Piedepgina"/>
        <w:tabs>
          <w:tab w:val="clear" w:pos="8504"/>
          <w:tab w:val="right" w:pos="8478"/>
        </w:tabs>
        <w:outlineLvl w:val="0"/>
        <w:rPr>
          <w:rFonts w:ascii="Arial" w:eastAsia="Arial" w:hAnsi="Arial" w:cs="Arial"/>
          <w:b/>
          <w:bCs/>
          <w:color w:val="808080"/>
          <w:sz w:val="18"/>
          <w:szCs w:val="18"/>
          <w:u w:color="808080"/>
        </w:rPr>
      </w:pPr>
      <w:r w:rsidRPr="001829E7">
        <w:rPr>
          <w:rFonts w:ascii="Arial"/>
          <w:b/>
          <w:bCs/>
          <w:color w:val="808080"/>
          <w:sz w:val="18"/>
          <w:szCs w:val="18"/>
          <w:u w:color="808080"/>
        </w:rPr>
        <w:t>DEPARTAMENTO DE COMUNICACI</w:t>
      </w:r>
      <w:r w:rsidRPr="001829E7">
        <w:rPr>
          <w:rFonts w:hAnsi="Arial Unicode MS"/>
          <w:b/>
          <w:bCs/>
          <w:color w:val="808080"/>
          <w:sz w:val="18"/>
          <w:szCs w:val="18"/>
          <w:u w:color="808080"/>
        </w:rPr>
        <w:t>Ó</w:t>
      </w:r>
      <w:r w:rsidRPr="001829E7">
        <w:rPr>
          <w:rFonts w:ascii="Arial"/>
          <w:b/>
          <w:bCs/>
          <w:color w:val="808080"/>
          <w:sz w:val="18"/>
          <w:szCs w:val="18"/>
          <w:u w:color="808080"/>
        </w:rPr>
        <w:t>N</w:t>
      </w:r>
    </w:p>
    <w:p w14:paraId="00EBF565" w14:textId="77777777" w:rsidR="00700DFB" w:rsidRPr="001829E7" w:rsidRDefault="009F7ED2">
      <w:pPr>
        <w:pStyle w:val="Piedepgina"/>
        <w:tabs>
          <w:tab w:val="clear" w:pos="8504"/>
          <w:tab w:val="right" w:pos="8478"/>
        </w:tabs>
        <w:outlineLvl w:val="0"/>
        <w:rPr>
          <w:rFonts w:ascii="Arial" w:eastAsia="Arial" w:hAnsi="Arial" w:cs="Arial"/>
          <w:color w:val="808080"/>
          <w:sz w:val="18"/>
          <w:szCs w:val="18"/>
          <w:u w:color="808080"/>
        </w:rPr>
      </w:pPr>
      <w:r w:rsidRPr="001829E7">
        <w:rPr>
          <w:rFonts w:ascii="Arial"/>
          <w:color w:val="808080"/>
          <w:sz w:val="18"/>
          <w:szCs w:val="18"/>
          <w:u w:color="808080"/>
        </w:rPr>
        <w:t>Avda. de Los Encuartes, 19</w:t>
      </w:r>
    </w:p>
    <w:p w14:paraId="7731E6C0" w14:textId="77777777" w:rsidR="00700DFB" w:rsidRPr="001829E7" w:rsidRDefault="009F7ED2">
      <w:pPr>
        <w:pStyle w:val="Piedepgina"/>
        <w:tabs>
          <w:tab w:val="clear" w:pos="8504"/>
          <w:tab w:val="right" w:pos="8478"/>
        </w:tabs>
        <w:outlineLvl w:val="0"/>
        <w:rPr>
          <w:rFonts w:ascii="Arial" w:eastAsia="Arial" w:hAnsi="Arial" w:cs="Arial"/>
          <w:color w:val="808080"/>
          <w:sz w:val="18"/>
          <w:szCs w:val="18"/>
          <w:u w:color="808080"/>
        </w:rPr>
      </w:pPr>
      <w:r w:rsidRPr="001829E7">
        <w:rPr>
          <w:rFonts w:ascii="Arial"/>
          <w:color w:val="808080"/>
          <w:sz w:val="18"/>
          <w:szCs w:val="18"/>
          <w:u w:color="808080"/>
        </w:rPr>
        <w:t xml:space="preserve">28760 Tres Cantos </w:t>
      </w:r>
      <w:r w:rsidRPr="001829E7">
        <w:rPr>
          <w:rFonts w:hAnsi="Arial Unicode MS"/>
          <w:color w:val="808080"/>
          <w:sz w:val="18"/>
          <w:szCs w:val="18"/>
          <w:u w:color="808080"/>
        </w:rPr>
        <w:t>–</w:t>
      </w:r>
      <w:r w:rsidRPr="001829E7">
        <w:rPr>
          <w:rFonts w:hAnsi="Arial Unicode MS"/>
          <w:color w:val="808080"/>
          <w:sz w:val="18"/>
          <w:szCs w:val="18"/>
          <w:u w:color="808080"/>
        </w:rPr>
        <w:t xml:space="preserve"> </w:t>
      </w:r>
      <w:r w:rsidRPr="001829E7">
        <w:rPr>
          <w:rFonts w:ascii="Arial"/>
          <w:color w:val="808080"/>
          <w:sz w:val="18"/>
          <w:szCs w:val="18"/>
          <w:u w:color="808080"/>
        </w:rPr>
        <w:t xml:space="preserve">Madrid </w:t>
      </w:r>
      <w:r w:rsidRPr="001829E7">
        <w:rPr>
          <w:rFonts w:hAnsi="Arial Unicode MS"/>
          <w:color w:val="808080"/>
          <w:sz w:val="18"/>
          <w:szCs w:val="18"/>
          <w:u w:color="808080"/>
        </w:rPr>
        <w:t>–</w:t>
      </w:r>
      <w:r w:rsidRPr="001829E7">
        <w:rPr>
          <w:rFonts w:hAnsi="Arial Unicode MS"/>
          <w:color w:val="808080"/>
          <w:sz w:val="18"/>
          <w:szCs w:val="18"/>
          <w:u w:color="808080"/>
        </w:rPr>
        <w:t xml:space="preserve"> </w:t>
      </w:r>
      <w:r w:rsidRPr="001829E7">
        <w:rPr>
          <w:rFonts w:ascii="Arial"/>
          <w:color w:val="808080"/>
          <w:sz w:val="18"/>
          <w:szCs w:val="18"/>
          <w:u w:color="808080"/>
        </w:rPr>
        <w:t>ESPA</w:t>
      </w:r>
      <w:r w:rsidRPr="001829E7">
        <w:rPr>
          <w:rFonts w:hAnsi="Arial Unicode MS"/>
          <w:color w:val="808080"/>
          <w:sz w:val="18"/>
          <w:szCs w:val="18"/>
          <w:u w:color="808080"/>
        </w:rPr>
        <w:t>Ñ</w:t>
      </w:r>
      <w:r w:rsidRPr="001829E7">
        <w:rPr>
          <w:rFonts w:ascii="Arial"/>
          <w:color w:val="808080"/>
          <w:sz w:val="18"/>
          <w:szCs w:val="18"/>
          <w:u w:color="808080"/>
        </w:rPr>
        <w:t>A</w:t>
      </w:r>
    </w:p>
    <w:p w14:paraId="506E4365" w14:textId="77777777" w:rsidR="00700DFB" w:rsidRPr="001829E7" w:rsidRDefault="009F7ED2">
      <w:pPr>
        <w:pStyle w:val="Cuerpo"/>
        <w:jc w:val="both"/>
      </w:pPr>
      <w:r w:rsidRPr="001829E7">
        <w:rPr>
          <w:rFonts w:ascii="Arial"/>
          <w:color w:val="808080"/>
          <w:sz w:val="18"/>
          <w:szCs w:val="18"/>
          <w:u w:color="808080"/>
        </w:rPr>
        <w:t xml:space="preserve">Tel: 0034 914 105 167 </w:t>
      </w:r>
      <w:r w:rsidRPr="001829E7">
        <w:rPr>
          <w:rFonts w:hAnsi="Arial Unicode MS"/>
          <w:color w:val="808080"/>
          <w:sz w:val="18"/>
          <w:szCs w:val="18"/>
          <w:u w:color="808080"/>
        </w:rPr>
        <w:t>–</w:t>
      </w:r>
      <w:r w:rsidRPr="001829E7">
        <w:rPr>
          <w:rFonts w:hAnsi="Arial Unicode MS"/>
          <w:color w:val="808080"/>
          <w:sz w:val="18"/>
          <w:szCs w:val="18"/>
          <w:u w:color="808080"/>
        </w:rPr>
        <w:t xml:space="preserve"> </w:t>
      </w:r>
      <w:r w:rsidRPr="001829E7">
        <w:rPr>
          <w:rFonts w:ascii="Arial"/>
          <w:color w:val="808080"/>
          <w:sz w:val="18"/>
          <w:szCs w:val="18"/>
          <w:u w:color="808080"/>
        </w:rPr>
        <w:t>Fax: 0034 914 105 293</w:t>
      </w:r>
    </w:p>
    <w:sectPr w:rsidR="00700DFB" w:rsidRPr="001829E7" w:rsidSect="00AC69EC">
      <w:type w:val="continuous"/>
      <w:pgSz w:w="11900" w:h="16840"/>
      <w:pgMar w:top="1417" w:right="1701" w:bottom="1417" w:left="1701" w:header="708" w:footer="39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8AA65" w14:textId="77777777" w:rsidR="00C76547" w:rsidRDefault="00C76547">
      <w:r>
        <w:separator/>
      </w:r>
    </w:p>
  </w:endnote>
  <w:endnote w:type="continuationSeparator" w:id="0">
    <w:p w14:paraId="4AD8AC34" w14:textId="77777777" w:rsidR="00C76547" w:rsidRDefault="00C7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Utopia">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0C950" w14:textId="77777777" w:rsidR="00C76547" w:rsidRDefault="00C76547">
    <w:pPr>
      <w:pStyle w:val="Piedepgina"/>
      <w:tabs>
        <w:tab w:val="clear" w:pos="8504"/>
        <w:tab w:val="right" w:pos="8478"/>
      </w:tabs>
    </w:pPr>
    <w:r>
      <w:fldChar w:fldCharType="begin"/>
    </w:r>
    <w:r>
      <w:instrText xml:space="preserve"> PAGE </w:instrText>
    </w:r>
    <w:r>
      <w:fldChar w:fldCharType="separate"/>
    </w:r>
    <w:r w:rsidR="00826388">
      <w:rPr>
        <w:noProof/>
      </w:rPr>
      <w:t>10</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C516F" w14:textId="77777777" w:rsidR="00C76547" w:rsidRDefault="00C76547">
      <w:r>
        <w:separator/>
      </w:r>
    </w:p>
  </w:footnote>
  <w:footnote w:type="continuationSeparator" w:id="0">
    <w:p w14:paraId="3981F5B8" w14:textId="77777777" w:rsidR="00C76547" w:rsidRDefault="00C76547">
      <w:r>
        <w:continuationSeparator/>
      </w:r>
    </w:p>
  </w:footnote>
  <w:footnote w:id="1">
    <w:p w14:paraId="7809FF04" w14:textId="5949F8BE" w:rsidR="00C76547" w:rsidRDefault="00C76547" w:rsidP="009B7D6D">
      <w:pPr>
        <w:pStyle w:val="Textonotapie"/>
      </w:pPr>
      <w:r>
        <w:rPr>
          <w:rStyle w:val="Refdenotaalpie"/>
        </w:rPr>
        <w:t>1</w:t>
      </w:r>
      <w:r w:rsidRPr="00DA5E01">
        <w:rPr>
          <w:rStyle w:val="hps"/>
          <w:sz w:val="16"/>
          <w:lang w:val="es-ES"/>
        </w:rPr>
        <w:t xml:space="preserve">Cash </w:t>
      </w:r>
      <w:proofErr w:type="spellStart"/>
      <w:r w:rsidRPr="00DA5E01">
        <w:rPr>
          <w:rStyle w:val="hps"/>
          <w:sz w:val="16"/>
          <w:lang w:val="es-ES"/>
        </w:rPr>
        <w:t>Flow</w:t>
      </w:r>
      <w:proofErr w:type="spellEnd"/>
      <w:r w:rsidRPr="00DA5E01">
        <w:rPr>
          <w:rStyle w:val="hps"/>
          <w:sz w:val="16"/>
          <w:lang w:val="es-ES"/>
        </w:rPr>
        <w:t xml:space="preserve"> libre:</w:t>
      </w:r>
      <w:r>
        <w:t xml:space="preserve"> </w:t>
      </w:r>
      <w:r w:rsidRPr="00481429">
        <w:rPr>
          <w:rStyle w:val="hps"/>
          <w:sz w:val="16"/>
          <w:lang w:val="es-ES"/>
        </w:rPr>
        <w:t>Flujo de tesorería en</w:t>
      </w:r>
      <w:r w:rsidRPr="00481429">
        <w:rPr>
          <w:sz w:val="16"/>
          <w:lang w:val="es-ES"/>
        </w:rPr>
        <w:t xml:space="preserve"> </w:t>
      </w:r>
      <w:r w:rsidRPr="00481429">
        <w:rPr>
          <w:rStyle w:val="hps"/>
          <w:sz w:val="16"/>
          <w:lang w:val="es-ES"/>
        </w:rPr>
        <w:t>actividades operativas</w:t>
      </w:r>
      <w:r>
        <w:rPr>
          <w:rStyle w:val="hps"/>
          <w:sz w:val="16"/>
          <w:lang w:val="es-ES"/>
        </w:rPr>
        <w:t xml:space="preserve"> - f</w:t>
      </w:r>
      <w:r w:rsidRPr="00481429">
        <w:rPr>
          <w:rStyle w:val="hps"/>
          <w:sz w:val="16"/>
          <w:lang w:val="es-ES"/>
        </w:rPr>
        <w:t>lujo de tesorería en inversiones</w:t>
      </w:r>
      <w:r w:rsidRPr="00481429">
        <w:rPr>
          <w:sz w:val="16"/>
          <w:lang w:val="es-ES"/>
        </w:rPr>
        <w:t>.</w:t>
      </w:r>
    </w:p>
    <w:p w14:paraId="328931A4" w14:textId="21847576" w:rsidR="00C76547" w:rsidRDefault="00C76547" w:rsidP="009B7D6D">
      <w:r>
        <w:rPr>
          <w:rStyle w:val="Refdenotaalpie"/>
        </w:rPr>
        <w:t>2</w:t>
      </w:r>
      <w:r>
        <w:t xml:space="preserve"> </w:t>
      </w:r>
      <w:r w:rsidRPr="005A249D">
        <w:rPr>
          <w:rStyle w:val="hps"/>
          <w:sz w:val="16"/>
          <w:lang w:val="es-ES"/>
        </w:rPr>
        <w:t>Al final del periodo.</w:t>
      </w:r>
    </w:p>
    <w:p w14:paraId="0497966B" w14:textId="26100732" w:rsidR="00C76547" w:rsidRDefault="00C76547">
      <w:pPr>
        <w:pStyle w:val="Textonotapie"/>
      </w:pPr>
    </w:p>
  </w:footnote>
  <w:footnote w:id="2">
    <w:p w14:paraId="60B4ACF1" w14:textId="7E412BDE" w:rsidR="00C76547" w:rsidRDefault="00C76547">
      <w:pPr>
        <w:pStyle w:val="Textonotapie"/>
      </w:pPr>
    </w:p>
  </w:footnote>
  <w:footnote w:id="3">
    <w:p w14:paraId="3B0A7862" w14:textId="77777777" w:rsidR="00C76547" w:rsidRDefault="00C76547" w:rsidP="009A68DC">
      <w:pPr>
        <w:pStyle w:val="Textonotapie"/>
      </w:pPr>
      <w:r w:rsidRPr="00AB13DC">
        <w:rPr>
          <w:rStyle w:val="Refdenotaalpie"/>
          <w:sz w:val="32"/>
        </w:rPr>
        <w:sym w:font="Symbol" w:char="F02A"/>
      </w:r>
      <w:r w:rsidRPr="00AB13DC">
        <w:rPr>
          <w:sz w:val="32"/>
        </w:rPr>
        <w:t xml:space="preserve"> </w:t>
      </w:r>
      <w:r w:rsidRPr="00481429">
        <w:rPr>
          <w:sz w:val="16"/>
        </w:rPr>
        <w:t>Incluyendo Rusia y Turquía</w:t>
      </w:r>
      <w:r>
        <w:rPr>
          <w:sz w:val="16"/>
        </w:rPr>
        <w:t>.</w:t>
      </w:r>
    </w:p>
  </w:footnote>
  <w:footnote w:id="4">
    <w:p w14:paraId="4E466944" w14:textId="77777777" w:rsidR="00C76547" w:rsidRDefault="00C76547" w:rsidP="009A68DC">
      <w:pPr>
        <w:pStyle w:val="Textonotapie"/>
      </w:pPr>
    </w:p>
  </w:footnote>
  <w:footnote w:id="5">
    <w:p w14:paraId="406D2193" w14:textId="77777777" w:rsidR="00C76547" w:rsidRDefault="00C76547" w:rsidP="00F9716E">
      <w:pPr>
        <w:pStyle w:val="Textonotapie"/>
      </w:pPr>
      <w:r w:rsidRPr="00E559A3">
        <w:rPr>
          <w:sz w:val="30"/>
          <w:vertAlign w:val="superscript"/>
        </w:rPr>
        <w:sym w:font="Symbol" w:char="F02A"/>
      </w:r>
      <w:r w:rsidRPr="00E559A3">
        <w:rPr>
          <w:sz w:val="30"/>
        </w:rPr>
        <w:t xml:space="preserve"> </w:t>
      </w:r>
      <w:r>
        <w:rPr>
          <w:sz w:val="16"/>
        </w:rPr>
        <w:t>Mercado radial únicamente.</w:t>
      </w:r>
      <w:r>
        <w:rPr>
          <w:sz w:val="16"/>
        </w:rPr>
        <w:br/>
      </w:r>
      <w:r w:rsidRPr="00E559A3">
        <w:rPr>
          <w:sz w:val="30"/>
          <w:vertAlign w:val="superscript"/>
        </w:rPr>
        <w:sym w:font="Symbol" w:char="F02A"/>
      </w:r>
      <w:r w:rsidRPr="00E559A3">
        <w:rPr>
          <w:sz w:val="30"/>
          <w:vertAlign w:val="superscript"/>
        </w:rPr>
        <w:sym w:font="Symbol" w:char="F02A"/>
      </w:r>
      <w:r w:rsidRPr="00DF5AB1">
        <w:rPr>
          <w:sz w:val="20"/>
          <w:vertAlign w:val="superscript"/>
        </w:rPr>
        <w:t xml:space="preserve"> </w:t>
      </w:r>
      <w:r w:rsidRPr="00481429">
        <w:rPr>
          <w:sz w:val="16"/>
        </w:rPr>
        <w:t>Incluyendo Rusia y Turquía</w:t>
      </w:r>
      <w:r>
        <w:rPr>
          <w:sz w:val="16"/>
        </w:rPr>
        <w:t>.</w:t>
      </w:r>
    </w:p>
  </w:footnote>
  <w:footnote w:id="6">
    <w:p w14:paraId="76DF6679" w14:textId="77777777" w:rsidR="00C76547" w:rsidRDefault="00C76547" w:rsidP="00F9716E">
      <w:pPr>
        <w:pStyle w:val="Textonotapie"/>
      </w:pPr>
    </w:p>
  </w:footnote>
  <w:footnote w:id="7">
    <w:p w14:paraId="736B2059" w14:textId="77777777" w:rsidR="00C76547" w:rsidRDefault="00C76547" w:rsidP="00F9716E">
      <w:pPr>
        <w:pStyle w:val="Textonotapie"/>
      </w:pPr>
    </w:p>
  </w:footnote>
  <w:footnote w:id="8">
    <w:p w14:paraId="71B50C60" w14:textId="77777777" w:rsidR="00C76547" w:rsidRDefault="00C76547" w:rsidP="00F9716E">
      <w:pPr>
        <w:pStyle w:val="Textonotapie"/>
      </w:pPr>
    </w:p>
  </w:footnote>
  <w:footnote w:id="9">
    <w:p w14:paraId="0DC24940" w14:textId="77777777" w:rsidR="00C76547" w:rsidRDefault="00C76547" w:rsidP="00F9716E">
      <w:pPr>
        <w:pStyle w:val="Textonotapie"/>
      </w:pPr>
    </w:p>
  </w:footnote>
  <w:footnote w:id="10">
    <w:p w14:paraId="7180CC20" w14:textId="77777777" w:rsidR="00C76547" w:rsidRDefault="00C76547" w:rsidP="00F9716E">
      <w:pPr>
        <w:pStyle w:val="Textonotapie"/>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4EA9F" w14:textId="77777777" w:rsidR="00C76547" w:rsidRDefault="00C76547">
    <w:pPr>
      <w:pStyle w:val="Encabezado"/>
      <w:tabs>
        <w:tab w:val="clear" w:pos="8504"/>
        <w:tab w:val="right" w:pos="8478"/>
      </w:tabs>
    </w:pPr>
    <w:r>
      <w:rPr>
        <w:noProof/>
        <w:lang w:val="es-ES"/>
      </w:rPr>
      <w:drawing>
        <wp:anchor distT="152400" distB="152400" distL="152400" distR="152400" simplePos="0" relativeHeight="251658240" behindDoc="1" locked="0" layoutInCell="1" allowOverlap="1" wp14:anchorId="0A698B1F" wp14:editId="0E0AD2B8">
          <wp:simplePos x="0" y="0"/>
          <wp:positionH relativeFrom="page">
            <wp:posOffset>0</wp:posOffset>
          </wp:positionH>
          <wp:positionV relativeFrom="page">
            <wp:posOffset>9765030</wp:posOffset>
          </wp:positionV>
          <wp:extent cx="7556500" cy="838200"/>
          <wp:effectExtent l="0" t="0" r="0" b="0"/>
          <wp:wrapNone/>
          <wp:docPr id="1" name="officeArt object" descr="michelin"/>
          <wp:cNvGraphicFramePr/>
          <a:graphic xmlns:a="http://schemas.openxmlformats.org/drawingml/2006/main">
            <a:graphicData uri="http://schemas.openxmlformats.org/drawingml/2006/picture">
              <pic:pic xmlns:pic="http://schemas.openxmlformats.org/drawingml/2006/picture">
                <pic:nvPicPr>
                  <pic:cNvPr id="1073741825" name="image1.jpeg" descr="michelin"/>
                  <pic:cNvPicPr/>
                </pic:nvPicPr>
                <pic:blipFill>
                  <a:blip r:embed="rId1">
                    <a:extLst/>
                  </a:blip>
                  <a:stretch>
                    <a:fillRect/>
                  </a:stretch>
                </pic:blipFill>
                <pic:spPr>
                  <a:xfrm>
                    <a:off x="0" y="0"/>
                    <a:ext cx="7556500" cy="838200"/>
                  </a:xfrm>
                  <a:prstGeom prst="rect">
                    <a:avLst/>
                  </a:prstGeom>
                  <a:ln w="12700" cap="flat">
                    <a:noFill/>
                    <a:miter lim="400000"/>
                  </a:ln>
                  <a:effectLst/>
                </pic:spPr>
              </pic:pic>
            </a:graphicData>
          </a:graphic>
        </wp:anchor>
      </w:drawing>
    </w:r>
    <w:r>
      <w:rPr>
        <w:rFonts w:ascii="Times New Roman"/>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6C5"/>
    <w:multiLevelType w:val="hybridMultilevel"/>
    <w:tmpl w:val="F7306DA4"/>
    <w:lvl w:ilvl="0" w:tplc="946C9C7E">
      <w:start w:val="1"/>
      <w:numFmt w:val="bullet"/>
      <w:lvlText w:val="o"/>
      <w:lvlJc w:val="left"/>
      <w:pPr>
        <w:ind w:left="1571" w:hanging="360"/>
      </w:pPr>
      <w:rPr>
        <w:rFonts w:ascii="Courier New" w:hAnsi="Courier New" w:hint="default"/>
        <w:sz w:val="24"/>
        <w:szCs w:val="24"/>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
    <w:nsid w:val="02C61C63"/>
    <w:multiLevelType w:val="hybridMultilevel"/>
    <w:tmpl w:val="6922A11A"/>
    <w:lvl w:ilvl="0" w:tplc="0C0A0003">
      <w:start w:val="1"/>
      <w:numFmt w:val="bullet"/>
      <w:lvlText w:val="o"/>
      <w:lvlJc w:val="left"/>
      <w:pPr>
        <w:ind w:left="1571" w:hanging="360"/>
      </w:pPr>
      <w:rPr>
        <w:rFonts w:ascii="Courier New" w:hAnsi="Courier New" w:cs="Courier New"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
    <w:nsid w:val="06FC346E"/>
    <w:multiLevelType w:val="multilevel"/>
    <w:tmpl w:val="19123EDC"/>
    <w:lvl w:ilvl="0">
      <w:numFmt w:val="bullet"/>
      <w:lvlText w:val="▪"/>
      <w:lvlJc w:val="left"/>
      <w:pPr>
        <w:tabs>
          <w:tab w:val="num" w:pos="360"/>
        </w:tabs>
        <w:ind w:left="360" w:hanging="360"/>
      </w:pPr>
      <w:rPr>
        <w:rFonts w:ascii="Times New Roman" w:eastAsia="Times New Roman" w:hAnsi="Times New Roman" w:cs="Times New Roman"/>
        <w:b/>
        <w:bCs/>
        <w:i/>
        <w:iCs/>
        <w:position w:val="0"/>
        <w:sz w:val="24"/>
        <w:szCs w:val="24"/>
      </w:rPr>
    </w:lvl>
    <w:lvl w:ilvl="1">
      <w:start w:val="1"/>
      <w:numFmt w:val="bullet"/>
      <w:lvlText w:val="o"/>
      <w:lvlJc w:val="left"/>
      <w:pPr>
        <w:tabs>
          <w:tab w:val="num" w:pos="1095"/>
        </w:tabs>
        <w:ind w:left="1095" w:hanging="375"/>
      </w:pPr>
      <w:rPr>
        <w:rFonts w:ascii="Times" w:eastAsia="Times" w:hAnsi="Times" w:cs="Times"/>
        <w:b/>
        <w:bCs/>
        <w:i/>
        <w:iCs/>
        <w:position w:val="0"/>
        <w:sz w:val="25"/>
        <w:szCs w:val="25"/>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3">
    <w:nsid w:val="07464670"/>
    <w:multiLevelType w:val="multilevel"/>
    <w:tmpl w:val="D9089278"/>
    <w:styleLink w:val="Lista51"/>
    <w:lvl w:ilvl="0">
      <w:numFmt w:val="bullet"/>
      <w:lvlText w:val="▪"/>
      <w:lvlJc w:val="left"/>
      <w:pPr>
        <w:tabs>
          <w:tab w:val="num" w:pos="291"/>
        </w:tabs>
        <w:ind w:left="291" w:hanging="291"/>
      </w:pPr>
      <w:rPr>
        <w:rFonts w:ascii="Arial" w:eastAsia="Arial" w:hAnsi="Arial" w:cs="Arial"/>
        <w:position w:val="0"/>
        <w:sz w:val="26"/>
        <w:szCs w:val="26"/>
        <w:rtl w:val="0"/>
        <w:lang w:val="es-ES_tradnl"/>
      </w:rPr>
    </w:lvl>
    <w:lvl w:ilvl="1">
      <w:start w:val="1"/>
      <w:numFmt w:val="bullet"/>
      <w:lvlText w:val="o"/>
      <w:lvlJc w:val="left"/>
      <w:pPr>
        <w:tabs>
          <w:tab w:val="num" w:pos="1035"/>
        </w:tabs>
        <w:ind w:left="1035" w:hanging="315"/>
      </w:pPr>
      <w:rPr>
        <w:rFonts w:ascii="Arial" w:eastAsia="Arial" w:hAnsi="Arial" w:cs="Arial"/>
        <w:position w:val="0"/>
        <w:sz w:val="21"/>
        <w:szCs w:val="21"/>
        <w:rtl w:val="0"/>
        <w:lang w:val="es-ES_tradnl"/>
      </w:rPr>
    </w:lvl>
    <w:lvl w:ilvl="2">
      <w:start w:val="1"/>
      <w:numFmt w:val="bullet"/>
      <w:lvlText w:val="▪"/>
      <w:lvlJc w:val="left"/>
      <w:pPr>
        <w:tabs>
          <w:tab w:val="num" w:pos="1755"/>
        </w:tabs>
        <w:ind w:left="1755" w:hanging="315"/>
      </w:pPr>
      <w:rPr>
        <w:rFonts w:ascii="Arial" w:eastAsia="Arial" w:hAnsi="Arial" w:cs="Arial"/>
        <w:position w:val="0"/>
        <w:sz w:val="21"/>
        <w:szCs w:val="21"/>
        <w:rtl w:val="0"/>
        <w:lang w:val="es-ES_tradnl"/>
      </w:rPr>
    </w:lvl>
    <w:lvl w:ilvl="3">
      <w:start w:val="1"/>
      <w:numFmt w:val="bullet"/>
      <w:lvlText w:val="•"/>
      <w:lvlJc w:val="left"/>
      <w:pPr>
        <w:tabs>
          <w:tab w:val="num" w:pos="2475"/>
        </w:tabs>
        <w:ind w:left="2475" w:hanging="315"/>
      </w:pPr>
      <w:rPr>
        <w:rFonts w:ascii="Arial" w:eastAsia="Arial" w:hAnsi="Arial" w:cs="Arial"/>
        <w:position w:val="0"/>
        <w:sz w:val="21"/>
        <w:szCs w:val="21"/>
        <w:rtl w:val="0"/>
        <w:lang w:val="es-ES_tradnl"/>
      </w:rPr>
    </w:lvl>
    <w:lvl w:ilvl="4">
      <w:start w:val="1"/>
      <w:numFmt w:val="bullet"/>
      <w:lvlText w:val="o"/>
      <w:lvlJc w:val="left"/>
      <w:pPr>
        <w:tabs>
          <w:tab w:val="num" w:pos="3195"/>
        </w:tabs>
        <w:ind w:left="3195" w:hanging="315"/>
      </w:pPr>
      <w:rPr>
        <w:rFonts w:ascii="Arial" w:eastAsia="Arial" w:hAnsi="Arial" w:cs="Arial"/>
        <w:position w:val="0"/>
        <w:sz w:val="21"/>
        <w:szCs w:val="21"/>
        <w:rtl w:val="0"/>
        <w:lang w:val="es-ES_tradnl"/>
      </w:rPr>
    </w:lvl>
    <w:lvl w:ilvl="5">
      <w:start w:val="1"/>
      <w:numFmt w:val="bullet"/>
      <w:lvlText w:val="▪"/>
      <w:lvlJc w:val="left"/>
      <w:pPr>
        <w:tabs>
          <w:tab w:val="num" w:pos="3915"/>
        </w:tabs>
        <w:ind w:left="3915" w:hanging="315"/>
      </w:pPr>
      <w:rPr>
        <w:rFonts w:ascii="Arial" w:eastAsia="Arial" w:hAnsi="Arial" w:cs="Arial"/>
        <w:position w:val="0"/>
        <w:sz w:val="21"/>
        <w:szCs w:val="21"/>
        <w:rtl w:val="0"/>
        <w:lang w:val="es-ES_tradnl"/>
      </w:rPr>
    </w:lvl>
    <w:lvl w:ilvl="6">
      <w:start w:val="1"/>
      <w:numFmt w:val="bullet"/>
      <w:lvlText w:val="•"/>
      <w:lvlJc w:val="left"/>
      <w:pPr>
        <w:tabs>
          <w:tab w:val="num" w:pos="4635"/>
        </w:tabs>
        <w:ind w:left="4635" w:hanging="315"/>
      </w:pPr>
      <w:rPr>
        <w:rFonts w:ascii="Arial" w:eastAsia="Arial" w:hAnsi="Arial" w:cs="Arial"/>
        <w:position w:val="0"/>
        <w:sz w:val="21"/>
        <w:szCs w:val="21"/>
        <w:rtl w:val="0"/>
        <w:lang w:val="es-ES_tradnl"/>
      </w:rPr>
    </w:lvl>
    <w:lvl w:ilvl="7">
      <w:start w:val="1"/>
      <w:numFmt w:val="bullet"/>
      <w:lvlText w:val="o"/>
      <w:lvlJc w:val="left"/>
      <w:pPr>
        <w:tabs>
          <w:tab w:val="num" w:pos="5355"/>
        </w:tabs>
        <w:ind w:left="5355" w:hanging="315"/>
      </w:pPr>
      <w:rPr>
        <w:rFonts w:ascii="Arial" w:eastAsia="Arial" w:hAnsi="Arial" w:cs="Arial"/>
        <w:position w:val="0"/>
        <w:sz w:val="21"/>
        <w:szCs w:val="21"/>
        <w:rtl w:val="0"/>
        <w:lang w:val="es-ES_tradnl"/>
      </w:rPr>
    </w:lvl>
    <w:lvl w:ilvl="8">
      <w:start w:val="1"/>
      <w:numFmt w:val="bullet"/>
      <w:lvlText w:val="▪"/>
      <w:lvlJc w:val="left"/>
      <w:pPr>
        <w:tabs>
          <w:tab w:val="num" w:pos="6075"/>
        </w:tabs>
        <w:ind w:left="6075" w:hanging="315"/>
      </w:pPr>
      <w:rPr>
        <w:rFonts w:ascii="Arial" w:eastAsia="Arial" w:hAnsi="Arial" w:cs="Arial"/>
        <w:position w:val="0"/>
        <w:sz w:val="21"/>
        <w:szCs w:val="21"/>
        <w:rtl w:val="0"/>
        <w:lang w:val="es-ES_tradnl"/>
      </w:rPr>
    </w:lvl>
  </w:abstractNum>
  <w:abstractNum w:abstractNumId="4">
    <w:nsid w:val="0A3F501E"/>
    <w:multiLevelType w:val="multilevel"/>
    <w:tmpl w:val="C2B41F58"/>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5">
    <w:nsid w:val="0A6C0ADF"/>
    <w:multiLevelType w:val="multilevel"/>
    <w:tmpl w:val="679C2B4A"/>
    <w:lvl w:ilvl="0">
      <w:numFmt w:val="bullet"/>
      <w:lvlText w:val="➢"/>
      <w:lvlJc w:val="left"/>
      <w:pPr>
        <w:tabs>
          <w:tab w:val="num" w:pos="1080"/>
        </w:tabs>
        <w:ind w:left="1080" w:hanging="360"/>
      </w:pPr>
      <w:rPr>
        <w:rFonts w:ascii="Arial" w:eastAsia="Arial" w:hAnsi="Arial" w:cs="Arial"/>
        <w:b/>
        <w:bCs/>
        <w:position w:val="0"/>
        <w:sz w:val="24"/>
        <w:szCs w:val="24"/>
      </w:rPr>
    </w:lvl>
    <w:lvl w:ilvl="1">
      <w:start w:val="1"/>
      <w:numFmt w:val="bullet"/>
      <w:lvlText w:val="o"/>
      <w:lvlJc w:val="left"/>
      <w:pPr>
        <w:tabs>
          <w:tab w:val="num" w:pos="1755"/>
        </w:tabs>
        <w:ind w:left="1755" w:hanging="315"/>
      </w:pPr>
      <w:rPr>
        <w:rFonts w:ascii="Arial" w:eastAsia="Arial" w:hAnsi="Arial" w:cs="Arial"/>
        <w:b/>
        <w:bCs/>
        <w:position w:val="0"/>
        <w:sz w:val="21"/>
        <w:szCs w:val="21"/>
      </w:rPr>
    </w:lvl>
    <w:lvl w:ilvl="2">
      <w:start w:val="1"/>
      <w:numFmt w:val="bullet"/>
      <w:lvlText w:val="▪"/>
      <w:lvlJc w:val="left"/>
      <w:pPr>
        <w:tabs>
          <w:tab w:val="num" w:pos="2475"/>
        </w:tabs>
        <w:ind w:left="2475" w:hanging="315"/>
      </w:pPr>
      <w:rPr>
        <w:rFonts w:ascii="Arial" w:eastAsia="Arial" w:hAnsi="Arial" w:cs="Arial"/>
        <w:b/>
        <w:bCs/>
        <w:position w:val="0"/>
        <w:sz w:val="21"/>
        <w:szCs w:val="21"/>
      </w:rPr>
    </w:lvl>
    <w:lvl w:ilvl="3">
      <w:start w:val="1"/>
      <w:numFmt w:val="bullet"/>
      <w:lvlText w:val="•"/>
      <w:lvlJc w:val="left"/>
      <w:pPr>
        <w:tabs>
          <w:tab w:val="num" w:pos="3195"/>
        </w:tabs>
        <w:ind w:left="3195" w:hanging="315"/>
      </w:pPr>
      <w:rPr>
        <w:rFonts w:ascii="Arial" w:eastAsia="Arial" w:hAnsi="Arial" w:cs="Arial"/>
        <w:b/>
        <w:bCs/>
        <w:position w:val="0"/>
        <w:sz w:val="21"/>
        <w:szCs w:val="21"/>
      </w:rPr>
    </w:lvl>
    <w:lvl w:ilvl="4">
      <w:start w:val="1"/>
      <w:numFmt w:val="bullet"/>
      <w:lvlText w:val="o"/>
      <w:lvlJc w:val="left"/>
      <w:pPr>
        <w:tabs>
          <w:tab w:val="num" w:pos="3915"/>
        </w:tabs>
        <w:ind w:left="3915" w:hanging="315"/>
      </w:pPr>
      <w:rPr>
        <w:rFonts w:ascii="Arial" w:eastAsia="Arial" w:hAnsi="Arial" w:cs="Arial"/>
        <w:b/>
        <w:bCs/>
        <w:position w:val="0"/>
        <w:sz w:val="21"/>
        <w:szCs w:val="21"/>
      </w:rPr>
    </w:lvl>
    <w:lvl w:ilvl="5">
      <w:start w:val="1"/>
      <w:numFmt w:val="bullet"/>
      <w:lvlText w:val="▪"/>
      <w:lvlJc w:val="left"/>
      <w:pPr>
        <w:tabs>
          <w:tab w:val="num" w:pos="4635"/>
        </w:tabs>
        <w:ind w:left="4635" w:hanging="315"/>
      </w:pPr>
      <w:rPr>
        <w:rFonts w:ascii="Arial" w:eastAsia="Arial" w:hAnsi="Arial" w:cs="Arial"/>
        <w:b/>
        <w:bCs/>
        <w:position w:val="0"/>
        <w:sz w:val="21"/>
        <w:szCs w:val="21"/>
      </w:rPr>
    </w:lvl>
    <w:lvl w:ilvl="6">
      <w:start w:val="1"/>
      <w:numFmt w:val="bullet"/>
      <w:lvlText w:val="•"/>
      <w:lvlJc w:val="left"/>
      <w:pPr>
        <w:tabs>
          <w:tab w:val="num" w:pos="5355"/>
        </w:tabs>
        <w:ind w:left="5355" w:hanging="315"/>
      </w:pPr>
      <w:rPr>
        <w:rFonts w:ascii="Arial" w:eastAsia="Arial" w:hAnsi="Arial" w:cs="Arial"/>
        <w:b/>
        <w:bCs/>
        <w:position w:val="0"/>
        <w:sz w:val="21"/>
        <w:szCs w:val="21"/>
      </w:rPr>
    </w:lvl>
    <w:lvl w:ilvl="7">
      <w:start w:val="1"/>
      <w:numFmt w:val="bullet"/>
      <w:lvlText w:val="o"/>
      <w:lvlJc w:val="left"/>
      <w:pPr>
        <w:tabs>
          <w:tab w:val="num" w:pos="6075"/>
        </w:tabs>
        <w:ind w:left="6075" w:hanging="315"/>
      </w:pPr>
      <w:rPr>
        <w:rFonts w:ascii="Arial" w:eastAsia="Arial" w:hAnsi="Arial" w:cs="Arial"/>
        <w:b/>
        <w:bCs/>
        <w:position w:val="0"/>
        <w:sz w:val="21"/>
        <w:szCs w:val="21"/>
      </w:rPr>
    </w:lvl>
    <w:lvl w:ilvl="8">
      <w:start w:val="1"/>
      <w:numFmt w:val="bullet"/>
      <w:lvlText w:val="▪"/>
      <w:lvlJc w:val="left"/>
      <w:pPr>
        <w:tabs>
          <w:tab w:val="num" w:pos="6795"/>
        </w:tabs>
        <w:ind w:left="6795" w:hanging="315"/>
      </w:pPr>
      <w:rPr>
        <w:rFonts w:ascii="Arial" w:eastAsia="Arial" w:hAnsi="Arial" w:cs="Arial"/>
        <w:b/>
        <w:bCs/>
        <w:position w:val="0"/>
        <w:sz w:val="21"/>
        <w:szCs w:val="21"/>
      </w:rPr>
    </w:lvl>
  </w:abstractNum>
  <w:abstractNum w:abstractNumId="6">
    <w:nsid w:val="0EFC17AD"/>
    <w:multiLevelType w:val="hybridMultilevel"/>
    <w:tmpl w:val="DFD451AE"/>
    <w:lvl w:ilvl="0" w:tplc="0C0A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128476FE"/>
    <w:multiLevelType w:val="multilevel"/>
    <w:tmpl w:val="6974E6AC"/>
    <w:lvl w:ilvl="0">
      <w:start w:val="1"/>
      <w:numFmt w:val="bullet"/>
      <w:lvlText w:val="▪"/>
      <w:lvlJc w:val="left"/>
      <w:pPr>
        <w:tabs>
          <w:tab w:val="num" w:pos="375"/>
        </w:tabs>
        <w:ind w:left="375" w:hanging="375"/>
      </w:pPr>
      <w:rPr>
        <w:rFonts w:ascii="Times" w:eastAsia="Times" w:hAnsi="Times" w:cs="Times"/>
        <w:b/>
        <w:bCs/>
        <w:i/>
        <w:iCs/>
        <w:position w:val="0"/>
        <w:sz w:val="25"/>
        <w:szCs w:val="25"/>
      </w:rPr>
    </w:lvl>
    <w:lvl w:ilvl="1">
      <w:numFmt w:val="bullet"/>
      <w:lvlText w:val="o"/>
      <w:lvlJc w:val="left"/>
      <w:pPr>
        <w:tabs>
          <w:tab w:val="num" w:pos="851"/>
        </w:tabs>
        <w:ind w:left="851" w:hanging="131"/>
      </w:pPr>
      <w:rPr>
        <w:rFonts w:ascii="Times New Roman" w:eastAsia="Times New Roman" w:hAnsi="Times New Roman" w:cs="Times New Roman"/>
        <w:b/>
        <w:bCs/>
        <w:i/>
        <w:iCs/>
        <w:position w:val="0"/>
        <w:sz w:val="24"/>
        <w:szCs w:val="24"/>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8">
    <w:nsid w:val="16DE771B"/>
    <w:multiLevelType w:val="hybridMultilevel"/>
    <w:tmpl w:val="54ACC20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18F80C61"/>
    <w:multiLevelType w:val="multilevel"/>
    <w:tmpl w:val="2FD44AF6"/>
    <w:lvl w:ilvl="0">
      <w:numFmt w:val="bullet"/>
      <w:lvlText w:val="➢"/>
      <w:lvlJc w:val="left"/>
      <w:pPr>
        <w:tabs>
          <w:tab w:val="num" w:pos="1080"/>
        </w:tabs>
        <w:ind w:left="1080" w:hanging="360"/>
      </w:pPr>
      <w:rPr>
        <w:rFonts w:ascii="Arial" w:eastAsia="Arial" w:hAnsi="Arial" w:cs="Arial"/>
        <w:b/>
        <w:bCs/>
        <w:position w:val="0"/>
        <w:sz w:val="24"/>
        <w:szCs w:val="24"/>
      </w:rPr>
    </w:lvl>
    <w:lvl w:ilvl="1">
      <w:start w:val="1"/>
      <w:numFmt w:val="bullet"/>
      <w:lvlText w:val="o"/>
      <w:lvlJc w:val="left"/>
      <w:pPr>
        <w:tabs>
          <w:tab w:val="num" w:pos="1755"/>
        </w:tabs>
        <w:ind w:left="1755" w:hanging="315"/>
      </w:pPr>
      <w:rPr>
        <w:rFonts w:ascii="Arial" w:eastAsia="Arial" w:hAnsi="Arial" w:cs="Arial"/>
        <w:b/>
        <w:bCs/>
        <w:position w:val="0"/>
        <w:sz w:val="21"/>
        <w:szCs w:val="21"/>
      </w:rPr>
    </w:lvl>
    <w:lvl w:ilvl="2">
      <w:start w:val="1"/>
      <w:numFmt w:val="bullet"/>
      <w:lvlText w:val="▪"/>
      <w:lvlJc w:val="left"/>
      <w:pPr>
        <w:tabs>
          <w:tab w:val="num" w:pos="2475"/>
        </w:tabs>
        <w:ind w:left="2475" w:hanging="315"/>
      </w:pPr>
      <w:rPr>
        <w:rFonts w:ascii="Arial" w:eastAsia="Arial" w:hAnsi="Arial" w:cs="Arial"/>
        <w:b/>
        <w:bCs/>
        <w:position w:val="0"/>
        <w:sz w:val="21"/>
        <w:szCs w:val="21"/>
      </w:rPr>
    </w:lvl>
    <w:lvl w:ilvl="3">
      <w:start w:val="1"/>
      <w:numFmt w:val="bullet"/>
      <w:lvlText w:val="•"/>
      <w:lvlJc w:val="left"/>
      <w:pPr>
        <w:tabs>
          <w:tab w:val="num" w:pos="3195"/>
        </w:tabs>
        <w:ind w:left="3195" w:hanging="315"/>
      </w:pPr>
      <w:rPr>
        <w:rFonts w:ascii="Arial" w:eastAsia="Arial" w:hAnsi="Arial" w:cs="Arial"/>
        <w:b/>
        <w:bCs/>
        <w:position w:val="0"/>
        <w:sz w:val="21"/>
        <w:szCs w:val="21"/>
      </w:rPr>
    </w:lvl>
    <w:lvl w:ilvl="4">
      <w:start w:val="1"/>
      <w:numFmt w:val="bullet"/>
      <w:lvlText w:val="o"/>
      <w:lvlJc w:val="left"/>
      <w:pPr>
        <w:tabs>
          <w:tab w:val="num" w:pos="3915"/>
        </w:tabs>
        <w:ind w:left="3915" w:hanging="315"/>
      </w:pPr>
      <w:rPr>
        <w:rFonts w:ascii="Arial" w:eastAsia="Arial" w:hAnsi="Arial" w:cs="Arial"/>
        <w:b/>
        <w:bCs/>
        <w:position w:val="0"/>
        <w:sz w:val="21"/>
        <w:szCs w:val="21"/>
      </w:rPr>
    </w:lvl>
    <w:lvl w:ilvl="5">
      <w:start w:val="1"/>
      <w:numFmt w:val="bullet"/>
      <w:lvlText w:val="▪"/>
      <w:lvlJc w:val="left"/>
      <w:pPr>
        <w:tabs>
          <w:tab w:val="num" w:pos="4635"/>
        </w:tabs>
        <w:ind w:left="4635" w:hanging="315"/>
      </w:pPr>
      <w:rPr>
        <w:rFonts w:ascii="Arial" w:eastAsia="Arial" w:hAnsi="Arial" w:cs="Arial"/>
        <w:b/>
        <w:bCs/>
        <w:position w:val="0"/>
        <w:sz w:val="21"/>
        <w:szCs w:val="21"/>
      </w:rPr>
    </w:lvl>
    <w:lvl w:ilvl="6">
      <w:start w:val="1"/>
      <w:numFmt w:val="bullet"/>
      <w:lvlText w:val="•"/>
      <w:lvlJc w:val="left"/>
      <w:pPr>
        <w:tabs>
          <w:tab w:val="num" w:pos="5355"/>
        </w:tabs>
        <w:ind w:left="5355" w:hanging="315"/>
      </w:pPr>
      <w:rPr>
        <w:rFonts w:ascii="Arial" w:eastAsia="Arial" w:hAnsi="Arial" w:cs="Arial"/>
        <w:b/>
        <w:bCs/>
        <w:position w:val="0"/>
        <w:sz w:val="21"/>
        <w:szCs w:val="21"/>
      </w:rPr>
    </w:lvl>
    <w:lvl w:ilvl="7">
      <w:start w:val="1"/>
      <w:numFmt w:val="bullet"/>
      <w:lvlText w:val="o"/>
      <w:lvlJc w:val="left"/>
      <w:pPr>
        <w:tabs>
          <w:tab w:val="num" w:pos="6075"/>
        </w:tabs>
        <w:ind w:left="6075" w:hanging="315"/>
      </w:pPr>
      <w:rPr>
        <w:rFonts w:ascii="Arial" w:eastAsia="Arial" w:hAnsi="Arial" w:cs="Arial"/>
        <w:b/>
        <w:bCs/>
        <w:position w:val="0"/>
        <w:sz w:val="21"/>
        <w:szCs w:val="21"/>
      </w:rPr>
    </w:lvl>
    <w:lvl w:ilvl="8">
      <w:start w:val="1"/>
      <w:numFmt w:val="bullet"/>
      <w:lvlText w:val="▪"/>
      <w:lvlJc w:val="left"/>
      <w:pPr>
        <w:tabs>
          <w:tab w:val="num" w:pos="6795"/>
        </w:tabs>
        <w:ind w:left="6795" w:hanging="315"/>
      </w:pPr>
      <w:rPr>
        <w:rFonts w:ascii="Arial" w:eastAsia="Arial" w:hAnsi="Arial" w:cs="Arial"/>
        <w:b/>
        <w:bCs/>
        <w:position w:val="0"/>
        <w:sz w:val="21"/>
        <w:szCs w:val="21"/>
      </w:rPr>
    </w:lvl>
  </w:abstractNum>
  <w:abstractNum w:abstractNumId="10">
    <w:nsid w:val="19B32C5B"/>
    <w:multiLevelType w:val="multilevel"/>
    <w:tmpl w:val="B2F8859A"/>
    <w:styleLink w:val="List1"/>
    <w:lvl w:ilvl="0">
      <w:start w:val="1"/>
      <w:numFmt w:val="bullet"/>
      <w:lvlText w:val="▪"/>
      <w:lvlJc w:val="left"/>
      <w:pPr>
        <w:tabs>
          <w:tab w:val="num" w:pos="375"/>
        </w:tabs>
        <w:ind w:left="375" w:hanging="375"/>
      </w:pPr>
      <w:rPr>
        <w:rFonts w:ascii="Times" w:eastAsia="Times" w:hAnsi="Times" w:cs="Times"/>
        <w:b/>
        <w:bCs/>
        <w:i/>
        <w:iCs/>
        <w:position w:val="0"/>
        <w:sz w:val="25"/>
        <w:szCs w:val="25"/>
      </w:rPr>
    </w:lvl>
    <w:lvl w:ilvl="1">
      <w:numFmt w:val="bullet"/>
      <w:lvlText w:val="o"/>
      <w:lvlJc w:val="left"/>
      <w:pPr>
        <w:tabs>
          <w:tab w:val="num" w:pos="851"/>
        </w:tabs>
        <w:ind w:left="851" w:hanging="131"/>
      </w:pPr>
      <w:rPr>
        <w:rFonts w:ascii="Times New Roman" w:eastAsia="Times New Roman" w:hAnsi="Times New Roman" w:cs="Times New Roman"/>
        <w:b/>
        <w:bCs/>
        <w:i/>
        <w:iCs/>
        <w:position w:val="0"/>
        <w:sz w:val="24"/>
        <w:szCs w:val="24"/>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11">
    <w:nsid w:val="1AE4552B"/>
    <w:multiLevelType w:val="multilevel"/>
    <w:tmpl w:val="21CAC65C"/>
    <w:styleLink w:val="List6"/>
    <w:lvl w:ilvl="0">
      <w:numFmt w:val="bullet"/>
      <w:lvlText w:val="➢"/>
      <w:lvlJc w:val="left"/>
      <w:pPr>
        <w:tabs>
          <w:tab w:val="num" w:pos="1080"/>
        </w:tabs>
        <w:ind w:left="1080" w:hanging="360"/>
      </w:pPr>
      <w:rPr>
        <w:rFonts w:ascii="Arial" w:eastAsia="Arial" w:hAnsi="Arial" w:cs="Arial"/>
        <w:b/>
        <w:bCs/>
        <w:position w:val="0"/>
        <w:sz w:val="24"/>
        <w:szCs w:val="24"/>
      </w:rPr>
    </w:lvl>
    <w:lvl w:ilvl="1">
      <w:start w:val="1"/>
      <w:numFmt w:val="bullet"/>
      <w:lvlText w:val="o"/>
      <w:lvlJc w:val="left"/>
      <w:pPr>
        <w:tabs>
          <w:tab w:val="num" w:pos="1755"/>
        </w:tabs>
        <w:ind w:left="1755" w:hanging="315"/>
      </w:pPr>
      <w:rPr>
        <w:rFonts w:ascii="Arial" w:eastAsia="Arial" w:hAnsi="Arial" w:cs="Arial"/>
        <w:b/>
        <w:bCs/>
        <w:position w:val="0"/>
        <w:sz w:val="21"/>
        <w:szCs w:val="21"/>
      </w:rPr>
    </w:lvl>
    <w:lvl w:ilvl="2">
      <w:start w:val="1"/>
      <w:numFmt w:val="bullet"/>
      <w:lvlText w:val="▪"/>
      <w:lvlJc w:val="left"/>
      <w:pPr>
        <w:tabs>
          <w:tab w:val="num" w:pos="2475"/>
        </w:tabs>
        <w:ind w:left="2475" w:hanging="315"/>
      </w:pPr>
      <w:rPr>
        <w:rFonts w:ascii="Arial" w:eastAsia="Arial" w:hAnsi="Arial" w:cs="Arial"/>
        <w:b/>
        <w:bCs/>
        <w:position w:val="0"/>
        <w:sz w:val="21"/>
        <w:szCs w:val="21"/>
      </w:rPr>
    </w:lvl>
    <w:lvl w:ilvl="3">
      <w:start w:val="1"/>
      <w:numFmt w:val="bullet"/>
      <w:lvlText w:val="•"/>
      <w:lvlJc w:val="left"/>
      <w:pPr>
        <w:tabs>
          <w:tab w:val="num" w:pos="3195"/>
        </w:tabs>
        <w:ind w:left="3195" w:hanging="315"/>
      </w:pPr>
      <w:rPr>
        <w:rFonts w:ascii="Arial" w:eastAsia="Arial" w:hAnsi="Arial" w:cs="Arial"/>
        <w:b/>
        <w:bCs/>
        <w:position w:val="0"/>
        <w:sz w:val="21"/>
        <w:szCs w:val="21"/>
      </w:rPr>
    </w:lvl>
    <w:lvl w:ilvl="4">
      <w:start w:val="1"/>
      <w:numFmt w:val="bullet"/>
      <w:lvlText w:val="o"/>
      <w:lvlJc w:val="left"/>
      <w:pPr>
        <w:tabs>
          <w:tab w:val="num" w:pos="3915"/>
        </w:tabs>
        <w:ind w:left="3915" w:hanging="315"/>
      </w:pPr>
      <w:rPr>
        <w:rFonts w:ascii="Arial" w:eastAsia="Arial" w:hAnsi="Arial" w:cs="Arial"/>
        <w:b/>
        <w:bCs/>
        <w:position w:val="0"/>
        <w:sz w:val="21"/>
        <w:szCs w:val="21"/>
      </w:rPr>
    </w:lvl>
    <w:lvl w:ilvl="5">
      <w:start w:val="1"/>
      <w:numFmt w:val="bullet"/>
      <w:lvlText w:val="▪"/>
      <w:lvlJc w:val="left"/>
      <w:pPr>
        <w:tabs>
          <w:tab w:val="num" w:pos="4635"/>
        </w:tabs>
        <w:ind w:left="4635" w:hanging="315"/>
      </w:pPr>
      <w:rPr>
        <w:rFonts w:ascii="Arial" w:eastAsia="Arial" w:hAnsi="Arial" w:cs="Arial"/>
        <w:b/>
        <w:bCs/>
        <w:position w:val="0"/>
        <w:sz w:val="21"/>
        <w:szCs w:val="21"/>
      </w:rPr>
    </w:lvl>
    <w:lvl w:ilvl="6">
      <w:start w:val="1"/>
      <w:numFmt w:val="bullet"/>
      <w:lvlText w:val="•"/>
      <w:lvlJc w:val="left"/>
      <w:pPr>
        <w:tabs>
          <w:tab w:val="num" w:pos="5355"/>
        </w:tabs>
        <w:ind w:left="5355" w:hanging="315"/>
      </w:pPr>
      <w:rPr>
        <w:rFonts w:ascii="Arial" w:eastAsia="Arial" w:hAnsi="Arial" w:cs="Arial"/>
        <w:b/>
        <w:bCs/>
        <w:position w:val="0"/>
        <w:sz w:val="21"/>
        <w:szCs w:val="21"/>
      </w:rPr>
    </w:lvl>
    <w:lvl w:ilvl="7">
      <w:start w:val="1"/>
      <w:numFmt w:val="bullet"/>
      <w:lvlText w:val="o"/>
      <w:lvlJc w:val="left"/>
      <w:pPr>
        <w:tabs>
          <w:tab w:val="num" w:pos="6075"/>
        </w:tabs>
        <w:ind w:left="6075" w:hanging="315"/>
      </w:pPr>
      <w:rPr>
        <w:rFonts w:ascii="Arial" w:eastAsia="Arial" w:hAnsi="Arial" w:cs="Arial"/>
        <w:b/>
        <w:bCs/>
        <w:position w:val="0"/>
        <w:sz w:val="21"/>
        <w:szCs w:val="21"/>
      </w:rPr>
    </w:lvl>
    <w:lvl w:ilvl="8">
      <w:start w:val="1"/>
      <w:numFmt w:val="bullet"/>
      <w:lvlText w:val="▪"/>
      <w:lvlJc w:val="left"/>
      <w:pPr>
        <w:tabs>
          <w:tab w:val="num" w:pos="6795"/>
        </w:tabs>
        <w:ind w:left="6795" w:hanging="315"/>
      </w:pPr>
      <w:rPr>
        <w:rFonts w:ascii="Arial" w:eastAsia="Arial" w:hAnsi="Arial" w:cs="Arial"/>
        <w:b/>
        <w:bCs/>
        <w:position w:val="0"/>
        <w:sz w:val="21"/>
        <w:szCs w:val="21"/>
      </w:rPr>
    </w:lvl>
  </w:abstractNum>
  <w:abstractNum w:abstractNumId="12">
    <w:nsid w:val="1C77403B"/>
    <w:multiLevelType w:val="multilevel"/>
    <w:tmpl w:val="99362DBA"/>
    <w:lvl w:ilvl="0">
      <w:numFmt w:val="bullet"/>
      <w:lvlText w:val="▪"/>
      <w:lvlJc w:val="left"/>
      <w:pPr>
        <w:tabs>
          <w:tab w:val="num" w:pos="360"/>
        </w:tabs>
        <w:ind w:left="360" w:hanging="360"/>
      </w:pPr>
      <w:rPr>
        <w:rFonts w:ascii="Arial" w:eastAsia="Arial" w:hAnsi="Arial" w:cs="Arial"/>
        <w:b/>
        <w:bCs/>
        <w:position w:val="0"/>
        <w:sz w:val="24"/>
        <w:szCs w:val="24"/>
      </w:rPr>
    </w:lvl>
    <w:lvl w:ilvl="1">
      <w:start w:val="1"/>
      <w:numFmt w:val="bullet"/>
      <w:lvlText w:val="o"/>
      <w:lvlJc w:val="left"/>
      <w:pPr>
        <w:tabs>
          <w:tab w:val="num" w:pos="1035"/>
        </w:tabs>
        <w:ind w:left="1035" w:hanging="315"/>
      </w:pPr>
      <w:rPr>
        <w:rFonts w:ascii="Arial" w:eastAsia="Arial" w:hAnsi="Arial" w:cs="Arial"/>
        <w:b/>
        <w:bCs/>
        <w:position w:val="0"/>
        <w:sz w:val="21"/>
        <w:szCs w:val="21"/>
      </w:rPr>
    </w:lvl>
    <w:lvl w:ilvl="2">
      <w:start w:val="1"/>
      <w:numFmt w:val="bullet"/>
      <w:lvlText w:val="▪"/>
      <w:lvlJc w:val="left"/>
      <w:pPr>
        <w:tabs>
          <w:tab w:val="num" w:pos="1755"/>
        </w:tabs>
        <w:ind w:left="1755" w:hanging="315"/>
      </w:pPr>
      <w:rPr>
        <w:rFonts w:ascii="Arial" w:eastAsia="Arial" w:hAnsi="Arial" w:cs="Arial"/>
        <w:b/>
        <w:bCs/>
        <w:position w:val="0"/>
        <w:sz w:val="21"/>
        <w:szCs w:val="21"/>
      </w:rPr>
    </w:lvl>
    <w:lvl w:ilvl="3">
      <w:start w:val="1"/>
      <w:numFmt w:val="bullet"/>
      <w:lvlText w:val="•"/>
      <w:lvlJc w:val="left"/>
      <w:pPr>
        <w:tabs>
          <w:tab w:val="num" w:pos="2475"/>
        </w:tabs>
        <w:ind w:left="2475" w:hanging="315"/>
      </w:pPr>
      <w:rPr>
        <w:rFonts w:ascii="Arial" w:eastAsia="Arial" w:hAnsi="Arial" w:cs="Arial"/>
        <w:b/>
        <w:bCs/>
        <w:position w:val="0"/>
        <w:sz w:val="21"/>
        <w:szCs w:val="21"/>
      </w:rPr>
    </w:lvl>
    <w:lvl w:ilvl="4">
      <w:start w:val="1"/>
      <w:numFmt w:val="bullet"/>
      <w:lvlText w:val="o"/>
      <w:lvlJc w:val="left"/>
      <w:pPr>
        <w:tabs>
          <w:tab w:val="num" w:pos="3195"/>
        </w:tabs>
        <w:ind w:left="3195" w:hanging="315"/>
      </w:pPr>
      <w:rPr>
        <w:rFonts w:ascii="Arial" w:eastAsia="Arial" w:hAnsi="Arial" w:cs="Arial"/>
        <w:b/>
        <w:bCs/>
        <w:position w:val="0"/>
        <w:sz w:val="21"/>
        <w:szCs w:val="21"/>
      </w:rPr>
    </w:lvl>
    <w:lvl w:ilvl="5">
      <w:start w:val="1"/>
      <w:numFmt w:val="bullet"/>
      <w:lvlText w:val="▪"/>
      <w:lvlJc w:val="left"/>
      <w:pPr>
        <w:tabs>
          <w:tab w:val="num" w:pos="3915"/>
        </w:tabs>
        <w:ind w:left="3915" w:hanging="315"/>
      </w:pPr>
      <w:rPr>
        <w:rFonts w:ascii="Arial" w:eastAsia="Arial" w:hAnsi="Arial" w:cs="Arial"/>
        <w:b/>
        <w:bCs/>
        <w:position w:val="0"/>
        <w:sz w:val="21"/>
        <w:szCs w:val="21"/>
      </w:rPr>
    </w:lvl>
    <w:lvl w:ilvl="6">
      <w:start w:val="1"/>
      <w:numFmt w:val="bullet"/>
      <w:lvlText w:val="•"/>
      <w:lvlJc w:val="left"/>
      <w:pPr>
        <w:tabs>
          <w:tab w:val="num" w:pos="4635"/>
        </w:tabs>
        <w:ind w:left="4635" w:hanging="315"/>
      </w:pPr>
      <w:rPr>
        <w:rFonts w:ascii="Arial" w:eastAsia="Arial" w:hAnsi="Arial" w:cs="Arial"/>
        <w:b/>
        <w:bCs/>
        <w:position w:val="0"/>
        <w:sz w:val="21"/>
        <w:szCs w:val="21"/>
      </w:rPr>
    </w:lvl>
    <w:lvl w:ilvl="7">
      <w:start w:val="1"/>
      <w:numFmt w:val="bullet"/>
      <w:lvlText w:val="o"/>
      <w:lvlJc w:val="left"/>
      <w:pPr>
        <w:tabs>
          <w:tab w:val="num" w:pos="5355"/>
        </w:tabs>
        <w:ind w:left="5355" w:hanging="315"/>
      </w:pPr>
      <w:rPr>
        <w:rFonts w:ascii="Arial" w:eastAsia="Arial" w:hAnsi="Arial" w:cs="Arial"/>
        <w:b/>
        <w:bCs/>
        <w:position w:val="0"/>
        <w:sz w:val="21"/>
        <w:szCs w:val="21"/>
      </w:rPr>
    </w:lvl>
    <w:lvl w:ilvl="8">
      <w:start w:val="1"/>
      <w:numFmt w:val="bullet"/>
      <w:lvlText w:val="▪"/>
      <w:lvlJc w:val="left"/>
      <w:pPr>
        <w:tabs>
          <w:tab w:val="num" w:pos="6075"/>
        </w:tabs>
        <w:ind w:left="6075" w:hanging="315"/>
      </w:pPr>
      <w:rPr>
        <w:rFonts w:ascii="Arial" w:eastAsia="Arial" w:hAnsi="Arial" w:cs="Arial"/>
        <w:b/>
        <w:bCs/>
        <w:position w:val="0"/>
        <w:sz w:val="21"/>
        <w:szCs w:val="21"/>
      </w:rPr>
    </w:lvl>
  </w:abstractNum>
  <w:abstractNum w:abstractNumId="13">
    <w:nsid w:val="20673A25"/>
    <w:multiLevelType w:val="multilevel"/>
    <w:tmpl w:val="BDD63144"/>
    <w:lvl w:ilvl="0">
      <w:start w:val="1"/>
      <w:numFmt w:val="bullet"/>
      <w:lvlText w:val="▪"/>
      <w:lvlJc w:val="left"/>
      <w:pPr>
        <w:tabs>
          <w:tab w:val="num" w:pos="375"/>
        </w:tabs>
        <w:ind w:left="375" w:hanging="375"/>
      </w:pPr>
      <w:rPr>
        <w:rFonts w:ascii="Times" w:eastAsia="Times" w:hAnsi="Times" w:cs="Times"/>
        <w:b/>
        <w:bCs/>
        <w:i/>
        <w:iCs/>
        <w:position w:val="0"/>
        <w:sz w:val="25"/>
        <w:szCs w:val="25"/>
      </w:rPr>
    </w:lvl>
    <w:lvl w:ilvl="1">
      <w:numFmt w:val="bullet"/>
      <w:lvlText w:val="o"/>
      <w:lvlJc w:val="left"/>
      <w:pPr>
        <w:tabs>
          <w:tab w:val="num" w:pos="851"/>
        </w:tabs>
        <w:ind w:left="851" w:hanging="131"/>
      </w:pPr>
      <w:rPr>
        <w:rFonts w:ascii="Times New Roman" w:eastAsia="Times New Roman" w:hAnsi="Times New Roman" w:cs="Times New Roman"/>
        <w:b/>
        <w:bCs/>
        <w:i/>
        <w:iCs/>
        <w:position w:val="0"/>
        <w:sz w:val="24"/>
        <w:szCs w:val="24"/>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14">
    <w:nsid w:val="21E9207E"/>
    <w:multiLevelType w:val="multilevel"/>
    <w:tmpl w:val="6B46F0D2"/>
    <w:lvl w:ilvl="0">
      <w:numFmt w:val="bullet"/>
      <w:lvlText w:val="➢"/>
      <w:lvlJc w:val="left"/>
      <w:pPr>
        <w:tabs>
          <w:tab w:val="num" w:pos="1080"/>
        </w:tabs>
        <w:ind w:left="1080" w:hanging="360"/>
      </w:pPr>
      <w:rPr>
        <w:rFonts w:ascii="Arial" w:eastAsia="Arial" w:hAnsi="Arial" w:cs="Arial"/>
        <w:b/>
        <w:bCs/>
        <w:position w:val="0"/>
        <w:sz w:val="24"/>
        <w:szCs w:val="24"/>
      </w:rPr>
    </w:lvl>
    <w:lvl w:ilvl="1">
      <w:start w:val="1"/>
      <w:numFmt w:val="bullet"/>
      <w:lvlText w:val="o"/>
      <w:lvlJc w:val="left"/>
      <w:pPr>
        <w:tabs>
          <w:tab w:val="num" w:pos="1755"/>
        </w:tabs>
        <w:ind w:left="1755" w:hanging="315"/>
      </w:pPr>
      <w:rPr>
        <w:rFonts w:ascii="Arial" w:eastAsia="Arial" w:hAnsi="Arial" w:cs="Arial"/>
        <w:b/>
        <w:bCs/>
        <w:position w:val="0"/>
        <w:sz w:val="21"/>
        <w:szCs w:val="21"/>
      </w:rPr>
    </w:lvl>
    <w:lvl w:ilvl="2">
      <w:start w:val="1"/>
      <w:numFmt w:val="bullet"/>
      <w:lvlText w:val="▪"/>
      <w:lvlJc w:val="left"/>
      <w:pPr>
        <w:tabs>
          <w:tab w:val="num" w:pos="2475"/>
        </w:tabs>
        <w:ind w:left="2475" w:hanging="315"/>
      </w:pPr>
      <w:rPr>
        <w:rFonts w:ascii="Arial" w:eastAsia="Arial" w:hAnsi="Arial" w:cs="Arial"/>
        <w:b/>
        <w:bCs/>
        <w:position w:val="0"/>
        <w:sz w:val="21"/>
        <w:szCs w:val="21"/>
      </w:rPr>
    </w:lvl>
    <w:lvl w:ilvl="3">
      <w:start w:val="1"/>
      <w:numFmt w:val="bullet"/>
      <w:lvlText w:val="•"/>
      <w:lvlJc w:val="left"/>
      <w:pPr>
        <w:tabs>
          <w:tab w:val="num" w:pos="3195"/>
        </w:tabs>
        <w:ind w:left="3195" w:hanging="315"/>
      </w:pPr>
      <w:rPr>
        <w:rFonts w:ascii="Arial" w:eastAsia="Arial" w:hAnsi="Arial" w:cs="Arial"/>
        <w:b/>
        <w:bCs/>
        <w:position w:val="0"/>
        <w:sz w:val="21"/>
        <w:szCs w:val="21"/>
      </w:rPr>
    </w:lvl>
    <w:lvl w:ilvl="4">
      <w:start w:val="1"/>
      <w:numFmt w:val="bullet"/>
      <w:lvlText w:val="o"/>
      <w:lvlJc w:val="left"/>
      <w:pPr>
        <w:tabs>
          <w:tab w:val="num" w:pos="3915"/>
        </w:tabs>
        <w:ind w:left="3915" w:hanging="315"/>
      </w:pPr>
      <w:rPr>
        <w:rFonts w:ascii="Arial" w:eastAsia="Arial" w:hAnsi="Arial" w:cs="Arial"/>
        <w:b/>
        <w:bCs/>
        <w:position w:val="0"/>
        <w:sz w:val="21"/>
        <w:szCs w:val="21"/>
      </w:rPr>
    </w:lvl>
    <w:lvl w:ilvl="5">
      <w:start w:val="1"/>
      <w:numFmt w:val="bullet"/>
      <w:lvlText w:val="▪"/>
      <w:lvlJc w:val="left"/>
      <w:pPr>
        <w:tabs>
          <w:tab w:val="num" w:pos="4635"/>
        </w:tabs>
        <w:ind w:left="4635" w:hanging="315"/>
      </w:pPr>
      <w:rPr>
        <w:rFonts w:ascii="Arial" w:eastAsia="Arial" w:hAnsi="Arial" w:cs="Arial"/>
        <w:b/>
        <w:bCs/>
        <w:position w:val="0"/>
        <w:sz w:val="21"/>
        <w:szCs w:val="21"/>
      </w:rPr>
    </w:lvl>
    <w:lvl w:ilvl="6">
      <w:start w:val="1"/>
      <w:numFmt w:val="bullet"/>
      <w:lvlText w:val="•"/>
      <w:lvlJc w:val="left"/>
      <w:pPr>
        <w:tabs>
          <w:tab w:val="num" w:pos="5355"/>
        </w:tabs>
        <w:ind w:left="5355" w:hanging="315"/>
      </w:pPr>
      <w:rPr>
        <w:rFonts w:ascii="Arial" w:eastAsia="Arial" w:hAnsi="Arial" w:cs="Arial"/>
        <w:b/>
        <w:bCs/>
        <w:position w:val="0"/>
        <w:sz w:val="21"/>
        <w:szCs w:val="21"/>
      </w:rPr>
    </w:lvl>
    <w:lvl w:ilvl="7">
      <w:start w:val="1"/>
      <w:numFmt w:val="bullet"/>
      <w:lvlText w:val="o"/>
      <w:lvlJc w:val="left"/>
      <w:pPr>
        <w:tabs>
          <w:tab w:val="num" w:pos="6075"/>
        </w:tabs>
        <w:ind w:left="6075" w:hanging="315"/>
      </w:pPr>
      <w:rPr>
        <w:rFonts w:ascii="Arial" w:eastAsia="Arial" w:hAnsi="Arial" w:cs="Arial"/>
        <w:b/>
        <w:bCs/>
        <w:position w:val="0"/>
        <w:sz w:val="21"/>
        <w:szCs w:val="21"/>
      </w:rPr>
    </w:lvl>
    <w:lvl w:ilvl="8">
      <w:start w:val="1"/>
      <w:numFmt w:val="bullet"/>
      <w:lvlText w:val="▪"/>
      <w:lvlJc w:val="left"/>
      <w:pPr>
        <w:tabs>
          <w:tab w:val="num" w:pos="6795"/>
        </w:tabs>
        <w:ind w:left="6795" w:hanging="315"/>
      </w:pPr>
      <w:rPr>
        <w:rFonts w:ascii="Arial" w:eastAsia="Arial" w:hAnsi="Arial" w:cs="Arial"/>
        <w:b/>
        <w:bCs/>
        <w:position w:val="0"/>
        <w:sz w:val="21"/>
        <w:szCs w:val="21"/>
      </w:rPr>
    </w:lvl>
  </w:abstractNum>
  <w:abstractNum w:abstractNumId="15">
    <w:nsid w:val="23064DCB"/>
    <w:multiLevelType w:val="hybridMultilevel"/>
    <w:tmpl w:val="768EC0C2"/>
    <w:lvl w:ilvl="0" w:tplc="0C0A0003">
      <w:start w:val="1"/>
      <w:numFmt w:val="bullet"/>
      <w:lvlText w:val="o"/>
      <w:lvlJc w:val="left"/>
      <w:pPr>
        <w:ind w:left="1571" w:hanging="360"/>
      </w:pPr>
      <w:rPr>
        <w:rFonts w:ascii="Courier New" w:hAnsi="Courier New" w:cs="Courier New"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6">
    <w:nsid w:val="23FC2E1D"/>
    <w:multiLevelType w:val="multilevel"/>
    <w:tmpl w:val="77E070FC"/>
    <w:lvl w:ilvl="0">
      <w:numFmt w:val="bullet"/>
      <w:lvlText w:val="▪"/>
      <w:lvlJc w:val="left"/>
      <w:pPr>
        <w:tabs>
          <w:tab w:val="num" w:pos="360"/>
        </w:tabs>
        <w:ind w:left="360" w:hanging="360"/>
      </w:pPr>
      <w:rPr>
        <w:rFonts w:ascii="Times New Roman" w:eastAsia="Times New Roman" w:hAnsi="Times New Roman" w:cs="Times New Roman"/>
        <w:b/>
        <w:bCs/>
        <w:i/>
        <w:iCs/>
        <w:position w:val="0"/>
        <w:sz w:val="24"/>
        <w:szCs w:val="24"/>
      </w:rPr>
    </w:lvl>
    <w:lvl w:ilvl="1">
      <w:start w:val="1"/>
      <w:numFmt w:val="bullet"/>
      <w:lvlText w:val="o"/>
      <w:lvlJc w:val="left"/>
      <w:pPr>
        <w:tabs>
          <w:tab w:val="num" w:pos="1095"/>
        </w:tabs>
        <w:ind w:left="1095" w:hanging="375"/>
      </w:pPr>
      <w:rPr>
        <w:rFonts w:ascii="Times" w:eastAsia="Times" w:hAnsi="Times" w:cs="Times"/>
        <w:b/>
        <w:bCs/>
        <w:i/>
        <w:iCs/>
        <w:position w:val="0"/>
        <w:sz w:val="25"/>
        <w:szCs w:val="25"/>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17">
    <w:nsid w:val="24A046DC"/>
    <w:multiLevelType w:val="multilevel"/>
    <w:tmpl w:val="65E2271C"/>
    <w:lvl w:ilvl="0">
      <w:numFmt w:val="bullet"/>
      <w:lvlText w:val="➢"/>
      <w:lvlJc w:val="left"/>
      <w:pPr>
        <w:tabs>
          <w:tab w:val="num" w:pos="1080"/>
        </w:tabs>
        <w:ind w:left="1080" w:hanging="360"/>
      </w:pPr>
      <w:rPr>
        <w:rFonts w:ascii="Arial" w:eastAsia="Arial" w:hAnsi="Arial" w:cs="Arial"/>
        <w:b/>
        <w:bCs/>
        <w:color w:val="000000"/>
        <w:position w:val="0"/>
        <w:sz w:val="24"/>
        <w:szCs w:val="24"/>
        <w:u w:color="000000"/>
      </w:rPr>
    </w:lvl>
    <w:lvl w:ilvl="1">
      <w:start w:val="1"/>
      <w:numFmt w:val="bullet"/>
      <w:lvlText w:val="o"/>
      <w:lvlJc w:val="left"/>
      <w:pPr>
        <w:tabs>
          <w:tab w:val="num" w:pos="1755"/>
        </w:tabs>
        <w:ind w:left="1755" w:hanging="315"/>
      </w:pPr>
      <w:rPr>
        <w:rFonts w:ascii="Arial" w:eastAsia="Arial" w:hAnsi="Arial" w:cs="Arial"/>
        <w:b/>
        <w:bCs/>
        <w:color w:val="000000"/>
        <w:position w:val="0"/>
        <w:sz w:val="21"/>
        <w:szCs w:val="21"/>
        <w:u w:color="000000"/>
      </w:rPr>
    </w:lvl>
    <w:lvl w:ilvl="2">
      <w:start w:val="1"/>
      <w:numFmt w:val="bullet"/>
      <w:lvlText w:val="▪"/>
      <w:lvlJc w:val="left"/>
      <w:pPr>
        <w:tabs>
          <w:tab w:val="num" w:pos="2475"/>
        </w:tabs>
        <w:ind w:left="2475" w:hanging="315"/>
      </w:pPr>
      <w:rPr>
        <w:rFonts w:ascii="Arial" w:eastAsia="Arial" w:hAnsi="Arial" w:cs="Arial"/>
        <w:b/>
        <w:bCs/>
        <w:color w:val="000000"/>
        <w:position w:val="0"/>
        <w:sz w:val="21"/>
        <w:szCs w:val="21"/>
        <w:u w:color="000000"/>
      </w:rPr>
    </w:lvl>
    <w:lvl w:ilvl="3">
      <w:start w:val="1"/>
      <w:numFmt w:val="bullet"/>
      <w:lvlText w:val="•"/>
      <w:lvlJc w:val="left"/>
      <w:pPr>
        <w:tabs>
          <w:tab w:val="num" w:pos="3195"/>
        </w:tabs>
        <w:ind w:left="3195" w:hanging="315"/>
      </w:pPr>
      <w:rPr>
        <w:rFonts w:ascii="Arial" w:eastAsia="Arial" w:hAnsi="Arial" w:cs="Arial"/>
        <w:b/>
        <w:bCs/>
        <w:color w:val="000000"/>
        <w:position w:val="0"/>
        <w:sz w:val="21"/>
        <w:szCs w:val="21"/>
        <w:u w:color="000000"/>
      </w:rPr>
    </w:lvl>
    <w:lvl w:ilvl="4">
      <w:start w:val="1"/>
      <w:numFmt w:val="bullet"/>
      <w:lvlText w:val="o"/>
      <w:lvlJc w:val="left"/>
      <w:pPr>
        <w:tabs>
          <w:tab w:val="num" w:pos="3915"/>
        </w:tabs>
        <w:ind w:left="3915" w:hanging="315"/>
      </w:pPr>
      <w:rPr>
        <w:rFonts w:ascii="Arial" w:eastAsia="Arial" w:hAnsi="Arial" w:cs="Arial"/>
        <w:b/>
        <w:bCs/>
        <w:color w:val="000000"/>
        <w:position w:val="0"/>
        <w:sz w:val="21"/>
        <w:szCs w:val="21"/>
        <w:u w:color="000000"/>
      </w:rPr>
    </w:lvl>
    <w:lvl w:ilvl="5">
      <w:start w:val="1"/>
      <w:numFmt w:val="bullet"/>
      <w:lvlText w:val="▪"/>
      <w:lvlJc w:val="left"/>
      <w:pPr>
        <w:tabs>
          <w:tab w:val="num" w:pos="4635"/>
        </w:tabs>
        <w:ind w:left="4635" w:hanging="315"/>
      </w:pPr>
      <w:rPr>
        <w:rFonts w:ascii="Arial" w:eastAsia="Arial" w:hAnsi="Arial" w:cs="Arial"/>
        <w:b/>
        <w:bCs/>
        <w:color w:val="000000"/>
        <w:position w:val="0"/>
        <w:sz w:val="21"/>
        <w:szCs w:val="21"/>
        <w:u w:color="000000"/>
      </w:rPr>
    </w:lvl>
    <w:lvl w:ilvl="6">
      <w:start w:val="1"/>
      <w:numFmt w:val="bullet"/>
      <w:lvlText w:val="•"/>
      <w:lvlJc w:val="left"/>
      <w:pPr>
        <w:tabs>
          <w:tab w:val="num" w:pos="5355"/>
        </w:tabs>
        <w:ind w:left="5355" w:hanging="315"/>
      </w:pPr>
      <w:rPr>
        <w:rFonts w:ascii="Arial" w:eastAsia="Arial" w:hAnsi="Arial" w:cs="Arial"/>
        <w:b/>
        <w:bCs/>
        <w:color w:val="000000"/>
        <w:position w:val="0"/>
        <w:sz w:val="21"/>
        <w:szCs w:val="21"/>
        <w:u w:color="000000"/>
      </w:rPr>
    </w:lvl>
    <w:lvl w:ilvl="7">
      <w:start w:val="1"/>
      <w:numFmt w:val="bullet"/>
      <w:lvlText w:val="o"/>
      <w:lvlJc w:val="left"/>
      <w:pPr>
        <w:tabs>
          <w:tab w:val="num" w:pos="6075"/>
        </w:tabs>
        <w:ind w:left="6075" w:hanging="315"/>
      </w:pPr>
      <w:rPr>
        <w:rFonts w:ascii="Arial" w:eastAsia="Arial" w:hAnsi="Arial" w:cs="Arial"/>
        <w:b/>
        <w:bCs/>
        <w:color w:val="000000"/>
        <w:position w:val="0"/>
        <w:sz w:val="21"/>
        <w:szCs w:val="21"/>
        <w:u w:color="000000"/>
      </w:rPr>
    </w:lvl>
    <w:lvl w:ilvl="8">
      <w:start w:val="1"/>
      <w:numFmt w:val="bullet"/>
      <w:lvlText w:val="▪"/>
      <w:lvlJc w:val="left"/>
      <w:pPr>
        <w:tabs>
          <w:tab w:val="num" w:pos="6795"/>
        </w:tabs>
        <w:ind w:left="6795" w:hanging="315"/>
      </w:pPr>
      <w:rPr>
        <w:rFonts w:ascii="Arial" w:eastAsia="Arial" w:hAnsi="Arial" w:cs="Arial"/>
        <w:b/>
        <w:bCs/>
        <w:color w:val="000000"/>
        <w:position w:val="0"/>
        <w:sz w:val="21"/>
        <w:szCs w:val="21"/>
        <w:u w:color="000000"/>
      </w:rPr>
    </w:lvl>
  </w:abstractNum>
  <w:abstractNum w:abstractNumId="18">
    <w:nsid w:val="27C86198"/>
    <w:multiLevelType w:val="multilevel"/>
    <w:tmpl w:val="A744863C"/>
    <w:lvl w:ilvl="0">
      <w:numFmt w:val="bullet"/>
      <w:lvlText w:val="➢"/>
      <w:lvlJc w:val="left"/>
      <w:pPr>
        <w:tabs>
          <w:tab w:val="num" w:pos="1080"/>
        </w:tabs>
        <w:ind w:left="1080" w:hanging="360"/>
      </w:pPr>
      <w:rPr>
        <w:rFonts w:ascii="Arial" w:eastAsia="Arial" w:hAnsi="Arial" w:cs="Arial"/>
        <w:b/>
        <w:bCs/>
        <w:position w:val="0"/>
        <w:sz w:val="24"/>
        <w:szCs w:val="24"/>
      </w:rPr>
    </w:lvl>
    <w:lvl w:ilvl="1">
      <w:start w:val="1"/>
      <w:numFmt w:val="bullet"/>
      <w:lvlText w:val="o"/>
      <w:lvlJc w:val="left"/>
      <w:pPr>
        <w:tabs>
          <w:tab w:val="num" w:pos="1755"/>
        </w:tabs>
        <w:ind w:left="1755" w:hanging="315"/>
      </w:pPr>
      <w:rPr>
        <w:rFonts w:ascii="Arial" w:eastAsia="Arial" w:hAnsi="Arial" w:cs="Arial"/>
        <w:b/>
        <w:bCs/>
        <w:position w:val="0"/>
        <w:sz w:val="21"/>
        <w:szCs w:val="21"/>
      </w:rPr>
    </w:lvl>
    <w:lvl w:ilvl="2">
      <w:start w:val="1"/>
      <w:numFmt w:val="bullet"/>
      <w:lvlText w:val="▪"/>
      <w:lvlJc w:val="left"/>
      <w:pPr>
        <w:tabs>
          <w:tab w:val="num" w:pos="2475"/>
        </w:tabs>
        <w:ind w:left="2475" w:hanging="315"/>
      </w:pPr>
      <w:rPr>
        <w:rFonts w:ascii="Arial" w:eastAsia="Arial" w:hAnsi="Arial" w:cs="Arial"/>
        <w:b/>
        <w:bCs/>
        <w:position w:val="0"/>
        <w:sz w:val="21"/>
        <w:szCs w:val="21"/>
      </w:rPr>
    </w:lvl>
    <w:lvl w:ilvl="3">
      <w:start w:val="1"/>
      <w:numFmt w:val="bullet"/>
      <w:lvlText w:val="•"/>
      <w:lvlJc w:val="left"/>
      <w:pPr>
        <w:tabs>
          <w:tab w:val="num" w:pos="3195"/>
        </w:tabs>
        <w:ind w:left="3195" w:hanging="315"/>
      </w:pPr>
      <w:rPr>
        <w:rFonts w:ascii="Arial" w:eastAsia="Arial" w:hAnsi="Arial" w:cs="Arial"/>
        <w:b/>
        <w:bCs/>
        <w:position w:val="0"/>
        <w:sz w:val="21"/>
        <w:szCs w:val="21"/>
      </w:rPr>
    </w:lvl>
    <w:lvl w:ilvl="4">
      <w:start w:val="1"/>
      <w:numFmt w:val="bullet"/>
      <w:lvlText w:val="o"/>
      <w:lvlJc w:val="left"/>
      <w:pPr>
        <w:tabs>
          <w:tab w:val="num" w:pos="3915"/>
        </w:tabs>
        <w:ind w:left="3915" w:hanging="315"/>
      </w:pPr>
      <w:rPr>
        <w:rFonts w:ascii="Arial" w:eastAsia="Arial" w:hAnsi="Arial" w:cs="Arial"/>
        <w:b/>
        <w:bCs/>
        <w:position w:val="0"/>
        <w:sz w:val="21"/>
        <w:szCs w:val="21"/>
      </w:rPr>
    </w:lvl>
    <w:lvl w:ilvl="5">
      <w:start w:val="1"/>
      <w:numFmt w:val="bullet"/>
      <w:lvlText w:val="▪"/>
      <w:lvlJc w:val="left"/>
      <w:pPr>
        <w:tabs>
          <w:tab w:val="num" w:pos="4635"/>
        </w:tabs>
        <w:ind w:left="4635" w:hanging="315"/>
      </w:pPr>
      <w:rPr>
        <w:rFonts w:ascii="Arial" w:eastAsia="Arial" w:hAnsi="Arial" w:cs="Arial"/>
        <w:b/>
        <w:bCs/>
        <w:position w:val="0"/>
        <w:sz w:val="21"/>
        <w:szCs w:val="21"/>
      </w:rPr>
    </w:lvl>
    <w:lvl w:ilvl="6">
      <w:start w:val="1"/>
      <w:numFmt w:val="bullet"/>
      <w:lvlText w:val="•"/>
      <w:lvlJc w:val="left"/>
      <w:pPr>
        <w:tabs>
          <w:tab w:val="num" w:pos="5355"/>
        </w:tabs>
        <w:ind w:left="5355" w:hanging="315"/>
      </w:pPr>
      <w:rPr>
        <w:rFonts w:ascii="Arial" w:eastAsia="Arial" w:hAnsi="Arial" w:cs="Arial"/>
        <w:b/>
        <w:bCs/>
        <w:position w:val="0"/>
        <w:sz w:val="21"/>
        <w:szCs w:val="21"/>
      </w:rPr>
    </w:lvl>
    <w:lvl w:ilvl="7">
      <w:start w:val="1"/>
      <w:numFmt w:val="bullet"/>
      <w:lvlText w:val="o"/>
      <w:lvlJc w:val="left"/>
      <w:pPr>
        <w:tabs>
          <w:tab w:val="num" w:pos="6075"/>
        </w:tabs>
        <w:ind w:left="6075" w:hanging="315"/>
      </w:pPr>
      <w:rPr>
        <w:rFonts w:ascii="Arial" w:eastAsia="Arial" w:hAnsi="Arial" w:cs="Arial"/>
        <w:b/>
        <w:bCs/>
        <w:position w:val="0"/>
        <w:sz w:val="21"/>
        <w:szCs w:val="21"/>
      </w:rPr>
    </w:lvl>
    <w:lvl w:ilvl="8">
      <w:start w:val="1"/>
      <w:numFmt w:val="bullet"/>
      <w:lvlText w:val="▪"/>
      <w:lvlJc w:val="left"/>
      <w:pPr>
        <w:tabs>
          <w:tab w:val="num" w:pos="6795"/>
        </w:tabs>
        <w:ind w:left="6795" w:hanging="315"/>
      </w:pPr>
      <w:rPr>
        <w:rFonts w:ascii="Arial" w:eastAsia="Arial" w:hAnsi="Arial" w:cs="Arial"/>
        <w:b/>
        <w:bCs/>
        <w:position w:val="0"/>
        <w:sz w:val="21"/>
        <w:szCs w:val="21"/>
      </w:rPr>
    </w:lvl>
  </w:abstractNum>
  <w:abstractNum w:abstractNumId="19">
    <w:nsid w:val="29FE1FDA"/>
    <w:multiLevelType w:val="hybridMultilevel"/>
    <w:tmpl w:val="3F4C9B48"/>
    <w:lvl w:ilvl="0" w:tplc="E5D0F60E">
      <w:start w:val="1"/>
      <w:numFmt w:val="bullet"/>
      <w:lvlText w:val=""/>
      <w:lvlJc w:val="left"/>
      <w:pPr>
        <w:ind w:left="720" w:hanging="360"/>
      </w:pPr>
      <w:rPr>
        <w:rFonts w:ascii="Wingdings" w:hAnsi="Wingdings" w:hint="default"/>
        <w:sz w:val="26"/>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A9722B5"/>
    <w:multiLevelType w:val="multilevel"/>
    <w:tmpl w:val="6D6A19FE"/>
    <w:lvl w:ilvl="0">
      <w:numFmt w:val="bullet"/>
      <w:lvlText w:val="▪"/>
      <w:lvlJc w:val="left"/>
      <w:pPr>
        <w:tabs>
          <w:tab w:val="num" w:pos="360"/>
        </w:tabs>
        <w:ind w:left="360" w:hanging="360"/>
      </w:pPr>
      <w:rPr>
        <w:rFonts w:ascii="Arial" w:eastAsia="Arial" w:hAnsi="Arial" w:cs="Arial"/>
        <w:b/>
        <w:bCs/>
        <w:position w:val="0"/>
        <w:sz w:val="24"/>
        <w:szCs w:val="24"/>
      </w:rPr>
    </w:lvl>
    <w:lvl w:ilvl="1">
      <w:start w:val="1"/>
      <w:numFmt w:val="bullet"/>
      <w:lvlText w:val="o"/>
      <w:lvlJc w:val="left"/>
      <w:pPr>
        <w:tabs>
          <w:tab w:val="num" w:pos="1035"/>
        </w:tabs>
        <w:ind w:left="1035" w:hanging="315"/>
      </w:pPr>
      <w:rPr>
        <w:rFonts w:ascii="Arial" w:eastAsia="Arial" w:hAnsi="Arial" w:cs="Arial"/>
        <w:b/>
        <w:bCs/>
        <w:position w:val="0"/>
        <w:sz w:val="21"/>
        <w:szCs w:val="21"/>
      </w:rPr>
    </w:lvl>
    <w:lvl w:ilvl="2">
      <w:start w:val="1"/>
      <w:numFmt w:val="bullet"/>
      <w:lvlText w:val="▪"/>
      <w:lvlJc w:val="left"/>
      <w:pPr>
        <w:tabs>
          <w:tab w:val="num" w:pos="1755"/>
        </w:tabs>
        <w:ind w:left="1755" w:hanging="315"/>
      </w:pPr>
      <w:rPr>
        <w:rFonts w:ascii="Arial" w:eastAsia="Arial" w:hAnsi="Arial" w:cs="Arial"/>
        <w:b/>
        <w:bCs/>
        <w:position w:val="0"/>
        <w:sz w:val="21"/>
        <w:szCs w:val="21"/>
      </w:rPr>
    </w:lvl>
    <w:lvl w:ilvl="3">
      <w:start w:val="1"/>
      <w:numFmt w:val="bullet"/>
      <w:lvlText w:val="•"/>
      <w:lvlJc w:val="left"/>
      <w:pPr>
        <w:tabs>
          <w:tab w:val="num" w:pos="2475"/>
        </w:tabs>
        <w:ind w:left="2475" w:hanging="315"/>
      </w:pPr>
      <w:rPr>
        <w:rFonts w:ascii="Arial" w:eastAsia="Arial" w:hAnsi="Arial" w:cs="Arial"/>
        <w:b/>
        <w:bCs/>
        <w:position w:val="0"/>
        <w:sz w:val="21"/>
        <w:szCs w:val="21"/>
      </w:rPr>
    </w:lvl>
    <w:lvl w:ilvl="4">
      <w:start w:val="1"/>
      <w:numFmt w:val="bullet"/>
      <w:lvlText w:val="o"/>
      <w:lvlJc w:val="left"/>
      <w:pPr>
        <w:tabs>
          <w:tab w:val="num" w:pos="3195"/>
        </w:tabs>
        <w:ind w:left="3195" w:hanging="315"/>
      </w:pPr>
      <w:rPr>
        <w:rFonts w:ascii="Arial" w:eastAsia="Arial" w:hAnsi="Arial" w:cs="Arial"/>
        <w:b/>
        <w:bCs/>
        <w:position w:val="0"/>
        <w:sz w:val="21"/>
        <w:szCs w:val="21"/>
      </w:rPr>
    </w:lvl>
    <w:lvl w:ilvl="5">
      <w:start w:val="1"/>
      <w:numFmt w:val="bullet"/>
      <w:lvlText w:val="▪"/>
      <w:lvlJc w:val="left"/>
      <w:pPr>
        <w:tabs>
          <w:tab w:val="num" w:pos="3915"/>
        </w:tabs>
        <w:ind w:left="3915" w:hanging="315"/>
      </w:pPr>
      <w:rPr>
        <w:rFonts w:ascii="Arial" w:eastAsia="Arial" w:hAnsi="Arial" w:cs="Arial"/>
        <w:b/>
        <w:bCs/>
        <w:position w:val="0"/>
        <w:sz w:val="21"/>
        <w:szCs w:val="21"/>
      </w:rPr>
    </w:lvl>
    <w:lvl w:ilvl="6">
      <w:start w:val="1"/>
      <w:numFmt w:val="bullet"/>
      <w:lvlText w:val="•"/>
      <w:lvlJc w:val="left"/>
      <w:pPr>
        <w:tabs>
          <w:tab w:val="num" w:pos="4635"/>
        </w:tabs>
        <w:ind w:left="4635" w:hanging="315"/>
      </w:pPr>
      <w:rPr>
        <w:rFonts w:ascii="Arial" w:eastAsia="Arial" w:hAnsi="Arial" w:cs="Arial"/>
        <w:b/>
        <w:bCs/>
        <w:position w:val="0"/>
        <w:sz w:val="21"/>
        <w:szCs w:val="21"/>
      </w:rPr>
    </w:lvl>
    <w:lvl w:ilvl="7">
      <w:start w:val="1"/>
      <w:numFmt w:val="bullet"/>
      <w:lvlText w:val="o"/>
      <w:lvlJc w:val="left"/>
      <w:pPr>
        <w:tabs>
          <w:tab w:val="num" w:pos="5355"/>
        </w:tabs>
        <w:ind w:left="5355" w:hanging="315"/>
      </w:pPr>
      <w:rPr>
        <w:rFonts w:ascii="Arial" w:eastAsia="Arial" w:hAnsi="Arial" w:cs="Arial"/>
        <w:b/>
        <w:bCs/>
        <w:position w:val="0"/>
        <w:sz w:val="21"/>
        <w:szCs w:val="21"/>
      </w:rPr>
    </w:lvl>
    <w:lvl w:ilvl="8">
      <w:start w:val="1"/>
      <w:numFmt w:val="bullet"/>
      <w:lvlText w:val="▪"/>
      <w:lvlJc w:val="left"/>
      <w:pPr>
        <w:tabs>
          <w:tab w:val="num" w:pos="6075"/>
        </w:tabs>
        <w:ind w:left="6075" w:hanging="315"/>
      </w:pPr>
      <w:rPr>
        <w:rFonts w:ascii="Arial" w:eastAsia="Arial" w:hAnsi="Arial" w:cs="Arial"/>
        <w:b/>
        <w:bCs/>
        <w:position w:val="0"/>
        <w:sz w:val="21"/>
        <w:szCs w:val="21"/>
      </w:rPr>
    </w:lvl>
  </w:abstractNum>
  <w:abstractNum w:abstractNumId="21">
    <w:nsid w:val="2ABB03E8"/>
    <w:multiLevelType w:val="multilevel"/>
    <w:tmpl w:val="3182CB16"/>
    <w:lvl w:ilvl="0">
      <w:numFmt w:val="bullet"/>
      <w:lvlText w:val="▪"/>
      <w:lvlJc w:val="left"/>
      <w:pPr>
        <w:tabs>
          <w:tab w:val="num" w:pos="291"/>
        </w:tabs>
        <w:ind w:left="291" w:hanging="291"/>
      </w:pPr>
      <w:rPr>
        <w:rFonts w:ascii="Verdana" w:eastAsia="Verdana" w:hAnsi="Verdana" w:cs="Verdana"/>
        <w:position w:val="0"/>
        <w:sz w:val="26"/>
        <w:szCs w:val="26"/>
        <w:lang w:val="es-ES_tradnl"/>
      </w:rPr>
    </w:lvl>
    <w:lvl w:ilvl="1">
      <w:start w:val="1"/>
      <w:numFmt w:val="bullet"/>
      <w:lvlText w:val="o"/>
      <w:lvlJc w:val="left"/>
      <w:pPr>
        <w:tabs>
          <w:tab w:val="num" w:pos="1035"/>
        </w:tabs>
        <w:ind w:left="1035" w:hanging="315"/>
      </w:pPr>
      <w:rPr>
        <w:rFonts w:ascii="Arial" w:eastAsia="Arial" w:hAnsi="Arial" w:cs="Arial"/>
        <w:position w:val="0"/>
        <w:sz w:val="21"/>
        <w:szCs w:val="21"/>
        <w:lang w:val="es-ES_tradnl"/>
      </w:rPr>
    </w:lvl>
    <w:lvl w:ilvl="2">
      <w:start w:val="1"/>
      <w:numFmt w:val="bullet"/>
      <w:lvlText w:val="▪"/>
      <w:lvlJc w:val="left"/>
      <w:pPr>
        <w:tabs>
          <w:tab w:val="num" w:pos="1755"/>
        </w:tabs>
        <w:ind w:left="1755" w:hanging="315"/>
      </w:pPr>
      <w:rPr>
        <w:rFonts w:ascii="Arial" w:eastAsia="Arial" w:hAnsi="Arial" w:cs="Arial"/>
        <w:position w:val="0"/>
        <w:sz w:val="21"/>
        <w:szCs w:val="21"/>
        <w:lang w:val="es-ES_tradnl"/>
      </w:rPr>
    </w:lvl>
    <w:lvl w:ilvl="3">
      <w:start w:val="1"/>
      <w:numFmt w:val="bullet"/>
      <w:lvlText w:val="•"/>
      <w:lvlJc w:val="left"/>
      <w:pPr>
        <w:tabs>
          <w:tab w:val="num" w:pos="2475"/>
        </w:tabs>
        <w:ind w:left="2475" w:hanging="315"/>
      </w:pPr>
      <w:rPr>
        <w:rFonts w:ascii="Arial" w:eastAsia="Arial" w:hAnsi="Arial" w:cs="Arial"/>
        <w:position w:val="0"/>
        <w:sz w:val="21"/>
        <w:szCs w:val="21"/>
        <w:lang w:val="es-ES_tradnl"/>
      </w:rPr>
    </w:lvl>
    <w:lvl w:ilvl="4">
      <w:start w:val="1"/>
      <w:numFmt w:val="bullet"/>
      <w:lvlText w:val="o"/>
      <w:lvlJc w:val="left"/>
      <w:pPr>
        <w:tabs>
          <w:tab w:val="num" w:pos="3195"/>
        </w:tabs>
        <w:ind w:left="3195" w:hanging="315"/>
      </w:pPr>
      <w:rPr>
        <w:rFonts w:ascii="Arial" w:eastAsia="Arial" w:hAnsi="Arial" w:cs="Arial"/>
        <w:position w:val="0"/>
        <w:sz w:val="21"/>
        <w:szCs w:val="21"/>
        <w:lang w:val="es-ES_tradnl"/>
      </w:rPr>
    </w:lvl>
    <w:lvl w:ilvl="5">
      <w:start w:val="1"/>
      <w:numFmt w:val="bullet"/>
      <w:lvlText w:val="▪"/>
      <w:lvlJc w:val="left"/>
      <w:pPr>
        <w:tabs>
          <w:tab w:val="num" w:pos="3915"/>
        </w:tabs>
        <w:ind w:left="3915" w:hanging="315"/>
      </w:pPr>
      <w:rPr>
        <w:rFonts w:ascii="Arial" w:eastAsia="Arial" w:hAnsi="Arial" w:cs="Arial"/>
        <w:position w:val="0"/>
        <w:sz w:val="21"/>
        <w:szCs w:val="21"/>
        <w:lang w:val="es-ES_tradnl"/>
      </w:rPr>
    </w:lvl>
    <w:lvl w:ilvl="6">
      <w:start w:val="1"/>
      <w:numFmt w:val="bullet"/>
      <w:lvlText w:val="•"/>
      <w:lvlJc w:val="left"/>
      <w:pPr>
        <w:tabs>
          <w:tab w:val="num" w:pos="4635"/>
        </w:tabs>
        <w:ind w:left="4635" w:hanging="315"/>
      </w:pPr>
      <w:rPr>
        <w:rFonts w:ascii="Arial" w:eastAsia="Arial" w:hAnsi="Arial" w:cs="Arial"/>
        <w:position w:val="0"/>
        <w:sz w:val="21"/>
        <w:szCs w:val="21"/>
        <w:lang w:val="es-ES_tradnl"/>
      </w:rPr>
    </w:lvl>
    <w:lvl w:ilvl="7">
      <w:start w:val="1"/>
      <w:numFmt w:val="bullet"/>
      <w:lvlText w:val="o"/>
      <w:lvlJc w:val="left"/>
      <w:pPr>
        <w:tabs>
          <w:tab w:val="num" w:pos="5355"/>
        </w:tabs>
        <w:ind w:left="5355" w:hanging="315"/>
      </w:pPr>
      <w:rPr>
        <w:rFonts w:ascii="Arial" w:eastAsia="Arial" w:hAnsi="Arial" w:cs="Arial"/>
        <w:position w:val="0"/>
        <w:sz w:val="21"/>
        <w:szCs w:val="21"/>
        <w:lang w:val="es-ES_tradnl"/>
      </w:rPr>
    </w:lvl>
    <w:lvl w:ilvl="8">
      <w:start w:val="1"/>
      <w:numFmt w:val="bullet"/>
      <w:lvlText w:val="▪"/>
      <w:lvlJc w:val="left"/>
      <w:pPr>
        <w:tabs>
          <w:tab w:val="num" w:pos="6075"/>
        </w:tabs>
        <w:ind w:left="6075" w:hanging="315"/>
      </w:pPr>
      <w:rPr>
        <w:rFonts w:ascii="Arial" w:eastAsia="Arial" w:hAnsi="Arial" w:cs="Arial"/>
        <w:position w:val="0"/>
        <w:sz w:val="21"/>
        <w:szCs w:val="21"/>
        <w:lang w:val="es-ES_tradnl"/>
      </w:rPr>
    </w:lvl>
  </w:abstractNum>
  <w:abstractNum w:abstractNumId="22">
    <w:nsid w:val="2BF16E5C"/>
    <w:multiLevelType w:val="multilevel"/>
    <w:tmpl w:val="3E32871A"/>
    <w:lvl w:ilvl="0">
      <w:numFmt w:val="bullet"/>
      <w:lvlText w:val="➢"/>
      <w:lvlJc w:val="left"/>
      <w:pPr>
        <w:tabs>
          <w:tab w:val="num" w:pos="1080"/>
        </w:tabs>
        <w:ind w:left="1080" w:hanging="360"/>
      </w:pPr>
      <w:rPr>
        <w:rFonts w:ascii="Arial" w:eastAsia="Arial" w:hAnsi="Arial" w:cs="Arial"/>
        <w:b/>
        <w:bCs/>
        <w:position w:val="0"/>
        <w:sz w:val="24"/>
        <w:szCs w:val="24"/>
      </w:rPr>
    </w:lvl>
    <w:lvl w:ilvl="1">
      <w:start w:val="1"/>
      <w:numFmt w:val="bullet"/>
      <w:lvlText w:val="o"/>
      <w:lvlJc w:val="left"/>
      <w:pPr>
        <w:tabs>
          <w:tab w:val="num" w:pos="1755"/>
        </w:tabs>
        <w:ind w:left="1755" w:hanging="315"/>
      </w:pPr>
      <w:rPr>
        <w:rFonts w:ascii="Arial" w:eastAsia="Arial" w:hAnsi="Arial" w:cs="Arial"/>
        <w:b/>
        <w:bCs/>
        <w:position w:val="0"/>
        <w:sz w:val="21"/>
        <w:szCs w:val="21"/>
      </w:rPr>
    </w:lvl>
    <w:lvl w:ilvl="2">
      <w:start w:val="1"/>
      <w:numFmt w:val="bullet"/>
      <w:lvlText w:val="▪"/>
      <w:lvlJc w:val="left"/>
      <w:pPr>
        <w:tabs>
          <w:tab w:val="num" w:pos="2475"/>
        </w:tabs>
        <w:ind w:left="2475" w:hanging="315"/>
      </w:pPr>
      <w:rPr>
        <w:rFonts w:ascii="Arial" w:eastAsia="Arial" w:hAnsi="Arial" w:cs="Arial"/>
        <w:b/>
        <w:bCs/>
        <w:position w:val="0"/>
        <w:sz w:val="21"/>
        <w:szCs w:val="21"/>
      </w:rPr>
    </w:lvl>
    <w:lvl w:ilvl="3">
      <w:start w:val="1"/>
      <w:numFmt w:val="bullet"/>
      <w:lvlText w:val="•"/>
      <w:lvlJc w:val="left"/>
      <w:pPr>
        <w:tabs>
          <w:tab w:val="num" w:pos="3195"/>
        </w:tabs>
        <w:ind w:left="3195" w:hanging="315"/>
      </w:pPr>
      <w:rPr>
        <w:rFonts w:ascii="Arial" w:eastAsia="Arial" w:hAnsi="Arial" w:cs="Arial"/>
        <w:b/>
        <w:bCs/>
        <w:position w:val="0"/>
        <w:sz w:val="21"/>
        <w:szCs w:val="21"/>
      </w:rPr>
    </w:lvl>
    <w:lvl w:ilvl="4">
      <w:start w:val="1"/>
      <w:numFmt w:val="bullet"/>
      <w:lvlText w:val="o"/>
      <w:lvlJc w:val="left"/>
      <w:pPr>
        <w:tabs>
          <w:tab w:val="num" w:pos="3915"/>
        </w:tabs>
        <w:ind w:left="3915" w:hanging="315"/>
      </w:pPr>
      <w:rPr>
        <w:rFonts w:ascii="Arial" w:eastAsia="Arial" w:hAnsi="Arial" w:cs="Arial"/>
        <w:b/>
        <w:bCs/>
        <w:position w:val="0"/>
        <w:sz w:val="21"/>
        <w:szCs w:val="21"/>
      </w:rPr>
    </w:lvl>
    <w:lvl w:ilvl="5">
      <w:start w:val="1"/>
      <w:numFmt w:val="bullet"/>
      <w:lvlText w:val="▪"/>
      <w:lvlJc w:val="left"/>
      <w:pPr>
        <w:tabs>
          <w:tab w:val="num" w:pos="4635"/>
        </w:tabs>
        <w:ind w:left="4635" w:hanging="315"/>
      </w:pPr>
      <w:rPr>
        <w:rFonts w:ascii="Arial" w:eastAsia="Arial" w:hAnsi="Arial" w:cs="Arial"/>
        <w:b/>
        <w:bCs/>
        <w:position w:val="0"/>
        <w:sz w:val="21"/>
        <w:szCs w:val="21"/>
      </w:rPr>
    </w:lvl>
    <w:lvl w:ilvl="6">
      <w:start w:val="1"/>
      <w:numFmt w:val="bullet"/>
      <w:lvlText w:val="•"/>
      <w:lvlJc w:val="left"/>
      <w:pPr>
        <w:tabs>
          <w:tab w:val="num" w:pos="5355"/>
        </w:tabs>
        <w:ind w:left="5355" w:hanging="315"/>
      </w:pPr>
      <w:rPr>
        <w:rFonts w:ascii="Arial" w:eastAsia="Arial" w:hAnsi="Arial" w:cs="Arial"/>
        <w:b/>
        <w:bCs/>
        <w:position w:val="0"/>
        <w:sz w:val="21"/>
        <w:szCs w:val="21"/>
      </w:rPr>
    </w:lvl>
    <w:lvl w:ilvl="7">
      <w:start w:val="1"/>
      <w:numFmt w:val="bullet"/>
      <w:lvlText w:val="o"/>
      <w:lvlJc w:val="left"/>
      <w:pPr>
        <w:tabs>
          <w:tab w:val="num" w:pos="6075"/>
        </w:tabs>
        <w:ind w:left="6075" w:hanging="315"/>
      </w:pPr>
      <w:rPr>
        <w:rFonts w:ascii="Arial" w:eastAsia="Arial" w:hAnsi="Arial" w:cs="Arial"/>
        <w:b/>
        <w:bCs/>
        <w:position w:val="0"/>
        <w:sz w:val="21"/>
        <w:szCs w:val="21"/>
      </w:rPr>
    </w:lvl>
    <w:lvl w:ilvl="8">
      <w:start w:val="1"/>
      <w:numFmt w:val="bullet"/>
      <w:lvlText w:val="▪"/>
      <w:lvlJc w:val="left"/>
      <w:pPr>
        <w:tabs>
          <w:tab w:val="num" w:pos="6795"/>
        </w:tabs>
        <w:ind w:left="6795" w:hanging="315"/>
      </w:pPr>
      <w:rPr>
        <w:rFonts w:ascii="Arial" w:eastAsia="Arial" w:hAnsi="Arial" w:cs="Arial"/>
        <w:b/>
        <w:bCs/>
        <w:position w:val="0"/>
        <w:sz w:val="21"/>
        <w:szCs w:val="21"/>
      </w:rPr>
    </w:lvl>
  </w:abstractNum>
  <w:abstractNum w:abstractNumId="23">
    <w:nsid w:val="2F7719DE"/>
    <w:multiLevelType w:val="multilevel"/>
    <w:tmpl w:val="2C98347E"/>
    <w:styleLink w:val="Lista41"/>
    <w:lvl w:ilvl="0">
      <w:numFmt w:val="bullet"/>
      <w:lvlText w:val="▪"/>
      <w:lvlJc w:val="left"/>
      <w:rPr>
        <w:rFonts w:ascii="Arial" w:eastAsia="Arial" w:hAnsi="Arial" w:cs="Arial"/>
        <w:b w:val="0"/>
        <w:bCs w:val="0"/>
        <w:position w:val="0"/>
        <w:rtl w:val="0"/>
        <w:lang w:val="es-ES_tradnl"/>
      </w:rPr>
    </w:lvl>
    <w:lvl w:ilvl="1">
      <w:start w:val="1"/>
      <w:numFmt w:val="bullet"/>
      <w:lvlText w:val="o"/>
      <w:lvlJc w:val="left"/>
      <w:rPr>
        <w:rFonts w:ascii="Arial" w:eastAsia="Arial" w:hAnsi="Arial" w:cs="Arial"/>
        <w:b/>
        <w:bCs/>
        <w:position w:val="0"/>
        <w:rtl w:val="0"/>
        <w:lang w:val="es-ES_tradnl"/>
      </w:rPr>
    </w:lvl>
    <w:lvl w:ilvl="2">
      <w:start w:val="1"/>
      <w:numFmt w:val="bullet"/>
      <w:lvlText w:val="▪"/>
      <w:lvlJc w:val="left"/>
      <w:rPr>
        <w:rFonts w:ascii="Arial" w:eastAsia="Arial" w:hAnsi="Arial" w:cs="Arial"/>
        <w:b/>
        <w:bCs/>
        <w:position w:val="0"/>
        <w:rtl w:val="0"/>
        <w:lang w:val="es-ES_tradnl"/>
      </w:rPr>
    </w:lvl>
    <w:lvl w:ilvl="3">
      <w:start w:val="1"/>
      <w:numFmt w:val="bullet"/>
      <w:lvlText w:val="•"/>
      <w:lvlJc w:val="left"/>
      <w:rPr>
        <w:rFonts w:ascii="Arial" w:eastAsia="Arial" w:hAnsi="Arial" w:cs="Arial"/>
        <w:b/>
        <w:bCs/>
        <w:position w:val="0"/>
        <w:rtl w:val="0"/>
        <w:lang w:val="es-ES_tradnl"/>
      </w:rPr>
    </w:lvl>
    <w:lvl w:ilvl="4">
      <w:start w:val="1"/>
      <w:numFmt w:val="bullet"/>
      <w:lvlText w:val="o"/>
      <w:lvlJc w:val="left"/>
      <w:rPr>
        <w:rFonts w:ascii="Arial" w:eastAsia="Arial" w:hAnsi="Arial" w:cs="Arial"/>
        <w:b/>
        <w:bCs/>
        <w:position w:val="0"/>
        <w:rtl w:val="0"/>
        <w:lang w:val="es-ES_tradnl"/>
      </w:rPr>
    </w:lvl>
    <w:lvl w:ilvl="5">
      <w:start w:val="1"/>
      <w:numFmt w:val="bullet"/>
      <w:lvlText w:val="▪"/>
      <w:lvlJc w:val="left"/>
      <w:rPr>
        <w:rFonts w:ascii="Arial" w:eastAsia="Arial" w:hAnsi="Arial" w:cs="Arial"/>
        <w:b/>
        <w:bCs/>
        <w:position w:val="0"/>
        <w:rtl w:val="0"/>
        <w:lang w:val="es-ES_tradnl"/>
      </w:rPr>
    </w:lvl>
    <w:lvl w:ilvl="6">
      <w:start w:val="1"/>
      <w:numFmt w:val="bullet"/>
      <w:lvlText w:val="•"/>
      <w:lvlJc w:val="left"/>
      <w:rPr>
        <w:rFonts w:ascii="Arial" w:eastAsia="Arial" w:hAnsi="Arial" w:cs="Arial"/>
        <w:b/>
        <w:bCs/>
        <w:position w:val="0"/>
        <w:rtl w:val="0"/>
        <w:lang w:val="es-ES_tradnl"/>
      </w:rPr>
    </w:lvl>
    <w:lvl w:ilvl="7">
      <w:start w:val="1"/>
      <w:numFmt w:val="bullet"/>
      <w:lvlText w:val="o"/>
      <w:lvlJc w:val="left"/>
      <w:rPr>
        <w:rFonts w:ascii="Arial" w:eastAsia="Arial" w:hAnsi="Arial" w:cs="Arial"/>
        <w:b/>
        <w:bCs/>
        <w:position w:val="0"/>
        <w:rtl w:val="0"/>
        <w:lang w:val="es-ES_tradnl"/>
      </w:rPr>
    </w:lvl>
    <w:lvl w:ilvl="8">
      <w:start w:val="1"/>
      <w:numFmt w:val="bullet"/>
      <w:lvlText w:val="▪"/>
      <w:lvlJc w:val="left"/>
      <w:rPr>
        <w:rFonts w:ascii="Arial" w:eastAsia="Arial" w:hAnsi="Arial" w:cs="Arial"/>
        <w:b/>
        <w:bCs/>
        <w:position w:val="0"/>
        <w:rtl w:val="0"/>
        <w:lang w:val="es-ES_tradnl"/>
      </w:rPr>
    </w:lvl>
  </w:abstractNum>
  <w:abstractNum w:abstractNumId="24">
    <w:nsid w:val="31263F90"/>
    <w:multiLevelType w:val="multilevel"/>
    <w:tmpl w:val="5B52F698"/>
    <w:lvl w:ilvl="0">
      <w:numFmt w:val="bullet"/>
      <w:lvlText w:val="➢"/>
      <w:lvlJc w:val="left"/>
      <w:pPr>
        <w:tabs>
          <w:tab w:val="num" w:pos="1080"/>
        </w:tabs>
        <w:ind w:left="1080" w:hanging="360"/>
      </w:pPr>
      <w:rPr>
        <w:rFonts w:ascii="Arial" w:eastAsia="Arial" w:hAnsi="Arial" w:cs="Arial"/>
        <w:b/>
        <w:bCs/>
        <w:position w:val="0"/>
        <w:sz w:val="24"/>
        <w:szCs w:val="24"/>
      </w:rPr>
    </w:lvl>
    <w:lvl w:ilvl="1">
      <w:start w:val="1"/>
      <w:numFmt w:val="bullet"/>
      <w:lvlText w:val="o"/>
      <w:lvlJc w:val="left"/>
      <w:pPr>
        <w:tabs>
          <w:tab w:val="num" w:pos="1755"/>
        </w:tabs>
        <w:ind w:left="1755" w:hanging="315"/>
      </w:pPr>
      <w:rPr>
        <w:rFonts w:ascii="Arial" w:eastAsia="Arial" w:hAnsi="Arial" w:cs="Arial"/>
        <w:b/>
        <w:bCs/>
        <w:position w:val="0"/>
        <w:sz w:val="21"/>
        <w:szCs w:val="21"/>
      </w:rPr>
    </w:lvl>
    <w:lvl w:ilvl="2">
      <w:start w:val="1"/>
      <w:numFmt w:val="bullet"/>
      <w:lvlText w:val="▪"/>
      <w:lvlJc w:val="left"/>
      <w:pPr>
        <w:tabs>
          <w:tab w:val="num" w:pos="2475"/>
        </w:tabs>
        <w:ind w:left="2475" w:hanging="315"/>
      </w:pPr>
      <w:rPr>
        <w:rFonts w:ascii="Arial" w:eastAsia="Arial" w:hAnsi="Arial" w:cs="Arial"/>
        <w:b/>
        <w:bCs/>
        <w:position w:val="0"/>
        <w:sz w:val="21"/>
        <w:szCs w:val="21"/>
      </w:rPr>
    </w:lvl>
    <w:lvl w:ilvl="3">
      <w:start w:val="1"/>
      <w:numFmt w:val="bullet"/>
      <w:lvlText w:val="•"/>
      <w:lvlJc w:val="left"/>
      <w:pPr>
        <w:tabs>
          <w:tab w:val="num" w:pos="3195"/>
        </w:tabs>
        <w:ind w:left="3195" w:hanging="315"/>
      </w:pPr>
      <w:rPr>
        <w:rFonts w:ascii="Arial" w:eastAsia="Arial" w:hAnsi="Arial" w:cs="Arial"/>
        <w:b/>
        <w:bCs/>
        <w:position w:val="0"/>
        <w:sz w:val="21"/>
        <w:szCs w:val="21"/>
      </w:rPr>
    </w:lvl>
    <w:lvl w:ilvl="4">
      <w:start w:val="1"/>
      <w:numFmt w:val="bullet"/>
      <w:lvlText w:val="o"/>
      <w:lvlJc w:val="left"/>
      <w:pPr>
        <w:tabs>
          <w:tab w:val="num" w:pos="3915"/>
        </w:tabs>
        <w:ind w:left="3915" w:hanging="315"/>
      </w:pPr>
      <w:rPr>
        <w:rFonts w:ascii="Arial" w:eastAsia="Arial" w:hAnsi="Arial" w:cs="Arial"/>
        <w:b/>
        <w:bCs/>
        <w:position w:val="0"/>
        <w:sz w:val="21"/>
        <w:szCs w:val="21"/>
      </w:rPr>
    </w:lvl>
    <w:lvl w:ilvl="5">
      <w:start w:val="1"/>
      <w:numFmt w:val="bullet"/>
      <w:lvlText w:val="▪"/>
      <w:lvlJc w:val="left"/>
      <w:pPr>
        <w:tabs>
          <w:tab w:val="num" w:pos="4635"/>
        </w:tabs>
        <w:ind w:left="4635" w:hanging="315"/>
      </w:pPr>
      <w:rPr>
        <w:rFonts w:ascii="Arial" w:eastAsia="Arial" w:hAnsi="Arial" w:cs="Arial"/>
        <w:b/>
        <w:bCs/>
        <w:position w:val="0"/>
        <w:sz w:val="21"/>
        <w:szCs w:val="21"/>
      </w:rPr>
    </w:lvl>
    <w:lvl w:ilvl="6">
      <w:start w:val="1"/>
      <w:numFmt w:val="bullet"/>
      <w:lvlText w:val="•"/>
      <w:lvlJc w:val="left"/>
      <w:pPr>
        <w:tabs>
          <w:tab w:val="num" w:pos="5355"/>
        </w:tabs>
        <w:ind w:left="5355" w:hanging="315"/>
      </w:pPr>
      <w:rPr>
        <w:rFonts w:ascii="Arial" w:eastAsia="Arial" w:hAnsi="Arial" w:cs="Arial"/>
        <w:b/>
        <w:bCs/>
        <w:position w:val="0"/>
        <w:sz w:val="21"/>
        <w:szCs w:val="21"/>
      </w:rPr>
    </w:lvl>
    <w:lvl w:ilvl="7">
      <w:start w:val="1"/>
      <w:numFmt w:val="bullet"/>
      <w:lvlText w:val="o"/>
      <w:lvlJc w:val="left"/>
      <w:pPr>
        <w:tabs>
          <w:tab w:val="num" w:pos="6075"/>
        </w:tabs>
        <w:ind w:left="6075" w:hanging="315"/>
      </w:pPr>
      <w:rPr>
        <w:rFonts w:ascii="Arial" w:eastAsia="Arial" w:hAnsi="Arial" w:cs="Arial"/>
        <w:b/>
        <w:bCs/>
        <w:position w:val="0"/>
        <w:sz w:val="21"/>
        <w:szCs w:val="21"/>
      </w:rPr>
    </w:lvl>
    <w:lvl w:ilvl="8">
      <w:start w:val="1"/>
      <w:numFmt w:val="bullet"/>
      <w:lvlText w:val="▪"/>
      <w:lvlJc w:val="left"/>
      <w:pPr>
        <w:tabs>
          <w:tab w:val="num" w:pos="6795"/>
        </w:tabs>
        <w:ind w:left="6795" w:hanging="315"/>
      </w:pPr>
      <w:rPr>
        <w:rFonts w:ascii="Arial" w:eastAsia="Arial" w:hAnsi="Arial" w:cs="Arial"/>
        <w:b/>
        <w:bCs/>
        <w:position w:val="0"/>
        <w:sz w:val="21"/>
        <w:szCs w:val="21"/>
      </w:rPr>
    </w:lvl>
  </w:abstractNum>
  <w:abstractNum w:abstractNumId="25">
    <w:nsid w:val="33167D74"/>
    <w:multiLevelType w:val="multilevel"/>
    <w:tmpl w:val="2148220E"/>
    <w:lvl w:ilvl="0">
      <w:numFmt w:val="bullet"/>
      <w:lvlText w:val="➢"/>
      <w:lvlJc w:val="left"/>
      <w:pPr>
        <w:tabs>
          <w:tab w:val="num" w:pos="1080"/>
        </w:tabs>
        <w:ind w:left="1080" w:hanging="360"/>
      </w:pPr>
      <w:rPr>
        <w:rFonts w:ascii="Arial" w:eastAsia="Arial" w:hAnsi="Arial" w:cs="Arial"/>
        <w:b/>
        <w:bCs/>
        <w:color w:val="000000"/>
        <w:position w:val="0"/>
        <w:sz w:val="24"/>
        <w:szCs w:val="24"/>
        <w:u w:color="000000"/>
      </w:rPr>
    </w:lvl>
    <w:lvl w:ilvl="1">
      <w:start w:val="1"/>
      <w:numFmt w:val="bullet"/>
      <w:lvlText w:val="o"/>
      <w:lvlJc w:val="left"/>
      <w:pPr>
        <w:tabs>
          <w:tab w:val="num" w:pos="1755"/>
        </w:tabs>
        <w:ind w:left="1755" w:hanging="315"/>
      </w:pPr>
      <w:rPr>
        <w:rFonts w:ascii="Arial" w:eastAsia="Arial" w:hAnsi="Arial" w:cs="Arial"/>
        <w:b/>
        <w:bCs/>
        <w:color w:val="000000"/>
        <w:position w:val="0"/>
        <w:sz w:val="21"/>
        <w:szCs w:val="21"/>
        <w:u w:color="000000"/>
      </w:rPr>
    </w:lvl>
    <w:lvl w:ilvl="2">
      <w:start w:val="1"/>
      <w:numFmt w:val="bullet"/>
      <w:lvlText w:val="▪"/>
      <w:lvlJc w:val="left"/>
      <w:pPr>
        <w:tabs>
          <w:tab w:val="num" w:pos="2475"/>
        </w:tabs>
        <w:ind w:left="2475" w:hanging="315"/>
      </w:pPr>
      <w:rPr>
        <w:rFonts w:ascii="Arial" w:eastAsia="Arial" w:hAnsi="Arial" w:cs="Arial"/>
        <w:b/>
        <w:bCs/>
        <w:color w:val="000000"/>
        <w:position w:val="0"/>
        <w:sz w:val="21"/>
        <w:szCs w:val="21"/>
        <w:u w:color="000000"/>
      </w:rPr>
    </w:lvl>
    <w:lvl w:ilvl="3">
      <w:start w:val="1"/>
      <w:numFmt w:val="bullet"/>
      <w:lvlText w:val="•"/>
      <w:lvlJc w:val="left"/>
      <w:pPr>
        <w:tabs>
          <w:tab w:val="num" w:pos="3195"/>
        </w:tabs>
        <w:ind w:left="3195" w:hanging="315"/>
      </w:pPr>
      <w:rPr>
        <w:rFonts w:ascii="Arial" w:eastAsia="Arial" w:hAnsi="Arial" w:cs="Arial"/>
        <w:b/>
        <w:bCs/>
        <w:color w:val="000000"/>
        <w:position w:val="0"/>
        <w:sz w:val="21"/>
        <w:szCs w:val="21"/>
        <w:u w:color="000000"/>
      </w:rPr>
    </w:lvl>
    <w:lvl w:ilvl="4">
      <w:start w:val="1"/>
      <w:numFmt w:val="bullet"/>
      <w:lvlText w:val="o"/>
      <w:lvlJc w:val="left"/>
      <w:pPr>
        <w:tabs>
          <w:tab w:val="num" w:pos="3915"/>
        </w:tabs>
        <w:ind w:left="3915" w:hanging="315"/>
      </w:pPr>
      <w:rPr>
        <w:rFonts w:ascii="Arial" w:eastAsia="Arial" w:hAnsi="Arial" w:cs="Arial"/>
        <w:b/>
        <w:bCs/>
        <w:color w:val="000000"/>
        <w:position w:val="0"/>
        <w:sz w:val="21"/>
        <w:szCs w:val="21"/>
        <w:u w:color="000000"/>
      </w:rPr>
    </w:lvl>
    <w:lvl w:ilvl="5">
      <w:start w:val="1"/>
      <w:numFmt w:val="bullet"/>
      <w:lvlText w:val="▪"/>
      <w:lvlJc w:val="left"/>
      <w:pPr>
        <w:tabs>
          <w:tab w:val="num" w:pos="4635"/>
        </w:tabs>
        <w:ind w:left="4635" w:hanging="315"/>
      </w:pPr>
      <w:rPr>
        <w:rFonts w:ascii="Arial" w:eastAsia="Arial" w:hAnsi="Arial" w:cs="Arial"/>
        <w:b/>
        <w:bCs/>
        <w:color w:val="000000"/>
        <w:position w:val="0"/>
        <w:sz w:val="21"/>
        <w:szCs w:val="21"/>
        <w:u w:color="000000"/>
      </w:rPr>
    </w:lvl>
    <w:lvl w:ilvl="6">
      <w:start w:val="1"/>
      <w:numFmt w:val="bullet"/>
      <w:lvlText w:val="•"/>
      <w:lvlJc w:val="left"/>
      <w:pPr>
        <w:tabs>
          <w:tab w:val="num" w:pos="5355"/>
        </w:tabs>
        <w:ind w:left="5355" w:hanging="315"/>
      </w:pPr>
      <w:rPr>
        <w:rFonts w:ascii="Arial" w:eastAsia="Arial" w:hAnsi="Arial" w:cs="Arial"/>
        <w:b/>
        <w:bCs/>
        <w:color w:val="000000"/>
        <w:position w:val="0"/>
        <w:sz w:val="21"/>
        <w:szCs w:val="21"/>
        <w:u w:color="000000"/>
      </w:rPr>
    </w:lvl>
    <w:lvl w:ilvl="7">
      <w:start w:val="1"/>
      <w:numFmt w:val="bullet"/>
      <w:lvlText w:val="o"/>
      <w:lvlJc w:val="left"/>
      <w:pPr>
        <w:tabs>
          <w:tab w:val="num" w:pos="6075"/>
        </w:tabs>
        <w:ind w:left="6075" w:hanging="315"/>
      </w:pPr>
      <w:rPr>
        <w:rFonts w:ascii="Arial" w:eastAsia="Arial" w:hAnsi="Arial" w:cs="Arial"/>
        <w:b/>
        <w:bCs/>
        <w:color w:val="000000"/>
        <w:position w:val="0"/>
        <w:sz w:val="21"/>
        <w:szCs w:val="21"/>
        <w:u w:color="000000"/>
      </w:rPr>
    </w:lvl>
    <w:lvl w:ilvl="8">
      <w:start w:val="1"/>
      <w:numFmt w:val="bullet"/>
      <w:lvlText w:val="▪"/>
      <w:lvlJc w:val="left"/>
      <w:pPr>
        <w:tabs>
          <w:tab w:val="num" w:pos="6795"/>
        </w:tabs>
        <w:ind w:left="6795" w:hanging="315"/>
      </w:pPr>
      <w:rPr>
        <w:rFonts w:ascii="Arial" w:eastAsia="Arial" w:hAnsi="Arial" w:cs="Arial"/>
        <w:b/>
        <w:bCs/>
        <w:color w:val="000000"/>
        <w:position w:val="0"/>
        <w:sz w:val="21"/>
        <w:szCs w:val="21"/>
        <w:u w:color="000000"/>
      </w:rPr>
    </w:lvl>
  </w:abstractNum>
  <w:abstractNum w:abstractNumId="26">
    <w:nsid w:val="33D64FF1"/>
    <w:multiLevelType w:val="multilevel"/>
    <w:tmpl w:val="1674A31C"/>
    <w:lvl w:ilvl="0">
      <w:numFmt w:val="bullet"/>
      <w:lvlText w:val="➢"/>
      <w:lvlJc w:val="left"/>
      <w:pPr>
        <w:tabs>
          <w:tab w:val="num" w:pos="1080"/>
        </w:tabs>
        <w:ind w:left="1080" w:hanging="360"/>
      </w:pPr>
      <w:rPr>
        <w:rFonts w:ascii="Arial" w:eastAsia="Arial" w:hAnsi="Arial" w:cs="Arial"/>
        <w:b/>
        <w:bCs/>
        <w:position w:val="0"/>
        <w:sz w:val="24"/>
        <w:szCs w:val="24"/>
      </w:rPr>
    </w:lvl>
    <w:lvl w:ilvl="1">
      <w:start w:val="1"/>
      <w:numFmt w:val="bullet"/>
      <w:lvlText w:val="o"/>
      <w:lvlJc w:val="left"/>
      <w:pPr>
        <w:tabs>
          <w:tab w:val="num" w:pos="1755"/>
        </w:tabs>
        <w:ind w:left="1755" w:hanging="315"/>
      </w:pPr>
      <w:rPr>
        <w:rFonts w:ascii="Arial" w:eastAsia="Arial" w:hAnsi="Arial" w:cs="Arial"/>
        <w:b/>
        <w:bCs/>
        <w:position w:val="0"/>
        <w:sz w:val="21"/>
        <w:szCs w:val="21"/>
      </w:rPr>
    </w:lvl>
    <w:lvl w:ilvl="2">
      <w:start w:val="1"/>
      <w:numFmt w:val="bullet"/>
      <w:lvlText w:val="▪"/>
      <w:lvlJc w:val="left"/>
      <w:pPr>
        <w:tabs>
          <w:tab w:val="num" w:pos="2475"/>
        </w:tabs>
        <w:ind w:left="2475" w:hanging="315"/>
      </w:pPr>
      <w:rPr>
        <w:rFonts w:ascii="Arial" w:eastAsia="Arial" w:hAnsi="Arial" w:cs="Arial"/>
        <w:b/>
        <w:bCs/>
        <w:position w:val="0"/>
        <w:sz w:val="21"/>
        <w:szCs w:val="21"/>
      </w:rPr>
    </w:lvl>
    <w:lvl w:ilvl="3">
      <w:start w:val="1"/>
      <w:numFmt w:val="bullet"/>
      <w:lvlText w:val="•"/>
      <w:lvlJc w:val="left"/>
      <w:pPr>
        <w:tabs>
          <w:tab w:val="num" w:pos="3195"/>
        </w:tabs>
        <w:ind w:left="3195" w:hanging="315"/>
      </w:pPr>
      <w:rPr>
        <w:rFonts w:ascii="Arial" w:eastAsia="Arial" w:hAnsi="Arial" w:cs="Arial"/>
        <w:b/>
        <w:bCs/>
        <w:position w:val="0"/>
        <w:sz w:val="21"/>
        <w:szCs w:val="21"/>
      </w:rPr>
    </w:lvl>
    <w:lvl w:ilvl="4">
      <w:start w:val="1"/>
      <w:numFmt w:val="bullet"/>
      <w:lvlText w:val="o"/>
      <w:lvlJc w:val="left"/>
      <w:pPr>
        <w:tabs>
          <w:tab w:val="num" w:pos="3915"/>
        </w:tabs>
        <w:ind w:left="3915" w:hanging="315"/>
      </w:pPr>
      <w:rPr>
        <w:rFonts w:ascii="Arial" w:eastAsia="Arial" w:hAnsi="Arial" w:cs="Arial"/>
        <w:b/>
        <w:bCs/>
        <w:position w:val="0"/>
        <w:sz w:val="21"/>
        <w:szCs w:val="21"/>
      </w:rPr>
    </w:lvl>
    <w:lvl w:ilvl="5">
      <w:start w:val="1"/>
      <w:numFmt w:val="bullet"/>
      <w:lvlText w:val="▪"/>
      <w:lvlJc w:val="left"/>
      <w:pPr>
        <w:tabs>
          <w:tab w:val="num" w:pos="4635"/>
        </w:tabs>
        <w:ind w:left="4635" w:hanging="315"/>
      </w:pPr>
      <w:rPr>
        <w:rFonts w:ascii="Arial" w:eastAsia="Arial" w:hAnsi="Arial" w:cs="Arial"/>
        <w:b/>
        <w:bCs/>
        <w:position w:val="0"/>
        <w:sz w:val="21"/>
        <w:szCs w:val="21"/>
      </w:rPr>
    </w:lvl>
    <w:lvl w:ilvl="6">
      <w:start w:val="1"/>
      <w:numFmt w:val="bullet"/>
      <w:lvlText w:val="•"/>
      <w:lvlJc w:val="left"/>
      <w:pPr>
        <w:tabs>
          <w:tab w:val="num" w:pos="5355"/>
        </w:tabs>
        <w:ind w:left="5355" w:hanging="315"/>
      </w:pPr>
      <w:rPr>
        <w:rFonts w:ascii="Arial" w:eastAsia="Arial" w:hAnsi="Arial" w:cs="Arial"/>
        <w:b/>
        <w:bCs/>
        <w:position w:val="0"/>
        <w:sz w:val="21"/>
        <w:szCs w:val="21"/>
      </w:rPr>
    </w:lvl>
    <w:lvl w:ilvl="7">
      <w:start w:val="1"/>
      <w:numFmt w:val="bullet"/>
      <w:lvlText w:val="o"/>
      <w:lvlJc w:val="left"/>
      <w:pPr>
        <w:tabs>
          <w:tab w:val="num" w:pos="6075"/>
        </w:tabs>
        <w:ind w:left="6075" w:hanging="315"/>
      </w:pPr>
      <w:rPr>
        <w:rFonts w:ascii="Arial" w:eastAsia="Arial" w:hAnsi="Arial" w:cs="Arial"/>
        <w:b/>
        <w:bCs/>
        <w:position w:val="0"/>
        <w:sz w:val="21"/>
        <w:szCs w:val="21"/>
      </w:rPr>
    </w:lvl>
    <w:lvl w:ilvl="8">
      <w:start w:val="1"/>
      <w:numFmt w:val="bullet"/>
      <w:lvlText w:val="▪"/>
      <w:lvlJc w:val="left"/>
      <w:pPr>
        <w:tabs>
          <w:tab w:val="num" w:pos="6795"/>
        </w:tabs>
        <w:ind w:left="6795" w:hanging="315"/>
      </w:pPr>
      <w:rPr>
        <w:rFonts w:ascii="Arial" w:eastAsia="Arial" w:hAnsi="Arial" w:cs="Arial"/>
        <w:b/>
        <w:bCs/>
        <w:position w:val="0"/>
        <w:sz w:val="21"/>
        <w:szCs w:val="21"/>
      </w:rPr>
    </w:lvl>
  </w:abstractNum>
  <w:abstractNum w:abstractNumId="27">
    <w:nsid w:val="3A313650"/>
    <w:multiLevelType w:val="multilevel"/>
    <w:tmpl w:val="C116E438"/>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28">
    <w:nsid w:val="3E725506"/>
    <w:multiLevelType w:val="multilevel"/>
    <w:tmpl w:val="13667964"/>
    <w:lvl w:ilvl="0">
      <w:numFmt w:val="bullet"/>
      <w:lvlText w:val="▪"/>
      <w:lvlJc w:val="left"/>
      <w:rPr>
        <w:rFonts w:ascii="Arial" w:eastAsia="Arial" w:hAnsi="Arial" w:cs="Arial"/>
        <w:b w:val="0"/>
        <w:bCs w:val="0"/>
        <w:position w:val="0"/>
        <w:rtl w:val="0"/>
        <w:lang w:val="es-ES_tradnl"/>
      </w:rPr>
    </w:lvl>
    <w:lvl w:ilvl="1">
      <w:start w:val="1"/>
      <w:numFmt w:val="bullet"/>
      <w:lvlText w:val="o"/>
      <w:lvlJc w:val="left"/>
      <w:rPr>
        <w:rFonts w:ascii="Arial" w:eastAsia="Arial" w:hAnsi="Arial" w:cs="Arial"/>
        <w:b/>
        <w:bCs/>
        <w:position w:val="0"/>
        <w:rtl w:val="0"/>
        <w:lang w:val="es-ES_tradnl"/>
      </w:rPr>
    </w:lvl>
    <w:lvl w:ilvl="2">
      <w:start w:val="1"/>
      <w:numFmt w:val="bullet"/>
      <w:lvlText w:val="▪"/>
      <w:lvlJc w:val="left"/>
      <w:rPr>
        <w:rFonts w:ascii="Arial" w:eastAsia="Arial" w:hAnsi="Arial" w:cs="Arial"/>
        <w:b/>
        <w:bCs/>
        <w:position w:val="0"/>
        <w:rtl w:val="0"/>
        <w:lang w:val="es-ES_tradnl"/>
      </w:rPr>
    </w:lvl>
    <w:lvl w:ilvl="3">
      <w:start w:val="1"/>
      <w:numFmt w:val="bullet"/>
      <w:lvlText w:val="•"/>
      <w:lvlJc w:val="left"/>
      <w:rPr>
        <w:rFonts w:ascii="Arial" w:eastAsia="Arial" w:hAnsi="Arial" w:cs="Arial"/>
        <w:b/>
        <w:bCs/>
        <w:position w:val="0"/>
        <w:rtl w:val="0"/>
        <w:lang w:val="es-ES_tradnl"/>
      </w:rPr>
    </w:lvl>
    <w:lvl w:ilvl="4">
      <w:start w:val="1"/>
      <w:numFmt w:val="bullet"/>
      <w:lvlText w:val="o"/>
      <w:lvlJc w:val="left"/>
      <w:rPr>
        <w:rFonts w:ascii="Arial" w:eastAsia="Arial" w:hAnsi="Arial" w:cs="Arial"/>
        <w:b/>
        <w:bCs/>
        <w:position w:val="0"/>
        <w:rtl w:val="0"/>
        <w:lang w:val="es-ES_tradnl"/>
      </w:rPr>
    </w:lvl>
    <w:lvl w:ilvl="5">
      <w:start w:val="1"/>
      <w:numFmt w:val="bullet"/>
      <w:lvlText w:val="▪"/>
      <w:lvlJc w:val="left"/>
      <w:rPr>
        <w:rFonts w:ascii="Arial" w:eastAsia="Arial" w:hAnsi="Arial" w:cs="Arial"/>
        <w:b/>
        <w:bCs/>
        <w:position w:val="0"/>
        <w:rtl w:val="0"/>
        <w:lang w:val="es-ES_tradnl"/>
      </w:rPr>
    </w:lvl>
    <w:lvl w:ilvl="6">
      <w:start w:val="1"/>
      <w:numFmt w:val="bullet"/>
      <w:lvlText w:val="•"/>
      <w:lvlJc w:val="left"/>
      <w:rPr>
        <w:rFonts w:ascii="Arial" w:eastAsia="Arial" w:hAnsi="Arial" w:cs="Arial"/>
        <w:b/>
        <w:bCs/>
        <w:position w:val="0"/>
        <w:rtl w:val="0"/>
        <w:lang w:val="es-ES_tradnl"/>
      </w:rPr>
    </w:lvl>
    <w:lvl w:ilvl="7">
      <w:start w:val="1"/>
      <w:numFmt w:val="bullet"/>
      <w:lvlText w:val="o"/>
      <w:lvlJc w:val="left"/>
      <w:rPr>
        <w:rFonts w:ascii="Arial" w:eastAsia="Arial" w:hAnsi="Arial" w:cs="Arial"/>
        <w:b/>
        <w:bCs/>
        <w:position w:val="0"/>
        <w:rtl w:val="0"/>
        <w:lang w:val="es-ES_tradnl"/>
      </w:rPr>
    </w:lvl>
    <w:lvl w:ilvl="8">
      <w:start w:val="1"/>
      <w:numFmt w:val="bullet"/>
      <w:lvlText w:val="▪"/>
      <w:lvlJc w:val="left"/>
      <w:rPr>
        <w:rFonts w:ascii="Arial" w:eastAsia="Arial" w:hAnsi="Arial" w:cs="Arial"/>
        <w:b/>
        <w:bCs/>
        <w:position w:val="0"/>
        <w:rtl w:val="0"/>
        <w:lang w:val="es-ES_tradnl"/>
      </w:rPr>
    </w:lvl>
  </w:abstractNum>
  <w:abstractNum w:abstractNumId="29">
    <w:nsid w:val="3ECF3E0D"/>
    <w:multiLevelType w:val="multilevel"/>
    <w:tmpl w:val="97C607BC"/>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30">
    <w:nsid w:val="421615B1"/>
    <w:multiLevelType w:val="multilevel"/>
    <w:tmpl w:val="9288FE78"/>
    <w:lvl w:ilvl="0">
      <w:numFmt w:val="bullet"/>
      <w:lvlText w:val="▪"/>
      <w:lvlJc w:val="left"/>
      <w:pPr>
        <w:tabs>
          <w:tab w:val="num" w:pos="360"/>
        </w:tabs>
        <w:ind w:left="360" w:hanging="360"/>
      </w:pPr>
      <w:rPr>
        <w:rFonts w:ascii="Times New Roman" w:eastAsia="Times New Roman" w:hAnsi="Times New Roman" w:cs="Times New Roman"/>
        <w:b/>
        <w:bCs/>
        <w:i/>
        <w:iCs/>
        <w:position w:val="0"/>
        <w:sz w:val="24"/>
        <w:szCs w:val="24"/>
      </w:rPr>
    </w:lvl>
    <w:lvl w:ilvl="1">
      <w:start w:val="1"/>
      <w:numFmt w:val="bullet"/>
      <w:lvlText w:val="o"/>
      <w:lvlJc w:val="left"/>
      <w:pPr>
        <w:tabs>
          <w:tab w:val="num" w:pos="1095"/>
        </w:tabs>
        <w:ind w:left="1095" w:hanging="375"/>
      </w:pPr>
      <w:rPr>
        <w:rFonts w:ascii="Times" w:eastAsia="Times" w:hAnsi="Times" w:cs="Times"/>
        <w:b/>
        <w:bCs/>
        <w:i/>
        <w:iCs/>
        <w:position w:val="0"/>
        <w:sz w:val="25"/>
        <w:szCs w:val="25"/>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31">
    <w:nsid w:val="443A2D39"/>
    <w:multiLevelType w:val="multilevel"/>
    <w:tmpl w:val="1F44D10E"/>
    <w:lvl w:ilvl="0">
      <w:numFmt w:val="bullet"/>
      <w:lvlText w:val="▪"/>
      <w:lvlJc w:val="left"/>
      <w:pPr>
        <w:tabs>
          <w:tab w:val="num" w:pos="360"/>
        </w:tabs>
        <w:ind w:left="360" w:hanging="360"/>
      </w:pPr>
      <w:rPr>
        <w:rFonts w:ascii="Arial" w:eastAsia="Arial" w:hAnsi="Arial" w:cs="Arial"/>
        <w:b/>
        <w:bCs/>
        <w:position w:val="0"/>
        <w:sz w:val="24"/>
        <w:szCs w:val="24"/>
      </w:rPr>
    </w:lvl>
    <w:lvl w:ilvl="1">
      <w:start w:val="1"/>
      <w:numFmt w:val="bullet"/>
      <w:lvlText w:val="o"/>
      <w:lvlJc w:val="left"/>
      <w:pPr>
        <w:tabs>
          <w:tab w:val="num" w:pos="1035"/>
        </w:tabs>
        <w:ind w:left="1035" w:hanging="315"/>
      </w:pPr>
      <w:rPr>
        <w:rFonts w:ascii="Arial" w:eastAsia="Arial" w:hAnsi="Arial" w:cs="Arial"/>
        <w:b/>
        <w:bCs/>
        <w:position w:val="0"/>
        <w:sz w:val="21"/>
        <w:szCs w:val="21"/>
      </w:rPr>
    </w:lvl>
    <w:lvl w:ilvl="2">
      <w:start w:val="1"/>
      <w:numFmt w:val="bullet"/>
      <w:lvlText w:val="▪"/>
      <w:lvlJc w:val="left"/>
      <w:pPr>
        <w:tabs>
          <w:tab w:val="num" w:pos="1755"/>
        </w:tabs>
        <w:ind w:left="1755" w:hanging="315"/>
      </w:pPr>
      <w:rPr>
        <w:rFonts w:ascii="Arial" w:eastAsia="Arial" w:hAnsi="Arial" w:cs="Arial"/>
        <w:b/>
        <w:bCs/>
        <w:position w:val="0"/>
        <w:sz w:val="21"/>
        <w:szCs w:val="21"/>
      </w:rPr>
    </w:lvl>
    <w:lvl w:ilvl="3">
      <w:start w:val="1"/>
      <w:numFmt w:val="bullet"/>
      <w:lvlText w:val="•"/>
      <w:lvlJc w:val="left"/>
      <w:pPr>
        <w:tabs>
          <w:tab w:val="num" w:pos="2475"/>
        </w:tabs>
        <w:ind w:left="2475" w:hanging="315"/>
      </w:pPr>
      <w:rPr>
        <w:rFonts w:ascii="Arial" w:eastAsia="Arial" w:hAnsi="Arial" w:cs="Arial"/>
        <w:b/>
        <w:bCs/>
        <w:position w:val="0"/>
        <w:sz w:val="21"/>
        <w:szCs w:val="21"/>
      </w:rPr>
    </w:lvl>
    <w:lvl w:ilvl="4">
      <w:start w:val="1"/>
      <w:numFmt w:val="bullet"/>
      <w:lvlText w:val="o"/>
      <w:lvlJc w:val="left"/>
      <w:pPr>
        <w:tabs>
          <w:tab w:val="num" w:pos="3195"/>
        </w:tabs>
        <w:ind w:left="3195" w:hanging="315"/>
      </w:pPr>
      <w:rPr>
        <w:rFonts w:ascii="Arial" w:eastAsia="Arial" w:hAnsi="Arial" w:cs="Arial"/>
        <w:b/>
        <w:bCs/>
        <w:position w:val="0"/>
        <w:sz w:val="21"/>
        <w:szCs w:val="21"/>
      </w:rPr>
    </w:lvl>
    <w:lvl w:ilvl="5">
      <w:start w:val="1"/>
      <w:numFmt w:val="bullet"/>
      <w:lvlText w:val="▪"/>
      <w:lvlJc w:val="left"/>
      <w:pPr>
        <w:tabs>
          <w:tab w:val="num" w:pos="3915"/>
        </w:tabs>
        <w:ind w:left="3915" w:hanging="315"/>
      </w:pPr>
      <w:rPr>
        <w:rFonts w:ascii="Arial" w:eastAsia="Arial" w:hAnsi="Arial" w:cs="Arial"/>
        <w:b/>
        <w:bCs/>
        <w:position w:val="0"/>
        <w:sz w:val="21"/>
        <w:szCs w:val="21"/>
      </w:rPr>
    </w:lvl>
    <w:lvl w:ilvl="6">
      <w:start w:val="1"/>
      <w:numFmt w:val="bullet"/>
      <w:lvlText w:val="•"/>
      <w:lvlJc w:val="left"/>
      <w:pPr>
        <w:tabs>
          <w:tab w:val="num" w:pos="4635"/>
        </w:tabs>
        <w:ind w:left="4635" w:hanging="315"/>
      </w:pPr>
      <w:rPr>
        <w:rFonts w:ascii="Arial" w:eastAsia="Arial" w:hAnsi="Arial" w:cs="Arial"/>
        <w:b/>
        <w:bCs/>
        <w:position w:val="0"/>
        <w:sz w:val="21"/>
        <w:szCs w:val="21"/>
      </w:rPr>
    </w:lvl>
    <w:lvl w:ilvl="7">
      <w:start w:val="1"/>
      <w:numFmt w:val="bullet"/>
      <w:lvlText w:val="o"/>
      <w:lvlJc w:val="left"/>
      <w:pPr>
        <w:tabs>
          <w:tab w:val="num" w:pos="5355"/>
        </w:tabs>
        <w:ind w:left="5355" w:hanging="315"/>
      </w:pPr>
      <w:rPr>
        <w:rFonts w:ascii="Arial" w:eastAsia="Arial" w:hAnsi="Arial" w:cs="Arial"/>
        <w:b/>
        <w:bCs/>
        <w:position w:val="0"/>
        <w:sz w:val="21"/>
        <w:szCs w:val="21"/>
      </w:rPr>
    </w:lvl>
    <w:lvl w:ilvl="8">
      <w:start w:val="1"/>
      <w:numFmt w:val="bullet"/>
      <w:lvlText w:val="▪"/>
      <w:lvlJc w:val="left"/>
      <w:pPr>
        <w:tabs>
          <w:tab w:val="num" w:pos="6075"/>
        </w:tabs>
        <w:ind w:left="6075" w:hanging="315"/>
      </w:pPr>
      <w:rPr>
        <w:rFonts w:ascii="Arial" w:eastAsia="Arial" w:hAnsi="Arial" w:cs="Arial"/>
        <w:b/>
        <w:bCs/>
        <w:position w:val="0"/>
        <w:sz w:val="21"/>
        <w:szCs w:val="21"/>
      </w:rPr>
    </w:lvl>
  </w:abstractNum>
  <w:abstractNum w:abstractNumId="32">
    <w:nsid w:val="44E253CF"/>
    <w:multiLevelType w:val="multilevel"/>
    <w:tmpl w:val="EF343C8A"/>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33">
    <w:nsid w:val="459E7A0A"/>
    <w:multiLevelType w:val="multilevel"/>
    <w:tmpl w:val="23B2BD32"/>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34">
    <w:nsid w:val="46904927"/>
    <w:multiLevelType w:val="multilevel"/>
    <w:tmpl w:val="269ED6D2"/>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35">
    <w:nsid w:val="4D3F2E16"/>
    <w:multiLevelType w:val="multilevel"/>
    <w:tmpl w:val="6F906278"/>
    <w:lvl w:ilvl="0">
      <w:numFmt w:val="bullet"/>
      <w:lvlText w:val="▪"/>
      <w:lvlJc w:val="left"/>
      <w:pPr>
        <w:tabs>
          <w:tab w:val="num" w:pos="291"/>
        </w:tabs>
        <w:ind w:left="291" w:hanging="291"/>
      </w:pPr>
      <w:rPr>
        <w:rFonts w:ascii="Arial" w:eastAsia="Arial" w:hAnsi="Arial" w:cs="Arial"/>
        <w:position w:val="0"/>
        <w:sz w:val="26"/>
        <w:szCs w:val="26"/>
        <w:rtl w:val="0"/>
        <w:lang w:val="es-ES_tradnl"/>
      </w:rPr>
    </w:lvl>
    <w:lvl w:ilvl="1">
      <w:start w:val="1"/>
      <w:numFmt w:val="bullet"/>
      <w:lvlText w:val="o"/>
      <w:lvlJc w:val="left"/>
      <w:pPr>
        <w:tabs>
          <w:tab w:val="num" w:pos="1035"/>
        </w:tabs>
        <w:ind w:left="1035" w:hanging="315"/>
      </w:pPr>
      <w:rPr>
        <w:rFonts w:ascii="Arial" w:eastAsia="Arial" w:hAnsi="Arial" w:cs="Arial"/>
        <w:position w:val="0"/>
        <w:sz w:val="21"/>
        <w:szCs w:val="21"/>
        <w:rtl w:val="0"/>
        <w:lang w:val="es-ES_tradnl"/>
      </w:rPr>
    </w:lvl>
    <w:lvl w:ilvl="2">
      <w:start w:val="1"/>
      <w:numFmt w:val="bullet"/>
      <w:lvlText w:val="▪"/>
      <w:lvlJc w:val="left"/>
      <w:pPr>
        <w:tabs>
          <w:tab w:val="num" w:pos="1755"/>
        </w:tabs>
        <w:ind w:left="1755" w:hanging="315"/>
      </w:pPr>
      <w:rPr>
        <w:rFonts w:ascii="Arial" w:eastAsia="Arial" w:hAnsi="Arial" w:cs="Arial"/>
        <w:position w:val="0"/>
        <w:sz w:val="21"/>
        <w:szCs w:val="21"/>
        <w:rtl w:val="0"/>
        <w:lang w:val="es-ES_tradnl"/>
      </w:rPr>
    </w:lvl>
    <w:lvl w:ilvl="3">
      <w:start w:val="1"/>
      <w:numFmt w:val="bullet"/>
      <w:lvlText w:val="•"/>
      <w:lvlJc w:val="left"/>
      <w:pPr>
        <w:tabs>
          <w:tab w:val="num" w:pos="2475"/>
        </w:tabs>
        <w:ind w:left="2475" w:hanging="315"/>
      </w:pPr>
      <w:rPr>
        <w:rFonts w:ascii="Arial" w:eastAsia="Arial" w:hAnsi="Arial" w:cs="Arial"/>
        <w:position w:val="0"/>
        <w:sz w:val="21"/>
        <w:szCs w:val="21"/>
        <w:rtl w:val="0"/>
        <w:lang w:val="es-ES_tradnl"/>
      </w:rPr>
    </w:lvl>
    <w:lvl w:ilvl="4">
      <w:start w:val="1"/>
      <w:numFmt w:val="bullet"/>
      <w:lvlText w:val="o"/>
      <w:lvlJc w:val="left"/>
      <w:pPr>
        <w:tabs>
          <w:tab w:val="num" w:pos="3195"/>
        </w:tabs>
        <w:ind w:left="3195" w:hanging="315"/>
      </w:pPr>
      <w:rPr>
        <w:rFonts w:ascii="Arial" w:eastAsia="Arial" w:hAnsi="Arial" w:cs="Arial"/>
        <w:position w:val="0"/>
        <w:sz w:val="21"/>
        <w:szCs w:val="21"/>
        <w:rtl w:val="0"/>
        <w:lang w:val="es-ES_tradnl"/>
      </w:rPr>
    </w:lvl>
    <w:lvl w:ilvl="5">
      <w:start w:val="1"/>
      <w:numFmt w:val="bullet"/>
      <w:lvlText w:val="▪"/>
      <w:lvlJc w:val="left"/>
      <w:pPr>
        <w:tabs>
          <w:tab w:val="num" w:pos="3915"/>
        </w:tabs>
        <w:ind w:left="3915" w:hanging="315"/>
      </w:pPr>
      <w:rPr>
        <w:rFonts w:ascii="Arial" w:eastAsia="Arial" w:hAnsi="Arial" w:cs="Arial"/>
        <w:position w:val="0"/>
        <w:sz w:val="21"/>
        <w:szCs w:val="21"/>
        <w:rtl w:val="0"/>
        <w:lang w:val="es-ES_tradnl"/>
      </w:rPr>
    </w:lvl>
    <w:lvl w:ilvl="6">
      <w:start w:val="1"/>
      <w:numFmt w:val="bullet"/>
      <w:lvlText w:val="•"/>
      <w:lvlJc w:val="left"/>
      <w:pPr>
        <w:tabs>
          <w:tab w:val="num" w:pos="4635"/>
        </w:tabs>
        <w:ind w:left="4635" w:hanging="315"/>
      </w:pPr>
      <w:rPr>
        <w:rFonts w:ascii="Arial" w:eastAsia="Arial" w:hAnsi="Arial" w:cs="Arial"/>
        <w:position w:val="0"/>
        <w:sz w:val="21"/>
        <w:szCs w:val="21"/>
        <w:rtl w:val="0"/>
        <w:lang w:val="es-ES_tradnl"/>
      </w:rPr>
    </w:lvl>
    <w:lvl w:ilvl="7">
      <w:start w:val="1"/>
      <w:numFmt w:val="bullet"/>
      <w:lvlText w:val="o"/>
      <w:lvlJc w:val="left"/>
      <w:pPr>
        <w:tabs>
          <w:tab w:val="num" w:pos="5355"/>
        </w:tabs>
        <w:ind w:left="5355" w:hanging="315"/>
      </w:pPr>
      <w:rPr>
        <w:rFonts w:ascii="Arial" w:eastAsia="Arial" w:hAnsi="Arial" w:cs="Arial"/>
        <w:position w:val="0"/>
        <w:sz w:val="21"/>
        <w:szCs w:val="21"/>
        <w:rtl w:val="0"/>
        <w:lang w:val="es-ES_tradnl"/>
      </w:rPr>
    </w:lvl>
    <w:lvl w:ilvl="8">
      <w:start w:val="1"/>
      <w:numFmt w:val="bullet"/>
      <w:lvlText w:val="▪"/>
      <w:lvlJc w:val="left"/>
      <w:pPr>
        <w:tabs>
          <w:tab w:val="num" w:pos="6075"/>
        </w:tabs>
        <w:ind w:left="6075" w:hanging="315"/>
      </w:pPr>
      <w:rPr>
        <w:rFonts w:ascii="Arial" w:eastAsia="Arial" w:hAnsi="Arial" w:cs="Arial"/>
        <w:position w:val="0"/>
        <w:sz w:val="21"/>
        <w:szCs w:val="21"/>
        <w:rtl w:val="0"/>
        <w:lang w:val="es-ES_tradnl"/>
      </w:rPr>
    </w:lvl>
  </w:abstractNum>
  <w:abstractNum w:abstractNumId="36">
    <w:nsid w:val="4DEB7F72"/>
    <w:multiLevelType w:val="multilevel"/>
    <w:tmpl w:val="02D4BDEE"/>
    <w:lvl w:ilvl="0">
      <w:numFmt w:val="bullet"/>
      <w:lvlText w:val="▪"/>
      <w:lvlJc w:val="left"/>
      <w:rPr>
        <w:rFonts w:ascii="Arial" w:eastAsia="Arial" w:hAnsi="Arial" w:cs="Arial"/>
        <w:b w:val="0"/>
        <w:bCs w:val="0"/>
        <w:position w:val="0"/>
        <w:rtl w:val="0"/>
        <w:lang w:val="es-ES_tradnl"/>
      </w:rPr>
    </w:lvl>
    <w:lvl w:ilvl="1">
      <w:start w:val="1"/>
      <w:numFmt w:val="bullet"/>
      <w:lvlText w:val="o"/>
      <w:lvlJc w:val="left"/>
      <w:rPr>
        <w:rFonts w:ascii="Arial" w:eastAsia="Arial" w:hAnsi="Arial" w:cs="Arial"/>
        <w:b/>
        <w:bCs/>
        <w:position w:val="0"/>
        <w:rtl w:val="0"/>
        <w:lang w:val="es-ES_tradnl"/>
      </w:rPr>
    </w:lvl>
    <w:lvl w:ilvl="2">
      <w:start w:val="1"/>
      <w:numFmt w:val="bullet"/>
      <w:lvlText w:val="▪"/>
      <w:lvlJc w:val="left"/>
      <w:rPr>
        <w:rFonts w:ascii="Arial" w:eastAsia="Arial" w:hAnsi="Arial" w:cs="Arial"/>
        <w:b/>
        <w:bCs/>
        <w:position w:val="0"/>
        <w:rtl w:val="0"/>
        <w:lang w:val="es-ES_tradnl"/>
      </w:rPr>
    </w:lvl>
    <w:lvl w:ilvl="3">
      <w:start w:val="1"/>
      <w:numFmt w:val="bullet"/>
      <w:lvlText w:val="•"/>
      <w:lvlJc w:val="left"/>
      <w:rPr>
        <w:rFonts w:ascii="Arial" w:eastAsia="Arial" w:hAnsi="Arial" w:cs="Arial"/>
        <w:b/>
        <w:bCs/>
        <w:position w:val="0"/>
        <w:rtl w:val="0"/>
        <w:lang w:val="es-ES_tradnl"/>
      </w:rPr>
    </w:lvl>
    <w:lvl w:ilvl="4">
      <w:start w:val="1"/>
      <w:numFmt w:val="bullet"/>
      <w:lvlText w:val="o"/>
      <w:lvlJc w:val="left"/>
      <w:rPr>
        <w:rFonts w:ascii="Arial" w:eastAsia="Arial" w:hAnsi="Arial" w:cs="Arial"/>
        <w:b/>
        <w:bCs/>
        <w:position w:val="0"/>
        <w:rtl w:val="0"/>
        <w:lang w:val="es-ES_tradnl"/>
      </w:rPr>
    </w:lvl>
    <w:lvl w:ilvl="5">
      <w:start w:val="1"/>
      <w:numFmt w:val="bullet"/>
      <w:lvlText w:val="▪"/>
      <w:lvlJc w:val="left"/>
      <w:rPr>
        <w:rFonts w:ascii="Arial" w:eastAsia="Arial" w:hAnsi="Arial" w:cs="Arial"/>
        <w:b/>
        <w:bCs/>
        <w:position w:val="0"/>
        <w:rtl w:val="0"/>
        <w:lang w:val="es-ES_tradnl"/>
      </w:rPr>
    </w:lvl>
    <w:lvl w:ilvl="6">
      <w:start w:val="1"/>
      <w:numFmt w:val="bullet"/>
      <w:lvlText w:val="•"/>
      <w:lvlJc w:val="left"/>
      <w:rPr>
        <w:rFonts w:ascii="Arial" w:eastAsia="Arial" w:hAnsi="Arial" w:cs="Arial"/>
        <w:b/>
        <w:bCs/>
        <w:position w:val="0"/>
        <w:rtl w:val="0"/>
        <w:lang w:val="es-ES_tradnl"/>
      </w:rPr>
    </w:lvl>
    <w:lvl w:ilvl="7">
      <w:start w:val="1"/>
      <w:numFmt w:val="bullet"/>
      <w:lvlText w:val="o"/>
      <w:lvlJc w:val="left"/>
      <w:rPr>
        <w:rFonts w:ascii="Arial" w:eastAsia="Arial" w:hAnsi="Arial" w:cs="Arial"/>
        <w:b/>
        <w:bCs/>
        <w:position w:val="0"/>
        <w:rtl w:val="0"/>
        <w:lang w:val="es-ES_tradnl"/>
      </w:rPr>
    </w:lvl>
    <w:lvl w:ilvl="8">
      <w:start w:val="1"/>
      <w:numFmt w:val="bullet"/>
      <w:lvlText w:val="▪"/>
      <w:lvlJc w:val="left"/>
      <w:rPr>
        <w:rFonts w:ascii="Arial" w:eastAsia="Arial" w:hAnsi="Arial" w:cs="Arial"/>
        <w:b/>
        <w:bCs/>
        <w:position w:val="0"/>
        <w:rtl w:val="0"/>
        <w:lang w:val="es-ES_tradnl"/>
      </w:rPr>
    </w:lvl>
  </w:abstractNum>
  <w:abstractNum w:abstractNumId="37">
    <w:nsid w:val="4E2934D8"/>
    <w:multiLevelType w:val="multilevel"/>
    <w:tmpl w:val="21CCE610"/>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38">
    <w:nsid w:val="506D2B82"/>
    <w:multiLevelType w:val="multilevel"/>
    <w:tmpl w:val="C6A2CE5C"/>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39">
    <w:nsid w:val="52875737"/>
    <w:multiLevelType w:val="multilevel"/>
    <w:tmpl w:val="61B01214"/>
    <w:lvl w:ilvl="0">
      <w:numFmt w:val="bullet"/>
      <w:lvlText w:val="▪"/>
      <w:lvlJc w:val="left"/>
      <w:pPr>
        <w:tabs>
          <w:tab w:val="num" w:pos="360"/>
        </w:tabs>
        <w:ind w:left="360" w:hanging="360"/>
      </w:pPr>
      <w:rPr>
        <w:rFonts w:ascii="Times New Roman" w:eastAsia="Times New Roman" w:hAnsi="Times New Roman" w:cs="Times New Roman"/>
        <w:b/>
        <w:bCs/>
        <w:i/>
        <w:iCs/>
        <w:position w:val="0"/>
        <w:sz w:val="24"/>
        <w:szCs w:val="24"/>
      </w:rPr>
    </w:lvl>
    <w:lvl w:ilvl="1">
      <w:start w:val="1"/>
      <w:numFmt w:val="bullet"/>
      <w:lvlText w:val="o"/>
      <w:lvlJc w:val="left"/>
      <w:pPr>
        <w:tabs>
          <w:tab w:val="num" w:pos="1095"/>
        </w:tabs>
        <w:ind w:left="1095" w:hanging="375"/>
      </w:pPr>
      <w:rPr>
        <w:rFonts w:ascii="Times" w:eastAsia="Times" w:hAnsi="Times" w:cs="Times"/>
        <w:b/>
        <w:bCs/>
        <w:i/>
        <w:iCs/>
        <w:position w:val="0"/>
        <w:sz w:val="25"/>
        <w:szCs w:val="25"/>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40">
    <w:nsid w:val="53DE3DF8"/>
    <w:multiLevelType w:val="hybridMultilevel"/>
    <w:tmpl w:val="44BE78A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4E8024B"/>
    <w:multiLevelType w:val="multilevel"/>
    <w:tmpl w:val="4CDC0AB4"/>
    <w:lvl w:ilvl="0">
      <w:numFmt w:val="bullet"/>
      <w:lvlText w:val="➢"/>
      <w:lvlJc w:val="left"/>
      <w:pPr>
        <w:tabs>
          <w:tab w:val="num" w:pos="1080"/>
        </w:tabs>
        <w:ind w:left="1080" w:hanging="360"/>
      </w:pPr>
      <w:rPr>
        <w:rFonts w:ascii="Arial" w:eastAsia="Arial" w:hAnsi="Arial" w:cs="Arial"/>
        <w:b/>
        <w:bCs/>
        <w:position w:val="0"/>
        <w:sz w:val="24"/>
        <w:szCs w:val="24"/>
      </w:rPr>
    </w:lvl>
    <w:lvl w:ilvl="1">
      <w:start w:val="1"/>
      <w:numFmt w:val="bullet"/>
      <w:lvlText w:val="o"/>
      <w:lvlJc w:val="left"/>
      <w:pPr>
        <w:tabs>
          <w:tab w:val="num" w:pos="1755"/>
        </w:tabs>
        <w:ind w:left="1755" w:hanging="315"/>
      </w:pPr>
      <w:rPr>
        <w:rFonts w:ascii="Arial" w:eastAsia="Arial" w:hAnsi="Arial" w:cs="Arial"/>
        <w:b/>
        <w:bCs/>
        <w:position w:val="0"/>
        <w:sz w:val="21"/>
        <w:szCs w:val="21"/>
      </w:rPr>
    </w:lvl>
    <w:lvl w:ilvl="2">
      <w:start w:val="1"/>
      <w:numFmt w:val="bullet"/>
      <w:lvlText w:val="▪"/>
      <w:lvlJc w:val="left"/>
      <w:pPr>
        <w:tabs>
          <w:tab w:val="num" w:pos="2475"/>
        </w:tabs>
        <w:ind w:left="2475" w:hanging="315"/>
      </w:pPr>
      <w:rPr>
        <w:rFonts w:ascii="Arial" w:eastAsia="Arial" w:hAnsi="Arial" w:cs="Arial"/>
        <w:b/>
        <w:bCs/>
        <w:position w:val="0"/>
        <w:sz w:val="21"/>
        <w:szCs w:val="21"/>
      </w:rPr>
    </w:lvl>
    <w:lvl w:ilvl="3">
      <w:start w:val="1"/>
      <w:numFmt w:val="bullet"/>
      <w:lvlText w:val="•"/>
      <w:lvlJc w:val="left"/>
      <w:pPr>
        <w:tabs>
          <w:tab w:val="num" w:pos="3195"/>
        </w:tabs>
        <w:ind w:left="3195" w:hanging="315"/>
      </w:pPr>
      <w:rPr>
        <w:rFonts w:ascii="Arial" w:eastAsia="Arial" w:hAnsi="Arial" w:cs="Arial"/>
        <w:b/>
        <w:bCs/>
        <w:position w:val="0"/>
        <w:sz w:val="21"/>
        <w:szCs w:val="21"/>
      </w:rPr>
    </w:lvl>
    <w:lvl w:ilvl="4">
      <w:start w:val="1"/>
      <w:numFmt w:val="bullet"/>
      <w:lvlText w:val="o"/>
      <w:lvlJc w:val="left"/>
      <w:pPr>
        <w:tabs>
          <w:tab w:val="num" w:pos="3915"/>
        </w:tabs>
        <w:ind w:left="3915" w:hanging="315"/>
      </w:pPr>
      <w:rPr>
        <w:rFonts w:ascii="Arial" w:eastAsia="Arial" w:hAnsi="Arial" w:cs="Arial"/>
        <w:b/>
        <w:bCs/>
        <w:position w:val="0"/>
        <w:sz w:val="21"/>
        <w:szCs w:val="21"/>
      </w:rPr>
    </w:lvl>
    <w:lvl w:ilvl="5">
      <w:start w:val="1"/>
      <w:numFmt w:val="bullet"/>
      <w:lvlText w:val="▪"/>
      <w:lvlJc w:val="left"/>
      <w:pPr>
        <w:tabs>
          <w:tab w:val="num" w:pos="4635"/>
        </w:tabs>
        <w:ind w:left="4635" w:hanging="315"/>
      </w:pPr>
      <w:rPr>
        <w:rFonts w:ascii="Arial" w:eastAsia="Arial" w:hAnsi="Arial" w:cs="Arial"/>
        <w:b/>
        <w:bCs/>
        <w:position w:val="0"/>
        <w:sz w:val="21"/>
        <w:szCs w:val="21"/>
      </w:rPr>
    </w:lvl>
    <w:lvl w:ilvl="6">
      <w:start w:val="1"/>
      <w:numFmt w:val="bullet"/>
      <w:lvlText w:val="•"/>
      <w:lvlJc w:val="left"/>
      <w:pPr>
        <w:tabs>
          <w:tab w:val="num" w:pos="5355"/>
        </w:tabs>
        <w:ind w:left="5355" w:hanging="315"/>
      </w:pPr>
      <w:rPr>
        <w:rFonts w:ascii="Arial" w:eastAsia="Arial" w:hAnsi="Arial" w:cs="Arial"/>
        <w:b/>
        <w:bCs/>
        <w:position w:val="0"/>
        <w:sz w:val="21"/>
        <w:szCs w:val="21"/>
      </w:rPr>
    </w:lvl>
    <w:lvl w:ilvl="7">
      <w:start w:val="1"/>
      <w:numFmt w:val="bullet"/>
      <w:lvlText w:val="o"/>
      <w:lvlJc w:val="left"/>
      <w:pPr>
        <w:tabs>
          <w:tab w:val="num" w:pos="6075"/>
        </w:tabs>
        <w:ind w:left="6075" w:hanging="315"/>
      </w:pPr>
      <w:rPr>
        <w:rFonts w:ascii="Arial" w:eastAsia="Arial" w:hAnsi="Arial" w:cs="Arial"/>
        <w:b/>
        <w:bCs/>
        <w:position w:val="0"/>
        <w:sz w:val="21"/>
        <w:szCs w:val="21"/>
      </w:rPr>
    </w:lvl>
    <w:lvl w:ilvl="8">
      <w:start w:val="1"/>
      <w:numFmt w:val="bullet"/>
      <w:lvlText w:val="▪"/>
      <w:lvlJc w:val="left"/>
      <w:pPr>
        <w:tabs>
          <w:tab w:val="num" w:pos="6795"/>
        </w:tabs>
        <w:ind w:left="6795" w:hanging="315"/>
      </w:pPr>
      <w:rPr>
        <w:rFonts w:ascii="Arial" w:eastAsia="Arial" w:hAnsi="Arial" w:cs="Arial"/>
        <w:b/>
        <w:bCs/>
        <w:position w:val="0"/>
        <w:sz w:val="21"/>
        <w:szCs w:val="21"/>
      </w:rPr>
    </w:lvl>
  </w:abstractNum>
  <w:abstractNum w:abstractNumId="42">
    <w:nsid w:val="59C47120"/>
    <w:multiLevelType w:val="multilevel"/>
    <w:tmpl w:val="58704A4A"/>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43">
    <w:nsid w:val="5B0F1B8E"/>
    <w:multiLevelType w:val="multilevel"/>
    <w:tmpl w:val="98DEF61E"/>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44">
    <w:nsid w:val="612F03B2"/>
    <w:multiLevelType w:val="multilevel"/>
    <w:tmpl w:val="DF7C410C"/>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45">
    <w:nsid w:val="63B724AE"/>
    <w:multiLevelType w:val="multilevel"/>
    <w:tmpl w:val="B9BAC514"/>
    <w:lvl w:ilvl="0">
      <w:numFmt w:val="bullet"/>
      <w:lvlText w:val="➢"/>
      <w:lvlJc w:val="left"/>
      <w:pPr>
        <w:tabs>
          <w:tab w:val="num" w:pos="1080"/>
        </w:tabs>
        <w:ind w:left="1080" w:hanging="360"/>
      </w:pPr>
      <w:rPr>
        <w:rFonts w:ascii="Arial" w:eastAsia="Arial" w:hAnsi="Arial" w:cs="Arial"/>
        <w:b/>
        <w:bCs/>
        <w:color w:val="000000"/>
        <w:position w:val="0"/>
        <w:sz w:val="24"/>
        <w:szCs w:val="24"/>
        <w:u w:color="000000"/>
      </w:rPr>
    </w:lvl>
    <w:lvl w:ilvl="1">
      <w:start w:val="1"/>
      <w:numFmt w:val="bullet"/>
      <w:lvlText w:val="o"/>
      <w:lvlJc w:val="left"/>
      <w:pPr>
        <w:tabs>
          <w:tab w:val="num" w:pos="1755"/>
        </w:tabs>
        <w:ind w:left="1755" w:hanging="315"/>
      </w:pPr>
      <w:rPr>
        <w:rFonts w:ascii="Arial" w:eastAsia="Arial" w:hAnsi="Arial" w:cs="Arial"/>
        <w:b/>
        <w:bCs/>
        <w:color w:val="000000"/>
        <w:position w:val="0"/>
        <w:sz w:val="21"/>
        <w:szCs w:val="21"/>
        <w:u w:color="000000"/>
      </w:rPr>
    </w:lvl>
    <w:lvl w:ilvl="2">
      <w:start w:val="1"/>
      <w:numFmt w:val="bullet"/>
      <w:lvlText w:val="▪"/>
      <w:lvlJc w:val="left"/>
      <w:pPr>
        <w:tabs>
          <w:tab w:val="num" w:pos="2475"/>
        </w:tabs>
        <w:ind w:left="2475" w:hanging="315"/>
      </w:pPr>
      <w:rPr>
        <w:rFonts w:ascii="Arial" w:eastAsia="Arial" w:hAnsi="Arial" w:cs="Arial"/>
        <w:b/>
        <w:bCs/>
        <w:color w:val="000000"/>
        <w:position w:val="0"/>
        <w:sz w:val="21"/>
        <w:szCs w:val="21"/>
        <w:u w:color="000000"/>
      </w:rPr>
    </w:lvl>
    <w:lvl w:ilvl="3">
      <w:start w:val="1"/>
      <w:numFmt w:val="bullet"/>
      <w:lvlText w:val="•"/>
      <w:lvlJc w:val="left"/>
      <w:pPr>
        <w:tabs>
          <w:tab w:val="num" w:pos="3195"/>
        </w:tabs>
        <w:ind w:left="3195" w:hanging="315"/>
      </w:pPr>
      <w:rPr>
        <w:rFonts w:ascii="Arial" w:eastAsia="Arial" w:hAnsi="Arial" w:cs="Arial"/>
        <w:b/>
        <w:bCs/>
        <w:color w:val="000000"/>
        <w:position w:val="0"/>
        <w:sz w:val="21"/>
        <w:szCs w:val="21"/>
        <w:u w:color="000000"/>
      </w:rPr>
    </w:lvl>
    <w:lvl w:ilvl="4">
      <w:start w:val="1"/>
      <w:numFmt w:val="bullet"/>
      <w:lvlText w:val="o"/>
      <w:lvlJc w:val="left"/>
      <w:pPr>
        <w:tabs>
          <w:tab w:val="num" w:pos="3915"/>
        </w:tabs>
        <w:ind w:left="3915" w:hanging="315"/>
      </w:pPr>
      <w:rPr>
        <w:rFonts w:ascii="Arial" w:eastAsia="Arial" w:hAnsi="Arial" w:cs="Arial"/>
        <w:b/>
        <w:bCs/>
        <w:color w:val="000000"/>
        <w:position w:val="0"/>
        <w:sz w:val="21"/>
        <w:szCs w:val="21"/>
        <w:u w:color="000000"/>
      </w:rPr>
    </w:lvl>
    <w:lvl w:ilvl="5">
      <w:start w:val="1"/>
      <w:numFmt w:val="bullet"/>
      <w:lvlText w:val="▪"/>
      <w:lvlJc w:val="left"/>
      <w:pPr>
        <w:tabs>
          <w:tab w:val="num" w:pos="4635"/>
        </w:tabs>
        <w:ind w:left="4635" w:hanging="315"/>
      </w:pPr>
      <w:rPr>
        <w:rFonts w:ascii="Arial" w:eastAsia="Arial" w:hAnsi="Arial" w:cs="Arial"/>
        <w:b/>
        <w:bCs/>
        <w:color w:val="000000"/>
        <w:position w:val="0"/>
        <w:sz w:val="21"/>
        <w:szCs w:val="21"/>
        <w:u w:color="000000"/>
      </w:rPr>
    </w:lvl>
    <w:lvl w:ilvl="6">
      <w:start w:val="1"/>
      <w:numFmt w:val="bullet"/>
      <w:lvlText w:val="•"/>
      <w:lvlJc w:val="left"/>
      <w:pPr>
        <w:tabs>
          <w:tab w:val="num" w:pos="5355"/>
        </w:tabs>
        <w:ind w:left="5355" w:hanging="315"/>
      </w:pPr>
      <w:rPr>
        <w:rFonts w:ascii="Arial" w:eastAsia="Arial" w:hAnsi="Arial" w:cs="Arial"/>
        <w:b/>
        <w:bCs/>
        <w:color w:val="000000"/>
        <w:position w:val="0"/>
        <w:sz w:val="21"/>
        <w:szCs w:val="21"/>
        <w:u w:color="000000"/>
      </w:rPr>
    </w:lvl>
    <w:lvl w:ilvl="7">
      <w:start w:val="1"/>
      <w:numFmt w:val="bullet"/>
      <w:lvlText w:val="o"/>
      <w:lvlJc w:val="left"/>
      <w:pPr>
        <w:tabs>
          <w:tab w:val="num" w:pos="6075"/>
        </w:tabs>
        <w:ind w:left="6075" w:hanging="315"/>
      </w:pPr>
      <w:rPr>
        <w:rFonts w:ascii="Arial" w:eastAsia="Arial" w:hAnsi="Arial" w:cs="Arial"/>
        <w:b/>
        <w:bCs/>
        <w:color w:val="000000"/>
        <w:position w:val="0"/>
        <w:sz w:val="21"/>
        <w:szCs w:val="21"/>
        <w:u w:color="000000"/>
      </w:rPr>
    </w:lvl>
    <w:lvl w:ilvl="8">
      <w:start w:val="1"/>
      <w:numFmt w:val="bullet"/>
      <w:lvlText w:val="▪"/>
      <w:lvlJc w:val="left"/>
      <w:pPr>
        <w:tabs>
          <w:tab w:val="num" w:pos="6795"/>
        </w:tabs>
        <w:ind w:left="6795" w:hanging="315"/>
      </w:pPr>
      <w:rPr>
        <w:rFonts w:ascii="Arial" w:eastAsia="Arial" w:hAnsi="Arial" w:cs="Arial"/>
        <w:b/>
        <w:bCs/>
        <w:color w:val="000000"/>
        <w:position w:val="0"/>
        <w:sz w:val="21"/>
        <w:szCs w:val="21"/>
        <w:u w:color="000000"/>
      </w:rPr>
    </w:lvl>
  </w:abstractNum>
  <w:abstractNum w:abstractNumId="46">
    <w:nsid w:val="65763730"/>
    <w:multiLevelType w:val="multilevel"/>
    <w:tmpl w:val="E58A5AF4"/>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47">
    <w:nsid w:val="671C7D0E"/>
    <w:multiLevelType w:val="multilevel"/>
    <w:tmpl w:val="922E97A4"/>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48">
    <w:nsid w:val="6A5D451C"/>
    <w:multiLevelType w:val="multilevel"/>
    <w:tmpl w:val="FB2204CA"/>
    <w:lvl w:ilvl="0">
      <w:numFmt w:val="bullet"/>
      <w:lvlText w:val="➢"/>
      <w:lvlJc w:val="left"/>
      <w:pPr>
        <w:tabs>
          <w:tab w:val="num" w:pos="1080"/>
        </w:tabs>
        <w:ind w:left="1080" w:hanging="360"/>
      </w:pPr>
      <w:rPr>
        <w:rFonts w:ascii="Arial" w:eastAsia="Arial" w:hAnsi="Arial" w:cs="Arial"/>
        <w:b/>
        <w:bCs/>
        <w:color w:val="000000"/>
        <w:position w:val="0"/>
        <w:sz w:val="24"/>
        <w:szCs w:val="24"/>
        <w:u w:color="000000"/>
      </w:rPr>
    </w:lvl>
    <w:lvl w:ilvl="1">
      <w:start w:val="1"/>
      <w:numFmt w:val="bullet"/>
      <w:lvlText w:val="o"/>
      <w:lvlJc w:val="left"/>
      <w:pPr>
        <w:tabs>
          <w:tab w:val="num" w:pos="1755"/>
        </w:tabs>
        <w:ind w:left="1755" w:hanging="315"/>
      </w:pPr>
      <w:rPr>
        <w:rFonts w:ascii="Arial" w:eastAsia="Arial" w:hAnsi="Arial" w:cs="Arial"/>
        <w:b/>
        <w:bCs/>
        <w:color w:val="000000"/>
        <w:position w:val="0"/>
        <w:sz w:val="21"/>
        <w:szCs w:val="21"/>
        <w:u w:color="000000"/>
      </w:rPr>
    </w:lvl>
    <w:lvl w:ilvl="2">
      <w:start w:val="1"/>
      <w:numFmt w:val="bullet"/>
      <w:lvlText w:val="▪"/>
      <w:lvlJc w:val="left"/>
      <w:pPr>
        <w:tabs>
          <w:tab w:val="num" w:pos="2475"/>
        </w:tabs>
        <w:ind w:left="2475" w:hanging="315"/>
      </w:pPr>
      <w:rPr>
        <w:rFonts w:ascii="Arial" w:eastAsia="Arial" w:hAnsi="Arial" w:cs="Arial"/>
        <w:b/>
        <w:bCs/>
        <w:color w:val="000000"/>
        <w:position w:val="0"/>
        <w:sz w:val="21"/>
        <w:szCs w:val="21"/>
        <w:u w:color="000000"/>
      </w:rPr>
    </w:lvl>
    <w:lvl w:ilvl="3">
      <w:start w:val="1"/>
      <w:numFmt w:val="bullet"/>
      <w:lvlText w:val="•"/>
      <w:lvlJc w:val="left"/>
      <w:pPr>
        <w:tabs>
          <w:tab w:val="num" w:pos="3195"/>
        </w:tabs>
        <w:ind w:left="3195" w:hanging="315"/>
      </w:pPr>
      <w:rPr>
        <w:rFonts w:ascii="Arial" w:eastAsia="Arial" w:hAnsi="Arial" w:cs="Arial"/>
        <w:b/>
        <w:bCs/>
        <w:color w:val="000000"/>
        <w:position w:val="0"/>
        <w:sz w:val="21"/>
        <w:szCs w:val="21"/>
        <w:u w:color="000000"/>
      </w:rPr>
    </w:lvl>
    <w:lvl w:ilvl="4">
      <w:start w:val="1"/>
      <w:numFmt w:val="bullet"/>
      <w:lvlText w:val="o"/>
      <w:lvlJc w:val="left"/>
      <w:pPr>
        <w:tabs>
          <w:tab w:val="num" w:pos="3915"/>
        </w:tabs>
        <w:ind w:left="3915" w:hanging="315"/>
      </w:pPr>
      <w:rPr>
        <w:rFonts w:ascii="Arial" w:eastAsia="Arial" w:hAnsi="Arial" w:cs="Arial"/>
        <w:b/>
        <w:bCs/>
        <w:color w:val="000000"/>
        <w:position w:val="0"/>
        <w:sz w:val="21"/>
        <w:szCs w:val="21"/>
        <w:u w:color="000000"/>
      </w:rPr>
    </w:lvl>
    <w:lvl w:ilvl="5">
      <w:start w:val="1"/>
      <w:numFmt w:val="bullet"/>
      <w:lvlText w:val="▪"/>
      <w:lvlJc w:val="left"/>
      <w:pPr>
        <w:tabs>
          <w:tab w:val="num" w:pos="4635"/>
        </w:tabs>
        <w:ind w:left="4635" w:hanging="315"/>
      </w:pPr>
      <w:rPr>
        <w:rFonts w:ascii="Arial" w:eastAsia="Arial" w:hAnsi="Arial" w:cs="Arial"/>
        <w:b/>
        <w:bCs/>
        <w:color w:val="000000"/>
        <w:position w:val="0"/>
        <w:sz w:val="21"/>
        <w:szCs w:val="21"/>
        <w:u w:color="000000"/>
      </w:rPr>
    </w:lvl>
    <w:lvl w:ilvl="6">
      <w:start w:val="1"/>
      <w:numFmt w:val="bullet"/>
      <w:lvlText w:val="•"/>
      <w:lvlJc w:val="left"/>
      <w:pPr>
        <w:tabs>
          <w:tab w:val="num" w:pos="5355"/>
        </w:tabs>
        <w:ind w:left="5355" w:hanging="315"/>
      </w:pPr>
      <w:rPr>
        <w:rFonts w:ascii="Arial" w:eastAsia="Arial" w:hAnsi="Arial" w:cs="Arial"/>
        <w:b/>
        <w:bCs/>
        <w:color w:val="000000"/>
        <w:position w:val="0"/>
        <w:sz w:val="21"/>
        <w:szCs w:val="21"/>
        <w:u w:color="000000"/>
      </w:rPr>
    </w:lvl>
    <w:lvl w:ilvl="7">
      <w:start w:val="1"/>
      <w:numFmt w:val="bullet"/>
      <w:lvlText w:val="o"/>
      <w:lvlJc w:val="left"/>
      <w:pPr>
        <w:tabs>
          <w:tab w:val="num" w:pos="6075"/>
        </w:tabs>
        <w:ind w:left="6075" w:hanging="315"/>
      </w:pPr>
      <w:rPr>
        <w:rFonts w:ascii="Arial" w:eastAsia="Arial" w:hAnsi="Arial" w:cs="Arial"/>
        <w:b/>
        <w:bCs/>
        <w:color w:val="000000"/>
        <w:position w:val="0"/>
        <w:sz w:val="21"/>
        <w:szCs w:val="21"/>
        <w:u w:color="000000"/>
      </w:rPr>
    </w:lvl>
    <w:lvl w:ilvl="8">
      <w:start w:val="1"/>
      <w:numFmt w:val="bullet"/>
      <w:lvlText w:val="▪"/>
      <w:lvlJc w:val="left"/>
      <w:pPr>
        <w:tabs>
          <w:tab w:val="num" w:pos="6795"/>
        </w:tabs>
        <w:ind w:left="6795" w:hanging="315"/>
      </w:pPr>
      <w:rPr>
        <w:rFonts w:ascii="Arial" w:eastAsia="Arial" w:hAnsi="Arial" w:cs="Arial"/>
        <w:b/>
        <w:bCs/>
        <w:color w:val="000000"/>
        <w:position w:val="0"/>
        <w:sz w:val="21"/>
        <w:szCs w:val="21"/>
        <w:u w:color="000000"/>
      </w:rPr>
    </w:lvl>
  </w:abstractNum>
  <w:abstractNum w:abstractNumId="49">
    <w:nsid w:val="6C5D69B6"/>
    <w:multiLevelType w:val="multilevel"/>
    <w:tmpl w:val="68A01CC0"/>
    <w:lvl w:ilvl="0">
      <w:numFmt w:val="bullet"/>
      <w:lvlText w:val="▪"/>
      <w:lvlJc w:val="left"/>
      <w:rPr>
        <w:rFonts w:ascii="Arial" w:eastAsia="Arial" w:hAnsi="Arial" w:cs="Arial"/>
        <w:b w:val="0"/>
        <w:bCs w:val="0"/>
        <w:position w:val="0"/>
        <w:rtl w:val="0"/>
        <w:lang w:val="es-ES_tradnl"/>
      </w:rPr>
    </w:lvl>
    <w:lvl w:ilvl="1">
      <w:start w:val="1"/>
      <w:numFmt w:val="bullet"/>
      <w:lvlText w:val="o"/>
      <w:lvlJc w:val="left"/>
      <w:rPr>
        <w:rFonts w:ascii="Arial" w:eastAsia="Arial" w:hAnsi="Arial" w:cs="Arial"/>
        <w:b/>
        <w:bCs/>
        <w:position w:val="0"/>
        <w:rtl w:val="0"/>
        <w:lang w:val="es-ES_tradnl"/>
      </w:rPr>
    </w:lvl>
    <w:lvl w:ilvl="2">
      <w:start w:val="1"/>
      <w:numFmt w:val="bullet"/>
      <w:lvlText w:val="▪"/>
      <w:lvlJc w:val="left"/>
      <w:rPr>
        <w:rFonts w:ascii="Arial" w:eastAsia="Arial" w:hAnsi="Arial" w:cs="Arial"/>
        <w:b/>
        <w:bCs/>
        <w:position w:val="0"/>
        <w:rtl w:val="0"/>
        <w:lang w:val="es-ES_tradnl"/>
      </w:rPr>
    </w:lvl>
    <w:lvl w:ilvl="3">
      <w:start w:val="1"/>
      <w:numFmt w:val="bullet"/>
      <w:lvlText w:val="•"/>
      <w:lvlJc w:val="left"/>
      <w:rPr>
        <w:rFonts w:ascii="Arial" w:eastAsia="Arial" w:hAnsi="Arial" w:cs="Arial"/>
        <w:b/>
        <w:bCs/>
        <w:position w:val="0"/>
        <w:rtl w:val="0"/>
        <w:lang w:val="es-ES_tradnl"/>
      </w:rPr>
    </w:lvl>
    <w:lvl w:ilvl="4">
      <w:start w:val="1"/>
      <w:numFmt w:val="bullet"/>
      <w:lvlText w:val="o"/>
      <w:lvlJc w:val="left"/>
      <w:rPr>
        <w:rFonts w:ascii="Arial" w:eastAsia="Arial" w:hAnsi="Arial" w:cs="Arial"/>
        <w:b/>
        <w:bCs/>
        <w:position w:val="0"/>
        <w:rtl w:val="0"/>
        <w:lang w:val="es-ES_tradnl"/>
      </w:rPr>
    </w:lvl>
    <w:lvl w:ilvl="5">
      <w:start w:val="1"/>
      <w:numFmt w:val="bullet"/>
      <w:lvlText w:val="▪"/>
      <w:lvlJc w:val="left"/>
      <w:rPr>
        <w:rFonts w:ascii="Arial" w:eastAsia="Arial" w:hAnsi="Arial" w:cs="Arial"/>
        <w:b/>
        <w:bCs/>
        <w:position w:val="0"/>
        <w:rtl w:val="0"/>
        <w:lang w:val="es-ES_tradnl"/>
      </w:rPr>
    </w:lvl>
    <w:lvl w:ilvl="6">
      <w:start w:val="1"/>
      <w:numFmt w:val="bullet"/>
      <w:lvlText w:val="•"/>
      <w:lvlJc w:val="left"/>
      <w:rPr>
        <w:rFonts w:ascii="Arial" w:eastAsia="Arial" w:hAnsi="Arial" w:cs="Arial"/>
        <w:b/>
        <w:bCs/>
        <w:position w:val="0"/>
        <w:rtl w:val="0"/>
        <w:lang w:val="es-ES_tradnl"/>
      </w:rPr>
    </w:lvl>
    <w:lvl w:ilvl="7">
      <w:start w:val="1"/>
      <w:numFmt w:val="bullet"/>
      <w:lvlText w:val="o"/>
      <w:lvlJc w:val="left"/>
      <w:rPr>
        <w:rFonts w:ascii="Arial" w:eastAsia="Arial" w:hAnsi="Arial" w:cs="Arial"/>
        <w:b/>
        <w:bCs/>
        <w:position w:val="0"/>
        <w:rtl w:val="0"/>
        <w:lang w:val="es-ES_tradnl"/>
      </w:rPr>
    </w:lvl>
    <w:lvl w:ilvl="8">
      <w:start w:val="1"/>
      <w:numFmt w:val="bullet"/>
      <w:lvlText w:val="▪"/>
      <w:lvlJc w:val="left"/>
      <w:rPr>
        <w:rFonts w:ascii="Arial" w:eastAsia="Arial" w:hAnsi="Arial" w:cs="Arial"/>
        <w:b/>
        <w:bCs/>
        <w:position w:val="0"/>
        <w:rtl w:val="0"/>
        <w:lang w:val="es-ES_tradnl"/>
      </w:rPr>
    </w:lvl>
  </w:abstractNum>
  <w:abstractNum w:abstractNumId="50">
    <w:nsid w:val="6C7D34D6"/>
    <w:multiLevelType w:val="multilevel"/>
    <w:tmpl w:val="7282444A"/>
    <w:lvl w:ilvl="0">
      <w:start w:val="1"/>
      <w:numFmt w:val="bullet"/>
      <w:lvlText w:val="▪"/>
      <w:lvlJc w:val="left"/>
      <w:pPr>
        <w:tabs>
          <w:tab w:val="num" w:pos="375"/>
        </w:tabs>
        <w:ind w:left="375" w:hanging="375"/>
      </w:pPr>
      <w:rPr>
        <w:rFonts w:ascii="Times" w:eastAsia="Times" w:hAnsi="Times" w:cs="Times"/>
        <w:b/>
        <w:bCs/>
        <w:i/>
        <w:iCs/>
        <w:position w:val="0"/>
        <w:sz w:val="25"/>
        <w:szCs w:val="25"/>
      </w:rPr>
    </w:lvl>
    <w:lvl w:ilvl="1">
      <w:numFmt w:val="bullet"/>
      <w:lvlText w:val="o"/>
      <w:lvlJc w:val="left"/>
      <w:pPr>
        <w:tabs>
          <w:tab w:val="num" w:pos="851"/>
        </w:tabs>
        <w:ind w:left="851" w:hanging="131"/>
      </w:pPr>
      <w:rPr>
        <w:rFonts w:ascii="Times New Roman" w:eastAsia="Times New Roman" w:hAnsi="Times New Roman" w:cs="Times New Roman"/>
        <w:b/>
        <w:bCs/>
        <w:i/>
        <w:iCs/>
        <w:position w:val="0"/>
        <w:sz w:val="24"/>
        <w:szCs w:val="24"/>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51">
    <w:nsid w:val="6CEF6753"/>
    <w:multiLevelType w:val="multilevel"/>
    <w:tmpl w:val="5C7C9708"/>
    <w:lvl w:ilvl="0">
      <w:numFmt w:val="bullet"/>
      <w:lvlText w:val="➢"/>
      <w:lvlJc w:val="left"/>
      <w:pPr>
        <w:tabs>
          <w:tab w:val="num" w:pos="1080"/>
        </w:tabs>
        <w:ind w:left="1080" w:hanging="360"/>
      </w:pPr>
      <w:rPr>
        <w:rFonts w:ascii="Arial" w:eastAsia="Arial" w:hAnsi="Arial" w:cs="Arial"/>
        <w:b/>
        <w:bCs/>
        <w:position w:val="0"/>
        <w:sz w:val="24"/>
        <w:szCs w:val="24"/>
      </w:rPr>
    </w:lvl>
    <w:lvl w:ilvl="1">
      <w:start w:val="1"/>
      <w:numFmt w:val="bullet"/>
      <w:lvlText w:val="o"/>
      <w:lvlJc w:val="left"/>
      <w:pPr>
        <w:tabs>
          <w:tab w:val="num" w:pos="1755"/>
        </w:tabs>
        <w:ind w:left="1755" w:hanging="315"/>
      </w:pPr>
      <w:rPr>
        <w:rFonts w:ascii="Arial" w:eastAsia="Arial" w:hAnsi="Arial" w:cs="Arial"/>
        <w:b/>
        <w:bCs/>
        <w:position w:val="0"/>
        <w:sz w:val="21"/>
        <w:szCs w:val="21"/>
      </w:rPr>
    </w:lvl>
    <w:lvl w:ilvl="2">
      <w:start w:val="1"/>
      <w:numFmt w:val="bullet"/>
      <w:lvlText w:val="▪"/>
      <w:lvlJc w:val="left"/>
      <w:pPr>
        <w:tabs>
          <w:tab w:val="num" w:pos="2475"/>
        </w:tabs>
        <w:ind w:left="2475" w:hanging="315"/>
      </w:pPr>
      <w:rPr>
        <w:rFonts w:ascii="Arial" w:eastAsia="Arial" w:hAnsi="Arial" w:cs="Arial"/>
        <w:b/>
        <w:bCs/>
        <w:position w:val="0"/>
        <w:sz w:val="21"/>
        <w:szCs w:val="21"/>
      </w:rPr>
    </w:lvl>
    <w:lvl w:ilvl="3">
      <w:start w:val="1"/>
      <w:numFmt w:val="bullet"/>
      <w:lvlText w:val="•"/>
      <w:lvlJc w:val="left"/>
      <w:pPr>
        <w:tabs>
          <w:tab w:val="num" w:pos="3195"/>
        </w:tabs>
        <w:ind w:left="3195" w:hanging="315"/>
      </w:pPr>
      <w:rPr>
        <w:rFonts w:ascii="Arial" w:eastAsia="Arial" w:hAnsi="Arial" w:cs="Arial"/>
        <w:b/>
        <w:bCs/>
        <w:position w:val="0"/>
        <w:sz w:val="21"/>
        <w:szCs w:val="21"/>
      </w:rPr>
    </w:lvl>
    <w:lvl w:ilvl="4">
      <w:start w:val="1"/>
      <w:numFmt w:val="bullet"/>
      <w:lvlText w:val="o"/>
      <w:lvlJc w:val="left"/>
      <w:pPr>
        <w:tabs>
          <w:tab w:val="num" w:pos="3915"/>
        </w:tabs>
        <w:ind w:left="3915" w:hanging="315"/>
      </w:pPr>
      <w:rPr>
        <w:rFonts w:ascii="Arial" w:eastAsia="Arial" w:hAnsi="Arial" w:cs="Arial"/>
        <w:b/>
        <w:bCs/>
        <w:position w:val="0"/>
        <w:sz w:val="21"/>
        <w:szCs w:val="21"/>
      </w:rPr>
    </w:lvl>
    <w:lvl w:ilvl="5">
      <w:start w:val="1"/>
      <w:numFmt w:val="bullet"/>
      <w:lvlText w:val="▪"/>
      <w:lvlJc w:val="left"/>
      <w:pPr>
        <w:tabs>
          <w:tab w:val="num" w:pos="4635"/>
        </w:tabs>
        <w:ind w:left="4635" w:hanging="315"/>
      </w:pPr>
      <w:rPr>
        <w:rFonts w:ascii="Arial" w:eastAsia="Arial" w:hAnsi="Arial" w:cs="Arial"/>
        <w:b/>
        <w:bCs/>
        <w:position w:val="0"/>
        <w:sz w:val="21"/>
        <w:szCs w:val="21"/>
      </w:rPr>
    </w:lvl>
    <w:lvl w:ilvl="6">
      <w:start w:val="1"/>
      <w:numFmt w:val="bullet"/>
      <w:lvlText w:val="•"/>
      <w:lvlJc w:val="left"/>
      <w:pPr>
        <w:tabs>
          <w:tab w:val="num" w:pos="5355"/>
        </w:tabs>
        <w:ind w:left="5355" w:hanging="315"/>
      </w:pPr>
      <w:rPr>
        <w:rFonts w:ascii="Arial" w:eastAsia="Arial" w:hAnsi="Arial" w:cs="Arial"/>
        <w:b/>
        <w:bCs/>
        <w:position w:val="0"/>
        <w:sz w:val="21"/>
        <w:szCs w:val="21"/>
      </w:rPr>
    </w:lvl>
    <w:lvl w:ilvl="7">
      <w:start w:val="1"/>
      <w:numFmt w:val="bullet"/>
      <w:lvlText w:val="o"/>
      <w:lvlJc w:val="left"/>
      <w:pPr>
        <w:tabs>
          <w:tab w:val="num" w:pos="6075"/>
        </w:tabs>
        <w:ind w:left="6075" w:hanging="315"/>
      </w:pPr>
      <w:rPr>
        <w:rFonts w:ascii="Arial" w:eastAsia="Arial" w:hAnsi="Arial" w:cs="Arial"/>
        <w:b/>
        <w:bCs/>
        <w:position w:val="0"/>
        <w:sz w:val="21"/>
        <w:szCs w:val="21"/>
      </w:rPr>
    </w:lvl>
    <w:lvl w:ilvl="8">
      <w:start w:val="1"/>
      <w:numFmt w:val="bullet"/>
      <w:lvlText w:val="▪"/>
      <w:lvlJc w:val="left"/>
      <w:pPr>
        <w:tabs>
          <w:tab w:val="num" w:pos="6795"/>
        </w:tabs>
        <w:ind w:left="6795" w:hanging="315"/>
      </w:pPr>
      <w:rPr>
        <w:rFonts w:ascii="Arial" w:eastAsia="Arial" w:hAnsi="Arial" w:cs="Arial"/>
        <w:b/>
        <w:bCs/>
        <w:position w:val="0"/>
        <w:sz w:val="21"/>
        <w:szCs w:val="21"/>
      </w:rPr>
    </w:lvl>
  </w:abstractNum>
  <w:abstractNum w:abstractNumId="52">
    <w:nsid w:val="6DF23C6D"/>
    <w:multiLevelType w:val="multilevel"/>
    <w:tmpl w:val="E576804A"/>
    <w:lvl w:ilvl="0">
      <w:numFmt w:val="bullet"/>
      <w:lvlText w:val="➢"/>
      <w:lvlJc w:val="left"/>
      <w:pPr>
        <w:tabs>
          <w:tab w:val="num" w:pos="1080"/>
        </w:tabs>
        <w:ind w:left="1080" w:hanging="360"/>
      </w:pPr>
      <w:rPr>
        <w:rFonts w:ascii="Arial" w:eastAsia="Arial" w:hAnsi="Arial" w:cs="Arial"/>
        <w:b/>
        <w:bCs/>
        <w:position w:val="0"/>
        <w:sz w:val="24"/>
        <w:szCs w:val="24"/>
      </w:rPr>
    </w:lvl>
    <w:lvl w:ilvl="1">
      <w:start w:val="1"/>
      <w:numFmt w:val="bullet"/>
      <w:lvlText w:val="o"/>
      <w:lvlJc w:val="left"/>
      <w:pPr>
        <w:tabs>
          <w:tab w:val="num" w:pos="1755"/>
        </w:tabs>
        <w:ind w:left="1755" w:hanging="315"/>
      </w:pPr>
      <w:rPr>
        <w:rFonts w:ascii="Arial" w:eastAsia="Arial" w:hAnsi="Arial" w:cs="Arial"/>
        <w:b/>
        <w:bCs/>
        <w:position w:val="0"/>
        <w:sz w:val="21"/>
        <w:szCs w:val="21"/>
      </w:rPr>
    </w:lvl>
    <w:lvl w:ilvl="2">
      <w:start w:val="1"/>
      <w:numFmt w:val="bullet"/>
      <w:lvlText w:val="▪"/>
      <w:lvlJc w:val="left"/>
      <w:pPr>
        <w:tabs>
          <w:tab w:val="num" w:pos="2475"/>
        </w:tabs>
        <w:ind w:left="2475" w:hanging="315"/>
      </w:pPr>
      <w:rPr>
        <w:rFonts w:ascii="Arial" w:eastAsia="Arial" w:hAnsi="Arial" w:cs="Arial"/>
        <w:b/>
        <w:bCs/>
        <w:position w:val="0"/>
        <w:sz w:val="21"/>
        <w:szCs w:val="21"/>
      </w:rPr>
    </w:lvl>
    <w:lvl w:ilvl="3">
      <w:start w:val="1"/>
      <w:numFmt w:val="bullet"/>
      <w:lvlText w:val="•"/>
      <w:lvlJc w:val="left"/>
      <w:pPr>
        <w:tabs>
          <w:tab w:val="num" w:pos="3195"/>
        </w:tabs>
        <w:ind w:left="3195" w:hanging="315"/>
      </w:pPr>
      <w:rPr>
        <w:rFonts w:ascii="Arial" w:eastAsia="Arial" w:hAnsi="Arial" w:cs="Arial"/>
        <w:b/>
        <w:bCs/>
        <w:position w:val="0"/>
        <w:sz w:val="21"/>
        <w:szCs w:val="21"/>
      </w:rPr>
    </w:lvl>
    <w:lvl w:ilvl="4">
      <w:start w:val="1"/>
      <w:numFmt w:val="bullet"/>
      <w:lvlText w:val="o"/>
      <w:lvlJc w:val="left"/>
      <w:pPr>
        <w:tabs>
          <w:tab w:val="num" w:pos="3915"/>
        </w:tabs>
        <w:ind w:left="3915" w:hanging="315"/>
      </w:pPr>
      <w:rPr>
        <w:rFonts w:ascii="Arial" w:eastAsia="Arial" w:hAnsi="Arial" w:cs="Arial"/>
        <w:b/>
        <w:bCs/>
        <w:position w:val="0"/>
        <w:sz w:val="21"/>
        <w:szCs w:val="21"/>
      </w:rPr>
    </w:lvl>
    <w:lvl w:ilvl="5">
      <w:start w:val="1"/>
      <w:numFmt w:val="bullet"/>
      <w:lvlText w:val="▪"/>
      <w:lvlJc w:val="left"/>
      <w:pPr>
        <w:tabs>
          <w:tab w:val="num" w:pos="4635"/>
        </w:tabs>
        <w:ind w:left="4635" w:hanging="315"/>
      </w:pPr>
      <w:rPr>
        <w:rFonts w:ascii="Arial" w:eastAsia="Arial" w:hAnsi="Arial" w:cs="Arial"/>
        <w:b/>
        <w:bCs/>
        <w:position w:val="0"/>
        <w:sz w:val="21"/>
        <w:szCs w:val="21"/>
      </w:rPr>
    </w:lvl>
    <w:lvl w:ilvl="6">
      <w:start w:val="1"/>
      <w:numFmt w:val="bullet"/>
      <w:lvlText w:val="•"/>
      <w:lvlJc w:val="left"/>
      <w:pPr>
        <w:tabs>
          <w:tab w:val="num" w:pos="5355"/>
        </w:tabs>
        <w:ind w:left="5355" w:hanging="315"/>
      </w:pPr>
      <w:rPr>
        <w:rFonts w:ascii="Arial" w:eastAsia="Arial" w:hAnsi="Arial" w:cs="Arial"/>
        <w:b/>
        <w:bCs/>
        <w:position w:val="0"/>
        <w:sz w:val="21"/>
        <w:szCs w:val="21"/>
      </w:rPr>
    </w:lvl>
    <w:lvl w:ilvl="7">
      <w:start w:val="1"/>
      <w:numFmt w:val="bullet"/>
      <w:lvlText w:val="o"/>
      <w:lvlJc w:val="left"/>
      <w:pPr>
        <w:tabs>
          <w:tab w:val="num" w:pos="6075"/>
        </w:tabs>
        <w:ind w:left="6075" w:hanging="315"/>
      </w:pPr>
      <w:rPr>
        <w:rFonts w:ascii="Arial" w:eastAsia="Arial" w:hAnsi="Arial" w:cs="Arial"/>
        <w:b/>
        <w:bCs/>
        <w:position w:val="0"/>
        <w:sz w:val="21"/>
        <w:szCs w:val="21"/>
      </w:rPr>
    </w:lvl>
    <w:lvl w:ilvl="8">
      <w:start w:val="1"/>
      <w:numFmt w:val="bullet"/>
      <w:lvlText w:val="▪"/>
      <w:lvlJc w:val="left"/>
      <w:pPr>
        <w:tabs>
          <w:tab w:val="num" w:pos="6795"/>
        </w:tabs>
        <w:ind w:left="6795" w:hanging="315"/>
      </w:pPr>
      <w:rPr>
        <w:rFonts w:ascii="Arial" w:eastAsia="Arial" w:hAnsi="Arial" w:cs="Arial"/>
        <w:b/>
        <w:bCs/>
        <w:position w:val="0"/>
        <w:sz w:val="21"/>
        <w:szCs w:val="21"/>
      </w:rPr>
    </w:lvl>
  </w:abstractNum>
  <w:abstractNum w:abstractNumId="53">
    <w:nsid w:val="722A17D6"/>
    <w:multiLevelType w:val="multilevel"/>
    <w:tmpl w:val="5C5A702A"/>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54">
    <w:nsid w:val="741E7DC5"/>
    <w:multiLevelType w:val="multilevel"/>
    <w:tmpl w:val="A7ACF16A"/>
    <w:styleLink w:val="Lista31"/>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55">
    <w:nsid w:val="75C37BC8"/>
    <w:multiLevelType w:val="multilevel"/>
    <w:tmpl w:val="D2A6B60A"/>
    <w:lvl w:ilvl="0">
      <w:start w:val="1"/>
      <w:numFmt w:val="bullet"/>
      <w:lvlText w:val="▪"/>
      <w:lvlJc w:val="left"/>
      <w:pPr>
        <w:tabs>
          <w:tab w:val="num" w:pos="375"/>
        </w:tabs>
        <w:ind w:left="375" w:hanging="375"/>
      </w:pPr>
      <w:rPr>
        <w:rFonts w:ascii="Times" w:eastAsia="Times" w:hAnsi="Times" w:cs="Times"/>
        <w:b/>
        <w:bCs/>
        <w:i/>
        <w:iCs/>
        <w:position w:val="0"/>
        <w:sz w:val="25"/>
        <w:szCs w:val="25"/>
      </w:rPr>
    </w:lvl>
    <w:lvl w:ilvl="1">
      <w:numFmt w:val="bullet"/>
      <w:lvlText w:val="o"/>
      <w:lvlJc w:val="left"/>
      <w:pPr>
        <w:tabs>
          <w:tab w:val="num" w:pos="851"/>
        </w:tabs>
        <w:ind w:left="851" w:hanging="131"/>
      </w:pPr>
      <w:rPr>
        <w:rFonts w:ascii="Times New Roman" w:eastAsia="Times New Roman" w:hAnsi="Times New Roman" w:cs="Times New Roman"/>
        <w:b/>
        <w:bCs/>
        <w:i/>
        <w:iCs/>
        <w:position w:val="0"/>
        <w:sz w:val="24"/>
        <w:szCs w:val="24"/>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56">
    <w:nsid w:val="77571DDB"/>
    <w:multiLevelType w:val="multilevel"/>
    <w:tmpl w:val="0DF60A78"/>
    <w:styleLink w:val="Lista21"/>
    <w:lvl w:ilvl="0">
      <w:numFmt w:val="bullet"/>
      <w:lvlText w:val="▪"/>
      <w:lvlJc w:val="left"/>
      <w:pPr>
        <w:tabs>
          <w:tab w:val="num" w:pos="360"/>
        </w:tabs>
        <w:ind w:left="360" w:hanging="360"/>
      </w:pPr>
      <w:rPr>
        <w:rFonts w:ascii="Arial" w:eastAsia="Arial" w:hAnsi="Arial" w:cs="Arial"/>
        <w:b/>
        <w:bCs/>
        <w:position w:val="0"/>
        <w:sz w:val="24"/>
        <w:szCs w:val="24"/>
      </w:rPr>
    </w:lvl>
    <w:lvl w:ilvl="1">
      <w:start w:val="1"/>
      <w:numFmt w:val="bullet"/>
      <w:lvlText w:val="o"/>
      <w:lvlJc w:val="left"/>
      <w:pPr>
        <w:tabs>
          <w:tab w:val="num" w:pos="1035"/>
        </w:tabs>
        <w:ind w:left="1035" w:hanging="315"/>
      </w:pPr>
      <w:rPr>
        <w:rFonts w:ascii="Arial" w:eastAsia="Arial" w:hAnsi="Arial" w:cs="Arial"/>
        <w:b/>
        <w:bCs/>
        <w:position w:val="0"/>
        <w:sz w:val="21"/>
        <w:szCs w:val="21"/>
      </w:rPr>
    </w:lvl>
    <w:lvl w:ilvl="2">
      <w:start w:val="1"/>
      <w:numFmt w:val="bullet"/>
      <w:lvlText w:val="▪"/>
      <w:lvlJc w:val="left"/>
      <w:pPr>
        <w:tabs>
          <w:tab w:val="num" w:pos="1755"/>
        </w:tabs>
        <w:ind w:left="1755" w:hanging="315"/>
      </w:pPr>
      <w:rPr>
        <w:rFonts w:ascii="Arial" w:eastAsia="Arial" w:hAnsi="Arial" w:cs="Arial"/>
        <w:b/>
        <w:bCs/>
        <w:position w:val="0"/>
        <w:sz w:val="21"/>
        <w:szCs w:val="21"/>
      </w:rPr>
    </w:lvl>
    <w:lvl w:ilvl="3">
      <w:start w:val="1"/>
      <w:numFmt w:val="bullet"/>
      <w:lvlText w:val="•"/>
      <w:lvlJc w:val="left"/>
      <w:pPr>
        <w:tabs>
          <w:tab w:val="num" w:pos="2475"/>
        </w:tabs>
        <w:ind w:left="2475" w:hanging="315"/>
      </w:pPr>
      <w:rPr>
        <w:rFonts w:ascii="Arial" w:eastAsia="Arial" w:hAnsi="Arial" w:cs="Arial"/>
        <w:b/>
        <w:bCs/>
        <w:position w:val="0"/>
        <w:sz w:val="21"/>
        <w:szCs w:val="21"/>
      </w:rPr>
    </w:lvl>
    <w:lvl w:ilvl="4">
      <w:start w:val="1"/>
      <w:numFmt w:val="bullet"/>
      <w:lvlText w:val="o"/>
      <w:lvlJc w:val="left"/>
      <w:pPr>
        <w:tabs>
          <w:tab w:val="num" w:pos="3195"/>
        </w:tabs>
        <w:ind w:left="3195" w:hanging="315"/>
      </w:pPr>
      <w:rPr>
        <w:rFonts w:ascii="Arial" w:eastAsia="Arial" w:hAnsi="Arial" w:cs="Arial"/>
        <w:b/>
        <w:bCs/>
        <w:position w:val="0"/>
        <w:sz w:val="21"/>
        <w:szCs w:val="21"/>
      </w:rPr>
    </w:lvl>
    <w:lvl w:ilvl="5">
      <w:start w:val="1"/>
      <w:numFmt w:val="bullet"/>
      <w:lvlText w:val="▪"/>
      <w:lvlJc w:val="left"/>
      <w:pPr>
        <w:tabs>
          <w:tab w:val="num" w:pos="3915"/>
        </w:tabs>
        <w:ind w:left="3915" w:hanging="315"/>
      </w:pPr>
      <w:rPr>
        <w:rFonts w:ascii="Arial" w:eastAsia="Arial" w:hAnsi="Arial" w:cs="Arial"/>
        <w:b/>
        <w:bCs/>
        <w:position w:val="0"/>
        <w:sz w:val="21"/>
        <w:szCs w:val="21"/>
      </w:rPr>
    </w:lvl>
    <w:lvl w:ilvl="6">
      <w:start w:val="1"/>
      <w:numFmt w:val="bullet"/>
      <w:lvlText w:val="•"/>
      <w:lvlJc w:val="left"/>
      <w:pPr>
        <w:tabs>
          <w:tab w:val="num" w:pos="4635"/>
        </w:tabs>
        <w:ind w:left="4635" w:hanging="315"/>
      </w:pPr>
      <w:rPr>
        <w:rFonts w:ascii="Arial" w:eastAsia="Arial" w:hAnsi="Arial" w:cs="Arial"/>
        <w:b/>
        <w:bCs/>
        <w:position w:val="0"/>
        <w:sz w:val="21"/>
        <w:szCs w:val="21"/>
      </w:rPr>
    </w:lvl>
    <w:lvl w:ilvl="7">
      <w:start w:val="1"/>
      <w:numFmt w:val="bullet"/>
      <w:lvlText w:val="o"/>
      <w:lvlJc w:val="left"/>
      <w:pPr>
        <w:tabs>
          <w:tab w:val="num" w:pos="5355"/>
        </w:tabs>
        <w:ind w:left="5355" w:hanging="315"/>
      </w:pPr>
      <w:rPr>
        <w:rFonts w:ascii="Arial" w:eastAsia="Arial" w:hAnsi="Arial" w:cs="Arial"/>
        <w:b/>
        <w:bCs/>
        <w:position w:val="0"/>
        <w:sz w:val="21"/>
        <w:szCs w:val="21"/>
      </w:rPr>
    </w:lvl>
    <w:lvl w:ilvl="8">
      <w:start w:val="1"/>
      <w:numFmt w:val="bullet"/>
      <w:lvlText w:val="▪"/>
      <w:lvlJc w:val="left"/>
      <w:pPr>
        <w:tabs>
          <w:tab w:val="num" w:pos="6075"/>
        </w:tabs>
        <w:ind w:left="6075" w:hanging="315"/>
      </w:pPr>
      <w:rPr>
        <w:rFonts w:ascii="Arial" w:eastAsia="Arial" w:hAnsi="Arial" w:cs="Arial"/>
        <w:b/>
        <w:bCs/>
        <w:position w:val="0"/>
        <w:sz w:val="21"/>
        <w:szCs w:val="21"/>
      </w:rPr>
    </w:lvl>
  </w:abstractNum>
  <w:abstractNum w:abstractNumId="57">
    <w:nsid w:val="779A1E04"/>
    <w:multiLevelType w:val="multilevel"/>
    <w:tmpl w:val="4B1E39E0"/>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58">
    <w:nsid w:val="79ED3E43"/>
    <w:multiLevelType w:val="multilevel"/>
    <w:tmpl w:val="C128C320"/>
    <w:lvl w:ilvl="0">
      <w:numFmt w:val="bullet"/>
      <w:lvlText w:val="➢"/>
      <w:lvlJc w:val="left"/>
      <w:pPr>
        <w:tabs>
          <w:tab w:val="num" w:pos="1080"/>
        </w:tabs>
        <w:ind w:left="1080" w:hanging="360"/>
      </w:pPr>
      <w:rPr>
        <w:rFonts w:ascii="Arial" w:eastAsia="Arial" w:hAnsi="Arial" w:cs="Arial"/>
        <w:b/>
        <w:bCs/>
        <w:position w:val="0"/>
        <w:sz w:val="24"/>
        <w:szCs w:val="24"/>
      </w:rPr>
    </w:lvl>
    <w:lvl w:ilvl="1">
      <w:start w:val="1"/>
      <w:numFmt w:val="bullet"/>
      <w:lvlText w:val="o"/>
      <w:lvlJc w:val="left"/>
      <w:pPr>
        <w:tabs>
          <w:tab w:val="num" w:pos="1755"/>
        </w:tabs>
        <w:ind w:left="1755" w:hanging="315"/>
      </w:pPr>
      <w:rPr>
        <w:rFonts w:ascii="Arial" w:eastAsia="Arial" w:hAnsi="Arial" w:cs="Arial"/>
        <w:b/>
        <w:bCs/>
        <w:position w:val="0"/>
        <w:sz w:val="21"/>
        <w:szCs w:val="21"/>
      </w:rPr>
    </w:lvl>
    <w:lvl w:ilvl="2">
      <w:start w:val="1"/>
      <w:numFmt w:val="bullet"/>
      <w:lvlText w:val="▪"/>
      <w:lvlJc w:val="left"/>
      <w:pPr>
        <w:tabs>
          <w:tab w:val="num" w:pos="2475"/>
        </w:tabs>
        <w:ind w:left="2475" w:hanging="315"/>
      </w:pPr>
      <w:rPr>
        <w:rFonts w:ascii="Arial" w:eastAsia="Arial" w:hAnsi="Arial" w:cs="Arial"/>
        <w:b/>
        <w:bCs/>
        <w:position w:val="0"/>
        <w:sz w:val="21"/>
        <w:szCs w:val="21"/>
      </w:rPr>
    </w:lvl>
    <w:lvl w:ilvl="3">
      <w:start w:val="1"/>
      <w:numFmt w:val="bullet"/>
      <w:lvlText w:val="•"/>
      <w:lvlJc w:val="left"/>
      <w:pPr>
        <w:tabs>
          <w:tab w:val="num" w:pos="3195"/>
        </w:tabs>
        <w:ind w:left="3195" w:hanging="315"/>
      </w:pPr>
      <w:rPr>
        <w:rFonts w:ascii="Arial" w:eastAsia="Arial" w:hAnsi="Arial" w:cs="Arial"/>
        <w:b/>
        <w:bCs/>
        <w:position w:val="0"/>
        <w:sz w:val="21"/>
        <w:szCs w:val="21"/>
      </w:rPr>
    </w:lvl>
    <w:lvl w:ilvl="4">
      <w:start w:val="1"/>
      <w:numFmt w:val="bullet"/>
      <w:lvlText w:val="o"/>
      <w:lvlJc w:val="left"/>
      <w:pPr>
        <w:tabs>
          <w:tab w:val="num" w:pos="3915"/>
        </w:tabs>
        <w:ind w:left="3915" w:hanging="315"/>
      </w:pPr>
      <w:rPr>
        <w:rFonts w:ascii="Arial" w:eastAsia="Arial" w:hAnsi="Arial" w:cs="Arial"/>
        <w:b/>
        <w:bCs/>
        <w:position w:val="0"/>
        <w:sz w:val="21"/>
        <w:szCs w:val="21"/>
      </w:rPr>
    </w:lvl>
    <w:lvl w:ilvl="5">
      <w:start w:val="1"/>
      <w:numFmt w:val="bullet"/>
      <w:lvlText w:val="▪"/>
      <w:lvlJc w:val="left"/>
      <w:pPr>
        <w:tabs>
          <w:tab w:val="num" w:pos="4635"/>
        </w:tabs>
        <w:ind w:left="4635" w:hanging="315"/>
      </w:pPr>
      <w:rPr>
        <w:rFonts w:ascii="Arial" w:eastAsia="Arial" w:hAnsi="Arial" w:cs="Arial"/>
        <w:b/>
        <w:bCs/>
        <w:position w:val="0"/>
        <w:sz w:val="21"/>
        <w:szCs w:val="21"/>
      </w:rPr>
    </w:lvl>
    <w:lvl w:ilvl="6">
      <w:start w:val="1"/>
      <w:numFmt w:val="bullet"/>
      <w:lvlText w:val="•"/>
      <w:lvlJc w:val="left"/>
      <w:pPr>
        <w:tabs>
          <w:tab w:val="num" w:pos="5355"/>
        </w:tabs>
        <w:ind w:left="5355" w:hanging="315"/>
      </w:pPr>
      <w:rPr>
        <w:rFonts w:ascii="Arial" w:eastAsia="Arial" w:hAnsi="Arial" w:cs="Arial"/>
        <w:b/>
        <w:bCs/>
        <w:position w:val="0"/>
        <w:sz w:val="21"/>
        <w:szCs w:val="21"/>
      </w:rPr>
    </w:lvl>
    <w:lvl w:ilvl="7">
      <w:start w:val="1"/>
      <w:numFmt w:val="bullet"/>
      <w:lvlText w:val="o"/>
      <w:lvlJc w:val="left"/>
      <w:pPr>
        <w:tabs>
          <w:tab w:val="num" w:pos="6075"/>
        </w:tabs>
        <w:ind w:left="6075" w:hanging="315"/>
      </w:pPr>
      <w:rPr>
        <w:rFonts w:ascii="Arial" w:eastAsia="Arial" w:hAnsi="Arial" w:cs="Arial"/>
        <w:b/>
        <w:bCs/>
        <w:position w:val="0"/>
        <w:sz w:val="21"/>
        <w:szCs w:val="21"/>
      </w:rPr>
    </w:lvl>
    <w:lvl w:ilvl="8">
      <w:start w:val="1"/>
      <w:numFmt w:val="bullet"/>
      <w:lvlText w:val="▪"/>
      <w:lvlJc w:val="left"/>
      <w:pPr>
        <w:tabs>
          <w:tab w:val="num" w:pos="6795"/>
        </w:tabs>
        <w:ind w:left="6795" w:hanging="315"/>
      </w:pPr>
      <w:rPr>
        <w:rFonts w:ascii="Arial" w:eastAsia="Arial" w:hAnsi="Arial" w:cs="Arial"/>
        <w:b/>
        <w:bCs/>
        <w:position w:val="0"/>
        <w:sz w:val="21"/>
        <w:szCs w:val="21"/>
      </w:rPr>
    </w:lvl>
  </w:abstractNum>
  <w:abstractNum w:abstractNumId="59">
    <w:nsid w:val="7E222D55"/>
    <w:multiLevelType w:val="multilevel"/>
    <w:tmpl w:val="7DEA0484"/>
    <w:lvl w:ilvl="0">
      <w:numFmt w:val="bullet"/>
      <w:lvlText w:val="▪"/>
      <w:lvlJc w:val="left"/>
      <w:pPr>
        <w:tabs>
          <w:tab w:val="num" w:pos="360"/>
        </w:tabs>
        <w:ind w:left="360" w:hanging="360"/>
      </w:pPr>
      <w:rPr>
        <w:rFonts w:ascii="Times New Roman" w:eastAsia="Times New Roman" w:hAnsi="Times New Roman" w:cs="Times New Roman"/>
        <w:b/>
        <w:bCs/>
        <w:i/>
        <w:iCs/>
        <w:position w:val="0"/>
        <w:sz w:val="24"/>
        <w:szCs w:val="24"/>
      </w:rPr>
    </w:lvl>
    <w:lvl w:ilvl="1">
      <w:start w:val="1"/>
      <w:numFmt w:val="bullet"/>
      <w:lvlText w:val="o"/>
      <w:lvlJc w:val="left"/>
      <w:pPr>
        <w:tabs>
          <w:tab w:val="num" w:pos="1095"/>
        </w:tabs>
        <w:ind w:left="1095" w:hanging="375"/>
      </w:pPr>
      <w:rPr>
        <w:rFonts w:ascii="Times" w:eastAsia="Times" w:hAnsi="Times" w:cs="Times"/>
        <w:b/>
        <w:bCs/>
        <w:i/>
        <w:iCs/>
        <w:position w:val="0"/>
        <w:sz w:val="25"/>
        <w:szCs w:val="25"/>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60">
    <w:nsid w:val="7EAB2B8C"/>
    <w:multiLevelType w:val="multilevel"/>
    <w:tmpl w:val="84007136"/>
    <w:styleLink w:val="List0"/>
    <w:lvl w:ilvl="0">
      <w:numFmt w:val="bullet"/>
      <w:lvlText w:val="▪"/>
      <w:lvlJc w:val="left"/>
      <w:pPr>
        <w:tabs>
          <w:tab w:val="num" w:pos="360"/>
        </w:tabs>
        <w:ind w:left="360" w:hanging="360"/>
      </w:pPr>
      <w:rPr>
        <w:rFonts w:ascii="Times New Roman" w:eastAsia="Times New Roman" w:hAnsi="Times New Roman" w:cs="Times New Roman"/>
        <w:b/>
        <w:bCs/>
        <w:i/>
        <w:iCs/>
        <w:position w:val="0"/>
        <w:sz w:val="24"/>
        <w:szCs w:val="24"/>
      </w:rPr>
    </w:lvl>
    <w:lvl w:ilvl="1">
      <w:start w:val="1"/>
      <w:numFmt w:val="bullet"/>
      <w:lvlText w:val="o"/>
      <w:lvlJc w:val="left"/>
      <w:pPr>
        <w:tabs>
          <w:tab w:val="num" w:pos="1095"/>
        </w:tabs>
        <w:ind w:left="1095" w:hanging="375"/>
      </w:pPr>
      <w:rPr>
        <w:rFonts w:ascii="Times" w:eastAsia="Times" w:hAnsi="Times" w:cs="Times"/>
        <w:b/>
        <w:bCs/>
        <w:i/>
        <w:iCs/>
        <w:position w:val="0"/>
        <w:sz w:val="25"/>
        <w:szCs w:val="25"/>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num w:numId="1">
    <w:abstractNumId w:val="16"/>
  </w:num>
  <w:num w:numId="2">
    <w:abstractNumId w:val="7"/>
  </w:num>
  <w:num w:numId="3">
    <w:abstractNumId w:val="50"/>
  </w:num>
  <w:num w:numId="4">
    <w:abstractNumId w:val="13"/>
  </w:num>
  <w:num w:numId="5">
    <w:abstractNumId w:val="30"/>
  </w:num>
  <w:num w:numId="6">
    <w:abstractNumId w:val="55"/>
  </w:num>
  <w:num w:numId="7">
    <w:abstractNumId w:val="10"/>
  </w:num>
  <w:num w:numId="8">
    <w:abstractNumId w:val="59"/>
  </w:num>
  <w:num w:numId="9">
    <w:abstractNumId w:val="39"/>
  </w:num>
  <w:num w:numId="10">
    <w:abstractNumId w:val="2"/>
  </w:num>
  <w:num w:numId="11">
    <w:abstractNumId w:val="60"/>
  </w:num>
  <w:num w:numId="12">
    <w:abstractNumId w:val="20"/>
  </w:num>
  <w:num w:numId="13">
    <w:abstractNumId w:val="46"/>
  </w:num>
  <w:num w:numId="14">
    <w:abstractNumId w:val="42"/>
  </w:num>
  <w:num w:numId="15">
    <w:abstractNumId w:val="33"/>
  </w:num>
  <w:num w:numId="16">
    <w:abstractNumId w:val="37"/>
  </w:num>
  <w:num w:numId="17">
    <w:abstractNumId w:val="31"/>
  </w:num>
  <w:num w:numId="18">
    <w:abstractNumId w:val="34"/>
  </w:num>
  <w:num w:numId="19">
    <w:abstractNumId w:val="44"/>
  </w:num>
  <w:num w:numId="20">
    <w:abstractNumId w:val="57"/>
  </w:num>
  <w:num w:numId="21">
    <w:abstractNumId w:val="38"/>
  </w:num>
  <w:num w:numId="22">
    <w:abstractNumId w:val="12"/>
  </w:num>
  <w:num w:numId="23">
    <w:abstractNumId w:val="29"/>
  </w:num>
  <w:num w:numId="24">
    <w:abstractNumId w:val="4"/>
  </w:num>
  <w:num w:numId="25">
    <w:abstractNumId w:val="43"/>
  </w:num>
  <w:num w:numId="26">
    <w:abstractNumId w:val="27"/>
  </w:num>
  <w:num w:numId="27">
    <w:abstractNumId w:val="56"/>
  </w:num>
  <w:num w:numId="28">
    <w:abstractNumId w:val="53"/>
  </w:num>
  <w:num w:numId="29">
    <w:abstractNumId w:val="32"/>
  </w:num>
  <w:num w:numId="30">
    <w:abstractNumId w:val="47"/>
  </w:num>
  <w:num w:numId="31">
    <w:abstractNumId w:val="54"/>
  </w:num>
  <w:num w:numId="32">
    <w:abstractNumId w:val="36"/>
  </w:num>
  <w:num w:numId="33">
    <w:abstractNumId w:val="49"/>
  </w:num>
  <w:num w:numId="34">
    <w:abstractNumId w:val="28"/>
  </w:num>
  <w:num w:numId="35">
    <w:abstractNumId w:val="23"/>
  </w:num>
  <w:num w:numId="36">
    <w:abstractNumId w:val="21"/>
  </w:num>
  <w:num w:numId="37">
    <w:abstractNumId w:val="35"/>
  </w:num>
  <w:num w:numId="38">
    <w:abstractNumId w:val="3"/>
  </w:num>
  <w:num w:numId="39">
    <w:abstractNumId w:val="25"/>
  </w:num>
  <w:num w:numId="40">
    <w:abstractNumId w:val="45"/>
  </w:num>
  <w:num w:numId="41">
    <w:abstractNumId w:val="17"/>
  </w:num>
  <w:num w:numId="42">
    <w:abstractNumId w:val="48"/>
  </w:num>
  <w:num w:numId="43">
    <w:abstractNumId w:val="58"/>
  </w:num>
  <w:num w:numId="44">
    <w:abstractNumId w:val="22"/>
  </w:num>
  <w:num w:numId="45">
    <w:abstractNumId w:val="26"/>
  </w:num>
  <w:num w:numId="46">
    <w:abstractNumId w:val="52"/>
  </w:num>
  <w:num w:numId="47">
    <w:abstractNumId w:val="9"/>
  </w:num>
  <w:num w:numId="48">
    <w:abstractNumId w:val="18"/>
  </w:num>
  <w:num w:numId="49">
    <w:abstractNumId w:val="14"/>
  </w:num>
  <w:num w:numId="50">
    <w:abstractNumId w:val="24"/>
  </w:num>
  <w:num w:numId="51">
    <w:abstractNumId w:val="51"/>
  </w:num>
  <w:num w:numId="52">
    <w:abstractNumId w:val="41"/>
  </w:num>
  <w:num w:numId="53">
    <w:abstractNumId w:val="5"/>
  </w:num>
  <w:num w:numId="54">
    <w:abstractNumId w:val="11"/>
  </w:num>
  <w:num w:numId="55">
    <w:abstractNumId w:val="6"/>
  </w:num>
  <w:num w:numId="56">
    <w:abstractNumId w:val="15"/>
  </w:num>
  <w:num w:numId="57">
    <w:abstractNumId w:val="1"/>
  </w:num>
  <w:num w:numId="58">
    <w:abstractNumId w:val="0"/>
  </w:num>
  <w:num w:numId="59">
    <w:abstractNumId w:val="40"/>
  </w:num>
  <w:num w:numId="60">
    <w:abstractNumId w:val="19"/>
  </w:num>
  <w:num w:numId="61">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4"/>
  </w:compat>
  <w:rsids>
    <w:rsidRoot w:val="00700DFB"/>
    <w:rsid w:val="001829E7"/>
    <w:rsid w:val="00300257"/>
    <w:rsid w:val="003C2B56"/>
    <w:rsid w:val="004D4E3A"/>
    <w:rsid w:val="005B4C08"/>
    <w:rsid w:val="00700DFB"/>
    <w:rsid w:val="007757DD"/>
    <w:rsid w:val="00826388"/>
    <w:rsid w:val="00857E56"/>
    <w:rsid w:val="008654ED"/>
    <w:rsid w:val="00865F8A"/>
    <w:rsid w:val="00923198"/>
    <w:rsid w:val="009A68DC"/>
    <w:rsid w:val="009B7D6D"/>
    <w:rsid w:val="009F7ED2"/>
    <w:rsid w:val="00A640DF"/>
    <w:rsid w:val="00AC69EC"/>
    <w:rsid w:val="00B56A1E"/>
    <w:rsid w:val="00B9386E"/>
    <w:rsid w:val="00BD1C8B"/>
    <w:rsid w:val="00C03CBD"/>
    <w:rsid w:val="00C76547"/>
    <w:rsid w:val="00CC6C47"/>
    <w:rsid w:val="00D154CB"/>
    <w:rsid w:val="00D5131A"/>
    <w:rsid w:val="00E47469"/>
    <w:rsid w:val="00E6743C"/>
    <w:rsid w:val="00F971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33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mbria" w:eastAsia="Cambria" w:hAnsi="Cambria" w:cs="Cambria"/>
      <w:color w:val="000000"/>
      <w:sz w:val="24"/>
      <w:szCs w:val="24"/>
      <w:u w:color="000000"/>
    </w:rPr>
  </w:style>
  <w:style w:type="paragraph" w:styleId="Piedepgina">
    <w:name w:val="footer"/>
    <w:link w:val="PiedepginaCar"/>
    <w:pPr>
      <w:tabs>
        <w:tab w:val="center" w:pos="4252"/>
        <w:tab w:val="right" w:pos="8504"/>
      </w:tabs>
    </w:pPr>
    <w:rPr>
      <w:rFonts w:ascii="Cambria" w:eastAsia="Cambria" w:hAnsi="Cambria" w:cs="Cambria"/>
      <w:color w:val="000000"/>
      <w:sz w:val="24"/>
      <w:szCs w:val="24"/>
      <w:u w:color="000000"/>
    </w:rPr>
  </w:style>
  <w:style w:type="paragraph" w:customStyle="1" w:styleId="Cuerpo">
    <w:name w:val="Cuerpo"/>
    <w:rPr>
      <w:rFonts w:ascii="Times" w:eastAsia="Times" w:hAnsi="Times" w:cs="Times"/>
      <w:color w:val="000000"/>
      <w:sz w:val="24"/>
      <w:szCs w:val="24"/>
      <w:u w:color="000000"/>
    </w:rPr>
  </w:style>
  <w:style w:type="paragraph" w:customStyle="1" w:styleId="TITULARMICHELIN">
    <w:name w:val="TITULAR MICHELIN"/>
    <w:pPr>
      <w:spacing w:line="360" w:lineRule="exact"/>
    </w:pPr>
    <w:rPr>
      <w:rFonts w:ascii="Times" w:eastAsia="Times" w:hAnsi="Times" w:cs="Times"/>
      <w:b/>
      <w:bCs/>
      <w:color w:val="333399"/>
      <w:sz w:val="40"/>
      <w:szCs w:val="40"/>
      <w:u w:color="333399"/>
    </w:rPr>
  </w:style>
  <w:style w:type="numbering" w:customStyle="1" w:styleId="List0">
    <w:name w:val="List 0"/>
    <w:basedOn w:val="Estiloimportado2"/>
    <w:pPr>
      <w:numPr>
        <w:numId w:val="11"/>
      </w:numPr>
    </w:pPr>
  </w:style>
  <w:style w:type="numbering" w:customStyle="1" w:styleId="Estiloimportado2">
    <w:name w:val="Estilo importado 2"/>
  </w:style>
  <w:style w:type="numbering" w:customStyle="1" w:styleId="List1">
    <w:name w:val="List 1"/>
    <w:basedOn w:val="Estiloimportado2"/>
    <w:pPr>
      <w:numPr>
        <w:numId w:val="7"/>
      </w:numPr>
    </w:pPr>
  </w:style>
  <w:style w:type="paragraph" w:customStyle="1" w:styleId="TextoMichelin">
    <w:name w:val="Texto Michelin"/>
    <w:pPr>
      <w:spacing w:after="240" w:line="270" w:lineRule="atLeast"/>
      <w:jc w:val="both"/>
    </w:pPr>
    <w:rPr>
      <w:rFonts w:ascii="Arial" w:hAnsi="Arial Unicode MS" w:cs="Arial Unicode MS"/>
      <w:color w:val="000000"/>
      <w:sz w:val="21"/>
      <w:szCs w:val="21"/>
      <w:u w:color="000000"/>
    </w:rPr>
  </w:style>
  <w:style w:type="paragraph" w:customStyle="1" w:styleId="LadilloMichelinDossier">
    <w:name w:val="Ladillo Michelin Dossier"/>
    <w:pPr>
      <w:spacing w:before="480" w:after="120" w:line="270" w:lineRule="atLeast"/>
    </w:pPr>
    <w:rPr>
      <w:rFonts w:ascii="Times" w:eastAsia="Times" w:hAnsi="Times" w:cs="Times"/>
      <w:b/>
      <w:bCs/>
      <w:color w:val="000000"/>
      <w:sz w:val="26"/>
      <w:szCs w:val="26"/>
      <w:u w:color="000000"/>
    </w:rPr>
  </w:style>
  <w:style w:type="numbering" w:customStyle="1" w:styleId="Lista21">
    <w:name w:val="Lista 21"/>
    <w:basedOn w:val="Estiloimportado2"/>
    <w:pPr>
      <w:numPr>
        <w:numId w:val="27"/>
      </w:numPr>
    </w:pPr>
  </w:style>
  <w:style w:type="numbering" w:customStyle="1" w:styleId="Lista31">
    <w:name w:val="Lista 31"/>
    <w:basedOn w:val="Estiloimportado3"/>
    <w:pPr>
      <w:numPr>
        <w:numId w:val="31"/>
      </w:numPr>
    </w:pPr>
  </w:style>
  <w:style w:type="numbering" w:customStyle="1" w:styleId="Estiloimportado3">
    <w:name w:val="Estilo importado 3"/>
  </w:style>
  <w:style w:type="numbering" w:customStyle="1" w:styleId="Lista41">
    <w:name w:val="Lista 41"/>
    <w:basedOn w:val="Estiloimportado4"/>
    <w:pPr>
      <w:numPr>
        <w:numId w:val="35"/>
      </w:numPr>
    </w:pPr>
  </w:style>
  <w:style w:type="numbering" w:customStyle="1" w:styleId="Estiloimportado4">
    <w:name w:val="Estilo importado 4"/>
  </w:style>
  <w:style w:type="paragraph" w:customStyle="1" w:styleId="Body1">
    <w:name w:val="Body 1"/>
    <w:pPr>
      <w:outlineLvl w:val="0"/>
    </w:pPr>
    <w:rPr>
      <w:rFonts w:hAnsi="Arial Unicode MS" w:cs="Arial Unicode MS"/>
      <w:color w:val="000000"/>
      <w:sz w:val="24"/>
      <w:szCs w:val="24"/>
      <w:u w:color="000000"/>
    </w:rPr>
  </w:style>
  <w:style w:type="numbering" w:customStyle="1" w:styleId="Lista51">
    <w:name w:val="Lista 51"/>
    <w:basedOn w:val="Estiloimportado2"/>
    <w:pPr>
      <w:numPr>
        <w:numId w:val="38"/>
      </w:numPr>
    </w:pPr>
  </w:style>
  <w:style w:type="numbering" w:customStyle="1" w:styleId="List6">
    <w:name w:val="List 6"/>
    <w:basedOn w:val="Estiloimportado5"/>
    <w:pPr>
      <w:numPr>
        <w:numId w:val="54"/>
      </w:numPr>
    </w:pPr>
  </w:style>
  <w:style w:type="numbering" w:customStyle="1" w:styleId="Estiloimportado5">
    <w:name w:val="Estilo importado 5"/>
  </w:style>
  <w:style w:type="character" w:customStyle="1" w:styleId="Enlace">
    <w:name w:val="Enlace"/>
    <w:rPr>
      <w:color w:val="0000FF"/>
      <w:u w:val="single" w:color="0000FF"/>
    </w:rPr>
  </w:style>
  <w:style w:type="character" w:customStyle="1" w:styleId="Hyperlink0">
    <w:name w:val="Hyperlink.0"/>
    <w:basedOn w:val="Enlace"/>
    <w:rPr>
      <w:rFonts w:ascii="Arial" w:eastAsia="Arial" w:hAnsi="Arial" w:cs="Arial"/>
      <w:color w:val="0000FF"/>
      <w:sz w:val="21"/>
      <w:szCs w:val="21"/>
      <w:u w:val="single" w:color="0000FF"/>
    </w:rPr>
  </w:style>
  <w:style w:type="character" w:styleId="Nmerodepgina">
    <w:name w:val="page number"/>
  </w:style>
  <w:style w:type="character" w:customStyle="1" w:styleId="Hyperlink1">
    <w:name w:val="Hyperlink.1"/>
    <w:basedOn w:val="Nmerodepgina"/>
    <w:rPr>
      <w:rFonts w:ascii="Arial" w:eastAsia="Arial" w:hAnsi="Arial" w:cs="Arial"/>
      <w:b/>
      <w:bCs/>
      <w:i/>
      <w:iCs/>
      <w:color w:val="0000FF"/>
      <w:sz w:val="21"/>
      <w:szCs w:val="21"/>
      <w:u w:val="single" w:color="0000FF"/>
    </w:rPr>
  </w:style>
  <w:style w:type="paragraph" w:customStyle="1" w:styleId="titulocapitulodossier">
    <w:name w:val="titulo capitulo dossier"/>
    <w:pPr>
      <w:spacing w:after="240" w:line="360" w:lineRule="exact"/>
      <w:outlineLvl w:val="0"/>
    </w:pPr>
    <w:rPr>
      <w:rFonts w:ascii="Times" w:eastAsia="Times" w:hAnsi="Times" w:cs="Times"/>
      <w:b/>
      <w:bCs/>
      <w:color w:val="333399"/>
      <w:sz w:val="32"/>
      <w:szCs w:val="32"/>
      <w:u w:color="333399"/>
    </w:rPr>
  </w:style>
  <w:style w:type="paragraph" w:styleId="Textonotapie">
    <w:name w:val="footnote text"/>
    <w:basedOn w:val="Normal"/>
    <w:link w:val="TextonotapieCar"/>
    <w:unhideWhenUsed/>
    <w:rsid w:val="009B7D6D"/>
  </w:style>
  <w:style w:type="character" w:customStyle="1" w:styleId="TextonotapieCar">
    <w:name w:val="Texto nota pie Car"/>
    <w:basedOn w:val="Fuentedeprrafopredeter"/>
    <w:link w:val="Textonotapie"/>
    <w:rsid w:val="009B7D6D"/>
    <w:rPr>
      <w:sz w:val="24"/>
      <w:szCs w:val="24"/>
      <w:lang w:eastAsia="en-US"/>
    </w:rPr>
  </w:style>
  <w:style w:type="character" w:styleId="Refdenotaalpie">
    <w:name w:val="footnote reference"/>
    <w:basedOn w:val="Fuentedeprrafopredeter"/>
    <w:unhideWhenUsed/>
    <w:rsid w:val="009B7D6D"/>
    <w:rPr>
      <w:vertAlign w:val="superscript"/>
    </w:rPr>
  </w:style>
  <w:style w:type="character" w:customStyle="1" w:styleId="hps">
    <w:name w:val="hps"/>
    <w:basedOn w:val="Fuentedeprrafopredeter"/>
    <w:rsid w:val="009B7D6D"/>
  </w:style>
  <w:style w:type="character" w:customStyle="1" w:styleId="PiedepginaCar">
    <w:name w:val="Pie de página Car"/>
    <w:basedOn w:val="Fuentedeprrafopredeter"/>
    <w:link w:val="Piedepgina"/>
    <w:rsid w:val="00F9716E"/>
    <w:rPr>
      <w:rFonts w:ascii="Cambria" w:eastAsia="Cambria" w:hAnsi="Cambria" w:cs="Cambria"/>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mbria" w:eastAsia="Cambria" w:hAnsi="Cambria" w:cs="Cambria"/>
      <w:color w:val="000000"/>
      <w:sz w:val="24"/>
      <w:szCs w:val="24"/>
      <w:u w:color="000000"/>
    </w:rPr>
  </w:style>
  <w:style w:type="paragraph" w:styleId="Piedepgina">
    <w:name w:val="footer"/>
    <w:link w:val="PiedepginaCar"/>
    <w:pPr>
      <w:tabs>
        <w:tab w:val="center" w:pos="4252"/>
        <w:tab w:val="right" w:pos="8504"/>
      </w:tabs>
    </w:pPr>
    <w:rPr>
      <w:rFonts w:ascii="Cambria" w:eastAsia="Cambria" w:hAnsi="Cambria" w:cs="Cambria"/>
      <w:color w:val="000000"/>
      <w:sz w:val="24"/>
      <w:szCs w:val="24"/>
      <w:u w:color="000000"/>
    </w:rPr>
  </w:style>
  <w:style w:type="paragraph" w:customStyle="1" w:styleId="Cuerpo">
    <w:name w:val="Cuerpo"/>
    <w:rPr>
      <w:rFonts w:ascii="Times" w:eastAsia="Times" w:hAnsi="Times" w:cs="Times"/>
      <w:color w:val="000000"/>
      <w:sz w:val="24"/>
      <w:szCs w:val="24"/>
      <w:u w:color="000000"/>
    </w:rPr>
  </w:style>
  <w:style w:type="paragraph" w:customStyle="1" w:styleId="TITULARMICHELIN">
    <w:name w:val="TITULAR MICHELIN"/>
    <w:pPr>
      <w:spacing w:line="360" w:lineRule="exact"/>
    </w:pPr>
    <w:rPr>
      <w:rFonts w:ascii="Times" w:eastAsia="Times" w:hAnsi="Times" w:cs="Times"/>
      <w:b/>
      <w:bCs/>
      <w:color w:val="333399"/>
      <w:sz w:val="40"/>
      <w:szCs w:val="40"/>
      <w:u w:color="333399"/>
    </w:rPr>
  </w:style>
  <w:style w:type="numbering" w:customStyle="1" w:styleId="List0">
    <w:name w:val="List 0"/>
    <w:basedOn w:val="Estiloimportado2"/>
    <w:pPr>
      <w:numPr>
        <w:numId w:val="11"/>
      </w:numPr>
    </w:pPr>
  </w:style>
  <w:style w:type="numbering" w:customStyle="1" w:styleId="Estiloimportado2">
    <w:name w:val="Estilo importado 2"/>
  </w:style>
  <w:style w:type="numbering" w:customStyle="1" w:styleId="List1">
    <w:name w:val="List 1"/>
    <w:basedOn w:val="Estiloimportado2"/>
    <w:pPr>
      <w:numPr>
        <w:numId w:val="7"/>
      </w:numPr>
    </w:pPr>
  </w:style>
  <w:style w:type="paragraph" w:customStyle="1" w:styleId="TextoMichelin">
    <w:name w:val="Texto Michelin"/>
    <w:pPr>
      <w:spacing w:after="240" w:line="270" w:lineRule="atLeast"/>
      <w:jc w:val="both"/>
    </w:pPr>
    <w:rPr>
      <w:rFonts w:ascii="Arial" w:hAnsi="Arial Unicode MS" w:cs="Arial Unicode MS"/>
      <w:color w:val="000000"/>
      <w:sz w:val="21"/>
      <w:szCs w:val="21"/>
      <w:u w:color="000000"/>
    </w:rPr>
  </w:style>
  <w:style w:type="paragraph" w:customStyle="1" w:styleId="LadilloMichelinDossier">
    <w:name w:val="Ladillo Michelin Dossier"/>
    <w:pPr>
      <w:spacing w:before="480" w:after="120" w:line="270" w:lineRule="atLeast"/>
    </w:pPr>
    <w:rPr>
      <w:rFonts w:ascii="Times" w:eastAsia="Times" w:hAnsi="Times" w:cs="Times"/>
      <w:b/>
      <w:bCs/>
      <w:color w:val="000000"/>
      <w:sz w:val="26"/>
      <w:szCs w:val="26"/>
      <w:u w:color="000000"/>
    </w:rPr>
  </w:style>
  <w:style w:type="numbering" w:customStyle="1" w:styleId="Lista21">
    <w:name w:val="Lista 21"/>
    <w:basedOn w:val="Estiloimportado2"/>
    <w:pPr>
      <w:numPr>
        <w:numId w:val="27"/>
      </w:numPr>
    </w:pPr>
  </w:style>
  <w:style w:type="numbering" w:customStyle="1" w:styleId="Lista31">
    <w:name w:val="Lista 31"/>
    <w:basedOn w:val="Estiloimportado3"/>
    <w:pPr>
      <w:numPr>
        <w:numId w:val="31"/>
      </w:numPr>
    </w:pPr>
  </w:style>
  <w:style w:type="numbering" w:customStyle="1" w:styleId="Estiloimportado3">
    <w:name w:val="Estilo importado 3"/>
  </w:style>
  <w:style w:type="numbering" w:customStyle="1" w:styleId="Lista41">
    <w:name w:val="Lista 41"/>
    <w:basedOn w:val="Estiloimportado4"/>
    <w:pPr>
      <w:numPr>
        <w:numId w:val="35"/>
      </w:numPr>
    </w:pPr>
  </w:style>
  <w:style w:type="numbering" w:customStyle="1" w:styleId="Estiloimportado4">
    <w:name w:val="Estilo importado 4"/>
  </w:style>
  <w:style w:type="paragraph" w:customStyle="1" w:styleId="Body1">
    <w:name w:val="Body 1"/>
    <w:pPr>
      <w:outlineLvl w:val="0"/>
    </w:pPr>
    <w:rPr>
      <w:rFonts w:hAnsi="Arial Unicode MS" w:cs="Arial Unicode MS"/>
      <w:color w:val="000000"/>
      <w:sz w:val="24"/>
      <w:szCs w:val="24"/>
      <w:u w:color="000000"/>
    </w:rPr>
  </w:style>
  <w:style w:type="numbering" w:customStyle="1" w:styleId="Lista51">
    <w:name w:val="Lista 51"/>
    <w:basedOn w:val="Estiloimportado2"/>
    <w:pPr>
      <w:numPr>
        <w:numId w:val="38"/>
      </w:numPr>
    </w:pPr>
  </w:style>
  <w:style w:type="numbering" w:customStyle="1" w:styleId="List6">
    <w:name w:val="List 6"/>
    <w:basedOn w:val="Estiloimportado5"/>
    <w:pPr>
      <w:numPr>
        <w:numId w:val="54"/>
      </w:numPr>
    </w:pPr>
  </w:style>
  <w:style w:type="numbering" w:customStyle="1" w:styleId="Estiloimportado5">
    <w:name w:val="Estilo importado 5"/>
  </w:style>
  <w:style w:type="character" w:customStyle="1" w:styleId="Enlace">
    <w:name w:val="Enlace"/>
    <w:rPr>
      <w:color w:val="0000FF"/>
      <w:u w:val="single" w:color="0000FF"/>
    </w:rPr>
  </w:style>
  <w:style w:type="character" w:customStyle="1" w:styleId="Hyperlink0">
    <w:name w:val="Hyperlink.0"/>
    <w:basedOn w:val="Enlace"/>
    <w:rPr>
      <w:rFonts w:ascii="Arial" w:eastAsia="Arial" w:hAnsi="Arial" w:cs="Arial"/>
      <w:color w:val="0000FF"/>
      <w:sz w:val="21"/>
      <w:szCs w:val="21"/>
      <w:u w:val="single" w:color="0000FF"/>
    </w:rPr>
  </w:style>
  <w:style w:type="character" w:styleId="Nmerodepgina">
    <w:name w:val="page number"/>
  </w:style>
  <w:style w:type="character" w:customStyle="1" w:styleId="Hyperlink1">
    <w:name w:val="Hyperlink.1"/>
    <w:basedOn w:val="Nmerodepgina"/>
    <w:rPr>
      <w:rFonts w:ascii="Arial" w:eastAsia="Arial" w:hAnsi="Arial" w:cs="Arial"/>
      <w:b/>
      <w:bCs/>
      <w:i/>
      <w:iCs/>
      <w:color w:val="0000FF"/>
      <w:sz w:val="21"/>
      <w:szCs w:val="21"/>
      <w:u w:val="single" w:color="0000FF"/>
    </w:rPr>
  </w:style>
  <w:style w:type="paragraph" w:customStyle="1" w:styleId="titulocapitulodossier">
    <w:name w:val="titulo capitulo dossier"/>
    <w:pPr>
      <w:spacing w:after="240" w:line="360" w:lineRule="exact"/>
      <w:outlineLvl w:val="0"/>
    </w:pPr>
    <w:rPr>
      <w:rFonts w:ascii="Times" w:eastAsia="Times" w:hAnsi="Times" w:cs="Times"/>
      <w:b/>
      <w:bCs/>
      <w:color w:val="333399"/>
      <w:sz w:val="32"/>
      <w:szCs w:val="32"/>
      <w:u w:color="333399"/>
    </w:rPr>
  </w:style>
  <w:style w:type="paragraph" w:styleId="Textonotapie">
    <w:name w:val="footnote text"/>
    <w:basedOn w:val="Normal"/>
    <w:link w:val="TextonotapieCar"/>
    <w:unhideWhenUsed/>
    <w:rsid w:val="009B7D6D"/>
  </w:style>
  <w:style w:type="character" w:customStyle="1" w:styleId="TextonotapieCar">
    <w:name w:val="Texto nota pie Car"/>
    <w:basedOn w:val="Fuentedeprrafopredeter"/>
    <w:link w:val="Textonotapie"/>
    <w:rsid w:val="009B7D6D"/>
    <w:rPr>
      <w:sz w:val="24"/>
      <w:szCs w:val="24"/>
      <w:lang w:eastAsia="en-US"/>
    </w:rPr>
  </w:style>
  <w:style w:type="character" w:styleId="Refdenotaalpie">
    <w:name w:val="footnote reference"/>
    <w:basedOn w:val="Fuentedeprrafopredeter"/>
    <w:unhideWhenUsed/>
    <w:rsid w:val="009B7D6D"/>
    <w:rPr>
      <w:vertAlign w:val="superscript"/>
    </w:rPr>
  </w:style>
  <w:style w:type="character" w:customStyle="1" w:styleId="hps">
    <w:name w:val="hps"/>
    <w:basedOn w:val="Fuentedeprrafopredeter"/>
    <w:rsid w:val="009B7D6D"/>
  </w:style>
  <w:style w:type="character" w:customStyle="1" w:styleId="PiedepginaCar">
    <w:name w:val="Pie de página Car"/>
    <w:basedOn w:val="Fuentedeprrafopredeter"/>
    <w:link w:val="Piedepgina"/>
    <w:rsid w:val="00F9716E"/>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cheli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michelin.com/corporate/fin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3627</Words>
  <Characters>19950</Characters>
  <Application>Microsoft Macintosh Word</Application>
  <DocSecurity>0</DocSecurity>
  <Lines>166</Lines>
  <Paragraphs>47</Paragraphs>
  <ScaleCrop>false</ScaleCrop>
  <Company>Avalon</Company>
  <LinksUpToDate>false</LinksUpToDate>
  <CharactersWithSpaces>23530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Julio</cp:lastModifiedBy>
  <cp:revision>6</cp:revision>
  <cp:lastPrinted>2015-02-11T09:14:00Z</cp:lastPrinted>
  <dcterms:created xsi:type="dcterms:W3CDTF">2015-02-11T08:39:00Z</dcterms:created>
  <dcterms:modified xsi:type="dcterms:W3CDTF">2015-02-11T09:14:00Z</dcterms:modified>
</cp:coreProperties>
</file>