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8" w:rsidRPr="00F70870" w:rsidRDefault="009E0228">
      <w:pPr>
        <w:pStyle w:val="Heading1"/>
        <w:spacing w:after="230"/>
        <w:rPr>
          <w:rFonts w:ascii="Times New Roman" w:hAnsi="Times New Roman"/>
          <w:sz w:val="22"/>
        </w:rPr>
      </w:pPr>
    </w:p>
    <w:p w:rsidR="009E0228" w:rsidRPr="00F70870" w:rsidRDefault="009E0228">
      <w:pPr>
        <w:pStyle w:val="Heading1"/>
        <w:spacing w:after="230"/>
        <w:rPr>
          <w:rFonts w:ascii="Times New Roman" w:hAnsi="Times New Roman"/>
          <w:sz w:val="22"/>
        </w:rPr>
      </w:pPr>
      <w:r w:rsidRPr="007C285E">
        <w:rPr>
          <w:rFonts w:ascii="Times New Roman" w:hAnsi="Times New Roman"/>
          <w:sz w:val="22"/>
        </w:rPr>
        <w:t>INFORMACIÓN DE PRENSA</w:t>
      </w:r>
      <w:r w:rsidRPr="00F70870">
        <w:rPr>
          <w:rFonts w:ascii="Times New Roman" w:hAnsi="Arial Unicode MS"/>
          <w:sz w:val="22"/>
        </w:rPr>
        <w:cr/>
      </w:r>
      <w:r w:rsidRPr="00F70870">
        <w:rPr>
          <w:rFonts w:ascii="Times New Roman" w:hAnsi="Arial Unicode MS"/>
          <w:b w:val="0"/>
          <w:sz w:val="22"/>
        </w:rPr>
        <w:t>25/04/2013</w:t>
      </w:r>
    </w:p>
    <w:p w:rsidR="009E0228" w:rsidRPr="00F70870" w:rsidRDefault="009E0228">
      <w:pPr>
        <w:spacing w:after="230" w:line="360" w:lineRule="exact"/>
        <w:outlineLvl w:val="0"/>
        <w:rPr>
          <w:rFonts w:ascii="Arial" w:eastAsia="Arial Unicode MS" w:hAnsi="Arial"/>
          <w:b/>
          <w:color w:val="333399"/>
          <w:sz w:val="40"/>
          <w:u w:color="333399"/>
        </w:rPr>
      </w:pPr>
    </w:p>
    <w:p w:rsidR="009E0228" w:rsidRPr="00F70870" w:rsidRDefault="009E0228">
      <w:pPr>
        <w:spacing w:after="120" w:line="360" w:lineRule="exact"/>
        <w:outlineLvl w:val="0"/>
        <w:rPr>
          <w:rFonts w:eastAsia="Arial Unicode MS"/>
          <w:b/>
          <w:color w:val="333399"/>
          <w:sz w:val="28"/>
          <w:u w:color="333399"/>
        </w:rPr>
      </w:pPr>
      <w:r w:rsidRPr="00F70870">
        <w:rPr>
          <w:rFonts w:eastAsia="Arial Unicode MS" w:hAnsi="Arial Unicode MS"/>
          <w:b/>
          <w:color w:val="333399"/>
          <w:sz w:val="38"/>
          <w:u w:color="333399"/>
        </w:rPr>
        <w:t xml:space="preserve">Resultados financieros del Grupo Michelin </w:t>
      </w:r>
      <w:r w:rsidRPr="00F70870">
        <w:rPr>
          <w:rFonts w:eastAsia="Arial Unicode MS" w:hAnsi="Arial Unicode MS"/>
          <w:b/>
          <w:color w:val="333399"/>
          <w:sz w:val="40"/>
          <w:u w:color="333399"/>
        </w:rPr>
        <w:cr/>
      </w:r>
      <w:r w:rsidRPr="00F70870">
        <w:rPr>
          <w:rFonts w:eastAsia="Arial Unicode MS"/>
          <w:b/>
          <w:color w:val="333399"/>
          <w:sz w:val="28"/>
          <w:u w:color="333399"/>
        </w:rPr>
        <w:t>Información financiera correspondiente a</w:t>
      </w:r>
      <w:r w:rsidR="00266420">
        <w:rPr>
          <w:rFonts w:eastAsia="Arial Unicode MS"/>
          <w:b/>
          <w:color w:val="333399"/>
          <w:sz w:val="28"/>
          <w:u w:color="333399"/>
        </w:rPr>
        <w:t>l</w:t>
      </w:r>
      <w:r w:rsidRPr="00F70870">
        <w:rPr>
          <w:rFonts w:eastAsia="Arial Unicode MS"/>
          <w:b/>
          <w:color w:val="333399"/>
          <w:sz w:val="28"/>
          <w:u w:color="333399"/>
        </w:rPr>
        <w:t xml:space="preserve"> 31 de marzo de 2014</w:t>
      </w:r>
    </w:p>
    <w:p w:rsidR="009E0228" w:rsidRPr="00F70870" w:rsidRDefault="009E0228">
      <w:pPr>
        <w:pStyle w:val="Body1"/>
        <w:jc w:val="center"/>
        <w:rPr>
          <w:rFonts w:ascii="Verdana" w:hAnsi="Verdana"/>
          <w:b/>
          <w:sz w:val="16"/>
        </w:rPr>
      </w:pPr>
    </w:p>
    <w:p w:rsidR="009E0228" w:rsidRPr="000F6F00" w:rsidRDefault="00C50E25" w:rsidP="00696C28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hAnsi="Verdana"/>
          <w:b/>
          <w:sz w:val="14"/>
        </w:rPr>
      </w:pPr>
      <w:r w:rsidRPr="000F6F00">
        <w:rPr>
          <w:b/>
          <w:sz w:val="32"/>
        </w:rPr>
        <w:t xml:space="preserve">Volúmenes </w:t>
      </w:r>
      <w:r w:rsidR="005E1F3A" w:rsidRPr="000F6F00">
        <w:rPr>
          <w:b/>
          <w:sz w:val="32"/>
        </w:rPr>
        <w:t xml:space="preserve">en aumento </w:t>
      </w:r>
      <w:r w:rsidR="009E0228" w:rsidRPr="000F6F00">
        <w:rPr>
          <w:b/>
          <w:sz w:val="32"/>
        </w:rPr>
        <w:t>de</w:t>
      </w:r>
      <w:r w:rsidR="005E1F3A" w:rsidRPr="000F6F00">
        <w:rPr>
          <w:b/>
          <w:sz w:val="32"/>
        </w:rPr>
        <w:t>l 3,4</w:t>
      </w:r>
      <w:r w:rsidR="00981BB2" w:rsidRPr="000F6F00">
        <w:rPr>
          <w:b/>
          <w:sz w:val="32"/>
        </w:rPr>
        <w:t xml:space="preserve"> </w:t>
      </w:r>
      <w:r w:rsidR="009E0228" w:rsidRPr="000F6F00">
        <w:rPr>
          <w:b/>
          <w:sz w:val="32"/>
        </w:rPr>
        <w:t xml:space="preserve">% </w:t>
      </w:r>
      <w:r w:rsidR="005E1F3A" w:rsidRPr="000F6F00">
        <w:rPr>
          <w:b/>
          <w:sz w:val="32"/>
        </w:rPr>
        <w:t>en el primer</w:t>
      </w:r>
      <w:r w:rsidR="009E0228" w:rsidRPr="000F6F00">
        <w:rPr>
          <w:b/>
          <w:sz w:val="32"/>
        </w:rPr>
        <w:t xml:space="preserve"> trimestre </w:t>
      </w:r>
      <w:r w:rsidR="00617D1A" w:rsidRPr="000F6F00">
        <w:rPr>
          <w:b/>
          <w:sz w:val="32"/>
        </w:rPr>
        <w:t xml:space="preserve">de </w:t>
      </w:r>
      <w:r w:rsidR="00696C28" w:rsidRPr="000F6F00">
        <w:rPr>
          <w:b/>
          <w:sz w:val="32"/>
        </w:rPr>
        <w:t>2014</w:t>
      </w:r>
      <w:r w:rsidR="00696C28" w:rsidRPr="000F6F00">
        <w:rPr>
          <w:b/>
          <w:sz w:val="32"/>
        </w:rPr>
        <w:br/>
      </w:r>
      <w:r w:rsidR="00696C28" w:rsidRPr="000F6F00">
        <w:rPr>
          <w:b/>
          <w:sz w:val="32"/>
        </w:rPr>
        <w:br/>
      </w:r>
      <w:r w:rsidR="009E0228" w:rsidRPr="000F6F00">
        <w:rPr>
          <w:b/>
          <w:sz w:val="32"/>
        </w:rPr>
        <w:t>Vent</w:t>
      </w:r>
      <w:r w:rsidR="00617D1A" w:rsidRPr="000F6F00">
        <w:rPr>
          <w:b/>
          <w:sz w:val="32"/>
        </w:rPr>
        <w:t>a</w:t>
      </w:r>
      <w:r w:rsidR="009E0228" w:rsidRPr="000F6F00">
        <w:rPr>
          <w:b/>
          <w:sz w:val="32"/>
        </w:rPr>
        <w:t>s net</w:t>
      </w:r>
      <w:r w:rsidR="00617D1A" w:rsidRPr="000F6F00">
        <w:rPr>
          <w:b/>
          <w:sz w:val="32"/>
        </w:rPr>
        <w:t>as</w:t>
      </w:r>
      <w:r w:rsidR="009E0228" w:rsidRPr="000F6F00">
        <w:rPr>
          <w:b/>
          <w:sz w:val="32"/>
        </w:rPr>
        <w:t xml:space="preserve"> de 4</w:t>
      </w:r>
      <w:r w:rsidR="00617D1A" w:rsidRPr="000F6F00">
        <w:rPr>
          <w:b/>
          <w:sz w:val="32"/>
        </w:rPr>
        <w:t>.</w:t>
      </w:r>
      <w:r w:rsidR="009E0228" w:rsidRPr="000F6F00">
        <w:rPr>
          <w:b/>
          <w:sz w:val="32"/>
        </w:rPr>
        <w:t>8</w:t>
      </w:r>
      <w:r w:rsidR="00617D1A" w:rsidRPr="000F6F00">
        <w:rPr>
          <w:b/>
          <w:sz w:val="32"/>
        </w:rPr>
        <w:t>00 millones de euros, un incremento del 2,5</w:t>
      </w:r>
      <w:r w:rsidR="00981BB2" w:rsidRPr="000F6F00">
        <w:rPr>
          <w:b/>
          <w:sz w:val="32"/>
        </w:rPr>
        <w:t xml:space="preserve"> </w:t>
      </w:r>
      <w:r w:rsidR="009E0228" w:rsidRPr="000F6F00">
        <w:rPr>
          <w:b/>
          <w:sz w:val="32"/>
        </w:rPr>
        <w:t xml:space="preserve">% </w:t>
      </w:r>
      <w:r w:rsidR="00B01DCA" w:rsidRPr="000F6F00">
        <w:rPr>
          <w:b/>
          <w:sz w:val="32"/>
        </w:rPr>
        <w:t>con perímetro de consolidación y tasa de cambio constantes</w:t>
      </w:r>
      <w:r w:rsidR="009E0228" w:rsidRPr="000F6F00">
        <w:rPr>
          <w:rFonts w:ascii="Verdana" w:hAnsi="Arial Unicode MS"/>
          <w:b/>
          <w:sz w:val="14"/>
        </w:rPr>
        <w:cr/>
      </w:r>
    </w:p>
    <w:p w:rsidR="009E0228" w:rsidRPr="00F70870" w:rsidRDefault="009E0228" w:rsidP="001A002A">
      <w:pPr>
        <w:tabs>
          <w:tab w:val="left" w:pos="720"/>
        </w:tabs>
        <w:spacing w:after="120" w:line="240" w:lineRule="atLeast"/>
        <w:ind w:left="706"/>
        <w:outlineLvl w:val="0"/>
        <w:rPr>
          <w:rFonts w:eastAsia="Arial Unicode MS"/>
          <w:b/>
          <w:i/>
          <w:color w:val="000000"/>
          <w:sz w:val="25"/>
          <w:u w:color="000000"/>
        </w:rPr>
      </w:pPr>
    </w:p>
    <w:p w:rsidR="001A002A" w:rsidRPr="000F6F00" w:rsidRDefault="002D7EDF" w:rsidP="00266420">
      <w:pPr>
        <w:numPr>
          <w:ilvl w:val="0"/>
          <w:numId w:val="35"/>
        </w:numPr>
        <w:tabs>
          <w:tab w:val="left" w:pos="72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 xml:space="preserve">Recuperación de los mercados </w:t>
      </w:r>
      <w:r w:rsidR="007B01A6" w:rsidRPr="000F6F00">
        <w:rPr>
          <w:rFonts w:eastAsia="Arial Unicode MS"/>
          <w:b/>
          <w:color w:val="000000"/>
          <w:u w:color="000000"/>
        </w:rPr>
        <w:t>de</w:t>
      </w:r>
      <w:r w:rsidRPr="000F6F00">
        <w:rPr>
          <w:rFonts w:eastAsia="Arial Unicode MS"/>
          <w:b/>
          <w:color w:val="000000"/>
          <w:u w:color="000000"/>
        </w:rPr>
        <w:t xml:space="preserve"> Turismo Camioneta y </w:t>
      </w:r>
      <w:r w:rsidR="007B01A6" w:rsidRPr="000F6F00">
        <w:rPr>
          <w:rFonts w:eastAsia="Arial Unicode MS"/>
          <w:b/>
          <w:color w:val="000000"/>
          <w:u w:color="000000"/>
        </w:rPr>
        <w:t>de</w:t>
      </w:r>
      <w:r w:rsidRPr="000F6F00">
        <w:rPr>
          <w:rFonts w:eastAsia="Arial Unicode MS"/>
          <w:b/>
          <w:color w:val="000000"/>
          <w:u w:color="000000"/>
        </w:rPr>
        <w:t xml:space="preserve"> Camión</w:t>
      </w:r>
      <w:r w:rsidR="001A002A" w:rsidRPr="000F6F00">
        <w:rPr>
          <w:rFonts w:eastAsia="Arial Unicode MS"/>
          <w:b/>
          <w:color w:val="000000"/>
          <w:u w:color="000000"/>
        </w:rPr>
        <w:t xml:space="preserve">, </w:t>
      </w:r>
      <w:r w:rsidR="00DD24A5" w:rsidRPr="000F6F00">
        <w:rPr>
          <w:rFonts w:eastAsia="Arial Unicode MS"/>
          <w:b/>
          <w:color w:val="000000"/>
          <w:u w:color="000000"/>
        </w:rPr>
        <w:t xml:space="preserve">con excepción de Europa del Este, mientras continúa </w:t>
      </w:r>
      <w:r w:rsidR="008F36AB" w:rsidRPr="000F6F00">
        <w:rPr>
          <w:rFonts w:eastAsia="Arial Unicode MS"/>
          <w:b/>
          <w:color w:val="000000"/>
          <w:u w:color="000000"/>
        </w:rPr>
        <w:t>la reducción</w:t>
      </w:r>
      <w:r w:rsidR="00DD24A5" w:rsidRPr="000F6F00">
        <w:rPr>
          <w:rFonts w:eastAsia="Arial Unicode MS"/>
          <w:b/>
          <w:color w:val="000000"/>
          <w:u w:color="000000"/>
        </w:rPr>
        <w:t xml:space="preserve"> de</w:t>
      </w:r>
      <w:r w:rsidR="008F36AB" w:rsidRPr="000F6F00">
        <w:rPr>
          <w:rFonts w:eastAsia="Arial Unicode MS"/>
          <w:b/>
          <w:color w:val="000000"/>
          <w:u w:color="000000"/>
        </w:rPr>
        <w:t xml:space="preserve"> stocks </w:t>
      </w:r>
      <w:r w:rsidR="006954DD" w:rsidRPr="000F6F00">
        <w:rPr>
          <w:rFonts w:eastAsia="Arial Unicode MS"/>
          <w:b/>
          <w:color w:val="000000"/>
          <w:u w:color="000000"/>
        </w:rPr>
        <w:br/>
      </w:r>
      <w:r w:rsidR="008F36AB" w:rsidRPr="000F6F00">
        <w:rPr>
          <w:rFonts w:eastAsia="Arial Unicode MS"/>
          <w:b/>
          <w:color w:val="000000"/>
          <w:u w:color="000000"/>
        </w:rPr>
        <w:t>de</w:t>
      </w:r>
      <w:r w:rsidR="006954DD" w:rsidRPr="000F6F00">
        <w:rPr>
          <w:rFonts w:eastAsia="Arial Unicode MS"/>
          <w:b/>
          <w:color w:val="000000"/>
          <w:u w:color="000000"/>
        </w:rPr>
        <w:t xml:space="preserve"> los clientes de minería.</w:t>
      </w:r>
    </w:p>
    <w:p w:rsidR="001A002A" w:rsidRPr="000F6F00" w:rsidRDefault="008F36AB" w:rsidP="00266420">
      <w:pPr>
        <w:numPr>
          <w:ilvl w:val="0"/>
          <w:numId w:val="35"/>
        </w:numPr>
        <w:tabs>
          <w:tab w:val="left" w:pos="72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Volúmenes en alza del</w:t>
      </w:r>
      <w:r w:rsidR="001A002A" w:rsidRPr="000F6F00">
        <w:rPr>
          <w:rFonts w:eastAsia="Arial Unicode MS"/>
          <w:b/>
          <w:color w:val="000000"/>
          <w:u w:color="000000"/>
        </w:rPr>
        <w:t xml:space="preserve"> 3</w:t>
      </w:r>
      <w:r w:rsidRPr="000F6F00">
        <w:rPr>
          <w:rFonts w:eastAsia="Arial Unicode MS"/>
          <w:b/>
          <w:color w:val="000000"/>
          <w:u w:color="000000"/>
        </w:rPr>
        <w:t>,4</w:t>
      </w:r>
      <w:r w:rsidR="00981BB2" w:rsidRPr="000F6F00">
        <w:rPr>
          <w:rFonts w:eastAsia="Arial Unicode MS"/>
          <w:b/>
          <w:color w:val="000000"/>
          <w:u w:color="000000"/>
        </w:rPr>
        <w:t xml:space="preserve"> </w:t>
      </w:r>
      <w:r w:rsidR="001A002A" w:rsidRPr="000F6F00">
        <w:rPr>
          <w:rFonts w:eastAsia="Arial Unicode MS"/>
          <w:b/>
          <w:color w:val="000000"/>
          <w:u w:color="000000"/>
        </w:rPr>
        <w:t xml:space="preserve">%, </w:t>
      </w:r>
      <w:r w:rsidRPr="000F6F00">
        <w:rPr>
          <w:rFonts w:eastAsia="Arial Unicode MS"/>
          <w:b/>
          <w:color w:val="000000"/>
          <w:u w:color="000000"/>
        </w:rPr>
        <w:t>lo que refleja</w:t>
      </w:r>
      <w:r w:rsidR="001A002A" w:rsidRPr="000F6F00">
        <w:rPr>
          <w:rFonts w:eastAsia="Arial Unicode MS"/>
          <w:b/>
          <w:color w:val="000000"/>
          <w:u w:color="000000"/>
        </w:rPr>
        <w:t>:</w:t>
      </w:r>
    </w:p>
    <w:p w:rsidR="001A002A" w:rsidRPr="000F6F00" w:rsidRDefault="0041341A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La fuerza</w:t>
      </w:r>
      <w:r w:rsidR="008F36AB" w:rsidRPr="000F6F00">
        <w:rPr>
          <w:rFonts w:eastAsia="Arial Unicode MS"/>
          <w:b/>
          <w:color w:val="000000"/>
          <w:u w:color="000000"/>
        </w:rPr>
        <w:t xml:space="preserve"> de la marca</w:t>
      </w:r>
      <w:r w:rsidR="001A002A" w:rsidRPr="000F6F00">
        <w:rPr>
          <w:rFonts w:eastAsia="Arial Unicode MS"/>
          <w:b/>
          <w:color w:val="000000"/>
          <w:u w:color="000000"/>
        </w:rPr>
        <w:t xml:space="preserve"> MICHELIN</w:t>
      </w:r>
      <w:r w:rsidR="006954DD" w:rsidRPr="000F6F00">
        <w:rPr>
          <w:rFonts w:eastAsia="Arial Unicode MS"/>
          <w:b/>
          <w:color w:val="000000"/>
          <w:u w:color="000000"/>
        </w:rPr>
        <w:t>.</w:t>
      </w:r>
    </w:p>
    <w:p w:rsidR="001A002A" w:rsidRPr="000F6F00" w:rsidRDefault="008F36AB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El dinamismo de las actividades de</w:t>
      </w:r>
      <w:r w:rsidR="001A002A" w:rsidRPr="000F6F00">
        <w:rPr>
          <w:rFonts w:eastAsia="Arial Unicode MS"/>
          <w:b/>
          <w:color w:val="000000"/>
          <w:u w:color="000000"/>
        </w:rPr>
        <w:t xml:space="preserve"> </w:t>
      </w:r>
      <w:r w:rsidR="007B01A6" w:rsidRPr="000F6F00">
        <w:rPr>
          <w:rFonts w:eastAsia="Arial Unicode MS"/>
          <w:b/>
          <w:color w:val="000000"/>
          <w:u w:color="000000"/>
        </w:rPr>
        <w:t>Primeros Equipos</w:t>
      </w:r>
      <w:r w:rsidR="006954DD" w:rsidRPr="000F6F00">
        <w:rPr>
          <w:rFonts w:eastAsia="Arial Unicode MS"/>
          <w:b/>
          <w:color w:val="000000"/>
          <w:u w:color="000000"/>
        </w:rPr>
        <w:t>.</w:t>
      </w:r>
    </w:p>
    <w:p w:rsidR="001A002A" w:rsidRPr="000F6F00" w:rsidRDefault="007B01A6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El crecimiento mundial de las actividades de Camión</w:t>
      </w:r>
      <w:r w:rsidR="006954DD" w:rsidRPr="000F6F00">
        <w:rPr>
          <w:rFonts w:eastAsia="Arial Unicode MS"/>
          <w:b/>
          <w:color w:val="000000"/>
          <w:u w:color="000000"/>
        </w:rPr>
        <w:t>.</w:t>
      </w:r>
    </w:p>
    <w:p w:rsidR="001A002A" w:rsidRPr="000F6F00" w:rsidRDefault="007B01A6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 xml:space="preserve">El </w:t>
      </w:r>
      <w:r w:rsidR="0041341A" w:rsidRPr="000F6F00">
        <w:rPr>
          <w:rFonts w:eastAsia="Arial Unicode MS"/>
          <w:b/>
          <w:color w:val="000000"/>
          <w:u w:color="000000"/>
        </w:rPr>
        <w:t xml:space="preserve">crecimiento </w:t>
      </w:r>
      <w:r w:rsidRPr="000F6F00">
        <w:rPr>
          <w:rFonts w:eastAsia="Arial Unicode MS"/>
          <w:b/>
          <w:color w:val="000000"/>
          <w:u w:color="000000"/>
        </w:rPr>
        <w:t xml:space="preserve">de las actividades de Agrícola, Dos Ruedas y Avión </w:t>
      </w:r>
      <w:r w:rsidR="006954DD" w:rsidRPr="000F6F00">
        <w:rPr>
          <w:rFonts w:eastAsia="Arial Unicode MS"/>
          <w:b/>
          <w:color w:val="000000"/>
          <w:u w:color="000000"/>
        </w:rPr>
        <w:t xml:space="preserve">que </w:t>
      </w:r>
      <w:r w:rsidRPr="000F6F00">
        <w:rPr>
          <w:rFonts w:eastAsia="Arial Unicode MS"/>
          <w:b/>
          <w:color w:val="000000"/>
          <w:u w:color="000000"/>
        </w:rPr>
        <w:t xml:space="preserve">permiten compensar la debilidad de las ventas </w:t>
      </w:r>
      <w:r w:rsidR="0041341A" w:rsidRPr="000F6F00">
        <w:rPr>
          <w:rFonts w:eastAsia="Arial Unicode MS"/>
          <w:b/>
          <w:color w:val="000000"/>
          <w:u w:color="000000"/>
        </w:rPr>
        <w:t>en el mercado</w:t>
      </w:r>
      <w:r w:rsidR="00266420" w:rsidRPr="000F6F00">
        <w:rPr>
          <w:rFonts w:eastAsia="Arial Unicode MS"/>
          <w:b/>
          <w:color w:val="000000"/>
          <w:u w:color="000000"/>
        </w:rPr>
        <w:t xml:space="preserve"> </w:t>
      </w:r>
      <w:r w:rsidRPr="000F6F00">
        <w:rPr>
          <w:rFonts w:eastAsia="Arial Unicode MS"/>
          <w:b/>
          <w:color w:val="000000"/>
          <w:u w:color="000000"/>
        </w:rPr>
        <w:t>de</w:t>
      </w:r>
      <w:r w:rsidR="0041341A" w:rsidRPr="000F6F00">
        <w:rPr>
          <w:rFonts w:eastAsia="Arial Unicode MS"/>
          <w:b/>
          <w:color w:val="000000"/>
          <w:u w:color="000000"/>
        </w:rPr>
        <w:t xml:space="preserve"> la</w:t>
      </w:r>
      <w:r w:rsidRPr="000F6F00">
        <w:rPr>
          <w:rFonts w:eastAsia="Arial Unicode MS"/>
          <w:b/>
          <w:color w:val="000000"/>
          <w:u w:color="000000"/>
        </w:rPr>
        <w:t xml:space="preserve"> Minería</w:t>
      </w:r>
      <w:r w:rsidR="001A002A" w:rsidRPr="000F6F00">
        <w:rPr>
          <w:rFonts w:eastAsia="Arial Unicode MS"/>
          <w:b/>
          <w:color w:val="000000"/>
          <w:u w:color="000000"/>
        </w:rPr>
        <w:t>.</w:t>
      </w:r>
    </w:p>
    <w:p w:rsidR="001A002A" w:rsidRPr="000F6F00" w:rsidRDefault="00A30AA7" w:rsidP="00266420">
      <w:pPr>
        <w:numPr>
          <w:ilvl w:val="0"/>
          <w:numId w:val="35"/>
        </w:numPr>
        <w:tabs>
          <w:tab w:val="left" w:pos="72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 xml:space="preserve">El efecto del mix de precios </w:t>
      </w:r>
      <w:r w:rsidR="0041341A" w:rsidRPr="000F6F00">
        <w:rPr>
          <w:rFonts w:eastAsia="Arial Unicode MS"/>
          <w:b/>
          <w:color w:val="000000"/>
          <w:u w:color="000000"/>
        </w:rPr>
        <w:t>negativo</w:t>
      </w:r>
      <w:r w:rsidRPr="000F6F00">
        <w:rPr>
          <w:rFonts w:eastAsia="Arial Unicode MS"/>
          <w:b/>
          <w:color w:val="000000"/>
          <w:u w:color="000000"/>
        </w:rPr>
        <w:t>, que se percibe en</w:t>
      </w:r>
      <w:r w:rsidR="001A002A" w:rsidRPr="000F6F00">
        <w:rPr>
          <w:rFonts w:eastAsia="Arial Unicode MS"/>
          <w:b/>
          <w:color w:val="000000"/>
          <w:u w:color="000000"/>
        </w:rPr>
        <w:t>:</w:t>
      </w:r>
    </w:p>
    <w:p w:rsidR="000808CE" w:rsidRPr="000F6F00" w:rsidRDefault="000808CE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El impacto de las cláusulas de indexación y de reposicionamiento</w:t>
      </w:r>
      <w:r w:rsidR="00A90558" w:rsidRPr="000F6F00">
        <w:rPr>
          <w:rFonts w:eastAsia="Arial Unicode MS"/>
          <w:b/>
          <w:color w:val="000000"/>
          <w:u w:color="000000"/>
        </w:rPr>
        <w:t xml:space="preserve"> </w:t>
      </w:r>
      <w:r w:rsidRPr="000F6F00">
        <w:rPr>
          <w:rFonts w:eastAsia="Arial Unicode MS"/>
          <w:b/>
          <w:color w:val="000000"/>
          <w:u w:color="000000"/>
        </w:rPr>
        <w:t>de los precios</w:t>
      </w:r>
      <w:r w:rsidR="00A90558" w:rsidRPr="000F6F00">
        <w:rPr>
          <w:rFonts w:eastAsia="Arial Unicode MS"/>
          <w:b/>
          <w:color w:val="000000"/>
          <w:u w:color="000000"/>
        </w:rPr>
        <w:t>, en un contexto de costes de las materias primas aún favorable.</w:t>
      </w:r>
    </w:p>
    <w:p w:rsidR="00735BD5" w:rsidRPr="000F6F00" w:rsidRDefault="0016101B" w:rsidP="0026642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Los aumentos de precios que atenúan el efecto desfavorable de algunas</w:t>
      </w:r>
      <w:r w:rsidR="0041341A" w:rsidRPr="000F6F00">
        <w:rPr>
          <w:rFonts w:eastAsia="Arial Unicode MS"/>
          <w:b/>
          <w:color w:val="000000"/>
          <w:u w:color="000000"/>
        </w:rPr>
        <w:t xml:space="preserve"> divisas</w:t>
      </w:r>
      <w:r w:rsidRPr="000F6F00">
        <w:rPr>
          <w:rFonts w:eastAsia="Arial Unicode MS"/>
          <w:b/>
          <w:color w:val="000000"/>
          <w:u w:color="000000"/>
        </w:rPr>
        <w:t>.</w:t>
      </w:r>
    </w:p>
    <w:p w:rsidR="00735BD5" w:rsidRPr="000F6F00" w:rsidRDefault="0016101B" w:rsidP="000212B0">
      <w:pPr>
        <w:numPr>
          <w:ilvl w:val="1"/>
          <w:numId w:val="35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 xml:space="preserve">La eficacia de la estrategia </w:t>
      </w:r>
      <w:r w:rsidR="0041341A" w:rsidRPr="000F6F00">
        <w:rPr>
          <w:rFonts w:eastAsia="Arial Unicode MS"/>
          <w:b/>
          <w:color w:val="000000"/>
          <w:u w:color="000000"/>
        </w:rPr>
        <w:t>“Premium”</w:t>
      </w:r>
      <w:r w:rsidR="00735BD5" w:rsidRPr="000F6F00">
        <w:rPr>
          <w:rFonts w:eastAsia="Arial Unicode MS"/>
          <w:b/>
          <w:color w:val="000000"/>
          <w:u w:color="000000"/>
        </w:rPr>
        <w:t>.</w:t>
      </w:r>
    </w:p>
    <w:p w:rsidR="001A002A" w:rsidRPr="000F6F00" w:rsidRDefault="00996B74" w:rsidP="000F6F00">
      <w:pPr>
        <w:numPr>
          <w:ilvl w:val="0"/>
          <w:numId w:val="35"/>
        </w:numPr>
        <w:tabs>
          <w:tab w:val="left" w:pos="72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 w:rsidRPr="000F6F00">
        <w:rPr>
          <w:rFonts w:eastAsia="Arial Unicode MS"/>
          <w:b/>
          <w:color w:val="000000"/>
          <w:u w:color="000000"/>
        </w:rPr>
        <w:t>El efecto desfavorable de las paridades monetarias (- 4,6</w:t>
      </w:r>
      <w:r w:rsidR="00981BB2" w:rsidRPr="000F6F00">
        <w:rPr>
          <w:rFonts w:eastAsia="Arial Unicode MS"/>
          <w:b/>
          <w:color w:val="000000"/>
          <w:u w:color="000000"/>
        </w:rPr>
        <w:t xml:space="preserve"> </w:t>
      </w:r>
      <w:r w:rsidR="001A002A" w:rsidRPr="000F6F00">
        <w:rPr>
          <w:rFonts w:eastAsia="Arial Unicode MS"/>
          <w:b/>
          <w:color w:val="000000"/>
          <w:u w:color="000000"/>
        </w:rPr>
        <w:t xml:space="preserve">%), </w:t>
      </w:r>
      <w:r w:rsidRPr="000F6F00">
        <w:rPr>
          <w:rFonts w:eastAsia="Arial Unicode MS"/>
          <w:b/>
          <w:color w:val="000000"/>
          <w:u w:color="000000"/>
        </w:rPr>
        <w:t>relacionado con la fortaleza del euro</w:t>
      </w:r>
      <w:r w:rsidR="001A002A" w:rsidRPr="000F6F00">
        <w:rPr>
          <w:rFonts w:eastAsia="Arial Unicode MS"/>
          <w:b/>
          <w:color w:val="000000"/>
          <w:u w:color="000000"/>
        </w:rPr>
        <w:t>.</w:t>
      </w:r>
    </w:p>
    <w:p w:rsidR="000F6F00" w:rsidRDefault="000F6F00">
      <w:pPr>
        <w:rPr>
          <w:rFonts w:eastAsia="Arial Unicode MS"/>
          <w:b/>
          <w:i/>
          <w:color w:val="000000"/>
          <w:sz w:val="25"/>
          <w:u w:color="000000"/>
        </w:rPr>
      </w:pPr>
      <w:r>
        <w:rPr>
          <w:rFonts w:eastAsia="Arial Unicode MS"/>
          <w:b/>
          <w:i/>
          <w:color w:val="000000"/>
          <w:sz w:val="25"/>
          <w:u w:color="000000"/>
        </w:rPr>
        <w:br w:type="page"/>
      </w:r>
    </w:p>
    <w:p w:rsidR="009E0228" w:rsidRPr="00F70870" w:rsidRDefault="009E0228">
      <w:pPr>
        <w:spacing w:after="120" w:line="240" w:lineRule="atLeast"/>
        <w:ind w:left="720"/>
        <w:outlineLvl w:val="0"/>
        <w:rPr>
          <w:rFonts w:eastAsia="Arial Unicode MS"/>
          <w:b/>
          <w:i/>
          <w:color w:val="000000"/>
          <w:sz w:val="25"/>
          <w:u w:color="000000"/>
        </w:rPr>
      </w:pPr>
    </w:p>
    <w:tbl>
      <w:tblPr>
        <w:tblW w:w="9286" w:type="dxa"/>
        <w:tblInd w:w="5" w:type="dxa"/>
        <w:shd w:val="clear" w:color="auto" w:fill="FFFFFF"/>
        <w:tblLayout w:type="fixed"/>
        <w:tblLook w:val="0000"/>
      </w:tblPr>
      <w:tblGrid>
        <w:gridCol w:w="3170"/>
        <w:gridCol w:w="1970"/>
        <w:gridCol w:w="2073"/>
        <w:gridCol w:w="2073"/>
      </w:tblGrid>
      <w:tr w:rsidR="000646AE" w:rsidRPr="00F70870">
        <w:trPr>
          <w:cantSplit/>
          <w:trHeight w:val="35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0228" w:rsidRPr="00F70870" w:rsidRDefault="009E0228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 xml:space="preserve">VENTAS NETAS 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  <w:t>(EN MILLONES DE EUROS)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0228" w:rsidRPr="00F70870" w:rsidRDefault="009E0228" w:rsidP="000646AE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 2014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 w:rsidP="000646AE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 2013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Variaci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%</w:t>
            </w:r>
          </w:p>
        </w:tc>
      </w:tr>
      <w:tr w:rsidR="00735BD5" w:rsidRPr="00F70870">
        <w:trPr>
          <w:cantSplit/>
          <w:trHeight w:val="35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TURISMO, CAMIONETA Y DISTRIBUCI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ASOCIADA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2.520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2.582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- 2,4 %</w:t>
            </w:r>
          </w:p>
        </w:tc>
      </w:tr>
      <w:tr w:rsidR="00735BD5" w:rsidRPr="00F70870">
        <w:trPr>
          <w:cantSplit/>
          <w:trHeight w:val="35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CAMI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 xml:space="preserve">N Y 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  <w:t>DISTRIBUCI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Ó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N ASOCIADA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1.462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1.477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- 1,0 %</w:t>
            </w:r>
          </w:p>
        </w:tc>
      </w:tr>
      <w:tr w:rsidR="00735BD5" w:rsidRPr="00F70870">
        <w:trPr>
          <w:cantSplit/>
          <w:trHeight w:val="35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  <w:vertAlign w:val="superscript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ACTIVIDADES de ESPECIALIDADES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  <w:vertAlign w:val="superscript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775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818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- 5,2 %</w:t>
            </w:r>
          </w:p>
        </w:tc>
      </w:tr>
      <w:tr w:rsidR="00735BD5" w:rsidRPr="00F70870">
        <w:trPr>
          <w:cantSplit/>
          <w:trHeight w:val="35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TOTAL DEL GRUPO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  <w:highlight w:val="yellow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4.758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735BD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4.877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5BD5" w:rsidRPr="00F70870" w:rsidRDefault="00735BD5" w:rsidP="00F74EA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18"/>
                <w:highlight w:val="yellow"/>
              </w:rPr>
            </w:pPr>
            <w:r w:rsidRPr="00F70870">
              <w:rPr>
                <w:rFonts w:ascii="Arial" w:hAnsi="Arial" w:cs="Arial"/>
                <w:b/>
                <w:bCs/>
                <w:sz w:val="20"/>
                <w:szCs w:val="18"/>
              </w:rPr>
              <w:t>- 2,4 %</w:t>
            </w:r>
          </w:p>
        </w:tc>
      </w:tr>
    </w:tbl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F70870">
        <w:rPr>
          <w:rFonts w:ascii="Arial" w:eastAsia="Arial Unicode MS" w:hAnsi="Arial Unicode MS"/>
          <w:color w:val="000000"/>
          <w:sz w:val="20"/>
          <w:u w:color="000000"/>
          <w:vertAlign w:val="superscript"/>
        </w:rPr>
        <w:t>1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Ingenier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a Civil, Agr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cola, Dos Ruedas y Avi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ó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n; Michelin Travel Partner y Michelin Lifestyle Ltd.</w:t>
      </w:r>
    </w:p>
    <w:p w:rsidR="000F6F00" w:rsidRDefault="000F6F00">
      <w:pPr>
        <w:spacing w:after="240"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8"/>
          <w:u w:color="000000"/>
        </w:rPr>
      </w:pPr>
    </w:p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  <w:bookmarkStart w:id="0" w:name="_GoBack"/>
      <w:bookmarkEnd w:id="0"/>
      <w:r w:rsidRPr="00F70870">
        <w:rPr>
          <w:rFonts w:ascii="Arial" w:eastAsia="Arial Unicode MS" w:hAnsi="Arial Unicode MS"/>
          <w:b/>
          <w:color w:val="000000"/>
          <w:sz w:val="28"/>
          <w:u w:color="000000"/>
        </w:rPr>
        <w:t>Perspectivas para 2014</w:t>
      </w:r>
    </w:p>
    <w:p w:rsidR="00F77BEC" w:rsidRDefault="00F020F5" w:rsidP="009758CA">
      <w:pPr>
        <w:spacing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>
        <w:rPr>
          <w:rFonts w:ascii="Arial" w:eastAsia="Arial Unicode MS" w:hAnsi="Arial"/>
          <w:b/>
          <w:color w:val="000000"/>
          <w:sz w:val="21"/>
          <w:u w:color="000000"/>
        </w:rPr>
        <w:t>Mientras</w:t>
      </w:r>
      <w:r w:rsidR="009758CA" w:rsidRPr="00F70870">
        <w:rPr>
          <w:rFonts w:ascii="Arial" w:eastAsia="Arial Unicode MS" w:hAnsi="Arial"/>
          <w:b/>
          <w:color w:val="000000"/>
          <w:sz w:val="21"/>
          <w:u w:color="000000"/>
        </w:rPr>
        <w:t xml:space="preserve"> que la demand</w:t>
      </w:r>
      <w:r w:rsidR="00F77BEC">
        <w:rPr>
          <w:rFonts w:ascii="Arial" w:eastAsia="Arial Unicode MS" w:hAnsi="Arial"/>
          <w:b/>
          <w:color w:val="000000"/>
          <w:sz w:val="21"/>
          <w:u w:color="000000"/>
        </w:rPr>
        <w:t>a</w:t>
      </w:r>
      <w:r w:rsidR="009758CA" w:rsidRPr="00F70870">
        <w:rPr>
          <w:rFonts w:ascii="Arial" w:eastAsia="Arial Unicode MS" w:hAnsi="Arial"/>
          <w:b/>
          <w:color w:val="000000"/>
          <w:sz w:val="21"/>
          <w:u w:color="000000"/>
        </w:rPr>
        <w:t xml:space="preserve"> de </w:t>
      </w:r>
      <w:r w:rsidR="00F77BEC">
        <w:rPr>
          <w:rFonts w:ascii="Arial" w:eastAsia="Arial Unicode MS" w:hAnsi="Arial"/>
          <w:b/>
          <w:color w:val="000000"/>
          <w:sz w:val="21"/>
          <w:u w:color="000000"/>
        </w:rPr>
        <w:t>neumáticos</w:t>
      </w:r>
      <w:r w:rsidR="00F123D2">
        <w:rPr>
          <w:rFonts w:ascii="Arial" w:eastAsia="Arial Unicode MS" w:hAnsi="Arial"/>
          <w:b/>
          <w:color w:val="000000"/>
          <w:sz w:val="21"/>
          <w:u w:color="000000"/>
        </w:rPr>
        <w:t xml:space="preserve"> muestra en el primer trimestre de 2014 la dinámica esperada, con excepción de Europa del Este, Michelin </w:t>
      </w:r>
      <w:r w:rsidR="00C11F00">
        <w:rPr>
          <w:rFonts w:ascii="Arial" w:eastAsia="Arial Unicode MS" w:hAnsi="Arial"/>
          <w:b/>
          <w:color w:val="000000"/>
          <w:sz w:val="21"/>
          <w:u w:color="000000"/>
        </w:rPr>
        <w:t>mantiene</w:t>
      </w:r>
      <w:r w:rsidR="00F123D2">
        <w:rPr>
          <w:rFonts w:ascii="Arial" w:eastAsia="Arial Unicode MS" w:hAnsi="Arial"/>
          <w:b/>
          <w:color w:val="000000"/>
          <w:sz w:val="21"/>
          <w:u w:color="000000"/>
        </w:rPr>
        <w:t xml:space="preserve"> su objetivo de crecimiento de los volúmenes en</w:t>
      </w:r>
      <w:r w:rsidR="00C11F00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F123D2">
        <w:rPr>
          <w:rFonts w:ascii="Arial" w:eastAsia="Arial Unicode MS" w:hAnsi="Arial"/>
          <w:b/>
          <w:color w:val="000000"/>
          <w:sz w:val="21"/>
          <w:u w:color="000000"/>
        </w:rPr>
        <w:t>torno al</w:t>
      </w:r>
      <w:r w:rsidR="00C11F00">
        <w:rPr>
          <w:rFonts w:ascii="Arial" w:eastAsia="Arial Unicode MS" w:hAnsi="Arial"/>
          <w:b/>
          <w:color w:val="000000"/>
          <w:sz w:val="21"/>
          <w:u w:color="000000"/>
        </w:rPr>
        <w:t xml:space="preserve"> 3</w:t>
      </w:r>
      <w:r w:rsidR="00981BB2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C11F00">
        <w:rPr>
          <w:rFonts w:ascii="Arial" w:eastAsia="Arial Unicode MS" w:hAnsi="Arial"/>
          <w:b/>
          <w:color w:val="000000"/>
          <w:sz w:val="21"/>
          <w:u w:color="000000"/>
        </w:rPr>
        <w:t>% para el co</w:t>
      </w:r>
      <w:r>
        <w:rPr>
          <w:rFonts w:ascii="Arial" w:eastAsia="Arial Unicode MS" w:hAnsi="Arial"/>
          <w:b/>
          <w:color w:val="000000"/>
          <w:sz w:val="21"/>
          <w:u w:color="000000"/>
        </w:rPr>
        <w:t>n</w:t>
      </w:r>
      <w:r w:rsidR="00C11F00">
        <w:rPr>
          <w:rFonts w:ascii="Arial" w:eastAsia="Arial Unicode MS" w:hAnsi="Arial"/>
          <w:b/>
          <w:color w:val="000000"/>
          <w:sz w:val="21"/>
          <w:u w:color="000000"/>
        </w:rPr>
        <w:t>junto del año</w:t>
      </w:r>
    </w:p>
    <w:p w:rsidR="00F020F5" w:rsidRDefault="00F020F5" w:rsidP="009758CA">
      <w:pPr>
        <w:spacing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El Grupo </w:t>
      </w:r>
      <w:r w:rsidR="0017411C">
        <w:rPr>
          <w:rFonts w:ascii="Arial" w:eastAsia="Arial Unicode MS" w:hAnsi="Arial"/>
          <w:b/>
          <w:color w:val="000000"/>
          <w:sz w:val="21"/>
          <w:u w:color="000000"/>
        </w:rPr>
        <w:t xml:space="preserve">tiene como objetivo un crecimiento de su margen bruto unitario, </w:t>
      </w:r>
      <w:r w:rsidR="008C6DF9">
        <w:rPr>
          <w:rFonts w:ascii="Arial" w:eastAsia="Arial Unicode MS" w:hAnsi="Arial"/>
          <w:b/>
          <w:color w:val="000000"/>
          <w:sz w:val="21"/>
          <w:u w:color="000000"/>
        </w:rPr>
        <w:t>conservando</w:t>
      </w:r>
      <w:r w:rsidR="00971311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B103EB">
        <w:rPr>
          <w:rFonts w:ascii="Arial" w:eastAsia="Arial Unicode MS" w:hAnsi="Arial"/>
          <w:b/>
          <w:color w:val="000000"/>
          <w:sz w:val="21"/>
          <w:u w:color="000000"/>
        </w:rPr>
        <w:t>el</w:t>
      </w:r>
      <w:r w:rsidR="0017411C">
        <w:rPr>
          <w:rFonts w:ascii="Arial" w:eastAsia="Arial Unicode MS" w:hAnsi="Arial"/>
          <w:b/>
          <w:color w:val="000000"/>
          <w:sz w:val="21"/>
          <w:u w:color="000000"/>
        </w:rPr>
        <w:t xml:space="preserve"> equilibrio positivo entre la política de precios y los costes de las materias primas</w:t>
      </w:r>
      <w:r w:rsidR="00B103EB">
        <w:rPr>
          <w:rFonts w:ascii="Arial" w:eastAsia="Arial Unicode MS" w:hAnsi="Arial"/>
          <w:b/>
          <w:color w:val="000000"/>
          <w:sz w:val="21"/>
          <w:u w:color="000000"/>
        </w:rPr>
        <w:t xml:space="preserve">. El desarrollo del plan de competitividad continúa al ritmo esperado. </w:t>
      </w:r>
    </w:p>
    <w:p w:rsidR="00971311" w:rsidRDefault="00971311" w:rsidP="009758CA">
      <w:pPr>
        <w:spacing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>
        <w:rPr>
          <w:rFonts w:ascii="Arial" w:eastAsia="Arial Unicode MS" w:hAnsi="Arial"/>
          <w:b/>
          <w:color w:val="000000"/>
          <w:sz w:val="21"/>
          <w:u w:color="000000"/>
        </w:rPr>
        <w:t>En este contexto</w:t>
      </w:r>
      <w:r w:rsidR="009758CA" w:rsidRPr="00F70870">
        <w:rPr>
          <w:rFonts w:ascii="Arial" w:eastAsia="Arial Unicode MS" w:hAnsi="Arial"/>
          <w:b/>
          <w:color w:val="000000"/>
          <w:sz w:val="21"/>
          <w:u w:color="000000"/>
        </w:rPr>
        <w:t xml:space="preserve">, Michelin </w:t>
      </w: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confirma su </w:t>
      </w:r>
      <w:r w:rsidR="00B006B9">
        <w:rPr>
          <w:rFonts w:ascii="Arial" w:eastAsia="Arial Unicode MS" w:hAnsi="Arial"/>
          <w:b/>
          <w:color w:val="000000"/>
          <w:sz w:val="21"/>
          <w:u w:color="000000"/>
        </w:rPr>
        <w:t>objetivo para el año 2014 de un resultado operativo antes de elementos no recurrentes creciente</w:t>
      </w:r>
      <w:r w:rsidR="00266420">
        <w:rPr>
          <w:rFonts w:ascii="Arial" w:eastAsia="Arial Unicode MS" w:hAnsi="Arial"/>
          <w:b/>
          <w:color w:val="000000"/>
          <w:sz w:val="21"/>
          <w:u w:color="000000"/>
        </w:rPr>
        <w:t xml:space="preserve"> (a tasa de cambio constante)</w:t>
      </w:r>
      <w:r w:rsidR="002756DE">
        <w:rPr>
          <w:rFonts w:ascii="Arial" w:eastAsia="Arial Unicode MS" w:hAnsi="Arial"/>
          <w:b/>
          <w:color w:val="000000"/>
          <w:sz w:val="21"/>
          <w:u w:color="000000"/>
        </w:rPr>
        <w:t xml:space="preserve">, </w:t>
      </w:r>
      <w:r w:rsidR="00266420">
        <w:rPr>
          <w:rFonts w:ascii="Arial" w:eastAsia="Arial Unicode MS" w:hAnsi="Arial"/>
          <w:b/>
          <w:color w:val="000000"/>
          <w:sz w:val="21"/>
          <w:u w:color="000000"/>
        </w:rPr>
        <w:t xml:space="preserve">de </w:t>
      </w:r>
      <w:r w:rsidR="002756DE">
        <w:rPr>
          <w:rFonts w:ascii="Arial" w:eastAsia="Arial Unicode MS" w:hAnsi="Arial"/>
          <w:b/>
          <w:color w:val="000000"/>
          <w:sz w:val="21"/>
          <w:u w:color="000000"/>
        </w:rPr>
        <w:t>una rentabilidad de los capitales empleados superior al 11</w:t>
      </w:r>
      <w:r w:rsidR="00981BB2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2756DE">
        <w:rPr>
          <w:rFonts w:ascii="Arial" w:eastAsia="Arial Unicode MS" w:hAnsi="Arial"/>
          <w:b/>
          <w:color w:val="000000"/>
          <w:sz w:val="21"/>
          <w:u w:color="000000"/>
        </w:rPr>
        <w:t xml:space="preserve">% y de la generación de un </w:t>
      </w:r>
      <w:r w:rsidR="002756DE" w:rsidRPr="00BC3B8B">
        <w:rPr>
          <w:rFonts w:ascii="Arial" w:eastAsia="Arial Unicode MS" w:hAnsi="Arial"/>
          <w:b/>
          <w:i/>
          <w:color w:val="000000"/>
          <w:sz w:val="21"/>
          <w:u w:color="000000"/>
        </w:rPr>
        <w:t>cash flow</w:t>
      </w:r>
      <w:r w:rsidR="002756DE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8C6DF9">
        <w:rPr>
          <w:rFonts w:ascii="Arial" w:eastAsia="Arial Unicode MS" w:hAnsi="Arial"/>
          <w:b/>
          <w:color w:val="000000"/>
          <w:sz w:val="21"/>
          <w:u w:color="000000"/>
        </w:rPr>
        <w:t xml:space="preserve">libre </w:t>
      </w:r>
      <w:r w:rsidR="002756DE">
        <w:rPr>
          <w:rFonts w:ascii="Arial" w:eastAsia="Arial Unicode MS" w:hAnsi="Arial"/>
          <w:b/>
          <w:color w:val="000000"/>
          <w:sz w:val="21"/>
          <w:u w:color="000000"/>
        </w:rPr>
        <w:t>estructural superior a 500 millones de euros, en paralelo a un programa de inversiones que se mantiene en alrededor de 2.000 millones de euros.</w:t>
      </w:r>
    </w:p>
    <w:p w:rsidR="002756DE" w:rsidRDefault="002756DE" w:rsidP="009758CA">
      <w:pPr>
        <w:spacing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F74EA6" w:rsidRPr="00F70870" w:rsidRDefault="00F74EA6">
      <w:pPr>
        <w:spacing w:after="240" w:line="360" w:lineRule="exact"/>
        <w:outlineLvl w:val="0"/>
        <w:rPr>
          <w:rFonts w:eastAsia="Arial Unicode MS" w:hAnsi="Arial Unicode MS"/>
          <w:b/>
          <w:color w:val="333399"/>
          <w:sz w:val="40"/>
          <w:u w:color="333399"/>
        </w:rPr>
      </w:pPr>
    </w:p>
    <w:p w:rsidR="000646AE" w:rsidRPr="00F70870" w:rsidRDefault="003A6672">
      <w:pPr>
        <w:spacing w:after="240" w:line="360" w:lineRule="exact"/>
        <w:outlineLvl w:val="0"/>
        <w:rPr>
          <w:rFonts w:eastAsia="Arial Unicode MS"/>
          <w:b/>
          <w:color w:val="333399"/>
          <w:sz w:val="40"/>
          <w:u w:color="333399"/>
        </w:rPr>
      </w:pPr>
      <w:r>
        <w:rPr>
          <w:rFonts w:eastAsia="Arial Unicode MS" w:hAnsi="Arial Unicode MS"/>
          <w:b/>
          <w:color w:val="333399"/>
          <w:sz w:val="40"/>
          <w:u w:color="333399"/>
        </w:rPr>
        <w:br w:type="column"/>
      </w:r>
      <w:r w:rsidR="000646AE" w:rsidRPr="00F70870">
        <w:rPr>
          <w:rFonts w:eastAsia="Arial Unicode MS" w:hAnsi="Arial Unicode MS"/>
          <w:b/>
          <w:color w:val="333399"/>
          <w:sz w:val="40"/>
          <w:u w:color="333399"/>
        </w:rPr>
        <w:t>Evoluci</w:t>
      </w:r>
      <w:r w:rsidR="000646AE" w:rsidRPr="00F70870">
        <w:rPr>
          <w:rFonts w:eastAsia="Arial Unicode MS"/>
          <w:b/>
          <w:color w:val="333399"/>
          <w:sz w:val="40"/>
          <w:u w:color="333399"/>
        </w:rPr>
        <w:t>ó</w:t>
      </w:r>
      <w:r w:rsidR="000646AE" w:rsidRPr="00F70870">
        <w:rPr>
          <w:rFonts w:eastAsia="Arial Unicode MS" w:hAnsi="Arial Unicode MS"/>
          <w:b/>
          <w:color w:val="333399"/>
          <w:sz w:val="40"/>
          <w:u w:color="333399"/>
        </w:rPr>
        <w:t>n del mercado</w:t>
      </w:r>
    </w:p>
    <w:p w:rsidR="000646AE" w:rsidRPr="00F70870" w:rsidRDefault="000646AE">
      <w:pPr>
        <w:spacing w:before="480" w:after="120" w:line="270" w:lineRule="atLeast"/>
        <w:outlineLvl w:val="0"/>
        <w:rPr>
          <w:rFonts w:eastAsia="Arial Unicode MS"/>
          <w:b/>
          <w:color w:val="000000"/>
          <w:sz w:val="26"/>
          <w:u w:color="000000"/>
        </w:rPr>
      </w:pPr>
      <w:r w:rsidRPr="00F70870">
        <w:rPr>
          <w:rFonts w:eastAsia="Arial Unicode MS" w:hAnsi="Arial Unicode MS"/>
          <w:b/>
          <w:color w:val="000000"/>
          <w:sz w:val="26"/>
          <w:u w:color="000000"/>
        </w:rPr>
        <w:t>Turismo y camioneta</w:t>
      </w:r>
    </w:p>
    <w:tbl>
      <w:tblPr>
        <w:tblW w:w="9886" w:type="dxa"/>
        <w:tblInd w:w="-476" w:type="dxa"/>
        <w:shd w:val="clear" w:color="auto" w:fill="FFFFFF"/>
        <w:tblLayout w:type="fixed"/>
        <w:tblLook w:val="0000"/>
      </w:tblPr>
      <w:tblGrid>
        <w:gridCol w:w="2376"/>
        <w:gridCol w:w="993"/>
        <w:gridCol w:w="1275"/>
        <w:gridCol w:w="1275"/>
        <w:gridCol w:w="1275"/>
        <w:gridCol w:w="1417"/>
        <w:gridCol w:w="1275"/>
      </w:tblGrid>
      <w:tr w:rsidR="000646AE" w:rsidRPr="00F70870">
        <w:trPr>
          <w:cantSplit/>
          <w:trHeight w:val="9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  <w:t xml:space="preserve"> </w:t>
            </w:r>
            <w:r w:rsidR="00135F98"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2014/2013</w:t>
            </w:r>
            <w:r w:rsidR="00135F98"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(N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º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 neum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á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ticos)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Europa*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América </w:t>
            </w: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br/>
              <w:t>del Norte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Asia</w:t>
            </w:r>
          </w:p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(excluida la India)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América del Sur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África/India/ Oriente Medio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Total</w:t>
            </w:r>
          </w:p>
        </w:tc>
      </w:tr>
      <w:tr w:rsidR="00F74EA6" w:rsidRPr="00F70870">
        <w:trPr>
          <w:cantSplit/>
          <w:trHeight w:val="9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cr/>
              <w:t>Primeros equipos</w:t>
            </w:r>
          </w:p>
          <w:p w:rsidR="00F74EA6" w:rsidRPr="00F70870" w:rsidRDefault="00F74EA6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</w:p>
          <w:p w:rsidR="00F74EA6" w:rsidRPr="00F70870" w:rsidRDefault="00F74EA6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cr/>
              <w:t>Reemplazo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+ 6 %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+ 4 %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+ 5 %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+ 7 %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+ 8 %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+ 11 %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- 8 %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+ 6 %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- 9 %</w:t>
            </w: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+ 4 %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4EA6" w:rsidRPr="00F70870" w:rsidRDefault="00F74EA6" w:rsidP="00F74EA6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+ 5 %</w:t>
            </w:r>
          </w:p>
          <w:p w:rsidR="00F74EA6" w:rsidRPr="00F70870" w:rsidRDefault="00F74EA6" w:rsidP="00F74EA6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F74EA6" w:rsidRPr="00F70870" w:rsidRDefault="00F74EA6" w:rsidP="00F74EA6">
            <w:pPr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+ 7 %</w:t>
            </w:r>
          </w:p>
        </w:tc>
      </w:tr>
    </w:tbl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F70870">
        <w:rPr>
          <w:rFonts w:ascii="Arial" w:eastAsia="Arial Unicode MS" w:hAnsi="Arial Unicode MS"/>
          <w:color w:val="000000"/>
          <w:sz w:val="16"/>
          <w:u w:color="000000"/>
        </w:rPr>
        <w:t>*Incluyendo Rusia y Turqu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:rsidR="000646AE" w:rsidRPr="00F70870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val="single"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Primeros Equipos</w:t>
      </w:r>
    </w:p>
    <w:p w:rsidR="008C6DF9" w:rsidRDefault="00960785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>En Europ</w:t>
      </w:r>
      <w:r w:rsidR="008C6DF9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8C6DF9">
        <w:rPr>
          <w:rFonts w:ascii="Arial" w:eastAsia="Arial Unicode MS" w:hAnsi="Arial Unicode MS"/>
          <w:color w:val="000000"/>
          <w:sz w:val="21"/>
          <w:u w:color="000000"/>
        </w:rPr>
        <w:t>la demanda de neum</w:t>
      </w:r>
      <w:r w:rsidR="008C6DF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C6DF9">
        <w:rPr>
          <w:rFonts w:ascii="Arial" w:eastAsia="Arial Unicode MS" w:hAnsi="Arial Unicode MS"/>
          <w:color w:val="000000"/>
          <w:sz w:val="21"/>
          <w:u w:color="000000"/>
        </w:rPr>
        <w:t>ticos crece en un 6</w:t>
      </w:r>
      <w:r w:rsidR="00981BB2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8C6DF9">
        <w:rPr>
          <w:rFonts w:ascii="Arial" w:eastAsia="Arial Unicode MS" w:hAnsi="Arial Unicode MS"/>
          <w:color w:val="000000"/>
          <w:sz w:val="21"/>
          <w:u w:color="000000"/>
        </w:rPr>
        <w:t>%, gracias al impulso de la actividad de los constructores generalistas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 xml:space="preserve"> de autom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 xml:space="preserve">viles. En Europa del Este, los mercados </w:t>
      </w:r>
      <w:r w:rsidR="0041341A">
        <w:rPr>
          <w:rFonts w:ascii="Arial" w:eastAsia="Arial Unicode MS" w:hAnsi="Arial Unicode MS"/>
          <w:color w:val="000000"/>
          <w:sz w:val="21"/>
          <w:u w:color="000000"/>
        </w:rPr>
        <w:t>experimentan un retroceso del 6 %. debido a l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a ralentizaci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n econ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 xml:space="preserve">mica en Rusia </w:t>
      </w:r>
      <w:r w:rsidR="0041341A">
        <w:rPr>
          <w:rFonts w:ascii="Arial" w:eastAsia="Arial Unicode MS" w:hAnsi="Arial Unicode MS"/>
          <w:color w:val="000000"/>
          <w:sz w:val="21"/>
          <w:u w:color="000000"/>
        </w:rPr>
        <w:t xml:space="preserve">y a la 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inestabilidad pol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071266">
        <w:rPr>
          <w:rFonts w:ascii="Arial" w:eastAsia="Arial Unicode MS" w:hAnsi="Arial Unicode MS"/>
          <w:color w:val="000000"/>
          <w:sz w:val="21"/>
          <w:u w:color="000000"/>
        </w:rPr>
        <w:t xml:space="preserve">tica en Ucrania. 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6A19C7" w:rsidRPr="006A19C7" w:rsidRDefault="006A19C7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6A19C7">
        <w:rPr>
          <w:rFonts w:ascii="Arial" w:eastAsia="Arial Unicode MS" w:hAnsi="Arial Unicode MS"/>
          <w:color w:val="000000"/>
          <w:sz w:val="21"/>
          <w:u w:color="000000"/>
        </w:rPr>
        <w:t>El mercado de Am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rica del Norte ha crecido un </w:t>
      </w:r>
      <w:r>
        <w:rPr>
          <w:rFonts w:ascii="Arial" w:eastAsia="Arial Unicode MS" w:hAnsi="Arial Unicode MS"/>
          <w:color w:val="000000"/>
          <w:sz w:val="21"/>
          <w:u w:color="000000"/>
        </w:rPr>
        <w:t>5</w:t>
      </w:r>
      <w:r w:rsidR="00981BB2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>
        <w:rPr>
          <w:rFonts w:ascii="Arial" w:eastAsia="Arial Unicode MS" w:hAnsi="Arial Unicode MS"/>
          <w:color w:val="000000"/>
          <w:sz w:val="21"/>
          <w:u w:color="000000"/>
        </w:rPr>
        <w:t>y se beneficia del rejuvenecimiento del parque automovil</w:t>
      </w:r>
      <w:r>
        <w:rPr>
          <w:rFonts w:ascii="Arial" w:eastAsia="Arial Unicode MS" w:hAnsi="Arial Unicode MS"/>
          <w:color w:val="000000"/>
          <w:sz w:val="21"/>
          <w:u w:color="000000"/>
        </w:rPr>
        <w:t>í</w:t>
      </w:r>
      <w:r>
        <w:rPr>
          <w:rFonts w:ascii="Arial" w:eastAsia="Arial Unicode MS" w:hAnsi="Arial Unicode MS"/>
          <w:color w:val="000000"/>
          <w:sz w:val="21"/>
          <w:u w:color="000000"/>
        </w:rPr>
        <w:t>stico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760AE6" w:rsidRDefault="009D2C27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6A19C7">
        <w:rPr>
          <w:rFonts w:ascii="Arial" w:eastAsia="Arial Unicode MS" w:hAnsi="Arial Unicode MS"/>
          <w:color w:val="000000"/>
          <w:sz w:val="21"/>
          <w:u w:color="000000"/>
        </w:rPr>
        <w:t>En Asia (excluida la India),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>la demanda ha crecido globalmente un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8%, con </w:t>
      </w:r>
      <w:r w:rsidR="007F4E85">
        <w:rPr>
          <w:rFonts w:ascii="Arial" w:eastAsia="Arial Unicode MS" w:hAnsi="Arial Unicode MS"/>
          <w:color w:val="000000"/>
          <w:sz w:val="21"/>
          <w:u w:color="000000"/>
        </w:rPr>
        <w:t xml:space="preserve">grandes diferencias entre </w:t>
      </w:r>
      <w:r>
        <w:rPr>
          <w:rFonts w:ascii="Arial" w:eastAsia="Arial Unicode MS" w:hAnsi="Arial Unicode MS"/>
          <w:color w:val="000000"/>
          <w:sz w:val="21"/>
          <w:u w:color="000000"/>
        </w:rPr>
        <w:t>mercados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. En Chin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a, el 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mercado </w:t>
      </w:r>
      <w:r>
        <w:rPr>
          <w:rFonts w:ascii="Arial" w:eastAsia="Arial Unicode MS" w:hAnsi="Arial Unicode MS"/>
          <w:color w:val="000000"/>
          <w:sz w:val="21"/>
          <w:u w:color="000000"/>
        </w:rPr>
        <w:t>contin</w:t>
      </w:r>
      <w:r>
        <w:rPr>
          <w:rFonts w:ascii="Arial" w:eastAsia="Arial Unicode MS" w:hAnsi="Arial Unicode MS"/>
          <w:color w:val="000000"/>
          <w:sz w:val="21"/>
          <w:u w:color="000000"/>
        </w:rPr>
        <w:t>ú</w:t>
      </w:r>
      <w:r>
        <w:rPr>
          <w:rFonts w:ascii="Arial" w:eastAsia="Arial Unicode MS" w:hAnsi="Arial Unicode MS"/>
          <w:color w:val="000000"/>
          <w:sz w:val="21"/>
          <w:u w:color="000000"/>
        </w:rPr>
        <w:t>a con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 un</w:t>
      </w:r>
      <w:r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 gran </w:t>
      </w:r>
      <w:r>
        <w:rPr>
          <w:rFonts w:ascii="Arial" w:eastAsia="Arial Unicode MS" w:hAnsi="Arial Unicode MS"/>
          <w:color w:val="000000"/>
          <w:sz w:val="21"/>
          <w:u w:color="000000"/>
        </w:rPr>
        <w:t>progresi</w:t>
      </w:r>
      <w:r>
        <w:rPr>
          <w:rFonts w:ascii="Arial" w:eastAsia="Arial Unicode MS" w:hAnsi="Arial Unicode MS"/>
          <w:color w:val="000000"/>
          <w:sz w:val="21"/>
          <w:u w:color="000000"/>
        </w:rPr>
        <w:t>ó</w:t>
      </w:r>
      <w:r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(+12</w:t>
      </w:r>
      <w:r w:rsidR="00981BB2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%)</w:t>
      </w:r>
      <w:r w:rsidR="003315CC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81BB2">
        <w:rPr>
          <w:rFonts w:ascii="Arial" w:eastAsia="Arial Unicode MS" w:hAnsi="Arial Unicode MS"/>
          <w:color w:val="000000"/>
          <w:sz w:val="21"/>
          <w:u w:color="000000"/>
        </w:rPr>
        <w:t>mientras que el mercado del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81BB2" w:rsidRPr="006A19C7">
        <w:rPr>
          <w:rFonts w:ascii="Arial" w:eastAsia="Arial Unicode MS" w:hAnsi="Arial Unicode MS"/>
          <w:color w:val="000000"/>
          <w:sz w:val="21"/>
          <w:u w:color="000000"/>
        </w:rPr>
        <w:t>Sudeste asi</w:t>
      </w:r>
      <w:r w:rsidR="00981BB2" w:rsidRPr="006A19C7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981BB2" w:rsidRPr="006A19C7">
        <w:rPr>
          <w:rFonts w:ascii="Arial" w:eastAsia="Arial Unicode MS" w:hAnsi="Arial Unicode MS"/>
          <w:color w:val="000000"/>
          <w:sz w:val="21"/>
          <w:u w:color="000000"/>
        </w:rPr>
        <w:t>tico</w:t>
      </w:r>
      <w:r w:rsidR="00981BB2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(-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9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sufre la situaci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n pol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tica en Tailandia. La demanda en Jap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n aumenta fuertemente, animada por las compras anti</w:t>
      </w:r>
      <w:r w:rsidR="007F4E85">
        <w:rPr>
          <w:rFonts w:ascii="Arial" w:eastAsia="Arial Unicode MS" w:hAnsi="Arial Unicode MS"/>
          <w:color w:val="000000"/>
          <w:sz w:val="21"/>
          <w:u w:color="000000"/>
        </w:rPr>
        <w:t>cipadas antes de la subida del I</w:t>
      </w:r>
      <w:r w:rsidR="00760AE6">
        <w:rPr>
          <w:rFonts w:ascii="Arial" w:eastAsia="Arial Unicode MS" w:hAnsi="Arial Unicode MS"/>
          <w:color w:val="000000"/>
          <w:sz w:val="21"/>
          <w:u w:color="000000"/>
        </w:rPr>
        <w:t>VA a primeros de abril.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7F4E85" w:rsidRPr="007F4E85" w:rsidRDefault="00760AE6" w:rsidP="000212B0">
      <w:pPr>
        <w:numPr>
          <w:ilvl w:val="1"/>
          <w:numId w:val="28"/>
        </w:numPr>
        <w:tabs>
          <w:tab w:val="clear" w:pos="1772"/>
        </w:tabs>
        <w:spacing w:after="240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60AE6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AE30BA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AE30BA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AE30BA">
        <w:rPr>
          <w:rFonts w:ascii="Arial" w:eastAsia="Arial Unicode MS" w:hAnsi="Arial Unicode MS"/>
          <w:color w:val="000000"/>
          <w:sz w:val="21"/>
          <w:u w:color="000000"/>
        </w:rPr>
        <w:t>rica del Sur</w:t>
      </w:r>
      <w:r>
        <w:rPr>
          <w:rFonts w:ascii="Arial" w:eastAsia="Arial Unicode MS" w:hAnsi="Arial Unicode MS"/>
          <w:color w:val="000000"/>
          <w:sz w:val="21"/>
          <w:u w:color="000000"/>
        </w:rPr>
        <w:t>, el mercado cae un 8 % en el primer trimestre, en un contexto econ</w:t>
      </w:r>
      <w:r>
        <w:rPr>
          <w:rFonts w:ascii="Arial" w:eastAsia="Arial Unicode MS" w:hAnsi="Arial Unicode MS"/>
          <w:color w:val="000000"/>
          <w:sz w:val="21"/>
          <w:u w:color="000000"/>
        </w:rPr>
        <w:t>ó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mico 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heterog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neo, marcado por la ca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da de las exportaciones de veh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culos y la subida pr</w:t>
      </w:r>
      <w:r w:rsidR="007F4E85">
        <w:rPr>
          <w:rFonts w:ascii="Arial" w:eastAsia="Arial Unicode MS" w:hAnsi="Arial Unicode MS"/>
          <w:color w:val="000000"/>
          <w:sz w:val="21"/>
          <w:u w:color="000000"/>
        </w:rPr>
        <w:t>evista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 xml:space="preserve"> del impuesto IPI</w:t>
      </w:r>
      <w:r w:rsidR="003315CC" w:rsidRPr="003315CC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315CC">
        <w:rPr>
          <w:rFonts w:ascii="Arial" w:eastAsia="Arial Unicode MS" w:hAnsi="Arial Unicode MS"/>
          <w:color w:val="000000"/>
          <w:sz w:val="21"/>
          <w:u w:color="000000"/>
        </w:rPr>
        <w:t>en Brasil</w:t>
      </w:r>
      <w:r w:rsidR="006D61F3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:rsidR="000646AE" w:rsidRPr="007F4E85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Reemplazo</w:t>
      </w:r>
    </w:p>
    <w:p w:rsidR="004A21F1" w:rsidRDefault="00960785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>En Europ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9439DF" w:rsidRPr="009439DF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progres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un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4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%. 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En Europa Occidental</w:t>
      </w:r>
      <w:r w:rsidR="00B648F3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 xml:space="preserve"> aumenta un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7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 en 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comparaci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 xml:space="preserve">n con </w:t>
      </w:r>
      <w:r w:rsidR="00B648F3">
        <w:rPr>
          <w:rFonts w:ascii="Arial" w:eastAsia="Arial Unicode MS" w:hAnsi="Arial Unicode MS"/>
          <w:color w:val="000000"/>
          <w:sz w:val="21"/>
          <w:u w:color="000000"/>
        </w:rPr>
        <w:t>el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 xml:space="preserve"> nivel hist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 xml:space="preserve">ricamente bajo </w:t>
      </w:r>
      <w:r w:rsidR="00B648F3">
        <w:rPr>
          <w:rFonts w:ascii="Arial" w:eastAsia="Arial Unicode MS" w:hAnsi="Arial Unicode MS"/>
          <w:color w:val="000000"/>
          <w:sz w:val="21"/>
          <w:u w:color="000000"/>
        </w:rPr>
        <w:t>d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el primer trimestre de 2013, en l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nea con el efecto de la crisis econ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439DF">
        <w:rPr>
          <w:rFonts w:ascii="Arial" w:eastAsia="Arial Unicode MS" w:hAnsi="Arial Unicode MS"/>
          <w:color w:val="000000"/>
          <w:sz w:val="21"/>
          <w:u w:color="000000"/>
        </w:rPr>
        <w:t>mica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 xml:space="preserve"> y de la evoluci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>n de los kilometrajes.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 xml:space="preserve">Las ventas </w:t>
      </w:r>
      <w:r w:rsidR="00EF4F7D" w:rsidRPr="00B648F3">
        <w:rPr>
          <w:rFonts w:ascii="Arial" w:eastAsia="Arial Unicode MS" w:hAnsi="Arial Unicode MS"/>
          <w:i/>
          <w:color w:val="000000"/>
          <w:sz w:val="21"/>
          <w:u w:color="000000"/>
        </w:rPr>
        <w:t>sell out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EA6892">
        <w:rPr>
          <w:rFonts w:ascii="Arial" w:eastAsia="Arial Unicode MS" w:hAnsi="Arial Unicode MS"/>
          <w:color w:val="000000"/>
          <w:sz w:val="21"/>
          <w:u w:color="000000"/>
        </w:rPr>
        <w:t>(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>de los distribuidores a los clientes finales</w:t>
      </w:r>
      <w:r w:rsidR="00EA6892">
        <w:rPr>
          <w:rFonts w:ascii="Arial" w:eastAsia="Arial Unicode MS" w:hAnsi="Arial Unicode MS"/>
          <w:color w:val="000000"/>
          <w:sz w:val="21"/>
          <w:u w:color="000000"/>
        </w:rPr>
        <w:t>)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 xml:space="preserve"> se recuperan en el mes de marzo y los </w:t>
      </w:r>
      <w:r w:rsidR="00EF4F7D" w:rsidRPr="00B648F3">
        <w:rPr>
          <w:rFonts w:ascii="Arial" w:eastAsia="Arial Unicode MS" w:hAnsi="Arial Unicode MS"/>
          <w:i/>
          <w:color w:val="000000"/>
          <w:sz w:val="21"/>
          <w:u w:color="000000"/>
        </w:rPr>
        <w:t>stocks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 xml:space="preserve"> de la distribuci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EF4F7D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 xml:space="preserve"> vuelven a los niveles normales. En Europa del Este, el mercado cae un </w:t>
      </w:r>
      <w:r w:rsidRPr="00EF4F7D">
        <w:rPr>
          <w:rFonts w:ascii="Arial" w:eastAsia="Arial Unicode MS" w:hAnsi="Arial Unicode MS"/>
          <w:color w:val="000000"/>
          <w:sz w:val="21"/>
          <w:u w:color="000000"/>
        </w:rPr>
        <w:t>8</w:t>
      </w:r>
      <w:r w:rsidRPr="00EF4F7D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EF4F7D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debido a la situaci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n pol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tica y econ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A21F1">
        <w:rPr>
          <w:rFonts w:ascii="Arial" w:eastAsia="Arial Unicode MS" w:hAnsi="Arial Unicode MS"/>
          <w:color w:val="000000"/>
          <w:sz w:val="21"/>
          <w:u w:color="000000"/>
        </w:rPr>
        <w:t>mica de Rusia y Ucrania.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2106D9" w:rsidRDefault="00960785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2106D9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4A21F1" w:rsidRPr="002106D9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4A21F1" w:rsidRPr="002106D9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4A21F1" w:rsidRPr="002106D9">
        <w:rPr>
          <w:rFonts w:ascii="Arial" w:eastAsia="Arial Unicode MS" w:hAnsi="Arial Unicode MS"/>
          <w:color w:val="000000"/>
          <w:sz w:val="21"/>
          <w:u w:color="000000"/>
        </w:rPr>
        <w:t>rica del Norte</w:t>
      </w:r>
      <w:r w:rsidRPr="002106D9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A21F1" w:rsidRPr="002106D9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2106D9" w:rsidRPr="002106D9">
        <w:rPr>
          <w:rFonts w:ascii="Arial" w:eastAsia="Arial Unicode MS" w:hAnsi="Arial Unicode MS"/>
          <w:color w:val="000000"/>
          <w:sz w:val="21"/>
          <w:u w:color="000000"/>
        </w:rPr>
        <w:t xml:space="preserve">crece un </w:t>
      </w:r>
      <w:r w:rsidRPr="002106D9">
        <w:rPr>
          <w:rFonts w:ascii="Arial" w:eastAsia="Arial Unicode MS" w:hAnsi="Arial Unicode MS"/>
          <w:color w:val="000000"/>
          <w:sz w:val="21"/>
          <w:u w:color="000000"/>
        </w:rPr>
        <w:t>7</w:t>
      </w:r>
      <w:r w:rsidRPr="002106D9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2106D9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2106D9">
        <w:rPr>
          <w:rFonts w:ascii="Arial" w:eastAsia="Arial Unicode MS" w:hAnsi="Arial Unicode MS"/>
          <w:color w:val="000000"/>
          <w:sz w:val="21"/>
          <w:u w:color="000000"/>
        </w:rPr>
        <w:t>lo que refleja a la vez el aumento de las importaciones, la demanda sostenida, en particular en Canad</w:t>
      </w:r>
      <w:r w:rsidR="002106D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2106D9">
        <w:rPr>
          <w:rFonts w:ascii="Arial" w:eastAsia="Arial Unicode MS" w:hAnsi="Arial Unicode MS"/>
          <w:color w:val="000000"/>
          <w:sz w:val="21"/>
          <w:u w:color="000000"/>
        </w:rPr>
        <w:t xml:space="preserve">, y el </w:t>
      </w:r>
      <w:r w:rsidR="00AE7F83">
        <w:rPr>
          <w:rFonts w:ascii="Arial" w:eastAsia="Arial Unicode MS" w:hAnsi="Arial Unicode MS"/>
          <w:color w:val="000000"/>
          <w:sz w:val="21"/>
          <w:u w:color="000000"/>
        </w:rPr>
        <w:t>entorno competitivo, especialmente en gamas medias.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960785" w:rsidRPr="00F70870" w:rsidRDefault="00AE7F83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6A19C7">
        <w:rPr>
          <w:rFonts w:ascii="Arial" w:eastAsia="Arial Unicode MS" w:hAnsi="Arial Unicode MS"/>
          <w:color w:val="000000"/>
          <w:sz w:val="21"/>
          <w:u w:color="000000"/>
        </w:rPr>
        <w:t>En Asia (excluida la India),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la deman</w:t>
      </w:r>
      <w:r>
        <w:rPr>
          <w:rFonts w:ascii="Arial" w:eastAsia="Arial Unicode MS" w:hAnsi="Arial Unicode MS"/>
          <w:color w:val="000000"/>
          <w:sz w:val="21"/>
          <w:u w:color="000000"/>
        </w:rPr>
        <w:t>da progresa globalmente un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11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%. 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El mercado chino aumenta un 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11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%, s</w:t>
      </w:r>
      <w:r>
        <w:rPr>
          <w:rFonts w:ascii="Arial" w:eastAsia="Arial Unicode MS" w:hAnsi="Arial Unicode MS"/>
          <w:color w:val="000000"/>
          <w:sz w:val="21"/>
          <w:u w:color="000000"/>
        </w:rPr>
        <w:t>ostenido por la demanda de movilidad y</w:t>
      </w:r>
      <w:r w:rsidR="009A07E6">
        <w:rPr>
          <w:rFonts w:ascii="Arial" w:eastAsia="Arial Unicode MS" w:hAnsi="Arial Unicode MS"/>
          <w:color w:val="000000"/>
          <w:sz w:val="21"/>
          <w:u w:color="000000"/>
        </w:rPr>
        <w:t xml:space="preserve"> la bajada de la tasa de ahorro. El mercado</w:t>
      </w:r>
      <w:r w:rsidR="009A07E6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A07E6">
        <w:rPr>
          <w:rFonts w:ascii="Arial" w:eastAsia="Arial Unicode MS" w:hAnsi="Arial Unicode MS"/>
          <w:color w:val="000000"/>
          <w:sz w:val="21"/>
          <w:u w:color="000000"/>
        </w:rPr>
        <w:t>japon</w:t>
      </w:r>
      <w:r w:rsidR="009A07E6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9A07E6">
        <w:rPr>
          <w:rFonts w:ascii="Arial" w:eastAsia="Arial Unicode MS" w:hAnsi="Arial Unicode MS"/>
          <w:color w:val="000000"/>
          <w:sz w:val="21"/>
          <w:u w:color="000000"/>
        </w:rPr>
        <w:t xml:space="preserve">s crece un 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21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AE30BA">
        <w:rPr>
          <w:rFonts w:ascii="Arial" w:eastAsia="Arial Unicode MS" w:hAnsi="Arial Unicode MS"/>
          <w:color w:val="000000"/>
          <w:sz w:val="21"/>
          <w:u w:color="000000"/>
        </w:rPr>
        <w:t>apoyado en la perspectiva del aumento del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 xml:space="preserve"> I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VA </w:t>
      </w:r>
      <w:r w:rsidR="00AE30BA">
        <w:rPr>
          <w:rFonts w:ascii="Arial" w:eastAsia="Arial Unicode MS" w:hAnsi="Arial Unicode MS"/>
          <w:color w:val="000000"/>
          <w:sz w:val="21"/>
          <w:u w:color="000000"/>
        </w:rPr>
        <w:t>y las rigurosas condiciones invernales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:rsidR="00CB0BE7" w:rsidRDefault="00AE30BA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60AE6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>
        <w:rPr>
          <w:rFonts w:ascii="Arial" w:eastAsia="Arial Unicode MS" w:hAnsi="Arial Unicode MS"/>
          <w:color w:val="000000"/>
          <w:sz w:val="21"/>
          <w:u w:color="000000"/>
        </w:rPr>
        <w:t>Am</w:t>
      </w:r>
      <w:r>
        <w:rPr>
          <w:rFonts w:ascii="Arial" w:eastAsia="Arial Unicode MS" w:hAnsi="Arial Unicode MS"/>
          <w:color w:val="000000"/>
          <w:sz w:val="21"/>
          <w:u w:color="000000"/>
        </w:rPr>
        <w:t>é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rica del Sur,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la deman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da 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 xml:space="preserve">se incrementa en un 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6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960785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>espoleada por los mercados de Brasil, Colombia y Argentina. El mercado brasile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>o crece un 8 %, en l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>nea con las estad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>sticas de peajes y las ventas de biocarburantes</w:t>
      </w:r>
      <w:r w:rsidR="00CB0BE7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</w:p>
    <w:p w:rsidR="0037229E" w:rsidRDefault="0037229E" w:rsidP="007F4E85">
      <w:pPr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</w:p>
    <w:p w:rsidR="000646AE" w:rsidRDefault="000646AE" w:rsidP="007F4E85">
      <w:pPr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  <w:r w:rsidRPr="00F70870">
        <w:rPr>
          <w:rFonts w:eastAsia="Arial Unicode MS" w:hAnsi="Arial Unicode MS"/>
          <w:b/>
          <w:color w:val="000000"/>
          <w:sz w:val="26"/>
          <w:u w:color="000000"/>
        </w:rPr>
        <w:t>Cami</w:t>
      </w:r>
      <w:r w:rsidRPr="00F70870">
        <w:rPr>
          <w:rFonts w:ascii="Times" w:eastAsia="Arial Unicode MS" w:hAnsi="Times"/>
          <w:b/>
          <w:color w:val="000000"/>
          <w:sz w:val="26"/>
          <w:u w:color="000000"/>
        </w:rPr>
        <w:t>ó</w:t>
      </w:r>
      <w:r w:rsidRPr="00F70870">
        <w:rPr>
          <w:rFonts w:eastAsia="Arial Unicode MS" w:hAnsi="Arial Unicode MS"/>
          <w:b/>
          <w:color w:val="000000"/>
          <w:sz w:val="26"/>
          <w:u w:color="000000"/>
        </w:rPr>
        <w:t>n</w:t>
      </w:r>
    </w:p>
    <w:p w:rsidR="0037229E" w:rsidRPr="00F70870" w:rsidRDefault="0037229E" w:rsidP="007F4E85">
      <w:pPr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</w:p>
    <w:tbl>
      <w:tblPr>
        <w:tblW w:w="9888" w:type="dxa"/>
        <w:tblInd w:w="-436" w:type="dxa"/>
        <w:shd w:val="clear" w:color="auto" w:fill="FFFFFF"/>
        <w:tblLayout w:type="fixed"/>
        <w:tblLook w:val="0000"/>
      </w:tblPr>
      <w:tblGrid>
        <w:gridCol w:w="2284"/>
        <w:gridCol w:w="1085"/>
        <w:gridCol w:w="1275"/>
        <w:gridCol w:w="1418"/>
        <w:gridCol w:w="1134"/>
        <w:gridCol w:w="1417"/>
        <w:gridCol w:w="1275"/>
      </w:tblGrid>
      <w:tr w:rsidR="000646AE" w:rsidRPr="00F70870">
        <w:trPr>
          <w:cantSplit/>
          <w:trHeight w:val="49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</w:r>
            <w:r w:rsidR="00135F98"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2014/2013</w:t>
            </w:r>
            <w:r w:rsidR="00135F98"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(N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º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 neum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á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ticos)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Europa</w:t>
            </w:r>
            <w:r w:rsidRPr="00F70870">
              <w:rPr>
                <w:rFonts w:ascii="Arial" w:eastAsia="Arial Unicode MS" w:hAnsi="Arial"/>
                <w:b/>
                <w:color w:val="000000"/>
                <w:sz w:val="21"/>
                <w:u w:color="000000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América </w:t>
            </w: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br/>
              <w:t>del Norte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Asia</w:t>
            </w:r>
          </w:p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(excluida India)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América del Sur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África/India/ Oriente Medio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Total</w:t>
            </w:r>
          </w:p>
        </w:tc>
      </w:tr>
      <w:tr w:rsidR="00960785" w:rsidRPr="00F70870">
        <w:trPr>
          <w:cantSplit/>
          <w:trHeight w:val="49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cr/>
              <w:t>Primeros equipos*</w:t>
            </w:r>
          </w:p>
          <w:p w:rsidR="00960785" w:rsidRPr="00F70870" w:rsidRDefault="00960785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</w:p>
          <w:p w:rsidR="00960785" w:rsidRPr="00F70870" w:rsidRDefault="00960785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t>Reemplazo*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- 3 %</w:t>
            </w: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+ 9 %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+ 6 %</w:t>
            </w: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+ 8 %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+ 11 %</w:t>
            </w: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+ 4 %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+ 10 %</w:t>
            </w: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+ 4 %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- 8 %</w:t>
            </w: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+ 3 %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60785" w:rsidRPr="00F70870" w:rsidRDefault="00960785" w:rsidP="00960785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+ 5 %</w:t>
            </w:r>
          </w:p>
          <w:p w:rsidR="00960785" w:rsidRPr="00F70870" w:rsidRDefault="00960785" w:rsidP="00960785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960785" w:rsidRPr="00F70870" w:rsidRDefault="00960785" w:rsidP="00960785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+ 5 %</w:t>
            </w:r>
          </w:p>
        </w:tc>
      </w:tr>
    </w:tbl>
    <w:p w:rsidR="000646AE" w:rsidRPr="00F70870" w:rsidRDefault="000646AE">
      <w:pPr>
        <w:spacing w:after="240" w:line="270" w:lineRule="atLeast"/>
        <w:outlineLvl w:val="0"/>
        <w:rPr>
          <w:rFonts w:ascii="Arial" w:eastAsia="Arial Unicode MS" w:hAnsi="Arial"/>
          <w:color w:val="000000"/>
          <w:sz w:val="16"/>
          <w:u w:color="000000"/>
        </w:rPr>
      </w:pPr>
      <w:r w:rsidRPr="00F70870">
        <w:rPr>
          <w:rFonts w:ascii="Arial" w:eastAsia="Arial Unicode MS" w:hAnsi="Arial Unicode MS"/>
          <w:color w:val="000000"/>
          <w:sz w:val="16"/>
          <w:u w:color="000000"/>
        </w:rPr>
        <w:t>*S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ó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lo mercado radial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cr/>
        <w:t>**Incluyendo Rusia y Turqu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í</w:t>
      </w:r>
      <w:r w:rsidRPr="00F70870">
        <w:rPr>
          <w:rFonts w:ascii="Arial" w:eastAsia="Arial Unicode MS" w:hAnsi="Arial Unicode MS"/>
          <w:color w:val="000000"/>
          <w:sz w:val="16"/>
          <w:u w:color="000000"/>
        </w:rPr>
        <w:t>a</w:t>
      </w:r>
    </w:p>
    <w:p w:rsidR="000646AE" w:rsidRPr="00F70870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Primeros Equipos</w:t>
      </w:r>
    </w:p>
    <w:p w:rsidR="003A6CFE" w:rsidRPr="00F70870" w:rsidRDefault="003A6CFE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>En Europ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, la demand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>a refleja</w:t>
      </w:r>
      <w:r w:rsidR="00C63244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E52962">
        <w:rPr>
          <w:rFonts w:ascii="Arial" w:eastAsia="Arial Unicode MS" w:hAnsi="Arial Unicode MS"/>
          <w:color w:val="000000"/>
          <w:sz w:val="21"/>
          <w:u w:color="000000"/>
        </w:rPr>
        <w:t xml:space="preserve"> en Europa Occidental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(+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8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%)</w:t>
      </w:r>
      <w:r w:rsidR="00C63244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l</w:t>
      </w:r>
      <w:r w:rsidR="006F1446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s </w:t>
      </w:r>
      <w:r w:rsidR="006F1446">
        <w:rPr>
          <w:rFonts w:ascii="Arial" w:eastAsia="Arial Unicode MS" w:hAnsi="Arial Unicode MS"/>
          <w:color w:val="000000"/>
          <w:sz w:val="21"/>
          <w:u w:color="000000"/>
        </w:rPr>
        <w:t xml:space="preserve">matriculaciones de camiones adquiridos paralelamente a la entrada en vigor de las norma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de la norme Euro VI </w:t>
      </w:r>
      <w:r w:rsidR="006F1446">
        <w:rPr>
          <w:rFonts w:ascii="Arial" w:eastAsia="Arial Unicode MS" w:hAnsi="Arial Unicode MS"/>
          <w:color w:val="000000"/>
          <w:sz w:val="21"/>
          <w:u w:color="000000"/>
        </w:rPr>
        <w:t>el 1 de enero de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2014 </w:t>
      </w:r>
      <w:r w:rsidR="00C63244">
        <w:rPr>
          <w:rFonts w:ascii="Arial" w:eastAsia="Arial Unicode MS" w:hAnsi="Arial Unicode MS"/>
          <w:color w:val="000000"/>
          <w:sz w:val="21"/>
          <w:u w:color="000000"/>
        </w:rPr>
        <w:t>y a la fuerte ca</w:t>
      </w:r>
      <w:r w:rsidR="00C63244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C63244">
        <w:rPr>
          <w:rFonts w:ascii="Arial" w:eastAsia="Arial Unicode MS" w:hAnsi="Arial Unicode MS"/>
          <w:color w:val="000000"/>
          <w:sz w:val="21"/>
          <w:u w:color="000000"/>
        </w:rPr>
        <w:t xml:space="preserve">da en Europa del Este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(-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40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%).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1663F1" w:rsidRDefault="003A6CFE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E52962" w:rsidRPr="006A19C7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E52962" w:rsidRPr="006A19C7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52962" w:rsidRPr="006A19C7">
        <w:rPr>
          <w:rFonts w:ascii="Arial" w:eastAsia="Arial Unicode MS" w:hAnsi="Arial Unicode MS"/>
          <w:color w:val="000000"/>
          <w:sz w:val="21"/>
          <w:u w:color="000000"/>
        </w:rPr>
        <w:t>rica del Norte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el mercado aumenta un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6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con una mejora del mix sostenida por un crecimiento m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s acentuado del segmento Clase 8.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3A6CFE" w:rsidRPr="00F70870" w:rsidRDefault="00E52962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6A19C7">
        <w:rPr>
          <w:rFonts w:ascii="Arial" w:eastAsia="Arial Unicode MS" w:hAnsi="Arial Unicode MS"/>
          <w:color w:val="000000"/>
          <w:sz w:val="21"/>
          <w:u w:color="000000"/>
        </w:rPr>
        <w:t>En Asia (excluida la India),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la demand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radial 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y diagonal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1663F1">
        <w:rPr>
          <w:rFonts w:ascii="Arial" w:eastAsia="Arial Unicode MS" w:hAnsi="Arial Unicode MS"/>
          <w:color w:val="000000"/>
          <w:sz w:val="21"/>
          <w:u w:color="000000"/>
        </w:rPr>
        <w:t>crece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 xml:space="preserve"> un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11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%. En Chin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a,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 xml:space="preserve">el mercado se incrementa en un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13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%. En 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el Sudeste asi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tico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827D5A" w:rsidRPr="00F70870">
        <w:rPr>
          <w:rFonts w:ascii="Arial" w:eastAsia="Arial Unicode MS" w:hAnsi="Arial Unicode MS"/>
          <w:color w:val="000000"/>
          <w:sz w:val="21"/>
          <w:u w:color="000000"/>
        </w:rPr>
        <w:t>la demand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a cae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827D5A">
        <w:rPr>
          <w:rFonts w:ascii="Arial" w:eastAsia="Arial Unicode MS" w:hAnsi="Arial Unicode MS"/>
          <w:color w:val="000000"/>
          <w:sz w:val="21"/>
          <w:u w:color="000000"/>
        </w:rPr>
        <w:t>un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12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%</w:t>
      </w:r>
      <w:r w:rsidR="003F6626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F6626">
        <w:rPr>
          <w:rFonts w:ascii="Arial" w:eastAsia="Arial Unicode MS" w:hAnsi="Arial Unicode MS"/>
          <w:color w:val="000000"/>
          <w:sz w:val="21"/>
          <w:u w:color="000000"/>
        </w:rPr>
        <w:t>debido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, especialmente,</w:t>
      </w:r>
      <w:r w:rsidR="0092005A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F6626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92005A">
        <w:rPr>
          <w:rFonts w:ascii="Arial" w:eastAsia="Arial Unicode MS" w:hAnsi="Arial Unicode MS"/>
          <w:color w:val="000000"/>
          <w:sz w:val="21"/>
          <w:u w:color="000000"/>
        </w:rPr>
        <w:t xml:space="preserve"> la si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tuaci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n en Tailandia.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3A6CFE" w:rsidRPr="00F70870" w:rsidRDefault="00E52962" w:rsidP="000212B0">
      <w:pPr>
        <w:numPr>
          <w:ilvl w:val="1"/>
          <w:numId w:val="28"/>
        </w:numPr>
        <w:tabs>
          <w:tab w:val="clear" w:pos="1772"/>
        </w:tabs>
        <w:spacing w:after="240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760AE6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>
        <w:rPr>
          <w:rFonts w:ascii="Arial" w:eastAsia="Arial Unicode MS" w:hAnsi="Arial Unicode MS"/>
          <w:color w:val="000000"/>
          <w:sz w:val="21"/>
          <w:u w:color="000000"/>
        </w:rPr>
        <w:t>Am</w:t>
      </w:r>
      <w:r>
        <w:rPr>
          <w:rFonts w:ascii="Arial" w:eastAsia="Arial Unicode MS" w:hAnsi="Arial Unicode MS"/>
          <w:color w:val="000000"/>
          <w:sz w:val="21"/>
          <w:u w:color="000000"/>
        </w:rPr>
        <w:t>é</w:t>
      </w:r>
      <w:r>
        <w:rPr>
          <w:rFonts w:ascii="Arial" w:eastAsia="Arial Unicode MS" w:hAnsi="Arial Unicode MS"/>
          <w:color w:val="000000"/>
          <w:sz w:val="21"/>
          <w:u w:color="000000"/>
        </w:rPr>
        <w:t>rica del Sur,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el mercado contin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>a bien orientado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(+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10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D24585">
        <w:rPr>
          <w:rFonts w:ascii="Arial" w:eastAsia="Arial Unicode MS" w:hAnsi="Arial Unicode MS"/>
          <w:color w:val="000000"/>
          <w:sz w:val="21"/>
          <w:u w:color="000000"/>
        </w:rPr>
        <w:t xml:space="preserve">y 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>el aumento de la financiaci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 xml:space="preserve">n FINAME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>Brasil a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E44321" w:rsidRPr="00E44321">
        <w:rPr>
          <w:rFonts w:ascii="Arial" w:eastAsia="Arial Unicode MS" w:hAnsi="Arial Unicode MS"/>
          <w:color w:val="000000"/>
          <w:sz w:val="21"/>
          <w:u w:color="000000"/>
        </w:rPr>
        <w:t>n no pesa sobre la demanda de camiones.</w:t>
      </w:r>
    </w:p>
    <w:p w:rsidR="000646AE" w:rsidRPr="00F70870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eastAsia="Arial Unicode MS"/>
          <w:b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Reemplazo</w:t>
      </w:r>
    </w:p>
    <w:p w:rsidR="00E44321" w:rsidRDefault="003A6CFE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>En Europ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el mercado crece un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9 %. La demand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en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Europa Occidental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(+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16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refleja un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recuperaci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 t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cnic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 a partir de bases d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biles y un relativo aumento del </w:t>
      </w:r>
      <w:r w:rsidR="00E44321" w:rsidRPr="007F4E85">
        <w:rPr>
          <w:rFonts w:ascii="Arial" w:eastAsia="Arial Unicode MS" w:hAnsi="Arial Unicode MS"/>
          <w:color w:val="000000"/>
          <w:sz w:val="21"/>
          <w:u w:color="000000"/>
        </w:rPr>
        <w:t>stock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 xml:space="preserve"> de las redes de la distribuci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n a comienzos de a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ñ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o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. En Europa del Este, el mercado de neum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9127D4">
        <w:rPr>
          <w:rFonts w:ascii="Arial" w:eastAsia="Arial Unicode MS" w:hAnsi="Arial Unicode MS"/>
          <w:color w:val="000000"/>
          <w:sz w:val="21"/>
          <w:u w:color="000000"/>
        </w:rPr>
        <w:t xml:space="preserve">ticos 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presenta un retroceso que se acent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AF34B3">
        <w:rPr>
          <w:rFonts w:ascii="Arial" w:eastAsia="Arial Unicode MS" w:hAnsi="Arial Unicode MS"/>
          <w:color w:val="000000"/>
          <w:sz w:val="21"/>
          <w:u w:color="000000"/>
        </w:rPr>
        <w:t>con el avance de</w:t>
      </w:r>
      <w:r w:rsidR="000871BD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los meses en el contexto econ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mico y pol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E75784">
        <w:rPr>
          <w:rFonts w:ascii="Arial" w:eastAsia="Arial Unicode MS" w:hAnsi="Arial Unicode MS"/>
          <w:color w:val="000000"/>
          <w:sz w:val="21"/>
          <w:u w:color="000000"/>
        </w:rPr>
        <w:t xml:space="preserve">tico actual de la zona. 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0871BD" w:rsidRPr="002615BA" w:rsidRDefault="003A6CFE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0871BD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E44321" w:rsidRPr="000871BD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E44321" w:rsidRPr="000871BD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44321" w:rsidRPr="000871BD">
        <w:rPr>
          <w:rFonts w:ascii="Arial" w:eastAsia="Arial Unicode MS" w:hAnsi="Arial Unicode MS"/>
          <w:color w:val="000000"/>
          <w:sz w:val="21"/>
          <w:u w:color="000000"/>
        </w:rPr>
        <w:t xml:space="preserve">rica del Norte, </w:t>
      </w:r>
      <w:r w:rsidR="000871BD" w:rsidRPr="000871BD">
        <w:rPr>
          <w:rFonts w:ascii="Arial" w:eastAsia="Arial Unicode MS" w:hAnsi="Arial Unicode MS"/>
          <w:color w:val="000000"/>
          <w:sz w:val="21"/>
          <w:u w:color="000000"/>
        </w:rPr>
        <w:t xml:space="preserve">el mercado aumenta un </w:t>
      </w:r>
      <w:r w:rsidRPr="000871BD">
        <w:rPr>
          <w:rFonts w:ascii="Arial" w:eastAsia="Arial Unicode MS" w:hAnsi="Arial Unicode MS"/>
          <w:color w:val="000000"/>
          <w:sz w:val="21"/>
          <w:u w:color="000000"/>
        </w:rPr>
        <w:t>8</w:t>
      </w:r>
      <w:r w:rsidRPr="000871BD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0871BD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0871BD">
        <w:rPr>
          <w:rFonts w:ascii="Arial" w:eastAsia="Arial Unicode MS" w:hAnsi="Arial Unicode MS"/>
          <w:color w:val="000000"/>
          <w:sz w:val="21"/>
          <w:u w:color="000000"/>
        </w:rPr>
        <w:t>en el trimestre</w:t>
      </w:r>
      <w:r w:rsidRPr="000871BD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0871BD">
        <w:rPr>
          <w:rFonts w:ascii="Arial" w:eastAsia="Arial Unicode MS" w:hAnsi="Arial Unicode MS"/>
          <w:color w:val="000000"/>
          <w:sz w:val="21"/>
          <w:u w:color="000000"/>
        </w:rPr>
        <w:t>con una contribuci</w:t>
      </w:r>
      <w:r w:rsidR="000871BD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0871BD">
        <w:rPr>
          <w:rFonts w:ascii="Arial" w:eastAsia="Arial Unicode MS" w:hAnsi="Arial Unicode MS"/>
          <w:color w:val="000000"/>
          <w:sz w:val="21"/>
          <w:u w:color="000000"/>
        </w:rPr>
        <w:t>n ma</w:t>
      </w:r>
      <w:r w:rsidR="00037A49">
        <w:rPr>
          <w:rFonts w:ascii="Arial" w:eastAsia="Arial Unicode MS" w:hAnsi="Arial Unicode MS"/>
          <w:color w:val="000000"/>
          <w:sz w:val="21"/>
          <w:u w:color="000000"/>
        </w:rPr>
        <w:t>rcada por el segmento de los neum</w:t>
      </w:r>
      <w:r w:rsidR="00037A4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037A49">
        <w:rPr>
          <w:rFonts w:ascii="Arial" w:eastAsia="Arial Unicode MS" w:hAnsi="Arial Unicode MS"/>
          <w:color w:val="000000"/>
          <w:sz w:val="21"/>
          <w:u w:color="000000"/>
        </w:rPr>
        <w:t xml:space="preserve">ticos importados. La demanda de transporte sigue fuerte 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en una econom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a m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s din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2615BA">
        <w:rPr>
          <w:rFonts w:ascii="Arial" w:eastAsia="Arial Unicode MS" w:hAnsi="Arial Unicode MS"/>
          <w:color w:val="000000"/>
          <w:sz w:val="21"/>
          <w:u w:color="000000"/>
        </w:rPr>
        <w:t>mica.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3A6CFE" w:rsidRPr="00F70870" w:rsidRDefault="002615BA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t>Los mercados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de</w:t>
      </w:r>
      <w:r w:rsidR="00E44321" w:rsidRPr="006A19C7">
        <w:rPr>
          <w:rFonts w:ascii="Arial" w:eastAsia="Arial Unicode MS" w:hAnsi="Arial Unicode MS"/>
          <w:color w:val="000000"/>
          <w:sz w:val="21"/>
          <w:u w:color="000000"/>
        </w:rPr>
        <w:t xml:space="preserve"> Asia (excluida la India),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radial </w:t>
      </w:r>
      <w:r>
        <w:rPr>
          <w:rFonts w:ascii="Arial" w:eastAsia="Arial Unicode MS" w:hAnsi="Arial Unicode MS"/>
          <w:color w:val="000000"/>
          <w:sz w:val="21"/>
          <w:u w:color="000000"/>
        </w:rPr>
        <w:t>y diagonal,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se incrementan en un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%. En Chin</w:t>
      </w:r>
      <w:r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el mercado crece un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1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>
        <w:rPr>
          <w:rFonts w:ascii="Arial" w:eastAsia="Arial Unicode MS" w:hAnsi="Arial Unicode MS"/>
          <w:color w:val="000000"/>
          <w:sz w:val="21"/>
          <w:u w:color="000000"/>
        </w:rPr>
        <w:t>en el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trimestre, 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con un cierto </w:t>
      </w:r>
      <w:r w:rsidR="002A3C93">
        <w:rPr>
          <w:rFonts w:ascii="Arial" w:eastAsia="Arial Unicode MS" w:hAnsi="Arial Unicode MS"/>
          <w:color w:val="000000"/>
          <w:sz w:val="21"/>
          <w:u w:color="000000"/>
        </w:rPr>
        <w:t>comp</w:t>
      </w:r>
      <w:r w:rsidR="002A3C9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2A3C93">
        <w:rPr>
          <w:rFonts w:ascii="Arial" w:eastAsia="Arial Unicode MS" w:hAnsi="Arial Unicode MS"/>
          <w:color w:val="000000"/>
          <w:sz w:val="21"/>
          <w:u w:color="000000"/>
        </w:rPr>
        <w:t xml:space="preserve">s de espera de los transportistas 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frente a la</w:t>
      </w:r>
      <w:r w:rsidR="002A3C93">
        <w:rPr>
          <w:rFonts w:ascii="Arial" w:eastAsia="Arial Unicode MS" w:hAnsi="Arial Unicode MS"/>
          <w:color w:val="000000"/>
          <w:sz w:val="21"/>
          <w:u w:color="000000"/>
        </w:rPr>
        <w:t xml:space="preserve"> ligera 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ralentizaci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n econ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mica del pa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s. En el Sudeste asi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tico, los mercados, estables, se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 xml:space="preserve"> siguen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 xml:space="preserve"> benefician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>de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 xml:space="preserve"> del aumento de la 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‘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radializaci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>’</w:t>
      </w:r>
      <w:r w:rsidR="00CA6E0C">
        <w:rPr>
          <w:rFonts w:ascii="Arial" w:eastAsia="Arial Unicode MS" w:hAnsi="Arial Unicode MS"/>
          <w:color w:val="000000"/>
          <w:sz w:val="21"/>
          <w:u w:color="000000"/>
        </w:rPr>
        <w:t xml:space="preserve">. En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Jap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 xml:space="preserve">n, el mercado acelera su crecimiento con un aumento del 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47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 xml:space="preserve">antes del aumento del 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>I</w:t>
      </w:r>
      <w:r w:rsidR="003A6CFE" w:rsidRPr="00F70870">
        <w:rPr>
          <w:rFonts w:ascii="Arial" w:eastAsia="Arial Unicode MS" w:hAnsi="Arial Unicode MS"/>
          <w:color w:val="000000"/>
          <w:sz w:val="21"/>
          <w:u w:color="000000"/>
        </w:rPr>
        <w:t>VA.</w:t>
      </w:r>
      <w:r w:rsidR="005B1438">
        <w:rPr>
          <w:rFonts w:ascii="Arial" w:eastAsia="Arial Unicode MS" w:hAnsi="Arial Unicode MS"/>
          <w:color w:val="000000"/>
          <w:sz w:val="21"/>
          <w:u w:color="000000"/>
        </w:rPr>
        <w:br/>
      </w:r>
    </w:p>
    <w:p w:rsidR="003A6CFE" w:rsidRPr="00F70870" w:rsidRDefault="003A6CFE" w:rsidP="007F4E85">
      <w:pPr>
        <w:numPr>
          <w:ilvl w:val="1"/>
          <w:numId w:val="28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En 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Am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E44321">
        <w:rPr>
          <w:rFonts w:ascii="Arial" w:eastAsia="Arial Unicode MS" w:hAnsi="Arial Unicode MS"/>
          <w:color w:val="000000"/>
          <w:sz w:val="21"/>
          <w:u w:color="000000"/>
        </w:rPr>
        <w:t>rica del Sur,</w:t>
      </w:r>
      <w:r w:rsidR="00E44321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FA6173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radial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y diagonal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 xml:space="preserve">progresa un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4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%, 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con una demanda de neum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A6173">
        <w:rPr>
          <w:rFonts w:ascii="Arial" w:eastAsia="Arial Unicode MS" w:hAnsi="Arial Unicode MS"/>
          <w:color w:val="000000"/>
          <w:sz w:val="21"/>
          <w:u w:color="000000"/>
        </w:rPr>
        <w:t>ticos importados que se mantiene constante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:rsidR="00DF6CC2" w:rsidRPr="00F70870" w:rsidRDefault="000646AE">
      <w:pPr>
        <w:spacing w:before="480" w:after="240" w:line="270" w:lineRule="atLeast"/>
        <w:outlineLvl w:val="0"/>
        <w:rPr>
          <w:rFonts w:eastAsia="Arial Unicode MS" w:hAnsi="Arial Unicode MS"/>
          <w:b/>
          <w:color w:val="000000"/>
          <w:sz w:val="26"/>
          <w:u w:color="000000"/>
        </w:rPr>
      </w:pPr>
      <w:r w:rsidRPr="00F70870">
        <w:rPr>
          <w:rFonts w:eastAsia="Arial Unicode MS" w:hAnsi="Arial Unicode MS"/>
          <w:b/>
          <w:color w:val="000000"/>
          <w:sz w:val="26"/>
          <w:u w:color="000000"/>
        </w:rPr>
        <w:t>Neum</w:t>
      </w:r>
      <w:r w:rsidRPr="00F70870">
        <w:rPr>
          <w:rFonts w:ascii="Times" w:eastAsia="Arial Unicode MS" w:hAnsi="Times"/>
          <w:b/>
          <w:color w:val="000000"/>
          <w:sz w:val="26"/>
          <w:u w:color="000000"/>
        </w:rPr>
        <w:t>á</w:t>
      </w:r>
      <w:r w:rsidRPr="00F70870">
        <w:rPr>
          <w:rFonts w:eastAsia="Arial Unicode MS" w:hAnsi="Arial Unicode MS"/>
          <w:b/>
          <w:color w:val="000000"/>
          <w:sz w:val="26"/>
          <w:u w:color="000000"/>
        </w:rPr>
        <w:t>ticos de especialidades</w:t>
      </w:r>
    </w:p>
    <w:tbl>
      <w:tblPr>
        <w:tblW w:w="9888" w:type="dxa"/>
        <w:tblInd w:w="-436" w:type="dxa"/>
        <w:shd w:val="clear" w:color="auto" w:fill="FFFFFF"/>
        <w:tblLayout w:type="fixed"/>
        <w:tblLook w:val="0000"/>
      </w:tblPr>
      <w:tblGrid>
        <w:gridCol w:w="2284"/>
        <w:gridCol w:w="1085"/>
        <w:gridCol w:w="1275"/>
        <w:gridCol w:w="1418"/>
        <w:gridCol w:w="1134"/>
        <w:gridCol w:w="1417"/>
        <w:gridCol w:w="1275"/>
      </w:tblGrid>
      <w:tr w:rsidR="00DF6CC2" w:rsidRPr="00F70870">
        <w:trPr>
          <w:cantSplit/>
          <w:trHeight w:val="49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135F98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Primer trimestre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</w:r>
            <w:r w:rsidR="00135F98"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t>2014/2013</w:t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cr/>
            </w:r>
            <w:r w:rsidRPr="00F70870">
              <w:rPr>
                <w:rFonts w:ascii="Arial" w:eastAsia="Arial Unicode MS" w:hAnsi="Arial Unicode MS"/>
                <w:color w:val="000000"/>
                <w:sz w:val="20"/>
                <w:u w:color="000000"/>
              </w:rPr>
              <w:br/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(N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º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 neum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á</w:t>
            </w:r>
            <w:r w:rsidRPr="00F70870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ticos)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Europa</w:t>
            </w:r>
            <w:r w:rsidRPr="00F70870">
              <w:rPr>
                <w:rFonts w:ascii="Arial" w:eastAsia="Arial Unicode MS" w:hAnsi="Arial"/>
                <w:b/>
                <w:color w:val="000000"/>
                <w:sz w:val="21"/>
                <w:u w:color="000000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América </w:t>
            </w: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br/>
              <w:t>del Norte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Asia</w:t>
            </w:r>
          </w:p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(excluida India)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América del Sur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África/India/ Oriente Medio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Total</w:t>
            </w:r>
          </w:p>
        </w:tc>
      </w:tr>
      <w:tr w:rsidR="00DF6CC2" w:rsidRPr="00F70870">
        <w:trPr>
          <w:cantSplit/>
          <w:trHeight w:val="49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cr/>
              <w:t>Primeros equipos*</w:t>
            </w:r>
          </w:p>
          <w:p w:rsidR="00DF6CC2" w:rsidRPr="00F70870" w:rsidRDefault="00DF6CC2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1"/>
                <w:u w:color="000000"/>
              </w:rPr>
            </w:pPr>
          </w:p>
          <w:p w:rsidR="00DF6CC2" w:rsidRPr="00F70870" w:rsidRDefault="00DF6CC2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21"/>
                <w:u w:color="000000"/>
              </w:rPr>
            </w:pPr>
            <w:r w:rsidRPr="00F70870">
              <w:rPr>
                <w:rFonts w:ascii="Arial" w:eastAsia="Arial Unicode MS" w:hAnsi="Arial Unicode MS"/>
                <w:color w:val="000000"/>
                <w:sz w:val="21"/>
                <w:u w:color="000000"/>
              </w:rPr>
              <w:t>Reemplazo*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+ 1 %</w:t>
            </w: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+ 15 %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+ 6 %</w:t>
            </w: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+ 9 %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+ 12 %</w:t>
            </w: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+ 8 %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+ 10 %</w:t>
            </w: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+ 9 %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- 4 %</w:t>
            </w: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+ 8 %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6CC2" w:rsidRPr="00F70870" w:rsidRDefault="00DF6CC2" w:rsidP="00DF6CC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+ 7 %</w:t>
            </w:r>
          </w:p>
          <w:p w:rsidR="00DF6CC2" w:rsidRPr="00F70870" w:rsidRDefault="00DF6CC2" w:rsidP="00DF6CC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</w:p>
          <w:p w:rsidR="00DF6CC2" w:rsidRPr="00F70870" w:rsidRDefault="00DF6CC2" w:rsidP="00DF6CC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</w:pPr>
            <w:r w:rsidRPr="00F70870">
              <w:rPr>
                <w:rFonts w:ascii="Arial" w:eastAsia="MS Mincho" w:hAnsi="Arial" w:cs="Arial"/>
                <w:b/>
                <w:snapToGrid w:val="0"/>
                <w:sz w:val="20"/>
                <w:szCs w:val="18"/>
              </w:rPr>
              <w:t>+ 9 %</w:t>
            </w:r>
          </w:p>
        </w:tc>
      </w:tr>
    </w:tbl>
    <w:p w:rsidR="00B54C86" w:rsidRPr="00F70870" w:rsidRDefault="00B54C86" w:rsidP="00B54C86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</w:p>
    <w:p w:rsidR="001C6445" w:rsidRDefault="000646AE" w:rsidP="00135F98">
      <w:pPr>
        <w:numPr>
          <w:ilvl w:val="0"/>
          <w:numId w:val="14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Ingenier</w:t>
      </w:r>
      <w:r w:rsidRPr="00F70870">
        <w:rPr>
          <w:rFonts w:ascii="Arial" w:eastAsia="Arial Unicode MS" w:hAnsi="Arial"/>
          <w:b/>
          <w:color w:val="000000"/>
          <w:sz w:val="21"/>
          <w:u w:color="000000"/>
        </w:rPr>
        <w:t>í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a civil: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1C6445">
        <w:rPr>
          <w:rFonts w:ascii="Arial" w:eastAsia="Arial Unicode MS" w:hAnsi="Arial Unicode MS"/>
          <w:color w:val="000000"/>
          <w:sz w:val="21"/>
          <w:u w:color="000000"/>
        </w:rPr>
        <w:t>La actividad de extracci</w:t>
      </w:r>
      <w:r w:rsidR="001C6445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1C6445">
        <w:rPr>
          <w:rFonts w:ascii="Arial" w:eastAsia="Arial Unicode MS" w:hAnsi="Arial Unicode MS"/>
          <w:color w:val="000000"/>
          <w:sz w:val="21"/>
          <w:u w:color="000000"/>
        </w:rPr>
        <w:t xml:space="preserve">n minera crece globalmente. 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Sin embargo, y en l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nea con el 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ltimo trimestre de 2013, el mercado de neum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ticos para miner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a </w:t>
      </w:r>
      <w:r w:rsidR="006C247F">
        <w:rPr>
          <w:rFonts w:ascii="Arial" w:eastAsia="Arial Unicode MS" w:hAnsi="Arial Unicode MS"/>
          <w:color w:val="000000"/>
          <w:sz w:val="21"/>
          <w:u w:color="000000"/>
        </w:rPr>
        <w:t xml:space="preserve">cae 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en el </w:t>
      </w:r>
      <w:r w:rsidR="006C247F">
        <w:rPr>
          <w:rFonts w:ascii="Arial" w:eastAsia="Arial Unicode MS" w:hAnsi="Arial Unicode MS"/>
          <w:color w:val="000000"/>
          <w:sz w:val="21"/>
          <w:u w:color="000000"/>
        </w:rPr>
        <w:t>primer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 trimestre, </w:t>
      </w:r>
      <w:r w:rsidR="006C247F">
        <w:rPr>
          <w:rFonts w:ascii="Arial" w:eastAsia="Arial Unicode MS" w:hAnsi="Arial Unicode MS"/>
          <w:color w:val="000000"/>
          <w:sz w:val="21"/>
          <w:u w:color="000000"/>
        </w:rPr>
        <w:t>penalizado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 por </w:t>
      </w:r>
      <w:r w:rsidR="00FD68CB">
        <w:rPr>
          <w:rFonts w:ascii="Arial" w:eastAsia="Arial Unicode MS" w:hAnsi="Arial Unicode MS"/>
          <w:color w:val="000000"/>
          <w:sz w:val="21"/>
          <w:u w:color="000000"/>
        </w:rPr>
        <w:t xml:space="preserve">la actual 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>reducci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F02DB3">
        <w:rPr>
          <w:rFonts w:ascii="Arial" w:eastAsia="Arial Unicode MS" w:hAnsi="Arial Unicode MS"/>
          <w:color w:val="000000"/>
          <w:sz w:val="21"/>
          <w:u w:color="000000"/>
        </w:rPr>
        <w:t xml:space="preserve">n 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de </w:t>
      </w:r>
      <w:r w:rsidR="006C247F">
        <w:rPr>
          <w:rFonts w:ascii="Arial" w:eastAsia="Arial Unicode MS" w:hAnsi="Arial Unicode MS"/>
          <w:color w:val="000000"/>
          <w:sz w:val="21"/>
          <w:u w:color="000000"/>
        </w:rPr>
        <w:t xml:space="preserve">stocks </w:t>
      </w:r>
      <w:r w:rsidR="003B2890">
        <w:rPr>
          <w:rFonts w:ascii="Arial" w:eastAsia="Arial Unicode MS" w:hAnsi="Arial Unicode MS"/>
          <w:color w:val="000000"/>
          <w:sz w:val="21"/>
          <w:u w:color="000000"/>
        </w:rPr>
        <w:t xml:space="preserve">de </w:t>
      </w:r>
      <w:r w:rsidR="003B2890" w:rsidRPr="001C6445">
        <w:rPr>
          <w:rFonts w:ascii="Arial" w:eastAsia="Arial Unicode MS" w:hAnsi="Arial Unicode MS"/>
          <w:color w:val="000000"/>
          <w:sz w:val="21"/>
          <w:u w:color="000000"/>
        </w:rPr>
        <w:t xml:space="preserve">las </w:t>
      </w:r>
      <w:r w:rsidR="003B2890">
        <w:rPr>
          <w:rFonts w:ascii="Arial" w:eastAsia="Arial Unicode MS" w:hAnsi="Arial Unicode MS"/>
          <w:color w:val="000000"/>
          <w:sz w:val="21"/>
          <w:u w:color="000000"/>
        </w:rPr>
        <w:t>compa</w:t>
      </w:r>
      <w:r w:rsidR="003B2890">
        <w:rPr>
          <w:rFonts w:ascii="Arial" w:eastAsia="Arial Unicode MS" w:hAnsi="Arial Unicode MS"/>
          <w:color w:val="000000"/>
          <w:sz w:val="21"/>
          <w:u w:color="000000"/>
        </w:rPr>
        <w:t>ñí</w:t>
      </w:r>
      <w:r w:rsidR="003B2890">
        <w:rPr>
          <w:rFonts w:ascii="Arial" w:eastAsia="Arial Unicode MS" w:hAnsi="Arial Unicode MS"/>
          <w:color w:val="000000"/>
          <w:sz w:val="21"/>
          <w:u w:color="000000"/>
        </w:rPr>
        <w:t xml:space="preserve">as </w:t>
      </w:r>
      <w:r w:rsidR="001C6445" w:rsidRPr="001C6445">
        <w:rPr>
          <w:rFonts w:ascii="Arial" w:eastAsia="Arial Unicode MS" w:hAnsi="Arial Unicode MS"/>
          <w:color w:val="000000"/>
          <w:sz w:val="21"/>
          <w:u w:color="000000"/>
        </w:rPr>
        <w:t>mineras.</w:t>
      </w:r>
    </w:p>
    <w:p w:rsidR="00135F98" w:rsidRPr="00F70870" w:rsidRDefault="00FD68CB" w:rsidP="00FD68CB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t>Los mercados de primer equipo se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 recupera</w:t>
      </w:r>
      <w:r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1"/>
          <w:u w:color="000000"/>
        </w:rPr>
        <w:t>en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 este trimestre en las </w:t>
      </w:r>
      <w:r>
        <w:rPr>
          <w:rFonts w:ascii="Arial" w:eastAsia="Arial Unicode MS" w:hAnsi="Arial Unicode MS"/>
          <w:color w:val="000000"/>
          <w:sz w:val="21"/>
          <w:u w:color="000000"/>
        </w:rPr>
        <w:t>zonas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 maduras. Se benefician del aumento de la 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>fabricaci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 xml:space="preserve">n de maquinarias 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en un contexto 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 xml:space="preserve">de </w:t>
      </w:r>
      <w:r w:rsidRPr="00866749">
        <w:rPr>
          <w:rFonts w:ascii="Arial" w:eastAsia="Arial Unicode MS" w:hAnsi="Arial Unicode MS"/>
          <w:i/>
          <w:color w:val="000000"/>
          <w:sz w:val="21"/>
          <w:u w:color="000000"/>
        </w:rPr>
        <w:t>stocks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>d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 xml:space="preserve">biles 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 xml:space="preserve">de </w:t>
      </w:r>
      <w:r w:rsidR="0097549B">
        <w:rPr>
          <w:rFonts w:ascii="Arial" w:eastAsia="Arial Unicode MS" w:hAnsi="Arial Unicode MS"/>
          <w:color w:val="000000"/>
          <w:sz w:val="21"/>
          <w:u w:color="000000"/>
        </w:rPr>
        <w:t xml:space="preserve">los </w:t>
      </w:r>
      <w:r w:rsidRPr="00FD68CB">
        <w:rPr>
          <w:rFonts w:ascii="Arial" w:eastAsia="Arial Unicode MS" w:hAnsi="Arial Unicode MS"/>
          <w:color w:val="000000"/>
          <w:sz w:val="21"/>
          <w:u w:color="000000"/>
        </w:rPr>
        <w:t>fabricantes.</w:t>
      </w:r>
    </w:p>
    <w:p w:rsidR="000646AE" w:rsidRPr="00F70870" w:rsidRDefault="0097549B" w:rsidP="007F4E85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t>Los mercados de neum</w:t>
      </w:r>
      <w:r>
        <w:rPr>
          <w:rFonts w:ascii="Arial" w:eastAsia="Arial Unicode MS" w:hAnsi="Arial Unicode MS"/>
          <w:color w:val="000000"/>
          <w:sz w:val="21"/>
          <w:u w:color="000000"/>
        </w:rPr>
        <w:t>á</w:t>
      </w:r>
      <w:r>
        <w:rPr>
          <w:rFonts w:ascii="Arial" w:eastAsia="Arial Unicode MS" w:hAnsi="Arial Unicode MS"/>
          <w:color w:val="000000"/>
          <w:sz w:val="21"/>
          <w:u w:color="000000"/>
        </w:rPr>
        <w:t>ticos para infraestructuras y canteras experimentan un ligero repunte en los pa</w:t>
      </w:r>
      <w:r>
        <w:rPr>
          <w:rFonts w:ascii="Arial" w:eastAsia="Arial Unicode MS" w:hAnsi="Arial Unicode MS"/>
          <w:color w:val="000000"/>
          <w:sz w:val="21"/>
          <w:u w:color="000000"/>
        </w:rPr>
        <w:t>í</w:t>
      </w:r>
      <w:r>
        <w:rPr>
          <w:rFonts w:ascii="Arial" w:eastAsia="Arial Unicode MS" w:hAnsi="Arial Unicode MS"/>
          <w:color w:val="000000"/>
          <w:sz w:val="21"/>
          <w:u w:color="000000"/>
        </w:rPr>
        <w:t>ses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 xml:space="preserve"> maduros, gracias a las anticipaciones positivas por parte de la distribuci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n. En las zonas emergentes, los mercados caen.</w:t>
      </w:r>
    </w:p>
    <w:p w:rsidR="003A139B" w:rsidRDefault="000646AE" w:rsidP="00135F98">
      <w:pPr>
        <w:numPr>
          <w:ilvl w:val="0"/>
          <w:numId w:val="14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Agricultura: 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L</w:t>
      </w:r>
      <w:r w:rsidR="00135F98" w:rsidRPr="00F70870">
        <w:rPr>
          <w:rFonts w:ascii="Arial" w:eastAsia="Arial Unicode MS" w:hAnsi="Arial Unicode MS"/>
          <w:color w:val="000000"/>
          <w:sz w:val="21"/>
          <w:u w:color="000000"/>
        </w:rPr>
        <w:t>a demand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a</w:t>
      </w:r>
      <w:r w:rsidR="00135F98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mundial en los mercados de primeros equipos cae en los pa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ses maduros, afectada por la bajada de las ventas de maquinaria agr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5F54E7">
        <w:rPr>
          <w:rFonts w:ascii="Arial" w:eastAsia="Arial Unicode MS" w:hAnsi="Arial Unicode MS"/>
          <w:color w:val="000000"/>
          <w:sz w:val="21"/>
          <w:u w:color="000000"/>
        </w:rPr>
        <w:t xml:space="preserve">cola. </w:t>
      </w:r>
    </w:p>
    <w:p w:rsidR="005F54E7" w:rsidRPr="003A139B" w:rsidRDefault="003A139B" w:rsidP="003A139B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3A139B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>
        <w:rPr>
          <w:rFonts w:ascii="Arial" w:eastAsia="Arial Unicode MS" w:hAnsi="Arial Unicode MS"/>
          <w:color w:val="000000"/>
          <w:sz w:val="21"/>
          <w:u w:color="000000"/>
        </w:rPr>
        <w:t>de reemplazo se recupera en Europa, pero cae en Am</w:t>
      </w:r>
      <w:r>
        <w:rPr>
          <w:rFonts w:ascii="Arial" w:eastAsia="Arial Unicode MS" w:hAnsi="Arial Unicode MS"/>
          <w:color w:val="000000"/>
          <w:sz w:val="21"/>
          <w:u w:color="000000"/>
        </w:rPr>
        <w:t>é</w:t>
      </w:r>
      <w:r>
        <w:rPr>
          <w:rFonts w:ascii="Arial" w:eastAsia="Arial Unicode MS" w:hAnsi="Arial Unicode MS"/>
          <w:color w:val="000000"/>
          <w:sz w:val="21"/>
          <w:u w:color="000000"/>
        </w:rPr>
        <w:t>rica del Norte.</w:t>
      </w:r>
    </w:p>
    <w:p w:rsidR="003A139B" w:rsidRPr="003A139B" w:rsidRDefault="000646AE" w:rsidP="000212B0">
      <w:pPr>
        <w:numPr>
          <w:ilvl w:val="0"/>
          <w:numId w:val="14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"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Dos ruedas: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3A139B" w:rsidRPr="003A139B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3A139B">
        <w:rPr>
          <w:rFonts w:ascii="Arial" w:eastAsia="Arial Unicode MS" w:hAnsi="Arial Unicode MS"/>
          <w:color w:val="000000"/>
          <w:sz w:val="21"/>
          <w:u w:color="000000"/>
        </w:rPr>
        <w:t>de</w:t>
      </w:r>
      <w:r w:rsidR="003A139B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135F98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Moto 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aumenta en Europa</w:t>
      </w:r>
      <w:r w:rsidR="00866749">
        <w:rPr>
          <w:rFonts w:ascii="Arial" w:eastAsia="Arial Unicode MS" w:hAnsi="Arial Unicode MS"/>
          <w:color w:val="000000"/>
          <w:sz w:val="21"/>
          <w:u w:color="000000"/>
        </w:rPr>
        <w:t xml:space="preserve"> y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 xml:space="preserve"> baja Am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é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rica del Norte, penalizada por las condiciones meteorol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gicas desfavorables.</w:t>
      </w:r>
    </w:p>
    <w:p w:rsidR="00D67E4D" w:rsidRPr="00D67E4D" w:rsidRDefault="000646AE" w:rsidP="000212B0">
      <w:pPr>
        <w:numPr>
          <w:ilvl w:val="0"/>
          <w:numId w:val="14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"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Avi</w:t>
      </w:r>
      <w:r w:rsidRPr="00F70870">
        <w:rPr>
          <w:rFonts w:ascii="Arial" w:eastAsia="Arial Unicode MS" w:hAnsi="Arial"/>
          <w:b/>
          <w:color w:val="000000"/>
          <w:sz w:val="21"/>
          <w:u w:color="000000"/>
        </w:rPr>
        <w:t>ó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n: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67E4D" w:rsidRPr="003A139B">
        <w:rPr>
          <w:rFonts w:ascii="Arial" w:eastAsia="Arial Unicode MS" w:hAnsi="Arial Unicode MS"/>
          <w:color w:val="000000"/>
          <w:sz w:val="21"/>
          <w:u w:color="000000"/>
        </w:rPr>
        <w:t xml:space="preserve">El mercado 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de neum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ticos para aviones comerciales crece, mientras que los mercados militares est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D67E4D">
        <w:rPr>
          <w:rFonts w:ascii="Arial" w:eastAsia="Arial Unicode MS" w:hAnsi="Arial Unicode MS"/>
          <w:color w:val="000000"/>
          <w:sz w:val="21"/>
          <w:u w:color="000000"/>
        </w:rPr>
        <w:t>n a la baja.</w:t>
      </w:r>
    </w:p>
    <w:p w:rsidR="000646AE" w:rsidRPr="00F70870" w:rsidRDefault="000646AE" w:rsidP="000212B0">
      <w:pPr>
        <w:spacing w:after="240" w:line="360" w:lineRule="exact"/>
        <w:outlineLvl w:val="0"/>
        <w:rPr>
          <w:rFonts w:eastAsia="Arial Unicode MS"/>
          <w:b/>
          <w:color w:val="333399"/>
          <w:sz w:val="40"/>
          <w:u w:color="333399"/>
        </w:rPr>
      </w:pPr>
      <w:r w:rsidRPr="00F70870">
        <w:rPr>
          <w:rFonts w:eastAsia="Arial Unicode MS" w:hAnsi="Arial Unicode MS"/>
          <w:b/>
          <w:color w:val="333399"/>
          <w:sz w:val="40"/>
          <w:u w:color="333399"/>
        </w:rPr>
        <w:br w:type="column"/>
        <w:t>Ventas netas de Michelin</w:t>
      </w:r>
    </w:p>
    <w:p w:rsidR="000646AE" w:rsidRPr="00F70870" w:rsidRDefault="000646AE">
      <w:pPr>
        <w:spacing w:before="480" w:after="120" w:line="270" w:lineRule="atLeast"/>
        <w:outlineLvl w:val="0"/>
        <w:rPr>
          <w:rFonts w:eastAsia="Arial Unicode MS"/>
          <w:b/>
          <w:color w:val="000000"/>
          <w:sz w:val="26"/>
          <w:u w:color="000000"/>
        </w:rPr>
      </w:pPr>
      <w:r w:rsidRPr="00F70870">
        <w:rPr>
          <w:rFonts w:eastAsia="Arial Unicode MS" w:hAnsi="Arial Unicode MS"/>
          <w:b/>
          <w:color w:val="000000"/>
          <w:sz w:val="26"/>
          <w:u w:color="000000"/>
        </w:rPr>
        <w:t>Evoluci</w:t>
      </w:r>
      <w:r w:rsidRPr="00F70870">
        <w:rPr>
          <w:rFonts w:ascii="Times" w:eastAsia="Arial Unicode MS" w:hAnsi="Times"/>
          <w:b/>
          <w:color w:val="000000"/>
          <w:sz w:val="26"/>
          <w:u w:color="000000"/>
        </w:rPr>
        <w:t>ó</w:t>
      </w:r>
      <w:r w:rsidRPr="00F70870">
        <w:rPr>
          <w:rFonts w:eastAsia="Arial Unicode MS" w:hAnsi="Arial Unicode MS"/>
          <w:b/>
          <w:color w:val="000000"/>
          <w:sz w:val="26"/>
          <w:u w:color="000000"/>
        </w:rPr>
        <w:t>n global</w:t>
      </w:r>
    </w:p>
    <w:tbl>
      <w:tblPr>
        <w:tblW w:w="0" w:type="auto"/>
        <w:tblInd w:w="3" w:type="dxa"/>
        <w:shd w:val="clear" w:color="auto" w:fill="FFFFFF"/>
        <w:tblLayout w:type="fixed"/>
        <w:tblLook w:val="0000"/>
      </w:tblPr>
      <w:tblGrid>
        <w:gridCol w:w="3652"/>
        <w:gridCol w:w="1562"/>
        <w:gridCol w:w="2373"/>
      </w:tblGrid>
      <w:tr w:rsidR="000646AE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  <w:t>Millones de euros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646AE" w:rsidRPr="00F70870" w:rsidRDefault="000646AE" w:rsidP="00B96066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</w:pPr>
            <w:r w:rsidRPr="00F70870"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  <w:cr/>
              <w:t>Primer trimestre 201</w:t>
            </w:r>
            <w:r w:rsidR="00B96066" w:rsidRPr="00F70870">
              <w:rPr>
                <w:rFonts w:ascii="Arial" w:eastAsia="Arial Unicode MS" w:hAnsi="Arial Unicode MS"/>
                <w:b/>
                <w:color w:val="000000"/>
                <w:sz w:val="20"/>
                <w:u w:color="000000"/>
              </w:rPr>
              <w:t>4</w:t>
            </w:r>
          </w:p>
        </w:tc>
      </w:tr>
      <w:tr w:rsidR="00B96066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066" w:rsidRPr="00F70870" w:rsidRDefault="00B96066">
            <w:pPr>
              <w:pStyle w:val="Body1"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 w:rsidRPr="00F70870">
              <w:rPr>
                <w:rFonts w:ascii="Arial" w:hAnsi="Arial Unicode MS"/>
                <w:smallCaps/>
                <w:sz w:val="20"/>
              </w:rPr>
              <w:t>Ventas netas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066" w:rsidRPr="00F70870" w:rsidRDefault="00B96066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0870">
              <w:rPr>
                <w:rFonts w:ascii="Arial" w:hAnsi="Arial" w:cs="Arial"/>
                <w:b/>
                <w:bCs/>
                <w:sz w:val="20"/>
              </w:rPr>
              <w:t>4.758</w:t>
            </w:r>
          </w:p>
        </w:tc>
      </w:tr>
      <w:tr w:rsidR="00B96066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066" w:rsidRPr="00F70870" w:rsidRDefault="00B96066" w:rsidP="00F02DB3">
            <w:pPr>
              <w:pStyle w:val="Body1"/>
              <w:spacing w:after="120"/>
              <w:jc w:val="center"/>
              <w:rPr>
                <w:rFonts w:ascii="Arial" w:hAnsi="Arial Unicode MS"/>
                <w:smallCaps/>
                <w:sz w:val="20"/>
              </w:rPr>
            </w:pPr>
            <w:r w:rsidRPr="00F70870">
              <w:rPr>
                <w:rFonts w:ascii="Arial" w:hAnsi="Arial Unicode MS"/>
                <w:smallCaps/>
                <w:sz w:val="20"/>
              </w:rPr>
              <w:t>Variaci</w:t>
            </w:r>
            <w:r w:rsidRPr="00F70870">
              <w:rPr>
                <w:rFonts w:ascii="Arial" w:hAnsi="Arial Unicode MS"/>
                <w:smallCaps/>
                <w:sz w:val="20"/>
              </w:rPr>
              <w:t>ó</w:t>
            </w:r>
            <w:r w:rsidRPr="00F70870">
              <w:rPr>
                <w:rFonts w:ascii="Arial" w:hAnsi="Arial Unicode MS"/>
                <w:smallCaps/>
                <w:sz w:val="20"/>
              </w:rPr>
              <w:t xml:space="preserve">n T1 2014 / T1 2013 </w:t>
            </w:r>
            <w:r w:rsidRPr="00F70870">
              <w:rPr>
                <w:rFonts w:ascii="Arial" w:hAnsi="Arial Unicode MS"/>
                <w:smallCaps/>
                <w:sz w:val="20"/>
              </w:rPr>
              <w:cr/>
            </w:r>
            <w:r w:rsidRPr="00F70870">
              <w:rPr>
                <w:rFonts w:ascii="Arial" w:hAnsi="Arial Unicode MS"/>
                <w:smallCaps/>
                <w:sz w:val="20"/>
              </w:rPr>
              <w:br/>
              <w:t>en millones de euros y %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6066" w:rsidRPr="00F70870" w:rsidRDefault="00B96066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29D3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554CFA" w:rsidP="00554CFA">
            <w:pPr>
              <w:pStyle w:val="Body1"/>
              <w:spacing w:after="120"/>
              <w:rPr>
                <w:rFonts w:ascii="Arial" w:hAnsi="Arial Unicode MS"/>
                <w:smallCaps/>
                <w:sz w:val="20"/>
              </w:rPr>
            </w:pPr>
            <w:r>
              <w:rPr>
                <w:rFonts w:ascii="Arial" w:hAnsi="Arial Unicode MS"/>
                <w:smallCaps/>
                <w:sz w:val="20"/>
              </w:rPr>
              <w:t xml:space="preserve">    </w:t>
            </w:r>
            <w:r w:rsidR="009729D3" w:rsidRPr="00F70870">
              <w:rPr>
                <w:rFonts w:ascii="Arial" w:hAnsi="Arial Unicode MS"/>
                <w:smallCaps/>
                <w:sz w:val="20"/>
              </w:rPr>
              <w:t>variaci</w:t>
            </w:r>
            <w:r w:rsidR="009729D3" w:rsidRPr="00F70870">
              <w:rPr>
                <w:rFonts w:ascii="Arial" w:hAnsi="Arial Unicode MS"/>
                <w:smallCaps/>
                <w:sz w:val="20"/>
              </w:rPr>
              <w:t>ó</w:t>
            </w:r>
            <w:r w:rsidR="009729D3" w:rsidRPr="00F70870">
              <w:rPr>
                <w:rFonts w:ascii="Arial" w:hAnsi="Arial Unicode MS"/>
                <w:smallCaps/>
                <w:sz w:val="20"/>
              </w:rPr>
              <w:t>n total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0870">
              <w:rPr>
                <w:rFonts w:ascii="Arial" w:hAnsi="Arial" w:cs="Arial"/>
                <w:b/>
                <w:bCs/>
                <w:sz w:val="20"/>
              </w:rPr>
              <w:t>- 119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9729D3" w:rsidRDefault="009729D3" w:rsidP="00D2612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29D3">
              <w:rPr>
                <w:rFonts w:ascii="Arial" w:hAnsi="Arial" w:cs="Arial"/>
                <w:b/>
                <w:bCs/>
                <w:sz w:val="20"/>
              </w:rPr>
              <w:t>- 2,4 %</w:t>
            </w:r>
          </w:p>
        </w:tc>
      </w:tr>
      <w:tr w:rsidR="009729D3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>
            <w:pPr>
              <w:pStyle w:val="Body1"/>
              <w:rPr>
                <w:rFonts w:ascii="Arial" w:hAnsi="Arial"/>
                <w:smallCaps/>
                <w:sz w:val="20"/>
              </w:rPr>
            </w:pPr>
            <w:r w:rsidRPr="00F70870">
              <w:rPr>
                <w:rFonts w:ascii="Arial" w:hAnsi="Arial Unicode MS"/>
                <w:smallCaps/>
                <w:sz w:val="20"/>
              </w:rPr>
              <w:t xml:space="preserve">                          en volumen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0870">
              <w:rPr>
                <w:rFonts w:ascii="Arial" w:hAnsi="Arial" w:cs="Arial"/>
                <w:b/>
                <w:bCs/>
                <w:sz w:val="20"/>
              </w:rPr>
              <w:t>+ 166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9729D3" w:rsidRDefault="009729D3" w:rsidP="00D2612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29D3">
              <w:rPr>
                <w:rFonts w:ascii="Arial" w:hAnsi="Arial" w:cs="Arial"/>
                <w:b/>
                <w:bCs/>
                <w:sz w:val="20"/>
              </w:rPr>
              <w:t>+ 3,4 %</w:t>
            </w:r>
          </w:p>
        </w:tc>
      </w:tr>
      <w:tr w:rsidR="009729D3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>
            <w:pPr>
              <w:pStyle w:val="Body1"/>
              <w:jc w:val="center"/>
              <w:rPr>
                <w:rFonts w:ascii="Arial" w:hAnsi="Arial Unicode MS"/>
                <w:smallCaps/>
                <w:sz w:val="20"/>
              </w:rPr>
            </w:pPr>
            <w:r w:rsidRPr="00F70870">
              <w:rPr>
                <w:rFonts w:ascii="Arial" w:hAnsi="Arial Unicode MS"/>
                <w:smallCaps/>
                <w:sz w:val="20"/>
              </w:rPr>
              <w:t>mix de precios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0870">
              <w:rPr>
                <w:rFonts w:ascii="Arial" w:hAnsi="Arial" w:cs="Arial"/>
                <w:b/>
                <w:bCs/>
                <w:sz w:val="20"/>
              </w:rPr>
              <w:t>- 53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9729D3" w:rsidRDefault="009729D3" w:rsidP="00D2612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29D3">
              <w:rPr>
                <w:rFonts w:ascii="Arial" w:hAnsi="Arial" w:cs="Arial"/>
                <w:b/>
                <w:bCs/>
                <w:sz w:val="20"/>
              </w:rPr>
              <w:t>- 1,1 %</w:t>
            </w:r>
          </w:p>
        </w:tc>
      </w:tr>
      <w:tr w:rsidR="009729D3" w:rsidRPr="00F70870">
        <w:trPr>
          <w:cantSplit/>
          <w:trHeight w:val="355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>
            <w:pPr>
              <w:pStyle w:val="Body1"/>
              <w:jc w:val="center"/>
              <w:rPr>
                <w:rFonts w:ascii="Arial" w:hAnsi="Arial Unicode MS"/>
                <w:smallCaps/>
                <w:sz w:val="20"/>
              </w:rPr>
            </w:pPr>
            <w:r w:rsidRPr="00F70870">
              <w:rPr>
                <w:rFonts w:ascii="Arial" w:hAnsi="Arial Unicode MS"/>
                <w:smallCaps/>
                <w:sz w:val="20"/>
              </w:rPr>
              <w:t>efecto divisas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F70870" w:rsidRDefault="009729D3" w:rsidP="00B960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0870">
              <w:rPr>
                <w:rFonts w:ascii="Arial" w:hAnsi="Arial" w:cs="Arial"/>
                <w:b/>
                <w:bCs/>
                <w:sz w:val="20"/>
              </w:rPr>
              <w:t>- 232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729D3" w:rsidRPr="009729D3" w:rsidRDefault="009729D3" w:rsidP="00D2612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29D3">
              <w:rPr>
                <w:rFonts w:ascii="Arial" w:hAnsi="Arial" w:cs="Arial"/>
                <w:b/>
                <w:bCs/>
                <w:sz w:val="20"/>
              </w:rPr>
              <w:t>- 4,6 %</w:t>
            </w:r>
          </w:p>
        </w:tc>
      </w:tr>
    </w:tbl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B96066" w:rsidRPr="00F70870" w:rsidRDefault="00590FA8" w:rsidP="00B96066">
      <w:pPr>
        <w:spacing w:after="240" w:line="270" w:lineRule="atLeast"/>
        <w:jc w:val="both"/>
        <w:outlineLvl w:val="0"/>
        <w:rPr>
          <w:rFonts w:ascii="Arial" w:eastAsia="Arial Unicode MS" w:hAnsi="Arial Unicode MS"/>
          <w:bCs/>
          <w:color w:val="000000"/>
          <w:sz w:val="21"/>
          <w:u w:color="000000"/>
        </w:rPr>
      </w:pPr>
      <w:r w:rsidRPr="00590FA8">
        <w:rPr>
          <w:rFonts w:ascii="Arial" w:eastAsia="Arial Unicode MS" w:hAnsi="Arial Unicode MS"/>
          <w:bCs/>
          <w:color w:val="000000"/>
          <w:sz w:val="21"/>
          <w:u w:color="000000"/>
        </w:rPr>
        <w:t>En los tres primeros meses del a</w:t>
      </w:r>
      <w:r w:rsidRPr="00590FA8">
        <w:rPr>
          <w:rFonts w:ascii="Arial" w:eastAsia="Arial Unicode MS" w:hAnsi="Arial Unicode MS"/>
          <w:bCs/>
          <w:color w:val="000000"/>
          <w:sz w:val="21"/>
          <w:u w:color="000000"/>
        </w:rPr>
        <w:t>ñ</w:t>
      </w:r>
      <w:r w:rsidRPr="00590FA8">
        <w:rPr>
          <w:rFonts w:ascii="Arial" w:eastAsia="Arial Unicode MS" w:hAnsi="Arial Unicode MS"/>
          <w:bCs/>
          <w:color w:val="000000"/>
          <w:sz w:val="21"/>
          <w:u w:color="000000"/>
        </w:rPr>
        <w:t>o, las ventas netas ascendieron a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4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.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758 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millones de euros, en una ca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í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da del 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>2,4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> 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% 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en relaci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>n con el mismo periodo de 2013, afectadas por el efecto de los siguientes factores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>:</w:t>
      </w:r>
    </w:p>
    <w:p w:rsidR="00D2612E" w:rsidRDefault="00D2612E" w:rsidP="00F02DB3">
      <w:pPr>
        <w:pStyle w:val="Body1"/>
        <w:numPr>
          <w:ilvl w:val="0"/>
          <w:numId w:val="36"/>
        </w:numPr>
        <w:spacing w:after="60"/>
        <w:jc w:val="both"/>
        <w:rPr>
          <w:rFonts w:ascii="Verdana" w:hAnsi="Verdana"/>
        </w:rPr>
      </w:pPr>
      <w:r w:rsidRPr="00F02DB3">
        <w:rPr>
          <w:rFonts w:ascii="Arial" w:hAnsi="Arial Unicode MS"/>
          <w:b/>
          <w:sz w:val="21"/>
        </w:rPr>
        <w:t>El impacto negativo</w:t>
      </w:r>
      <w:r w:rsidRPr="00F02DB3">
        <w:rPr>
          <w:rFonts w:ascii="Arial" w:hAnsi="Arial Unicode MS"/>
          <w:b/>
          <w:bCs/>
          <w:sz w:val="21"/>
        </w:rPr>
        <w:t xml:space="preserve"> (-</w:t>
      </w:r>
      <w:r w:rsidRPr="00F02DB3">
        <w:rPr>
          <w:rFonts w:ascii="Arial" w:hAnsi="Arial Unicode MS"/>
          <w:b/>
          <w:bCs/>
          <w:sz w:val="21"/>
        </w:rPr>
        <w:t> </w:t>
      </w:r>
      <w:r w:rsidRPr="00F02DB3">
        <w:rPr>
          <w:rFonts w:ascii="Arial" w:hAnsi="Arial Unicode MS"/>
          <w:b/>
          <w:bCs/>
          <w:sz w:val="21"/>
        </w:rPr>
        <w:t>4,6</w:t>
      </w:r>
      <w:r w:rsidRPr="00F02DB3">
        <w:rPr>
          <w:rFonts w:ascii="Arial" w:hAnsi="Arial Unicode MS"/>
          <w:b/>
          <w:bCs/>
          <w:sz w:val="21"/>
        </w:rPr>
        <w:t> </w:t>
      </w:r>
      <w:r w:rsidRPr="00F02DB3">
        <w:rPr>
          <w:rFonts w:ascii="Arial" w:hAnsi="Arial Unicode MS"/>
          <w:b/>
          <w:bCs/>
          <w:sz w:val="21"/>
        </w:rPr>
        <w:t>%)</w:t>
      </w:r>
      <w:r w:rsidRPr="00F02DB3">
        <w:rPr>
          <w:rFonts w:ascii="Arial" w:hAnsi="Arial Unicode MS"/>
          <w:b/>
          <w:sz w:val="21"/>
        </w:rPr>
        <w:t xml:space="preserve"> de las paridades monetarias</w:t>
      </w:r>
      <w:r w:rsidRPr="00F02DB3">
        <w:rPr>
          <w:rFonts w:ascii="Arial" w:hAnsi="Arial Unicode MS"/>
          <w:sz w:val="21"/>
        </w:rPr>
        <w:t>, resultado principalmente de la</w:t>
      </w:r>
      <w:r>
        <w:rPr>
          <w:rFonts w:ascii="Arial" w:hAnsi="Arial Unicode MS"/>
          <w:sz w:val="21"/>
        </w:rPr>
        <w:t xml:space="preserve"> </w:t>
      </w:r>
      <w:r w:rsidR="00620AC7">
        <w:rPr>
          <w:rFonts w:ascii="Arial" w:hAnsi="Arial Unicode MS"/>
          <w:sz w:val="21"/>
        </w:rPr>
        <w:t>fortaleza</w:t>
      </w:r>
      <w:r>
        <w:rPr>
          <w:rFonts w:ascii="Arial" w:hAnsi="Arial Unicode MS"/>
          <w:sz w:val="21"/>
        </w:rPr>
        <w:t xml:space="preserve"> del euro</w:t>
      </w:r>
      <w:r w:rsidR="00620AC7">
        <w:rPr>
          <w:rFonts w:ascii="Arial" w:hAnsi="Arial Unicode MS"/>
          <w:sz w:val="21"/>
        </w:rPr>
        <w:t>,</w:t>
      </w:r>
      <w:r>
        <w:rPr>
          <w:rFonts w:ascii="Arial" w:hAnsi="Arial Unicode MS"/>
          <w:sz w:val="21"/>
        </w:rPr>
        <w:t xml:space="preserve"> especialmente </w:t>
      </w:r>
      <w:r w:rsidR="00620AC7">
        <w:rPr>
          <w:rFonts w:ascii="Arial" w:hAnsi="Arial Unicode MS"/>
          <w:sz w:val="21"/>
        </w:rPr>
        <w:t>frente al d</w:t>
      </w:r>
      <w:r w:rsidR="00620AC7">
        <w:rPr>
          <w:rFonts w:ascii="Arial" w:hAnsi="Arial Unicode MS"/>
          <w:sz w:val="21"/>
        </w:rPr>
        <w:t>ó</w:t>
      </w:r>
      <w:r w:rsidR="00620AC7">
        <w:rPr>
          <w:rFonts w:ascii="Arial" w:hAnsi="Arial Unicode MS"/>
          <w:sz w:val="21"/>
        </w:rPr>
        <w:t>lar americano, al real brasile</w:t>
      </w:r>
      <w:r w:rsidR="00620AC7">
        <w:rPr>
          <w:rFonts w:ascii="Arial" w:hAnsi="Arial Unicode MS"/>
          <w:sz w:val="21"/>
        </w:rPr>
        <w:t>ñ</w:t>
      </w:r>
      <w:r w:rsidR="00620AC7">
        <w:rPr>
          <w:rFonts w:ascii="Arial" w:hAnsi="Arial Unicode MS"/>
          <w:sz w:val="21"/>
        </w:rPr>
        <w:t xml:space="preserve">o, </w:t>
      </w:r>
      <w:r w:rsidR="00CE70B4">
        <w:rPr>
          <w:rFonts w:ascii="Arial" w:hAnsi="Arial Unicode MS"/>
          <w:sz w:val="21"/>
        </w:rPr>
        <w:t>al d</w:t>
      </w:r>
      <w:r w:rsidR="00CE70B4">
        <w:rPr>
          <w:rFonts w:ascii="Arial" w:hAnsi="Arial Unicode MS"/>
          <w:sz w:val="21"/>
        </w:rPr>
        <w:t>ó</w:t>
      </w:r>
      <w:r w:rsidR="00CE70B4">
        <w:rPr>
          <w:rFonts w:ascii="Arial" w:hAnsi="Arial Unicode MS"/>
          <w:sz w:val="21"/>
        </w:rPr>
        <w:t>lar canadiense, al d</w:t>
      </w:r>
      <w:r w:rsidR="00CE70B4">
        <w:rPr>
          <w:rFonts w:ascii="Arial" w:hAnsi="Arial Unicode MS"/>
          <w:sz w:val="21"/>
        </w:rPr>
        <w:t>ó</w:t>
      </w:r>
      <w:r w:rsidR="00CE70B4">
        <w:rPr>
          <w:rFonts w:ascii="Arial" w:hAnsi="Arial Unicode MS"/>
          <w:sz w:val="21"/>
        </w:rPr>
        <w:t>lar australiano</w:t>
      </w:r>
      <w:r w:rsidR="00DC3A67">
        <w:rPr>
          <w:rFonts w:ascii="Arial" w:hAnsi="Arial Unicode MS"/>
          <w:sz w:val="21"/>
        </w:rPr>
        <w:t>, a la lira turca</w:t>
      </w:r>
      <w:r w:rsidR="00CE70B4">
        <w:rPr>
          <w:rFonts w:ascii="Arial" w:hAnsi="Arial Unicode MS"/>
          <w:sz w:val="21"/>
        </w:rPr>
        <w:t xml:space="preserve">, </w:t>
      </w:r>
      <w:r w:rsidR="00620AC7">
        <w:rPr>
          <w:rFonts w:ascii="Arial" w:hAnsi="Arial Unicode MS"/>
          <w:sz w:val="21"/>
        </w:rPr>
        <w:t>al rublo ruso, al peso argentino y al rand sudafricano</w:t>
      </w:r>
      <w:r>
        <w:rPr>
          <w:rFonts w:ascii="Arial" w:hAnsi="Arial Unicode MS"/>
          <w:sz w:val="21"/>
        </w:rPr>
        <w:t>.</w:t>
      </w:r>
    </w:p>
    <w:p w:rsidR="001D474B" w:rsidRPr="001D474B" w:rsidRDefault="00DC3A67" w:rsidP="00F02DB3">
      <w:pPr>
        <w:numPr>
          <w:ilvl w:val="0"/>
          <w:numId w:val="36"/>
        </w:numPr>
        <w:spacing w:after="240" w:line="270" w:lineRule="atLeast"/>
        <w:jc w:val="both"/>
        <w:outlineLvl w:val="0"/>
        <w:rPr>
          <w:rFonts w:ascii="Arial" w:eastAsia="Arial Unicode MS" w:hAnsi="Arial Unicode MS"/>
          <w:b/>
          <w:bCs/>
          <w:color w:val="000000"/>
          <w:sz w:val="21"/>
          <w:u w:color="000000"/>
        </w:rPr>
      </w:pPr>
      <w:r w:rsidRPr="00F02DB3">
        <w:rPr>
          <w:rFonts w:ascii="Arial" w:eastAsia="Arial Unicode MS" w:hAnsi="Arial Unicode MS"/>
          <w:b/>
          <w:color w:val="000000"/>
          <w:sz w:val="21"/>
          <w:u w:color="000000"/>
        </w:rPr>
        <w:t>Los vol</w:t>
      </w:r>
      <w:r w:rsidRPr="00F02DB3">
        <w:rPr>
          <w:rFonts w:ascii="Arial" w:eastAsia="Arial Unicode MS" w:hAnsi="Arial Unicode MS"/>
          <w:b/>
          <w:color w:val="000000"/>
          <w:sz w:val="21"/>
          <w:u w:color="000000"/>
        </w:rPr>
        <w:t>ú</w:t>
      </w:r>
      <w:r w:rsidRPr="00F02DB3">
        <w:rPr>
          <w:rFonts w:ascii="Arial" w:eastAsia="Arial Unicode MS" w:hAnsi="Arial Unicode MS"/>
          <w:b/>
          <w:color w:val="000000"/>
          <w:sz w:val="21"/>
          <w:u w:color="000000"/>
        </w:rPr>
        <w:t>menes en crecimiento</w:t>
      </w:r>
      <w:r w:rsidR="00B96066" w:rsidRPr="00F70870">
        <w:rPr>
          <w:rFonts w:ascii="Arial" w:eastAsia="Arial Unicode MS" w:hAnsi="Arial Unicode MS"/>
          <w:b/>
          <w:bCs/>
          <w:color w:val="000000"/>
          <w:sz w:val="21"/>
          <w:u w:color="000000"/>
        </w:rPr>
        <w:t xml:space="preserve"> (+</w:t>
      </w:r>
      <w:r w:rsidR="00B96066" w:rsidRPr="00F70870">
        <w:rPr>
          <w:rFonts w:ascii="Arial" w:eastAsia="Arial Unicode MS" w:hAnsi="Arial Unicode MS"/>
          <w:b/>
          <w:bCs/>
          <w:color w:val="000000"/>
          <w:sz w:val="21"/>
          <w:u w:color="000000"/>
        </w:rPr>
        <w:t> </w:t>
      </w:r>
      <w:r w:rsidR="00B96066" w:rsidRPr="00F70870">
        <w:rPr>
          <w:rFonts w:ascii="Arial" w:eastAsia="Arial Unicode MS" w:hAnsi="Arial Unicode MS"/>
          <w:b/>
          <w:bCs/>
          <w:color w:val="000000"/>
          <w:sz w:val="21"/>
          <w:u w:color="000000"/>
        </w:rPr>
        <w:t>3,4</w:t>
      </w:r>
      <w:r w:rsidR="00B96066" w:rsidRPr="00F70870">
        <w:rPr>
          <w:rFonts w:ascii="Arial" w:eastAsia="Arial Unicode MS" w:hAnsi="Arial Unicode MS"/>
          <w:b/>
          <w:bCs/>
          <w:color w:val="000000"/>
          <w:sz w:val="21"/>
          <w:u w:color="000000"/>
        </w:rPr>
        <w:t> </w:t>
      </w:r>
      <w:r w:rsidR="00B96066" w:rsidRPr="00F70870">
        <w:rPr>
          <w:rFonts w:ascii="Arial" w:eastAsia="Arial Unicode MS" w:hAnsi="Arial Unicode MS"/>
          <w:b/>
          <w:bCs/>
          <w:color w:val="000000"/>
          <w:sz w:val="21"/>
          <w:u w:color="000000"/>
        </w:rPr>
        <w:t>%),</w:t>
      </w:r>
      <w:r w:rsidR="00B96066" w:rsidRPr="00F70870"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</w:t>
      </w:r>
      <w:r w:rsidR="001D474B">
        <w:rPr>
          <w:rFonts w:ascii="Arial" w:eastAsia="Arial Unicode MS" w:hAnsi="Arial Unicode MS"/>
          <w:bCs/>
          <w:color w:val="000000"/>
          <w:sz w:val="21"/>
          <w:u w:color="000000"/>
        </w:rPr>
        <w:t>en una coyuntura de mercados globalmente mejor orientados, con excepci</w:t>
      </w:r>
      <w:r w:rsidR="001D474B">
        <w:rPr>
          <w:rFonts w:ascii="Arial" w:eastAsia="Arial Unicode MS" w:hAnsi="Arial Unicode MS"/>
          <w:bCs/>
          <w:color w:val="000000"/>
          <w:sz w:val="21"/>
          <w:u w:color="000000"/>
        </w:rPr>
        <w:t>ó</w:t>
      </w:r>
      <w:r w:rsidR="001D474B">
        <w:rPr>
          <w:rFonts w:ascii="Arial" w:eastAsia="Arial Unicode MS" w:hAnsi="Arial Unicode MS"/>
          <w:bCs/>
          <w:color w:val="000000"/>
          <w:sz w:val="21"/>
          <w:u w:color="000000"/>
        </w:rPr>
        <w:t>n de Europa del Este y, como se preve</w:t>
      </w:r>
      <w:r w:rsidR="001D474B">
        <w:rPr>
          <w:rFonts w:ascii="Arial" w:eastAsia="Arial Unicode MS" w:hAnsi="Arial Unicode MS"/>
          <w:bCs/>
          <w:color w:val="000000"/>
          <w:sz w:val="21"/>
          <w:u w:color="000000"/>
        </w:rPr>
        <w:t>í</w:t>
      </w:r>
      <w:r w:rsidR="001D474B">
        <w:rPr>
          <w:rFonts w:ascii="Arial" w:eastAsia="Arial Unicode MS" w:hAnsi="Arial Unicode MS"/>
          <w:bCs/>
          <w:color w:val="000000"/>
          <w:sz w:val="21"/>
          <w:u w:color="000000"/>
        </w:rPr>
        <w:t>a, del segmento minero.</w:t>
      </w:r>
    </w:p>
    <w:p w:rsidR="000646AE" w:rsidRPr="00F70870" w:rsidRDefault="000646AE" w:rsidP="00F02DB3">
      <w:pPr>
        <w:numPr>
          <w:ilvl w:val="0"/>
          <w:numId w:val="36"/>
        </w:num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El efecto del mix de precios en ca</w:t>
      </w:r>
      <w:r w:rsidRPr="00F70870">
        <w:rPr>
          <w:rFonts w:ascii="Arial" w:eastAsia="Arial Unicode MS" w:hAnsi="Arial"/>
          <w:b/>
          <w:color w:val="000000"/>
          <w:sz w:val="21"/>
          <w:u w:color="000000"/>
        </w:rPr>
        <w:t>í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da de</w:t>
      </w:r>
      <w:r w:rsidR="00B96066"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l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</w:t>
      </w:r>
      <w:r w:rsidR="00B96066"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1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,</w:t>
      </w:r>
      <w:r w:rsidR="00B96066"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1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%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, que responde a:</w:t>
      </w:r>
    </w:p>
    <w:p w:rsidR="00C17A88" w:rsidRDefault="006B4DCD" w:rsidP="00460698">
      <w:pPr>
        <w:pStyle w:val="Body1"/>
        <w:numPr>
          <w:ilvl w:val="1"/>
          <w:numId w:val="37"/>
        </w:numPr>
        <w:spacing w:after="60"/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>El efecto del precio</w:t>
      </w:r>
      <w:r w:rsidRPr="00F70870">
        <w:rPr>
          <w:rFonts w:ascii="Arial" w:hAnsi="Arial Unicode MS"/>
          <w:sz w:val="21"/>
        </w:rPr>
        <w:t xml:space="preserve"> </w:t>
      </w:r>
      <w:r w:rsidR="00D97C30" w:rsidRPr="00F70870">
        <w:rPr>
          <w:rFonts w:ascii="Arial" w:hAnsi="Arial Unicode MS"/>
          <w:sz w:val="21"/>
        </w:rPr>
        <w:t>(-</w:t>
      </w:r>
      <w:r w:rsidR="00D97C30" w:rsidRPr="00F70870">
        <w:rPr>
          <w:rFonts w:ascii="Arial" w:hAnsi="Arial Unicode MS"/>
          <w:sz w:val="21"/>
        </w:rPr>
        <w:t> </w:t>
      </w:r>
      <w:r w:rsidR="00D97C30" w:rsidRPr="00F70870">
        <w:rPr>
          <w:rFonts w:ascii="Arial" w:hAnsi="Arial Unicode MS"/>
          <w:sz w:val="21"/>
        </w:rPr>
        <w:t xml:space="preserve">98 </w:t>
      </w:r>
      <w:r w:rsidRPr="00F70870">
        <w:rPr>
          <w:rFonts w:ascii="Arial" w:hAnsi="Arial Unicode MS"/>
          <w:sz w:val="21"/>
        </w:rPr>
        <w:t>millone</w:t>
      </w:r>
      <w:r>
        <w:rPr>
          <w:rFonts w:ascii="Arial" w:hAnsi="Arial Unicode MS"/>
          <w:sz w:val="21"/>
        </w:rPr>
        <w:t>s</w:t>
      </w:r>
      <w:r w:rsidR="00D97C30"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de euros</w:t>
      </w:r>
      <w:r w:rsidR="00D97C30" w:rsidRPr="00F70870">
        <w:rPr>
          <w:rFonts w:ascii="Arial" w:hAnsi="Arial Unicode MS"/>
          <w:sz w:val="21"/>
        </w:rPr>
        <w:t xml:space="preserve">) </w:t>
      </w:r>
      <w:r>
        <w:rPr>
          <w:rFonts w:ascii="Arial" w:hAnsi="Arial Unicode MS"/>
          <w:sz w:val="21"/>
        </w:rPr>
        <w:t>que combina</w:t>
      </w:r>
      <w:r w:rsidR="00D97C30" w:rsidRPr="00F70870">
        <w:rPr>
          <w:rFonts w:ascii="Arial" w:hAnsi="Arial Unicode MS"/>
          <w:sz w:val="21"/>
        </w:rPr>
        <w:t>,</w:t>
      </w:r>
      <w:r w:rsidR="00460698">
        <w:rPr>
          <w:rFonts w:ascii="Arial" w:hAnsi="Arial Unicode MS"/>
          <w:sz w:val="21"/>
        </w:rPr>
        <w:t xml:space="preserve"> en</w:t>
      </w:r>
      <w:r>
        <w:rPr>
          <w:rFonts w:ascii="Arial" w:hAnsi="Arial Unicode MS"/>
          <w:sz w:val="21"/>
        </w:rPr>
        <w:t xml:space="preserve"> un</w:t>
      </w:r>
      <w:r w:rsidR="00D97C30" w:rsidRPr="00F70870">
        <w:rPr>
          <w:rFonts w:ascii="Arial" w:hAnsi="Arial Unicode MS"/>
          <w:sz w:val="21"/>
        </w:rPr>
        <w:t xml:space="preserve"> 55</w:t>
      </w:r>
      <w:r w:rsidR="00D97C30" w:rsidRPr="00F70870">
        <w:rPr>
          <w:rFonts w:ascii="Arial" w:hAnsi="Arial Unicode MS"/>
          <w:sz w:val="21"/>
        </w:rPr>
        <w:t> </w:t>
      </w:r>
      <w:r w:rsidR="00D97C30" w:rsidRPr="00F70870">
        <w:rPr>
          <w:rFonts w:ascii="Arial" w:hAnsi="Arial Unicode MS"/>
          <w:sz w:val="21"/>
        </w:rPr>
        <w:t xml:space="preserve">%, </w:t>
      </w:r>
      <w:r>
        <w:rPr>
          <w:rFonts w:ascii="Arial" w:hAnsi="Arial Unicode MS"/>
          <w:sz w:val="21"/>
        </w:rPr>
        <w:t>el efecto de las cl</w:t>
      </w:r>
      <w:r>
        <w:rPr>
          <w:rFonts w:ascii="Arial" w:hAnsi="Arial Unicode MS"/>
          <w:sz w:val="21"/>
        </w:rPr>
        <w:t>á</w:t>
      </w:r>
      <w:r>
        <w:rPr>
          <w:rFonts w:ascii="Arial" w:hAnsi="Arial Unicode MS"/>
          <w:sz w:val="21"/>
        </w:rPr>
        <w:t>usulas contractuales de indexaci</w:t>
      </w:r>
      <w:r>
        <w:rPr>
          <w:rFonts w:ascii="Arial" w:hAnsi="Arial Unicode MS"/>
          <w:sz w:val="21"/>
        </w:rPr>
        <w:t>ó</w:t>
      </w:r>
      <w:r>
        <w:rPr>
          <w:rFonts w:ascii="Arial" w:hAnsi="Arial Unicode MS"/>
          <w:sz w:val="21"/>
        </w:rPr>
        <w:t>n y</w:t>
      </w:r>
      <w:r w:rsidR="006215D1">
        <w:rPr>
          <w:rFonts w:ascii="Arial" w:hAnsi="Arial Unicode MS"/>
          <w:sz w:val="21"/>
        </w:rPr>
        <w:t xml:space="preserve">, </w:t>
      </w:r>
      <w:r w:rsidR="001E1D37">
        <w:rPr>
          <w:rFonts w:ascii="Arial" w:hAnsi="Arial Unicode MS"/>
          <w:sz w:val="21"/>
        </w:rPr>
        <w:t>para el resto</w:t>
      </w:r>
      <w:r w:rsidR="00D97C30" w:rsidRPr="00F70870">
        <w:rPr>
          <w:rFonts w:ascii="Arial" w:hAnsi="Arial Unicode MS"/>
          <w:sz w:val="21"/>
        </w:rPr>
        <w:t xml:space="preserve">, </w:t>
      </w:r>
      <w:r w:rsidR="006215D1">
        <w:rPr>
          <w:rFonts w:ascii="Arial" w:hAnsi="Arial Unicode MS"/>
          <w:sz w:val="21"/>
        </w:rPr>
        <w:t>lo</w:t>
      </w:r>
      <w:r w:rsidR="00460698">
        <w:rPr>
          <w:rFonts w:ascii="Arial" w:hAnsi="Arial Unicode MS"/>
          <w:sz w:val="21"/>
        </w:rPr>
        <w:t>s reposicionamientos de los precios, en un contexto favorable</w:t>
      </w:r>
      <w:r w:rsidR="006215D1">
        <w:rPr>
          <w:rFonts w:ascii="Arial" w:hAnsi="Arial Unicode MS"/>
          <w:sz w:val="21"/>
        </w:rPr>
        <w:t xml:space="preserve"> de</w:t>
      </w:r>
      <w:r w:rsidR="00460698">
        <w:rPr>
          <w:rFonts w:ascii="Arial" w:hAnsi="Arial Unicode MS"/>
          <w:sz w:val="21"/>
        </w:rPr>
        <w:t xml:space="preserve"> costes de</w:t>
      </w:r>
      <w:r w:rsidR="006215D1">
        <w:rPr>
          <w:rFonts w:ascii="Arial" w:hAnsi="Arial Unicode MS"/>
          <w:sz w:val="21"/>
        </w:rPr>
        <w:t xml:space="preserve"> las materias primas</w:t>
      </w:r>
      <w:r w:rsidR="00D97C30" w:rsidRPr="00F70870">
        <w:rPr>
          <w:rFonts w:ascii="Arial" w:hAnsi="Arial Unicode MS"/>
          <w:sz w:val="21"/>
        </w:rPr>
        <w:t xml:space="preserve"> </w:t>
      </w:r>
      <w:r w:rsidR="00C17A88">
        <w:rPr>
          <w:rFonts w:ascii="Arial" w:hAnsi="Arial Unicode MS"/>
          <w:sz w:val="21"/>
        </w:rPr>
        <w:t xml:space="preserve">y aumentos de precio </w:t>
      </w:r>
      <w:r w:rsidR="00460698">
        <w:rPr>
          <w:rFonts w:ascii="Arial" w:hAnsi="Arial Unicode MS"/>
          <w:sz w:val="21"/>
        </w:rPr>
        <w:t xml:space="preserve">que </w:t>
      </w:r>
      <w:r w:rsidR="00D76F7F">
        <w:rPr>
          <w:rFonts w:ascii="Arial" w:hAnsi="Arial Unicode MS"/>
          <w:sz w:val="21"/>
        </w:rPr>
        <w:t>aten</w:t>
      </w:r>
      <w:r w:rsidR="00D76F7F">
        <w:rPr>
          <w:rFonts w:ascii="Arial" w:hAnsi="Arial Unicode MS"/>
          <w:sz w:val="21"/>
        </w:rPr>
        <w:t>ú</w:t>
      </w:r>
      <w:r w:rsidR="00D76F7F">
        <w:rPr>
          <w:rFonts w:ascii="Arial" w:hAnsi="Arial Unicode MS"/>
          <w:sz w:val="21"/>
        </w:rPr>
        <w:t>an</w:t>
      </w:r>
      <w:r w:rsidR="00D76F7F" w:rsidRPr="00D76F7F">
        <w:rPr>
          <w:rFonts w:ascii="Arial" w:hAnsi="Arial Unicode MS"/>
          <w:sz w:val="21"/>
        </w:rPr>
        <w:t xml:space="preserve"> los efectos </w:t>
      </w:r>
      <w:r w:rsidR="00D76F7F">
        <w:rPr>
          <w:rFonts w:ascii="Arial" w:hAnsi="Arial Unicode MS"/>
          <w:sz w:val="21"/>
        </w:rPr>
        <w:t>desfavorables</w:t>
      </w:r>
      <w:r w:rsidR="00D76F7F" w:rsidRPr="00D76F7F">
        <w:rPr>
          <w:rFonts w:ascii="Arial" w:hAnsi="Arial Unicode MS"/>
          <w:sz w:val="21"/>
        </w:rPr>
        <w:t xml:space="preserve"> de </w:t>
      </w:r>
      <w:r w:rsidR="00D76F7F">
        <w:rPr>
          <w:rFonts w:ascii="Arial" w:hAnsi="Arial Unicode MS"/>
          <w:sz w:val="21"/>
        </w:rPr>
        <w:t xml:space="preserve">algunas </w:t>
      </w:r>
      <w:r w:rsidR="00D76F7F" w:rsidRPr="00D76F7F">
        <w:rPr>
          <w:rFonts w:ascii="Arial" w:hAnsi="Arial Unicode MS"/>
          <w:sz w:val="21"/>
        </w:rPr>
        <w:t>monedas</w:t>
      </w:r>
      <w:r w:rsidR="00D76F7F">
        <w:rPr>
          <w:rFonts w:ascii="Arial" w:hAnsi="Arial Unicode MS"/>
          <w:sz w:val="21"/>
        </w:rPr>
        <w:t>.</w:t>
      </w:r>
    </w:p>
    <w:p w:rsidR="0037695B" w:rsidRDefault="00D76F7F" w:rsidP="00460698">
      <w:pPr>
        <w:pStyle w:val="Body1"/>
        <w:numPr>
          <w:ilvl w:val="1"/>
          <w:numId w:val="37"/>
        </w:numPr>
        <w:spacing w:after="60"/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 xml:space="preserve">El efecto </w:t>
      </w:r>
      <w:r w:rsidR="00267DEA" w:rsidRPr="00F70870">
        <w:rPr>
          <w:rFonts w:ascii="Arial" w:hAnsi="Arial Unicode MS"/>
          <w:sz w:val="21"/>
        </w:rPr>
        <w:t xml:space="preserve">favorable </w:t>
      </w:r>
      <w:r>
        <w:rPr>
          <w:rFonts w:ascii="Arial" w:hAnsi="Arial Unicode MS"/>
          <w:sz w:val="21"/>
        </w:rPr>
        <w:t xml:space="preserve">del mix </w:t>
      </w:r>
      <w:r w:rsidR="00267DEA" w:rsidRPr="00F70870">
        <w:rPr>
          <w:rFonts w:ascii="Arial" w:hAnsi="Arial Unicode MS"/>
          <w:sz w:val="21"/>
        </w:rPr>
        <w:t>(+</w:t>
      </w:r>
      <w:r w:rsidR="00267DEA" w:rsidRPr="00F70870">
        <w:rPr>
          <w:rFonts w:ascii="Arial" w:hAnsi="Arial Unicode MS"/>
          <w:sz w:val="21"/>
        </w:rPr>
        <w:t> </w:t>
      </w:r>
      <w:r w:rsidR="00267DEA" w:rsidRPr="00F70870">
        <w:rPr>
          <w:rFonts w:ascii="Arial" w:hAnsi="Arial Unicode MS"/>
          <w:sz w:val="21"/>
        </w:rPr>
        <w:t>45</w:t>
      </w:r>
      <w:r w:rsidR="00267DEA" w:rsidRPr="00F70870">
        <w:rPr>
          <w:rFonts w:ascii="Arial" w:hAnsi="Arial Unicode MS"/>
          <w:sz w:val="21"/>
        </w:rPr>
        <w:t> </w:t>
      </w:r>
      <w:r w:rsidRPr="00F70870">
        <w:rPr>
          <w:rFonts w:ascii="Arial" w:hAnsi="Arial Unicode MS"/>
          <w:sz w:val="21"/>
        </w:rPr>
        <w:t>millone</w:t>
      </w:r>
      <w:r>
        <w:rPr>
          <w:rFonts w:ascii="Arial" w:hAnsi="Arial Unicode MS"/>
          <w:sz w:val="21"/>
        </w:rPr>
        <w:t>s</w:t>
      </w:r>
      <w:r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de euros</w:t>
      </w:r>
      <w:r w:rsidR="00267DEA" w:rsidRPr="00F70870">
        <w:rPr>
          <w:rFonts w:ascii="Arial" w:hAnsi="Arial Unicode MS"/>
          <w:sz w:val="21"/>
        </w:rPr>
        <w:t xml:space="preserve">) </w:t>
      </w:r>
      <w:r w:rsidR="0037695B">
        <w:rPr>
          <w:rFonts w:ascii="Arial" w:hAnsi="Arial Unicode MS"/>
          <w:sz w:val="21"/>
        </w:rPr>
        <w:t>con el mantenimiento de la estrategia premium y la din</w:t>
      </w:r>
      <w:r w:rsidR="0037695B">
        <w:rPr>
          <w:rFonts w:ascii="Arial" w:hAnsi="Arial Unicode MS"/>
          <w:sz w:val="21"/>
        </w:rPr>
        <w:t>á</w:t>
      </w:r>
      <w:r w:rsidR="0037695B">
        <w:rPr>
          <w:rFonts w:ascii="Arial" w:hAnsi="Arial Unicode MS"/>
          <w:sz w:val="21"/>
        </w:rPr>
        <w:t xml:space="preserve">mica de la marca MICHELIN, que compensa un mix desfavorable de Primeros Equipos/Reemplazo. </w:t>
      </w:r>
    </w:p>
    <w:p w:rsidR="0037695B" w:rsidRDefault="0037695B" w:rsidP="0037695B">
      <w:pPr>
        <w:pStyle w:val="Body1"/>
        <w:spacing w:after="60"/>
        <w:jc w:val="both"/>
        <w:rPr>
          <w:rFonts w:ascii="Arial" w:hAnsi="Arial Unicode MS"/>
          <w:sz w:val="21"/>
        </w:rPr>
      </w:pPr>
    </w:p>
    <w:p w:rsidR="000646AE" w:rsidRPr="00F70870" w:rsidRDefault="0037695B">
      <w:pPr>
        <w:spacing w:after="240" w:line="360" w:lineRule="exact"/>
        <w:outlineLvl w:val="0"/>
        <w:rPr>
          <w:rFonts w:eastAsia="Arial Unicode MS"/>
          <w:b/>
          <w:color w:val="000000"/>
          <w:sz w:val="26"/>
          <w:u w:color="000000"/>
        </w:rPr>
      </w:pPr>
      <w:r>
        <w:rPr>
          <w:rFonts w:eastAsia="Arial Unicode MS" w:hAnsi="Arial Unicode MS"/>
          <w:b/>
          <w:color w:val="000000"/>
          <w:sz w:val="26"/>
          <w:u w:color="000000"/>
        </w:rPr>
        <w:br w:type="column"/>
      </w:r>
      <w:r w:rsidR="000646AE" w:rsidRPr="00F70870">
        <w:rPr>
          <w:rFonts w:eastAsia="Arial Unicode MS" w:hAnsi="Arial Unicode MS"/>
          <w:b/>
          <w:color w:val="000000"/>
          <w:sz w:val="26"/>
          <w:u w:color="000000"/>
        </w:rPr>
        <w:t>Ventas netas por segmentos</w:t>
      </w:r>
    </w:p>
    <w:p w:rsidR="00D97C30" w:rsidRPr="00F70870" w:rsidRDefault="000646AE" w:rsidP="00DF7371">
      <w:pPr>
        <w:tabs>
          <w:tab w:val="left" w:pos="720"/>
        </w:tabs>
        <w:spacing w:before="480"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Turismo y camioneta y distribuci</w:t>
      </w:r>
      <w:r w:rsidRPr="00F70870">
        <w:rPr>
          <w:rFonts w:ascii="Arial" w:eastAsia="Arial Unicode MS" w:hAnsi="Arial"/>
          <w:b/>
          <w:color w:val="000000"/>
          <w:sz w:val="21"/>
          <w:u w:color="000000"/>
        </w:rPr>
        <w:t>ó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n asociada</w:t>
      </w:r>
    </w:p>
    <w:p w:rsidR="00D97C30" w:rsidRPr="00F70870" w:rsidRDefault="00F42EE3" w:rsidP="00DF7371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t>Para el primer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trimestre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de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2014, </w:t>
      </w:r>
      <w:r w:rsidRPr="00590FA8">
        <w:rPr>
          <w:rFonts w:ascii="Arial" w:eastAsia="Arial Unicode MS" w:hAnsi="Arial Unicode MS"/>
          <w:bCs/>
          <w:color w:val="000000"/>
          <w:sz w:val="21"/>
          <w:u w:color="000000"/>
        </w:rPr>
        <w:t>las ventas netas</w:t>
      </w:r>
      <w:r>
        <w:rPr>
          <w:rFonts w:ascii="Arial" w:eastAsia="Arial Unicode MS" w:hAnsi="Arial Unicode MS"/>
          <w:bCs/>
          <w:color w:val="000000"/>
          <w:sz w:val="21"/>
          <w:u w:color="000000"/>
        </w:rPr>
        <w:t xml:space="preserve"> alcanzan los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2</w:t>
      </w:r>
      <w:r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520 </w:t>
      </w:r>
      <w:r w:rsidRPr="00F70870">
        <w:rPr>
          <w:rFonts w:ascii="Arial" w:hAnsi="Arial Unicode MS"/>
          <w:sz w:val="21"/>
        </w:rPr>
        <w:t>millone</w:t>
      </w:r>
      <w:r>
        <w:rPr>
          <w:rFonts w:ascii="Arial" w:hAnsi="Arial Unicode MS"/>
          <w:sz w:val="21"/>
        </w:rPr>
        <w:t>s</w:t>
      </w:r>
      <w:r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de euros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460698">
        <w:rPr>
          <w:rFonts w:ascii="Arial" w:eastAsia="Arial Unicode MS" w:hAnsi="Arial Unicode MS"/>
          <w:color w:val="000000"/>
          <w:sz w:val="21"/>
          <w:u w:color="000000"/>
        </w:rPr>
        <w:t>en comparaci</w:t>
      </w:r>
      <w:r w:rsidR="00460698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460698">
        <w:rPr>
          <w:rFonts w:ascii="Arial" w:eastAsia="Arial Unicode MS" w:hAnsi="Arial Unicode MS"/>
          <w:color w:val="000000"/>
          <w:sz w:val="21"/>
          <w:u w:color="000000"/>
        </w:rPr>
        <w:t>n con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los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2</w:t>
      </w:r>
      <w:r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582 </w:t>
      </w:r>
      <w:r w:rsidRPr="00F70870">
        <w:rPr>
          <w:rFonts w:ascii="Arial" w:hAnsi="Arial Unicode MS"/>
          <w:sz w:val="21"/>
        </w:rPr>
        <w:t>millone</w:t>
      </w:r>
      <w:r>
        <w:rPr>
          <w:rFonts w:ascii="Arial" w:hAnsi="Arial Unicode MS"/>
          <w:sz w:val="21"/>
        </w:rPr>
        <w:t>s</w:t>
      </w:r>
      <w:r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de euros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AA47BF">
        <w:rPr>
          <w:rFonts w:ascii="Arial" w:eastAsia="Arial Unicode MS" w:hAnsi="Arial Unicode MS"/>
          <w:color w:val="000000"/>
          <w:sz w:val="21"/>
          <w:u w:color="000000"/>
        </w:rPr>
        <w:t>registrados en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el mismo periodo de </w:t>
      </w:r>
      <w:r w:rsidR="00D97C30" w:rsidRPr="00F70870">
        <w:rPr>
          <w:rFonts w:ascii="Arial" w:eastAsia="Arial Unicode MS" w:hAnsi="Arial Unicode MS"/>
          <w:color w:val="000000"/>
          <w:sz w:val="21"/>
          <w:u w:color="000000"/>
        </w:rPr>
        <w:t>2013.</w:t>
      </w:r>
    </w:p>
    <w:p w:rsidR="009C6710" w:rsidRPr="00F70870" w:rsidRDefault="00F42EE3" w:rsidP="00460698">
      <w:pPr>
        <w:pStyle w:val="Body1"/>
        <w:numPr>
          <w:ilvl w:val="1"/>
          <w:numId w:val="38"/>
        </w:numPr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>Los vol</w:t>
      </w:r>
      <w:r>
        <w:rPr>
          <w:rFonts w:ascii="Arial" w:hAnsi="Arial Unicode MS"/>
          <w:sz w:val="21"/>
        </w:rPr>
        <w:t>ú</w:t>
      </w:r>
      <w:r>
        <w:rPr>
          <w:rFonts w:ascii="Arial" w:hAnsi="Arial Unicode MS"/>
          <w:sz w:val="21"/>
        </w:rPr>
        <w:t>menes en Turismo Camioneta</w:t>
      </w:r>
      <w:r w:rsidR="009C6710" w:rsidRPr="00F70870">
        <w:rPr>
          <w:rFonts w:ascii="Arial" w:hAnsi="Arial Unicode MS"/>
          <w:sz w:val="21"/>
        </w:rPr>
        <w:t xml:space="preserve">, </w:t>
      </w:r>
      <w:r w:rsidR="00722DEF">
        <w:rPr>
          <w:rFonts w:ascii="Arial" w:hAnsi="Arial Unicode MS"/>
          <w:sz w:val="21"/>
        </w:rPr>
        <w:t>en crecimiento del</w:t>
      </w:r>
      <w:r w:rsidR="009C6710" w:rsidRPr="00F70870">
        <w:rPr>
          <w:rFonts w:ascii="Arial" w:hAnsi="Arial Unicode MS"/>
          <w:sz w:val="21"/>
        </w:rPr>
        <w:t xml:space="preserve"> 2</w:t>
      </w:r>
      <w:r w:rsidR="009C6710" w:rsidRPr="00F70870">
        <w:rPr>
          <w:rFonts w:ascii="Arial" w:hAnsi="Arial Unicode MS"/>
          <w:sz w:val="21"/>
        </w:rPr>
        <w:t> </w:t>
      </w:r>
      <w:r w:rsidR="009C6710" w:rsidRPr="00F70870">
        <w:rPr>
          <w:rFonts w:ascii="Arial" w:hAnsi="Arial Unicode MS"/>
          <w:sz w:val="21"/>
        </w:rPr>
        <w:t xml:space="preserve">% </w:t>
      </w:r>
      <w:r w:rsidR="00722DEF">
        <w:rPr>
          <w:rFonts w:ascii="Arial" w:hAnsi="Arial Unicode MS"/>
          <w:sz w:val="21"/>
        </w:rPr>
        <w:t>a finales de marzo</w:t>
      </w:r>
      <w:r w:rsidR="009C6710" w:rsidRPr="00F70870">
        <w:rPr>
          <w:rFonts w:ascii="Arial" w:hAnsi="Arial Unicode MS"/>
          <w:sz w:val="21"/>
        </w:rPr>
        <w:t xml:space="preserve">, </w:t>
      </w:r>
      <w:r w:rsidR="00722DEF">
        <w:rPr>
          <w:rFonts w:ascii="Arial" w:hAnsi="Arial Unicode MS"/>
          <w:sz w:val="21"/>
        </w:rPr>
        <w:t>han estado marcados por el rendimiento de la marca MICHELIN en l</w:t>
      </w:r>
      <w:r w:rsidR="00722DEF">
        <w:rPr>
          <w:rFonts w:ascii="Arial" w:hAnsi="Arial Unicode MS"/>
          <w:sz w:val="21"/>
        </w:rPr>
        <w:t>í</w:t>
      </w:r>
      <w:r w:rsidR="00722DEF">
        <w:rPr>
          <w:rFonts w:ascii="Arial" w:hAnsi="Arial Unicode MS"/>
          <w:sz w:val="21"/>
        </w:rPr>
        <w:t xml:space="preserve">nea con el mercado y por un retroceso de las marcas </w:t>
      </w:r>
      <w:r w:rsidR="009C6710" w:rsidRPr="00F70870">
        <w:rPr>
          <w:rFonts w:ascii="Arial" w:hAnsi="Arial Unicode MS"/>
          <w:sz w:val="21"/>
        </w:rPr>
        <w:t xml:space="preserve">BFGoodrich </w:t>
      </w:r>
      <w:r w:rsidR="00722DEF">
        <w:rPr>
          <w:rFonts w:ascii="Arial" w:hAnsi="Arial Unicode MS"/>
          <w:sz w:val="21"/>
        </w:rPr>
        <w:t xml:space="preserve">y </w:t>
      </w:r>
      <w:r w:rsidR="009C6710" w:rsidRPr="00F70870">
        <w:rPr>
          <w:rFonts w:ascii="Arial" w:hAnsi="Arial Unicode MS"/>
          <w:sz w:val="21"/>
        </w:rPr>
        <w:t>KLEBER</w:t>
      </w:r>
      <w:r w:rsidR="00722DEF">
        <w:rPr>
          <w:rFonts w:ascii="Arial" w:hAnsi="Arial Unicode MS"/>
          <w:sz w:val="21"/>
        </w:rPr>
        <w:t>, relacionado</w:t>
      </w:r>
      <w:r w:rsidR="009C6710" w:rsidRPr="00F70870">
        <w:rPr>
          <w:rFonts w:ascii="Arial" w:hAnsi="Arial Unicode MS"/>
          <w:sz w:val="21"/>
        </w:rPr>
        <w:t xml:space="preserve"> </w:t>
      </w:r>
      <w:r w:rsidR="00722DEF">
        <w:rPr>
          <w:rFonts w:ascii="Arial" w:hAnsi="Arial Unicode MS"/>
          <w:sz w:val="21"/>
        </w:rPr>
        <w:t xml:space="preserve">con </w:t>
      </w:r>
      <w:r w:rsidR="002B0E5E">
        <w:rPr>
          <w:rFonts w:ascii="Arial" w:hAnsi="Arial Unicode MS"/>
          <w:sz w:val="21"/>
        </w:rPr>
        <w:t>el</w:t>
      </w:r>
      <w:r w:rsidR="00722DEF">
        <w:rPr>
          <w:rFonts w:ascii="Arial" w:hAnsi="Arial Unicode MS"/>
          <w:sz w:val="21"/>
        </w:rPr>
        <w:t xml:space="preserve"> competitivo </w:t>
      </w:r>
      <w:r w:rsidR="001B339A">
        <w:rPr>
          <w:rFonts w:ascii="Arial" w:hAnsi="Arial Unicode MS"/>
          <w:sz w:val="21"/>
        </w:rPr>
        <w:t xml:space="preserve">contexto </w:t>
      </w:r>
      <w:r w:rsidR="00722DEF">
        <w:rPr>
          <w:rFonts w:ascii="Arial" w:hAnsi="Arial Unicode MS"/>
          <w:sz w:val="21"/>
        </w:rPr>
        <w:t>de precios</w:t>
      </w:r>
      <w:r w:rsidR="00460698">
        <w:rPr>
          <w:rFonts w:ascii="Arial" w:hAnsi="Arial Unicode MS"/>
          <w:sz w:val="21"/>
        </w:rPr>
        <w:t xml:space="preserve">. </w:t>
      </w:r>
      <w:r w:rsidR="00F54A4F">
        <w:rPr>
          <w:rFonts w:ascii="Arial" w:hAnsi="Arial Unicode MS"/>
          <w:sz w:val="21"/>
        </w:rPr>
        <w:br/>
      </w:r>
    </w:p>
    <w:p w:rsidR="009C6710" w:rsidRPr="00460698" w:rsidRDefault="001B339A" w:rsidP="00460698">
      <w:pPr>
        <w:pStyle w:val="Body1"/>
        <w:numPr>
          <w:ilvl w:val="1"/>
          <w:numId w:val="38"/>
        </w:numPr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>La evoluci</w:t>
      </w:r>
      <w:r>
        <w:rPr>
          <w:rFonts w:ascii="Arial" w:hAnsi="Arial Unicode MS"/>
          <w:sz w:val="21"/>
        </w:rPr>
        <w:t>ó</w:t>
      </w:r>
      <w:r>
        <w:rPr>
          <w:rFonts w:ascii="Arial" w:hAnsi="Arial Unicode MS"/>
          <w:sz w:val="21"/>
        </w:rPr>
        <w:t>n de los precios reflejan la aplicaci</w:t>
      </w:r>
      <w:r>
        <w:rPr>
          <w:rFonts w:ascii="Arial" w:hAnsi="Arial Unicode MS"/>
          <w:sz w:val="21"/>
        </w:rPr>
        <w:t>ó</w:t>
      </w:r>
      <w:r>
        <w:rPr>
          <w:rFonts w:ascii="Arial" w:hAnsi="Arial Unicode MS"/>
          <w:sz w:val="21"/>
        </w:rPr>
        <w:t>n de las cl</w:t>
      </w:r>
      <w:r>
        <w:rPr>
          <w:rFonts w:ascii="Arial" w:hAnsi="Arial Unicode MS"/>
          <w:sz w:val="21"/>
        </w:rPr>
        <w:t>á</w:t>
      </w:r>
      <w:r>
        <w:rPr>
          <w:rFonts w:ascii="Arial" w:hAnsi="Arial Unicode MS"/>
          <w:sz w:val="21"/>
        </w:rPr>
        <w:t>usulas</w:t>
      </w:r>
      <w:r w:rsidR="00DF7371">
        <w:rPr>
          <w:rFonts w:ascii="Arial" w:hAnsi="Arial Unicode MS"/>
          <w:sz w:val="21"/>
        </w:rPr>
        <w:t xml:space="preserve"> de</w:t>
      </w:r>
      <w:r>
        <w:rPr>
          <w:rFonts w:ascii="Arial" w:hAnsi="Arial Unicode MS"/>
          <w:sz w:val="21"/>
        </w:rPr>
        <w:t xml:space="preserve"> las materias prim</w:t>
      </w:r>
      <w:r w:rsidR="00796BFA">
        <w:rPr>
          <w:rFonts w:ascii="Arial" w:hAnsi="Arial Unicode MS"/>
          <w:sz w:val="21"/>
        </w:rPr>
        <w:t>as</w:t>
      </w:r>
      <w:r>
        <w:rPr>
          <w:rFonts w:ascii="Arial" w:hAnsi="Arial Unicode MS"/>
          <w:sz w:val="21"/>
        </w:rPr>
        <w:t xml:space="preserve"> en Primeros Equipos,</w:t>
      </w:r>
      <w:r w:rsidR="007B3726">
        <w:rPr>
          <w:rFonts w:ascii="Arial" w:hAnsi="Arial Unicode MS"/>
          <w:sz w:val="21"/>
        </w:rPr>
        <w:t xml:space="preserve"> algunos reposicionamientos en Reemplazo en zonas maduras y el aumento de las tarifas para compensar en parte el efecto de las paridades, especialmente en Am</w:t>
      </w:r>
      <w:r w:rsidR="007B3726">
        <w:rPr>
          <w:rFonts w:ascii="Arial" w:hAnsi="Arial Unicode MS"/>
          <w:sz w:val="21"/>
        </w:rPr>
        <w:t>é</w:t>
      </w:r>
      <w:r w:rsidR="007B3726">
        <w:rPr>
          <w:rFonts w:ascii="Arial" w:hAnsi="Arial Unicode MS"/>
          <w:sz w:val="21"/>
        </w:rPr>
        <w:t>rica del Sur.</w:t>
      </w:r>
      <w:r w:rsidR="00F54A4F">
        <w:rPr>
          <w:rFonts w:ascii="Arial" w:hAnsi="Arial Unicode MS"/>
          <w:sz w:val="21"/>
        </w:rPr>
        <w:br/>
      </w:r>
    </w:p>
    <w:p w:rsidR="009C6710" w:rsidRPr="00F70870" w:rsidRDefault="007B3726" w:rsidP="00460698">
      <w:pPr>
        <w:pStyle w:val="Body1"/>
        <w:numPr>
          <w:ilvl w:val="1"/>
          <w:numId w:val="38"/>
        </w:numPr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>El efecto del mix contin</w:t>
      </w:r>
      <w:r>
        <w:rPr>
          <w:rFonts w:ascii="Arial" w:hAnsi="Arial Unicode MS"/>
          <w:sz w:val="21"/>
        </w:rPr>
        <w:t>ú</w:t>
      </w:r>
      <w:r>
        <w:rPr>
          <w:rFonts w:ascii="Arial" w:hAnsi="Arial Unicode MS"/>
          <w:sz w:val="21"/>
        </w:rPr>
        <w:t xml:space="preserve">a favorable, sostenido por el rendimiento del Grupo </w:t>
      </w:r>
      <w:r w:rsidR="00CA2535">
        <w:rPr>
          <w:rFonts w:ascii="Arial" w:hAnsi="Arial Unicode MS"/>
          <w:sz w:val="21"/>
        </w:rPr>
        <w:t>en el segmento de 17 pulgadas y superiores</w:t>
      </w:r>
      <w:r w:rsidR="00460698">
        <w:rPr>
          <w:rFonts w:ascii="Arial" w:hAnsi="Arial Unicode MS"/>
          <w:sz w:val="21"/>
        </w:rPr>
        <w:t>.</w:t>
      </w:r>
      <w:r w:rsidR="00F54A4F">
        <w:rPr>
          <w:rFonts w:ascii="Arial" w:hAnsi="Arial Unicode MS"/>
          <w:sz w:val="21"/>
        </w:rPr>
        <w:br/>
      </w:r>
    </w:p>
    <w:p w:rsidR="009C6710" w:rsidRPr="00F70870" w:rsidRDefault="00CA2535" w:rsidP="00460698">
      <w:pPr>
        <w:pStyle w:val="Body1"/>
        <w:numPr>
          <w:ilvl w:val="1"/>
          <w:numId w:val="38"/>
        </w:numPr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 xml:space="preserve">El efecto </w:t>
      </w:r>
      <w:r w:rsidR="009C6710" w:rsidRPr="00F70870">
        <w:rPr>
          <w:rFonts w:ascii="Arial" w:hAnsi="Arial Unicode MS"/>
          <w:sz w:val="21"/>
        </w:rPr>
        <w:t>d</w:t>
      </w:r>
      <w:r>
        <w:rPr>
          <w:rFonts w:ascii="Arial" w:hAnsi="Arial Unicode MS"/>
          <w:sz w:val="21"/>
        </w:rPr>
        <w:t>es</w:t>
      </w:r>
      <w:r w:rsidR="009C6710" w:rsidRPr="00F70870">
        <w:rPr>
          <w:rFonts w:ascii="Arial" w:hAnsi="Arial Unicode MS"/>
          <w:sz w:val="21"/>
        </w:rPr>
        <w:t xml:space="preserve">favorable </w:t>
      </w:r>
      <w:r>
        <w:rPr>
          <w:rFonts w:ascii="Arial" w:hAnsi="Arial Unicode MS"/>
          <w:sz w:val="21"/>
        </w:rPr>
        <w:t>de las paridades se sit</w:t>
      </w:r>
      <w:r>
        <w:rPr>
          <w:rFonts w:ascii="Arial" w:hAnsi="Arial Unicode MS"/>
          <w:sz w:val="21"/>
        </w:rPr>
        <w:t>ú</w:t>
      </w:r>
      <w:r>
        <w:rPr>
          <w:rFonts w:ascii="Arial" w:hAnsi="Arial Unicode MS"/>
          <w:sz w:val="21"/>
        </w:rPr>
        <w:t>a en un</w:t>
      </w:r>
      <w:r w:rsidR="009C6710" w:rsidRPr="00F70870">
        <w:rPr>
          <w:rFonts w:ascii="Arial" w:hAnsi="Arial Unicode MS"/>
          <w:sz w:val="21"/>
        </w:rPr>
        <w:t xml:space="preserve"> </w:t>
      </w:r>
      <w:r w:rsidR="00F54A4F">
        <w:rPr>
          <w:rFonts w:ascii="Arial" w:hAnsi="Arial Unicode MS"/>
          <w:sz w:val="21"/>
        </w:rPr>
        <w:t>-</w:t>
      </w:r>
      <w:r w:rsidR="009C6710" w:rsidRPr="00F70870">
        <w:rPr>
          <w:rFonts w:ascii="Arial" w:hAnsi="Arial Unicode MS"/>
          <w:sz w:val="21"/>
        </w:rPr>
        <w:t> </w:t>
      </w:r>
      <w:r w:rsidR="009C6710" w:rsidRPr="00F70870">
        <w:rPr>
          <w:rFonts w:ascii="Arial" w:hAnsi="Arial Unicode MS"/>
          <w:sz w:val="21"/>
        </w:rPr>
        <w:t>4</w:t>
      </w:r>
      <w:r w:rsidR="009C6710" w:rsidRPr="00F70870">
        <w:rPr>
          <w:rFonts w:ascii="Arial" w:hAnsi="Arial Unicode MS"/>
          <w:sz w:val="21"/>
        </w:rPr>
        <w:t> </w:t>
      </w:r>
      <w:r w:rsidR="009C6710" w:rsidRPr="00F70870">
        <w:rPr>
          <w:rFonts w:ascii="Arial" w:hAnsi="Arial Unicode MS"/>
          <w:sz w:val="21"/>
        </w:rPr>
        <w:t>%.</w:t>
      </w:r>
    </w:p>
    <w:p w:rsidR="000646AE" w:rsidRPr="002F3266" w:rsidRDefault="000646AE" w:rsidP="00DF7371">
      <w:pPr>
        <w:tabs>
          <w:tab w:val="left" w:pos="720"/>
        </w:tabs>
        <w:spacing w:before="480"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 w:rsidRPr="002F3266">
        <w:rPr>
          <w:rFonts w:ascii="Arial" w:eastAsia="Arial Unicode MS" w:hAnsi="Arial"/>
          <w:b/>
          <w:color w:val="000000"/>
          <w:sz w:val="21"/>
          <w:u w:color="000000"/>
        </w:rPr>
        <w:t>Camión y distribución asociada</w:t>
      </w:r>
    </w:p>
    <w:p w:rsidR="002A77D9" w:rsidRPr="00F70870" w:rsidRDefault="002A77D9" w:rsidP="00DF7371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color w:val="000000"/>
          <w:sz w:val="21"/>
          <w:u w:color="000000"/>
        </w:rPr>
        <w:t>A fin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 xml:space="preserve">ales de marzo de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2014, 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 xml:space="preserve">las ventas netas se establecen en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1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>.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462 </w:t>
      </w:r>
      <w:r w:rsidR="001D3420" w:rsidRPr="00F70870">
        <w:rPr>
          <w:rFonts w:ascii="Arial" w:hAnsi="Arial Unicode MS"/>
          <w:sz w:val="21"/>
        </w:rPr>
        <w:t>millone</w:t>
      </w:r>
      <w:r w:rsidR="001D3420">
        <w:rPr>
          <w:rFonts w:ascii="Arial" w:hAnsi="Arial Unicode MS"/>
          <w:sz w:val="21"/>
        </w:rPr>
        <w:t>s</w:t>
      </w:r>
      <w:r w:rsidR="001D3420" w:rsidRPr="00F70870">
        <w:rPr>
          <w:rFonts w:ascii="Arial" w:hAnsi="Arial Unicode MS"/>
          <w:sz w:val="21"/>
        </w:rPr>
        <w:t xml:space="preserve"> </w:t>
      </w:r>
      <w:r w:rsidR="001D3420">
        <w:rPr>
          <w:rFonts w:ascii="Arial" w:hAnsi="Arial Unicode MS"/>
          <w:sz w:val="21"/>
        </w:rPr>
        <w:t>de euros</w:t>
      </w:r>
      <w:r w:rsidR="001D3420" w:rsidRPr="00F70870">
        <w:rPr>
          <w:rFonts w:ascii="Arial" w:eastAsia="Arial Unicode MS" w:hAnsi="Arial Unicode MS"/>
          <w:color w:val="000000"/>
          <w:sz w:val="21"/>
          <w:u w:color="000000"/>
        </w:rPr>
        <w:t>,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DF7371">
        <w:rPr>
          <w:rFonts w:ascii="Arial" w:eastAsia="Arial Unicode MS" w:hAnsi="Arial Unicode MS"/>
          <w:color w:val="000000"/>
          <w:sz w:val="21"/>
          <w:u w:color="000000"/>
        </w:rPr>
        <w:t>con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 xml:space="preserve"> un retroceso del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 1,0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 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>en comparaci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1D3420">
        <w:rPr>
          <w:rFonts w:ascii="Arial" w:eastAsia="Arial Unicode MS" w:hAnsi="Arial Unicode MS"/>
          <w:color w:val="000000"/>
          <w:sz w:val="21"/>
          <w:u w:color="000000"/>
        </w:rPr>
        <w:t xml:space="preserve">n con los tres primeros meses de 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2013.</w:t>
      </w:r>
    </w:p>
    <w:p w:rsidR="009C6710" w:rsidRPr="00DF7371" w:rsidRDefault="009C6710" w:rsidP="00DF7371">
      <w:pPr>
        <w:pStyle w:val="Body1"/>
        <w:numPr>
          <w:ilvl w:val="1"/>
          <w:numId w:val="39"/>
        </w:numPr>
        <w:jc w:val="both"/>
        <w:rPr>
          <w:rFonts w:ascii="Arial" w:hAnsi="Arial Unicode MS"/>
          <w:sz w:val="21"/>
        </w:rPr>
      </w:pPr>
      <w:r w:rsidRPr="00F70870">
        <w:rPr>
          <w:rFonts w:ascii="Arial" w:hAnsi="Arial Unicode MS"/>
          <w:sz w:val="21"/>
        </w:rPr>
        <w:t>L</w:t>
      </w:r>
      <w:r w:rsidR="001D3420">
        <w:rPr>
          <w:rFonts w:ascii="Arial" w:hAnsi="Arial Unicode MS"/>
          <w:sz w:val="21"/>
        </w:rPr>
        <w:t>os vol</w:t>
      </w:r>
      <w:r w:rsidR="001D3420">
        <w:rPr>
          <w:rFonts w:ascii="Arial" w:hAnsi="Arial Unicode MS"/>
          <w:sz w:val="21"/>
        </w:rPr>
        <w:t>ú</w:t>
      </w:r>
      <w:r w:rsidR="001D3420">
        <w:rPr>
          <w:rFonts w:ascii="Arial" w:hAnsi="Arial Unicode MS"/>
          <w:sz w:val="21"/>
        </w:rPr>
        <w:t xml:space="preserve">menes vendidos aumentan un </w:t>
      </w:r>
      <w:r w:rsidRPr="00F70870">
        <w:rPr>
          <w:rFonts w:ascii="Arial" w:hAnsi="Arial Unicode MS"/>
          <w:sz w:val="21"/>
        </w:rPr>
        <w:t>8</w:t>
      </w:r>
      <w:r w:rsidRPr="00F70870">
        <w:rPr>
          <w:rFonts w:ascii="Arial" w:hAnsi="Arial Unicode MS"/>
          <w:sz w:val="21"/>
        </w:rPr>
        <w:t> </w:t>
      </w:r>
      <w:r w:rsidRPr="00F70870">
        <w:rPr>
          <w:rFonts w:ascii="Arial" w:hAnsi="Arial Unicode MS"/>
          <w:sz w:val="21"/>
        </w:rPr>
        <w:t xml:space="preserve">% </w:t>
      </w:r>
      <w:r w:rsidR="001D3420">
        <w:rPr>
          <w:rFonts w:ascii="Arial" w:hAnsi="Arial Unicode MS"/>
          <w:sz w:val="21"/>
        </w:rPr>
        <w:t>en los tres meses, reflejando una</w:t>
      </w:r>
      <w:r w:rsidR="00EC4672">
        <w:rPr>
          <w:rFonts w:ascii="Arial" w:hAnsi="Arial Unicode MS"/>
          <w:sz w:val="21"/>
        </w:rPr>
        <w:t xml:space="preserve"> buena captaci</w:t>
      </w:r>
      <w:r w:rsidR="00EC4672">
        <w:rPr>
          <w:rFonts w:ascii="Arial" w:hAnsi="Arial Unicode MS"/>
          <w:sz w:val="21"/>
        </w:rPr>
        <w:t>ó</w:t>
      </w:r>
      <w:r w:rsidR="00EC4672">
        <w:rPr>
          <w:rFonts w:ascii="Arial" w:hAnsi="Arial Unicode MS"/>
          <w:sz w:val="21"/>
        </w:rPr>
        <w:t xml:space="preserve">n del crecimiento </w:t>
      </w:r>
      <w:r w:rsidR="00DF7371">
        <w:rPr>
          <w:rFonts w:ascii="Arial" w:hAnsi="Arial Unicode MS"/>
          <w:sz w:val="21"/>
        </w:rPr>
        <w:t>en</w:t>
      </w:r>
      <w:r w:rsidR="00EC4672">
        <w:rPr>
          <w:rFonts w:ascii="Arial" w:hAnsi="Arial Unicode MS"/>
          <w:sz w:val="21"/>
        </w:rPr>
        <w:t xml:space="preserve"> los mercados mejor orientados.</w:t>
      </w:r>
      <w:r w:rsidR="00F54A4F">
        <w:rPr>
          <w:rFonts w:ascii="Arial" w:hAnsi="Arial Unicode MS"/>
          <w:sz w:val="21"/>
        </w:rPr>
        <w:br/>
      </w:r>
    </w:p>
    <w:p w:rsidR="009C6710" w:rsidRPr="000447E8" w:rsidRDefault="009C6710" w:rsidP="00DF7371">
      <w:pPr>
        <w:pStyle w:val="Body1"/>
        <w:numPr>
          <w:ilvl w:val="1"/>
          <w:numId w:val="39"/>
        </w:numPr>
        <w:jc w:val="both"/>
        <w:rPr>
          <w:rFonts w:ascii="Arial" w:hAnsi="Arial Unicode MS"/>
          <w:sz w:val="21"/>
        </w:rPr>
      </w:pPr>
      <w:r w:rsidRPr="000447E8">
        <w:rPr>
          <w:rFonts w:ascii="Arial" w:hAnsi="Arial Unicode MS"/>
          <w:sz w:val="21"/>
        </w:rPr>
        <w:t>L</w:t>
      </w:r>
      <w:r w:rsidR="00EC4672" w:rsidRPr="000447E8">
        <w:rPr>
          <w:rFonts w:ascii="Arial" w:hAnsi="Arial Unicode MS"/>
          <w:sz w:val="21"/>
        </w:rPr>
        <w:t>a evoluci</w:t>
      </w:r>
      <w:r w:rsidR="00EC4672" w:rsidRPr="000447E8">
        <w:rPr>
          <w:rFonts w:ascii="Arial" w:hAnsi="Arial Unicode MS"/>
          <w:sz w:val="21"/>
        </w:rPr>
        <w:t>ó</w:t>
      </w:r>
      <w:r w:rsidR="00EC4672" w:rsidRPr="000447E8">
        <w:rPr>
          <w:rFonts w:ascii="Arial" w:hAnsi="Arial Unicode MS"/>
          <w:sz w:val="21"/>
        </w:rPr>
        <w:t>n de los precios refleja los ajustes relacionados con las cl</w:t>
      </w:r>
      <w:r w:rsidR="00EC4672" w:rsidRPr="000447E8">
        <w:rPr>
          <w:rFonts w:ascii="Arial" w:hAnsi="Arial Unicode MS"/>
          <w:sz w:val="21"/>
        </w:rPr>
        <w:t>á</w:t>
      </w:r>
      <w:r w:rsidR="00EC4672" w:rsidRPr="000447E8">
        <w:rPr>
          <w:rFonts w:ascii="Arial" w:hAnsi="Arial Unicode MS"/>
          <w:sz w:val="21"/>
        </w:rPr>
        <w:t>usulas de indexaci</w:t>
      </w:r>
      <w:r w:rsidR="00EC4672" w:rsidRPr="000447E8">
        <w:rPr>
          <w:rFonts w:ascii="Arial" w:hAnsi="Arial Unicode MS"/>
          <w:sz w:val="21"/>
        </w:rPr>
        <w:t>ó</w:t>
      </w:r>
      <w:r w:rsidR="00EC4672" w:rsidRPr="000447E8">
        <w:rPr>
          <w:rFonts w:ascii="Arial" w:hAnsi="Arial Unicode MS"/>
          <w:sz w:val="21"/>
        </w:rPr>
        <w:t>n de las materias primas, as</w:t>
      </w:r>
      <w:r w:rsidR="00EC4672" w:rsidRPr="000447E8">
        <w:rPr>
          <w:rFonts w:ascii="Arial" w:hAnsi="Arial Unicode MS"/>
          <w:sz w:val="21"/>
        </w:rPr>
        <w:t>í</w:t>
      </w:r>
      <w:r w:rsidR="00EC4672" w:rsidRPr="000447E8">
        <w:rPr>
          <w:rFonts w:ascii="Arial" w:hAnsi="Arial Unicode MS"/>
          <w:sz w:val="21"/>
        </w:rPr>
        <w:t xml:space="preserve"> como los aumentos de precios en ciertos mercados para atenuar el efecto desfavorable de las paridades monetarias</w:t>
      </w:r>
      <w:r w:rsidR="000447E8">
        <w:rPr>
          <w:rFonts w:ascii="Arial" w:hAnsi="Arial Unicode MS"/>
          <w:sz w:val="21"/>
        </w:rPr>
        <w:t xml:space="preserve"> (</w:t>
      </w:r>
      <w:r w:rsidRPr="000447E8">
        <w:rPr>
          <w:rFonts w:ascii="Arial" w:hAnsi="Arial Unicode MS"/>
          <w:sz w:val="21"/>
        </w:rPr>
        <w:t>-</w:t>
      </w:r>
      <w:r w:rsidRPr="000447E8">
        <w:rPr>
          <w:rFonts w:ascii="Arial" w:hAnsi="Arial Unicode MS"/>
          <w:sz w:val="21"/>
        </w:rPr>
        <w:t> </w:t>
      </w:r>
      <w:r w:rsidRPr="000447E8">
        <w:rPr>
          <w:rFonts w:ascii="Arial" w:hAnsi="Arial Unicode MS"/>
          <w:sz w:val="21"/>
        </w:rPr>
        <w:t>6</w:t>
      </w:r>
      <w:r w:rsidRPr="000447E8">
        <w:rPr>
          <w:rFonts w:ascii="Arial" w:hAnsi="Arial Unicode MS"/>
          <w:sz w:val="21"/>
        </w:rPr>
        <w:t> </w:t>
      </w:r>
      <w:r w:rsidR="00DF7371">
        <w:rPr>
          <w:rFonts w:ascii="Arial" w:hAnsi="Arial Unicode MS"/>
          <w:sz w:val="21"/>
        </w:rPr>
        <w:t>%).</w:t>
      </w:r>
      <w:r w:rsidR="00F54A4F">
        <w:rPr>
          <w:rFonts w:ascii="Arial" w:hAnsi="Arial Unicode MS"/>
          <w:sz w:val="21"/>
        </w:rPr>
        <w:br/>
      </w:r>
    </w:p>
    <w:p w:rsidR="000447E8" w:rsidRDefault="000447E8" w:rsidP="00DF7371">
      <w:pPr>
        <w:pStyle w:val="Body1"/>
        <w:numPr>
          <w:ilvl w:val="1"/>
          <w:numId w:val="39"/>
        </w:numPr>
        <w:jc w:val="both"/>
        <w:rPr>
          <w:rFonts w:ascii="Arial" w:hAnsi="Arial Unicode MS"/>
          <w:sz w:val="21"/>
        </w:rPr>
      </w:pPr>
      <w:r>
        <w:rPr>
          <w:rFonts w:ascii="Arial" w:hAnsi="Arial Unicode MS"/>
          <w:sz w:val="21"/>
        </w:rPr>
        <w:t>El mix</w:t>
      </w:r>
      <w:r w:rsidR="009C6710"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Primeros Equipos/Reemplazo es desfavorable debido al crecimiento m</w:t>
      </w:r>
      <w:r>
        <w:rPr>
          <w:rFonts w:ascii="Arial" w:hAnsi="Arial Unicode MS"/>
          <w:sz w:val="21"/>
        </w:rPr>
        <w:t>á</w:t>
      </w:r>
      <w:r>
        <w:rPr>
          <w:rFonts w:ascii="Arial" w:hAnsi="Arial Unicode MS"/>
          <w:sz w:val="21"/>
        </w:rPr>
        <w:t>s sostenido en Primeros Equipos, especialmente en Am</w:t>
      </w:r>
      <w:r>
        <w:rPr>
          <w:rFonts w:ascii="Arial" w:hAnsi="Arial Unicode MS"/>
          <w:sz w:val="21"/>
        </w:rPr>
        <w:t>é</w:t>
      </w:r>
      <w:r>
        <w:rPr>
          <w:rFonts w:ascii="Arial" w:hAnsi="Arial Unicode MS"/>
          <w:sz w:val="21"/>
        </w:rPr>
        <w:t>rica del Norte.</w:t>
      </w:r>
    </w:p>
    <w:p w:rsidR="000646AE" w:rsidRPr="00F70870" w:rsidRDefault="000646AE" w:rsidP="00DF7371">
      <w:pPr>
        <w:tabs>
          <w:tab w:val="left" w:pos="720"/>
        </w:tabs>
        <w:spacing w:before="480"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6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Neum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á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ticos de especialidades</w:t>
      </w:r>
    </w:p>
    <w:p w:rsidR="00267DEA" w:rsidRPr="00F70870" w:rsidRDefault="005E57BA" w:rsidP="00DF7371">
      <w:pPr>
        <w:spacing w:after="24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>
        <w:rPr>
          <w:rFonts w:ascii="Arial" w:eastAsia="Arial Unicode MS" w:hAnsi="Arial Unicode MS"/>
          <w:color w:val="000000"/>
          <w:sz w:val="21"/>
          <w:u w:color="000000"/>
        </w:rPr>
        <w:t>En los tres primeros meses del a</w:t>
      </w:r>
      <w:r>
        <w:rPr>
          <w:rFonts w:ascii="Arial" w:eastAsia="Arial Unicode MS" w:hAnsi="Arial Unicode MS"/>
          <w:color w:val="000000"/>
          <w:sz w:val="21"/>
          <w:u w:color="000000"/>
        </w:rPr>
        <w:t>ñ</w:t>
      </w:r>
      <w:r>
        <w:rPr>
          <w:rFonts w:ascii="Arial" w:eastAsia="Arial Unicode MS" w:hAnsi="Arial Unicode MS"/>
          <w:color w:val="000000"/>
          <w:sz w:val="21"/>
          <w:u w:color="000000"/>
        </w:rPr>
        <w:t>o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, </w:t>
      </w:r>
      <w:r w:rsidR="00DF7371">
        <w:rPr>
          <w:rFonts w:ascii="Arial" w:eastAsia="Arial Unicode MS" w:hAnsi="Arial Unicode MS"/>
          <w:color w:val="000000"/>
          <w:sz w:val="21"/>
          <w:u w:color="000000"/>
        </w:rPr>
        <w:t>las ventas netas de la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Actividad de Especialidades se elevan a 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775 </w:t>
      </w:r>
      <w:r w:rsidRPr="00F70870">
        <w:rPr>
          <w:rFonts w:ascii="Arial" w:hAnsi="Arial Unicode MS"/>
          <w:sz w:val="21"/>
        </w:rPr>
        <w:t>millone</w:t>
      </w:r>
      <w:r>
        <w:rPr>
          <w:rFonts w:ascii="Arial" w:hAnsi="Arial Unicode MS"/>
          <w:sz w:val="21"/>
        </w:rPr>
        <w:t>s</w:t>
      </w:r>
      <w:r w:rsidRPr="00F70870">
        <w:rPr>
          <w:rFonts w:ascii="Arial" w:hAnsi="Arial Unicode MS"/>
          <w:sz w:val="21"/>
        </w:rPr>
        <w:t xml:space="preserve"> </w:t>
      </w:r>
      <w:r>
        <w:rPr>
          <w:rFonts w:ascii="Arial" w:hAnsi="Arial Unicode MS"/>
          <w:sz w:val="21"/>
        </w:rPr>
        <w:t>de euros</w:t>
      </w:r>
      <w:r w:rsidRPr="00F70870">
        <w:rPr>
          <w:rFonts w:ascii="Arial" w:eastAsia="Arial Unicode MS" w:hAnsi="Arial Unicode MS"/>
          <w:color w:val="000000"/>
          <w:sz w:val="21"/>
          <w:u w:color="000000"/>
        </w:rPr>
        <w:t>,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 lo que representa una disminuci</w:t>
      </w:r>
      <w:r>
        <w:rPr>
          <w:rFonts w:ascii="Arial" w:eastAsia="Arial Unicode MS" w:hAnsi="Arial Unicode MS"/>
          <w:color w:val="000000"/>
          <w:sz w:val="21"/>
          <w:u w:color="000000"/>
        </w:rPr>
        <w:t>ó</w:t>
      </w:r>
      <w:r>
        <w:rPr>
          <w:rFonts w:ascii="Arial" w:eastAsia="Arial Unicode MS" w:hAnsi="Arial Unicode MS"/>
          <w:color w:val="000000"/>
          <w:sz w:val="21"/>
          <w:u w:color="000000"/>
        </w:rPr>
        <w:t>n del 5,2 % en comparaci</w:t>
      </w:r>
      <w:r>
        <w:rPr>
          <w:rFonts w:ascii="Arial" w:eastAsia="Arial Unicode MS" w:hAnsi="Arial Unicode MS"/>
          <w:color w:val="000000"/>
          <w:sz w:val="21"/>
          <w:u w:color="000000"/>
        </w:rPr>
        <w:t>ó</w:t>
      </w:r>
      <w:r>
        <w:rPr>
          <w:rFonts w:ascii="Arial" w:eastAsia="Arial Unicode MS" w:hAnsi="Arial Unicode MS"/>
          <w:color w:val="000000"/>
          <w:sz w:val="21"/>
          <w:u w:color="000000"/>
        </w:rPr>
        <w:t>n con el primer trimestre de 2013. Esta ca</w:t>
      </w:r>
      <w:r>
        <w:rPr>
          <w:rFonts w:ascii="Arial" w:eastAsia="Arial Unicode MS" w:hAnsi="Arial Unicode MS"/>
          <w:color w:val="000000"/>
          <w:sz w:val="21"/>
          <w:u w:color="000000"/>
        </w:rPr>
        <w:t>í</w:t>
      </w:r>
      <w:r>
        <w:rPr>
          <w:rFonts w:ascii="Arial" w:eastAsia="Arial Unicode MS" w:hAnsi="Arial Unicode MS"/>
          <w:color w:val="000000"/>
          <w:sz w:val="21"/>
          <w:u w:color="000000"/>
        </w:rPr>
        <w:t>da c</w:t>
      </w:r>
      <w:r w:rsidR="00DF7371">
        <w:rPr>
          <w:rFonts w:ascii="Arial" w:eastAsia="Arial Unicode MS" w:hAnsi="Arial Unicode MS"/>
          <w:color w:val="000000"/>
          <w:sz w:val="21"/>
          <w:u w:color="000000"/>
        </w:rPr>
        <w:t>ombina los efectos de los ajuste</w:t>
      </w:r>
      <w:r>
        <w:rPr>
          <w:rFonts w:ascii="Arial" w:eastAsia="Arial Unicode MS" w:hAnsi="Arial Unicode MS"/>
          <w:color w:val="000000"/>
          <w:sz w:val="21"/>
          <w:u w:color="000000"/>
        </w:rPr>
        <w:t xml:space="preserve">s de precio </w:t>
      </w:r>
      <w:r w:rsidR="00814446" w:rsidRPr="000447E8">
        <w:rPr>
          <w:rFonts w:ascii="Arial" w:hAnsi="Arial Unicode MS"/>
          <w:sz w:val="21"/>
        </w:rPr>
        <w:t>relacionados con las cl</w:t>
      </w:r>
      <w:r w:rsidR="00814446" w:rsidRPr="000447E8">
        <w:rPr>
          <w:rFonts w:ascii="Arial" w:hAnsi="Arial Unicode MS"/>
          <w:sz w:val="21"/>
        </w:rPr>
        <w:t>á</w:t>
      </w:r>
      <w:r w:rsidR="00814446" w:rsidRPr="000447E8">
        <w:rPr>
          <w:rFonts w:ascii="Arial" w:hAnsi="Arial Unicode MS"/>
          <w:sz w:val="21"/>
        </w:rPr>
        <w:t>usulas de indexaci</w:t>
      </w:r>
      <w:r w:rsidR="00814446" w:rsidRPr="000447E8">
        <w:rPr>
          <w:rFonts w:ascii="Arial" w:hAnsi="Arial Unicode MS"/>
          <w:sz w:val="21"/>
        </w:rPr>
        <w:t>ó</w:t>
      </w:r>
      <w:r w:rsidR="00814446" w:rsidRPr="000447E8">
        <w:rPr>
          <w:rFonts w:ascii="Arial" w:hAnsi="Arial Unicode MS"/>
          <w:sz w:val="21"/>
        </w:rPr>
        <w:t xml:space="preserve">n </w:t>
      </w:r>
      <w:r w:rsidR="00814446">
        <w:rPr>
          <w:rFonts w:ascii="Arial" w:hAnsi="Arial Unicode MS"/>
          <w:sz w:val="21"/>
        </w:rPr>
        <w:t xml:space="preserve">sobre los costes </w:t>
      </w:r>
      <w:r w:rsidR="00814446" w:rsidRPr="000447E8">
        <w:rPr>
          <w:rFonts w:ascii="Arial" w:hAnsi="Arial Unicode MS"/>
          <w:sz w:val="21"/>
        </w:rPr>
        <w:t>de las materias primas,</w:t>
      </w:r>
      <w:r w:rsidR="00814446">
        <w:rPr>
          <w:rFonts w:ascii="Arial" w:hAnsi="Arial Unicode MS"/>
          <w:sz w:val="21"/>
        </w:rPr>
        <w:t xml:space="preserve"> con el ligero aumento de los vol</w:t>
      </w:r>
      <w:r w:rsidR="00814446">
        <w:rPr>
          <w:rFonts w:ascii="Arial" w:hAnsi="Arial Unicode MS"/>
          <w:sz w:val="21"/>
        </w:rPr>
        <w:t>ú</w:t>
      </w:r>
      <w:r w:rsidR="00814446">
        <w:rPr>
          <w:rFonts w:ascii="Arial" w:hAnsi="Arial Unicode MS"/>
          <w:sz w:val="21"/>
        </w:rPr>
        <w:t xml:space="preserve">menes 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(+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1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 xml:space="preserve">%) </w:t>
      </w:r>
      <w:r w:rsidR="00814446">
        <w:rPr>
          <w:rFonts w:ascii="Arial" w:eastAsia="Arial Unicode MS" w:hAnsi="Arial Unicode MS"/>
          <w:color w:val="000000"/>
          <w:sz w:val="21"/>
          <w:u w:color="000000"/>
        </w:rPr>
        <w:t xml:space="preserve">y con el efecto desfavorable de las paridades de cambio 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(-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5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 </w:t>
      </w:r>
      <w:r w:rsidR="003F39C3" w:rsidRPr="00F70870">
        <w:rPr>
          <w:rFonts w:ascii="Arial" w:eastAsia="Arial Unicode MS" w:hAnsi="Arial Unicode MS"/>
          <w:color w:val="000000"/>
          <w:sz w:val="21"/>
          <w:u w:color="000000"/>
        </w:rPr>
        <w:t>%)</w:t>
      </w:r>
      <w:r w:rsidR="00267DEA" w:rsidRPr="00F70870">
        <w:rPr>
          <w:rFonts w:ascii="Arial" w:eastAsia="Arial Unicode MS" w:hAnsi="Arial Unicode MS"/>
          <w:color w:val="000000"/>
          <w:sz w:val="21"/>
          <w:u w:color="000000"/>
        </w:rPr>
        <w:t>.</w:t>
      </w:r>
    </w:p>
    <w:p w:rsidR="00F54A4F" w:rsidRPr="00F54A4F" w:rsidRDefault="000646AE" w:rsidP="00DF7371">
      <w:pPr>
        <w:numPr>
          <w:ilvl w:val="0"/>
          <w:numId w:val="14"/>
        </w:numPr>
        <w:tabs>
          <w:tab w:val="left" w:pos="360"/>
        </w:tabs>
        <w:spacing w:before="480" w:after="12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  <w:r w:rsidRPr="00F54A4F">
        <w:rPr>
          <w:rFonts w:ascii="Arial" w:eastAsia="Arial Unicode MS" w:hAnsi="Arial Unicode MS"/>
          <w:b/>
          <w:color w:val="000000"/>
          <w:sz w:val="21"/>
          <w:u w:color="000000"/>
        </w:rPr>
        <w:t>Ingenier</w:t>
      </w:r>
      <w:r w:rsidRPr="00F54A4F">
        <w:rPr>
          <w:rFonts w:ascii="Arial" w:eastAsia="Arial Unicode MS" w:hAnsi="Arial Unicode MS"/>
          <w:b/>
          <w:color w:val="000000"/>
          <w:sz w:val="21"/>
          <w:u w:color="000000"/>
        </w:rPr>
        <w:t>í</w:t>
      </w:r>
      <w:r w:rsidRPr="00F54A4F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a Civil: 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Las ventas </w:t>
      </w:r>
      <w:r w:rsidR="00814446" w:rsidRPr="00F54A4F">
        <w:rPr>
          <w:rFonts w:ascii="Arial" w:eastAsia="Arial Unicode MS" w:hAnsi="Arial Unicode MS"/>
          <w:color w:val="000000"/>
          <w:sz w:val="21"/>
          <w:u w:color="000000"/>
        </w:rPr>
        <w:t>netas caen, penalizadas por la bajada de los vol</w:t>
      </w:r>
      <w:r w:rsidR="00814446" w:rsidRPr="00F54A4F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814446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menes y el impacto desfavorable de las tasas de cambio. 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Solo aumentan las ventas en el segmento OE, gracias al crecimiento de los vol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menes. Hay que destacar que los vol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menes en Miner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a permanecen estables en relaci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n con el cuarto trimestre de 2013, lo que refleja el mantenimiento de la </w:t>
      </w:r>
      <w:r w:rsidR="00DF7371" w:rsidRPr="00F54A4F">
        <w:rPr>
          <w:rFonts w:ascii="Arial" w:eastAsia="Arial Unicode MS" w:hAnsi="Arial Unicode MS"/>
          <w:color w:val="000000"/>
          <w:sz w:val="21"/>
          <w:u w:color="000000"/>
        </w:rPr>
        <w:t>reducci</w:t>
      </w:r>
      <w:r w:rsidR="00DF7371" w:rsidRPr="00F54A4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F7371" w:rsidRPr="00F54A4F">
        <w:rPr>
          <w:rFonts w:ascii="Arial" w:eastAsia="Arial Unicode MS" w:hAnsi="Arial Unicode MS"/>
          <w:color w:val="000000"/>
          <w:sz w:val="21"/>
          <w:u w:color="000000"/>
        </w:rPr>
        <w:t>n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 de </w:t>
      </w:r>
      <w:r w:rsidR="00DF66B9" w:rsidRPr="00F54A4F">
        <w:rPr>
          <w:rFonts w:ascii="Arial" w:eastAsia="Arial Unicode MS" w:hAnsi="Arial Unicode MS"/>
          <w:i/>
          <w:color w:val="000000"/>
          <w:sz w:val="21"/>
          <w:u w:color="000000"/>
        </w:rPr>
        <w:t>stocks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 de los clientes de miner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a, como se hab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í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a anticipado, y el nivel sostenido de las actividades de extracci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ó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n minera.</w:t>
      </w:r>
    </w:p>
    <w:p w:rsidR="00DF66B9" w:rsidRPr="00F54A4F" w:rsidRDefault="00F54A4F" w:rsidP="00DF7371">
      <w:pPr>
        <w:numPr>
          <w:ilvl w:val="0"/>
          <w:numId w:val="14"/>
        </w:numPr>
        <w:tabs>
          <w:tab w:val="left" w:pos="360"/>
        </w:tabs>
        <w:spacing w:before="480" w:after="12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  <w:r w:rsidRPr="00F54A4F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 </w:t>
      </w:r>
      <w:r w:rsidR="000646AE" w:rsidRPr="00F54A4F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Agricultura: 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>Las ventas netas aumenta</w:t>
      </w:r>
      <w:r w:rsidR="00DF66B9" w:rsidRPr="00F54A4F">
        <w:rPr>
          <w:rFonts w:ascii="Arial" w:eastAsia="Arial Unicode MS" w:hAnsi="Arial"/>
          <w:color w:val="000000"/>
          <w:sz w:val="21"/>
          <w:u w:color="000000"/>
        </w:rPr>
        <w:t>n. La progresión de los volúmenes en las zonas maduras y los países emergentes compensa la aplicación desfavorable de las</w:t>
      </w:r>
      <w:r w:rsidR="00DF66B9" w:rsidRPr="00F54A4F">
        <w:rPr>
          <w:rFonts w:ascii="Arial" w:eastAsia="Arial Unicode MS" w:hAnsi="Arial Unicode MS"/>
          <w:color w:val="000000"/>
          <w:sz w:val="21"/>
          <w:u w:color="000000"/>
        </w:rPr>
        <w:t xml:space="preserve"> </w:t>
      </w:r>
      <w:r w:rsidR="000472D0" w:rsidRPr="00F54A4F">
        <w:rPr>
          <w:rFonts w:ascii="Arial" w:hAnsi="Arial Unicode MS"/>
          <w:sz w:val="21"/>
        </w:rPr>
        <w:t>cl</w:t>
      </w:r>
      <w:r w:rsidR="000472D0" w:rsidRPr="00F54A4F">
        <w:rPr>
          <w:rFonts w:ascii="Arial" w:hAnsi="Arial Unicode MS"/>
          <w:sz w:val="21"/>
        </w:rPr>
        <w:t>á</w:t>
      </w:r>
      <w:r w:rsidR="000472D0" w:rsidRPr="00F54A4F">
        <w:rPr>
          <w:rFonts w:ascii="Arial" w:hAnsi="Arial Unicode MS"/>
          <w:sz w:val="21"/>
        </w:rPr>
        <w:t>usulas de indexaci</w:t>
      </w:r>
      <w:r w:rsidR="000472D0" w:rsidRPr="00F54A4F">
        <w:rPr>
          <w:rFonts w:ascii="Arial" w:hAnsi="Arial Unicode MS"/>
          <w:sz w:val="21"/>
        </w:rPr>
        <w:t>ó</w:t>
      </w:r>
      <w:r w:rsidR="000472D0" w:rsidRPr="00F54A4F">
        <w:rPr>
          <w:rFonts w:ascii="Arial" w:hAnsi="Arial Unicode MS"/>
          <w:sz w:val="21"/>
        </w:rPr>
        <w:t>n relacionadas con las materias primas, as</w:t>
      </w:r>
      <w:r w:rsidR="000472D0" w:rsidRPr="00F54A4F">
        <w:rPr>
          <w:rFonts w:ascii="Arial" w:hAnsi="Arial Unicode MS"/>
          <w:sz w:val="21"/>
        </w:rPr>
        <w:t>í</w:t>
      </w:r>
      <w:r w:rsidR="000472D0" w:rsidRPr="00F54A4F">
        <w:rPr>
          <w:rFonts w:ascii="Arial" w:hAnsi="Arial Unicode MS"/>
          <w:sz w:val="21"/>
        </w:rPr>
        <w:t xml:space="preserve"> como del impacto desfavorable de las tasas de cambio</w:t>
      </w:r>
      <w:r w:rsidR="000472D0" w:rsidRPr="00F54A4F">
        <w:rPr>
          <w:rFonts w:ascii="Arial" w:eastAsia="Arial Unicode MS" w:hAnsi="Arial"/>
          <w:color w:val="000000"/>
          <w:sz w:val="21"/>
          <w:u w:color="000000"/>
        </w:rPr>
        <w:t>.</w:t>
      </w:r>
    </w:p>
    <w:p w:rsidR="00F67809" w:rsidRDefault="000646AE" w:rsidP="00DF7371">
      <w:pPr>
        <w:numPr>
          <w:ilvl w:val="0"/>
          <w:numId w:val="14"/>
        </w:numPr>
        <w:tabs>
          <w:tab w:val="left" w:pos="360"/>
        </w:tabs>
        <w:spacing w:before="480" w:after="120" w:line="270" w:lineRule="atLeast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Dos ruedas: 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El crecimiento de las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 xml:space="preserve"> ventas </w:t>
      </w:r>
      <w:r w:rsidR="00F67809" w:rsidRPr="00814446">
        <w:rPr>
          <w:rFonts w:ascii="Arial" w:eastAsia="Arial Unicode MS" w:hAnsi="Arial Unicode MS"/>
          <w:color w:val="000000"/>
          <w:sz w:val="21"/>
          <w:u w:color="000000"/>
        </w:rPr>
        <w:t>netas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, el aumento de l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os vol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menes y el efecto del mix geogr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fico compensan m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>á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 xml:space="preserve">s que 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sufi</w:t>
      </w:r>
      <w:r w:rsidR="00DD3BA2">
        <w:rPr>
          <w:rFonts w:ascii="Arial" w:eastAsia="Arial Unicode MS" w:hAnsi="Arial Unicode MS"/>
          <w:color w:val="000000"/>
          <w:sz w:val="21"/>
          <w:u w:color="000000"/>
        </w:rPr>
        <w:t>ci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entemente</w:t>
      </w:r>
      <w:r w:rsidR="00F67809">
        <w:rPr>
          <w:rFonts w:ascii="Arial" w:eastAsia="Arial Unicode MS" w:hAnsi="Arial Unicode MS"/>
          <w:color w:val="000000"/>
          <w:sz w:val="21"/>
          <w:u w:color="000000"/>
        </w:rPr>
        <w:t xml:space="preserve"> el efecto negativo de las paridades.</w:t>
      </w:r>
    </w:p>
    <w:p w:rsidR="000646AE" w:rsidRPr="00682BF0" w:rsidRDefault="000646AE" w:rsidP="00DF7371">
      <w:pPr>
        <w:numPr>
          <w:ilvl w:val="0"/>
          <w:numId w:val="14"/>
        </w:numPr>
        <w:tabs>
          <w:tab w:val="left" w:pos="360"/>
        </w:tabs>
        <w:spacing w:before="480" w:after="120" w:line="270" w:lineRule="atLeast"/>
        <w:jc w:val="both"/>
        <w:outlineLvl w:val="0"/>
        <w:rPr>
          <w:rFonts w:ascii="Arial" w:eastAsia="Arial Unicode MS" w:hAnsi="Arial Unicode MS"/>
          <w:color w:val="000000"/>
          <w:sz w:val="21"/>
          <w:u w:color="000000"/>
        </w:rPr>
      </w:pP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Avi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>ó</w:t>
      </w:r>
      <w:r w:rsidRPr="00F70870">
        <w:rPr>
          <w:rFonts w:ascii="Arial" w:eastAsia="Arial Unicode MS" w:hAnsi="Arial Unicode MS"/>
          <w:b/>
          <w:color w:val="000000"/>
          <w:sz w:val="21"/>
          <w:u w:color="000000"/>
        </w:rPr>
        <w:t xml:space="preserve">n: 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 xml:space="preserve">Las ventas </w:t>
      </w:r>
      <w:r w:rsidR="00682BF0" w:rsidRPr="00814446">
        <w:rPr>
          <w:rFonts w:ascii="Arial" w:eastAsia="Arial Unicode MS" w:hAnsi="Arial Unicode MS"/>
          <w:color w:val="000000"/>
          <w:sz w:val="21"/>
          <w:u w:color="000000"/>
        </w:rPr>
        <w:t xml:space="preserve">netas 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progresan gracias al aumento de los vol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ú</w:t>
      </w:r>
      <w:r w:rsidR="00682BF0">
        <w:rPr>
          <w:rFonts w:ascii="Arial" w:eastAsia="Arial Unicode MS" w:hAnsi="Arial Unicode MS"/>
          <w:color w:val="000000"/>
          <w:sz w:val="21"/>
          <w:u w:color="000000"/>
        </w:rPr>
        <w:t>menes y de los efectos favorables del mix de producto.</w:t>
      </w:r>
    </w:p>
    <w:p w:rsidR="000646AE" w:rsidRPr="00F70870" w:rsidRDefault="000646AE">
      <w:pPr>
        <w:spacing w:before="480" w:after="240" w:line="270" w:lineRule="atLeast"/>
        <w:jc w:val="both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646AE" w:rsidRPr="00F70870" w:rsidRDefault="000646AE">
      <w:pPr>
        <w:spacing w:before="480" w:after="12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</w:p>
    <w:p w:rsidR="000646AE" w:rsidRPr="00F70870" w:rsidRDefault="000646AE">
      <w:pPr>
        <w:spacing w:before="480" w:after="12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</w:p>
    <w:p w:rsidR="000646AE" w:rsidRPr="00F70870" w:rsidRDefault="000646AE">
      <w:pPr>
        <w:spacing w:before="480" w:after="12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</w:p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</w:p>
    <w:p w:rsidR="000646AE" w:rsidRPr="00F70870" w:rsidRDefault="000646AE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21"/>
          <w:u w:color="000000"/>
        </w:rPr>
      </w:pPr>
    </w:p>
    <w:p w:rsidR="000646AE" w:rsidRPr="00F70870" w:rsidRDefault="000646AE">
      <w:pPr>
        <w:spacing w:after="240" w:line="360" w:lineRule="exact"/>
        <w:outlineLvl w:val="0"/>
        <w:rPr>
          <w:rFonts w:eastAsia="Arial Unicode MS"/>
          <w:b/>
          <w:color w:val="333399"/>
          <w:sz w:val="40"/>
          <w:u w:color="333399"/>
        </w:rPr>
      </w:pPr>
      <w:r w:rsidRPr="00F70870">
        <w:rPr>
          <w:rFonts w:eastAsia="Arial Unicode MS" w:hAnsi="Arial Unicode MS"/>
          <w:b/>
          <w:color w:val="333399"/>
          <w:sz w:val="40"/>
          <w:u w:color="333399"/>
        </w:rPr>
        <w:br w:type="column"/>
        <w:t>Hechos destacados del primer trimestre de 2014</w:t>
      </w:r>
    </w:p>
    <w:p w:rsidR="00D947C9" w:rsidRPr="005D7E6D" w:rsidRDefault="00682BF0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El Grupo presenta 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>el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neumático 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>MICHELIN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®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Premier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®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A/S</w:t>
      </w:r>
      <w:r w:rsidR="005D7E6D">
        <w:rPr>
          <w:rFonts w:ascii="Arial" w:eastAsia="Arial Unicode MS" w:hAnsi="Arial"/>
          <w:b/>
          <w:color w:val="000000"/>
          <w:sz w:val="21"/>
          <w:u w:color="000000"/>
        </w:rPr>
        <w:t>,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DD3BA2">
        <w:rPr>
          <w:rFonts w:ascii="Arial" w:eastAsia="Arial Unicode MS" w:hAnsi="Arial"/>
          <w:b/>
          <w:color w:val="000000"/>
          <w:sz w:val="21"/>
          <w:u w:color="000000"/>
        </w:rPr>
        <w:t>con la</w:t>
      </w:r>
      <w:r w:rsidR="005D7E6D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tecnología </w:t>
      </w:r>
      <w:r w:rsidR="005D7E6D">
        <w:rPr>
          <w:rFonts w:ascii="Arial" w:eastAsia="Arial Unicode MS" w:hAnsi="Arial"/>
          <w:b/>
          <w:color w:val="000000"/>
          <w:sz w:val="21"/>
          <w:u w:color="000000"/>
        </w:rPr>
        <w:t>inédita</w:t>
      </w:r>
      <w:r w:rsidR="005D7E6D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EverGrip</w:t>
      </w:r>
      <w:r w:rsidR="005D7E6D" w:rsidRPr="005D7E6D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TM</w:t>
      </w:r>
      <w:r w:rsidR="008B2ABF" w:rsidRPr="008B2ABF">
        <w:rPr>
          <w:rFonts w:ascii="Arial" w:eastAsia="Arial Unicode MS" w:hAnsi="Arial"/>
          <w:b/>
          <w:color w:val="000000"/>
          <w:sz w:val="21"/>
          <w:u w:color="000000"/>
        </w:rPr>
        <w:t>,</w:t>
      </w:r>
      <w:r w:rsidR="005D7E6D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38181F" w:rsidRPr="005D7E6D">
        <w:rPr>
          <w:rFonts w:ascii="Arial" w:eastAsia="Arial Unicode MS" w:hAnsi="Arial"/>
          <w:b/>
          <w:color w:val="000000"/>
          <w:sz w:val="21"/>
          <w:u w:color="000000"/>
        </w:rPr>
        <w:t>que se autorregenera</w:t>
      </w:r>
      <w:r w:rsidR="004E3322">
        <w:rPr>
          <w:rFonts w:ascii="Arial" w:eastAsia="Arial Unicode MS" w:hAnsi="Arial"/>
          <w:b/>
          <w:color w:val="000000"/>
          <w:sz w:val="21"/>
          <w:u w:color="000000"/>
        </w:rPr>
        <w:t>,</w:t>
      </w:r>
      <w:r w:rsid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4E3322">
        <w:rPr>
          <w:rFonts w:ascii="Arial" w:eastAsia="Arial Unicode MS" w:hAnsi="Arial"/>
          <w:b/>
          <w:color w:val="000000"/>
          <w:sz w:val="21"/>
          <w:u w:color="000000"/>
        </w:rPr>
        <w:t>maniéndose seguro a pesar del</w:t>
      </w:r>
      <w:r w:rsidR="00DD3BA2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4E3322">
        <w:rPr>
          <w:rFonts w:ascii="Arial" w:eastAsia="Arial Unicode MS" w:hAnsi="Arial"/>
          <w:b/>
          <w:color w:val="000000"/>
          <w:sz w:val="21"/>
          <w:u w:color="000000"/>
        </w:rPr>
        <w:t>desgaste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(15 </w:t>
      </w:r>
      <w:r w:rsidR="00031970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de enero de 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>2014)</w:t>
      </w:r>
    </w:p>
    <w:p w:rsidR="0080013F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 xml:space="preserve">acapara los podios de la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36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>ª edición del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>R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ally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 xml:space="preserve">  Dakar.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(18 </w:t>
      </w:r>
      <w:r w:rsidR="00D715F5" w:rsidRPr="005D7E6D">
        <w:rPr>
          <w:rFonts w:ascii="Arial" w:eastAsia="Arial Unicode MS" w:hAnsi="Arial"/>
          <w:b/>
          <w:color w:val="000000"/>
          <w:sz w:val="21"/>
          <w:u w:color="000000"/>
        </w:rPr>
        <w:t>de enero de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2014)</w:t>
      </w:r>
    </w:p>
    <w:p w:rsidR="0080013F" w:rsidRPr="005D7E6D" w:rsidRDefault="0080013F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El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CEA, Michelin, Protéus (Groupe PCAS) </w:t>
      </w:r>
      <w:r>
        <w:rPr>
          <w:rFonts w:ascii="Arial" w:eastAsia="Arial Unicode MS" w:hAnsi="Arial"/>
          <w:b/>
          <w:color w:val="000000"/>
          <w:sz w:val="21"/>
          <w:u w:color="000000"/>
        </w:rPr>
        <w:t>y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SDTech </w:t>
      </w:r>
      <w:r>
        <w:rPr>
          <w:rFonts w:ascii="Arial" w:eastAsia="Arial Unicode MS" w:hAnsi="Arial"/>
          <w:b/>
          <w:color w:val="000000"/>
          <w:sz w:val="21"/>
          <w:u w:color="000000"/>
        </w:rPr>
        <w:t>desarrollarán conjuntamente dos innovadoras vías de valoración de neumáticos usados</w:t>
      </w:r>
      <w:r w:rsidR="007648BC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(28 de enero de 2014)</w:t>
      </w:r>
    </w:p>
    <w:p w:rsidR="00D947C9" w:rsidRPr="00497C71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Lan</w:t>
      </w:r>
      <w:r w:rsidR="00D715F5">
        <w:rPr>
          <w:rFonts w:ascii="Arial" w:eastAsia="Arial Unicode MS" w:hAnsi="Arial"/>
          <w:b/>
          <w:color w:val="000000"/>
          <w:sz w:val="21"/>
          <w:u w:color="000000"/>
        </w:rPr>
        <w:t xml:space="preserve">zamiento del neumático de invierno para turismos,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MICHELIN Alpin 5</w:t>
      </w:r>
      <w:r w:rsidR="007648BC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="00497C71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Pr="00497C71">
        <w:rPr>
          <w:rFonts w:ascii="Arial" w:eastAsia="Arial Unicode MS" w:hAnsi="Arial"/>
          <w:b/>
          <w:color w:val="000000"/>
          <w:sz w:val="21"/>
          <w:u w:color="000000"/>
        </w:rPr>
        <w:t xml:space="preserve">(4 </w:t>
      </w:r>
      <w:r w:rsidR="00497C71" w:rsidRPr="00497C71">
        <w:rPr>
          <w:rFonts w:ascii="Arial" w:eastAsia="Arial Unicode MS" w:hAnsi="Arial"/>
          <w:b/>
          <w:color w:val="000000"/>
          <w:sz w:val="21"/>
          <w:u w:color="000000"/>
        </w:rPr>
        <w:t>de febrero de</w:t>
      </w:r>
      <w:r w:rsidRPr="00497C71">
        <w:rPr>
          <w:rFonts w:ascii="Arial" w:eastAsia="Arial Unicode MS" w:hAnsi="Arial"/>
          <w:b/>
          <w:color w:val="000000"/>
          <w:sz w:val="21"/>
          <w:u w:color="000000"/>
        </w:rPr>
        <w:t xml:space="preserve"> 2014)</w:t>
      </w:r>
    </w:p>
    <w:p w:rsidR="00D947C9" w:rsidRPr="005D7E6D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Michelin Canad</w:t>
      </w:r>
      <w:r w:rsidR="0080013F">
        <w:rPr>
          <w:rFonts w:ascii="Arial" w:eastAsia="Arial Unicode MS" w:hAnsi="Arial"/>
          <w:b/>
          <w:color w:val="000000"/>
          <w:sz w:val="21"/>
          <w:u w:color="000000"/>
        </w:rPr>
        <w:t>á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80013F">
        <w:rPr>
          <w:rFonts w:ascii="Arial" w:eastAsia="Arial Unicode MS" w:hAnsi="Arial"/>
          <w:b/>
          <w:color w:val="000000"/>
          <w:sz w:val="21"/>
          <w:u w:color="000000"/>
        </w:rPr>
        <w:t xml:space="preserve">anuncia una reducción de sus capacidades de producción de neumáticos de pequeña dimensión en sus instalaciones de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Pictou County,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en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820060" w:rsidRPr="005D7E6D">
        <w:rPr>
          <w:rFonts w:ascii="Arial" w:eastAsia="Arial Unicode MS" w:hAnsi="Arial"/>
          <w:b/>
          <w:color w:val="000000"/>
          <w:sz w:val="21"/>
          <w:u w:color="000000"/>
        </w:rPr>
        <w:t>Canadá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, </w:t>
      </w:r>
      <w:r w:rsidR="000F6F00">
        <w:rPr>
          <w:rFonts w:ascii="Arial" w:eastAsia="Arial Unicode MS" w:hAnsi="Arial"/>
          <w:b/>
          <w:color w:val="000000"/>
          <w:sz w:val="21"/>
          <w:u w:color="000000"/>
        </w:rPr>
        <w:t>antes de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 xml:space="preserve"> julio de 2015. Michelin informa también de una inversión de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66,5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millones de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CAD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(dólares canadienses) para reforzar sus herramientas de producción</w:t>
      </w:r>
      <w:r w:rsidR="000F6F00">
        <w:rPr>
          <w:rFonts w:ascii="Arial" w:eastAsia="Arial Unicode MS" w:hAnsi="Arial"/>
          <w:b/>
          <w:color w:val="000000"/>
          <w:sz w:val="21"/>
          <w:u w:color="000000"/>
        </w:rPr>
        <w:t xml:space="preserve"> de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 xml:space="preserve"> sus tres fábricas en el país</w:t>
      </w:r>
      <w:r w:rsidR="00F2071D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9B559C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(3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de marzo de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2014)</w:t>
      </w:r>
    </w:p>
    <w:p w:rsidR="00D947C9" w:rsidRPr="005D7E6D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7D111E">
        <w:rPr>
          <w:rFonts w:ascii="Arial" w:eastAsia="Arial Unicode MS" w:hAnsi="Arial"/>
          <w:b/>
          <w:color w:val="000000"/>
          <w:sz w:val="21"/>
          <w:u w:color="000000"/>
        </w:rPr>
        <w:t xml:space="preserve">figura de nuevo en el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"Sustainability Yearbook" 2014</w:t>
      </w:r>
      <w:r w:rsidR="007D111E">
        <w:rPr>
          <w:rFonts w:ascii="Arial" w:eastAsia="Arial Unicode MS" w:hAnsi="Arial"/>
          <w:b/>
          <w:color w:val="000000"/>
          <w:sz w:val="21"/>
          <w:u w:color="000000"/>
        </w:rPr>
        <w:t xml:space="preserve"> (“Anuario de las Sostenibilidad”)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, </w:t>
      </w:r>
      <w:r w:rsidR="007D111E">
        <w:rPr>
          <w:rFonts w:ascii="Arial" w:eastAsia="Arial Unicode MS" w:hAnsi="Arial"/>
          <w:b/>
          <w:color w:val="000000"/>
          <w:sz w:val="21"/>
          <w:u w:color="000000"/>
        </w:rPr>
        <w:t>publicado por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RobecoSAM, </w:t>
      </w:r>
      <w:r w:rsidR="007D111E">
        <w:rPr>
          <w:rFonts w:ascii="Arial" w:eastAsia="Arial Unicode MS" w:hAnsi="Arial"/>
          <w:b/>
          <w:color w:val="000000"/>
          <w:sz w:val="21"/>
          <w:u w:color="000000"/>
        </w:rPr>
        <w:t>con la distinción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"Silver class"</w:t>
      </w:r>
      <w:r w:rsidR="007648BC">
        <w:rPr>
          <w:rFonts w:ascii="Arial" w:eastAsia="Arial Unicode MS" w:hAnsi="Arial"/>
          <w:b/>
          <w:color w:val="000000"/>
          <w:sz w:val="21"/>
          <w:u w:color="000000"/>
        </w:rPr>
        <w:t xml:space="preserve"> (Categoría de plata)</w:t>
      </w:r>
      <w:r w:rsidR="00F2071D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(4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de marzo de</w:t>
      </w:r>
      <w:r w:rsidR="00820060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2014)</w:t>
      </w:r>
    </w:p>
    <w:p w:rsidR="00D947C9" w:rsidRPr="005D7E6D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7648BC">
        <w:rPr>
          <w:rFonts w:ascii="Arial" w:eastAsia="Arial Unicode MS" w:hAnsi="Arial"/>
          <w:b/>
          <w:color w:val="000000"/>
          <w:sz w:val="21"/>
          <w:u w:color="000000"/>
        </w:rPr>
        <w:t xml:space="preserve">firma un contrato de equipamiento de neumáticos en primer equipo con Boeing para las aeronaves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B737 MAX 7 </w:t>
      </w:r>
      <w:r w:rsidR="007648BC">
        <w:rPr>
          <w:rFonts w:ascii="Arial" w:eastAsia="Arial Unicode MS" w:hAnsi="Arial"/>
          <w:b/>
          <w:color w:val="000000"/>
          <w:sz w:val="21"/>
          <w:u w:color="000000"/>
        </w:rPr>
        <w:t>y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8</w:t>
      </w:r>
      <w:r w:rsidR="00F2071D">
        <w:rPr>
          <w:rFonts w:ascii="Arial" w:eastAsia="Arial Unicode MS" w:hAnsi="Arial"/>
          <w:b/>
          <w:color w:val="000000"/>
          <w:sz w:val="21"/>
          <w:u w:color="000000"/>
        </w:rPr>
        <w:t>.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(10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de marzo de</w:t>
      </w:r>
      <w:r w:rsidR="00820060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2014)</w:t>
      </w:r>
    </w:p>
    <w:p w:rsidR="00D947C9" w:rsidRPr="005D7E6D" w:rsidRDefault="00F46262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>
        <w:rPr>
          <w:rFonts w:ascii="Arial" w:eastAsia="Arial Unicode MS" w:hAnsi="Arial"/>
          <w:b/>
          <w:color w:val="000000"/>
          <w:sz w:val="21"/>
          <w:u w:color="000000"/>
        </w:rPr>
        <w:t>Lanzamiento de la nueva gama de camión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MICHELIN X</w:t>
      </w:r>
      <w:r w:rsidR="00D947C9" w:rsidRPr="00F46262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®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LINET</w:t>
      </w:r>
      <w:r w:rsidR="00D947C9" w:rsidRPr="00F46262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M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Energy </w:t>
      </w:r>
      <w:r w:rsidR="00D947C9" w:rsidRPr="00F46262">
        <w:rPr>
          <w:rFonts w:ascii="Arial" w:eastAsia="Arial Unicode MS" w:hAnsi="Arial"/>
          <w:b/>
          <w:color w:val="000000"/>
          <w:sz w:val="21"/>
          <w:u w:color="000000"/>
          <w:vertAlign w:val="superscript"/>
        </w:rPr>
        <w:t>TM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S</w:t>
      </w:r>
      <w:r>
        <w:rPr>
          <w:rFonts w:ascii="Arial" w:eastAsia="Arial Unicode MS" w:hAnsi="Arial"/>
          <w:b/>
          <w:color w:val="000000"/>
          <w:sz w:val="21"/>
          <w:u w:color="000000"/>
        </w:rPr>
        <w:t>e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ries 80 </w:t>
      </w:r>
      <w:r>
        <w:rPr>
          <w:rFonts w:ascii="Arial" w:eastAsia="Arial Unicode MS" w:hAnsi="Arial"/>
          <w:b/>
          <w:color w:val="000000"/>
          <w:sz w:val="21"/>
          <w:u w:color="000000"/>
        </w:rPr>
        <w:t>y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65: </w:t>
      </w: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más prestaciones en </w:t>
      </w:r>
      <w:r w:rsidR="000F6F00">
        <w:rPr>
          <w:rFonts w:ascii="Arial" w:eastAsia="Arial Unicode MS" w:hAnsi="Arial"/>
          <w:b/>
          <w:color w:val="000000"/>
          <w:sz w:val="21"/>
          <w:u w:color="000000"/>
        </w:rPr>
        <w:t>un</w:t>
      </w:r>
      <w:r>
        <w:rPr>
          <w:rFonts w:ascii="Arial" w:eastAsia="Arial Unicode MS" w:hAnsi="Arial"/>
          <w:b/>
          <w:color w:val="000000"/>
          <w:sz w:val="21"/>
          <w:u w:color="000000"/>
        </w:rPr>
        <w:t xml:space="preserve"> mismo neumático</w:t>
      </w:r>
      <w:r w:rsidR="00BC53DE">
        <w:rPr>
          <w:rFonts w:ascii="Arial" w:eastAsia="Arial Unicode MS" w:hAnsi="Arial"/>
          <w:b/>
          <w:color w:val="000000"/>
          <w:sz w:val="21"/>
          <w:u w:color="000000"/>
        </w:rPr>
        <w:t xml:space="preserve">. </w:t>
      </w:r>
      <w:r w:rsidR="00BC53DE">
        <w:rPr>
          <w:rFonts w:ascii="Arial" w:eastAsia="Arial Unicode MS" w:hAnsi="Arial"/>
          <w:b/>
          <w:color w:val="000000"/>
          <w:sz w:val="21"/>
          <w:u w:color="000000"/>
        </w:rPr>
        <w:br/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(21 </w:t>
      </w:r>
      <w:r w:rsidR="00820060">
        <w:rPr>
          <w:rFonts w:ascii="Arial" w:eastAsia="Arial Unicode MS" w:hAnsi="Arial"/>
          <w:b/>
          <w:color w:val="000000"/>
          <w:sz w:val="21"/>
          <w:u w:color="000000"/>
        </w:rPr>
        <w:t>de marzo de</w:t>
      </w:r>
      <w:r w:rsidR="00820060"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D947C9" w:rsidRPr="005D7E6D">
        <w:rPr>
          <w:rFonts w:ascii="Arial" w:eastAsia="Arial Unicode MS" w:hAnsi="Arial"/>
          <w:b/>
          <w:color w:val="000000"/>
          <w:sz w:val="21"/>
          <w:u w:color="000000"/>
        </w:rPr>
        <w:t>2014)</w:t>
      </w:r>
    </w:p>
    <w:p w:rsidR="00D947C9" w:rsidRDefault="00D947C9" w:rsidP="004E3322">
      <w:pPr>
        <w:numPr>
          <w:ilvl w:val="0"/>
          <w:numId w:val="40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Michelin </w:t>
      </w:r>
      <w:r w:rsidR="00F2071D" w:rsidRPr="00F2071D">
        <w:rPr>
          <w:rFonts w:ascii="Arial" w:eastAsia="Arial Unicode MS" w:hAnsi="Arial"/>
          <w:b/>
          <w:color w:val="000000"/>
          <w:sz w:val="21"/>
          <w:u w:color="000000"/>
        </w:rPr>
        <w:t xml:space="preserve">inaugura su primera </w:t>
      </w:r>
      <w:r w:rsidR="008E2C17">
        <w:rPr>
          <w:rFonts w:ascii="Arial" w:eastAsia="Arial Unicode MS" w:hAnsi="Arial"/>
          <w:b/>
          <w:color w:val="000000"/>
          <w:sz w:val="21"/>
          <w:u w:color="000000"/>
        </w:rPr>
        <w:t>planta</w:t>
      </w:r>
      <w:r w:rsidR="00F2071D" w:rsidRPr="00F2071D">
        <w:rPr>
          <w:rFonts w:ascii="Arial" w:eastAsia="Arial Unicode MS" w:hAnsi="Arial"/>
          <w:b/>
          <w:color w:val="000000"/>
          <w:sz w:val="21"/>
          <w:u w:color="000000"/>
        </w:rPr>
        <w:t xml:space="preserve"> para la producción de</w:t>
      </w:r>
      <w:r w:rsidR="00F46262" w:rsidRPr="00F46262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F2071D" w:rsidRPr="00F2071D">
        <w:rPr>
          <w:rFonts w:ascii="Arial" w:eastAsia="Arial Unicode MS" w:hAnsi="Arial"/>
          <w:b/>
          <w:color w:val="000000"/>
          <w:sz w:val="21"/>
          <w:u w:color="000000"/>
        </w:rPr>
        <w:t xml:space="preserve">caucho </w:t>
      </w:r>
      <w:r w:rsidR="000F6F00">
        <w:rPr>
          <w:rFonts w:ascii="Arial" w:eastAsia="Arial Unicode MS" w:hAnsi="Arial"/>
          <w:b/>
          <w:color w:val="000000"/>
          <w:sz w:val="21"/>
          <w:u w:color="000000"/>
        </w:rPr>
        <w:t xml:space="preserve">composite </w:t>
      </w:r>
      <w:r w:rsidR="00F2071D" w:rsidRPr="00F2071D">
        <w:rPr>
          <w:rFonts w:ascii="Arial" w:eastAsia="Arial Unicode MS" w:hAnsi="Arial"/>
          <w:b/>
          <w:color w:val="000000"/>
          <w:sz w:val="21"/>
          <w:u w:color="000000"/>
        </w:rPr>
        <w:t>en Hat Yai</w:t>
      </w:r>
      <w:r w:rsidR="00F46262">
        <w:rPr>
          <w:rFonts w:ascii="Arial" w:eastAsia="Arial Unicode MS" w:hAnsi="Arial"/>
          <w:b/>
          <w:color w:val="000000"/>
          <w:sz w:val="21"/>
          <w:u w:color="000000"/>
        </w:rPr>
        <w:t>,</w:t>
      </w:r>
      <w:r w:rsidR="00F2071D" w:rsidRPr="00F2071D">
        <w:rPr>
          <w:rFonts w:ascii="Arial" w:eastAsia="Arial Unicode MS" w:hAnsi="Arial"/>
          <w:b/>
          <w:color w:val="000000"/>
          <w:sz w:val="21"/>
          <w:u w:color="000000"/>
        </w:rPr>
        <w:t xml:space="preserve"> </w:t>
      </w:r>
      <w:r w:rsidR="00F46262">
        <w:rPr>
          <w:rFonts w:ascii="Arial" w:eastAsia="Arial Unicode MS" w:hAnsi="Arial"/>
          <w:b/>
          <w:color w:val="000000"/>
          <w:sz w:val="21"/>
          <w:u w:color="000000"/>
        </w:rPr>
        <w:t xml:space="preserve">Tailandia. 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>(</w:t>
      </w:r>
      <w:r w:rsidR="00F46262">
        <w:rPr>
          <w:rFonts w:ascii="Arial" w:eastAsia="Arial Unicode MS" w:hAnsi="Arial"/>
          <w:b/>
          <w:color w:val="000000"/>
          <w:sz w:val="21"/>
          <w:u w:color="000000"/>
        </w:rPr>
        <w:t>Abril de</w:t>
      </w:r>
      <w:r w:rsidRPr="005D7E6D">
        <w:rPr>
          <w:rFonts w:ascii="Arial" w:eastAsia="Arial Unicode MS" w:hAnsi="Arial"/>
          <w:b/>
          <w:color w:val="000000"/>
          <w:sz w:val="21"/>
          <w:u w:color="000000"/>
        </w:rPr>
        <w:t xml:space="preserve"> 2014)</w:t>
      </w:r>
    </w:p>
    <w:p w:rsidR="000F6F00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F6F00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F6F00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F6F00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F6F00" w:rsidRPr="005D7E6D" w:rsidRDefault="000F6F00" w:rsidP="000F6F00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1"/>
          <w:u w:color="000000"/>
        </w:rPr>
      </w:pPr>
    </w:p>
    <w:p w:rsidR="000646AE" w:rsidRPr="00F70870" w:rsidRDefault="000646AE">
      <w:pPr>
        <w:pStyle w:val="Body1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/>
          <w:sz w:val="21"/>
          <w:u w:val="single"/>
        </w:rPr>
      </w:pPr>
      <w:r w:rsidRPr="00F70870">
        <w:rPr>
          <w:rFonts w:ascii="Arial" w:hAnsi="Arial Unicode MS"/>
          <w:sz w:val="21"/>
        </w:rPr>
        <w:t xml:space="preserve">La lista completa de los hechos destacados del primer trimestre de 2014 </w:t>
      </w:r>
      <w:r w:rsidRPr="00F70870">
        <w:rPr>
          <w:rFonts w:ascii="Arial" w:hAnsi="Arial Unicode MS"/>
          <w:sz w:val="21"/>
        </w:rPr>
        <w:cr/>
        <w:t>est</w:t>
      </w:r>
      <w:r w:rsidRPr="00F70870">
        <w:rPr>
          <w:rFonts w:ascii="Arial" w:hAnsi="Arial Unicode MS"/>
          <w:sz w:val="21"/>
        </w:rPr>
        <w:t>á</w:t>
      </w:r>
      <w:r w:rsidRPr="00F70870">
        <w:rPr>
          <w:rFonts w:ascii="Arial" w:hAnsi="Arial Unicode MS"/>
          <w:sz w:val="21"/>
        </w:rPr>
        <w:t xml:space="preserve"> disponible en la web del Grupo: </w:t>
      </w:r>
      <w:hyperlink r:id="rId7" w:history="1">
        <w:r w:rsidRPr="00F70870">
          <w:rPr>
            <w:rStyle w:val="Hyperlink"/>
            <w:rFonts w:hAnsi="Arial Unicode MS"/>
          </w:rPr>
          <w:t>www.michelin.com/corporate</w:t>
        </w:r>
      </w:hyperlink>
    </w:p>
    <w:p w:rsidR="000646AE" w:rsidRPr="00F70870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center"/>
        <w:rPr>
          <w:rFonts w:ascii="Verdana" w:hAnsi="Verdana"/>
          <w:b/>
          <w:sz w:val="16"/>
        </w:rPr>
      </w:pPr>
    </w:p>
    <w:p w:rsidR="000F6F00" w:rsidRDefault="000F6F00">
      <w:pPr>
        <w:rPr>
          <w:rFonts w:eastAsia="Arial Unicode MS" w:hAnsi="Arial Unicode MS"/>
          <w:b/>
          <w:color w:val="000000"/>
          <w:sz w:val="26"/>
          <w:u w:color="000000"/>
        </w:rPr>
      </w:pPr>
      <w:r>
        <w:rPr>
          <w:rFonts w:hAnsi="Arial Unicode MS"/>
          <w:b/>
          <w:sz w:val="26"/>
        </w:rPr>
        <w:br w:type="page"/>
      </w:r>
    </w:p>
    <w:p w:rsidR="000646AE" w:rsidRPr="00F70870" w:rsidRDefault="000646AE">
      <w:pPr>
        <w:pStyle w:val="Body1"/>
        <w:keepNext/>
        <w:tabs>
          <w:tab w:val="left" w:pos="360"/>
        </w:tabs>
        <w:rPr>
          <w:b/>
          <w:sz w:val="26"/>
        </w:rPr>
      </w:pPr>
      <w:r w:rsidRPr="00F70870">
        <w:rPr>
          <w:rFonts w:hAnsi="Arial Unicode MS"/>
          <w:b/>
          <w:sz w:val="26"/>
        </w:rPr>
        <w:t>CALENDARIO PARA EL INVERSOR</w:t>
      </w:r>
    </w:p>
    <w:p w:rsidR="000646AE" w:rsidRPr="00F70870" w:rsidRDefault="000646AE">
      <w:pPr>
        <w:pStyle w:val="Body1"/>
        <w:keepNext/>
        <w:tabs>
          <w:tab w:val="left" w:pos="360"/>
        </w:tabs>
        <w:rPr>
          <w:b/>
          <w:sz w:val="26"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</w:pPr>
      <w:r w:rsidRPr="00F70870">
        <w:rPr>
          <w:rFonts w:ascii="Arial" w:hAnsi="Arial Unicode MS"/>
          <w:b/>
          <w:sz w:val="21"/>
        </w:rPr>
        <w:t xml:space="preserve">Ventas netas y resultados </w:t>
      </w:r>
      <w:r w:rsidR="00BD0B8F" w:rsidRPr="00F70870">
        <w:rPr>
          <w:rFonts w:ascii="Arial" w:hAnsi="Arial Unicode MS"/>
          <w:b/>
          <w:sz w:val="21"/>
        </w:rPr>
        <w:t>a 30 de junio de</w:t>
      </w:r>
      <w:r w:rsidRPr="00F70870">
        <w:rPr>
          <w:rFonts w:ascii="Arial" w:hAnsi="Arial Unicode MS"/>
          <w:b/>
          <w:sz w:val="21"/>
        </w:rPr>
        <w:t xml:space="preserve"> 2014</w:t>
      </w:r>
    </w:p>
    <w:p w:rsidR="000646AE" w:rsidRPr="00F70870" w:rsidRDefault="00BD0B8F">
      <w:pPr>
        <w:pStyle w:val="Body1"/>
        <w:keepNext/>
        <w:tabs>
          <w:tab w:val="left" w:pos="360"/>
        </w:tabs>
        <w:rPr>
          <w:rFonts w:ascii="Arial" w:hAnsi="Arial"/>
          <w:sz w:val="21"/>
        </w:rPr>
      </w:pPr>
      <w:r w:rsidRPr="00F70870">
        <w:rPr>
          <w:rFonts w:ascii="Arial" w:hAnsi="Arial Unicode MS"/>
          <w:sz w:val="21"/>
        </w:rPr>
        <w:t>Martes</w:t>
      </w:r>
      <w:r w:rsidR="000646AE" w:rsidRPr="00F70870">
        <w:rPr>
          <w:rFonts w:ascii="Arial" w:hAnsi="Arial Unicode MS"/>
          <w:sz w:val="21"/>
        </w:rPr>
        <w:t xml:space="preserve">, </w:t>
      </w:r>
      <w:r w:rsidRPr="00F70870">
        <w:rPr>
          <w:rFonts w:ascii="Arial" w:hAnsi="Arial Unicode MS"/>
          <w:sz w:val="21"/>
        </w:rPr>
        <w:t>29</w:t>
      </w:r>
      <w:r w:rsidR="000646AE" w:rsidRPr="00F70870">
        <w:rPr>
          <w:rFonts w:ascii="Arial" w:hAnsi="Arial Unicode MS"/>
          <w:sz w:val="21"/>
        </w:rPr>
        <w:t xml:space="preserve"> de ju</w:t>
      </w:r>
      <w:r w:rsidRPr="00F70870">
        <w:rPr>
          <w:rFonts w:ascii="Arial" w:hAnsi="Arial Unicode MS"/>
          <w:sz w:val="21"/>
        </w:rPr>
        <w:t>l</w:t>
      </w:r>
      <w:r w:rsidR="000646AE" w:rsidRPr="00F70870">
        <w:rPr>
          <w:rFonts w:ascii="Arial" w:hAnsi="Arial Unicode MS"/>
          <w:sz w:val="21"/>
        </w:rPr>
        <w:t>io de 2014, antes de la apertura de la bolsa.</w:t>
      </w:r>
    </w:p>
    <w:p w:rsidR="000646AE" w:rsidRPr="00F70870" w:rsidRDefault="000646AE">
      <w:pPr>
        <w:pStyle w:val="Body1"/>
        <w:keepNext/>
        <w:tabs>
          <w:tab w:val="left" w:pos="360"/>
        </w:tabs>
        <w:rPr>
          <w:rFonts w:ascii="Arial" w:hAnsi="Arial"/>
          <w:sz w:val="21"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</w:pPr>
      <w:r w:rsidRPr="00F70870">
        <w:rPr>
          <w:rFonts w:ascii="Arial" w:hAnsi="Arial Unicode MS"/>
          <w:b/>
          <w:sz w:val="21"/>
        </w:rPr>
        <w:t>Informaci</w:t>
      </w:r>
      <w:r w:rsidRPr="00F70870">
        <w:rPr>
          <w:rFonts w:ascii="Arial" w:hAnsi="Arial"/>
          <w:b/>
          <w:sz w:val="21"/>
        </w:rPr>
        <w:t>ó</w:t>
      </w:r>
      <w:r w:rsidRPr="00F70870">
        <w:rPr>
          <w:rFonts w:ascii="Arial" w:hAnsi="Arial Unicode MS"/>
          <w:b/>
          <w:sz w:val="21"/>
        </w:rPr>
        <w:t xml:space="preserve">n trimestral </w:t>
      </w:r>
      <w:r w:rsidR="009F7821" w:rsidRPr="00F70870">
        <w:rPr>
          <w:rFonts w:ascii="Arial" w:hAnsi="Arial Unicode MS"/>
          <w:b/>
          <w:sz w:val="21"/>
        </w:rPr>
        <w:t>a 30 de septiembre de 2014</w:t>
      </w:r>
      <w:r w:rsidR="009F7821" w:rsidRPr="00F70870">
        <w:rPr>
          <w:rFonts w:ascii="Arial" w:hAnsi="Arial"/>
          <w:b/>
          <w:sz w:val="21"/>
        </w:rPr>
        <w:t xml:space="preserve"> </w:t>
      </w:r>
      <w:r w:rsidRPr="00F70870">
        <w:rPr>
          <w:rFonts w:ascii="Arial" w:hAnsi="Arial Unicode MS"/>
          <w:b/>
          <w:sz w:val="21"/>
        </w:rPr>
        <w:t>de 2014:</w:t>
      </w:r>
    </w:p>
    <w:p w:rsidR="000646AE" w:rsidRPr="00F70870" w:rsidRDefault="009F7821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</w:pPr>
      <w:r w:rsidRPr="00F70870">
        <w:rPr>
          <w:rFonts w:ascii="Arial" w:hAnsi="Arial Unicode MS"/>
          <w:sz w:val="21"/>
        </w:rPr>
        <w:t>Mi</w:t>
      </w:r>
      <w:r w:rsidRPr="00F70870">
        <w:rPr>
          <w:rFonts w:ascii="Arial" w:hAnsi="Arial Unicode MS"/>
          <w:sz w:val="21"/>
        </w:rPr>
        <w:t>é</w:t>
      </w:r>
      <w:r w:rsidRPr="00F70870">
        <w:rPr>
          <w:rFonts w:ascii="Arial" w:hAnsi="Arial Unicode MS"/>
          <w:sz w:val="21"/>
        </w:rPr>
        <w:t>rcoles,</w:t>
      </w:r>
      <w:r w:rsidR="000646AE" w:rsidRPr="00F70870">
        <w:rPr>
          <w:rFonts w:ascii="Arial" w:hAnsi="Arial Unicode MS"/>
          <w:sz w:val="21"/>
        </w:rPr>
        <w:t xml:space="preserve"> 2</w:t>
      </w:r>
      <w:r w:rsidRPr="00F70870">
        <w:rPr>
          <w:rFonts w:ascii="Arial" w:hAnsi="Arial Unicode MS"/>
          <w:sz w:val="21"/>
        </w:rPr>
        <w:t>2</w:t>
      </w:r>
      <w:r w:rsidR="000646AE" w:rsidRPr="00F70870">
        <w:rPr>
          <w:rFonts w:ascii="Arial" w:hAnsi="Arial Unicode MS"/>
          <w:sz w:val="21"/>
        </w:rPr>
        <w:t xml:space="preserve"> de octubre de 2014, tras el cierre de la bolsa.</w:t>
      </w:r>
      <w:r w:rsidR="000646AE" w:rsidRPr="00F70870">
        <w:rPr>
          <w:rFonts w:ascii="Arial" w:hAnsi="Arial Unicode MS"/>
          <w:sz w:val="21"/>
        </w:rPr>
        <w:cr/>
      </w:r>
      <w:r w:rsidR="000646AE" w:rsidRPr="00F70870">
        <w:rPr>
          <w:rFonts w:ascii="Arial" w:hAnsi="Arial Unicode MS"/>
          <w:sz w:val="21"/>
        </w:rPr>
        <w:cr/>
      </w:r>
    </w:p>
    <w:p w:rsidR="000646AE" w:rsidRPr="00F70870" w:rsidRDefault="000646AE">
      <w:pPr>
        <w:pStyle w:val="Body1"/>
        <w:keepNext/>
        <w:tabs>
          <w:tab w:val="left" w:pos="360"/>
        </w:tabs>
        <w:rPr>
          <w:rFonts w:ascii="Arial" w:hAnsi="Arial"/>
          <w:b/>
          <w:sz w:val="21"/>
        </w:rPr>
      </w:pPr>
      <w:r w:rsidRPr="00F70870">
        <w:rPr>
          <w:rFonts w:ascii="Arial" w:hAnsi="Arial Unicode MS"/>
          <w:b/>
          <w:sz w:val="21"/>
        </w:rPr>
        <w:t>ADVERTENCIA</w:t>
      </w: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rFonts w:ascii="Verdana" w:hAnsi="Verdana"/>
          <w:sz w:val="16"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  <w:r w:rsidRPr="00F70870">
        <w:rPr>
          <w:rFonts w:ascii="Arial" w:hAnsi="Arial Unicode MS"/>
          <w:b/>
          <w:i/>
          <w:sz w:val="21"/>
        </w:rPr>
        <w:t>Este comunicado de prensa no constituye una oferta de venta o la solicitud de oferta de compra de acciones Michelin. Si desea obtener informaci</w:t>
      </w:r>
      <w:r w:rsidRPr="00F70870">
        <w:rPr>
          <w:rFonts w:ascii="Arial" w:hAnsi="Arial"/>
          <w:b/>
          <w:i/>
          <w:sz w:val="21"/>
        </w:rPr>
        <w:t>ó</w:t>
      </w:r>
      <w:r w:rsidRPr="00F70870">
        <w:rPr>
          <w:rFonts w:ascii="Arial" w:hAnsi="Arial Unicode MS"/>
          <w:b/>
          <w:i/>
          <w:sz w:val="21"/>
        </w:rPr>
        <w:t>n m</w:t>
      </w:r>
      <w:r w:rsidRPr="00F70870">
        <w:rPr>
          <w:rFonts w:ascii="Arial" w:hAnsi="Arial"/>
          <w:b/>
          <w:i/>
          <w:sz w:val="21"/>
        </w:rPr>
        <w:t>á</w:t>
      </w:r>
      <w:r w:rsidRPr="00F70870">
        <w:rPr>
          <w:rFonts w:ascii="Arial" w:hAnsi="Arial Unicode MS"/>
          <w:b/>
          <w:i/>
          <w:sz w:val="21"/>
        </w:rPr>
        <w:t>s detallada acerca de Michelin, por favor consulte los documentos p</w:t>
      </w:r>
      <w:r w:rsidRPr="00F70870">
        <w:rPr>
          <w:rFonts w:ascii="Arial" w:hAnsi="Arial"/>
          <w:b/>
          <w:i/>
          <w:sz w:val="21"/>
        </w:rPr>
        <w:t>ú</w:t>
      </w:r>
      <w:r w:rsidRPr="00F70870">
        <w:rPr>
          <w:rFonts w:ascii="Arial" w:hAnsi="Arial Unicode MS"/>
          <w:b/>
          <w:i/>
          <w:sz w:val="21"/>
        </w:rPr>
        <w:t>blicos depositados en l</w:t>
      </w:r>
      <w:r w:rsidRPr="00F70870">
        <w:rPr>
          <w:rFonts w:ascii="Arial" w:hAnsi="Arial Unicode MS"/>
          <w:b/>
          <w:i/>
          <w:sz w:val="21"/>
        </w:rPr>
        <w:t>’</w:t>
      </w:r>
      <w:r w:rsidRPr="00F70870">
        <w:rPr>
          <w:rFonts w:ascii="Arial" w:hAnsi="Arial Unicode MS"/>
          <w:b/>
          <w:i/>
          <w:sz w:val="21"/>
        </w:rPr>
        <w:t>Autorit</w:t>
      </w:r>
      <w:r w:rsidRPr="00F70870">
        <w:rPr>
          <w:rFonts w:ascii="Arial" w:hAnsi="Arial Unicode MS"/>
          <w:b/>
          <w:i/>
          <w:sz w:val="21"/>
        </w:rPr>
        <w:t>é</w:t>
      </w:r>
      <w:r w:rsidRPr="00F70870">
        <w:rPr>
          <w:rFonts w:ascii="Arial" w:hAnsi="Arial Unicode MS"/>
          <w:b/>
          <w:i/>
          <w:sz w:val="21"/>
        </w:rPr>
        <w:t xml:space="preserve"> des March</w:t>
      </w:r>
      <w:r w:rsidRPr="00F70870">
        <w:rPr>
          <w:rFonts w:ascii="Arial" w:hAnsi="Arial"/>
          <w:b/>
          <w:i/>
          <w:sz w:val="21"/>
        </w:rPr>
        <w:t>é</w:t>
      </w:r>
      <w:r w:rsidRPr="00F70870">
        <w:rPr>
          <w:rFonts w:ascii="Arial" w:hAnsi="Arial Unicode MS"/>
          <w:b/>
          <w:i/>
          <w:sz w:val="21"/>
        </w:rPr>
        <w:t>s Financiers, en Francia. Igualmente puede consultarlos en nuestra p</w:t>
      </w:r>
      <w:r w:rsidRPr="00F70870">
        <w:rPr>
          <w:rFonts w:ascii="Arial" w:hAnsi="Arial"/>
          <w:b/>
          <w:i/>
          <w:sz w:val="21"/>
        </w:rPr>
        <w:t>á</w:t>
      </w:r>
      <w:r w:rsidRPr="00F70870">
        <w:rPr>
          <w:rFonts w:ascii="Arial" w:hAnsi="Arial Unicode MS"/>
          <w:b/>
          <w:i/>
          <w:sz w:val="21"/>
        </w:rPr>
        <w:t xml:space="preserve">gina web: </w:t>
      </w:r>
      <w:hyperlink r:id="rId8" w:history="1">
        <w:r w:rsidRPr="00F70870">
          <w:rPr>
            <w:rStyle w:val="Hyperlink"/>
            <w:rFonts w:hAnsi="Arial Unicode MS"/>
          </w:rPr>
          <w:t>www.michelin.com</w:t>
        </w:r>
      </w:hyperlink>
      <w:r w:rsidRPr="00F70870">
        <w:rPr>
          <w:rFonts w:ascii="Arial" w:hAnsi="Arial Unicode MS"/>
          <w:b/>
          <w:i/>
          <w:sz w:val="21"/>
        </w:rPr>
        <w:t>. Este comunicado puede contener algunas declaraciones de car</w:t>
      </w:r>
      <w:r w:rsidRPr="00F70870">
        <w:rPr>
          <w:rFonts w:ascii="Arial" w:hAnsi="Arial"/>
          <w:b/>
          <w:i/>
          <w:sz w:val="21"/>
        </w:rPr>
        <w:t>á</w:t>
      </w:r>
      <w:r w:rsidRPr="00F70870">
        <w:rPr>
          <w:rFonts w:ascii="Arial" w:hAnsi="Arial Unicode MS"/>
          <w:b/>
          <w:i/>
          <w:sz w:val="21"/>
        </w:rPr>
        <w:t>cter previsional. Si bien la compa</w:t>
      </w:r>
      <w:r w:rsidRPr="00F70870">
        <w:rPr>
          <w:rFonts w:ascii="Arial" w:hAnsi="Arial"/>
          <w:b/>
          <w:i/>
          <w:sz w:val="21"/>
        </w:rPr>
        <w:t>ñí</w:t>
      </w:r>
      <w:r w:rsidRPr="00F70870">
        <w:rPr>
          <w:rFonts w:ascii="Arial" w:hAnsi="Arial Unicode MS"/>
          <w:b/>
          <w:i/>
          <w:sz w:val="21"/>
        </w:rPr>
        <w:t>a estima que sus declaraciones est</w:t>
      </w:r>
      <w:r w:rsidRPr="00F70870">
        <w:rPr>
          <w:rFonts w:ascii="Arial" w:hAnsi="Arial"/>
          <w:b/>
          <w:i/>
          <w:sz w:val="21"/>
        </w:rPr>
        <w:t>á</w:t>
      </w:r>
      <w:r w:rsidRPr="00F70870">
        <w:rPr>
          <w:rFonts w:ascii="Arial" w:hAnsi="Arial Unicode MS"/>
          <w:b/>
          <w:i/>
          <w:sz w:val="21"/>
        </w:rPr>
        <w:t>n basadas en hip</w:t>
      </w:r>
      <w:r w:rsidRPr="00F70870">
        <w:rPr>
          <w:rFonts w:ascii="Arial" w:hAnsi="Arial"/>
          <w:b/>
          <w:i/>
          <w:sz w:val="21"/>
        </w:rPr>
        <w:t>ó</w:t>
      </w:r>
      <w:r w:rsidRPr="00F70870">
        <w:rPr>
          <w:rFonts w:ascii="Arial" w:hAnsi="Arial Unicode MS"/>
          <w:b/>
          <w:i/>
          <w:sz w:val="21"/>
        </w:rPr>
        <w:t>tesis razonables a fecha de publicaci</w:t>
      </w:r>
      <w:r w:rsidRPr="00F70870">
        <w:rPr>
          <w:rFonts w:ascii="Arial" w:hAnsi="Arial"/>
          <w:b/>
          <w:i/>
          <w:sz w:val="21"/>
        </w:rPr>
        <w:t>ó</w:t>
      </w:r>
      <w:r w:rsidRPr="00F70870">
        <w:rPr>
          <w:rFonts w:ascii="Arial" w:hAnsi="Arial Unicode MS"/>
          <w:b/>
          <w:i/>
          <w:sz w:val="21"/>
        </w:rPr>
        <w:t xml:space="preserve">n del documento, </w:t>
      </w:r>
      <w:r w:rsidRPr="00F70870">
        <w:rPr>
          <w:rFonts w:ascii="Arial" w:hAnsi="Arial"/>
          <w:b/>
          <w:i/>
          <w:sz w:val="21"/>
        </w:rPr>
        <w:t>é</w:t>
      </w:r>
      <w:r w:rsidRPr="00F70870">
        <w:rPr>
          <w:rFonts w:ascii="Arial" w:hAnsi="Arial Unicode MS"/>
          <w:b/>
          <w:i/>
          <w:sz w:val="21"/>
        </w:rPr>
        <w:t>stas est</w:t>
      </w:r>
      <w:r w:rsidRPr="00F70870">
        <w:rPr>
          <w:rFonts w:ascii="Arial" w:hAnsi="Arial"/>
          <w:b/>
          <w:i/>
          <w:sz w:val="21"/>
        </w:rPr>
        <w:t>á</w:t>
      </w:r>
      <w:r w:rsidRPr="00F70870">
        <w:rPr>
          <w:rFonts w:ascii="Arial" w:hAnsi="Arial Unicode MS"/>
          <w:b/>
          <w:i/>
          <w:sz w:val="21"/>
        </w:rPr>
        <w:t xml:space="preserve">n inherentemente sujetas a riesgos e incertidumbres que pueden hacer que haya alguna diferencia entre los resultados reales y aquellos indicados o inducidos en estas declaraciones.   </w:t>
      </w: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keepNext/>
        <w:tabs>
          <w:tab w:val="left" w:pos="360"/>
        </w:tabs>
        <w:jc w:val="both"/>
        <w:rPr>
          <w:i/>
        </w:rPr>
      </w:pPr>
    </w:p>
    <w:p w:rsidR="000646AE" w:rsidRPr="00F70870" w:rsidRDefault="000646AE">
      <w:pPr>
        <w:pStyle w:val="Body1"/>
        <w:spacing w:after="230"/>
        <w:jc w:val="both"/>
        <w:rPr>
          <w:rFonts w:ascii="Times" w:hAnsi="Times"/>
          <w:i/>
        </w:rPr>
      </w:pPr>
      <w:r w:rsidRPr="00F70870">
        <w:rPr>
          <w:rFonts w:ascii="Times" w:hAnsi="Times"/>
          <w:i/>
        </w:rPr>
        <w:t xml:space="preserve">La misión de </w:t>
      </w:r>
      <w:r w:rsidRPr="00F70870">
        <w:rPr>
          <w:rFonts w:ascii="Times" w:hAnsi="Times"/>
          <w:b/>
          <w:i/>
        </w:rPr>
        <w:t>Michelin,</w:t>
      </w:r>
      <w:r w:rsidRPr="00F70870">
        <w:rPr>
          <w:rFonts w:ascii="Times" w:hAnsi="Times"/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(www.michelin.es).</w:t>
      </w: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center" w:pos="4252"/>
          <w:tab w:val="right" w:pos="8478"/>
          <w:tab w:val="right" w:pos="8478"/>
        </w:tabs>
        <w:spacing w:after="230"/>
        <w:outlineLvl w:val="0"/>
        <w:rPr>
          <w:rFonts w:ascii="Helvetica" w:eastAsia="Arial Unicode MS" w:hAnsi="Helvetica"/>
          <w:b/>
          <w:color w:val="808080"/>
          <w:sz w:val="18"/>
          <w:u w:color="808080"/>
        </w:rPr>
      </w:pPr>
    </w:p>
    <w:p w:rsidR="000646AE" w:rsidRPr="00F70870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b/>
          <w:color w:val="808080"/>
          <w:sz w:val="18"/>
          <w:u w:color="808080"/>
        </w:rPr>
      </w:pPr>
      <w:r w:rsidRPr="00F70870">
        <w:rPr>
          <w:rFonts w:ascii="Arial" w:eastAsia="Arial Unicode MS" w:hAnsi="Arial Unicode MS"/>
          <w:b/>
          <w:color w:val="808080"/>
          <w:sz w:val="18"/>
          <w:u w:color="808080"/>
        </w:rPr>
        <w:t>DEPARTAMENTO DE COMUNICACI</w:t>
      </w:r>
      <w:r w:rsidRPr="00F70870">
        <w:rPr>
          <w:rFonts w:ascii="Arial" w:eastAsia="Arial Unicode MS" w:hAnsi="Arial"/>
          <w:b/>
          <w:color w:val="808080"/>
          <w:sz w:val="18"/>
          <w:u w:color="808080"/>
        </w:rPr>
        <w:t>Ó</w:t>
      </w:r>
      <w:r w:rsidRPr="00F70870">
        <w:rPr>
          <w:rFonts w:ascii="Arial" w:eastAsia="Arial Unicode MS" w:hAnsi="Arial Unicode MS"/>
          <w:b/>
          <w:color w:val="808080"/>
          <w:sz w:val="18"/>
          <w:u w:color="808080"/>
        </w:rPr>
        <w:t>N</w:t>
      </w:r>
    </w:p>
    <w:p w:rsidR="000646AE" w:rsidRPr="00F70870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F70870">
        <w:rPr>
          <w:rFonts w:ascii="Arial" w:eastAsia="Arial Unicode MS" w:hAnsi="Arial Unicode MS"/>
          <w:color w:val="808080"/>
          <w:sz w:val="18"/>
          <w:u w:color="808080"/>
        </w:rPr>
        <w:t>Avda. de Los Encuartes, 19</w:t>
      </w:r>
    </w:p>
    <w:p w:rsidR="000646AE" w:rsidRPr="00F70870" w:rsidRDefault="000646AE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F70870">
        <w:rPr>
          <w:rFonts w:ascii="Arial" w:eastAsia="Arial Unicode MS" w:hAnsi="Arial Unicode MS"/>
          <w:color w:val="808080"/>
          <w:sz w:val="18"/>
          <w:u w:color="808080"/>
        </w:rPr>
        <w:t xml:space="preserve">28760 Tres Cantos 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 xml:space="preserve"> Madrid 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 xml:space="preserve"> ESPA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>Ñ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>A</w:t>
      </w:r>
    </w:p>
    <w:p w:rsidR="000646AE" w:rsidRPr="00F70870" w:rsidRDefault="000646AE" w:rsidP="00257C6C">
      <w:pPr>
        <w:tabs>
          <w:tab w:val="center" w:pos="4252"/>
          <w:tab w:val="right" w:pos="8478"/>
        </w:tabs>
        <w:outlineLvl w:val="0"/>
        <w:rPr>
          <w:rFonts w:ascii="Arial" w:eastAsia="Arial Unicode MS" w:hAnsi="Arial"/>
          <w:color w:val="808080"/>
          <w:sz w:val="18"/>
          <w:u w:color="808080"/>
        </w:rPr>
      </w:pPr>
      <w:r w:rsidRPr="00F70870">
        <w:rPr>
          <w:rFonts w:ascii="Arial" w:eastAsia="Arial Unicode MS" w:hAnsi="Arial Unicode MS"/>
          <w:color w:val="808080"/>
          <w:sz w:val="18"/>
          <w:u w:color="808080"/>
        </w:rPr>
        <w:t xml:space="preserve">Tel: 0034 914 105 167 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>–</w:t>
      </w:r>
      <w:r w:rsidRPr="00F70870">
        <w:rPr>
          <w:rFonts w:ascii="Arial" w:eastAsia="Arial Unicode MS" w:hAnsi="Arial Unicode MS"/>
          <w:color w:val="808080"/>
          <w:sz w:val="18"/>
          <w:u w:color="808080"/>
        </w:rPr>
        <w:t xml:space="preserve"> Fax: 0034 914 105 293</w:t>
      </w:r>
    </w:p>
    <w:sectPr w:rsidR="000646AE" w:rsidRPr="00F70870" w:rsidSect="00EA6892">
      <w:footerReference w:type="default" r:id="rId9"/>
      <w:pgSz w:w="11900" w:h="16840"/>
      <w:pgMar w:top="1440" w:right="1080" w:bottom="1440" w:left="1080" w:header="708" w:footer="248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4F" w:rsidRDefault="00F54A4F">
      <w:r>
        <w:separator/>
      </w:r>
    </w:p>
  </w:endnote>
  <w:endnote w:type="continuationSeparator" w:id="0">
    <w:p w:rsidR="00F54A4F" w:rsidRDefault="00F5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Verdana"/>
    <w:charset w:val="80"/>
    <w:family w:val="modern"/>
    <w:pitch w:val="fixed"/>
    <w:sig w:usb0="E00002FF" w:usb1="6AC7FDFB" w:usb2="00000012" w:usb3="00000000" w:csb0="0002009F" w:csb1="00000000"/>
  </w:font>
  <w:font w:name="Utopi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4F" w:rsidRDefault="00F54A4F">
    <w:pPr>
      <w:tabs>
        <w:tab w:val="center" w:pos="4252"/>
        <w:tab w:val="right" w:pos="8478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noProof/>
        <w:color w:val="000000"/>
        <w:u w:color="000000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-368300</wp:posOffset>
          </wp:positionH>
          <wp:positionV relativeFrom="page">
            <wp:posOffset>9798050</wp:posOffset>
          </wp:positionV>
          <wp:extent cx="7942580" cy="824865"/>
          <wp:effectExtent l="25400" t="0" r="0" b="0"/>
          <wp:wrapTight wrapText="bothSides">
            <wp:wrapPolygon edited="0">
              <wp:start x="16440" y="3991"/>
              <wp:lineTo x="-69" y="12637"/>
              <wp:lineTo x="-69" y="13968"/>
              <wp:lineTo x="16509" y="14633"/>
              <wp:lineTo x="16509" y="15963"/>
              <wp:lineTo x="16854" y="16628"/>
              <wp:lineTo x="17822" y="16628"/>
              <wp:lineTo x="18098" y="16628"/>
              <wp:lineTo x="19756" y="16628"/>
              <wp:lineTo x="21068" y="15963"/>
              <wp:lineTo x="21137" y="8647"/>
              <wp:lineTo x="20585" y="6651"/>
              <wp:lineTo x="17200" y="3991"/>
              <wp:lineTo x="16440" y="3991"/>
            </wp:wrapPolygon>
          </wp:wrapTight>
          <wp:docPr id="2" name="Picture 2" descr="image1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-small"/>
                  <pic:cNvPicPr>
                    <a:picLocks noChangeAspect="1"/>
                  </pic:cNvPicPr>
                </pic:nvPicPr>
                <pic:blipFill>
                  <a:blip r:embed="rId1"/>
                  <a:srcRect l="23410" t="-33527" r="-2672" b="-35133"/>
                  <a:stretch>
                    <a:fillRect/>
                  </a:stretch>
                </pic:blipFill>
                <pic:spPr bwMode="auto">
                  <a:xfrm>
                    <a:off x="0" y="0"/>
                    <a:ext cx="7942580" cy="82486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72CED">
      <w:rPr>
        <w:rFonts w:ascii="Helvetica" w:eastAsia="Arial Unicode MS" w:hAnsi="Helvetica"/>
        <w:color w:val="000000"/>
        <w:u w:color="000000"/>
      </w:rPr>
      <w:fldChar w:fldCharType="begin"/>
    </w:r>
    <w:r>
      <w:rPr>
        <w:rFonts w:ascii="Helvetica" w:eastAsia="Arial Unicode MS" w:hAnsi="Arial Unicode MS"/>
        <w:color w:val="000000"/>
        <w:u w:color="000000"/>
      </w:rPr>
      <w:instrText xml:space="preserve"> PAGE </w:instrText>
    </w:r>
    <w:r w:rsidR="00F72CED">
      <w:rPr>
        <w:rFonts w:ascii="Helvetica" w:eastAsia="Arial Unicode MS" w:hAnsi="Helvetica"/>
        <w:color w:val="000000"/>
        <w:u w:color="000000"/>
      </w:rPr>
      <w:fldChar w:fldCharType="separate"/>
    </w:r>
    <w:r w:rsidR="00257C6C">
      <w:rPr>
        <w:rFonts w:ascii="Helvetica" w:eastAsia="Arial Unicode MS" w:hAnsi="Arial Unicode MS"/>
        <w:noProof/>
        <w:color w:val="000000"/>
        <w:u w:color="000000"/>
      </w:rPr>
      <w:t>10</w:t>
    </w:r>
    <w:r w:rsidR="00F72CED"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4F" w:rsidRDefault="00F54A4F">
      <w:r>
        <w:separator/>
      </w:r>
    </w:p>
  </w:footnote>
  <w:footnote w:type="continuationSeparator" w:id="0">
    <w:p w:rsidR="00F54A4F" w:rsidRDefault="00F54A4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List1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pStyle w:val="List3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outlin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bullet"/>
      <w:pStyle w:val="List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bullet"/>
      <w:pStyle w:val="List5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</w:abstractNum>
  <w:abstractNum w:abstractNumId="13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bullet"/>
      <w:pStyle w:val="List6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32"/>
        </w:tabs>
        <w:ind w:left="332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A"/>
    <w:multiLevelType w:val="multilevel"/>
    <w:tmpl w:val="894EE88C"/>
    <w:lvl w:ilvl="0">
      <w:start w:val="1"/>
      <w:numFmt w:val="bullet"/>
      <w:pStyle w:val="List7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19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F"/>
    <w:multiLevelType w:val="multilevel"/>
    <w:tmpl w:val="894EE891"/>
    <w:lvl w:ilvl="0">
      <w:start w:val="1"/>
      <w:numFmt w:val="bullet"/>
      <w:pStyle w:val="List8"/>
      <w:lvlText w:val="•"/>
      <w:lvlJc w:val="left"/>
      <w:pPr>
        <w:tabs>
          <w:tab w:val="num" w:pos="332"/>
        </w:tabs>
        <w:ind w:left="3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>
    <w:nsid w:val="00000020"/>
    <w:multiLevelType w:val="multilevel"/>
    <w:tmpl w:val="894EE892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</w:abstractNum>
  <w:abstractNum w:abstractNumId="24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0000024"/>
    <w:multiLevelType w:val="multilevel"/>
    <w:tmpl w:val="894EE896"/>
    <w:lvl w:ilvl="0">
      <w:start w:val="1"/>
      <w:numFmt w:val="bullet"/>
      <w:pStyle w:val="List9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8">
    <w:nsid w:val="00000025"/>
    <w:multiLevelType w:val="multilevel"/>
    <w:tmpl w:val="894EE897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9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744DE"/>
    <w:multiLevelType w:val="hybridMultilevel"/>
    <w:tmpl w:val="743CB306"/>
    <w:lvl w:ilvl="0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5">
    <w:nsid w:val="6073748E"/>
    <w:multiLevelType w:val="hybridMultilevel"/>
    <w:tmpl w:val="7430C4AA"/>
    <w:lvl w:ilvl="0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6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07D2CC3"/>
    <w:multiLevelType w:val="multilevel"/>
    <w:tmpl w:val="743CB306"/>
    <w:lvl w:ilvl="0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9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9"/>
  </w:num>
  <w:num w:numId="29">
    <w:abstractNumId w:val="34"/>
  </w:num>
  <w:num w:numId="30">
    <w:abstractNumId w:val="38"/>
  </w:num>
  <w:num w:numId="31">
    <w:abstractNumId w:val="35"/>
  </w:num>
  <w:num w:numId="32">
    <w:abstractNumId w:val="15"/>
  </w:num>
  <w:num w:numId="33">
    <w:abstractNumId w:val="16"/>
  </w:num>
  <w:num w:numId="34">
    <w:abstractNumId w:val="21"/>
  </w:num>
  <w:num w:numId="35">
    <w:abstractNumId w:val="31"/>
  </w:num>
  <w:num w:numId="36">
    <w:abstractNumId w:val="37"/>
  </w:num>
  <w:num w:numId="37">
    <w:abstractNumId w:val="30"/>
  </w:num>
  <w:num w:numId="38">
    <w:abstractNumId w:val="32"/>
  </w:num>
  <w:num w:numId="39">
    <w:abstractNumId w:val="3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stylePaneFormatFilter w:val="2001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2D3A"/>
    <w:rsid w:val="000212B0"/>
    <w:rsid w:val="00031970"/>
    <w:rsid w:val="00037A49"/>
    <w:rsid w:val="000447E8"/>
    <w:rsid w:val="000472D0"/>
    <w:rsid w:val="000646AE"/>
    <w:rsid w:val="00071266"/>
    <w:rsid w:val="000808CE"/>
    <w:rsid w:val="000871BD"/>
    <w:rsid w:val="000D396E"/>
    <w:rsid w:val="000E2281"/>
    <w:rsid w:val="000F6F00"/>
    <w:rsid w:val="00135F98"/>
    <w:rsid w:val="0016101B"/>
    <w:rsid w:val="001663F1"/>
    <w:rsid w:val="0017411C"/>
    <w:rsid w:val="001A002A"/>
    <w:rsid w:val="001B339A"/>
    <w:rsid w:val="001B5CFA"/>
    <w:rsid w:val="001B6809"/>
    <w:rsid w:val="001C6445"/>
    <w:rsid w:val="001D3420"/>
    <w:rsid w:val="001D474B"/>
    <w:rsid w:val="001E1D37"/>
    <w:rsid w:val="001E21F7"/>
    <w:rsid w:val="002106D9"/>
    <w:rsid w:val="00257C6C"/>
    <w:rsid w:val="002615BA"/>
    <w:rsid w:val="00266420"/>
    <w:rsid w:val="00267DEA"/>
    <w:rsid w:val="002756DE"/>
    <w:rsid w:val="002A3C93"/>
    <w:rsid w:val="002A77D9"/>
    <w:rsid w:val="002B0E5E"/>
    <w:rsid w:val="002D3602"/>
    <w:rsid w:val="002D7EDF"/>
    <w:rsid w:val="002F3266"/>
    <w:rsid w:val="003315CC"/>
    <w:rsid w:val="003441E1"/>
    <w:rsid w:val="003621F5"/>
    <w:rsid w:val="0037229E"/>
    <w:rsid w:val="0037695B"/>
    <w:rsid w:val="0038181F"/>
    <w:rsid w:val="0038233D"/>
    <w:rsid w:val="003A139B"/>
    <w:rsid w:val="003A6672"/>
    <w:rsid w:val="003A6CFE"/>
    <w:rsid w:val="003B2890"/>
    <w:rsid w:val="003F39C3"/>
    <w:rsid w:val="003F6626"/>
    <w:rsid w:val="0041341A"/>
    <w:rsid w:val="00460698"/>
    <w:rsid w:val="0048189C"/>
    <w:rsid w:val="00497C71"/>
    <w:rsid w:val="004A21F1"/>
    <w:rsid w:val="004A4151"/>
    <w:rsid w:val="004E3322"/>
    <w:rsid w:val="00554CFA"/>
    <w:rsid w:val="00590FA8"/>
    <w:rsid w:val="005B1438"/>
    <w:rsid w:val="005D7E6D"/>
    <w:rsid w:val="005E1F3A"/>
    <w:rsid w:val="005E57BA"/>
    <w:rsid w:val="005F54E7"/>
    <w:rsid w:val="00614072"/>
    <w:rsid w:val="00617D1A"/>
    <w:rsid w:val="00620AC7"/>
    <w:rsid w:val="006215D1"/>
    <w:rsid w:val="00672F5B"/>
    <w:rsid w:val="00682BF0"/>
    <w:rsid w:val="006954DD"/>
    <w:rsid w:val="00696C28"/>
    <w:rsid w:val="006A19C7"/>
    <w:rsid w:val="006B4DCD"/>
    <w:rsid w:val="006C247F"/>
    <w:rsid w:val="006D61F3"/>
    <w:rsid w:val="006F12CC"/>
    <w:rsid w:val="006F1446"/>
    <w:rsid w:val="00722DEF"/>
    <w:rsid w:val="00735BD5"/>
    <w:rsid w:val="00746212"/>
    <w:rsid w:val="00760AE6"/>
    <w:rsid w:val="007648BC"/>
    <w:rsid w:val="00796BFA"/>
    <w:rsid w:val="007B01A6"/>
    <w:rsid w:val="007B3726"/>
    <w:rsid w:val="007C285E"/>
    <w:rsid w:val="007D111E"/>
    <w:rsid w:val="007D1A8B"/>
    <w:rsid w:val="007F4E85"/>
    <w:rsid w:val="0080013F"/>
    <w:rsid w:val="00814446"/>
    <w:rsid w:val="00820060"/>
    <w:rsid w:val="00827D5A"/>
    <w:rsid w:val="00866749"/>
    <w:rsid w:val="008B2ABF"/>
    <w:rsid w:val="008C6DF9"/>
    <w:rsid w:val="008E2C17"/>
    <w:rsid w:val="008F36AB"/>
    <w:rsid w:val="009127D4"/>
    <w:rsid w:val="0092005A"/>
    <w:rsid w:val="009439DF"/>
    <w:rsid w:val="00960785"/>
    <w:rsid w:val="00971311"/>
    <w:rsid w:val="009729D3"/>
    <w:rsid w:val="0097549B"/>
    <w:rsid w:val="009758CA"/>
    <w:rsid w:val="00981BB2"/>
    <w:rsid w:val="00996B74"/>
    <w:rsid w:val="009A07E6"/>
    <w:rsid w:val="009B559C"/>
    <w:rsid w:val="009C6710"/>
    <w:rsid w:val="009D2C27"/>
    <w:rsid w:val="009E0228"/>
    <w:rsid w:val="009F7821"/>
    <w:rsid w:val="00A30AA7"/>
    <w:rsid w:val="00A90558"/>
    <w:rsid w:val="00AA47BF"/>
    <w:rsid w:val="00AE30BA"/>
    <w:rsid w:val="00AE7F83"/>
    <w:rsid w:val="00AF34B3"/>
    <w:rsid w:val="00B006B9"/>
    <w:rsid w:val="00B01DCA"/>
    <w:rsid w:val="00B103EB"/>
    <w:rsid w:val="00B3569F"/>
    <w:rsid w:val="00B54C86"/>
    <w:rsid w:val="00B648F3"/>
    <w:rsid w:val="00B72CE4"/>
    <w:rsid w:val="00B96066"/>
    <w:rsid w:val="00BA713B"/>
    <w:rsid w:val="00BC3B8B"/>
    <w:rsid w:val="00BC53DE"/>
    <w:rsid w:val="00BD0B8F"/>
    <w:rsid w:val="00C11F00"/>
    <w:rsid w:val="00C17A88"/>
    <w:rsid w:val="00C50E25"/>
    <w:rsid w:val="00C63244"/>
    <w:rsid w:val="00CA2535"/>
    <w:rsid w:val="00CA6E0C"/>
    <w:rsid w:val="00CB0BE7"/>
    <w:rsid w:val="00CE70B4"/>
    <w:rsid w:val="00D24585"/>
    <w:rsid w:val="00D2612E"/>
    <w:rsid w:val="00D67E4D"/>
    <w:rsid w:val="00D715F5"/>
    <w:rsid w:val="00D76F7F"/>
    <w:rsid w:val="00D947C9"/>
    <w:rsid w:val="00D97C30"/>
    <w:rsid w:val="00DC3A67"/>
    <w:rsid w:val="00DD24A5"/>
    <w:rsid w:val="00DD3BA2"/>
    <w:rsid w:val="00DF66B9"/>
    <w:rsid w:val="00DF6CC2"/>
    <w:rsid w:val="00DF7371"/>
    <w:rsid w:val="00E44321"/>
    <w:rsid w:val="00E52962"/>
    <w:rsid w:val="00E75784"/>
    <w:rsid w:val="00EA6892"/>
    <w:rsid w:val="00EC2D3A"/>
    <w:rsid w:val="00EC4672"/>
    <w:rsid w:val="00EF4F7D"/>
    <w:rsid w:val="00EF578D"/>
    <w:rsid w:val="00F020F5"/>
    <w:rsid w:val="00F02DB3"/>
    <w:rsid w:val="00F123D2"/>
    <w:rsid w:val="00F2071D"/>
    <w:rsid w:val="00F42EE3"/>
    <w:rsid w:val="00F46262"/>
    <w:rsid w:val="00F54A4F"/>
    <w:rsid w:val="00F67809"/>
    <w:rsid w:val="00F70870"/>
    <w:rsid w:val="00F72CED"/>
    <w:rsid w:val="00F74EA6"/>
    <w:rsid w:val="00F77BEC"/>
    <w:rsid w:val="00FA6173"/>
    <w:rsid w:val="00FC749D"/>
    <w:rsid w:val="00FD68CB"/>
  </w:rsids>
  <m:mathPr>
    <m:mathFont m:val="  BodoniZ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CE4"/>
  </w:style>
  <w:style w:type="paragraph" w:styleId="Heading1">
    <w:name w:val="heading 1"/>
    <w:next w:val="Unknown0"/>
    <w:qFormat/>
    <w:rsid w:val="00B72CE4"/>
    <w:pPr>
      <w:keepNext/>
      <w:jc w:val="right"/>
      <w:outlineLvl w:val="0"/>
    </w:pPr>
    <w:rPr>
      <w:rFonts w:ascii="Helvetica" w:eastAsia="Arial Unicode MS" w:hAnsi="Helvetica"/>
      <w:b/>
      <w:color w:val="808080"/>
      <w:u w:color="8080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Unknown0">
    <w:name w:val="Unknown 0"/>
    <w:semiHidden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Body1">
    <w:name w:val="Body 1"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List1">
    <w:name w:val="List 1"/>
    <w:basedOn w:val="ImportWordListStyleDefinition4"/>
    <w:semiHidden/>
    <w:rsid w:val="00B72CE4"/>
    <w:pPr>
      <w:numPr>
        <w:numId w:val="1"/>
      </w:numPr>
    </w:pPr>
  </w:style>
  <w:style w:type="paragraph" w:customStyle="1" w:styleId="ImportWordListStyleDefinition4">
    <w:name w:val="Import Word List Style Definition 4"/>
    <w:autoRedefine/>
    <w:rsid w:val="00B72CE4"/>
    <w:pPr>
      <w:numPr>
        <w:numId w:val="2"/>
      </w:numPr>
    </w:pPr>
  </w:style>
  <w:style w:type="paragraph" w:styleId="List2">
    <w:name w:val="List 2"/>
    <w:basedOn w:val="ImportWordListStyleDefinition4"/>
    <w:semiHidden/>
    <w:rsid w:val="00B72CE4"/>
    <w:pPr>
      <w:numPr>
        <w:numId w:val="4"/>
      </w:numPr>
    </w:pPr>
  </w:style>
  <w:style w:type="paragraph" w:styleId="List3">
    <w:name w:val="List 3"/>
    <w:basedOn w:val="ImportWordListStyleDefinition12"/>
    <w:semiHidden/>
    <w:rsid w:val="00B72CE4"/>
    <w:pPr>
      <w:numPr>
        <w:numId w:val="6"/>
      </w:numPr>
    </w:pPr>
  </w:style>
  <w:style w:type="paragraph" w:customStyle="1" w:styleId="ImportWordListStyleDefinition12">
    <w:name w:val="Import Word List Style Definition 12"/>
    <w:rsid w:val="00B72CE4"/>
    <w:pPr>
      <w:numPr>
        <w:numId w:val="7"/>
      </w:numPr>
    </w:pPr>
  </w:style>
  <w:style w:type="paragraph" w:styleId="List4">
    <w:name w:val="List 4"/>
    <w:basedOn w:val="ImportWordListStyleDefinition12"/>
    <w:semiHidden/>
    <w:rsid w:val="00B72CE4"/>
    <w:pPr>
      <w:numPr>
        <w:numId w:val="10"/>
      </w:numPr>
    </w:pPr>
  </w:style>
  <w:style w:type="paragraph" w:styleId="List5">
    <w:name w:val="List 5"/>
    <w:basedOn w:val="ImportWordListStyleDefinition7"/>
    <w:semiHidden/>
    <w:rsid w:val="00B72CE4"/>
    <w:pPr>
      <w:numPr>
        <w:numId w:val="12"/>
      </w:numPr>
    </w:pPr>
  </w:style>
  <w:style w:type="paragraph" w:customStyle="1" w:styleId="ImportWordListStyleDefinition7">
    <w:name w:val="Import Word List Style Definition 7"/>
    <w:rsid w:val="00B72CE4"/>
    <w:pPr>
      <w:numPr>
        <w:numId w:val="13"/>
      </w:numPr>
    </w:pPr>
  </w:style>
  <w:style w:type="paragraph" w:customStyle="1" w:styleId="List6">
    <w:name w:val="List 6"/>
    <w:basedOn w:val="ImportWordListStyleDefinition7"/>
    <w:semiHidden/>
    <w:rsid w:val="00B72CE4"/>
    <w:pPr>
      <w:numPr>
        <w:numId w:val="15"/>
      </w:numPr>
    </w:pPr>
  </w:style>
  <w:style w:type="paragraph" w:customStyle="1" w:styleId="List7">
    <w:name w:val="List 7"/>
    <w:basedOn w:val="ImportWordListStyleDefinition8"/>
    <w:semiHidden/>
    <w:rsid w:val="00B72CE4"/>
    <w:pPr>
      <w:numPr>
        <w:numId w:val="16"/>
      </w:numPr>
    </w:pPr>
  </w:style>
  <w:style w:type="paragraph" w:customStyle="1" w:styleId="ImportWordListStyleDefinition8">
    <w:name w:val="Import Word List Style Definition 8"/>
    <w:rsid w:val="00B72CE4"/>
    <w:pPr>
      <w:numPr>
        <w:numId w:val="17"/>
      </w:numPr>
    </w:pPr>
  </w:style>
  <w:style w:type="paragraph" w:customStyle="1" w:styleId="List8">
    <w:name w:val="List 8"/>
    <w:basedOn w:val="ImportWordListStyleDefinition10"/>
    <w:semiHidden/>
    <w:rsid w:val="00B72CE4"/>
    <w:pPr>
      <w:numPr>
        <w:numId w:val="20"/>
      </w:numPr>
    </w:pPr>
  </w:style>
  <w:style w:type="paragraph" w:customStyle="1" w:styleId="ImportWordListStyleDefinition10">
    <w:name w:val="Import Word List Style Definition 10"/>
    <w:rsid w:val="00B72CE4"/>
    <w:pPr>
      <w:numPr>
        <w:numId w:val="21"/>
      </w:numPr>
    </w:pPr>
  </w:style>
  <w:style w:type="paragraph" w:customStyle="1" w:styleId="List9">
    <w:name w:val="List 9"/>
    <w:basedOn w:val="ImportWordListStyleDefinition1"/>
    <w:semiHidden/>
    <w:rsid w:val="00B72CE4"/>
    <w:pPr>
      <w:numPr>
        <w:numId w:val="25"/>
      </w:numPr>
    </w:pPr>
  </w:style>
  <w:style w:type="paragraph" w:customStyle="1" w:styleId="ImportWordListStyleDefinition1">
    <w:name w:val="Import Word List Style Definition 1"/>
    <w:rsid w:val="00B72CE4"/>
    <w:pPr>
      <w:numPr>
        <w:numId w:val="26"/>
      </w:numPr>
    </w:pPr>
  </w:style>
  <w:style w:type="character" w:styleId="Hyperlink">
    <w:name w:val="Hyperlink"/>
    <w:rsid w:val="00B72CE4"/>
    <w:rPr>
      <w:rFonts w:ascii="Arial" w:eastAsia="Arial Unicode MS" w:hAnsi="Arial"/>
      <w:b/>
      <w:i/>
      <w:sz w:val="21"/>
    </w:rPr>
  </w:style>
  <w:style w:type="paragraph" w:styleId="Header">
    <w:name w:val="header"/>
    <w:basedOn w:val="Normal"/>
    <w:link w:val="HeaderChar"/>
    <w:locked/>
    <w:rsid w:val="00EC2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D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C2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2D3A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97C30"/>
    <w:pPr>
      <w:suppressAutoHyphens/>
      <w:spacing w:after="120"/>
      <w:jc w:val="both"/>
    </w:pPr>
    <w:rPr>
      <w:rFonts w:ascii="Frutiger 45 Light" w:eastAsia="MS Mincho" w:hAnsi="Frutiger 45 Light" w:cs="Frutiger 45 Light"/>
      <w:b/>
      <w:bCs/>
      <w:snapToGrid w:val="0"/>
      <w:u w:val="single"/>
      <w:lang w:eastAsia="ja-JP"/>
    </w:rPr>
  </w:style>
  <w:style w:type="character" w:customStyle="1" w:styleId="BodyText3Char">
    <w:name w:val="Body Text 3 Char"/>
    <w:basedOn w:val="DefaultParagraphFont"/>
    <w:link w:val="BodyText3"/>
    <w:rsid w:val="00D97C30"/>
    <w:rPr>
      <w:rFonts w:ascii="Frutiger 45 Light" w:eastAsia="MS Mincho" w:hAnsi="Frutiger 45 Light" w:cs="Frutiger 45 Light"/>
      <w:b/>
      <w:bCs/>
      <w:snapToGrid w:val="0"/>
      <w:sz w:val="24"/>
      <w:szCs w:val="24"/>
      <w:u w:val="single"/>
      <w:lang w:val="en-US" w:eastAsia="ja-JP"/>
    </w:rPr>
  </w:style>
  <w:style w:type="paragraph" w:styleId="ListParagraph">
    <w:name w:val="List Paragraph"/>
    <w:basedOn w:val="Normal"/>
    <w:uiPriority w:val="34"/>
    <w:qFormat/>
    <w:rsid w:val="00D947C9"/>
    <w:pPr>
      <w:ind w:left="720"/>
      <w:contextualSpacing/>
    </w:pPr>
    <w:rPr>
      <w:rFonts w:ascii="Utopia" w:hAnsi="Utopia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41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.com/corporate" TargetMode="External"/><Relationship Id="rId8" Type="http://schemas.openxmlformats.org/officeDocument/2006/relationships/hyperlink" Target="http://www.michelin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2545</Words>
  <Characters>14511</Characters>
  <Application>Microsoft Macintosh Word</Application>
  <DocSecurity>0</DocSecurity>
  <Lines>120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  <vt:variant>
        <vt:lpstr>Title</vt:lpstr>
      </vt:variant>
      <vt:variant>
        <vt:i4>1</vt:i4>
      </vt:variant>
    </vt:vector>
  </HeadingPairs>
  <TitlesOfParts>
    <vt:vector size="102" baseType="lpstr">
      <vt:lpstr/>
      <vt:lpstr/>
      <vt:lpstr>INFORMACIÓN DE PRENSA_x000d_25/04/2013</vt:lpstr>
      <vt:lpstr/>
      <vt:lpstr>Resultados financieros del Grupo Michelin _x000d_Información financiera correspondient</vt:lpstr>
      <vt:lpstr/>
      <vt:lpstr>Volúmenes en aumento del 3,4 % en el  primer trimestre de 2014  Ventas netas de </vt:lpstr>
      <vt:lpstr/>
      <vt:lpstr>Recuperación de los mercados de Turismo Camioneta y de Camión, con excepción de </vt:lpstr>
      <vt:lpstr>Volúmenes en alza del 3,4 %, lo que refleja:</vt:lpstr>
      <vt:lpstr>La fuerza de la marca MICHELIN.</vt:lpstr>
      <vt:lpstr>El dinamismo de las actividades de Primeros Equipos.</vt:lpstr>
      <vt:lpstr>El crecimiento mundial de las actividades de Camión.</vt:lpstr>
      <vt:lpstr>El crecimiento de las actividades de Agrícola, Dos Ruedas y Avión que permiten c</vt:lpstr>
      <vt:lpstr>El efecto del mix de precios negativo, que se percibe en:</vt:lpstr>
      <vt:lpstr>El impacto de las cláusulas de indexación y de reposicionamiento de los precios,</vt:lpstr>
      <vt:lpstr>Los aumentos de precios que atenúan el efecto desfavorable de algunas divisas.</vt:lpstr>
      <vt:lpstr>La eficacia de la estrategia “Premium”.</vt:lpstr>
      <vt:lpstr>El efecto desfavorable de las paridades monetarias (- 4,6 %), relacionado con la</vt:lpstr>
      <vt:lpstr/>
      <vt:lpstr/>
      <vt:lpstr/>
      <vt:lpstr>1Ingeniería Civil, Agrícola, Dos Ruedas y Avión; Michelin Travel Partner y Miche</vt:lpstr>
      <vt:lpstr>Perspectivas para 2014</vt:lpstr>
      <vt:lpstr>Mientras que la demanda de neumáticos muestra en el primer trimestre de 2014 la </vt:lpstr>
      <vt:lpstr>El Grupo tiene como objetivo un crecimiento de su margen bruto unitario, conserv</vt:lpstr>
      <vt:lpstr>En este contexto, Michelin confirma su objetivo para el año 2014 de un resultado</vt:lpstr>
      <vt:lpstr/>
      <vt:lpstr/>
      <vt:lpstr>Evolución del mercado</vt:lpstr>
      <vt:lpstr>Turismo y camioneta</vt:lpstr>
      <vt:lpstr>*Incluyendo Rusia y Turquía</vt:lpstr>
      <vt:lpstr>Primeros Equipos</vt:lpstr>
      <vt:lpstr>En Europa, la demanda de neumáticos crece en un 6 %, gracias al impulso de la ac</vt:lpstr>
      <vt:lpstr>El mercado de América del Norte ha crecido un 5 % y se beneficia del rejuvenecim</vt:lpstr>
      <vt:lpstr>En Asia (excluida la India), la demanda ha crecido globalmente un 8%, con grande</vt:lpstr>
      <vt:lpstr>En América del Sur, el mercado cae un 8 % en el primer trimestre, en un contexto</vt:lpstr>
      <vt:lpstr>Reemplazo</vt:lpstr>
      <vt:lpstr>En Europa, el mercado progresa un 4 %. En Europa Occidental, aumenta un 7 % en c</vt:lpstr>
      <vt:lpstr>En América del Norte, el mercado crece un 7 %, lo que refleja a la vez el aument</vt:lpstr>
      <vt:lpstr>En Asia (excluida la India), la demanda progresa globalmente un 11 %. El mercado</vt:lpstr>
      <vt:lpstr>En América del Sur, la demanda se incrementa en un 6 %, espoleada por los mercad</vt:lpstr>
      <vt:lpstr/>
      <vt:lpstr>Camión</vt:lpstr>
      <vt:lpstr/>
      <vt:lpstr>*Sólo mercado radial_x000d_**Incluyendo Rusia y Turquía</vt:lpstr>
      <vt:lpstr>Primeros Equipos</vt:lpstr>
      <vt:lpstr>En Europa, la demanda refleja, en Europa Occidental (+ 8 %), las matriculaciones</vt:lpstr>
      <vt:lpstr>En América del Norte, el mercado aumenta un 6 %, con una mejora del mix sostenid</vt:lpstr>
      <vt:lpstr>En Asia (excluida la India), la demanda radial y diagonal crece un 11 %. En Chin</vt:lpstr>
      <vt:lpstr>En América del Sur, el mercado continúa bien orientado (+ 10 %) y el aumento de </vt:lpstr>
      <vt:lpstr>Reemplazo</vt:lpstr>
      <vt:lpstr>En Europa, el mercado crece un 9 %. La demanda en Europa Occidental  (+ 16 %) re</vt:lpstr>
      <vt:lpstr>En América del Norte, el mercado aumenta un 8 % en el trimestre, con una contrib</vt:lpstr>
      <vt:lpstr>Los mercados de Asia (excluida la India), radial y diagonal, se incrementan en u</vt:lpstr>
      <vt:lpstr>En América del Sur, el mercado radial y diagonal progresa un 4 %, con una demand</vt:lpstr>
      <vt:lpstr>Neumáticos de especialidades</vt:lpstr>
      <vt:lpstr/>
      <vt:lpstr>Ingeniería civil: La actividad de extracción minera crece globalmente. Sin embar</vt:lpstr>
      <vt:lpstr>Los mercados de primer equipo se recuperan en este trimestre en las zonas madura</vt:lpstr>
      <vt:lpstr>Los mercados de neumáticos para infraestructuras y canteras experimentan un lige</vt:lpstr>
      <vt:lpstr>Agricultura: La demanda mundial en los mercados de primeros equipos cae en los p</vt:lpstr>
      <vt:lpstr>El mercado de reemplazo se recupera en Europa, pero cae en América del Norte.</vt:lpstr>
      <vt:lpstr>Dos ruedas: El mercado de Moto aumenta en Europa y baja América del Norte, penal</vt:lpstr>
      <vt:lpstr>Avión: El mercado de neumáticos para aviones comerciales crece, mientras que los</vt:lpstr>
      <vt:lpstr>Ventas netas de Michelin</vt:lpstr>
      <vt:lpstr>Evolución global</vt:lpstr>
      <vt:lpstr/>
      <vt:lpstr>En los tres primeros meses del año, las ventas netas ascendieron a 4.758 millone</vt:lpstr>
      <vt:lpstr>El impacto negativo (- 4,6 %) de las paridades monetarias, resultado principalme</vt:lpstr>
      <vt:lpstr>Los volúmenes en crecimiento (+ 3,4 %), en una coyuntura de mercados globalmente</vt:lpstr>
      <vt:lpstr>El efecto del mix de precios en caída del 1,1%, que responde a:</vt:lpstr>
      <vt:lpstr>El efecto del precio (- 98 millones de euros) que combina, en un 55 %, el efecto</vt:lpstr>
      <vt:lpstr/>
      <vt:lpstr>El efecto favorable del mix (+ 45 millones de euros) con el mantenimiento de la </vt:lpstr>
      <vt:lpstr/>
      <vt:lpstr>Ventas netas por segmentos</vt:lpstr>
      <vt:lpstr>Turismo y camioneta y distribución asociada</vt:lpstr>
      <vt:lpstr>Para el primer trimestre de 2014, las ventas netas alcanzan los 2.520 millones d</vt:lpstr>
      <vt:lpstr>Los volúmenes en Turismo Camioneta, en crecimiento del 2 % a finales de marzo, h</vt:lpstr>
      <vt:lpstr>La evolución de los precios reflejan la aplicación de las cláusulas de las mater</vt:lpstr>
      <vt:lpstr>El efecto del mix continúa favorable, sostenido por el rendimiento del Grupo en </vt:lpstr>
      <vt:lpstr>El efecto desfavorable de las paridades se sitúa en un – 4 %.</vt:lpstr>
      <vt:lpstr>Camión y distribución asociada</vt:lpstr>
      <vt:lpstr>A finales de marzo de 2014, las ventas netas se establecen en 1.462 millones de </vt:lpstr>
      <vt:lpstr>Los volúmenes vendidos aumentan un 8 % en los tres meses, reflejando una buena c</vt:lpstr>
      <vt:lpstr>La evolución de los precios refleja los ajustes relacionados con las cláusulas d</vt:lpstr>
      <vt:lpstr>El mix Primeros Equipos/Reemplazo es desfavorable debido al crecimiento más sost</vt:lpstr>
      <vt:lpstr>Neumáticos de especialidades</vt:lpstr>
      <vt:lpstr>En los tres primeros meses del año, las ventas netas de la Actividad de Especial</vt:lpstr>
      <vt:lpstr>Ingeniería Civil: Las ventas netas caen, penalizadas por la bajada de los volúme</vt:lpstr>
      <vt:lpstr>Agricultura: Las ventas netas aumentan. La progresión de los volúmenes en las zo</vt:lpstr>
      <vt:lpstr>Dos ruedas: El crecimiento de las ventas netas, el aumento de los volúmenes y el</vt:lpstr>
      <vt:lpstr>Avión: Las ventas netas progresan gracias al aumento de los volúmenes y de los e</vt:lpstr>
      <vt:lpstr/>
      <vt:lpstr/>
      <vt:lpstr/>
      <vt:lpstr/>
      <vt:lpstr/>
      <vt:lpstr/>
      <vt:lpstr>Hechos destacados del primer trimestre de 2014</vt:lpstr>
      <vt:lpstr/>
    </vt:vector>
  </TitlesOfParts>
  <Company>Avalon</Company>
  <LinksUpToDate>false</LinksUpToDate>
  <CharactersWithSpaces>17820</CharactersWithSpaces>
  <SharedDoc>false</SharedDoc>
  <HLinks>
    <vt:vector size="12" baseType="variant">
      <vt:variant>
        <vt:i4>6815837</vt:i4>
      </vt:variant>
      <vt:variant>
        <vt:i4>3</vt:i4>
      </vt:variant>
      <vt:variant>
        <vt:i4>0</vt:i4>
      </vt:variant>
      <vt:variant>
        <vt:i4>5</vt:i4>
      </vt:variant>
      <vt:variant>
        <vt:lpwstr>http://www.michelin.com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http://www.michelin.com/corporate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4</cp:revision>
  <cp:lastPrinted>2013-04-25T08:09:00Z</cp:lastPrinted>
  <dcterms:created xsi:type="dcterms:W3CDTF">2014-04-24T14:57:00Z</dcterms:created>
  <dcterms:modified xsi:type="dcterms:W3CDTF">2014-04-24T15:04:00Z</dcterms:modified>
</cp:coreProperties>
</file>