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57" w:rsidRPr="000F3918" w:rsidRDefault="00913057" w:rsidP="00913057">
      <w:pPr>
        <w:pStyle w:val="Heading1"/>
        <w:spacing w:after="230"/>
        <w:rPr>
          <w:rFonts w:ascii="Times" w:hAnsi="Times" w:cs="Times"/>
          <w:sz w:val="22"/>
          <w:lang w:val="es-ES_tradnl"/>
        </w:rPr>
      </w:pPr>
    </w:p>
    <w:p w:rsidR="00913057" w:rsidRPr="000F3918" w:rsidRDefault="00913057" w:rsidP="00913057">
      <w:pPr>
        <w:pStyle w:val="Heading1"/>
        <w:spacing w:after="230"/>
        <w:rPr>
          <w:rFonts w:ascii="Times" w:hAnsi="Times" w:cs="Times"/>
          <w:sz w:val="22"/>
          <w:lang w:val="es-ES_tradnl"/>
        </w:rPr>
      </w:pPr>
      <w:r w:rsidRPr="000F3918">
        <w:rPr>
          <w:rFonts w:ascii="Times" w:hAnsi="Times" w:cs="Times"/>
          <w:sz w:val="22"/>
          <w:lang w:val="es-ES_tradnl"/>
        </w:rPr>
        <w:t>INFORMACIÓN DE PRENSA</w:t>
      </w:r>
      <w:r w:rsidR="00FF5674">
        <w:rPr>
          <w:rFonts w:ascii="Times" w:hAnsi="Times" w:cs="Times"/>
          <w:sz w:val="22"/>
          <w:lang w:val="es-ES_tradnl"/>
        </w:rPr>
        <w:br/>
      </w:r>
      <w:r w:rsidR="00FF5674" w:rsidRPr="00FF5674">
        <w:rPr>
          <w:rFonts w:ascii="Times" w:hAnsi="Times" w:cs="Times"/>
          <w:b w:val="0"/>
          <w:sz w:val="22"/>
          <w:lang w:val="es-ES_tradnl"/>
        </w:rPr>
        <w:t>12/02/2013</w:t>
      </w:r>
    </w:p>
    <w:p w:rsidR="00913057" w:rsidRPr="000F3918" w:rsidRDefault="00913057" w:rsidP="00913057">
      <w:pPr>
        <w:pStyle w:val="TITULARMICHELIN"/>
        <w:spacing w:after="230"/>
        <w:rPr>
          <w:rFonts w:ascii="Arial" w:hAnsi="Arial" w:cs="Arial"/>
          <w:szCs w:val="26"/>
        </w:rPr>
      </w:pPr>
    </w:p>
    <w:p w:rsidR="00913057" w:rsidRPr="000F3918" w:rsidRDefault="00913057" w:rsidP="00913057">
      <w:pPr>
        <w:pStyle w:val="TITULARMICHELIN"/>
        <w:spacing w:after="120"/>
        <w:rPr>
          <w:sz w:val="28"/>
          <w:szCs w:val="26"/>
        </w:rPr>
      </w:pPr>
      <w:r w:rsidRPr="000F3918">
        <w:rPr>
          <w:sz w:val="38"/>
          <w:szCs w:val="38"/>
        </w:rPr>
        <w:t>Resultados financieros del Grupo Michelin en 2012</w:t>
      </w:r>
      <w:r w:rsidRPr="000F3918">
        <w:rPr>
          <w:szCs w:val="26"/>
        </w:rPr>
        <w:br/>
      </w:r>
      <w:r w:rsidRPr="000F3918">
        <w:rPr>
          <w:sz w:val="28"/>
          <w:szCs w:val="26"/>
        </w:rPr>
        <w:t>Información financiera a fecha de 31 de diciembre de 2012</w:t>
      </w:r>
    </w:p>
    <w:p w:rsidR="00913057" w:rsidRPr="000F3918" w:rsidRDefault="00913057" w:rsidP="00913057">
      <w:pPr>
        <w:jc w:val="center"/>
        <w:rPr>
          <w:rFonts w:ascii="Verdana" w:hAnsi="Verdana"/>
          <w:b/>
          <w:sz w:val="16"/>
          <w:szCs w:val="16"/>
        </w:rPr>
      </w:pPr>
    </w:p>
    <w:p w:rsidR="00913057" w:rsidRPr="000B1335" w:rsidRDefault="00913057" w:rsidP="00913057">
      <w:pPr>
        <w:pBdr>
          <w:top w:val="single" w:sz="4" w:space="1" w:color="auto"/>
          <w:left w:val="single" w:sz="4" w:space="4" w:color="auto"/>
          <w:bottom w:val="single" w:sz="4" w:space="1" w:color="auto"/>
          <w:right w:val="single" w:sz="4" w:space="4" w:color="auto"/>
        </w:pBdr>
        <w:spacing w:after="120"/>
        <w:jc w:val="center"/>
        <w:rPr>
          <w:rFonts w:ascii="Arial" w:hAnsi="Arial"/>
          <w:b/>
          <w:sz w:val="22"/>
          <w:szCs w:val="22"/>
          <w:u w:val="single"/>
        </w:rPr>
      </w:pPr>
      <w:r w:rsidRPr="000F3918">
        <w:rPr>
          <w:rFonts w:ascii="Arial" w:hAnsi="Arial"/>
          <w:b/>
          <w:sz w:val="22"/>
          <w:szCs w:val="22"/>
        </w:rPr>
        <w:br/>
      </w:r>
      <w:r w:rsidRPr="000B1335">
        <w:rPr>
          <w:rFonts w:ascii="Arial" w:hAnsi="Arial"/>
          <w:b/>
          <w:sz w:val="22"/>
          <w:szCs w:val="22"/>
          <w:u w:val="single"/>
        </w:rPr>
        <w:t>201</w:t>
      </w:r>
      <w:r w:rsidR="00F61E28" w:rsidRPr="000B1335">
        <w:rPr>
          <w:rFonts w:ascii="Arial" w:hAnsi="Arial"/>
          <w:b/>
          <w:sz w:val="22"/>
          <w:szCs w:val="22"/>
          <w:u w:val="single"/>
        </w:rPr>
        <w:t>2</w:t>
      </w:r>
      <w:r w:rsidRPr="000B1335">
        <w:rPr>
          <w:rFonts w:ascii="Arial" w:hAnsi="Arial"/>
          <w:b/>
          <w:sz w:val="22"/>
          <w:szCs w:val="22"/>
          <w:u w:val="single"/>
        </w:rPr>
        <w:t xml:space="preserve">: </w:t>
      </w:r>
      <w:r w:rsidR="00F61E28" w:rsidRPr="000B1335">
        <w:rPr>
          <w:rFonts w:ascii="Arial" w:hAnsi="Arial"/>
          <w:b/>
          <w:sz w:val="22"/>
          <w:szCs w:val="22"/>
          <w:u w:val="single"/>
        </w:rPr>
        <w:t xml:space="preserve">Resultados elevados en mercados poco </w:t>
      </w:r>
      <w:r w:rsidR="00CB64F1" w:rsidRPr="000B1335">
        <w:rPr>
          <w:rFonts w:ascii="Arial" w:hAnsi="Arial"/>
          <w:b/>
          <w:sz w:val="22"/>
          <w:szCs w:val="22"/>
          <w:u w:val="single"/>
        </w:rPr>
        <w:t>favorables</w:t>
      </w:r>
      <w:r w:rsidRPr="000B1335">
        <w:rPr>
          <w:rFonts w:ascii="Arial" w:hAnsi="Arial"/>
          <w:b/>
          <w:sz w:val="22"/>
          <w:szCs w:val="22"/>
          <w:u w:val="single"/>
        </w:rPr>
        <w:t>.</w:t>
      </w:r>
    </w:p>
    <w:p w:rsidR="00F62BDE" w:rsidRPr="000F3918" w:rsidRDefault="00F62BDE" w:rsidP="00F62BDE">
      <w:pPr>
        <w:pBdr>
          <w:top w:val="single" w:sz="4" w:space="1" w:color="auto"/>
          <w:left w:val="single" w:sz="4" w:space="4" w:color="auto"/>
          <w:bottom w:val="single" w:sz="4" w:space="1" w:color="auto"/>
          <w:right w:val="single" w:sz="4" w:space="4" w:color="auto"/>
        </w:pBdr>
        <w:spacing w:after="120"/>
        <w:jc w:val="center"/>
        <w:rPr>
          <w:rFonts w:ascii="Arial" w:hAnsi="Arial"/>
          <w:b/>
          <w:sz w:val="22"/>
          <w:szCs w:val="22"/>
        </w:rPr>
      </w:pPr>
      <w:r w:rsidRPr="000F3918">
        <w:rPr>
          <w:rFonts w:ascii="Arial" w:hAnsi="Arial"/>
          <w:b/>
          <w:sz w:val="22"/>
          <w:szCs w:val="22"/>
        </w:rPr>
        <w:t>Cash flow libre superior a 1.000 millones de euros</w:t>
      </w:r>
    </w:p>
    <w:p w:rsidR="005020D0" w:rsidRPr="000F3918" w:rsidRDefault="009E60B7" w:rsidP="005020D0">
      <w:pPr>
        <w:pBdr>
          <w:top w:val="single" w:sz="4" w:space="1" w:color="auto"/>
          <w:left w:val="single" w:sz="4" w:space="4" w:color="auto"/>
          <w:bottom w:val="single" w:sz="4" w:space="1" w:color="auto"/>
          <w:right w:val="single" w:sz="4" w:space="4" w:color="auto"/>
        </w:pBdr>
        <w:spacing w:after="120"/>
        <w:jc w:val="center"/>
        <w:rPr>
          <w:rFonts w:ascii="Arial" w:hAnsi="Arial"/>
          <w:b/>
          <w:sz w:val="22"/>
          <w:szCs w:val="22"/>
        </w:rPr>
      </w:pPr>
      <w:r w:rsidRPr="000F3918">
        <w:rPr>
          <w:rFonts w:ascii="Arial" w:hAnsi="Arial"/>
          <w:b/>
          <w:sz w:val="22"/>
          <w:szCs w:val="22"/>
        </w:rPr>
        <w:t>R</w:t>
      </w:r>
      <w:r w:rsidR="00913057" w:rsidRPr="000F3918">
        <w:rPr>
          <w:rFonts w:ascii="Arial" w:hAnsi="Arial"/>
          <w:b/>
          <w:sz w:val="22"/>
          <w:szCs w:val="22"/>
        </w:rPr>
        <w:t xml:space="preserve">esultado operativo </w:t>
      </w:r>
      <w:r w:rsidRPr="000F3918">
        <w:rPr>
          <w:rFonts w:ascii="Arial" w:hAnsi="Arial"/>
          <w:b/>
          <w:sz w:val="22"/>
          <w:szCs w:val="22"/>
        </w:rPr>
        <w:t xml:space="preserve">antes de </w:t>
      </w:r>
      <w:r w:rsidR="00550696">
        <w:rPr>
          <w:rFonts w:ascii="Arial" w:hAnsi="Arial"/>
          <w:b/>
          <w:sz w:val="22"/>
          <w:szCs w:val="22"/>
        </w:rPr>
        <w:t xml:space="preserve">elementos no </w:t>
      </w:r>
      <w:r w:rsidRPr="000F3918">
        <w:rPr>
          <w:rFonts w:ascii="Arial" w:hAnsi="Arial"/>
          <w:b/>
          <w:sz w:val="22"/>
          <w:szCs w:val="22"/>
        </w:rPr>
        <w:t xml:space="preserve">recurrentes </w:t>
      </w:r>
      <w:r w:rsidR="005020D0" w:rsidRPr="000F3918">
        <w:rPr>
          <w:rFonts w:ascii="Arial" w:hAnsi="Arial"/>
          <w:b/>
          <w:sz w:val="22"/>
          <w:szCs w:val="22"/>
        </w:rPr>
        <w:t xml:space="preserve">de </w:t>
      </w:r>
      <w:r w:rsidRPr="000F3918">
        <w:rPr>
          <w:rFonts w:ascii="Arial" w:hAnsi="Arial"/>
          <w:b/>
          <w:sz w:val="22"/>
          <w:szCs w:val="22"/>
        </w:rPr>
        <w:t>2.423 millones de euros</w:t>
      </w:r>
      <w:r w:rsidR="005020D0" w:rsidRPr="000F3918">
        <w:rPr>
          <w:rFonts w:ascii="Arial" w:hAnsi="Arial"/>
          <w:b/>
          <w:sz w:val="22"/>
          <w:szCs w:val="22"/>
        </w:rPr>
        <w:t xml:space="preserve">, </w:t>
      </w:r>
      <w:r w:rsidR="0040679E" w:rsidRPr="000F3918">
        <w:rPr>
          <w:rFonts w:ascii="Arial" w:hAnsi="Arial"/>
          <w:b/>
          <w:sz w:val="22"/>
          <w:szCs w:val="22"/>
        </w:rPr>
        <w:br/>
      </w:r>
      <w:r w:rsidR="005020D0" w:rsidRPr="000F3918">
        <w:rPr>
          <w:rFonts w:ascii="Arial" w:hAnsi="Arial"/>
          <w:b/>
          <w:sz w:val="22"/>
          <w:szCs w:val="22"/>
        </w:rPr>
        <w:t>un aumento del 25</w:t>
      </w:r>
      <w:r w:rsidRPr="000F3918">
        <w:rPr>
          <w:rFonts w:ascii="Arial" w:hAnsi="Arial"/>
          <w:b/>
          <w:sz w:val="22"/>
          <w:szCs w:val="22"/>
        </w:rPr>
        <w:t>%</w:t>
      </w:r>
      <w:r w:rsidR="00913057" w:rsidRPr="000F3918">
        <w:rPr>
          <w:rFonts w:ascii="Arial" w:hAnsi="Arial"/>
          <w:b/>
          <w:sz w:val="22"/>
          <w:szCs w:val="22"/>
        </w:rPr>
        <w:t>.</w:t>
      </w:r>
    </w:p>
    <w:p w:rsidR="00913057" w:rsidRPr="000F3918" w:rsidRDefault="005020D0" w:rsidP="005020D0">
      <w:pPr>
        <w:pBdr>
          <w:top w:val="single" w:sz="4" w:space="1" w:color="auto"/>
          <w:left w:val="single" w:sz="4" w:space="4" w:color="auto"/>
          <w:bottom w:val="single" w:sz="4" w:space="1" w:color="auto"/>
          <w:right w:val="single" w:sz="4" w:space="4" w:color="auto"/>
        </w:pBdr>
        <w:spacing w:after="120"/>
        <w:jc w:val="center"/>
        <w:rPr>
          <w:rFonts w:ascii="Arial" w:hAnsi="Arial"/>
          <w:b/>
          <w:sz w:val="22"/>
          <w:szCs w:val="22"/>
        </w:rPr>
      </w:pPr>
      <w:r w:rsidRPr="000F3918">
        <w:rPr>
          <w:rFonts w:ascii="Arial" w:hAnsi="Arial"/>
          <w:b/>
          <w:sz w:val="22"/>
          <w:szCs w:val="22"/>
        </w:rPr>
        <w:t>Marge</w:t>
      </w:r>
      <w:r w:rsidR="000F3918" w:rsidRPr="000F3918">
        <w:rPr>
          <w:rFonts w:ascii="Arial" w:hAnsi="Arial"/>
          <w:b/>
          <w:sz w:val="22"/>
          <w:szCs w:val="22"/>
        </w:rPr>
        <w:t>n</w:t>
      </w:r>
      <w:r w:rsidRPr="000F3918">
        <w:rPr>
          <w:rFonts w:ascii="Arial" w:hAnsi="Arial"/>
          <w:b/>
          <w:sz w:val="22"/>
          <w:szCs w:val="22"/>
        </w:rPr>
        <w:t xml:space="preserve"> </w:t>
      </w:r>
      <w:r w:rsidR="000F3918" w:rsidRPr="000F3918">
        <w:rPr>
          <w:rFonts w:ascii="Arial" w:hAnsi="Arial"/>
          <w:b/>
          <w:sz w:val="22"/>
          <w:szCs w:val="22"/>
        </w:rPr>
        <w:t xml:space="preserve">operativo </w:t>
      </w:r>
      <w:r w:rsidR="00B638CA">
        <w:rPr>
          <w:rFonts w:ascii="Arial" w:hAnsi="Arial"/>
          <w:b/>
          <w:sz w:val="22"/>
          <w:szCs w:val="22"/>
        </w:rPr>
        <w:t>al alza en</w:t>
      </w:r>
      <w:r w:rsidR="000F3918" w:rsidRPr="000F3918">
        <w:rPr>
          <w:rFonts w:ascii="Arial" w:hAnsi="Arial"/>
          <w:b/>
          <w:sz w:val="22"/>
          <w:szCs w:val="22"/>
        </w:rPr>
        <w:t xml:space="preserve"> dos puntos</w:t>
      </w:r>
      <w:r w:rsidRPr="000F3918">
        <w:rPr>
          <w:rFonts w:ascii="Arial" w:hAnsi="Arial"/>
          <w:b/>
          <w:sz w:val="22"/>
          <w:szCs w:val="22"/>
        </w:rPr>
        <w:t xml:space="preserve">, </w:t>
      </w:r>
      <w:r w:rsidR="000F3918" w:rsidRPr="000F3918">
        <w:rPr>
          <w:rFonts w:ascii="Arial" w:hAnsi="Arial"/>
          <w:b/>
          <w:sz w:val="22"/>
          <w:szCs w:val="22"/>
        </w:rPr>
        <w:t>hasta el 11,3</w:t>
      </w:r>
      <w:r w:rsidRPr="000F3918">
        <w:rPr>
          <w:rFonts w:ascii="Arial" w:hAnsi="Arial"/>
          <w:b/>
          <w:sz w:val="22"/>
          <w:szCs w:val="22"/>
        </w:rPr>
        <w:t>% de</w:t>
      </w:r>
      <w:r w:rsidR="000F3918" w:rsidRPr="000F3918">
        <w:rPr>
          <w:rFonts w:ascii="Arial" w:hAnsi="Arial"/>
          <w:b/>
          <w:sz w:val="22"/>
          <w:szCs w:val="22"/>
        </w:rPr>
        <w:t xml:space="preserve"> las</w:t>
      </w:r>
      <w:r w:rsidRPr="000F3918">
        <w:rPr>
          <w:rFonts w:ascii="Arial" w:hAnsi="Arial"/>
          <w:b/>
          <w:sz w:val="22"/>
          <w:szCs w:val="22"/>
        </w:rPr>
        <w:t xml:space="preserve"> vent</w:t>
      </w:r>
      <w:r w:rsidR="000F3918" w:rsidRPr="000F3918">
        <w:rPr>
          <w:rFonts w:ascii="Arial" w:hAnsi="Arial"/>
          <w:b/>
          <w:sz w:val="22"/>
          <w:szCs w:val="22"/>
        </w:rPr>
        <w:t>a</w:t>
      </w:r>
      <w:r w:rsidRPr="000F3918">
        <w:rPr>
          <w:rFonts w:ascii="Arial" w:hAnsi="Arial"/>
          <w:b/>
          <w:sz w:val="22"/>
          <w:szCs w:val="22"/>
        </w:rPr>
        <w:t>s net</w:t>
      </w:r>
      <w:r w:rsidR="000F3918" w:rsidRPr="000F3918">
        <w:rPr>
          <w:rFonts w:ascii="Arial" w:hAnsi="Arial"/>
          <w:b/>
          <w:sz w:val="22"/>
          <w:szCs w:val="22"/>
        </w:rPr>
        <w:t>a</w:t>
      </w:r>
      <w:r w:rsidRPr="000F3918">
        <w:rPr>
          <w:rFonts w:ascii="Arial" w:hAnsi="Arial"/>
          <w:b/>
          <w:sz w:val="22"/>
          <w:szCs w:val="22"/>
        </w:rPr>
        <w:t>s.</w:t>
      </w:r>
    </w:p>
    <w:p w:rsidR="00913057" w:rsidRPr="000F3918" w:rsidRDefault="00913057" w:rsidP="00913057">
      <w:pPr>
        <w:pBdr>
          <w:top w:val="single" w:sz="4" w:space="1" w:color="auto"/>
          <w:left w:val="single" w:sz="4" w:space="4" w:color="auto"/>
          <w:bottom w:val="single" w:sz="4" w:space="1" w:color="auto"/>
          <w:right w:val="single" w:sz="4" w:space="4" w:color="auto"/>
        </w:pBdr>
        <w:spacing w:after="120"/>
        <w:rPr>
          <w:rFonts w:ascii="Verdana" w:hAnsi="Verdana"/>
          <w:b/>
          <w:sz w:val="16"/>
          <w:szCs w:val="16"/>
        </w:rPr>
      </w:pPr>
    </w:p>
    <w:p w:rsidR="00913057" w:rsidRPr="000F3918" w:rsidRDefault="00913057" w:rsidP="00913057">
      <w:pPr>
        <w:pStyle w:val="EntradillaMICHELINOK"/>
        <w:spacing w:after="120"/>
        <w:ind w:left="360"/>
        <w:jc w:val="left"/>
        <w:rPr>
          <w:color w:val="auto"/>
        </w:rPr>
      </w:pPr>
    </w:p>
    <w:p w:rsidR="0063158D" w:rsidRPr="000F3918" w:rsidRDefault="006767C6" w:rsidP="004B554E">
      <w:pPr>
        <w:pStyle w:val="EntradillaMICHELINOK"/>
        <w:numPr>
          <w:ilvl w:val="0"/>
          <w:numId w:val="3"/>
        </w:numPr>
        <w:spacing w:after="120"/>
        <w:jc w:val="left"/>
        <w:rPr>
          <w:color w:val="auto"/>
        </w:rPr>
      </w:pPr>
      <w:r>
        <w:rPr>
          <w:color w:val="auto"/>
          <w:lang w:bidi="es-ES_tradnl"/>
        </w:rPr>
        <w:t>R</w:t>
      </w:r>
      <w:r w:rsidR="000F3918" w:rsidRPr="000F3918">
        <w:rPr>
          <w:color w:val="auto"/>
          <w:lang w:bidi="es-ES_tradnl"/>
        </w:rPr>
        <w:t>esultado operativo antes de</w:t>
      </w:r>
      <w:r w:rsidR="0032751F">
        <w:rPr>
          <w:color w:val="auto"/>
          <w:lang w:bidi="es-ES_tradnl"/>
        </w:rPr>
        <w:t xml:space="preserve"> elementos no</w:t>
      </w:r>
      <w:r w:rsidR="000F3918" w:rsidRPr="000F3918">
        <w:rPr>
          <w:color w:val="auto"/>
          <w:lang w:bidi="es-ES_tradnl"/>
        </w:rPr>
        <w:t xml:space="preserve"> recurrentes </w:t>
      </w:r>
      <w:r>
        <w:rPr>
          <w:color w:val="auto"/>
          <w:lang w:bidi="es-ES_tradnl"/>
        </w:rPr>
        <w:t>al alz</w:t>
      </w:r>
      <w:r w:rsidR="000F3918" w:rsidRPr="000F3918">
        <w:rPr>
          <w:color w:val="auto"/>
          <w:lang w:bidi="es-ES_tradnl"/>
        </w:rPr>
        <w:t xml:space="preserve">a </w:t>
      </w:r>
      <w:r>
        <w:rPr>
          <w:color w:val="auto"/>
          <w:lang w:bidi="es-ES_tradnl"/>
        </w:rPr>
        <w:t xml:space="preserve">en </w:t>
      </w:r>
      <w:r w:rsidR="000F3918" w:rsidRPr="000F3918">
        <w:rPr>
          <w:color w:val="auto"/>
          <w:lang w:bidi="es-ES_tradnl"/>
        </w:rPr>
        <w:t>un</w:t>
      </w:r>
      <w:r w:rsidR="004B554E" w:rsidRPr="000F3918">
        <w:rPr>
          <w:color w:val="auto"/>
          <w:lang w:bidi="es-ES_tradnl"/>
        </w:rPr>
        <w:t xml:space="preserve"> </w:t>
      </w:r>
      <w:r w:rsidR="0056412B">
        <w:rPr>
          <w:color w:val="auto"/>
          <w:lang w:bidi="es-ES_tradnl"/>
        </w:rPr>
        <w:t>25</w:t>
      </w:r>
      <w:r w:rsidR="0032751F">
        <w:rPr>
          <w:color w:val="auto"/>
          <w:lang w:bidi="es-ES_tradnl"/>
        </w:rPr>
        <w:t xml:space="preserve">% hasta </w:t>
      </w:r>
      <w:r w:rsidR="000F3918" w:rsidRPr="000F3918">
        <w:rPr>
          <w:color w:val="auto"/>
          <w:lang w:bidi="es-ES_tradnl"/>
        </w:rPr>
        <w:t xml:space="preserve">los </w:t>
      </w:r>
      <w:r w:rsidR="004B554E" w:rsidRPr="000F3918">
        <w:rPr>
          <w:color w:val="auto"/>
          <w:lang w:bidi="es-ES_tradnl"/>
        </w:rPr>
        <w:t>2</w:t>
      </w:r>
      <w:r w:rsidR="000F3918" w:rsidRPr="000F3918">
        <w:rPr>
          <w:color w:val="auto"/>
          <w:lang w:bidi="es-ES_tradnl"/>
        </w:rPr>
        <w:t>.423 mill</w:t>
      </w:r>
      <w:r w:rsidR="004B554E" w:rsidRPr="000F3918">
        <w:rPr>
          <w:color w:val="auto"/>
          <w:lang w:bidi="es-ES_tradnl"/>
        </w:rPr>
        <w:t>on</w:t>
      </w:r>
      <w:r w:rsidR="000F3918" w:rsidRPr="000F3918">
        <w:rPr>
          <w:color w:val="auto"/>
          <w:lang w:bidi="es-ES_tradnl"/>
        </w:rPr>
        <w:t>e</w:t>
      </w:r>
      <w:r w:rsidR="004B554E" w:rsidRPr="000F3918">
        <w:rPr>
          <w:color w:val="auto"/>
          <w:lang w:bidi="es-ES_tradnl"/>
        </w:rPr>
        <w:t xml:space="preserve">s </w:t>
      </w:r>
      <w:r w:rsidR="000F3918" w:rsidRPr="000F3918">
        <w:rPr>
          <w:color w:val="auto"/>
          <w:lang w:bidi="es-ES_tradnl"/>
        </w:rPr>
        <w:t xml:space="preserve">de </w:t>
      </w:r>
      <w:r w:rsidR="004B554E" w:rsidRPr="000F3918">
        <w:rPr>
          <w:color w:val="auto"/>
          <w:lang w:bidi="es-ES_tradnl"/>
        </w:rPr>
        <w:t xml:space="preserve">euros, </w:t>
      </w:r>
      <w:r w:rsidR="000F3918" w:rsidRPr="000F3918">
        <w:rPr>
          <w:color w:val="auto"/>
          <w:lang w:bidi="es-ES_tradnl"/>
        </w:rPr>
        <w:t>lo que refleja</w:t>
      </w:r>
      <w:r w:rsidR="0063158D" w:rsidRPr="000F3918">
        <w:rPr>
          <w:color w:val="auto"/>
          <w:lang w:bidi="es-ES_tradnl"/>
        </w:rPr>
        <w:t>:</w:t>
      </w:r>
    </w:p>
    <w:p w:rsidR="0063158D" w:rsidRPr="000F3918" w:rsidRDefault="0063158D" w:rsidP="0063158D">
      <w:pPr>
        <w:pStyle w:val="EntradillaMICHELINOK"/>
        <w:numPr>
          <w:ilvl w:val="2"/>
          <w:numId w:val="3"/>
        </w:numPr>
        <w:spacing w:after="120"/>
        <w:jc w:val="left"/>
        <w:rPr>
          <w:color w:val="auto"/>
        </w:rPr>
      </w:pPr>
      <w:r w:rsidRPr="000F3918">
        <w:rPr>
          <w:color w:val="auto"/>
        </w:rPr>
        <w:t>Un</w:t>
      </w:r>
      <w:r w:rsidR="002D417A">
        <w:rPr>
          <w:color w:val="auto"/>
        </w:rPr>
        <w:t>a eficaz política de precios</w:t>
      </w:r>
      <w:r w:rsidRPr="000F3918">
        <w:rPr>
          <w:color w:val="auto"/>
        </w:rPr>
        <w:t xml:space="preserve"> </w:t>
      </w:r>
    </w:p>
    <w:p w:rsidR="0063158D" w:rsidRPr="000F3918" w:rsidRDefault="002D417A" w:rsidP="0063158D">
      <w:pPr>
        <w:pStyle w:val="EntradillaMICHELINOK"/>
        <w:numPr>
          <w:ilvl w:val="2"/>
          <w:numId w:val="3"/>
        </w:numPr>
        <w:spacing w:after="120"/>
        <w:jc w:val="left"/>
        <w:rPr>
          <w:color w:val="auto"/>
        </w:rPr>
      </w:pPr>
      <w:r>
        <w:rPr>
          <w:color w:val="auto"/>
        </w:rPr>
        <w:t>Una presencia mundial</w:t>
      </w:r>
    </w:p>
    <w:p w:rsidR="0063158D" w:rsidRPr="000F3918" w:rsidRDefault="0032751F" w:rsidP="0063158D">
      <w:pPr>
        <w:pStyle w:val="EntradillaMICHELINOK"/>
        <w:numPr>
          <w:ilvl w:val="2"/>
          <w:numId w:val="3"/>
        </w:numPr>
        <w:spacing w:after="120"/>
        <w:jc w:val="left"/>
        <w:rPr>
          <w:color w:val="auto"/>
        </w:rPr>
      </w:pPr>
      <w:r>
        <w:rPr>
          <w:color w:val="auto"/>
        </w:rPr>
        <w:t xml:space="preserve">Una rentabilidad estructuralmente elevada </w:t>
      </w:r>
      <w:r w:rsidR="00550696">
        <w:rPr>
          <w:color w:val="auto"/>
        </w:rPr>
        <w:t xml:space="preserve">debido </w:t>
      </w:r>
      <w:r>
        <w:rPr>
          <w:color w:val="auto"/>
        </w:rPr>
        <w:t xml:space="preserve">a los neumáticos de especialidades </w:t>
      </w:r>
    </w:p>
    <w:p w:rsidR="0063158D" w:rsidRPr="000F3918" w:rsidRDefault="0063158D" w:rsidP="0063158D">
      <w:pPr>
        <w:pStyle w:val="EntradillaMICHELINOK"/>
        <w:numPr>
          <w:ilvl w:val="2"/>
          <w:numId w:val="3"/>
        </w:numPr>
        <w:spacing w:after="120"/>
        <w:jc w:val="left"/>
        <w:rPr>
          <w:color w:val="auto"/>
        </w:rPr>
      </w:pPr>
      <w:r w:rsidRPr="000F3918">
        <w:rPr>
          <w:color w:val="auto"/>
        </w:rPr>
        <w:t>L</w:t>
      </w:r>
      <w:r w:rsidR="00917A4A">
        <w:rPr>
          <w:color w:val="auto"/>
        </w:rPr>
        <w:t>a recuperación de la rentabilidad de la actividad de neumáticos de camión, a pesar de un mercado en</w:t>
      </w:r>
      <w:r w:rsidR="002271CA">
        <w:rPr>
          <w:color w:val="auto"/>
        </w:rPr>
        <w:t xml:space="preserve"> retroceso neto.</w:t>
      </w:r>
    </w:p>
    <w:p w:rsidR="00913057" w:rsidRPr="000F3918" w:rsidRDefault="00B83F4B" w:rsidP="004B554E">
      <w:pPr>
        <w:pStyle w:val="EntradillaMICHELINOK"/>
        <w:numPr>
          <w:ilvl w:val="0"/>
          <w:numId w:val="3"/>
        </w:numPr>
        <w:spacing w:after="120"/>
        <w:jc w:val="left"/>
        <w:rPr>
          <w:color w:val="auto"/>
        </w:rPr>
      </w:pPr>
      <w:r>
        <w:rPr>
          <w:color w:val="auto"/>
          <w:lang w:bidi="es-ES_tradnl"/>
        </w:rPr>
        <w:t>V</w:t>
      </w:r>
      <w:r w:rsidR="0063158D" w:rsidRPr="000F3918">
        <w:rPr>
          <w:color w:val="auto"/>
          <w:lang w:bidi="es-ES_tradnl"/>
        </w:rPr>
        <w:t>ol</w:t>
      </w:r>
      <w:r w:rsidR="002271CA">
        <w:rPr>
          <w:color w:val="auto"/>
          <w:lang w:bidi="es-ES_tradnl"/>
        </w:rPr>
        <w:t>ú</w:t>
      </w:r>
      <w:r w:rsidR="0063158D" w:rsidRPr="000F3918">
        <w:rPr>
          <w:color w:val="auto"/>
          <w:lang w:bidi="es-ES_tradnl"/>
        </w:rPr>
        <w:t>me</w:t>
      </w:r>
      <w:r w:rsidR="002271CA">
        <w:rPr>
          <w:color w:val="auto"/>
          <w:lang w:bidi="es-ES_tradnl"/>
        </w:rPr>
        <w:t>ne</w:t>
      </w:r>
      <w:r w:rsidR="0063158D" w:rsidRPr="000F3918">
        <w:rPr>
          <w:color w:val="auto"/>
          <w:lang w:bidi="es-ES_tradnl"/>
        </w:rPr>
        <w:t xml:space="preserve">s </w:t>
      </w:r>
      <w:r>
        <w:rPr>
          <w:color w:val="auto"/>
          <w:lang w:bidi="es-ES_tradnl"/>
        </w:rPr>
        <w:t xml:space="preserve">a la </w:t>
      </w:r>
      <w:r w:rsidR="002271CA">
        <w:rPr>
          <w:color w:val="auto"/>
          <w:lang w:bidi="es-ES_tradnl"/>
        </w:rPr>
        <w:t>baja</w:t>
      </w:r>
      <w:r>
        <w:rPr>
          <w:color w:val="auto"/>
          <w:lang w:bidi="es-ES_tradnl"/>
        </w:rPr>
        <w:t xml:space="preserve"> e</w:t>
      </w:r>
      <w:r w:rsidR="002271CA">
        <w:rPr>
          <w:color w:val="auto"/>
          <w:lang w:bidi="es-ES_tradnl"/>
        </w:rPr>
        <w:t>n un 6,4</w:t>
      </w:r>
      <w:r w:rsidR="0063158D" w:rsidRPr="000F3918">
        <w:rPr>
          <w:color w:val="auto"/>
          <w:lang w:bidi="es-ES_tradnl"/>
        </w:rPr>
        <w:t xml:space="preserve"> %, </w:t>
      </w:r>
      <w:r w:rsidR="002271CA">
        <w:rPr>
          <w:color w:val="auto"/>
          <w:lang w:bidi="es-ES_tradnl"/>
        </w:rPr>
        <w:t xml:space="preserve">con una demanda </w:t>
      </w:r>
      <w:r>
        <w:rPr>
          <w:color w:val="auto"/>
          <w:lang w:bidi="es-ES_tradnl"/>
        </w:rPr>
        <w:t>aún débil en el segundo semestre</w:t>
      </w:r>
      <w:r w:rsidR="00913057" w:rsidRPr="000F3918">
        <w:rPr>
          <w:color w:val="auto"/>
        </w:rPr>
        <w:t>.</w:t>
      </w:r>
    </w:p>
    <w:p w:rsidR="0063158D" w:rsidRPr="000F3918" w:rsidRDefault="00B83F4B" w:rsidP="0063158D">
      <w:pPr>
        <w:pStyle w:val="EntradillaMICHELINOK"/>
        <w:numPr>
          <w:ilvl w:val="0"/>
          <w:numId w:val="3"/>
        </w:numPr>
        <w:spacing w:after="120"/>
        <w:jc w:val="left"/>
        <w:rPr>
          <w:color w:val="auto"/>
          <w:lang w:bidi="es-ES_tradnl"/>
        </w:rPr>
      </w:pPr>
      <w:r>
        <w:rPr>
          <w:color w:val="auto"/>
          <w:lang w:bidi="es-ES_tradnl"/>
        </w:rPr>
        <w:t>C</w:t>
      </w:r>
      <w:r w:rsidR="0063158D" w:rsidRPr="000F3918">
        <w:rPr>
          <w:color w:val="auto"/>
          <w:lang w:bidi="es-ES_tradnl"/>
        </w:rPr>
        <w:t xml:space="preserve">ash </w:t>
      </w:r>
      <w:r w:rsidR="006767C6">
        <w:rPr>
          <w:color w:val="auto"/>
          <w:lang w:bidi="es-ES_tradnl"/>
        </w:rPr>
        <w:t>f</w:t>
      </w:r>
      <w:r w:rsidR="00AA0EB1">
        <w:rPr>
          <w:color w:val="auto"/>
          <w:lang w:bidi="es-ES_tradnl"/>
        </w:rPr>
        <w:t xml:space="preserve">low </w:t>
      </w:r>
      <w:r w:rsidR="0063158D" w:rsidRPr="000F3918">
        <w:rPr>
          <w:color w:val="auto"/>
          <w:lang w:bidi="es-ES_tradnl"/>
        </w:rPr>
        <w:t xml:space="preserve">libre </w:t>
      </w:r>
      <w:r w:rsidR="006767C6">
        <w:rPr>
          <w:color w:val="auto"/>
          <w:lang w:bidi="es-ES_tradnl"/>
        </w:rPr>
        <w:t>superior a 1.000 millones de euros, lo que demuestra</w:t>
      </w:r>
      <w:r w:rsidR="0063158D" w:rsidRPr="000F3918">
        <w:rPr>
          <w:color w:val="auto"/>
          <w:lang w:bidi="es-ES_tradnl"/>
        </w:rPr>
        <w:t>:</w:t>
      </w:r>
    </w:p>
    <w:p w:rsidR="0063158D" w:rsidRPr="000F3918" w:rsidRDefault="006767C6" w:rsidP="0063158D">
      <w:pPr>
        <w:pStyle w:val="EntradillaMICHELINOK"/>
        <w:numPr>
          <w:ilvl w:val="2"/>
          <w:numId w:val="3"/>
        </w:numPr>
        <w:spacing w:after="120"/>
        <w:jc w:val="left"/>
        <w:rPr>
          <w:color w:val="auto"/>
        </w:rPr>
      </w:pPr>
      <w:r>
        <w:rPr>
          <w:color w:val="auto"/>
        </w:rPr>
        <w:t xml:space="preserve">La capacidad del Grupo </w:t>
      </w:r>
      <w:r w:rsidR="00164284">
        <w:rPr>
          <w:color w:val="auto"/>
        </w:rPr>
        <w:t>para generar cash estructuralmente</w:t>
      </w:r>
    </w:p>
    <w:p w:rsidR="0063158D" w:rsidRPr="000F3918" w:rsidRDefault="0063158D" w:rsidP="0063158D">
      <w:pPr>
        <w:pStyle w:val="EntradillaMICHELINOK"/>
        <w:numPr>
          <w:ilvl w:val="2"/>
          <w:numId w:val="3"/>
        </w:numPr>
        <w:spacing w:after="120"/>
        <w:jc w:val="left"/>
        <w:rPr>
          <w:color w:val="auto"/>
        </w:rPr>
      </w:pPr>
      <w:r w:rsidRPr="000F3918">
        <w:rPr>
          <w:color w:val="auto"/>
        </w:rPr>
        <w:t xml:space="preserve">La </w:t>
      </w:r>
      <w:r w:rsidR="00164284">
        <w:rPr>
          <w:color w:val="auto"/>
        </w:rPr>
        <w:t xml:space="preserve"> </w:t>
      </w:r>
      <w:r w:rsidR="00550696">
        <w:rPr>
          <w:color w:val="auto"/>
        </w:rPr>
        <w:t>toma en consideración</w:t>
      </w:r>
      <w:r w:rsidR="00B21DB8">
        <w:rPr>
          <w:color w:val="auto"/>
        </w:rPr>
        <w:t xml:space="preserve"> </w:t>
      </w:r>
      <w:r w:rsidR="00550696">
        <w:rPr>
          <w:color w:val="auto"/>
        </w:rPr>
        <w:t>del</w:t>
      </w:r>
      <w:r w:rsidR="00164284">
        <w:rPr>
          <w:color w:val="auto"/>
        </w:rPr>
        <w:t xml:space="preserve"> objetivo de </w:t>
      </w:r>
      <w:r w:rsidR="00550696">
        <w:rPr>
          <w:color w:val="auto"/>
        </w:rPr>
        <w:t xml:space="preserve">creación de valor en </w:t>
      </w:r>
      <w:r w:rsidR="00164284">
        <w:rPr>
          <w:color w:val="auto"/>
        </w:rPr>
        <w:t xml:space="preserve">todas las </w:t>
      </w:r>
      <w:r w:rsidR="00924C99">
        <w:rPr>
          <w:color w:val="auto"/>
        </w:rPr>
        <w:t>entidades</w:t>
      </w:r>
      <w:r w:rsidRPr="000F3918">
        <w:rPr>
          <w:color w:val="auto"/>
        </w:rPr>
        <w:t>.</w:t>
      </w:r>
    </w:p>
    <w:p w:rsidR="0063158D" w:rsidRPr="000F3918" w:rsidRDefault="00924C99" w:rsidP="00913057">
      <w:pPr>
        <w:pStyle w:val="EntradillaMICHELINOK"/>
        <w:numPr>
          <w:ilvl w:val="0"/>
          <w:numId w:val="3"/>
        </w:numPr>
        <w:spacing w:after="120"/>
        <w:jc w:val="left"/>
        <w:rPr>
          <w:color w:val="auto"/>
          <w:lang w:bidi="es-ES_tradnl"/>
        </w:rPr>
      </w:pPr>
      <w:r>
        <w:rPr>
          <w:color w:val="auto"/>
          <w:lang w:bidi="es-ES_tradnl"/>
        </w:rPr>
        <w:t>Rentabilidad de los</w:t>
      </w:r>
      <w:r w:rsidRPr="00647DA0">
        <w:rPr>
          <w:color w:val="auto"/>
          <w:lang w:bidi="es-ES_tradnl"/>
        </w:rPr>
        <w:t xml:space="preserve"> capitales empleados </w:t>
      </w:r>
      <w:r w:rsidR="0063158D" w:rsidRPr="000F3918">
        <w:rPr>
          <w:color w:val="auto"/>
          <w:lang w:bidi="es-ES_tradnl"/>
        </w:rPr>
        <w:t xml:space="preserve">(ROCE) </w:t>
      </w:r>
      <w:r w:rsidR="00373431">
        <w:rPr>
          <w:color w:val="auto"/>
          <w:lang w:bidi="es-ES_tradnl"/>
        </w:rPr>
        <w:t>del 12,8</w:t>
      </w:r>
      <w:r w:rsidR="0063158D" w:rsidRPr="000F3918">
        <w:rPr>
          <w:color w:val="auto"/>
          <w:lang w:bidi="es-ES_tradnl"/>
        </w:rPr>
        <w:t>%.</w:t>
      </w:r>
    </w:p>
    <w:p w:rsidR="00913057" w:rsidRPr="000F3918" w:rsidRDefault="00913057" w:rsidP="00913057">
      <w:pPr>
        <w:pStyle w:val="EntradillaMICHELINOK"/>
        <w:numPr>
          <w:ilvl w:val="0"/>
          <w:numId w:val="3"/>
        </w:numPr>
        <w:spacing w:after="120"/>
        <w:jc w:val="left"/>
        <w:rPr>
          <w:color w:val="auto"/>
          <w:lang w:bidi="es-ES_tradnl"/>
        </w:rPr>
      </w:pPr>
      <w:r w:rsidRPr="000F3918">
        <w:rPr>
          <w:color w:val="auto"/>
          <w:lang w:bidi="es-ES_tradnl"/>
        </w:rPr>
        <w:t>Propuesta de dividendo de 2,</w:t>
      </w:r>
      <w:r w:rsidR="00594BD7" w:rsidRPr="000F3918">
        <w:rPr>
          <w:color w:val="auto"/>
          <w:lang w:bidi="es-ES_tradnl"/>
        </w:rPr>
        <w:t>4</w:t>
      </w:r>
      <w:r w:rsidRPr="000F3918">
        <w:rPr>
          <w:color w:val="auto"/>
          <w:lang w:bidi="es-ES_tradnl"/>
        </w:rPr>
        <w:t>0 euros por acción, sujeta a la aprobación de la Asamblea General de Accionistas de 1</w:t>
      </w:r>
      <w:r w:rsidR="00594BD7" w:rsidRPr="000F3918">
        <w:rPr>
          <w:color w:val="auto"/>
          <w:lang w:bidi="es-ES_tradnl"/>
        </w:rPr>
        <w:t>7</w:t>
      </w:r>
      <w:r w:rsidRPr="000F3918">
        <w:rPr>
          <w:color w:val="auto"/>
          <w:lang w:bidi="es-ES_tradnl"/>
        </w:rPr>
        <w:t xml:space="preserve"> de mayo de 201</w:t>
      </w:r>
      <w:r w:rsidR="00594BD7" w:rsidRPr="000F3918">
        <w:rPr>
          <w:color w:val="auto"/>
          <w:lang w:bidi="es-ES_tradnl"/>
        </w:rPr>
        <w:t>3</w:t>
      </w:r>
      <w:r w:rsidRPr="000F3918">
        <w:rPr>
          <w:color w:val="auto"/>
          <w:lang w:bidi="es-ES_tradnl"/>
        </w:rPr>
        <w:t>.</w:t>
      </w:r>
    </w:p>
    <w:p w:rsidR="00913057" w:rsidRPr="000F3918" w:rsidRDefault="00913057" w:rsidP="00913057">
      <w:pPr>
        <w:pStyle w:val="TextoMichelin"/>
        <w:rPr>
          <w:b/>
          <w:bCs/>
          <w:sz w:val="28"/>
          <w:lang w:val="es-ES_tradnl" w:bidi="es-ES_tradnl"/>
        </w:rPr>
      </w:pPr>
    </w:p>
    <w:p w:rsidR="00913057" w:rsidRPr="000F3918" w:rsidRDefault="00B713B1" w:rsidP="00913057">
      <w:pPr>
        <w:pStyle w:val="TextoMichelin"/>
        <w:rPr>
          <w:bCs/>
          <w:lang w:val="es-ES_tradnl" w:bidi="es-ES_tradnl"/>
        </w:rPr>
      </w:pPr>
      <w:r w:rsidRPr="000F3918">
        <w:rPr>
          <w:b/>
          <w:bCs/>
          <w:sz w:val="28"/>
          <w:lang w:val="es-ES_tradnl" w:bidi="es-ES_tradnl"/>
        </w:rPr>
        <w:br w:type="column"/>
      </w:r>
      <w:r w:rsidR="00913057" w:rsidRPr="000F3918">
        <w:rPr>
          <w:b/>
          <w:bCs/>
          <w:sz w:val="28"/>
          <w:lang w:val="es-ES_tradnl" w:bidi="es-ES_tradnl"/>
        </w:rPr>
        <w:t>Perspectivas 201</w:t>
      </w:r>
      <w:r w:rsidR="00594BD7" w:rsidRPr="000F3918">
        <w:rPr>
          <w:b/>
          <w:bCs/>
          <w:sz w:val="28"/>
          <w:lang w:val="es-ES_tradnl" w:bidi="es-ES_tradnl"/>
        </w:rPr>
        <w:t>3</w:t>
      </w:r>
    </w:p>
    <w:p w:rsidR="00C81FF6" w:rsidRDefault="00C81FF6" w:rsidP="00B713B1">
      <w:pPr>
        <w:pStyle w:val="TextoMichelin"/>
        <w:rPr>
          <w:b/>
          <w:bCs/>
          <w:lang w:val="es-ES_tradnl" w:bidi="es-ES_tradnl"/>
        </w:rPr>
      </w:pPr>
      <w:r>
        <w:rPr>
          <w:b/>
          <w:bCs/>
          <w:lang w:val="es-ES_tradnl" w:bidi="es-ES_tradnl"/>
        </w:rPr>
        <w:t xml:space="preserve">En una coyuntura de mercados inciertos en los países maduros y </w:t>
      </w:r>
      <w:r w:rsidR="00550696">
        <w:rPr>
          <w:b/>
          <w:bCs/>
          <w:lang w:val="es-ES_tradnl" w:bidi="es-ES_tradnl"/>
        </w:rPr>
        <w:t xml:space="preserve">de </w:t>
      </w:r>
      <w:r>
        <w:rPr>
          <w:b/>
          <w:bCs/>
          <w:lang w:val="es-ES_tradnl" w:bidi="es-ES_tradnl"/>
        </w:rPr>
        <w:t>crecimiento en los nuevos mercados, Michelin</w:t>
      </w:r>
      <w:r w:rsidR="00054C4A">
        <w:rPr>
          <w:b/>
          <w:bCs/>
          <w:lang w:val="es-ES_tradnl" w:bidi="es-ES_tradnl"/>
        </w:rPr>
        <w:t xml:space="preserve"> </w:t>
      </w:r>
      <w:r w:rsidR="00550696">
        <w:rPr>
          <w:b/>
          <w:bCs/>
          <w:lang w:val="es-ES_tradnl" w:bidi="es-ES_tradnl"/>
        </w:rPr>
        <w:t>prevé</w:t>
      </w:r>
      <w:r w:rsidR="00054C4A">
        <w:rPr>
          <w:b/>
          <w:bCs/>
          <w:lang w:val="es-ES_tradnl" w:bidi="es-ES_tradnl"/>
        </w:rPr>
        <w:t xml:space="preserve"> volúmenes estables en 2013, </w:t>
      </w:r>
      <w:r w:rsidR="00E25608">
        <w:rPr>
          <w:b/>
          <w:bCs/>
          <w:lang w:val="es-ES_tradnl" w:bidi="es-ES_tradnl"/>
        </w:rPr>
        <w:t>gracias a</w:t>
      </w:r>
      <w:r w:rsidR="00054C4A">
        <w:rPr>
          <w:b/>
          <w:bCs/>
          <w:lang w:val="es-ES_tradnl" w:bidi="es-ES_tradnl"/>
        </w:rPr>
        <w:t xml:space="preserve"> su presencia en todo el mundo.</w:t>
      </w:r>
    </w:p>
    <w:p w:rsidR="00E25608" w:rsidRDefault="00550696" w:rsidP="00B713B1">
      <w:pPr>
        <w:pStyle w:val="TextoMichelin"/>
        <w:rPr>
          <w:b/>
          <w:bCs/>
          <w:lang w:val="es-ES_tradnl" w:bidi="es-ES_tradnl"/>
        </w:rPr>
      </w:pPr>
      <w:r>
        <w:rPr>
          <w:b/>
          <w:bCs/>
          <w:lang w:val="es-ES_tradnl" w:bidi="es-ES_tradnl"/>
        </w:rPr>
        <w:t>El precio</w:t>
      </w:r>
      <w:r w:rsidR="00E25608">
        <w:rPr>
          <w:b/>
          <w:bCs/>
          <w:lang w:val="es-ES_tradnl" w:bidi="es-ES_tradnl"/>
        </w:rPr>
        <w:t xml:space="preserve"> de las materias primas debería permanecer estable durante el primer semestre, </w:t>
      </w:r>
      <w:r w:rsidR="00456ACA">
        <w:rPr>
          <w:b/>
          <w:bCs/>
          <w:lang w:val="es-ES_tradnl" w:bidi="es-ES_tradnl"/>
        </w:rPr>
        <w:t>lo que supon</w:t>
      </w:r>
      <w:r w:rsidR="00763499">
        <w:rPr>
          <w:b/>
          <w:bCs/>
          <w:lang w:val="es-ES_tradnl" w:bidi="es-ES_tradnl"/>
        </w:rPr>
        <w:t>drá</w:t>
      </w:r>
      <w:r w:rsidR="00456ACA">
        <w:rPr>
          <w:b/>
          <w:bCs/>
          <w:lang w:val="es-ES_tradnl" w:bidi="es-ES_tradnl"/>
        </w:rPr>
        <w:t xml:space="preserve"> un nuevo efecto favorable de entre 350 y 400 millones de euros sobre el resultado operativo, que se compensará parcialmente por el efecto de la</w:t>
      </w:r>
      <w:r w:rsidR="00F95172">
        <w:rPr>
          <w:b/>
          <w:bCs/>
          <w:lang w:val="es-ES_tradnl" w:bidi="es-ES_tradnl"/>
        </w:rPr>
        <w:t>s</w:t>
      </w:r>
      <w:r w:rsidR="00456ACA">
        <w:rPr>
          <w:b/>
          <w:bCs/>
          <w:lang w:val="es-ES_tradnl" w:bidi="es-ES_tradnl"/>
        </w:rPr>
        <w:t xml:space="preserve"> cláusula</w:t>
      </w:r>
      <w:r w:rsidR="00F95172">
        <w:rPr>
          <w:b/>
          <w:bCs/>
          <w:lang w:val="es-ES_tradnl" w:bidi="es-ES_tradnl"/>
        </w:rPr>
        <w:t>s de indexación en las activida</w:t>
      </w:r>
      <w:r w:rsidR="00456ACA">
        <w:rPr>
          <w:b/>
          <w:bCs/>
          <w:lang w:val="es-ES_tradnl" w:bidi="es-ES_tradnl"/>
        </w:rPr>
        <w:t>des de primer</w:t>
      </w:r>
      <w:r w:rsidR="00581B19">
        <w:rPr>
          <w:b/>
          <w:bCs/>
          <w:lang w:val="es-ES_tradnl" w:bidi="es-ES_tradnl"/>
        </w:rPr>
        <w:t>o</w:t>
      </w:r>
      <w:r w:rsidR="00456ACA">
        <w:rPr>
          <w:b/>
          <w:bCs/>
          <w:lang w:val="es-ES_tradnl" w:bidi="es-ES_tradnl"/>
        </w:rPr>
        <w:t xml:space="preserve">s </w:t>
      </w:r>
      <w:r w:rsidR="00581B19">
        <w:rPr>
          <w:b/>
          <w:bCs/>
          <w:lang w:val="es-ES_tradnl" w:bidi="es-ES_tradnl"/>
        </w:rPr>
        <w:t>equipos</w:t>
      </w:r>
      <w:r w:rsidR="00456ACA">
        <w:rPr>
          <w:b/>
          <w:bCs/>
          <w:lang w:val="es-ES_tradnl" w:bidi="es-ES_tradnl"/>
        </w:rPr>
        <w:t xml:space="preserve"> y de ingeniería civil.</w:t>
      </w:r>
    </w:p>
    <w:p w:rsidR="00F95172" w:rsidRDefault="00F95172" w:rsidP="00B713B1">
      <w:pPr>
        <w:pStyle w:val="TextoMichelin"/>
        <w:rPr>
          <w:b/>
          <w:bCs/>
          <w:lang w:val="es-ES_tradnl" w:bidi="es-ES_tradnl"/>
        </w:rPr>
      </w:pPr>
      <w:r>
        <w:rPr>
          <w:b/>
          <w:bCs/>
          <w:lang w:val="es-ES_tradnl" w:bidi="es-ES_tradnl"/>
        </w:rPr>
        <w:t xml:space="preserve">El </w:t>
      </w:r>
      <w:r w:rsidR="00581925">
        <w:rPr>
          <w:b/>
          <w:bCs/>
          <w:lang w:val="es-ES_tradnl" w:bidi="es-ES_tradnl"/>
        </w:rPr>
        <w:t xml:space="preserve">programa de inversiones (alrededor de 2.000 millones de euros) favorecerá </w:t>
      </w:r>
      <w:r w:rsidR="00D92061">
        <w:rPr>
          <w:b/>
          <w:bCs/>
          <w:lang w:val="es-ES_tradnl" w:bidi="es-ES_tradnl"/>
        </w:rPr>
        <w:t>el</w:t>
      </w:r>
      <w:r w:rsidR="00581925">
        <w:rPr>
          <w:b/>
          <w:bCs/>
          <w:lang w:val="es-ES_tradnl" w:bidi="es-ES_tradnl"/>
        </w:rPr>
        <w:t xml:space="preserve"> </w:t>
      </w:r>
      <w:r w:rsidR="009D387C">
        <w:rPr>
          <w:b/>
          <w:bCs/>
          <w:lang w:val="es-ES_tradnl" w:bidi="es-ES_tradnl"/>
        </w:rPr>
        <w:t xml:space="preserve">ambicioso </w:t>
      </w:r>
      <w:r w:rsidR="0060265E">
        <w:rPr>
          <w:b/>
          <w:bCs/>
          <w:lang w:val="es-ES_tradnl" w:bidi="es-ES_tradnl"/>
        </w:rPr>
        <w:t xml:space="preserve">objetivo de </w:t>
      </w:r>
      <w:r w:rsidR="00581925">
        <w:rPr>
          <w:b/>
          <w:bCs/>
          <w:lang w:val="es-ES_tradnl" w:bidi="es-ES_tradnl"/>
        </w:rPr>
        <w:t xml:space="preserve">crecimiento de Michelin, con la puesta en marcha de nuevas capacidades de producción en las zonas de crecimiento, </w:t>
      </w:r>
      <w:r w:rsidR="00A32276">
        <w:rPr>
          <w:b/>
          <w:bCs/>
          <w:lang w:val="es-ES_tradnl" w:bidi="es-ES_tradnl"/>
        </w:rPr>
        <w:t xml:space="preserve">cuya </w:t>
      </w:r>
      <w:r w:rsidR="00550696">
        <w:rPr>
          <w:b/>
          <w:bCs/>
          <w:lang w:val="es-ES_tradnl" w:bidi="es-ES_tradnl"/>
        </w:rPr>
        <w:t xml:space="preserve">puesta en servicio </w:t>
      </w:r>
      <w:r w:rsidR="008652EB">
        <w:rPr>
          <w:b/>
          <w:bCs/>
          <w:lang w:val="es-ES_tradnl" w:bidi="es-ES_tradnl"/>
        </w:rPr>
        <w:t xml:space="preserve">incidirá </w:t>
      </w:r>
      <w:r w:rsidR="00A32276">
        <w:rPr>
          <w:b/>
          <w:bCs/>
          <w:lang w:val="es-ES_tradnl" w:bidi="es-ES_tradnl"/>
        </w:rPr>
        <w:t xml:space="preserve">sobre los costes. </w:t>
      </w:r>
      <w:r w:rsidR="008652EB">
        <w:rPr>
          <w:b/>
          <w:bCs/>
          <w:lang w:val="es-ES_tradnl" w:bidi="es-ES_tradnl"/>
        </w:rPr>
        <w:t>Esta medida</w:t>
      </w:r>
      <w:r w:rsidR="00A32276">
        <w:rPr>
          <w:b/>
          <w:bCs/>
          <w:lang w:val="es-ES_tradnl" w:bidi="es-ES_tradnl"/>
        </w:rPr>
        <w:t xml:space="preserve"> </w:t>
      </w:r>
      <w:r w:rsidR="00A61EDA">
        <w:rPr>
          <w:b/>
          <w:bCs/>
          <w:lang w:val="es-ES_tradnl" w:bidi="es-ES_tradnl"/>
        </w:rPr>
        <w:t>afectará</w:t>
      </w:r>
      <w:r w:rsidR="00101D27">
        <w:rPr>
          <w:b/>
          <w:bCs/>
          <w:lang w:val="es-ES_tradnl" w:bidi="es-ES_tradnl"/>
        </w:rPr>
        <w:t xml:space="preserve"> </w:t>
      </w:r>
      <w:r w:rsidR="00A61EDA">
        <w:rPr>
          <w:b/>
          <w:bCs/>
          <w:lang w:val="es-ES_tradnl" w:bidi="es-ES_tradnl"/>
        </w:rPr>
        <w:t>también</w:t>
      </w:r>
      <w:r w:rsidR="00A32276">
        <w:rPr>
          <w:b/>
          <w:bCs/>
          <w:lang w:val="es-ES_tradnl" w:bidi="es-ES_tradnl"/>
        </w:rPr>
        <w:t xml:space="preserve"> </w:t>
      </w:r>
      <w:r w:rsidR="006E5AC9">
        <w:rPr>
          <w:b/>
          <w:bCs/>
          <w:lang w:val="es-ES_tradnl" w:bidi="es-ES_tradnl"/>
        </w:rPr>
        <w:t>a</w:t>
      </w:r>
      <w:r w:rsidR="00101D27">
        <w:rPr>
          <w:b/>
          <w:bCs/>
          <w:lang w:val="es-ES_tradnl" w:bidi="es-ES_tradnl"/>
        </w:rPr>
        <w:t xml:space="preserve"> la competitividad en los países maduros y </w:t>
      </w:r>
      <w:r w:rsidR="00A61EDA">
        <w:rPr>
          <w:b/>
          <w:bCs/>
          <w:lang w:val="es-ES_tradnl" w:bidi="es-ES_tradnl"/>
        </w:rPr>
        <w:t>a</w:t>
      </w:r>
      <w:r w:rsidR="00101D27">
        <w:rPr>
          <w:b/>
          <w:bCs/>
          <w:lang w:val="es-ES_tradnl" w:bidi="es-ES_tradnl"/>
        </w:rPr>
        <w:t xml:space="preserve"> la innovación tecnológica.</w:t>
      </w:r>
    </w:p>
    <w:p w:rsidR="0060265E" w:rsidRDefault="0060265E" w:rsidP="00B713B1">
      <w:pPr>
        <w:pStyle w:val="TextoMichelin"/>
        <w:rPr>
          <w:b/>
          <w:bCs/>
          <w:lang w:val="es-ES_tradnl" w:bidi="es-ES_tradnl"/>
        </w:rPr>
      </w:pPr>
      <w:r>
        <w:rPr>
          <w:b/>
          <w:bCs/>
          <w:lang w:val="es-ES_tradnl" w:bidi="es-ES_tradnl"/>
        </w:rPr>
        <w:t xml:space="preserve">Con confianza en sus </w:t>
      </w:r>
      <w:r w:rsidR="008652EB">
        <w:rPr>
          <w:b/>
          <w:bCs/>
          <w:lang w:val="es-ES_tradnl" w:bidi="es-ES_tradnl"/>
        </w:rPr>
        <w:t xml:space="preserve">fortalezas </w:t>
      </w:r>
      <w:r>
        <w:rPr>
          <w:b/>
          <w:bCs/>
          <w:lang w:val="es-ES_tradnl" w:bidi="es-ES_tradnl"/>
        </w:rPr>
        <w:t xml:space="preserve">y gracias al lanzamiento de un ambicioso programa de mejora de sus </w:t>
      </w:r>
      <w:r w:rsidR="005405BA">
        <w:rPr>
          <w:b/>
          <w:bCs/>
          <w:lang w:val="es-ES_tradnl" w:bidi="es-ES_tradnl"/>
        </w:rPr>
        <w:t>sistemas de gestión, el grupo Michelin confirma sus objetiv</w:t>
      </w:r>
      <w:r w:rsidR="00EB53E2">
        <w:rPr>
          <w:b/>
          <w:bCs/>
          <w:lang w:val="es-ES_tradnl" w:bidi="es-ES_tradnl"/>
        </w:rPr>
        <w:t>os para el horizonte de 2015 y pretende, para el año 2013, lograr un resultado operativo</w:t>
      </w:r>
      <w:r w:rsidR="008652EB">
        <w:rPr>
          <w:b/>
          <w:bCs/>
          <w:lang w:val="es-ES_tradnl" w:bidi="es-ES_tradnl"/>
        </w:rPr>
        <w:t>,</w:t>
      </w:r>
      <w:r w:rsidR="00EB53E2">
        <w:rPr>
          <w:b/>
          <w:bCs/>
          <w:lang w:val="es-ES_tradnl" w:bidi="es-ES_tradnl"/>
        </w:rPr>
        <w:t xml:space="preserve"> antes de elementos no recurrentes</w:t>
      </w:r>
      <w:r w:rsidR="008652EB">
        <w:rPr>
          <w:b/>
          <w:bCs/>
          <w:lang w:val="es-ES_tradnl" w:bidi="es-ES_tradnl"/>
        </w:rPr>
        <w:t>,</w:t>
      </w:r>
      <w:r w:rsidR="00EB53E2">
        <w:rPr>
          <w:b/>
          <w:bCs/>
          <w:lang w:val="es-ES_tradnl" w:bidi="es-ES_tradnl"/>
        </w:rPr>
        <w:t xml:space="preserve"> estable</w:t>
      </w:r>
      <w:r w:rsidR="00B21DB8">
        <w:rPr>
          <w:b/>
          <w:bCs/>
          <w:lang w:val="es-ES_tradnl" w:bidi="es-ES_tradnl"/>
        </w:rPr>
        <w:t>,</w:t>
      </w:r>
      <w:r w:rsidR="00EB53E2">
        <w:rPr>
          <w:b/>
          <w:bCs/>
          <w:lang w:val="es-ES_tradnl" w:bidi="es-ES_tradnl"/>
        </w:rPr>
        <w:t xml:space="preserve"> basado en las paridades de cambio actuales,  una rentabilidad de los capitales empleados superior al 10% y  la generación de un cash flow libre positivo.</w:t>
      </w:r>
    </w:p>
    <w:p w:rsidR="00913057" w:rsidRPr="000F3918" w:rsidRDefault="00913057" w:rsidP="00913057">
      <w:pPr>
        <w:pStyle w:val="TextoMichelin"/>
        <w:rPr>
          <w:b/>
          <w:bCs/>
          <w:lang w:val="es-ES_tradnl" w:bidi="es-ES_tradnl"/>
        </w:rPr>
      </w:pPr>
    </w:p>
    <w:p w:rsidR="00913057" w:rsidRPr="000F3918" w:rsidRDefault="00913057" w:rsidP="00913057">
      <w:pPr>
        <w:pStyle w:val="TextoMichelin"/>
        <w:rPr>
          <w:bCs/>
          <w:color w:val="FF0000"/>
          <w:lang w:val="es-ES_tradnl" w:bidi="es-ES_tradnl"/>
        </w:rPr>
      </w:pPr>
      <w:r w:rsidRPr="000F3918">
        <w:rPr>
          <w:bCs/>
          <w:color w:val="FF0000"/>
          <w:lang w:val="es-ES_tradnl" w:bidi="es-ES_tradnl"/>
        </w:rPr>
        <w:br w:type="column"/>
      </w: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2003"/>
        <w:gridCol w:w="2108"/>
      </w:tblGrid>
      <w:tr w:rsidR="00913057" w:rsidRPr="000F3918">
        <w:trPr>
          <w:jc w:val="center"/>
        </w:trPr>
        <w:tc>
          <w:tcPr>
            <w:tcW w:w="3227" w:type="dxa"/>
            <w:shd w:val="clear" w:color="auto" w:fill="E0E0E0"/>
          </w:tcPr>
          <w:p w:rsidR="00913057" w:rsidRPr="000F3918" w:rsidRDefault="00913057" w:rsidP="00913057">
            <w:pPr>
              <w:pStyle w:val="TextoMichelin"/>
              <w:jc w:val="center"/>
              <w:rPr>
                <w:bCs/>
                <w:sz w:val="20"/>
                <w:lang w:val="es-ES_tradnl" w:bidi="es-ES_tradnl"/>
              </w:rPr>
            </w:pPr>
            <w:r w:rsidRPr="000F3918">
              <w:rPr>
                <w:bCs/>
                <w:sz w:val="20"/>
                <w:lang w:val="es-ES_tradnl" w:bidi="es-ES_tradnl"/>
              </w:rPr>
              <w:t>(EN MILLONES DE EUROS)</w:t>
            </w:r>
          </w:p>
        </w:tc>
        <w:tc>
          <w:tcPr>
            <w:tcW w:w="2003" w:type="dxa"/>
            <w:shd w:val="clear" w:color="auto" w:fill="E0E0E0"/>
          </w:tcPr>
          <w:p w:rsidR="00913057" w:rsidRPr="000F3918" w:rsidRDefault="00913057" w:rsidP="00A93446">
            <w:pPr>
              <w:pStyle w:val="TextoMichelin"/>
              <w:jc w:val="center"/>
              <w:rPr>
                <w:rFonts w:ascii="Verdana" w:hAnsi="Verdana"/>
                <w:bCs/>
                <w:sz w:val="20"/>
                <w:lang w:val="es-ES_tradnl" w:bidi="es-ES_tradnl"/>
              </w:rPr>
            </w:pPr>
            <w:r w:rsidRPr="000F3918">
              <w:rPr>
                <w:bCs/>
                <w:sz w:val="20"/>
                <w:lang w:val="es-ES_tradnl" w:bidi="es-ES_tradnl"/>
              </w:rPr>
              <w:t>201</w:t>
            </w:r>
            <w:r w:rsidR="00A93446">
              <w:rPr>
                <w:bCs/>
                <w:sz w:val="20"/>
                <w:lang w:val="es-ES_tradnl" w:bidi="es-ES_tradnl"/>
              </w:rPr>
              <w:t>2</w:t>
            </w:r>
          </w:p>
        </w:tc>
        <w:tc>
          <w:tcPr>
            <w:tcW w:w="2108" w:type="dxa"/>
            <w:shd w:val="clear" w:color="auto" w:fill="E0E0E0"/>
          </w:tcPr>
          <w:p w:rsidR="00913057" w:rsidRPr="000F3918" w:rsidRDefault="00913057" w:rsidP="00A93446">
            <w:pPr>
              <w:pStyle w:val="TextoMichelin"/>
              <w:jc w:val="center"/>
              <w:rPr>
                <w:rFonts w:ascii="Verdana" w:hAnsi="Verdana"/>
                <w:bCs/>
                <w:sz w:val="20"/>
                <w:lang w:val="es-ES_tradnl" w:bidi="es-ES_tradnl"/>
              </w:rPr>
            </w:pPr>
            <w:r w:rsidRPr="000F3918">
              <w:rPr>
                <w:bCs/>
                <w:sz w:val="20"/>
                <w:lang w:val="es-ES_tradnl" w:bidi="es-ES_tradnl"/>
              </w:rPr>
              <w:t>201</w:t>
            </w:r>
            <w:r w:rsidR="00A93446">
              <w:rPr>
                <w:bCs/>
                <w:sz w:val="20"/>
                <w:lang w:val="es-ES_tradnl" w:bidi="es-ES_tradnl"/>
              </w:rPr>
              <w:t>1</w:t>
            </w:r>
          </w:p>
        </w:tc>
      </w:tr>
      <w:tr w:rsidR="00696E13" w:rsidRPr="000F3918">
        <w:trPr>
          <w:jc w:val="center"/>
        </w:trPr>
        <w:tc>
          <w:tcPr>
            <w:tcW w:w="3227" w:type="dxa"/>
          </w:tcPr>
          <w:p w:rsidR="00696E13" w:rsidRPr="000F3918" w:rsidRDefault="00696E13" w:rsidP="00913057">
            <w:pPr>
              <w:pStyle w:val="TextoMichelin"/>
              <w:jc w:val="left"/>
              <w:rPr>
                <w:bCs/>
                <w:sz w:val="20"/>
                <w:lang w:val="es-ES_tradnl" w:bidi="es-ES_tradnl"/>
              </w:rPr>
            </w:pPr>
            <w:r w:rsidRPr="000F3918">
              <w:rPr>
                <w:bCs/>
                <w:sz w:val="20"/>
                <w:lang w:val="es-ES_tradnl" w:bidi="es-ES_tradnl"/>
              </w:rPr>
              <w:t>VENTAS NETAS</w:t>
            </w:r>
          </w:p>
        </w:tc>
        <w:tc>
          <w:tcPr>
            <w:tcW w:w="2003" w:type="dxa"/>
          </w:tcPr>
          <w:p w:rsidR="00696E13" w:rsidRPr="00D70DBF" w:rsidRDefault="00696E13" w:rsidP="007874AF">
            <w:pPr>
              <w:tabs>
                <w:tab w:val="left" w:pos="360"/>
              </w:tabs>
              <w:ind w:right="-20"/>
              <w:jc w:val="center"/>
              <w:rPr>
                <w:rFonts w:ascii="Arial" w:hAnsi="Arial" w:cs="Arial"/>
                <w:b/>
                <w:bCs/>
                <w:sz w:val="20"/>
              </w:rPr>
            </w:pPr>
            <w:r w:rsidRPr="00D70DBF">
              <w:rPr>
                <w:rFonts w:ascii="Arial" w:hAnsi="Arial" w:cs="Arial"/>
                <w:b/>
                <w:bCs/>
                <w:sz w:val="20"/>
              </w:rPr>
              <w:t>21.474</w:t>
            </w:r>
          </w:p>
          <w:p w:rsidR="00696E13" w:rsidRPr="00D70DBF" w:rsidRDefault="00696E13" w:rsidP="007874AF">
            <w:pPr>
              <w:jc w:val="center"/>
              <w:rPr>
                <w:rFonts w:ascii="Arial" w:hAnsi="Arial" w:cs="Arial"/>
                <w:sz w:val="20"/>
              </w:rPr>
            </w:pPr>
          </w:p>
        </w:tc>
        <w:tc>
          <w:tcPr>
            <w:tcW w:w="2108" w:type="dxa"/>
          </w:tcPr>
          <w:p w:rsidR="00696E13" w:rsidRPr="00D70DBF" w:rsidRDefault="00696E13" w:rsidP="00913057">
            <w:pPr>
              <w:tabs>
                <w:tab w:val="left" w:pos="360"/>
              </w:tabs>
              <w:jc w:val="center"/>
              <w:rPr>
                <w:rFonts w:ascii="Arial" w:hAnsi="Arial" w:cs="Arial"/>
                <w:b/>
                <w:bCs/>
                <w:sz w:val="20"/>
              </w:rPr>
            </w:pPr>
            <w:r w:rsidRPr="00D70DBF">
              <w:rPr>
                <w:rFonts w:ascii="Arial" w:hAnsi="Arial" w:cs="Arial"/>
                <w:b/>
                <w:bCs/>
                <w:sz w:val="20"/>
              </w:rPr>
              <w:t>20.719</w:t>
            </w:r>
            <w:r w:rsidRPr="00D70DBF">
              <w:rPr>
                <w:rFonts w:ascii="Arial" w:hAnsi="Arial" w:cs="Arial"/>
                <w:b/>
                <w:bCs/>
                <w:sz w:val="20"/>
              </w:rPr>
              <w:br/>
            </w:r>
          </w:p>
        </w:tc>
      </w:tr>
      <w:tr w:rsidR="00696E13" w:rsidRPr="000F3918">
        <w:trPr>
          <w:trHeight w:val="846"/>
          <w:jc w:val="center"/>
        </w:trPr>
        <w:tc>
          <w:tcPr>
            <w:tcW w:w="3227" w:type="dxa"/>
          </w:tcPr>
          <w:p w:rsidR="00696E13" w:rsidRPr="000F3918" w:rsidRDefault="00696E13" w:rsidP="00913057">
            <w:pPr>
              <w:pStyle w:val="TextoMichelin"/>
              <w:jc w:val="left"/>
              <w:rPr>
                <w:bCs/>
                <w:sz w:val="20"/>
                <w:lang w:val="es-ES_tradnl" w:bidi="es-ES_tradnl"/>
              </w:rPr>
            </w:pPr>
            <w:r w:rsidRPr="000F3918">
              <w:rPr>
                <w:bCs/>
                <w:sz w:val="20"/>
                <w:lang w:val="es-ES_tradnl" w:bidi="es-ES_tradnl"/>
              </w:rPr>
              <w:t>RESULTADO OPERATIVO ANTES DE ELEMENTOS NO RECURRENTES</w:t>
            </w:r>
          </w:p>
        </w:tc>
        <w:tc>
          <w:tcPr>
            <w:tcW w:w="2003" w:type="dxa"/>
          </w:tcPr>
          <w:p w:rsidR="00696E13" w:rsidRPr="00D70DBF" w:rsidRDefault="00696E13" w:rsidP="00AA0EB1">
            <w:pPr>
              <w:tabs>
                <w:tab w:val="left" w:pos="360"/>
              </w:tabs>
              <w:ind w:right="-20"/>
              <w:jc w:val="center"/>
              <w:rPr>
                <w:rFonts w:ascii="Arial" w:hAnsi="Arial" w:cs="Arial"/>
                <w:b/>
                <w:bCs/>
                <w:sz w:val="20"/>
              </w:rPr>
            </w:pPr>
            <w:r w:rsidRPr="00D70DBF">
              <w:rPr>
                <w:rFonts w:ascii="Arial" w:hAnsi="Arial" w:cs="Arial"/>
                <w:b/>
                <w:bCs/>
                <w:sz w:val="20"/>
              </w:rPr>
              <w:t>2</w:t>
            </w:r>
            <w:r w:rsidR="00AA0EB1" w:rsidRPr="00D70DBF">
              <w:rPr>
                <w:rFonts w:ascii="Arial" w:hAnsi="Arial" w:cs="Arial"/>
                <w:b/>
                <w:bCs/>
                <w:sz w:val="20"/>
              </w:rPr>
              <w:t>.</w:t>
            </w:r>
            <w:r w:rsidRPr="00D70DBF">
              <w:rPr>
                <w:rFonts w:ascii="Arial" w:hAnsi="Arial" w:cs="Arial"/>
                <w:b/>
                <w:bCs/>
                <w:sz w:val="20"/>
              </w:rPr>
              <w:t>423</w:t>
            </w:r>
          </w:p>
        </w:tc>
        <w:tc>
          <w:tcPr>
            <w:tcW w:w="2108" w:type="dxa"/>
          </w:tcPr>
          <w:p w:rsidR="00696E13" w:rsidRPr="00D70DBF" w:rsidRDefault="00696E13" w:rsidP="00913057">
            <w:pPr>
              <w:tabs>
                <w:tab w:val="left" w:pos="360"/>
              </w:tabs>
              <w:jc w:val="center"/>
              <w:rPr>
                <w:rFonts w:ascii="Arial" w:hAnsi="Arial" w:cs="Arial"/>
                <w:b/>
                <w:bCs/>
                <w:sz w:val="20"/>
              </w:rPr>
            </w:pPr>
            <w:r w:rsidRPr="00D70DBF">
              <w:rPr>
                <w:rFonts w:ascii="Arial" w:hAnsi="Arial" w:cs="Arial"/>
                <w:b/>
                <w:bCs/>
                <w:sz w:val="20"/>
              </w:rPr>
              <w:t>1.945</w:t>
            </w:r>
          </w:p>
        </w:tc>
      </w:tr>
      <w:tr w:rsidR="00696E13" w:rsidRPr="000F3918">
        <w:trPr>
          <w:jc w:val="center"/>
        </w:trPr>
        <w:tc>
          <w:tcPr>
            <w:tcW w:w="3227" w:type="dxa"/>
          </w:tcPr>
          <w:p w:rsidR="00696E13" w:rsidRPr="000F3918" w:rsidRDefault="00696E13" w:rsidP="00913057">
            <w:pPr>
              <w:pStyle w:val="TextoMichelin"/>
              <w:jc w:val="left"/>
              <w:rPr>
                <w:bCs/>
                <w:sz w:val="20"/>
                <w:lang w:val="es-ES_tradnl" w:bidi="es-ES_tradnl"/>
              </w:rPr>
            </w:pPr>
            <w:r w:rsidRPr="000F3918">
              <w:rPr>
                <w:bCs/>
                <w:sz w:val="20"/>
                <w:lang w:val="es-ES_tradnl" w:bidi="es-ES_tradnl"/>
              </w:rPr>
              <w:t>MARGEN OPERATIVO ANTES DE ELEMENTOS NO RECURRENTES</w:t>
            </w:r>
          </w:p>
        </w:tc>
        <w:tc>
          <w:tcPr>
            <w:tcW w:w="2003" w:type="dxa"/>
          </w:tcPr>
          <w:p w:rsidR="00696E13" w:rsidRPr="00D70DBF" w:rsidRDefault="00696E13" w:rsidP="007874AF">
            <w:pPr>
              <w:tabs>
                <w:tab w:val="left" w:pos="360"/>
              </w:tabs>
              <w:ind w:right="-20"/>
              <w:jc w:val="center"/>
              <w:rPr>
                <w:rFonts w:ascii="Arial" w:hAnsi="Arial" w:cs="Arial"/>
                <w:b/>
                <w:bCs/>
                <w:sz w:val="20"/>
              </w:rPr>
            </w:pPr>
            <w:r w:rsidRPr="00D70DBF">
              <w:rPr>
                <w:rFonts w:ascii="Arial" w:hAnsi="Arial" w:cs="Arial"/>
                <w:b/>
                <w:bCs/>
                <w:sz w:val="20"/>
              </w:rPr>
              <w:t>11,3%</w:t>
            </w:r>
          </w:p>
        </w:tc>
        <w:tc>
          <w:tcPr>
            <w:tcW w:w="2108" w:type="dxa"/>
          </w:tcPr>
          <w:p w:rsidR="00696E13" w:rsidRPr="00D70DBF" w:rsidRDefault="00696E13" w:rsidP="00913057">
            <w:pPr>
              <w:tabs>
                <w:tab w:val="left" w:pos="360"/>
              </w:tabs>
              <w:jc w:val="center"/>
              <w:rPr>
                <w:rFonts w:ascii="Arial" w:hAnsi="Arial" w:cs="Arial"/>
                <w:b/>
                <w:bCs/>
                <w:sz w:val="20"/>
              </w:rPr>
            </w:pPr>
            <w:r w:rsidRPr="00D70DBF">
              <w:rPr>
                <w:rFonts w:ascii="Arial" w:hAnsi="Arial" w:cs="Arial"/>
                <w:b/>
                <w:bCs/>
                <w:sz w:val="20"/>
              </w:rPr>
              <w:t>9,4%</w:t>
            </w:r>
          </w:p>
        </w:tc>
      </w:tr>
      <w:tr w:rsidR="00696E13" w:rsidRPr="000F3918">
        <w:trPr>
          <w:jc w:val="center"/>
        </w:trPr>
        <w:tc>
          <w:tcPr>
            <w:tcW w:w="3227" w:type="dxa"/>
          </w:tcPr>
          <w:p w:rsidR="00696E13" w:rsidRPr="000F3918" w:rsidRDefault="00696E13" w:rsidP="00B21DB8">
            <w:pPr>
              <w:pStyle w:val="TextoMichelin"/>
              <w:jc w:val="left"/>
              <w:rPr>
                <w:bCs/>
                <w:sz w:val="20"/>
                <w:lang w:val="es-ES_tradnl" w:bidi="es-ES_tradnl"/>
              </w:rPr>
            </w:pPr>
            <w:r w:rsidRPr="000F3918">
              <w:rPr>
                <w:bCs/>
                <w:sz w:val="20"/>
                <w:lang w:val="es-ES_tradnl" w:bidi="es-ES_tradnl"/>
              </w:rPr>
              <w:t xml:space="preserve">TURISMO, CAMIONETA Y DISTRIBUCIÓN ASOCIADA </w:t>
            </w:r>
          </w:p>
        </w:tc>
        <w:tc>
          <w:tcPr>
            <w:tcW w:w="2003" w:type="dxa"/>
          </w:tcPr>
          <w:p w:rsidR="00696E13" w:rsidRPr="00D70DBF" w:rsidRDefault="00696E13" w:rsidP="007874AF">
            <w:pPr>
              <w:tabs>
                <w:tab w:val="left" w:pos="360"/>
              </w:tabs>
              <w:ind w:right="-20"/>
              <w:jc w:val="center"/>
              <w:rPr>
                <w:rFonts w:ascii="Arial" w:hAnsi="Arial" w:cs="Arial"/>
                <w:b/>
                <w:bCs/>
                <w:sz w:val="20"/>
              </w:rPr>
            </w:pPr>
            <w:r w:rsidRPr="00D70DBF">
              <w:rPr>
                <w:rFonts w:ascii="Arial" w:hAnsi="Arial" w:cs="Arial"/>
                <w:b/>
                <w:bCs/>
                <w:sz w:val="20"/>
              </w:rPr>
              <w:t>9,3%</w:t>
            </w:r>
          </w:p>
        </w:tc>
        <w:tc>
          <w:tcPr>
            <w:tcW w:w="2108" w:type="dxa"/>
          </w:tcPr>
          <w:p w:rsidR="00696E13" w:rsidRPr="00D70DBF" w:rsidRDefault="00696E13" w:rsidP="00913057">
            <w:pPr>
              <w:tabs>
                <w:tab w:val="left" w:pos="360"/>
              </w:tabs>
              <w:jc w:val="center"/>
              <w:rPr>
                <w:rFonts w:ascii="Arial" w:hAnsi="Arial" w:cs="Arial"/>
                <w:b/>
                <w:bCs/>
                <w:sz w:val="20"/>
              </w:rPr>
            </w:pPr>
            <w:r w:rsidRPr="00D70DBF">
              <w:rPr>
                <w:rFonts w:ascii="Arial" w:hAnsi="Arial" w:cs="Arial"/>
                <w:b/>
                <w:bCs/>
                <w:sz w:val="20"/>
              </w:rPr>
              <w:t>9,4%</w:t>
            </w:r>
          </w:p>
        </w:tc>
      </w:tr>
      <w:tr w:rsidR="00696E13" w:rsidRPr="000F3918">
        <w:trPr>
          <w:jc w:val="center"/>
        </w:trPr>
        <w:tc>
          <w:tcPr>
            <w:tcW w:w="3227" w:type="dxa"/>
          </w:tcPr>
          <w:p w:rsidR="00696E13" w:rsidRPr="000F3918" w:rsidRDefault="00696E13" w:rsidP="00B21DB8">
            <w:pPr>
              <w:pStyle w:val="TextoMichelin"/>
              <w:jc w:val="left"/>
              <w:rPr>
                <w:bCs/>
                <w:sz w:val="20"/>
                <w:lang w:val="es-ES_tradnl" w:bidi="es-ES_tradnl"/>
              </w:rPr>
            </w:pPr>
            <w:r w:rsidRPr="000F3918">
              <w:rPr>
                <w:bCs/>
                <w:sz w:val="20"/>
                <w:lang w:val="es-ES_tradnl" w:bidi="es-ES_tradnl"/>
              </w:rPr>
              <w:t xml:space="preserve">CAMIÓN Y </w:t>
            </w:r>
            <w:r w:rsidRPr="000F3918">
              <w:rPr>
                <w:bCs/>
                <w:sz w:val="20"/>
                <w:lang w:val="es-ES_tradnl" w:bidi="es-ES_tradnl"/>
              </w:rPr>
              <w:br/>
              <w:t xml:space="preserve">DISTRIBUCIÓN ASOCIADA </w:t>
            </w:r>
          </w:p>
        </w:tc>
        <w:tc>
          <w:tcPr>
            <w:tcW w:w="2003" w:type="dxa"/>
          </w:tcPr>
          <w:p w:rsidR="00696E13" w:rsidRPr="00D70DBF" w:rsidRDefault="00696E13" w:rsidP="007874AF">
            <w:pPr>
              <w:tabs>
                <w:tab w:val="left" w:pos="360"/>
              </w:tabs>
              <w:ind w:right="-20"/>
              <w:jc w:val="center"/>
              <w:rPr>
                <w:rFonts w:ascii="Arial" w:hAnsi="Arial" w:cs="Arial"/>
                <w:b/>
                <w:bCs/>
                <w:sz w:val="20"/>
              </w:rPr>
            </w:pPr>
            <w:r w:rsidRPr="00D70DBF">
              <w:rPr>
                <w:rFonts w:ascii="Arial" w:hAnsi="Arial" w:cs="Arial"/>
                <w:b/>
                <w:bCs/>
                <w:sz w:val="20"/>
              </w:rPr>
              <w:t>6,6%</w:t>
            </w:r>
          </w:p>
        </w:tc>
        <w:tc>
          <w:tcPr>
            <w:tcW w:w="2108" w:type="dxa"/>
          </w:tcPr>
          <w:p w:rsidR="00696E13" w:rsidRPr="00D70DBF" w:rsidRDefault="00696E13" w:rsidP="00913057">
            <w:pPr>
              <w:tabs>
                <w:tab w:val="left" w:pos="360"/>
              </w:tabs>
              <w:jc w:val="center"/>
              <w:rPr>
                <w:rFonts w:ascii="Arial" w:hAnsi="Arial" w:cs="Arial"/>
                <w:b/>
                <w:bCs/>
                <w:sz w:val="20"/>
              </w:rPr>
            </w:pPr>
            <w:r w:rsidRPr="00D70DBF">
              <w:rPr>
                <w:rFonts w:ascii="Arial" w:hAnsi="Arial" w:cs="Arial"/>
                <w:b/>
                <w:bCs/>
                <w:sz w:val="20"/>
              </w:rPr>
              <w:t>3,5%</w:t>
            </w:r>
          </w:p>
        </w:tc>
      </w:tr>
      <w:tr w:rsidR="00696E13" w:rsidRPr="000F3918">
        <w:trPr>
          <w:jc w:val="center"/>
        </w:trPr>
        <w:tc>
          <w:tcPr>
            <w:tcW w:w="3227" w:type="dxa"/>
            <w:tcBorders>
              <w:top w:val="single" w:sz="4" w:space="0" w:color="auto"/>
              <w:left w:val="single" w:sz="4" w:space="0" w:color="auto"/>
              <w:bottom w:val="single" w:sz="4" w:space="0" w:color="auto"/>
              <w:right w:val="single" w:sz="4" w:space="0" w:color="auto"/>
            </w:tcBorders>
          </w:tcPr>
          <w:p w:rsidR="00696E13" w:rsidRPr="000F3918" w:rsidRDefault="00696E13" w:rsidP="00B21DB8">
            <w:pPr>
              <w:pStyle w:val="TextoMichelin"/>
              <w:jc w:val="left"/>
              <w:rPr>
                <w:bCs/>
                <w:sz w:val="20"/>
                <w:lang w:val="es-ES_tradnl" w:bidi="es-ES_tradnl"/>
              </w:rPr>
            </w:pPr>
            <w:r w:rsidRPr="000F3918">
              <w:rPr>
                <w:bCs/>
                <w:sz w:val="20"/>
                <w:lang w:val="es-ES_tradnl" w:bidi="es-ES_tradnl"/>
              </w:rPr>
              <w:t xml:space="preserve">ACTIVIDADES </w:t>
            </w:r>
            <w:r w:rsidR="008652EB">
              <w:rPr>
                <w:bCs/>
                <w:sz w:val="20"/>
                <w:lang w:val="es-ES_tradnl" w:bidi="es-ES_tradnl"/>
              </w:rPr>
              <w:t>DE</w:t>
            </w:r>
            <w:r w:rsidR="008652EB" w:rsidRPr="000F3918">
              <w:rPr>
                <w:bCs/>
                <w:sz w:val="20"/>
                <w:lang w:val="es-ES_tradnl" w:bidi="es-ES_tradnl"/>
              </w:rPr>
              <w:t xml:space="preserve"> </w:t>
            </w:r>
            <w:r w:rsidRPr="000F3918">
              <w:rPr>
                <w:bCs/>
                <w:sz w:val="20"/>
                <w:lang w:val="es-ES_tradnl" w:bidi="es-ES_tradnl"/>
              </w:rPr>
              <w:t>ESPECIALIDADES</w:t>
            </w:r>
          </w:p>
        </w:tc>
        <w:tc>
          <w:tcPr>
            <w:tcW w:w="2003" w:type="dxa"/>
            <w:tcBorders>
              <w:top w:val="single" w:sz="4" w:space="0" w:color="auto"/>
              <w:left w:val="single" w:sz="4" w:space="0" w:color="auto"/>
              <w:bottom w:val="single" w:sz="4" w:space="0" w:color="auto"/>
              <w:right w:val="single" w:sz="4" w:space="0" w:color="auto"/>
            </w:tcBorders>
          </w:tcPr>
          <w:p w:rsidR="00696E13" w:rsidRPr="00D70DBF" w:rsidRDefault="007874AF" w:rsidP="007874AF">
            <w:pPr>
              <w:tabs>
                <w:tab w:val="left" w:pos="360"/>
              </w:tabs>
              <w:ind w:right="-20"/>
              <w:jc w:val="center"/>
              <w:rPr>
                <w:rFonts w:ascii="Arial" w:hAnsi="Arial" w:cs="Arial"/>
                <w:b/>
                <w:bCs/>
                <w:sz w:val="20"/>
              </w:rPr>
            </w:pPr>
            <w:r w:rsidRPr="00D70DBF">
              <w:rPr>
                <w:rFonts w:ascii="Arial" w:hAnsi="Arial" w:cs="Arial"/>
                <w:b/>
                <w:bCs/>
                <w:sz w:val="20"/>
              </w:rPr>
              <w:t>26,0</w:t>
            </w:r>
            <w:r w:rsidR="00696E13" w:rsidRPr="00D70DBF">
              <w:rPr>
                <w:rFonts w:ascii="Arial" w:hAnsi="Arial" w:cs="Arial"/>
                <w:b/>
                <w:bCs/>
                <w:sz w:val="20"/>
              </w:rPr>
              <w:t>%</w:t>
            </w:r>
          </w:p>
        </w:tc>
        <w:tc>
          <w:tcPr>
            <w:tcW w:w="2108" w:type="dxa"/>
            <w:tcBorders>
              <w:top w:val="single" w:sz="4" w:space="0" w:color="auto"/>
              <w:left w:val="single" w:sz="4" w:space="0" w:color="auto"/>
              <w:bottom w:val="single" w:sz="4" w:space="0" w:color="auto"/>
              <w:right w:val="single" w:sz="4" w:space="0" w:color="auto"/>
            </w:tcBorders>
          </w:tcPr>
          <w:p w:rsidR="00696E13" w:rsidRPr="00D70DBF" w:rsidRDefault="00696E13" w:rsidP="00913057">
            <w:pPr>
              <w:tabs>
                <w:tab w:val="left" w:pos="360"/>
              </w:tabs>
              <w:jc w:val="center"/>
              <w:rPr>
                <w:rFonts w:ascii="Arial" w:hAnsi="Arial" w:cs="Arial"/>
                <w:b/>
                <w:bCs/>
                <w:sz w:val="20"/>
              </w:rPr>
            </w:pPr>
            <w:r w:rsidRPr="00D70DBF">
              <w:rPr>
                <w:rFonts w:ascii="Arial" w:hAnsi="Arial" w:cs="Arial"/>
                <w:b/>
                <w:bCs/>
                <w:sz w:val="20"/>
              </w:rPr>
              <w:t>21,5%</w:t>
            </w:r>
          </w:p>
        </w:tc>
      </w:tr>
      <w:tr w:rsidR="00696E13" w:rsidRPr="000F3918">
        <w:trPr>
          <w:jc w:val="center"/>
        </w:trPr>
        <w:tc>
          <w:tcPr>
            <w:tcW w:w="3227" w:type="dxa"/>
            <w:tcBorders>
              <w:top w:val="single" w:sz="4" w:space="0" w:color="auto"/>
              <w:left w:val="single" w:sz="4" w:space="0" w:color="auto"/>
              <w:bottom w:val="single" w:sz="4" w:space="0" w:color="auto"/>
              <w:right w:val="single" w:sz="4" w:space="0" w:color="auto"/>
            </w:tcBorders>
          </w:tcPr>
          <w:p w:rsidR="00696E13" w:rsidRPr="000F3918" w:rsidRDefault="00696E13" w:rsidP="00913057">
            <w:pPr>
              <w:pStyle w:val="TextoMichelin"/>
              <w:jc w:val="left"/>
              <w:rPr>
                <w:bCs/>
                <w:sz w:val="20"/>
                <w:lang w:val="es-ES_tradnl" w:bidi="es-ES_tradnl"/>
              </w:rPr>
            </w:pPr>
            <w:r w:rsidRPr="000F3918">
              <w:rPr>
                <w:bCs/>
                <w:sz w:val="20"/>
                <w:lang w:val="es-ES_tradnl" w:bidi="es-ES_tradnl"/>
              </w:rPr>
              <w:t>RESULTADO OPERATIVO TRAS ELEMENTOS NO RECURRENTES</w:t>
            </w:r>
          </w:p>
        </w:tc>
        <w:tc>
          <w:tcPr>
            <w:tcW w:w="2003" w:type="dxa"/>
            <w:tcBorders>
              <w:top w:val="single" w:sz="4" w:space="0" w:color="auto"/>
              <w:left w:val="single" w:sz="4" w:space="0" w:color="auto"/>
              <w:bottom w:val="single" w:sz="4" w:space="0" w:color="auto"/>
              <w:right w:val="single" w:sz="4" w:space="0" w:color="auto"/>
            </w:tcBorders>
          </w:tcPr>
          <w:p w:rsidR="00696E13" w:rsidRPr="00D70DBF" w:rsidRDefault="00696E13" w:rsidP="007874AF">
            <w:pPr>
              <w:tabs>
                <w:tab w:val="left" w:pos="360"/>
              </w:tabs>
              <w:ind w:right="-20"/>
              <w:jc w:val="center"/>
              <w:rPr>
                <w:rFonts w:ascii="Arial" w:hAnsi="Arial" w:cs="Arial"/>
                <w:b/>
                <w:bCs/>
                <w:sz w:val="20"/>
              </w:rPr>
            </w:pPr>
            <w:r w:rsidRPr="00D70DBF">
              <w:rPr>
                <w:rFonts w:ascii="Arial" w:hAnsi="Arial" w:cs="Arial"/>
                <w:b/>
                <w:bCs/>
                <w:sz w:val="20"/>
              </w:rPr>
              <w:t>2</w:t>
            </w:r>
            <w:r w:rsidR="007874AF" w:rsidRPr="00D70DBF">
              <w:rPr>
                <w:rFonts w:ascii="Arial" w:hAnsi="Arial" w:cs="Arial"/>
                <w:b/>
                <w:bCs/>
                <w:sz w:val="20"/>
              </w:rPr>
              <w:t>.</w:t>
            </w:r>
            <w:r w:rsidRPr="00D70DBF">
              <w:rPr>
                <w:rFonts w:ascii="Arial" w:hAnsi="Arial" w:cs="Arial"/>
                <w:b/>
                <w:bCs/>
                <w:sz w:val="20"/>
              </w:rPr>
              <w:t>469</w:t>
            </w:r>
          </w:p>
        </w:tc>
        <w:tc>
          <w:tcPr>
            <w:tcW w:w="2108" w:type="dxa"/>
            <w:tcBorders>
              <w:top w:val="single" w:sz="4" w:space="0" w:color="auto"/>
              <w:left w:val="single" w:sz="4" w:space="0" w:color="auto"/>
              <w:bottom w:val="single" w:sz="4" w:space="0" w:color="auto"/>
              <w:right w:val="single" w:sz="4" w:space="0" w:color="auto"/>
            </w:tcBorders>
          </w:tcPr>
          <w:p w:rsidR="00696E13" w:rsidRPr="00D70DBF" w:rsidRDefault="00696E13" w:rsidP="00913057">
            <w:pPr>
              <w:tabs>
                <w:tab w:val="left" w:pos="360"/>
              </w:tabs>
              <w:jc w:val="center"/>
              <w:rPr>
                <w:rFonts w:ascii="Arial" w:hAnsi="Arial" w:cs="Arial"/>
                <w:b/>
                <w:bCs/>
                <w:sz w:val="20"/>
              </w:rPr>
            </w:pPr>
            <w:r w:rsidRPr="00D70DBF">
              <w:rPr>
                <w:rFonts w:ascii="Arial" w:hAnsi="Arial" w:cs="Arial"/>
                <w:b/>
                <w:bCs/>
                <w:sz w:val="20"/>
              </w:rPr>
              <w:t>1.945</w:t>
            </w:r>
          </w:p>
        </w:tc>
      </w:tr>
      <w:tr w:rsidR="00696E13" w:rsidRPr="000F3918">
        <w:trPr>
          <w:jc w:val="center"/>
        </w:trPr>
        <w:tc>
          <w:tcPr>
            <w:tcW w:w="3227" w:type="dxa"/>
            <w:tcBorders>
              <w:top w:val="single" w:sz="4" w:space="0" w:color="auto"/>
              <w:left w:val="single" w:sz="4" w:space="0" w:color="auto"/>
              <w:bottom w:val="single" w:sz="4" w:space="0" w:color="auto"/>
              <w:right w:val="single" w:sz="4" w:space="0" w:color="auto"/>
            </w:tcBorders>
          </w:tcPr>
          <w:p w:rsidR="00696E13" w:rsidRPr="000F3918" w:rsidRDefault="00696E13" w:rsidP="00913057">
            <w:pPr>
              <w:pStyle w:val="TextoMichelin"/>
              <w:jc w:val="left"/>
              <w:rPr>
                <w:bCs/>
                <w:sz w:val="20"/>
                <w:lang w:val="es-ES_tradnl" w:bidi="es-ES_tradnl"/>
              </w:rPr>
            </w:pPr>
            <w:r w:rsidRPr="000F3918">
              <w:rPr>
                <w:bCs/>
                <w:sz w:val="20"/>
                <w:lang w:val="es-ES_tradnl" w:bidi="es-ES_tradnl"/>
              </w:rPr>
              <w:t xml:space="preserve">RESULTADO NETO </w:t>
            </w:r>
          </w:p>
        </w:tc>
        <w:tc>
          <w:tcPr>
            <w:tcW w:w="2003" w:type="dxa"/>
            <w:tcBorders>
              <w:top w:val="single" w:sz="4" w:space="0" w:color="auto"/>
              <w:left w:val="single" w:sz="4" w:space="0" w:color="auto"/>
              <w:bottom w:val="single" w:sz="4" w:space="0" w:color="auto"/>
              <w:right w:val="single" w:sz="4" w:space="0" w:color="auto"/>
            </w:tcBorders>
          </w:tcPr>
          <w:p w:rsidR="00696E13" w:rsidRPr="00D70DBF" w:rsidRDefault="00696E13" w:rsidP="007874AF">
            <w:pPr>
              <w:tabs>
                <w:tab w:val="left" w:pos="360"/>
              </w:tabs>
              <w:ind w:right="-20"/>
              <w:jc w:val="center"/>
              <w:rPr>
                <w:rFonts w:ascii="Arial" w:hAnsi="Arial" w:cs="Arial"/>
                <w:b/>
                <w:bCs/>
                <w:sz w:val="20"/>
              </w:rPr>
            </w:pPr>
            <w:r w:rsidRPr="00D70DBF">
              <w:rPr>
                <w:rFonts w:ascii="Arial" w:hAnsi="Arial" w:cs="Arial"/>
                <w:b/>
                <w:bCs/>
                <w:sz w:val="20"/>
              </w:rPr>
              <w:t>1</w:t>
            </w:r>
            <w:r w:rsidR="007874AF" w:rsidRPr="00D70DBF">
              <w:rPr>
                <w:rFonts w:ascii="Arial" w:hAnsi="Arial" w:cs="Arial"/>
                <w:b/>
                <w:bCs/>
                <w:sz w:val="20"/>
              </w:rPr>
              <w:t>.</w:t>
            </w:r>
            <w:r w:rsidRPr="00D70DBF">
              <w:rPr>
                <w:rFonts w:ascii="Arial" w:hAnsi="Arial" w:cs="Arial"/>
                <w:b/>
                <w:bCs/>
                <w:sz w:val="20"/>
              </w:rPr>
              <w:t>571</w:t>
            </w:r>
          </w:p>
        </w:tc>
        <w:tc>
          <w:tcPr>
            <w:tcW w:w="2108" w:type="dxa"/>
            <w:tcBorders>
              <w:top w:val="single" w:sz="4" w:space="0" w:color="auto"/>
              <w:left w:val="single" w:sz="4" w:space="0" w:color="auto"/>
              <w:bottom w:val="single" w:sz="4" w:space="0" w:color="auto"/>
              <w:right w:val="single" w:sz="4" w:space="0" w:color="auto"/>
            </w:tcBorders>
          </w:tcPr>
          <w:p w:rsidR="00696E13" w:rsidRPr="00D70DBF" w:rsidRDefault="00696E13" w:rsidP="00913057">
            <w:pPr>
              <w:tabs>
                <w:tab w:val="left" w:pos="360"/>
              </w:tabs>
              <w:jc w:val="center"/>
              <w:rPr>
                <w:rFonts w:ascii="Arial" w:hAnsi="Arial" w:cs="Arial"/>
                <w:b/>
                <w:bCs/>
                <w:sz w:val="20"/>
              </w:rPr>
            </w:pPr>
            <w:r w:rsidRPr="00D70DBF">
              <w:rPr>
                <w:rFonts w:ascii="Arial" w:hAnsi="Arial" w:cs="Arial"/>
                <w:b/>
                <w:bCs/>
                <w:sz w:val="20"/>
              </w:rPr>
              <w:t>1.462</w:t>
            </w:r>
            <w:r w:rsidRPr="00D70DBF">
              <w:rPr>
                <w:rFonts w:ascii="Arial" w:hAnsi="Arial" w:cs="Arial"/>
                <w:b/>
                <w:bCs/>
                <w:sz w:val="20"/>
              </w:rPr>
              <w:br/>
            </w:r>
          </w:p>
        </w:tc>
      </w:tr>
      <w:tr w:rsidR="00696E13" w:rsidRPr="000F3918">
        <w:trPr>
          <w:jc w:val="center"/>
        </w:trPr>
        <w:tc>
          <w:tcPr>
            <w:tcW w:w="3227" w:type="dxa"/>
            <w:tcBorders>
              <w:top w:val="single" w:sz="4" w:space="0" w:color="auto"/>
              <w:left w:val="single" w:sz="4" w:space="0" w:color="auto"/>
              <w:bottom w:val="single" w:sz="4" w:space="0" w:color="auto"/>
              <w:right w:val="single" w:sz="4" w:space="0" w:color="auto"/>
            </w:tcBorders>
          </w:tcPr>
          <w:p w:rsidR="00696E13" w:rsidRPr="000F3918" w:rsidRDefault="00696E13" w:rsidP="00913057">
            <w:pPr>
              <w:pStyle w:val="TextoMichelin"/>
              <w:jc w:val="left"/>
              <w:rPr>
                <w:bCs/>
                <w:sz w:val="20"/>
                <w:lang w:val="es-ES_tradnl" w:bidi="es-ES_tradnl"/>
              </w:rPr>
            </w:pPr>
            <w:r w:rsidRPr="000F3918">
              <w:rPr>
                <w:bCs/>
                <w:sz w:val="20"/>
                <w:lang w:val="es-ES_tradnl" w:bidi="es-ES_tradnl"/>
              </w:rPr>
              <w:t>INVERSIONES</w:t>
            </w:r>
          </w:p>
        </w:tc>
        <w:tc>
          <w:tcPr>
            <w:tcW w:w="2003" w:type="dxa"/>
            <w:tcBorders>
              <w:top w:val="single" w:sz="4" w:space="0" w:color="auto"/>
              <w:left w:val="single" w:sz="4" w:space="0" w:color="auto"/>
              <w:bottom w:val="single" w:sz="4" w:space="0" w:color="auto"/>
              <w:right w:val="single" w:sz="4" w:space="0" w:color="auto"/>
            </w:tcBorders>
          </w:tcPr>
          <w:p w:rsidR="00696E13" w:rsidRPr="00D70DBF" w:rsidRDefault="00696E13" w:rsidP="007874AF">
            <w:pPr>
              <w:tabs>
                <w:tab w:val="left" w:pos="360"/>
              </w:tabs>
              <w:ind w:right="-20"/>
              <w:jc w:val="center"/>
              <w:rPr>
                <w:rFonts w:ascii="Arial" w:hAnsi="Arial" w:cs="Arial"/>
                <w:b/>
                <w:bCs/>
                <w:sz w:val="20"/>
              </w:rPr>
            </w:pPr>
            <w:r w:rsidRPr="00D70DBF">
              <w:rPr>
                <w:rFonts w:ascii="Arial" w:hAnsi="Arial" w:cs="Arial"/>
                <w:b/>
                <w:bCs/>
                <w:sz w:val="20"/>
              </w:rPr>
              <w:t>1</w:t>
            </w:r>
            <w:r w:rsidR="007874AF" w:rsidRPr="00D70DBF">
              <w:rPr>
                <w:rFonts w:ascii="Arial" w:hAnsi="Arial" w:cs="Arial"/>
                <w:b/>
                <w:bCs/>
                <w:sz w:val="20"/>
              </w:rPr>
              <w:t>.</w:t>
            </w:r>
            <w:r w:rsidRPr="00D70DBF">
              <w:rPr>
                <w:rFonts w:ascii="Arial" w:hAnsi="Arial" w:cs="Arial"/>
                <w:b/>
                <w:bCs/>
                <w:sz w:val="20"/>
              </w:rPr>
              <w:t>996</w:t>
            </w:r>
          </w:p>
        </w:tc>
        <w:tc>
          <w:tcPr>
            <w:tcW w:w="2108" w:type="dxa"/>
            <w:tcBorders>
              <w:top w:val="single" w:sz="4" w:space="0" w:color="auto"/>
              <w:left w:val="single" w:sz="4" w:space="0" w:color="auto"/>
              <w:bottom w:val="single" w:sz="4" w:space="0" w:color="auto"/>
              <w:right w:val="single" w:sz="4" w:space="0" w:color="auto"/>
            </w:tcBorders>
          </w:tcPr>
          <w:p w:rsidR="00696E13" w:rsidRPr="00D70DBF" w:rsidRDefault="00696E13" w:rsidP="00913057">
            <w:pPr>
              <w:tabs>
                <w:tab w:val="left" w:pos="360"/>
              </w:tabs>
              <w:jc w:val="center"/>
              <w:rPr>
                <w:rFonts w:ascii="Arial" w:hAnsi="Arial" w:cs="Arial"/>
                <w:b/>
                <w:bCs/>
                <w:sz w:val="20"/>
              </w:rPr>
            </w:pPr>
            <w:r w:rsidRPr="00D70DBF">
              <w:rPr>
                <w:rFonts w:ascii="Arial" w:hAnsi="Arial" w:cs="Arial"/>
                <w:b/>
                <w:bCs/>
                <w:sz w:val="20"/>
              </w:rPr>
              <w:t>1.711</w:t>
            </w:r>
            <w:r w:rsidRPr="00D70DBF">
              <w:rPr>
                <w:rFonts w:ascii="Arial" w:hAnsi="Arial" w:cs="Arial"/>
                <w:b/>
                <w:bCs/>
                <w:sz w:val="20"/>
              </w:rPr>
              <w:br/>
            </w:r>
          </w:p>
        </w:tc>
      </w:tr>
      <w:tr w:rsidR="00696E13" w:rsidRPr="000F3918">
        <w:trPr>
          <w:jc w:val="center"/>
        </w:trPr>
        <w:tc>
          <w:tcPr>
            <w:tcW w:w="3227" w:type="dxa"/>
            <w:tcBorders>
              <w:top w:val="single" w:sz="4" w:space="0" w:color="auto"/>
              <w:left w:val="single" w:sz="4" w:space="0" w:color="auto"/>
              <w:bottom w:val="single" w:sz="4" w:space="0" w:color="auto"/>
              <w:right w:val="single" w:sz="4" w:space="0" w:color="auto"/>
            </w:tcBorders>
          </w:tcPr>
          <w:p w:rsidR="00696E13" w:rsidRPr="000F3918" w:rsidRDefault="00696E13" w:rsidP="00913057">
            <w:pPr>
              <w:pStyle w:val="TextoMichelin"/>
              <w:jc w:val="left"/>
              <w:rPr>
                <w:bCs/>
                <w:sz w:val="20"/>
                <w:lang w:val="es-ES_tradnl" w:bidi="es-ES_tradnl"/>
              </w:rPr>
            </w:pPr>
            <w:r w:rsidRPr="000F3918">
              <w:rPr>
                <w:bCs/>
                <w:sz w:val="20"/>
                <w:lang w:val="es-ES_tradnl" w:bidi="es-ES_tradnl"/>
              </w:rPr>
              <w:t>ENDEUDAMIENTO NETO</w:t>
            </w:r>
          </w:p>
        </w:tc>
        <w:tc>
          <w:tcPr>
            <w:tcW w:w="2003" w:type="dxa"/>
            <w:tcBorders>
              <w:top w:val="single" w:sz="4" w:space="0" w:color="auto"/>
              <w:left w:val="single" w:sz="4" w:space="0" w:color="auto"/>
              <w:bottom w:val="single" w:sz="4" w:space="0" w:color="auto"/>
              <w:right w:val="single" w:sz="4" w:space="0" w:color="auto"/>
            </w:tcBorders>
          </w:tcPr>
          <w:p w:rsidR="00696E13" w:rsidRPr="00D70DBF" w:rsidRDefault="00696E13" w:rsidP="007874AF">
            <w:pPr>
              <w:tabs>
                <w:tab w:val="left" w:pos="360"/>
              </w:tabs>
              <w:ind w:right="-20"/>
              <w:jc w:val="center"/>
              <w:rPr>
                <w:rFonts w:ascii="Arial" w:hAnsi="Arial" w:cs="Arial"/>
                <w:b/>
                <w:bCs/>
                <w:sz w:val="20"/>
              </w:rPr>
            </w:pPr>
            <w:r w:rsidRPr="00D70DBF">
              <w:rPr>
                <w:rFonts w:ascii="Arial" w:hAnsi="Arial" w:cs="Arial"/>
                <w:b/>
                <w:bCs/>
                <w:sz w:val="20"/>
              </w:rPr>
              <w:t>1</w:t>
            </w:r>
            <w:r w:rsidR="007874AF" w:rsidRPr="00D70DBF">
              <w:rPr>
                <w:rFonts w:ascii="Arial" w:hAnsi="Arial" w:cs="Arial"/>
                <w:b/>
                <w:bCs/>
                <w:sz w:val="20"/>
              </w:rPr>
              <w:t>.</w:t>
            </w:r>
            <w:r w:rsidRPr="00D70DBF">
              <w:rPr>
                <w:rFonts w:ascii="Arial" w:hAnsi="Arial" w:cs="Arial"/>
                <w:b/>
                <w:bCs/>
                <w:sz w:val="20"/>
              </w:rPr>
              <w:t>053</w:t>
            </w:r>
          </w:p>
        </w:tc>
        <w:tc>
          <w:tcPr>
            <w:tcW w:w="2108" w:type="dxa"/>
            <w:tcBorders>
              <w:top w:val="single" w:sz="4" w:space="0" w:color="auto"/>
              <w:left w:val="single" w:sz="4" w:space="0" w:color="auto"/>
              <w:bottom w:val="single" w:sz="4" w:space="0" w:color="auto"/>
              <w:right w:val="single" w:sz="4" w:space="0" w:color="auto"/>
            </w:tcBorders>
          </w:tcPr>
          <w:p w:rsidR="00696E13" w:rsidRPr="00D70DBF" w:rsidRDefault="00696E13" w:rsidP="00913057">
            <w:pPr>
              <w:tabs>
                <w:tab w:val="left" w:pos="360"/>
              </w:tabs>
              <w:jc w:val="center"/>
              <w:rPr>
                <w:rFonts w:ascii="Arial" w:hAnsi="Arial" w:cs="Arial"/>
                <w:b/>
                <w:bCs/>
                <w:sz w:val="20"/>
              </w:rPr>
            </w:pPr>
            <w:r w:rsidRPr="00D70DBF">
              <w:rPr>
                <w:rFonts w:ascii="Arial" w:hAnsi="Arial" w:cs="Arial"/>
                <w:b/>
                <w:bCs/>
                <w:sz w:val="20"/>
              </w:rPr>
              <w:t>1.814</w:t>
            </w:r>
          </w:p>
        </w:tc>
      </w:tr>
      <w:tr w:rsidR="00696E13" w:rsidRPr="000F3918">
        <w:trPr>
          <w:jc w:val="center"/>
        </w:trPr>
        <w:tc>
          <w:tcPr>
            <w:tcW w:w="3227" w:type="dxa"/>
            <w:tcBorders>
              <w:top w:val="single" w:sz="4" w:space="0" w:color="auto"/>
              <w:left w:val="single" w:sz="4" w:space="0" w:color="auto"/>
              <w:bottom w:val="single" w:sz="4" w:space="0" w:color="auto"/>
              <w:right w:val="single" w:sz="4" w:space="0" w:color="auto"/>
            </w:tcBorders>
          </w:tcPr>
          <w:p w:rsidR="00696E13" w:rsidRPr="000F3918" w:rsidRDefault="00696E13" w:rsidP="00913057">
            <w:pPr>
              <w:pStyle w:val="TextoMichelin"/>
              <w:jc w:val="left"/>
              <w:rPr>
                <w:bCs/>
                <w:sz w:val="20"/>
                <w:lang w:val="es-ES_tradnl" w:bidi="es-ES_tradnl"/>
              </w:rPr>
            </w:pPr>
            <w:r w:rsidRPr="000F3918">
              <w:rPr>
                <w:bCs/>
                <w:sz w:val="20"/>
                <w:lang w:val="es-ES_tradnl" w:bidi="es-ES_tradnl"/>
              </w:rPr>
              <w:t xml:space="preserve">PORCENTAJE DE ENDEUDAMIENTO NETO </w:t>
            </w:r>
          </w:p>
        </w:tc>
        <w:tc>
          <w:tcPr>
            <w:tcW w:w="2003" w:type="dxa"/>
            <w:tcBorders>
              <w:top w:val="single" w:sz="4" w:space="0" w:color="auto"/>
              <w:left w:val="single" w:sz="4" w:space="0" w:color="auto"/>
              <w:bottom w:val="single" w:sz="4" w:space="0" w:color="auto"/>
              <w:right w:val="single" w:sz="4" w:space="0" w:color="auto"/>
            </w:tcBorders>
          </w:tcPr>
          <w:p w:rsidR="00696E13" w:rsidRPr="00D70DBF" w:rsidRDefault="00696E13" w:rsidP="007874AF">
            <w:pPr>
              <w:tabs>
                <w:tab w:val="left" w:pos="360"/>
              </w:tabs>
              <w:ind w:right="-20"/>
              <w:jc w:val="center"/>
              <w:rPr>
                <w:rFonts w:ascii="Arial" w:hAnsi="Arial" w:cs="Arial"/>
                <w:b/>
                <w:bCs/>
                <w:sz w:val="20"/>
              </w:rPr>
            </w:pPr>
            <w:r w:rsidRPr="00D70DBF">
              <w:rPr>
                <w:rFonts w:ascii="Arial" w:hAnsi="Arial" w:cs="Arial"/>
                <w:b/>
                <w:bCs/>
                <w:sz w:val="20"/>
              </w:rPr>
              <w:t>12%</w:t>
            </w:r>
          </w:p>
        </w:tc>
        <w:tc>
          <w:tcPr>
            <w:tcW w:w="2108" w:type="dxa"/>
            <w:tcBorders>
              <w:top w:val="single" w:sz="4" w:space="0" w:color="auto"/>
              <w:left w:val="single" w:sz="4" w:space="0" w:color="auto"/>
              <w:bottom w:val="single" w:sz="4" w:space="0" w:color="auto"/>
              <w:right w:val="single" w:sz="4" w:space="0" w:color="auto"/>
            </w:tcBorders>
          </w:tcPr>
          <w:p w:rsidR="00696E13" w:rsidRPr="00D70DBF" w:rsidRDefault="00696E13" w:rsidP="00913057">
            <w:pPr>
              <w:tabs>
                <w:tab w:val="left" w:pos="360"/>
              </w:tabs>
              <w:jc w:val="center"/>
              <w:rPr>
                <w:rFonts w:ascii="Arial" w:hAnsi="Arial" w:cs="Arial"/>
                <w:b/>
                <w:bCs/>
                <w:sz w:val="20"/>
              </w:rPr>
            </w:pPr>
            <w:r w:rsidRPr="00D70DBF">
              <w:rPr>
                <w:rFonts w:ascii="Arial" w:hAnsi="Arial" w:cs="Arial"/>
                <w:b/>
                <w:bCs/>
                <w:sz w:val="20"/>
              </w:rPr>
              <w:t>22%</w:t>
            </w:r>
          </w:p>
        </w:tc>
      </w:tr>
      <w:tr w:rsidR="00696E13" w:rsidRPr="000F3918">
        <w:trPr>
          <w:jc w:val="center"/>
        </w:trPr>
        <w:tc>
          <w:tcPr>
            <w:tcW w:w="3227" w:type="dxa"/>
            <w:tcBorders>
              <w:top w:val="single" w:sz="4" w:space="0" w:color="auto"/>
              <w:left w:val="single" w:sz="4" w:space="0" w:color="auto"/>
              <w:bottom w:val="single" w:sz="4" w:space="0" w:color="auto"/>
              <w:right w:val="single" w:sz="4" w:space="0" w:color="auto"/>
            </w:tcBorders>
          </w:tcPr>
          <w:p w:rsidR="00696E13" w:rsidRPr="000F3918" w:rsidRDefault="00696E13" w:rsidP="00913057">
            <w:pPr>
              <w:pStyle w:val="TextoMichelin"/>
              <w:jc w:val="left"/>
              <w:rPr>
                <w:bCs/>
                <w:sz w:val="20"/>
                <w:lang w:val="es-ES_tradnl" w:bidi="es-ES_tradnl"/>
              </w:rPr>
            </w:pPr>
            <w:r w:rsidRPr="000F3918">
              <w:rPr>
                <w:bCs/>
                <w:sz w:val="20"/>
                <w:lang w:val="es-ES_tradnl" w:bidi="es-ES_tradnl"/>
              </w:rPr>
              <w:t>CASH FLOW LIBRE</w:t>
            </w:r>
            <w:r w:rsidRPr="000F3918">
              <w:rPr>
                <w:rStyle w:val="FootnoteReference"/>
                <w:bCs/>
                <w:sz w:val="20"/>
                <w:lang w:val="es-ES_tradnl" w:bidi="es-ES_tradnl"/>
              </w:rPr>
              <w:footnoteReference w:id="1"/>
            </w:r>
          </w:p>
        </w:tc>
        <w:tc>
          <w:tcPr>
            <w:tcW w:w="2003" w:type="dxa"/>
            <w:tcBorders>
              <w:top w:val="single" w:sz="4" w:space="0" w:color="auto"/>
              <w:left w:val="single" w:sz="4" w:space="0" w:color="auto"/>
              <w:bottom w:val="single" w:sz="4" w:space="0" w:color="auto"/>
              <w:right w:val="single" w:sz="4" w:space="0" w:color="auto"/>
            </w:tcBorders>
          </w:tcPr>
          <w:p w:rsidR="00696E13" w:rsidRPr="00D70DBF" w:rsidRDefault="00696E13" w:rsidP="007874AF">
            <w:pPr>
              <w:tabs>
                <w:tab w:val="left" w:pos="360"/>
              </w:tabs>
              <w:ind w:right="-20"/>
              <w:jc w:val="center"/>
              <w:rPr>
                <w:rFonts w:ascii="Arial" w:hAnsi="Arial" w:cs="Arial"/>
                <w:b/>
                <w:bCs/>
                <w:sz w:val="20"/>
              </w:rPr>
            </w:pPr>
            <w:r w:rsidRPr="00D70DBF">
              <w:rPr>
                <w:rFonts w:ascii="Arial" w:hAnsi="Arial" w:cs="Arial"/>
                <w:b/>
                <w:bCs/>
                <w:sz w:val="20"/>
              </w:rPr>
              <w:t>1</w:t>
            </w:r>
            <w:r w:rsidR="007874AF" w:rsidRPr="00D70DBF">
              <w:rPr>
                <w:rFonts w:ascii="Arial" w:hAnsi="Arial" w:cs="Arial"/>
                <w:b/>
                <w:bCs/>
                <w:sz w:val="20"/>
              </w:rPr>
              <w:t>.</w:t>
            </w:r>
            <w:r w:rsidRPr="00D70DBF">
              <w:rPr>
                <w:rFonts w:ascii="Arial" w:hAnsi="Arial" w:cs="Arial"/>
                <w:b/>
                <w:bCs/>
                <w:sz w:val="20"/>
              </w:rPr>
              <w:t>075</w:t>
            </w:r>
          </w:p>
        </w:tc>
        <w:tc>
          <w:tcPr>
            <w:tcW w:w="2108" w:type="dxa"/>
            <w:tcBorders>
              <w:top w:val="single" w:sz="4" w:space="0" w:color="auto"/>
              <w:left w:val="single" w:sz="4" w:space="0" w:color="auto"/>
              <w:bottom w:val="single" w:sz="4" w:space="0" w:color="auto"/>
              <w:right w:val="single" w:sz="4" w:space="0" w:color="auto"/>
            </w:tcBorders>
          </w:tcPr>
          <w:p w:rsidR="00696E13" w:rsidRPr="00D70DBF" w:rsidRDefault="00696E13" w:rsidP="00913057">
            <w:pPr>
              <w:tabs>
                <w:tab w:val="left" w:pos="360"/>
              </w:tabs>
              <w:jc w:val="center"/>
              <w:rPr>
                <w:rFonts w:ascii="Arial" w:hAnsi="Arial" w:cs="Arial"/>
                <w:b/>
                <w:bCs/>
                <w:sz w:val="20"/>
              </w:rPr>
            </w:pPr>
            <w:r w:rsidRPr="00D70DBF">
              <w:rPr>
                <w:rFonts w:ascii="Arial" w:hAnsi="Arial" w:cs="Arial"/>
                <w:b/>
                <w:bCs/>
                <w:sz w:val="20"/>
              </w:rPr>
              <w:t>(19)</w:t>
            </w:r>
            <w:r w:rsidRPr="00D70DBF">
              <w:rPr>
                <w:rFonts w:ascii="Arial" w:hAnsi="Arial" w:cs="Arial"/>
                <w:b/>
                <w:bCs/>
                <w:sz w:val="20"/>
              </w:rPr>
              <w:br/>
            </w:r>
          </w:p>
        </w:tc>
      </w:tr>
      <w:tr w:rsidR="00696E13" w:rsidRPr="000F3918">
        <w:trPr>
          <w:jc w:val="center"/>
        </w:trPr>
        <w:tc>
          <w:tcPr>
            <w:tcW w:w="3227" w:type="dxa"/>
            <w:tcBorders>
              <w:top w:val="single" w:sz="4" w:space="0" w:color="auto"/>
              <w:left w:val="single" w:sz="4" w:space="0" w:color="auto"/>
              <w:bottom w:val="single" w:sz="4" w:space="0" w:color="auto"/>
              <w:right w:val="single" w:sz="4" w:space="0" w:color="auto"/>
            </w:tcBorders>
          </w:tcPr>
          <w:p w:rsidR="00696E13" w:rsidRPr="000F3918" w:rsidRDefault="00696E13" w:rsidP="00913057">
            <w:pPr>
              <w:pStyle w:val="TextoMichelin"/>
              <w:jc w:val="left"/>
              <w:rPr>
                <w:bCs/>
                <w:sz w:val="20"/>
                <w:lang w:val="es-ES_tradnl" w:bidi="es-ES_tradnl"/>
              </w:rPr>
            </w:pPr>
            <w:r w:rsidRPr="000F3918">
              <w:rPr>
                <w:bCs/>
                <w:sz w:val="20"/>
                <w:lang w:val="es-ES_tradnl" w:bidi="es-ES_tradnl"/>
              </w:rPr>
              <w:t>ROCE</w:t>
            </w:r>
          </w:p>
        </w:tc>
        <w:tc>
          <w:tcPr>
            <w:tcW w:w="2003" w:type="dxa"/>
            <w:tcBorders>
              <w:top w:val="single" w:sz="4" w:space="0" w:color="auto"/>
              <w:left w:val="single" w:sz="4" w:space="0" w:color="auto"/>
              <w:bottom w:val="single" w:sz="4" w:space="0" w:color="auto"/>
              <w:right w:val="single" w:sz="4" w:space="0" w:color="auto"/>
            </w:tcBorders>
          </w:tcPr>
          <w:p w:rsidR="00696E13" w:rsidRPr="00D70DBF" w:rsidRDefault="00696E13" w:rsidP="007874AF">
            <w:pPr>
              <w:tabs>
                <w:tab w:val="left" w:pos="360"/>
              </w:tabs>
              <w:ind w:right="-20"/>
              <w:jc w:val="center"/>
              <w:rPr>
                <w:rFonts w:ascii="Arial" w:hAnsi="Arial" w:cs="Arial"/>
                <w:b/>
                <w:bCs/>
                <w:sz w:val="20"/>
              </w:rPr>
            </w:pPr>
            <w:r w:rsidRPr="00D70DBF">
              <w:rPr>
                <w:rFonts w:ascii="Arial" w:hAnsi="Arial" w:cs="Arial"/>
                <w:b/>
                <w:bCs/>
                <w:sz w:val="20"/>
              </w:rPr>
              <w:t>12,8%</w:t>
            </w:r>
          </w:p>
        </w:tc>
        <w:tc>
          <w:tcPr>
            <w:tcW w:w="2108" w:type="dxa"/>
            <w:tcBorders>
              <w:top w:val="single" w:sz="4" w:space="0" w:color="auto"/>
              <w:left w:val="single" w:sz="4" w:space="0" w:color="auto"/>
              <w:bottom w:val="single" w:sz="4" w:space="0" w:color="auto"/>
              <w:right w:val="single" w:sz="4" w:space="0" w:color="auto"/>
            </w:tcBorders>
          </w:tcPr>
          <w:p w:rsidR="00696E13" w:rsidRPr="00D70DBF" w:rsidRDefault="00696E13" w:rsidP="00913057">
            <w:pPr>
              <w:tabs>
                <w:tab w:val="left" w:pos="360"/>
              </w:tabs>
              <w:jc w:val="center"/>
              <w:rPr>
                <w:rFonts w:ascii="Arial" w:hAnsi="Arial" w:cs="Arial"/>
                <w:b/>
                <w:bCs/>
                <w:sz w:val="20"/>
              </w:rPr>
            </w:pPr>
            <w:r w:rsidRPr="00D70DBF">
              <w:rPr>
                <w:rFonts w:ascii="Arial" w:hAnsi="Arial" w:cs="Arial"/>
                <w:b/>
                <w:bCs/>
                <w:sz w:val="20"/>
              </w:rPr>
              <w:t>10,9%</w:t>
            </w:r>
            <w:r w:rsidRPr="00D70DBF">
              <w:rPr>
                <w:rFonts w:ascii="Arial" w:hAnsi="Arial" w:cs="Arial"/>
                <w:b/>
                <w:bCs/>
                <w:sz w:val="20"/>
              </w:rPr>
              <w:br/>
            </w:r>
          </w:p>
        </w:tc>
      </w:tr>
      <w:tr w:rsidR="00696E13" w:rsidRPr="000F3918">
        <w:trPr>
          <w:jc w:val="center"/>
        </w:trPr>
        <w:tc>
          <w:tcPr>
            <w:tcW w:w="3227" w:type="dxa"/>
            <w:tcBorders>
              <w:top w:val="single" w:sz="4" w:space="0" w:color="auto"/>
              <w:left w:val="single" w:sz="4" w:space="0" w:color="auto"/>
              <w:bottom w:val="single" w:sz="4" w:space="0" w:color="auto"/>
              <w:right w:val="single" w:sz="4" w:space="0" w:color="auto"/>
            </w:tcBorders>
          </w:tcPr>
          <w:p w:rsidR="00696E13" w:rsidRPr="000F3918" w:rsidRDefault="00696E13" w:rsidP="00913057">
            <w:pPr>
              <w:pStyle w:val="TextoMichelin"/>
              <w:jc w:val="left"/>
              <w:rPr>
                <w:bCs/>
                <w:sz w:val="20"/>
                <w:lang w:val="es-ES_tradnl" w:bidi="es-ES_tradnl"/>
              </w:rPr>
            </w:pPr>
            <w:r w:rsidRPr="000F3918">
              <w:rPr>
                <w:bCs/>
                <w:sz w:val="20"/>
                <w:lang w:val="es-ES_tradnl" w:bidi="es-ES_tradnl"/>
              </w:rPr>
              <w:t>EMPLEADOS</w:t>
            </w:r>
            <w:r w:rsidRPr="000F3918">
              <w:rPr>
                <w:rStyle w:val="FootnoteReference"/>
                <w:bCs/>
                <w:sz w:val="20"/>
                <w:lang w:val="es-ES_tradnl" w:bidi="es-ES_tradnl"/>
              </w:rPr>
              <w:footnoteReference w:id="2"/>
            </w:r>
          </w:p>
        </w:tc>
        <w:tc>
          <w:tcPr>
            <w:tcW w:w="2003" w:type="dxa"/>
            <w:tcBorders>
              <w:top w:val="single" w:sz="4" w:space="0" w:color="auto"/>
              <w:left w:val="single" w:sz="4" w:space="0" w:color="auto"/>
              <w:bottom w:val="single" w:sz="4" w:space="0" w:color="auto"/>
              <w:right w:val="single" w:sz="4" w:space="0" w:color="auto"/>
            </w:tcBorders>
          </w:tcPr>
          <w:p w:rsidR="00696E13" w:rsidRPr="00D70DBF" w:rsidRDefault="00696E13" w:rsidP="007874AF">
            <w:pPr>
              <w:tabs>
                <w:tab w:val="left" w:pos="360"/>
              </w:tabs>
              <w:ind w:right="-20"/>
              <w:jc w:val="center"/>
              <w:rPr>
                <w:rFonts w:ascii="Arial" w:hAnsi="Arial" w:cs="Arial"/>
                <w:b/>
                <w:bCs/>
                <w:sz w:val="20"/>
              </w:rPr>
            </w:pPr>
            <w:r w:rsidRPr="00D70DBF">
              <w:rPr>
                <w:rFonts w:ascii="Arial" w:hAnsi="Arial" w:cs="Arial"/>
                <w:b/>
                <w:bCs/>
                <w:sz w:val="20"/>
              </w:rPr>
              <w:t>113</w:t>
            </w:r>
            <w:r w:rsidR="007874AF" w:rsidRPr="00D70DBF">
              <w:rPr>
                <w:rFonts w:ascii="Arial" w:hAnsi="Arial" w:cs="Arial"/>
                <w:b/>
                <w:bCs/>
                <w:sz w:val="20"/>
              </w:rPr>
              <w:t>.</w:t>
            </w:r>
            <w:r w:rsidRPr="00D70DBF">
              <w:rPr>
                <w:rFonts w:ascii="Arial" w:hAnsi="Arial" w:cs="Arial"/>
                <w:b/>
                <w:bCs/>
                <w:sz w:val="20"/>
              </w:rPr>
              <w:t>400</w:t>
            </w:r>
          </w:p>
        </w:tc>
        <w:tc>
          <w:tcPr>
            <w:tcW w:w="2108" w:type="dxa"/>
            <w:tcBorders>
              <w:top w:val="single" w:sz="4" w:space="0" w:color="auto"/>
              <w:left w:val="single" w:sz="4" w:space="0" w:color="auto"/>
              <w:bottom w:val="single" w:sz="4" w:space="0" w:color="auto"/>
              <w:right w:val="single" w:sz="4" w:space="0" w:color="auto"/>
            </w:tcBorders>
          </w:tcPr>
          <w:p w:rsidR="00696E13" w:rsidRPr="00D70DBF" w:rsidRDefault="00696E13" w:rsidP="00913057">
            <w:pPr>
              <w:tabs>
                <w:tab w:val="left" w:pos="360"/>
              </w:tabs>
              <w:jc w:val="center"/>
              <w:rPr>
                <w:rFonts w:ascii="Arial" w:hAnsi="Arial" w:cs="Arial"/>
                <w:b/>
                <w:bCs/>
                <w:sz w:val="20"/>
              </w:rPr>
            </w:pPr>
            <w:r w:rsidRPr="00D70DBF">
              <w:rPr>
                <w:rFonts w:ascii="Arial" w:hAnsi="Arial" w:cs="Arial"/>
                <w:b/>
                <w:bCs/>
                <w:sz w:val="20"/>
              </w:rPr>
              <w:t>115.000</w:t>
            </w:r>
          </w:p>
        </w:tc>
      </w:tr>
    </w:tbl>
    <w:p w:rsidR="00913057" w:rsidRPr="000F3918" w:rsidRDefault="00913057" w:rsidP="00913057">
      <w:pPr>
        <w:pStyle w:val="TITULARMICHELIN"/>
        <w:spacing w:after="240"/>
        <w:rPr>
          <w:bCs/>
          <w:lang w:bidi="es-ES_tradnl"/>
        </w:rPr>
      </w:pPr>
      <w:r w:rsidRPr="000F3918">
        <w:rPr>
          <w:bCs/>
          <w:lang w:bidi="es-ES_tradnl"/>
        </w:rPr>
        <w:br w:type="column"/>
      </w:r>
      <w:r w:rsidRPr="000F3918">
        <w:rPr>
          <w:szCs w:val="26"/>
        </w:rPr>
        <w:t>Evolución del mercado de neumáticos</w:t>
      </w:r>
    </w:p>
    <w:p w:rsidR="00913057" w:rsidRPr="000F3918" w:rsidRDefault="00913057" w:rsidP="00B21DB8">
      <w:pPr>
        <w:pStyle w:val="LadilloMichelinDossier"/>
        <w:spacing w:before="0"/>
        <w:rPr>
          <w:lang w:val="es-ES_tradnl"/>
        </w:rPr>
      </w:pPr>
      <w:r w:rsidRPr="000F3918">
        <w:rPr>
          <w:lang w:val="es-ES_tradnl"/>
        </w:rPr>
        <w:t>Turismo y camioneta</w:t>
      </w:r>
      <w:r w:rsidR="00A30938">
        <w:rPr>
          <w:lang w:val="es-ES_tradn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276"/>
        <w:gridCol w:w="1275"/>
        <w:gridCol w:w="1276"/>
        <w:gridCol w:w="1276"/>
        <w:gridCol w:w="1417"/>
        <w:gridCol w:w="1276"/>
      </w:tblGrid>
      <w:tr w:rsidR="00913057" w:rsidRPr="000F3918">
        <w:trPr>
          <w:trHeight w:val="890"/>
        </w:trPr>
        <w:tc>
          <w:tcPr>
            <w:tcW w:w="2093" w:type="dxa"/>
            <w:shd w:val="clear" w:color="auto" w:fill="E0E0E0"/>
          </w:tcPr>
          <w:p w:rsidR="00913057" w:rsidRPr="000F3918" w:rsidRDefault="00913057" w:rsidP="00334908">
            <w:pPr>
              <w:pStyle w:val="LadilloMichelinDossier"/>
              <w:spacing w:before="0" w:after="0"/>
              <w:rPr>
                <w:bCs/>
                <w:sz w:val="21"/>
                <w:lang w:val="es-ES_tradnl" w:bidi="es-ES_tradnl"/>
              </w:rPr>
            </w:pPr>
            <w:r w:rsidRPr="000F3918">
              <w:rPr>
                <w:rFonts w:ascii="Arial" w:hAnsi="Arial"/>
                <w:bCs/>
                <w:sz w:val="20"/>
                <w:lang w:val="es-ES_tradnl" w:bidi="es-ES_tradnl"/>
              </w:rPr>
              <w:t>201</w:t>
            </w:r>
            <w:r w:rsidR="00334908">
              <w:rPr>
                <w:rFonts w:ascii="Arial" w:hAnsi="Arial"/>
                <w:bCs/>
                <w:sz w:val="20"/>
                <w:lang w:val="es-ES_tradnl" w:bidi="es-ES_tradnl"/>
              </w:rPr>
              <w:t>2</w:t>
            </w:r>
            <w:r w:rsidRPr="000F3918">
              <w:rPr>
                <w:rFonts w:ascii="Arial" w:hAnsi="Arial"/>
                <w:bCs/>
                <w:sz w:val="20"/>
                <w:lang w:val="es-ES_tradnl" w:bidi="es-ES_tradnl"/>
              </w:rPr>
              <w:t>/201</w:t>
            </w:r>
            <w:r w:rsidR="00334908">
              <w:rPr>
                <w:rFonts w:ascii="Arial" w:hAnsi="Arial"/>
                <w:bCs/>
                <w:sz w:val="20"/>
                <w:lang w:val="es-ES_tradnl" w:bidi="es-ES_tradnl"/>
              </w:rPr>
              <w:t>1</w:t>
            </w:r>
            <w:r w:rsidRPr="000F3918">
              <w:rPr>
                <w:rFonts w:ascii="Arial" w:hAnsi="Arial"/>
                <w:bCs/>
                <w:sz w:val="21"/>
                <w:lang w:val="es-ES_tradnl" w:bidi="es-ES_tradnl"/>
              </w:rPr>
              <w:br/>
            </w:r>
            <w:r w:rsidRPr="000F3918">
              <w:rPr>
                <w:rFonts w:ascii="Arial" w:hAnsi="Arial"/>
                <w:b w:val="0"/>
                <w:bCs/>
                <w:sz w:val="16"/>
                <w:lang w:val="es-ES_tradnl" w:bidi="es-ES_tradnl"/>
              </w:rPr>
              <w:t>(Nº neumáticos)</w:t>
            </w:r>
          </w:p>
        </w:tc>
        <w:tc>
          <w:tcPr>
            <w:tcW w:w="1276" w:type="dxa"/>
            <w:shd w:val="clear" w:color="auto" w:fill="E0E0E0"/>
          </w:tcPr>
          <w:p w:rsidR="00913057" w:rsidRPr="00DA08B4" w:rsidRDefault="00913057" w:rsidP="00DA08B4">
            <w:pPr>
              <w:ind w:right="-20"/>
              <w:jc w:val="center"/>
              <w:rPr>
                <w:rFonts w:ascii="Arial" w:hAnsi="Arial"/>
                <w:b/>
                <w:bCs/>
                <w:sz w:val="20"/>
                <w:lang w:bidi="es-ES_tradnl"/>
              </w:rPr>
            </w:pPr>
            <w:r w:rsidRPr="00DA08B4">
              <w:rPr>
                <w:rFonts w:ascii="Arial" w:hAnsi="Arial"/>
                <w:b/>
                <w:bCs/>
                <w:sz w:val="20"/>
                <w:lang w:bidi="es-ES_tradnl"/>
              </w:rPr>
              <w:t>Europa</w:t>
            </w:r>
            <w:r w:rsidRPr="006112D9">
              <w:rPr>
                <w:rFonts w:ascii="Arial" w:hAnsi="Arial"/>
                <w:b/>
                <w:bCs/>
                <w:sz w:val="32"/>
                <w:vertAlign w:val="superscript"/>
                <w:lang w:bidi="es-ES_tradnl"/>
              </w:rPr>
              <w:footnoteReference w:customMarkFollows="1" w:id="3"/>
              <w:sym w:font="Symbol" w:char="F02A"/>
            </w:r>
          </w:p>
        </w:tc>
        <w:tc>
          <w:tcPr>
            <w:tcW w:w="1275" w:type="dxa"/>
            <w:shd w:val="clear" w:color="auto" w:fill="E0E0E0"/>
          </w:tcPr>
          <w:p w:rsidR="00913057" w:rsidRPr="00DA08B4" w:rsidRDefault="00913057" w:rsidP="00DA08B4">
            <w:pPr>
              <w:ind w:right="-20"/>
              <w:jc w:val="center"/>
              <w:rPr>
                <w:rFonts w:ascii="Arial" w:hAnsi="Arial"/>
                <w:b/>
                <w:bCs/>
                <w:sz w:val="20"/>
                <w:lang w:bidi="es-ES_tradnl"/>
              </w:rPr>
            </w:pPr>
            <w:r w:rsidRPr="00DA08B4">
              <w:rPr>
                <w:rFonts w:ascii="Arial" w:hAnsi="Arial"/>
                <w:b/>
                <w:bCs/>
                <w:sz w:val="20"/>
                <w:lang w:bidi="es-ES_tradnl"/>
              </w:rPr>
              <w:t>América del Norte</w:t>
            </w:r>
          </w:p>
        </w:tc>
        <w:tc>
          <w:tcPr>
            <w:tcW w:w="1276" w:type="dxa"/>
            <w:shd w:val="clear" w:color="auto" w:fill="E0E0E0"/>
          </w:tcPr>
          <w:p w:rsidR="00913057" w:rsidRPr="00DA08B4" w:rsidRDefault="00913057" w:rsidP="00DA08B4">
            <w:pPr>
              <w:ind w:right="-20"/>
              <w:jc w:val="center"/>
              <w:rPr>
                <w:rFonts w:ascii="Arial" w:hAnsi="Arial"/>
                <w:b/>
                <w:bCs/>
                <w:sz w:val="20"/>
                <w:lang w:bidi="es-ES_tradnl"/>
              </w:rPr>
            </w:pPr>
            <w:r w:rsidRPr="00DA08B4">
              <w:rPr>
                <w:rFonts w:ascii="Arial" w:hAnsi="Arial"/>
                <w:b/>
                <w:bCs/>
                <w:sz w:val="20"/>
                <w:lang w:bidi="es-ES_tradnl"/>
              </w:rPr>
              <w:t>Asia</w:t>
            </w:r>
            <w:r w:rsidR="00DA08B4">
              <w:rPr>
                <w:rFonts w:ascii="Arial" w:hAnsi="Arial"/>
                <w:b/>
                <w:bCs/>
                <w:sz w:val="20"/>
                <w:lang w:bidi="es-ES_tradnl"/>
              </w:rPr>
              <w:t xml:space="preserve"> </w:t>
            </w:r>
            <w:r w:rsidRPr="00DA08B4">
              <w:rPr>
                <w:rFonts w:ascii="Arial" w:hAnsi="Arial"/>
                <w:b/>
                <w:bCs/>
                <w:sz w:val="20"/>
                <w:lang w:bidi="es-ES_tradnl"/>
              </w:rPr>
              <w:t>(excluida India)</w:t>
            </w:r>
          </w:p>
        </w:tc>
        <w:tc>
          <w:tcPr>
            <w:tcW w:w="1276" w:type="dxa"/>
            <w:shd w:val="clear" w:color="auto" w:fill="E0E0E0"/>
          </w:tcPr>
          <w:p w:rsidR="00913057" w:rsidRPr="00DA08B4" w:rsidRDefault="00913057" w:rsidP="00DA08B4">
            <w:pPr>
              <w:ind w:right="-20"/>
              <w:jc w:val="center"/>
              <w:rPr>
                <w:rFonts w:ascii="Arial" w:hAnsi="Arial"/>
                <w:b/>
                <w:bCs/>
                <w:sz w:val="20"/>
                <w:lang w:bidi="es-ES_tradnl"/>
              </w:rPr>
            </w:pPr>
            <w:r w:rsidRPr="00DA08B4">
              <w:rPr>
                <w:rFonts w:ascii="Arial" w:hAnsi="Arial"/>
                <w:b/>
                <w:bCs/>
                <w:sz w:val="20"/>
                <w:lang w:bidi="es-ES_tradnl"/>
              </w:rPr>
              <w:t>América del Sur</w:t>
            </w:r>
          </w:p>
        </w:tc>
        <w:tc>
          <w:tcPr>
            <w:tcW w:w="1417" w:type="dxa"/>
            <w:shd w:val="clear" w:color="auto" w:fill="E0E0E0"/>
          </w:tcPr>
          <w:p w:rsidR="00913057" w:rsidRPr="00DA08B4" w:rsidRDefault="00913057" w:rsidP="00DA08B4">
            <w:pPr>
              <w:ind w:right="-20"/>
              <w:jc w:val="center"/>
              <w:rPr>
                <w:rFonts w:ascii="Arial" w:hAnsi="Arial"/>
                <w:b/>
                <w:bCs/>
                <w:sz w:val="20"/>
                <w:lang w:bidi="es-ES_tradnl"/>
              </w:rPr>
            </w:pPr>
            <w:r w:rsidRPr="00DA08B4">
              <w:rPr>
                <w:rFonts w:ascii="Arial" w:hAnsi="Arial"/>
                <w:b/>
                <w:bCs/>
                <w:sz w:val="20"/>
                <w:lang w:bidi="es-ES_tradnl"/>
              </w:rPr>
              <w:t>África/India/ Oriente Medio</w:t>
            </w:r>
          </w:p>
        </w:tc>
        <w:tc>
          <w:tcPr>
            <w:tcW w:w="1276" w:type="dxa"/>
            <w:shd w:val="clear" w:color="auto" w:fill="E0E0E0"/>
          </w:tcPr>
          <w:p w:rsidR="00913057" w:rsidRPr="00DA08B4" w:rsidRDefault="00913057" w:rsidP="00DA08B4">
            <w:pPr>
              <w:ind w:right="-20"/>
              <w:jc w:val="center"/>
              <w:rPr>
                <w:rFonts w:ascii="Arial" w:hAnsi="Arial"/>
                <w:b/>
                <w:bCs/>
                <w:sz w:val="20"/>
                <w:lang w:bidi="es-ES_tradnl"/>
              </w:rPr>
            </w:pPr>
            <w:r w:rsidRPr="00DA08B4">
              <w:rPr>
                <w:rFonts w:ascii="Arial" w:hAnsi="Arial"/>
                <w:b/>
                <w:bCs/>
                <w:sz w:val="20"/>
                <w:lang w:bidi="es-ES_tradnl"/>
              </w:rPr>
              <w:t>Total</w:t>
            </w:r>
          </w:p>
        </w:tc>
      </w:tr>
      <w:tr w:rsidR="00334908" w:rsidRPr="000F3918">
        <w:trPr>
          <w:trHeight w:val="1271"/>
        </w:trPr>
        <w:tc>
          <w:tcPr>
            <w:tcW w:w="2093" w:type="dxa"/>
          </w:tcPr>
          <w:p w:rsidR="00334908" w:rsidRPr="000F3918" w:rsidRDefault="00334908" w:rsidP="00913057">
            <w:pPr>
              <w:pStyle w:val="LadilloMichelinDossier"/>
              <w:spacing w:before="0" w:after="0"/>
              <w:jc w:val="both"/>
              <w:rPr>
                <w:rFonts w:ascii="Arial" w:hAnsi="Arial"/>
                <w:b w:val="0"/>
                <w:bCs/>
                <w:sz w:val="21"/>
                <w:lang w:val="es-ES_tradnl" w:bidi="es-ES_tradnl"/>
              </w:rPr>
            </w:pPr>
            <w:r w:rsidRPr="000F3918">
              <w:rPr>
                <w:rFonts w:ascii="Arial" w:hAnsi="Arial"/>
                <w:b w:val="0"/>
                <w:bCs/>
                <w:sz w:val="21"/>
                <w:lang w:val="es-ES_tradnl" w:bidi="es-ES_tradnl"/>
              </w:rPr>
              <w:t>Primeros equipos</w:t>
            </w:r>
          </w:p>
          <w:p w:rsidR="00334908" w:rsidRPr="000F3918" w:rsidRDefault="00334908" w:rsidP="00913057">
            <w:pPr>
              <w:pStyle w:val="LadilloMichelinDossier"/>
              <w:spacing w:before="0" w:after="0"/>
              <w:jc w:val="both"/>
              <w:rPr>
                <w:rFonts w:ascii="Arial" w:hAnsi="Arial"/>
                <w:b w:val="0"/>
                <w:bCs/>
                <w:sz w:val="21"/>
                <w:lang w:val="es-ES_tradnl" w:bidi="es-ES_tradnl"/>
              </w:rPr>
            </w:pPr>
            <w:r w:rsidRPr="000F3918">
              <w:rPr>
                <w:rFonts w:ascii="Arial" w:hAnsi="Arial"/>
                <w:b w:val="0"/>
                <w:bCs/>
                <w:sz w:val="21"/>
                <w:lang w:val="es-ES_tradnl" w:bidi="es-ES_tradnl"/>
              </w:rPr>
              <w:t xml:space="preserve">     </w:t>
            </w:r>
          </w:p>
          <w:p w:rsidR="00334908" w:rsidRPr="000F3918" w:rsidRDefault="00334908" w:rsidP="00913057">
            <w:pPr>
              <w:pStyle w:val="LadilloMichelinDossier"/>
              <w:spacing w:before="0" w:after="0"/>
              <w:jc w:val="both"/>
              <w:rPr>
                <w:b w:val="0"/>
                <w:bCs/>
                <w:sz w:val="21"/>
                <w:lang w:val="es-ES_tradnl" w:bidi="es-ES_tradnl"/>
              </w:rPr>
            </w:pPr>
            <w:r w:rsidRPr="000F3918">
              <w:rPr>
                <w:rFonts w:ascii="Arial" w:hAnsi="Arial"/>
                <w:b w:val="0"/>
                <w:bCs/>
                <w:sz w:val="21"/>
                <w:lang w:val="es-ES_tradnl" w:bidi="es-ES_tradnl"/>
              </w:rPr>
              <w:t>Reemplazo</w:t>
            </w:r>
          </w:p>
        </w:tc>
        <w:tc>
          <w:tcPr>
            <w:tcW w:w="1276" w:type="dxa"/>
          </w:tcPr>
          <w:p w:rsidR="00334908" w:rsidRPr="00DA08B4" w:rsidRDefault="00334908" w:rsidP="00DA08B4">
            <w:pPr>
              <w:ind w:left="349" w:right="-20"/>
              <w:rPr>
                <w:rFonts w:ascii="Arial" w:hAnsi="Arial"/>
                <w:b/>
                <w:bCs/>
                <w:sz w:val="20"/>
                <w:lang w:bidi="es-ES_tradnl"/>
              </w:rPr>
            </w:pPr>
          </w:p>
          <w:p w:rsidR="00334908" w:rsidRPr="00DA08B4" w:rsidRDefault="00334908" w:rsidP="00DA08B4">
            <w:pPr>
              <w:ind w:left="349" w:right="-20"/>
              <w:rPr>
                <w:rFonts w:ascii="Arial" w:hAnsi="Arial"/>
                <w:b/>
                <w:bCs/>
                <w:sz w:val="20"/>
                <w:lang w:bidi="es-ES_tradnl"/>
              </w:rPr>
            </w:pPr>
            <w:r w:rsidRPr="00DA08B4">
              <w:rPr>
                <w:rFonts w:ascii="Arial" w:hAnsi="Arial"/>
                <w:b/>
                <w:bCs/>
                <w:sz w:val="20"/>
                <w:lang w:bidi="es-ES_tradnl"/>
              </w:rPr>
              <w:t>- 5%</w:t>
            </w:r>
          </w:p>
          <w:p w:rsidR="00334908" w:rsidRPr="00DA08B4" w:rsidRDefault="00334908" w:rsidP="00DA08B4">
            <w:pPr>
              <w:ind w:left="349" w:right="-20"/>
              <w:rPr>
                <w:rFonts w:ascii="Arial" w:hAnsi="Arial"/>
                <w:b/>
                <w:bCs/>
                <w:sz w:val="20"/>
                <w:lang w:bidi="es-ES_tradnl"/>
              </w:rPr>
            </w:pPr>
          </w:p>
          <w:p w:rsidR="00334908" w:rsidRPr="00DA08B4" w:rsidRDefault="00334908" w:rsidP="00DA08B4">
            <w:pPr>
              <w:ind w:left="349" w:right="-20"/>
              <w:rPr>
                <w:rFonts w:ascii="Arial" w:hAnsi="Arial"/>
                <w:b/>
                <w:bCs/>
                <w:sz w:val="20"/>
                <w:lang w:bidi="es-ES_tradnl"/>
              </w:rPr>
            </w:pPr>
            <w:r w:rsidRPr="00DA08B4">
              <w:rPr>
                <w:rFonts w:ascii="Arial" w:hAnsi="Arial"/>
                <w:b/>
                <w:bCs/>
                <w:sz w:val="20"/>
                <w:lang w:bidi="es-ES_tradnl"/>
              </w:rPr>
              <w:t>- 10%</w:t>
            </w:r>
          </w:p>
        </w:tc>
        <w:tc>
          <w:tcPr>
            <w:tcW w:w="1275" w:type="dxa"/>
          </w:tcPr>
          <w:p w:rsidR="00334908" w:rsidRPr="00DA08B4" w:rsidRDefault="00334908" w:rsidP="00DA08B4">
            <w:pPr>
              <w:ind w:left="349" w:right="-20"/>
              <w:rPr>
                <w:rFonts w:ascii="Arial" w:hAnsi="Arial"/>
                <w:b/>
                <w:bCs/>
                <w:sz w:val="20"/>
                <w:lang w:bidi="es-ES_tradnl"/>
              </w:rPr>
            </w:pPr>
          </w:p>
          <w:p w:rsidR="00334908" w:rsidRPr="00DA08B4" w:rsidRDefault="00334908" w:rsidP="00DA08B4">
            <w:pPr>
              <w:ind w:left="349" w:right="-20"/>
              <w:rPr>
                <w:rFonts w:ascii="Arial" w:hAnsi="Arial"/>
                <w:b/>
                <w:bCs/>
                <w:sz w:val="20"/>
                <w:lang w:bidi="es-ES_tradnl"/>
              </w:rPr>
            </w:pPr>
            <w:r w:rsidRPr="00DA08B4">
              <w:rPr>
                <w:rFonts w:ascii="Arial" w:hAnsi="Arial"/>
                <w:b/>
                <w:bCs/>
                <w:sz w:val="20"/>
                <w:lang w:bidi="es-ES_tradnl"/>
              </w:rPr>
              <w:t>+ 16%</w:t>
            </w:r>
          </w:p>
          <w:p w:rsidR="00334908" w:rsidRPr="00DA08B4" w:rsidRDefault="00334908" w:rsidP="00DA08B4">
            <w:pPr>
              <w:ind w:left="349" w:right="-20"/>
              <w:rPr>
                <w:rFonts w:ascii="Arial" w:hAnsi="Arial"/>
                <w:b/>
                <w:bCs/>
                <w:sz w:val="20"/>
                <w:lang w:bidi="es-ES_tradnl"/>
              </w:rPr>
            </w:pPr>
          </w:p>
          <w:p w:rsidR="00334908" w:rsidRPr="00DA08B4" w:rsidRDefault="00334908" w:rsidP="00DA08B4">
            <w:pPr>
              <w:ind w:left="349" w:right="-20"/>
              <w:rPr>
                <w:rFonts w:ascii="Arial" w:hAnsi="Arial"/>
                <w:b/>
                <w:bCs/>
                <w:sz w:val="20"/>
                <w:lang w:bidi="es-ES_tradnl"/>
              </w:rPr>
            </w:pPr>
            <w:r w:rsidRPr="00DA08B4">
              <w:rPr>
                <w:rFonts w:ascii="Arial" w:hAnsi="Arial"/>
                <w:b/>
                <w:bCs/>
                <w:sz w:val="20"/>
                <w:lang w:bidi="es-ES_tradnl"/>
              </w:rPr>
              <w:t>- 2%</w:t>
            </w:r>
          </w:p>
        </w:tc>
        <w:tc>
          <w:tcPr>
            <w:tcW w:w="1276" w:type="dxa"/>
          </w:tcPr>
          <w:p w:rsidR="00334908" w:rsidRPr="00DA08B4" w:rsidRDefault="00334908" w:rsidP="00DA08B4">
            <w:pPr>
              <w:ind w:left="349" w:right="-20"/>
              <w:rPr>
                <w:rFonts w:ascii="Arial" w:hAnsi="Arial"/>
                <w:b/>
                <w:bCs/>
                <w:sz w:val="20"/>
                <w:lang w:bidi="es-ES_tradnl"/>
              </w:rPr>
            </w:pPr>
          </w:p>
          <w:p w:rsidR="00334908" w:rsidRPr="00DA08B4" w:rsidRDefault="00334908" w:rsidP="00DA08B4">
            <w:pPr>
              <w:ind w:left="349" w:right="-20"/>
              <w:rPr>
                <w:rFonts w:ascii="Arial" w:hAnsi="Arial"/>
                <w:b/>
                <w:bCs/>
                <w:sz w:val="20"/>
                <w:lang w:bidi="es-ES_tradnl"/>
              </w:rPr>
            </w:pPr>
            <w:r w:rsidRPr="00DA08B4">
              <w:rPr>
                <w:rFonts w:ascii="Arial" w:hAnsi="Arial"/>
                <w:b/>
                <w:bCs/>
                <w:sz w:val="20"/>
                <w:lang w:bidi="es-ES_tradnl"/>
              </w:rPr>
              <w:t>+ 11%</w:t>
            </w:r>
          </w:p>
          <w:p w:rsidR="00334908" w:rsidRPr="00DA08B4" w:rsidRDefault="00334908" w:rsidP="00DA08B4">
            <w:pPr>
              <w:ind w:left="349" w:right="-20"/>
              <w:rPr>
                <w:rFonts w:ascii="Arial" w:hAnsi="Arial"/>
                <w:b/>
                <w:bCs/>
                <w:sz w:val="20"/>
                <w:lang w:bidi="es-ES_tradnl"/>
              </w:rPr>
            </w:pPr>
          </w:p>
          <w:p w:rsidR="00334908" w:rsidRPr="00DA08B4" w:rsidRDefault="00334908" w:rsidP="00DA08B4">
            <w:pPr>
              <w:ind w:left="349" w:right="-20"/>
              <w:rPr>
                <w:rFonts w:ascii="Arial" w:hAnsi="Arial"/>
                <w:b/>
                <w:bCs/>
                <w:sz w:val="20"/>
                <w:lang w:bidi="es-ES_tradnl"/>
              </w:rPr>
            </w:pPr>
            <w:r w:rsidRPr="00DA08B4">
              <w:rPr>
                <w:rFonts w:ascii="Arial" w:hAnsi="Arial"/>
                <w:b/>
                <w:bCs/>
                <w:sz w:val="20"/>
                <w:lang w:bidi="es-ES_tradnl"/>
              </w:rPr>
              <w:t>+ 2%</w:t>
            </w:r>
          </w:p>
        </w:tc>
        <w:tc>
          <w:tcPr>
            <w:tcW w:w="1276" w:type="dxa"/>
          </w:tcPr>
          <w:p w:rsidR="00334908" w:rsidRPr="00DA08B4" w:rsidRDefault="00334908" w:rsidP="00DA08B4">
            <w:pPr>
              <w:ind w:left="349" w:right="-20"/>
              <w:rPr>
                <w:rFonts w:ascii="Arial" w:hAnsi="Arial"/>
                <w:b/>
                <w:bCs/>
                <w:sz w:val="20"/>
                <w:lang w:bidi="es-ES_tradnl"/>
              </w:rPr>
            </w:pPr>
          </w:p>
          <w:p w:rsidR="00334908" w:rsidRPr="00DA08B4" w:rsidRDefault="00334908" w:rsidP="00DA08B4">
            <w:pPr>
              <w:ind w:left="349" w:right="-20"/>
              <w:rPr>
                <w:rFonts w:ascii="Arial" w:hAnsi="Arial"/>
                <w:b/>
                <w:bCs/>
                <w:sz w:val="20"/>
                <w:lang w:bidi="es-ES_tradnl"/>
              </w:rPr>
            </w:pPr>
            <w:r w:rsidRPr="00DA08B4">
              <w:rPr>
                <w:rFonts w:ascii="Arial" w:hAnsi="Arial"/>
                <w:b/>
                <w:bCs/>
                <w:sz w:val="20"/>
                <w:lang w:bidi="es-ES_tradnl"/>
              </w:rPr>
              <w:t>+ 0%</w:t>
            </w:r>
          </w:p>
          <w:p w:rsidR="00334908" w:rsidRPr="00DA08B4" w:rsidRDefault="00334908" w:rsidP="00DA08B4">
            <w:pPr>
              <w:ind w:left="349" w:right="-20"/>
              <w:rPr>
                <w:rFonts w:ascii="Arial" w:hAnsi="Arial"/>
                <w:b/>
                <w:bCs/>
                <w:sz w:val="20"/>
                <w:lang w:bidi="es-ES_tradnl"/>
              </w:rPr>
            </w:pPr>
          </w:p>
          <w:p w:rsidR="00334908" w:rsidRPr="00DA08B4" w:rsidRDefault="00334908" w:rsidP="00DA08B4">
            <w:pPr>
              <w:ind w:left="349" w:right="-20"/>
              <w:rPr>
                <w:rFonts w:ascii="Arial" w:hAnsi="Arial"/>
                <w:b/>
                <w:bCs/>
                <w:sz w:val="20"/>
                <w:lang w:bidi="es-ES_tradnl"/>
              </w:rPr>
            </w:pPr>
            <w:r w:rsidRPr="00DA08B4">
              <w:rPr>
                <w:rFonts w:ascii="Arial" w:hAnsi="Arial"/>
                <w:b/>
                <w:bCs/>
                <w:sz w:val="20"/>
                <w:lang w:bidi="es-ES_tradnl"/>
              </w:rPr>
              <w:t>+ 2%</w:t>
            </w:r>
          </w:p>
        </w:tc>
        <w:tc>
          <w:tcPr>
            <w:tcW w:w="1417" w:type="dxa"/>
          </w:tcPr>
          <w:p w:rsidR="00334908" w:rsidRPr="00DA08B4" w:rsidRDefault="00334908" w:rsidP="00DA08B4">
            <w:pPr>
              <w:ind w:left="349" w:right="-20"/>
              <w:rPr>
                <w:rFonts w:ascii="Arial" w:hAnsi="Arial"/>
                <w:b/>
                <w:bCs/>
                <w:sz w:val="20"/>
                <w:lang w:bidi="es-ES_tradnl"/>
              </w:rPr>
            </w:pPr>
          </w:p>
          <w:p w:rsidR="00334908" w:rsidRPr="00DA08B4" w:rsidRDefault="00334908" w:rsidP="00DA08B4">
            <w:pPr>
              <w:ind w:left="349" w:right="-20"/>
              <w:rPr>
                <w:rFonts w:ascii="Arial" w:hAnsi="Arial"/>
                <w:b/>
                <w:bCs/>
                <w:sz w:val="20"/>
                <w:lang w:bidi="es-ES_tradnl"/>
              </w:rPr>
            </w:pPr>
            <w:r w:rsidRPr="00DA08B4">
              <w:rPr>
                <w:rFonts w:ascii="Arial" w:hAnsi="Arial"/>
                <w:b/>
                <w:bCs/>
                <w:sz w:val="20"/>
                <w:lang w:bidi="es-ES_tradnl"/>
              </w:rPr>
              <w:t>- 3%</w:t>
            </w:r>
          </w:p>
          <w:p w:rsidR="00334908" w:rsidRPr="00DA08B4" w:rsidRDefault="00334908" w:rsidP="00DA08B4">
            <w:pPr>
              <w:ind w:left="349" w:right="-20"/>
              <w:rPr>
                <w:rFonts w:ascii="Arial" w:hAnsi="Arial"/>
                <w:b/>
                <w:bCs/>
                <w:sz w:val="20"/>
                <w:lang w:bidi="es-ES_tradnl"/>
              </w:rPr>
            </w:pPr>
          </w:p>
          <w:p w:rsidR="00334908" w:rsidRPr="00DA08B4" w:rsidRDefault="00334908" w:rsidP="00DA08B4">
            <w:pPr>
              <w:ind w:left="349" w:right="-20"/>
              <w:rPr>
                <w:rFonts w:ascii="Arial" w:hAnsi="Arial"/>
                <w:b/>
                <w:bCs/>
                <w:sz w:val="20"/>
                <w:lang w:bidi="es-ES_tradnl"/>
              </w:rPr>
            </w:pPr>
            <w:r w:rsidRPr="00DA08B4">
              <w:rPr>
                <w:rFonts w:ascii="Arial" w:hAnsi="Arial"/>
                <w:b/>
                <w:bCs/>
                <w:sz w:val="20"/>
                <w:lang w:bidi="es-ES_tradnl"/>
              </w:rPr>
              <w:t>- 3%</w:t>
            </w:r>
          </w:p>
        </w:tc>
        <w:tc>
          <w:tcPr>
            <w:tcW w:w="1276" w:type="dxa"/>
          </w:tcPr>
          <w:p w:rsidR="00334908" w:rsidRPr="00DA08B4" w:rsidRDefault="00334908" w:rsidP="00DA08B4">
            <w:pPr>
              <w:ind w:left="349" w:right="-20"/>
              <w:rPr>
                <w:rFonts w:ascii="Arial" w:hAnsi="Arial"/>
                <w:b/>
                <w:bCs/>
                <w:sz w:val="20"/>
                <w:lang w:bidi="es-ES_tradnl"/>
              </w:rPr>
            </w:pPr>
          </w:p>
          <w:p w:rsidR="00334908" w:rsidRPr="00DA08B4" w:rsidRDefault="00334908" w:rsidP="00DA08B4">
            <w:pPr>
              <w:ind w:left="349" w:right="-20"/>
              <w:rPr>
                <w:rFonts w:ascii="Arial" w:hAnsi="Arial"/>
                <w:b/>
                <w:bCs/>
                <w:sz w:val="20"/>
                <w:lang w:bidi="es-ES_tradnl"/>
              </w:rPr>
            </w:pPr>
            <w:r w:rsidRPr="00DA08B4">
              <w:rPr>
                <w:rFonts w:ascii="Arial" w:hAnsi="Arial"/>
                <w:b/>
                <w:bCs/>
                <w:sz w:val="20"/>
                <w:lang w:bidi="es-ES_tradnl"/>
              </w:rPr>
              <w:t>+ 6%</w:t>
            </w:r>
          </w:p>
          <w:p w:rsidR="00334908" w:rsidRPr="00DA08B4" w:rsidRDefault="00334908" w:rsidP="00DA08B4">
            <w:pPr>
              <w:ind w:left="349" w:right="-20"/>
              <w:rPr>
                <w:rFonts w:ascii="Arial" w:hAnsi="Arial"/>
                <w:b/>
                <w:bCs/>
                <w:sz w:val="20"/>
                <w:lang w:bidi="es-ES_tradnl"/>
              </w:rPr>
            </w:pPr>
          </w:p>
          <w:p w:rsidR="00334908" w:rsidRPr="00DA08B4" w:rsidRDefault="00334908" w:rsidP="00DA08B4">
            <w:pPr>
              <w:ind w:left="349" w:right="-20"/>
              <w:rPr>
                <w:rFonts w:ascii="Arial" w:hAnsi="Arial"/>
                <w:b/>
                <w:bCs/>
                <w:sz w:val="20"/>
                <w:lang w:bidi="es-ES_tradnl"/>
              </w:rPr>
            </w:pPr>
            <w:r w:rsidRPr="00DA08B4">
              <w:rPr>
                <w:rFonts w:ascii="Arial" w:hAnsi="Arial"/>
                <w:b/>
                <w:bCs/>
                <w:sz w:val="20"/>
                <w:lang w:bidi="es-ES_tradnl"/>
              </w:rPr>
              <w:t>- 4%</w:t>
            </w:r>
          </w:p>
        </w:tc>
      </w:tr>
      <w:tr w:rsidR="00596298" w:rsidRPr="000F3918">
        <w:trPr>
          <w:trHeight w:val="890"/>
        </w:trPr>
        <w:tc>
          <w:tcPr>
            <w:tcW w:w="2093" w:type="dxa"/>
            <w:shd w:val="clear" w:color="auto" w:fill="E0E0E0"/>
          </w:tcPr>
          <w:p w:rsidR="00596298" w:rsidRPr="000F3918" w:rsidRDefault="00596298" w:rsidP="00913057">
            <w:pPr>
              <w:pStyle w:val="LadilloMichelinDossier"/>
              <w:spacing w:before="0" w:after="0"/>
              <w:rPr>
                <w:rFonts w:ascii="Arial" w:hAnsi="Arial"/>
                <w:b w:val="0"/>
                <w:bCs/>
                <w:sz w:val="20"/>
                <w:lang w:val="es-ES_tradnl" w:bidi="es-ES_tradnl"/>
              </w:rPr>
            </w:pPr>
            <w:r w:rsidRPr="000F3918">
              <w:rPr>
                <w:rFonts w:ascii="Arial" w:hAnsi="Arial"/>
                <w:bCs/>
                <w:sz w:val="20"/>
                <w:lang w:val="es-ES_tradnl" w:bidi="es-ES_tradnl"/>
              </w:rPr>
              <w:t xml:space="preserve">4º Trimestre  </w:t>
            </w:r>
            <w:r w:rsidRPr="000F3918">
              <w:rPr>
                <w:rFonts w:ascii="Arial" w:hAnsi="Arial"/>
                <w:b w:val="0"/>
                <w:bCs/>
                <w:sz w:val="20"/>
                <w:lang w:val="es-ES_tradnl" w:bidi="es-ES_tradnl"/>
              </w:rPr>
              <w:t>201</w:t>
            </w:r>
            <w:r>
              <w:rPr>
                <w:rFonts w:ascii="Arial" w:hAnsi="Arial"/>
                <w:b w:val="0"/>
                <w:bCs/>
                <w:sz w:val="20"/>
                <w:lang w:val="es-ES_tradnl" w:bidi="es-ES_tradnl"/>
              </w:rPr>
              <w:t>2</w:t>
            </w:r>
            <w:r w:rsidRPr="000F3918">
              <w:rPr>
                <w:rFonts w:ascii="Arial" w:hAnsi="Arial"/>
                <w:b w:val="0"/>
                <w:bCs/>
                <w:sz w:val="20"/>
                <w:lang w:val="es-ES_tradnl" w:bidi="es-ES_tradnl"/>
              </w:rPr>
              <w:t>/201</w:t>
            </w:r>
            <w:r>
              <w:rPr>
                <w:rFonts w:ascii="Arial" w:hAnsi="Arial"/>
                <w:b w:val="0"/>
                <w:bCs/>
                <w:sz w:val="20"/>
                <w:lang w:val="es-ES_tradnl" w:bidi="es-ES_tradnl"/>
              </w:rPr>
              <w:t>1</w:t>
            </w:r>
          </w:p>
          <w:p w:rsidR="00596298" w:rsidRPr="000F3918" w:rsidRDefault="00596298" w:rsidP="00913057">
            <w:pPr>
              <w:pStyle w:val="LadilloMichelinDossier"/>
              <w:spacing w:before="0" w:after="0"/>
              <w:rPr>
                <w:bCs/>
                <w:sz w:val="21"/>
                <w:lang w:val="es-ES_tradnl" w:bidi="es-ES_tradnl"/>
              </w:rPr>
            </w:pPr>
            <w:r w:rsidRPr="000F3918">
              <w:rPr>
                <w:rFonts w:ascii="Arial" w:hAnsi="Arial"/>
                <w:b w:val="0"/>
                <w:bCs/>
                <w:sz w:val="16"/>
                <w:lang w:val="es-ES_tradnl" w:bidi="es-ES_tradnl"/>
              </w:rPr>
              <w:t>(Nº neumáticos)</w:t>
            </w:r>
          </w:p>
        </w:tc>
        <w:tc>
          <w:tcPr>
            <w:tcW w:w="1276" w:type="dxa"/>
            <w:shd w:val="clear" w:color="auto" w:fill="E0E0E0"/>
          </w:tcPr>
          <w:p w:rsidR="00596298" w:rsidRPr="00DA08B4" w:rsidRDefault="00596298" w:rsidP="00DA08B4">
            <w:pPr>
              <w:ind w:right="-20"/>
              <w:jc w:val="center"/>
              <w:rPr>
                <w:rFonts w:ascii="Arial" w:hAnsi="Arial"/>
                <w:b/>
                <w:bCs/>
                <w:sz w:val="20"/>
                <w:lang w:bidi="es-ES_tradnl"/>
              </w:rPr>
            </w:pPr>
            <w:r w:rsidRPr="00DA08B4">
              <w:rPr>
                <w:rFonts w:ascii="Arial" w:hAnsi="Arial"/>
                <w:b/>
                <w:bCs/>
                <w:sz w:val="20"/>
                <w:lang w:bidi="es-ES_tradnl"/>
              </w:rPr>
              <w:t>Europa</w:t>
            </w:r>
            <w:r w:rsidRPr="006112D9">
              <w:rPr>
                <w:rFonts w:ascii="Arial" w:hAnsi="Arial"/>
                <w:b/>
                <w:bCs/>
                <w:sz w:val="32"/>
                <w:vertAlign w:val="superscript"/>
                <w:lang w:bidi="es-ES_tradnl"/>
              </w:rPr>
              <w:footnoteReference w:customMarkFollows="1" w:id="4"/>
              <w:sym w:font="Symbol" w:char="F02A"/>
            </w:r>
          </w:p>
        </w:tc>
        <w:tc>
          <w:tcPr>
            <w:tcW w:w="1275" w:type="dxa"/>
            <w:shd w:val="clear" w:color="auto" w:fill="E0E0E0"/>
          </w:tcPr>
          <w:p w:rsidR="00596298" w:rsidRPr="00DA08B4" w:rsidRDefault="00596298" w:rsidP="00DA08B4">
            <w:pPr>
              <w:ind w:right="-20"/>
              <w:jc w:val="center"/>
              <w:rPr>
                <w:rFonts w:ascii="Arial" w:hAnsi="Arial"/>
                <w:b/>
                <w:bCs/>
                <w:sz w:val="20"/>
                <w:lang w:bidi="es-ES_tradnl"/>
              </w:rPr>
            </w:pPr>
            <w:r w:rsidRPr="00DA08B4">
              <w:rPr>
                <w:rFonts w:ascii="Arial" w:hAnsi="Arial"/>
                <w:b/>
                <w:bCs/>
                <w:sz w:val="20"/>
                <w:lang w:bidi="es-ES_tradnl"/>
              </w:rPr>
              <w:t>América del Norte</w:t>
            </w:r>
          </w:p>
        </w:tc>
        <w:tc>
          <w:tcPr>
            <w:tcW w:w="1276" w:type="dxa"/>
            <w:shd w:val="clear" w:color="auto" w:fill="E0E0E0"/>
          </w:tcPr>
          <w:p w:rsidR="00596298" w:rsidRPr="00DA08B4" w:rsidRDefault="00596298" w:rsidP="00DA08B4">
            <w:pPr>
              <w:ind w:right="-20"/>
              <w:jc w:val="center"/>
              <w:rPr>
                <w:rFonts w:ascii="Arial" w:hAnsi="Arial"/>
                <w:b/>
                <w:bCs/>
                <w:sz w:val="20"/>
                <w:lang w:bidi="es-ES_tradnl"/>
              </w:rPr>
            </w:pPr>
            <w:r w:rsidRPr="00DA08B4">
              <w:rPr>
                <w:rFonts w:ascii="Arial" w:hAnsi="Arial"/>
                <w:b/>
                <w:bCs/>
                <w:sz w:val="20"/>
                <w:lang w:bidi="es-ES_tradnl"/>
              </w:rPr>
              <w:t>Asia</w:t>
            </w:r>
            <w:r>
              <w:rPr>
                <w:rFonts w:ascii="Arial" w:hAnsi="Arial"/>
                <w:b/>
                <w:bCs/>
                <w:sz w:val="20"/>
                <w:lang w:bidi="es-ES_tradnl"/>
              </w:rPr>
              <w:t xml:space="preserve"> </w:t>
            </w:r>
            <w:r w:rsidRPr="00DA08B4">
              <w:rPr>
                <w:rFonts w:ascii="Arial" w:hAnsi="Arial"/>
                <w:b/>
                <w:bCs/>
                <w:sz w:val="20"/>
                <w:lang w:bidi="es-ES_tradnl"/>
              </w:rPr>
              <w:t>(excluida India)</w:t>
            </w:r>
          </w:p>
        </w:tc>
        <w:tc>
          <w:tcPr>
            <w:tcW w:w="1276" w:type="dxa"/>
            <w:shd w:val="clear" w:color="auto" w:fill="E0E0E0"/>
          </w:tcPr>
          <w:p w:rsidR="00596298" w:rsidRPr="00DA08B4" w:rsidRDefault="00596298" w:rsidP="00DA08B4">
            <w:pPr>
              <w:ind w:right="-20"/>
              <w:jc w:val="center"/>
              <w:rPr>
                <w:rFonts w:ascii="Arial" w:hAnsi="Arial"/>
                <w:b/>
                <w:bCs/>
                <w:sz w:val="20"/>
                <w:lang w:bidi="es-ES_tradnl"/>
              </w:rPr>
            </w:pPr>
            <w:r w:rsidRPr="00DA08B4">
              <w:rPr>
                <w:rFonts w:ascii="Arial" w:hAnsi="Arial"/>
                <w:b/>
                <w:bCs/>
                <w:sz w:val="20"/>
                <w:lang w:bidi="es-ES_tradnl"/>
              </w:rPr>
              <w:t>América del Sur</w:t>
            </w:r>
          </w:p>
        </w:tc>
        <w:tc>
          <w:tcPr>
            <w:tcW w:w="1417" w:type="dxa"/>
            <w:shd w:val="clear" w:color="auto" w:fill="E0E0E0"/>
          </w:tcPr>
          <w:p w:rsidR="00596298" w:rsidRPr="00DA08B4" w:rsidRDefault="00596298" w:rsidP="00DA08B4">
            <w:pPr>
              <w:ind w:right="-20"/>
              <w:jc w:val="center"/>
              <w:rPr>
                <w:rFonts w:ascii="Arial" w:hAnsi="Arial"/>
                <w:b/>
                <w:bCs/>
                <w:sz w:val="20"/>
                <w:lang w:bidi="es-ES_tradnl"/>
              </w:rPr>
            </w:pPr>
            <w:r w:rsidRPr="00DA08B4">
              <w:rPr>
                <w:rFonts w:ascii="Arial" w:hAnsi="Arial"/>
                <w:b/>
                <w:bCs/>
                <w:sz w:val="20"/>
                <w:lang w:bidi="es-ES_tradnl"/>
              </w:rPr>
              <w:t>África/India/ Oriente Medio</w:t>
            </w:r>
          </w:p>
        </w:tc>
        <w:tc>
          <w:tcPr>
            <w:tcW w:w="1276" w:type="dxa"/>
            <w:shd w:val="clear" w:color="auto" w:fill="E0E0E0"/>
          </w:tcPr>
          <w:p w:rsidR="00596298" w:rsidRPr="00DA08B4" w:rsidRDefault="00596298" w:rsidP="00DA08B4">
            <w:pPr>
              <w:ind w:right="-20"/>
              <w:jc w:val="center"/>
              <w:rPr>
                <w:rFonts w:ascii="Arial" w:hAnsi="Arial"/>
                <w:b/>
                <w:bCs/>
                <w:sz w:val="20"/>
                <w:lang w:bidi="es-ES_tradnl"/>
              </w:rPr>
            </w:pPr>
            <w:r w:rsidRPr="00DA08B4">
              <w:rPr>
                <w:rFonts w:ascii="Arial" w:hAnsi="Arial"/>
                <w:b/>
                <w:bCs/>
                <w:sz w:val="20"/>
                <w:lang w:bidi="es-ES_tradnl"/>
              </w:rPr>
              <w:t>Total</w:t>
            </w:r>
          </w:p>
        </w:tc>
      </w:tr>
      <w:tr w:rsidR="00E02607" w:rsidRPr="000F3918">
        <w:trPr>
          <w:trHeight w:val="1271"/>
        </w:trPr>
        <w:tc>
          <w:tcPr>
            <w:tcW w:w="2093" w:type="dxa"/>
          </w:tcPr>
          <w:p w:rsidR="00E02607" w:rsidRPr="000F3918" w:rsidRDefault="00E02607" w:rsidP="00913057">
            <w:pPr>
              <w:pStyle w:val="LadilloMichelinDossier"/>
              <w:spacing w:before="0" w:after="0"/>
              <w:jc w:val="both"/>
              <w:rPr>
                <w:rFonts w:ascii="Arial" w:hAnsi="Arial"/>
                <w:b w:val="0"/>
                <w:bCs/>
                <w:sz w:val="21"/>
                <w:lang w:val="es-ES_tradnl" w:bidi="es-ES_tradnl"/>
              </w:rPr>
            </w:pPr>
            <w:r w:rsidRPr="000F3918">
              <w:rPr>
                <w:rFonts w:ascii="Arial" w:hAnsi="Arial"/>
                <w:b w:val="0"/>
                <w:bCs/>
                <w:sz w:val="21"/>
                <w:lang w:val="es-ES_tradnl" w:bidi="es-ES_tradnl"/>
              </w:rPr>
              <w:t>Primeros equipos</w:t>
            </w:r>
          </w:p>
          <w:p w:rsidR="00E02607" w:rsidRPr="000F3918" w:rsidRDefault="00E02607" w:rsidP="00913057">
            <w:pPr>
              <w:pStyle w:val="LadilloMichelinDossier"/>
              <w:spacing w:before="0" w:after="0"/>
              <w:jc w:val="both"/>
              <w:rPr>
                <w:rFonts w:ascii="Arial" w:hAnsi="Arial"/>
                <w:b w:val="0"/>
                <w:bCs/>
                <w:sz w:val="21"/>
                <w:lang w:val="es-ES_tradnl" w:bidi="es-ES_tradnl"/>
              </w:rPr>
            </w:pPr>
            <w:r w:rsidRPr="000F3918">
              <w:rPr>
                <w:rFonts w:ascii="Arial" w:hAnsi="Arial"/>
                <w:b w:val="0"/>
                <w:bCs/>
                <w:sz w:val="21"/>
                <w:lang w:val="es-ES_tradnl" w:bidi="es-ES_tradnl"/>
              </w:rPr>
              <w:t xml:space="preserve">     </w:t>
            </w:r>
          </w:p>
          <w:p w:rsidR="00E02607" w:rsidRPr="000F3918" w:rsidRDefault="00E02607" w:rsidP="00913057">
            <w:pPr>
              <w:pStyle w:val="LadilloMichelinDossier"/>
              <w:spacing w:before="0" w:after="0"/>
              <w:jc w:val="both"/>
              <w:rPr>
                <w:b w:val="0"/>
                <w:bCs/>
                <w:sz w:val="21"/>
                <w:lang w:val="es-ES_tradnl" w:bidi="es-ES_tradnl"/>
              </w:rPr>
            </w:pPr>
            <w:r w:rsidRPr="000F3918">
              <w:rPr>
                <w:rFonts w:ascii="Arial" w:hAnsi="Arial"/>
                <w:b w:val="0"/>
                <w:bCs/>
                <w:sz w:val="21"/>
                <w:lang w:val="es-ES_tradnl" w:bidi="es-ES_tradnl"/>
              </w:rPr>
              <w:t>Reemplazo</w:t>
            </w:r>
          </w:p>
        </w:tc>
        <w:tc>
          <w:tcPr>
            <w:tcW w:w="1276" w:type="dxa"/>
          </w:tcPr>
          <w:p w:rsidR="00E02607" w:rsidRPr="00DA08B4" w:rsidRDefault="00E02607" w:rsidP="00DA08B4">
            <w:pPr>
              <w:ind w:left="349" w:right="-20"/>
              <w:rPr>
                <w:rFonts w:ascii="Arial" w:hAnsi="Arial"/>
                <w:b/>
                <w:bCs/>
                <w:sz w:val="20"/>
                <w:lang w:bidi="es-ES_tradnl"/>
              </w:rPr>
            </w:pPr>
          </w:p>
          <w:p w:rsidR="00E02607" w:rsidRPr="00DA08B4" w:rsidRDefault="00E02607" w:rsidP="00DA08B4">
            <w:pPr>
              <w:ind w:left="349" w:right="-20"/>
              <w:rPr>
                <w:rFonts w:ascii="Arial" w:hAnsi="Arial"/>
                <w:b/>
                <w:bCs/>
                <w:sz w:val="20"/>
                <w:lang w:bidi="es-ES_tradnl"/>
              </w:rPr>
            </w:pPr>
            <w:r w:rsidRPr="00DA08B4">
              <w:rPr>
                <w:rFonts w:ascii="Arial" w:hAnsi="Arial"/>
                <w:b/>
                <w:bCs/>
                <w:sz w:val="20"/>
                <w:lang w:bidi="es-ES_tradnl"/>
              </w:rPr>
              <w:t>- 8%</w:t>
            </w:r>
          </w:p>
          <w:p w:rsidR="00E02607" w:rsidRPr="00DA08B4" w:rsidRDefault="00E02607" w:rsidP="00DA08B4">
            <w:pPr>
              <w:ind w:left="349" w:right="-20"/>
              <w:rPr>
                <w:rFonts w:ascii="Arial" w:hAnsi="Arial"/>
                <w:b/>
                <w:bCs/>
                <w:sz w:val="20"/>
                <w:lang w:bidi="es-ES_tradnl"/>
              </w:rPr>
            </w:pPr>
          </w:p>
          <w:p w:rsidR="00E02607" w:rsidRPr="00DA08B4" w:rsidRDefault="00E02607" w:rsidP="00DA08B4">
            <w:pPr>
              <w:ind w:left="349" w:right="-20"/>
              <w:rPr>
                <w:rFonts w:ascii="Arial" w:hAnsi="Arial"/>
                <w:b/>
                <w:bCs/>
                <w:sz w:val="20"/>
                <w:lang w:bidi="es-ES_tradnl"/>
              </w:rPr>
            </w:pPr>
            <w:r w:rsidRPr="00DA08B4">
              <w:rPr>
                <w:rFonts w:ascii="Arial" w:hAnsi="Arial"/>
                <w:b/>
                <w:bCs/>
                <w:sz w:val="20"/>
                <w:lang w:bidi="es-ES_tradnl"/>
              </w:rPr>
              <w:t>- 9%</w:t>
            </w:r>
          </w:p>
        </w:tc>
        <w:tc>
          <w:tcPr>
            <w:tcW w:w="1275" w:type="dxa"/>
          </w:tcPr>
          <w:p w:rsidR="00E02607" w:rsidRPr="00DA08B4" w:rsidRDefault="00E02607" w:rsidP="00DA08B4">
            <w:pPr>
              <w:ind w:left="349" w:right="-20"/>
              <w:rPr>
                <w:rFonts w:ascii="Arial" w:hAnsi="Arial"/>
                <w:b/>
                <w:bCs/>
                <w:sz w:val="20"/>
                <w:lang w:bidi="es-ES_tradnl"/>
              </w:rPr>
            </w:pPr>
          </w:p>
          <w:p w:rsidR="00E02607" w:rsidRPr="00DA08B4" w:rsidRDefault="00E02607" w:rsidP="00DA08B4">
            <w:pPr>
              <w:ind w:left="349" w:right="-20"/>
              <w:rPr>
                <w:rFonts w:ascii="Arial" w:hAnsi="Arial"/>
                <w:b/>
                <w:bCs/>
                <w:sz w:val="20"/>
                <w:lang w:bidi="es-ES_tradnl"/>
              </w:rPr>
            </w:pPr>
            <w:r w:rsidRPr="00DA08B4">
              <w:rPr>
                <w:rFonts w:ascii="Arial" w:hAnsi="Arial"/>
                <w:b/>
                <w:bCs/>
                <w:sz w:val="20"/>
                <w:lang w:bidi="es-ES_tradnl"/>
              </w:rPr>
              <w:t>+ 10%</w:t>
            </w:r>
          </w:p>
          <w:p w:rsidR="00E02607" w:rsidRPr="00DA08B4" w:rsidRDefault="00E02607" w:rsidP="00DA08B4">
            <w:pPr>
              <w:ind w:left="349" w:right="-20"/>
              <w:rPr>
                <w:rFonts w:ascii="Arial" w:hAnsi="Arial"/>
                <w:b/>
                <w:bCs/>
                <w:sz w:val="20"/>
                <w:lang w:bidi="es-ES_tradnl"/>
              </w:rPr>
            </w:pPr>
          </w:p>
          <w:p w:rsidR="00E02607" w:rsidRPr="00DA08B4" w:rsidRDefault="00E02607" w:rsidP="00DA08B4">
            <w:pPr>
              <w:ind w:left="349" w:right="-20"/>
              <w:rPr>
                <w:rFonts w:ascii="Arial" w:hAnsi="Arial"/>
                <w:b/>
                <w:bCs/>
                <w:sz w:val="20"/>
                <w:lang w:bidi="es-ES_tradnl"/>
              </w:rPr>
            </w:pPr>
            <w:r w:rsidRPr="00DA08B4">
              <w:rPr>
                <w:rFonts w:ascii="Arial" w:hAnsi="Arial"/>
                <w:b/>
                <w:bCs/>
                <w:sz w:val="20"/>
                <w:lang w:bidi="es-ES_tradnl"/>
              </w:rPr>
              <w:t>-  1%</w:t>
            </w:r>
          </w:p>
        </w:tc>
        <w:tc>
          <w:tcPr>
            <w:tcW w:w="1276" w:type="dxa"/>
          </w:tcPr>
          <w:p w:rsidR="00E02607" w:rsidRPr="00DA08B4" w:rsidRDefault="00E02607" w:rsidP="00DA08B4">
            <w:pPr>
              <w:ind w:left="349" w:right="-20"/>
              <w:rPr>
                <w:rFonts w:ascii="Arial" w:hAnsi="Arial"/>
                <w:b/>
                <w:bCs/>
                <w:sz w:val="20"/>
                <w:lang w:bidi="es-ES_tradnl"/>
              </w:rPr>
            </w:pPr>
          </w:p>
          <w:p w:rsidR="00E02607" w:rsidRPr="00DA08B4" w:rsidRDefault="00E02607" w:rsidP="00DA08B4">
            <w:pPr>
              <w:ind w:left="349" w:right="-20"/>
              <w:rPr>
                <w:rFonts w:ascii="Arial" w:hAnsi="Arial"/>
                <w:b/>
                <w:bCs/>
                <w:sz w:val="20"/>
                <w:lang w:bidi="es-ES_tradnl"/>
              </w:rPr>
            </w:pPr>
            <w:r w:rsidRPr="00DA08B4">
              <w:rPr>
                <w:rFonts w:ascii="Arial" w:hAnsi="Arial"/>
                <w:b/>
                <w:bCs/>
                <w:sz w:val="20"/>
                <w:lang w:bidi="es-ES_tradnl"/>
              </w:rPr>
              <w:t>+ 5%</w:t>
            </w:r>
          </w:p>
          <w:p w:rsidR="00E02607" w:rsidRPr="00DA08B4" w:rsidRDefault="00E02607" w:rsidP="00DA08B4">
            <w:pPr>
              <w:ind w:left="349" w:right="-20"/>
              <w:rPr>
                <w:rFonts w:ascii="Arial" w:hAnsi="Arial"/>
                <w:b/>
                <w:bCs/>
                <w:sz w:val="20"/>
                <w:lang w:bidi="es-ES_tradnl"/>
              </w:rPr>
            </w:pPr>
          </w:p>
          <w:p w:rsidR="00E02607" w:rsidRPr="00DA08B4" w:rsidRDefault="00E02607" w:rsidP="00DA08B4">
            <w:pPr>
              <w:ind w:left="349" w:right="-20"/>
              <w:rPr>
                <w:rFonts w:ascii="Arial" w:hAnsi="Arial"/>
                <w:b/>
                <w:bCs/>
                <w:sz w:val="20"/>
                <w:lang w:bidi="es-ES_tradnl"/>
              </w:rPr>
            </w:pPr>
            <w:r w:rsidRPr="00DA08B4">
              <w:rPr>
                <w:rFonts w:ascii="Arial" w:hAnsi="Arial"/>
                <w:b/>
                <w:bCs/>
                <w:sz w:val="20"/>
                <w:lang w:bidi="es-ES_tradnl"/>
              </w:rPr>
              <w:t>+ 4%</w:t>
            </w:r>
          </w:p>
        </w:tc>
        <w:tc>
          <w:tcPr>
            <w:tcW w:w="1276" w:type="dxa"/>
          </w:tcPr>
          <w:p w:rsidR="00E02607" w:rsidRPr="00DA08B4" w:rsidRDefault="00E02607" w:rsidP="00DA08B4">
            <w:pPr>
              <w:ind w:left="349" w:right="-20"/>
              <w:rPr>
                <w:rFonts w:ascii="Arial" w:hAnsi="Arial"/>
                <w:b/>
                <w:bCs/>
                <w:sz w:val="20"/>
                <w:lang w:bidi="es-ES_tradnl"/>
              </w:rPr>
            </w:pPr>
          </w:p>
          <w:p w:rsidR="00E02607" w:rsidRPr="00DA08B4" w:rsidRDefault="00E02607" w:rsidP="00DA08B4">
            <w:pPr>
              <w:ind w:left="349" w:right="-20"/>
              <w:rPr>
                <w:rFonts w:ascii="Arial" w:hAnsi="Arial"/>
                <w:b/>
                <w:bCs/>
                <w:sz w:val="20"/>
                <w:lang w:bidi="es-ES_tradnl"/>
              </w:rPr>
            </w:pPr>
            <w:r w:rsidRPr="00DA08B4">
              <w:rPr>
                <w:rFonts w:ascii="Arial" w:hAnsi="Arial"/>
                <w:b/>
                <w:bCs/>
                <w:sz w:val="20"/>
                <w:lang w:bidi="es-ES_tradnl"/>
              </w:rPr>
              <w:t>+ 12%</w:t>
            </w:r>
          </w:p>
          <w:p w:rsidR="00E02607" w:rsidRPr="00DA08B4" w:rsidRDefault="00E02607" w:rsidP="00DA08B4">
            <w:pPr>
              <w:ind w:left="349" w:right="-20"/>
              <w:rPr>
                <w:rFonts w:ascii="Arial" w:hAnsi="Arial"/>
                <w:b/>
                <w:bCs/>
                <w:sz w:val="20"/>
                <w:lang w:bidi="es-ES_tradnl"/>
              </w:rPr>
            </w:pPr>
          </w:p>
          <w:p w:rsidR="00E02607" w:rsidRPr="00DA08B4" w:rsidRDefault="00E02607" w:rsidP="00DA08B4">
            <w:pPr>
              <w:ind w:left="349" w:right="-20"/>
              <w:rPr>
                <w:rFonts w:ascii="Arial" w:hAnsi="Arial"/>
                <w:b/>
                <w:bCs/>
                <w:sz w:val="20"/>
                <w:lang w:bidi="es-ES_tradnl"/>
              </w:rPr>
            </w:pPr>
            <w:r w:rsidRPr="00DA08B4">
              <w:rPr>
                <w:rFonts w:ascii="Arial" w:hAnsi="Arial"/>
                <w:b/>
                <w:bCs/>
                <w:sz w:val="20"/>
                <w:lang w:bidi="es-ES_tradnl"/>
              </w:rPr>
              <w:t xml:space="preserve">+ </w:t>
            </w:r>
            <w:r w:rsidR="00581B19" w:rsidRPr="00DA08B4">
              <w:rPr>
                <w:rFonts w:ascii="Arial" w:hAnsi="Arial"/>
                <w:b/>
                <w:bCs/>
                <w:sz w:val="20"/>
                <w:lang w:bidi="es-ES_tradnl"/>
              </w:rPr>
              <w:t>4</w:t>
            </w:r>
            <w:r w:rsidRPr="00DA08B4">
              <w:rPr>
                <w:rFonts w:ascii="Arial" w:hAnsi="Arial"/>
                <w:b/>
                <w:bCs/>
                <w:sz w:val="20"/>
                <w:lang w:bidi="es-ES_tradnl"/>
              </w:rPr>
              <w:t>%</w:t>
            </w:r>
          </w:p>
        </w:tc>
        <w:tc>
          <w:tcPr>
            <w:tcW w:w="1417" w:type="dxa"/>
          </w:tcPr>
          <w:p w:rsidR="00E02607" w:rsidRPr="00DA08B4" w:rsidRDefault="00E02607" w:rsidP="00DA08B4">
            <w:pPr>
              <w:ind w:left="349" w:right="-20"/>
              <w:rPr>
                <w:rFonts w:ascii="Arial" w:hAnsi="Arial"/>
                <w:b/>
                <w:bCs/>
                <w:sz w:val="20"/>
                <w:lang w:bidi="es-ES_tradnl"/>
              </w:rPr>
            </w:pPr>
          </w:p>
          <w:p w:rsidR="00E02607" w:rsidRPr="00DA08B4" w:rsidRDefault="00E02607" w:rsidP="00DA08B4">
            <w:pPr>
              <w:ind w:left="349" w:right="-20"/>
              <w:rPr>
                <w:rFonts w:ascii="Arial" w:hAnsi="Arial"/>
                <w:b/>
                <w:bCs/>
                <w:sz w:val="20"/>
                <w:lang w:bidi="es-ES_tradnl"/>
              </w:rPr>
            </w:pPr>
            <w:r w:rsidRPr="00DA08B4">
              <w:rPr>
                <w:rFonts w:ascii="Arial" w:hAnsi="Arial"/>
                <w:b/>
                <w:bCs/>
                <w:sz w:val="20"/>
                <w:lang w:bidi="es-ES_tradnl"/>
              </w:rPr>
              <w:t>- 12%</w:t>
            </w:r>
          </w:p>
          <w:p w:rsidR="00E02607" w:rsidRPr="00DA08B4" w:rsidRDefault="00E02607" w:rsidP="00DA08B4">
            <w:pPr>
              <w:ind w:left="349" w:right="-20"/>
              <w:rPr>
                <w:rFonts w:ascii="Arial" w:hAnsi="Arial"/>
                <w:b/>
                <w:bCs/>
                <w:sz w:val="20"/>
                <w:lang w:bidi="es-ES_tradnl"/>
              </w:rPr>
            </w:pPr>
          </w:p>
          <w:p w:rsidR="00E02607" w:rsidRPr="00DA08B4" w:rsidRDefault="00E02607" w:rsidP="00DA08B4">
            <w:pPr>
              <w:ind w:left="349" w:right="-20"/>
              <w:rPr>
                <w:rFonts w:ascii="Arial" w:hAnsi="Arial"/>
                <w:b/>
                <w:bCs/>
                <w:sz w:val="20"/>
                <w:lang w:bidi="es-ES_tradnl"/>
              </w:rPr>
            </w:pPr>
            <w:r w:rsidRPr="00DA08B4">
              <w:rPr>
                <w:rFonts w:ascii="Arial" w:hAnsi="Arial"/>
                <w:b/>
                <w:bCs/>
                <w:sz w:val="20"/>
                <w:lang w:bidi="es-ES_tradnl"/>
              </w:rPr>
              <w:t>- 5%</w:t>
            </w:r>
          </w:p>
        </w:tc>
        <w:tc>
          <w:tcPr>
            <w:tcW w:w="1276" w:type="dxa"/>
          </w:tcPr>
          <w:p w:rsidR="00E02607" w:rsidRPr="00DA08B4" w:rsidRDefault="00E02607" w:rsidP="00DA08B4">
            <w:pPr>
              <w:ind w:left="349" w:right="-20"/>
              <w:rPr>
                <w:rFonts w:ascii="Arial" w:hAnsi="Arial"/>
                <w:b/>
                <w:bCs/>
                <w:sz w:val="20"/>
                <w:lang w:bidi="es-ES_tradnl"/>
              </w:rPr>
            </w:pPr>
          </w:p>
          <w:p w:rsidR="00E02607" w:rsidRPr="00DA08B4" w:rsidRDefault="00E02607" w:rsidP="00DA08B4">
            <w:pPr>
              <w:ind w:left="349" w:right="-20"/>
              <w:rPr>
                <w:rFonts w:ascii="Arial" w:hAnsi="Arial"/>
                <w:b/>
                <w:bCs/>
                <w:sz w:val="20"/>
                <w:lang w:bidi="es-ES_tradnl"/>
              </w:rPr>
            </w:pPr>
            <w:r w:rsidRPr="00DA08B4">
              <w:rPr>
                <w:rFonts w:ascii="Arial" w:hAnsi="Arial"/>
                <w:b/>
                <w:bCs/>
                <w:sz w:val="20"/>
                <w:lang w:bidi="es-ES_tradnl"/>
              </w:rPr>
              <w:t>+ 2%</w:t>
            </w:r>
          </w:p>
          <w:p w:rsidR="00E02607" w:rsidRPr="00DA08B4" w:rsidRDefault="00E02607" w:rsidP="00DA08B4">
            <w:pPr>
              <w:ind w:left="349" w:right="-20"/>
              <w:rPr>
                <w:rFonts w:ascii="Arial" w:hAnsi="Arial"/>
                <w:b/>
                <w:bCs/>
                <w:sz w:val="20"/>
                <w:lang w:bidi="es-ES_tradnl"/>
              </w:rPr>
            </w:pPr>
          </w:p>
          <w:p w:rsidR="00E02607" w:rsidRPr="00DA08B4" w:rsidRDefault="00E02607" w:rsidP="00DA08B4">
            <w:pPr>
              <w:ind w:left="349" w:right="-20"/>
              <w:rPr>
                <w:rFonts w:ascii="Arial" w:hAnsi="Arial"/>
                <w:b/>
                <w:bCs/>
                <w:sz w:val="20"/>
                <w:lang w:bidi="es-ES_tradnl"/>
              </w:rPr>
            </w:pPr>
            <w:r w:rsidRPr="00DA08B4">
              <w:rPr>
                <w:rFonts w:ascii="Arial" w:hAnsi="Arial"/>
                <w:b/>
                <w:bCs/>
                <w:sz w:val="20"/>
                <w:lang w:bidi="es-ES_tradnl"/>
              </w:rPr>
              <w:t>- 2%</w:t>
            </w:r>
          </w:p>
        </w:tc>
      </w:tr>
    </w:tbl>
    <w:p w:rsidR="00B21DB8" w:rsidRPr="00B21DB8" w:rsidRDefault="00B21DB8" w:rsidP="00B21DB8">
      <w:pPr>
        <w:pStyle w:val="LadilloMichelinDossier"/>
        <w:spacing w:before="0" w:after="240"/>
        <w:ind w:left="360"/>
        <w:jc w:val="both"/>
        <w:rPr>
          <w:rFonts w:ascii="Arial" w:hAnsi="Arial"/>
          <w:bCs/>
          <w:sz w:val="21"/>
          <w:u w:val="single"/>
          <w:lang w:val="es-ES_tradnl" w:bidi="es-ES_tradnl"/>
        </w:rPr>
      </w:pPr>
    </w:p>
    <w:p w:rsidR="00913057" w:rsidRPr="000F3918" w:rsidRDefault="00913057" w:rsidP="00B21DB8">
      <w:pPr>
        <w:pStyle w:val="LadilloMichelinDossier"/>
        <w:numPr>
          <w:ilvl w:val="0"/>
          <w:numId w:val="5"/>
        </w:numPr>
        <w:spacing w:before="0" w:after="240"/>
        <w:jc w:val="both"/>
        <w:rPr>
          <w:rFonts w:ascii="Arial" w:hAnsi="Arial"/>
          <w:bCs/>
          <w:sz w:val="21"/>
          <w:u w:val="single"/>
          <w:lang w:val="es-ES_tradnl" w:bidi="es-ES_tradnl"/>
        </w:rPr>
      </w:pPr>
      <w:r w:rsidRPr="000F3918">
        <w:rPr>
          <w:rFonts w:ascii="Arial" w:hAnsi="Arial"/>
          <w:bCs/>
          <w:sz w:val="21"/>
          <w:lang w:val="es-ES_tradnl" w:bidi="es-ES_tradnl"/>
        </w:rPr>
        <w:t>Primeros Equipos</w:t>
      </w:r>
    </w:p>
    <w:p w:rsidR="008C0BE6" w:rsidRDefault="00C87FFC" w:rsidP="00BC76AA">
      <w:pPr>
        <w:pStyle w:val="LadilloMichelinDossier"/>
        <w:numPr>
          <w:ilvl w:val="1"/>
          <w:numId w:val="5"/>
        </w:numPr>
        <w:spacing w:before="0"/>
        <w:jc w:val="both"/>
        <w:rPr>
          <w:rFonts w:ascii="Arial" w:hAnsi="Arial"/>
          <w:b w:val="0"/>
          <w:bCs/>
          <w:sz w:val="21"/>
          <w:lang w:val="es-ES_tradnl" w:bidi="es-ES_tradnl"/>
        </w:rPr>
      </w:pPr>
      <w:r w:rsidRPr="000F3918">
        <w:rPr>
          <w:rFonts w:ascii="Arial" w:hAnsi="Arial"/>
          <w:b w:val="0"/>
          <w:bCs/>
          <w:sz w:val="21"/>
          <w:lang w:val="es-ES_tradnl" w:bidi="es-ES_tradnl"/>
        </w:rPr>
        <w:t>En Europ</w:t>
      </w:r>
      <w:r w:rsidR="00BC76AA">
        <w:rPr>
          <w:rFonts w:ascii="Arial" w:hAnsi="Arial"/>
          <w:b w:val="0"/>
          <w:bCs/>
          <w:sz w:val="21"/>
          <w:lang w:val="es-ES_tradnl" w:bidi="es-ES_tradnl"/>
        </w:rPr>
        <w:t>a</w:t>
      </w:r>
      <w:r w:rsidRPr="000F3918">
        <w:rPr>
          <w:rFonts w:ascii="Arial" w:hAnsi="Arial"/>
          <w:b w:val="0"/>
          <w:bCs/>
          <w:sz w:val="21"/>
          <w:lang w:val="es-ES_tradnl" w:bidi="es-ES_tradnl"/>
        </w:rPr>
        <w:t xml:space="preserve">, la </w:t>
      </w:r>
      <w:r w:rsidR="00BC76AA">
        <w:rPr>
          <w:rFonts w:ascii="Arial" w:hAnsi="Arial"/>
          <w:b w:val="0"/>
          <w:bCs/>
          <w:sz w:val="21"/>
          <w:lang w:val="es-ES_tradnl" w:bidi="es-ES_tradnl"/>
        </w:rPr>
        <w:t>demanda de neumáticos disminuyó un 5%</w:t>
      </w:r>
      <w:r w:rsidRPr="000F3918">
        <w:rPr>
          <w:rFonts w:ascii="Arial" w:hAnsi="Arial"/>
          <w:b w:val="0"/>
          <w:bCs/>
          <w:sz w:val="21"/>
          <w:lang w:val="es-ES_tradnl" w:bidi="es-ES_tradnl"/>
        </w:rPr>
        <w:t xml:space="preserve">. La </w:t>
      </w:r>
      <w:r w:rsidR="007748BB">
        <w:rPr>
          <w:rFonts w:ascii="Arial" w:hAnsi="Arial"/>
          <w:b w:val="0"/>
          <w:bCs/>
          <w:sz w:val="21"/>
          <w:lang w:val="es-ES_tradnl" w:bidi="es-ES_tradnl"/>
        </w:rPr>
        <w:t>bajada</w:t>
      </w:r>
      <w:r w:rsidR="008C0BE6">
        <w:rPr>
          <w:rFonts w:ascii="Arial" w:hAnsi="Arial"/>
          <w:b w:val="0"/>
          <w:bCs/>
          <w:sz w:val="21"/>
          <w:lang w:val="es-ES_tradnl" w:bidi="es-ES_tradnl"/>
        </w:rPr>
        <w:t xml:space="preserve"> de las matriculacione</w:t>
      </w:r>
      <w:r w:rsidR="00824DA9">
        <w:rPr>
          <w:rFonts w:ascii="Arial" w:hAnsi="Arial"/>
          <w:b w:val="0"/>
          <w:bCs/>
          <w:sz w:val="21"/>
          <w:lang w:val="es-ES_tradnl" w:bidi="es-ES_tradnl"/>
        </w:rPr>
        <w:t>s de vehículos nuevos en 2012</w:t>
      </w:r>
      <w:r w:rsidR="00217AE4" w:rsidRPr="00217AE4">
        <w:rPr>
          <w:rFonts w:ascii="Arial" w:hAnsi="Arial"/>
          <w:b w:val="0"/>
          <w:bCs/>
          <w:sz w:val="21"/>
          <w:lang w:val="es-ES_tradnl" w:bidi="es-ES_tradnl"/>
        </w:rPr>
        <w:t xml:space="preserve"> </w:t>
      </w:r>
      <w:r w:rsidR="00217AE4">
        <w:rPr>
          <w:rFonts w:ascii="Arial" w:hAnsi="Arial"/>
          <w:b w:val="0"/>
          <w:bCs/>
          <w:sz w:val="21"/>
          <w:lang w:val="es-ES_tradnl" w:bidi="es-ES_tradnl"/>
        </w:rPr>
        <w:t>en la Unión Europea</w:t>
      </w:r>
      <w:r w:rsidR="00824DA9">
        <w:rPr>
          <w:rFonts w:ascii="Arial" w:hAnsi="Arial"/>
          <w:b w:val="0"/>
          <w:bCs/>
          <w:sz w:val="21"/>
          <w:lang w:val="es-ES_tradnl" w:bidi="es-ES_tradnl"/>
        </w:rPr>
        <w:t>, en su nivel más bajo desde hace 1</w:t>
      </w:r>
      <w:r w:rsidR="000349B9">
        <w:rPr>
          <w:rFonts w:ascii="Arial" w:hAnsi="Arial"/>
          <w:b w:val="0"/>
          <w:bCs/>
          <w:sz w:val="21"/>
          <w:lang w:val="es-ES_tradnl" w:bidi="es-ES_tradnl"/>
        </w:rPr>
        <w:t>7</w:t>
      </w:r>
      <w:r w:rsidR="00824DA9">
        <w:rPr>
          <w:rFonts w:ascii="Arial" w:hAnsi="Arial"/>
          <w:b w:val="0"/>
          <w:bCs/>
          <w:sz w:val="21"/>
          <w:lang w:val="es-ES_tradnl" w:bidi="es-ES_tradnl"/>
        </w:rPr>
        <w:t xml:space="preserve"> años, </w:t>
      </w:r>
      <w:r w:rsidR="00610827">
        <w:rPr>
          <w:rFonts w:ascii="Arial" w:hAnsi="Arial"/>
          <w:b w:val="0"/>
          <w:bCs/>
          <w:sz w:val="21"/>
          <w:lang w:val="es-ES_tradnl" w:bidi="es-ES_tradnl"/>
        </w:rPr>
        <w:t>enmascara</w:t>
      </w:r>
      <w:r w:rsidR="00824DA9">
        <w:rPr>
          <w:rFonts w:ascii="Arial" w:hAnsi="Arial"/>
          <w:b w:val="0"/>
          <w:bCs/>
          <w:sz w:val="21"/>
          <w:lang w:val="es-ES_tradnl" w:bidi="es-ES_tradnl"/>
        </w:rPr>
        <w:t xml:space="preserve"> una actividad </w:t>
      </w:r>
      <w:r w:rsidR="000349B9">
        <w:rPr>
          <w:rFonts w:ascii="Arial" w:hAnsi="Arial"/>
          <w:b w:val="0"/>
          <w:bCs/>
          <w:sz w:val="21"/>
          <w:lang w:val="es-ES_tradnl" w:bidi="es-ES_tradnl"/>
        </w:rPr>
        <w:t>caracteriza</w:t>
      </w:r>
      <w:r w:rsidR="00217AE4">
        <w:rPr>
          <w:rFonts w:ascii="Arial" w:hAnsi="Arial"/>
          <w:b w:val="0"/>
          <w:bCs/>
          <w:sz w:val="21"/>
          <w:lang w:val="es-ES_tradnl" w:bidi="es-ES_tradnl"/>
        </w:rPr>
        <w:t>da</w:t>
      </w:r>
      <w:r w:rsidR="000349B9">
        <w:rPr>
          <w:rFonts w:ascii="Arial" w:hAnsi="Arial"/>
          <w:b w:val="0"/>
          <w:bCs/>
          <w:sz w:val="21"/>
          <w:lang w:val="es-ES_tradnl" w:bidi="es-ES_tradnl"/>
        </w:rPr>
        <w:t xml:space="preserve"> por el </w:t>
      </w:r>
      <w:r w:rsidR="00824DA9">
        <w:rPr>
          <w:rFonts w:ascii="Arial" w:hAnsi="Arial"/>
          <w:b w:val="0"/>
          <w:bCs/>
          <w:sz w:val="21"/>
          <w:lang w:val="es-ES_tradnl" w:bidi="es-ES_tradnl"/>
        </w:rPr>
        <w:t>contrast</w:t>
      </w:r>
      <w:r w:rsidR="000349B9">
        <w:rPr>
          <w:rFonts w:ascii="Arial" w:hAnsi="Arial"/>
          <w:b w:val="0"/>
          <w:bCs/>
          <w:sz w:val="21"/>
          <w:lang w:val="es-ES_tradnl" w:bidi="es-ES_tradnl"/>
        </w:rPr>
        <w:t>e</w:t>
      </w:r>
      <w:r w:rsidR="00610827">
        <w:rPr>
          <w:rFonts w:ascii="Arial" w:hAnsi="Arial"/>
          <w:b w:val="0"/>
          <w:bCs/>
          <w:sz w:val="21"/>
          <w:lang w:val="es-ES_tradnl" w:bidi="es-ES_tradnl"/>
        </w:rPr>
        <w:t xml:space="preserve"> entre </w:t>
      </w:r>
      <w:r w:rsidR="007748BB">
        <w:rPr>
          <w:rFonts w:ascii="Arial" w:hAnsi="Arial"/>
          <w:b w:val="0"/>
          <w:bCs/>
          <w:sz w:val="21"/>
          <w:lang w:val="es-ES_tradnl" w:bidi="es-ES_tradnl"/>
        </w:rPr>
        <w:t>la caída</w:t>
      </w:r>
      <w:r w:rsidR="00824DA9">
        <w:rPr>
          <w:rFonts w:ascii="Arial" w:hAnsi="Arial"/>
          <w:b w:val="0"/>
          <w:bCs/>
          <w:sz w:val="21"/>
          <w:lang w:val="es-ES_tradnl" w:bidi="es-ES_tradnl"/>
        </w:rPr>
        <w:t xml:space="preserve"> de los constructores de automóviles generalistas y la mejo</w:t>
      </w:r>
      <w:r w:rsidR="006E4DD2">
        <w:rPr>
          <w:rFonts w:ascii="Arial" w:hAnsi="Arial"/>
          <w:b w:val="0"/>
          <w:bCs/>
          <w:sz w:val="21"/>
          <w:lang w:val="es-ES_tradnl" w:bidi="es-ES_tradnl"/>
        </w:rPr>
        <w:t xml:space="preserve">r resistencia de las marcas </w:t>
      </w:r>
      <w:r w:rsidR="00824DA9">
        <w:rPr>
          <w:rFonts w:ascii="Arial" w:hAnsi="Arial"/>
          <w:b w:val="0"/>
          <w:bCs/>
          <w:sz w:val="21"/>
          <w:lang w:val="es-ES_tradnl" w:bidi="es-ES_tradnl"/>
        </w:rPr>
        <w:t>especiali</w:t>
      </w:r>
      <w:r w:rsidR="006E4DD2">
        <w:rPr>
          <w:rFonts w:ascii="Arial" w:hAnsi="Arial"/>
          <w:b w:val="0"/>
          <w:bCs/>
          <w:sz w:val="21"/>
          <w:lang w:val="es-ES_tradnl" w:bidi="es-ES_tradnl"/>
        </w:rPr>
        <w:t>stas</w:t>
      </w:r>
      <w:r w:rsidR="00824DA9">
        <w:rPr>
          <w:rFonts w:ascii="Arial" w:hAnsi="Arial"/>
          <w:b w:val="0"/>
          <w:bCs/>
          <w:sz w:val="21"/>
          <w:lang w:val="es-ES_tradnl" w:bidi="es-ES_tradnl"/>
        </w:rPr>
        <w:t xml:space="preserve"> y exporta</w:t>
      </w:r>
      <w:r w:rsidR="008141C7">
        <w:rPr>
          <w:rFonts w:ascii="Arial" w:hAnsi="Arial"/>
          <w:b w:val="0"/>
          <w:bCs/>
          <w:sz w:val="21"/>
          <w:lang w:val="es-ES_tradnl" w:bidi="es-ES_tradnl"/>
        </w:rPr>
        <w:t>dor</w:t>
      </w:r>
      <w:r w:rsidR="006E4DD2">
        <w:rPr>
          <w:rFonts w:ascii="Arial" w:hAnsi="Arial"/>
          <w:b w:val="0"/>
          <w:bCs/>
          <w:sz w:val="21"/>
          <w:lang w:val="es-ES_tradnl" w:bidi="es-ES_tradnl"/>
        </w:rPr>
        <w:t>a</w:t>
      </w:r>
      <w:r w:rsidR="008141C7">
        <w:rPr>
          <w:rFonts w:ascii="Arial" w:hAnsi="Arial"/>
          <w:b w:val="0"/>
          <w:bCs/>
          <w:sz w:val="21"/>
          <w:lang w:val="es-ES_tradnl" w:bidi="es-ES_tradnl"/>
        </w:rPr>
        <w:t>s</w:t>
      </w:r>
      <w:r w:rsidR="00824DA9">
        <w:rPr>
          <w:rFonts w:ascii="Arial" w:hAnsi="Arial"/>
          <w:b w:val="0"/>
          <w:bCs/>
          <w:sz w:val="21"/>
          <w:lang w:val="es-ES_tradnl" w:bidi="es-ES_tradnl"/>
        </w:rPr>
        <w:t>. Los mercados de Europa del Este continúan creciendo (+ 11%).</w:t>
      </w:r>
    </w:p>
    <w:p w:rsidR="00966F4E" w:rsidRPr="008B20D9" w:rsidRDefault="00966F4E" w:rsidP="00B21DB8">
      <w:pPr>
        <w:pStyle w:val="LadilloMichelinDossier"/>
        <w:numPr>
          <w:ilvl w:val="1"/>
          <w:numId w:val="5"/>
        </w:numPr>
        <w:spacing w:before="0" w:line="240" w:lineRule="auto"/>
        <w:jc w:val="both"/>
        <w:rPr>
          <w:rFonts w:ascii="Arial" w:hAnsi="Arial"/>
          <w:b w:val="0"/>
          <w:bCs/>
          <w:sz w:val="21"/>
          <w:lang w:val="es-ES_tradnl" w:bidi="es-ES_tradnl"/>
        </w:rPr>
      </w:pPr>
      <w:r w:rsidRPr="008B20D9">
        <w:rPr>
          <w:rFonts w:ascii="Arial" w:hAnsi="Arial"/>
          <w:b w:val="0"/>
          <w:bCs/>
          <w:sz w:val="21"/>
          <w:lang w:val="es-ES_tradnl" w:bidi="es-ES_tradnl"/>
        </w:rPr>
        <w:t xml:space="preserve">El mercado en América del Norte aumenta un 16% y </w:t>
      </w:r>
      <w:r w:rsidR="004D1D46" w:rsidRPr="008B20D9">
        <w:rPr>
          <w:rFonts w:ascii="Arial" w:hAnsi="Arial"/>
          <w:b w:val="0"/>
          <w:bCs/>
          <w:sz w:val="21"/>
          <w:lang w:val="es-ES_tradnl" w:bidi="es-ES_tradnl"/>
        </w:rPr>
        <w:t xml:space="preserve">aprovecha las fuertes ventas de </w:t>
      </w:r>
      <w:r w:rsidR="008403FD" w:rsidRPr="008B20D9">
        <w:rPr>
          <w:rFonts w:ascii="Arial" w:hAnsi="Arial"/>
          <w:b w:val="0"/>
          <w:bCs/>
          <w:sz w:val="21"/>
          <w:lang w:val="es-ES_tradnl" w:bidi="es-ES_tradnl"/>
        </w:rPr>
        <w:t>coches</w:t>
      </w:r>
      <w:r w:rsidR="004D1D46" w:rsidRPr="008B20D9">
        <w:rPr>
          <w:rFonts w:ascii="Arial" w:hAnsi="Arial"/>
          <w:b w:val="0"/>
          <w:bCs/>
          <w:sz w:val="21"/>
          <w:lang w:val="es-ES_tradnl" w:bidi="es-ES_tradnl"/>
        </w:rPr>
        <w:t xml:space="preserve"> nuevos relacionad</w:t>
      </w:r>
      <w:r w:rsidR="008403FD" w:rsidRPr="008B20D9">
        <w:rPr>
          <w:rFonts w:ascii="Arial" w:hAnsi="Arial"/>
          <w:b w:val="0"/>
          <w:bCs/>
          <w:sz w:val="21"/>
          <w:lang w:val="es-ES_tradnl" w:bidi="es-ES_tradnl"/>
        </w:rPr>
        <w:t xml:space="preserve">as con </w:t>
      </w:r>
      <w:r w:rsidR="000A7E2B" w:rsidRPr="008B20D9">
        <w:rPr>
          <w:rFonts w:ascii="Arial" w:hAnsi="Arial"/>
          <w:b w:val="0"/>
          <w:bCs/>
          <w:sz w:val="21"/>
          <w:lang w:val="es-ES_tradnl" w:bidi="es-ES_tradnl"/>
        </w:rPr>
        <w:t>la renovación</w:t>
      </w:r>
      <w:r w:rsidR="008403FD" w:rsidRPr="008B20D9">
        <w:rPr>
          <w:rFonts w:ascii="Arial" w:hAnsi="Arial"/>
          <w:b w:val="0"/>
          <w:bCs/>
          <w:sz w:val="21"/>
          <w:lang w:val="es-ES_tradnl" w:bidi="es-ES_tradnl"/>
        </w:rPr>
        <w:t xml:space="preserve"> del parque automovilístico </w:t>
      </w:r>
      <w:r w:rsidR="004D1D46" w:rsidRPr="008B20D9">
        <w:rPr>
          <w:rFonts w:ascii="Arial" w:hAnsi="Arial"/>
          <w:b w:val="0"/>
          <w:bCs/>
          <w:sz w:val="21"/>
          <w:lang w:val="es-ES_tradnl" w:bidi="es-ES_tradnl"/>
        </w:rPr>
        <w:t xml:space="preserve">para recuperar </w:t>
      </w:r>
      <w:r w:rsidR="008403FD" w:rsidRPr="008B20D9">
        <w:rPr>
          <w:rFonts w:ascii="Arial" w:hAnsi="Arial"/>
          <w:b w:val="0"/>
          <w:bCs/>
          <w:sz w:val="21"/>
          <w:lang w:val="es-ES_tradnl" w:bidi="es-ES_tradnl"/>
        </w:rPr>
        <w:t xml:space="preserve">sus </w:t>
      </w:r>
      <w:r w:rsidR="004D1D46" w:rsidRPr="008B20D9">
        <w:rPr>
          <w:rFonts w:ascii="Arial" w:hAnsi="Arial"/>
          <w:b w:val="0"/>
          <w:bCs/>
          <w:sz w:val="21"/>
          <w:lang w:val="es-ES_tradnl" w:bidi="es-ES_tradnl"/>
        </w:rPr>
        <w:t>nivel</w:t>
      </w:r>
      <w:r w:rsidR="008403FD" w:rsidRPr="008B20D9">
        <w:rPr>
          <w:rFonts w:ascii="Arial" w:hAnsi="Arial"/>
          <w:b w:val="0"/>
          <w:bCs/>
          <w:sz w:val="21"/>
          <w:lang w:val="es-ES_tradnl" w:bidi="es-ES_tradnl"/>
        </w:rPr>
        <w:t>es</w:t>
      </w:r>
      <w:r w:rsidR="004D1D46" w:rsidRPr="008B20D9">
        <w:rPr>
          <w:rFonts w:ascii="Arial" w:hAnsi="Arial"/>
          <w:b w:val="0"/>
          <w:bCs/>
          <w:sz w:val="21"/>
          <w:lang w:val="es-ES_tradnl" w:bidi="es-ES_tradnl"/>
        </w:rPr>
        <w:t xml:space="preserve"> de 2007.</w:t>
      </w:r>
    </w:p>
    <w:p w:rsidR="00A84C7A" w:rsidRDefault="0062244B" w:rsidP="00B21DB8">
      <w:pPr>
        <w:pStyle w:val="LadilloMichelinDossier"/>
        <w:numPr>
          <w:ilvl w:val="1"/>
          <w:numId w:val="5"/>
        </w:numPr>
        <w:spacing w:before="0"/>
        <w:jc w:val="both"/>
        <w:rPr>
          <w:rFonts w:ascii="Arial" w:hAnsi="Arial"/>
          <w:b w:val="0"/>
          <w:bCs/>
          <w:sz w:val="21"/>
          <w:lang w:val="es-ES_tradnl" w:bidi="es-ES_tradnl"/>
        </w:rPr>
      </w:pPr>
      <w:r w:rsidRPr="000F3918">
        <w:rPr>
          <w:rFonts w:ascii="Arial" w:hAnsi="Arial"/>
          <w:b w:val="0"/>
          <w:bCs/>
          <w:sz w:val="21"/>
          <w:lang w:val="es-ES_tradnl" w:bidi="es-ES_tradnl"/>
        </w:rPr>
        <w:t>En Asi</w:t>
      </w:r>
      <w:r w:rsidR="000A7E2B">
        <w:rPr>
          <w:rFonts w:ascii="Arial" w:hAnsi="Arial"/>
          <w:b w:val="0"/>
          <w:bCs/>
          <w:sz w:val="21"/>
          <w:lang w:val="es-ES_tradnl" w:bidi="es-ES_tradnl"/>
        </w:rPr>
        <w:t>a</w:t>
      </w:r>
      <w:r w:rsidRPr="000F3918">
        <w:rPr>
          <w:rFonts w:ascii="Arial" w:hAnsi="Arial"/>
          <w:b w:val="0"/>
          <w:bCs/>
          <w:sz w:val="21"/>
          <w:lang w:val="es-ES_tradnl" w:bidi="es-ES_tradnl"/>
        </w:rPr>
        <w:t xml:space="preserve"> (</w:t>
      </w:r>
      <w:r w:rsidR="000A7E2B">
        <w:rPr>
          <w:rFonts w:ascii="Arial" w:hAnsi="Arial"/>
          <w:b w:val="0"/>
          <w:bCs/>
          <w:sz w:val="21"/>
          <w:lang w:val="es-ES_tradnl" w:bidi="es-ES_tradnl"/>
        </w:rPr>
        <w:t>excluyendo India</w:t>
      </w:r>
      <w:r w:rsidRPr="000F3918">
        <w:rPr>
          <w:rFonts w:ascii="Arial" w:hAnsi="Arial"/>
          <w:b w:val="0"/>
          <w:bCs/>
          <w:sz w:val="21"/>
          <w:lang w:val="es-ES_tradnl" w:bidi="es-ES_tradnl"/>
        </w:rPr>
        <w:t>), la demand</w:t>
      </w:r>
      <w:r w:rsidR="000A7E2B">
        <w:rPr>
          <w:rFonts w:ascii="Arial" w:hAnsi="Arial"/>
          <w:b w:val="0"/>
          <w:bCs/>
          <w:sz w:val="21"/>
          <w:lang w:val="es-ES_tradnl" w:bidi="es-ES_tradnl"/>
        </w:rPr>
        <w:t>a</w:t>
      </w:r>
      <w:r w:rsidRPr="000F3918">
        <w:rPr>
          <w:rFonts w:ascii="Arial" w:hAnsi="Arial"/>
          <w:b w:val="0"/>
          <w:bCs/>
          <w:sz w:val="21"/>
          <w:lang w:val="es-ES_tradnl" w:bidi="es-ES_tradnl"/>
        </w:rPr>
        <w:t xml:space="preserve"> </w:t>
      </w:r>
      <w:r w:rsidR="000A7E2B">
        <w:rPr>
          <w:rFonts w:ascii="Arial" w:hAnsi="Arial"/>
          <w:b w:val="0"/>
          <w:bCs/>
          <w:sz w:val="21"/>
          <w:lang w:val="es-ES_tradnl" w:bidi="es-ES_tradnl"/>
        </w:rPr>
        <w:t xml:space="preserve">ha </w:t>
      </w:r>
      <w:r w:rsidR="00670AFE">
        <w:rPr>
          <w:rFonts w:ascii="Arial" w:hAnsi="Arial"/>
          <w:b w:val="0"/>
          <w:bCs/>
          <w:sz w:val="21"/>
          <w:lang w:val="es-ES_tradnl" w:bidi="es-ES_tradnl"/>
        </w:rPr>
        <w:t>aumentado</w:t>
      </w:r>
      <w:r w:rsidR="000A7E2B">
        <w:rPr>
          <w:rFonts w:ascii="Arial" w:hAnsi="Arial"/>
          <w:b w:val="0"/>
          <w:bCs/>
          <w:sz w:val="21"/>
          <w:lang w:val="es-ES_tradnl" w:bidi="es-ES_tradnl"/>
        </w:rPr>
        <w:t xml:space="preserve"> un </w:t>
      </w:r>
      <w:r w:rsidRPr="000F3918">
        <w:rPr>
          <w:rFonts w:ascii="Arial" w:hAnsi="Arial"/>
          <w:b w:val="0"/>
          <w:bCs/>
          <w:sz w:val="21"/>
          <w:lang w:val="es-ES_tradnl" w:bidi="es-ES_tradnl"/>
        </w:rPr>
        <w:t>11% global</w:t>
      </w:r>
      <w:r w:rsidR="000A7E2B">
        <w:rPr>
          <w:rFonts w:ascii="Arial" w:hAnsi="Arial"/>
          <w:b w:val="0"/>
          <w:bCs/>
          <w:sz w:val="21"/>
          <w:lang w:val="es-ES_tradnl" w:bidi="es-ES_tradnl"/>
        </w:rPr>
        <w:t>mente</w:t>
      </w:r>
      <w:r w:rsidRPr="000F3918">
        <w:rPr>
          <w:rFonts w:ascii="Arial" w:hAnsi="Arial"/>
          <w:b w:val="0"/>
          <w:bCs/>
          <w:sz w:val="21"/>
          <w:lang w:val="es-ES_tradnl" w:bidi="es-ES_tradnl"/>
        </w:rPr>
        <w:t>. En Chin</w:t>
      </w:r>
      <w:r w:rsidR="000A7E2B">
        <w:rPr>
          <w:rFonts w:ascii="Arial" w:hAnsi="Arial"/>
          <w:b w:val="0"/>
          <w:bCs/>
          <w:sz w:val="21"/>
          <w:lang w:val="es-ES_tradnl" w:bidi="es-ES_tradnl"/>
        </w:rPr>
        <w:t>a</w:t>
      </w:r>
      <w:r w:rsidRPr="000F3918">
        <w:rPr>
          <w:rFonts w:ascii="Arial" w:hAnsi="Arial"/>
          <w:b w:val="0"/>
          <w:bCs/>
          <w:sz w:val="21"/>
          <w:lang w:val="es-ES_tradnl" w:bidi="es-ES_tradnl"/>
        </w:rPr>
        <w:t xml:space="preserve">, </w:t>
      </w:r>
      <w:r w:rsidR="000A7E2B">
        <w:rPr>
          <w:rFonts w:ascii="Arial" w:hAnsi="Arial"/>
          <w:b w:val="0"/>
          <w:bCs/>
          <w:sz w:val="21"/>
          <w:lang w:val="es-ES_tradnl" w:bidi="es-ES_tradnl"/>
        </w:rPr>
        <w:t>el mercado</w:t>
      </w:r>
      <w:r w:rsidR="00737916">
        <w:rPr>
          <w:rFonts w:ascii="Arial" w:hAnsi="Arial"/>
          <w:b w:val="0"/>
          <w:bCs/>
          <w:sz w:val="21"/>
          <w:lang w:val="es-ES_tradnl" w:bidi="es-ES_tradnl"/>
        </w:rPr>
        <w:t>,</w:t>
      </w:r>
      <w:r w:rsidR="000A7E2B">
        <w:rPr>
          <w:rFonts w:ascii="Arial" w:hAnsi="Arial"/>
          <w:b w:val="0"/>
          <w:bCs/>
          <w:sz w:val="21"/>
          <w:lang w:val="es-ES_tradnl" w:bidi="es-ES_tradnl"/>
        </w:rPr>
        <w:t xml:space="preserve"> siempre</w:t>
      </w:r>
      <w:r w:rsidRPr="000F3918">
        <w:rPr>
          <w:rFonts w:ascii="Arial" w:hAnsi="Arial"/>
          <w:b w:val="0"/>
          <w:bCs/>
          <w:sz w:val="21"/>
          <w:lang w:val="es-ES_tradnl" w:bidi="es-ES_tradnl"/>
        </w:rPr>
        <w:t xml:space="preserve"> </w:t>
      </w:r>
      <w:r w:rsidR="00266A30">
        <w:rPr>
          <w:rFonts w:ascii="Arial" w:hAnsi="Arial"/>
          <w:b w:val="0"/>
          <w:bCs/>
          <w:sz w:val="21"/>
          <w:lang w:val="es-ES_tradnl" w:bidi="es-ES_tradnl"/>
        </w:rPr>
        <w:t>boyante</w:t>
      </w:r>
      <w:r w:rsidR="00670AFE">
        <w:rPr>
          <w:rFonts w:ascii="Arial" w:hAnsi="Arial"/>
          <w:b w:val="0"/>
          <w:bCs/>
          <w:sz w:val="21"/>
          <w:lang w:val="es-ES_tradnl" w:bidi="es-ES_tradnl"/>
        </w:rPr>
        <w:t xml:space="preserve">, </w:t>
      </w:r>
      <w:r w:rsidR="006C52EA">
        <w:rPr>
          <w:rFonts w:ascii="Arial" w:hAnsi="Arial"/>
          <w:b w:val="0"/>
          <w:bCs/>
          <w:sz w:val="21"/>
          <w:lang w:val="es-ES_tradnl" w:bidi="es-ES_tradnl"/>
        </w:rPr>
        <w:t xml:space="preserve">ralentiza su ritmo </w:t>
      </w:r>
      <w:r w:rsidR="00C122D7">
        <w:rPr>
          <w:rFonts w:ascii="Arial" w:hAnsi="Arial"/>
          <w:b w:val="0"/>
          <w:bCs/>
          <w:sz w:val="21"/>
          <w:lang w:val="es-ES_tradnl" w:bidi="es-ES_tradnl"/>
        </w:rPr>
        <w:t xml:space="preserve">de crecimiento </w:t>
      </w:r>
      <w:r w:rsidR="00BE6482">
        <w:rPr>
          <w:rFonts w:ascii="Arial" w:hAnsi="Arial"/>
          <w:b w:val="0"/>
          <w:bCs/>
          <w:sz w:val="21"/>
          <w:lang w:val="es-ES_tradnl" w:bidi="es-ES_tradnl"/>
        </w:rPr>
        <w:t>(+ 6</w:t>
      </w:r>
      <w:r w:rsidR="00737916" w:rsidRPr="000F3918">
        <w:rPr>
          <w:rFonts w:ascii="Arial" w:hAnsi="Arial"/>
          <w:b w:val="0"/>
          <w:bCs/>
          <w:sz w:val="21"/>
          <w:lang w:val="es-ES_tradnl" w:bidi="es-ES_tradnl"/>
        </w:rPr>
        <w:t>%).</w:t>
      </w:r>
      <w:r w:rsidR="00737916">
        <w:rPr>
          <w:rFonts w:ascii="Arial" w:hAnsi="Arial"/>
          <w:b w:val="0"/>
          <w:bCs/>
          <w:sz w:val="21"/>
          <w:lang w:val="es-ES_tradnl" w:bidi="es-ES_tradnl"/>
        </w:rPr>
        <w:t xml:space="preserve"> La demanda en Japón (+ 18</w:t>
      </w:r>
      <w:r w:rsidR="00737916" w:rsidRPr="000F3918">
        <w:rPr>
          <w:rFonts w:ascii="Arial" w:hAnsi="Arial"/>
          <w:b w:val="0"/>
          <w:bCs/>
          <w:sz w:val="21"/>
          <w:lang w:val="es-ES_tradnl" w:bidi="es-ES_tradnl"/>
        </w:rPr>
        <w:t>%)</w:t>
      </w:r>
      <w:r w:rsidR="00737916">
        <w:rPr>
          <w:rFonts w:ascii="Arial" w:hAnsi="Arial"/>
          <w:b w:val="0"/>
          <w:bCs/>
          <w:sz w:val="21"/>
          <w:lang w:val="es-ES_tradnl" w:bidi="es-ES_tradnl"/>
        </w:rPr>
        <w:t xml:space="preserve"> y en el sudeste asiático</w:t>
      </w:r>
      <w:r w:rsidR="00BE6482">
        <w:rPr>
          <w:rFonts w:ascii="Arial" w:hAnsi="Arial"/>
          <w:b w:val="0"/>
          <w:bCs/>
          <w:sz w:val="21"/>
          <w:lang w:val="es-ES_tradnl" w:bidi="es-ES_tradnl"/>
        </w:rPr>
        <w:t xml:space="preserve"> (+ 38</w:t>
      </w:r>
      <w:r w:rsidR="00BE6482" w:rsidRPr="000F3918">
        <w:rPr>
          <w:rFonts w:ascii="Arial" w:hAnsi="Arial"/>
          <w:b w:val="0"/>
          <w:bCs/>
          <w:sz w:val="21"/>
          <w:lang w:val="es-ES_tradnl" w:bidi="es-ES_tradnl"/>
        </w:rPr>
        <w:t>%)</w:t>
      </w:r>
      <w:r w:rsidR="00266A30">
        <w:rPr>
          <w:rFonts w:ascii="Arial" w:hAnsi="Arial"/>
          <w:b w:val="0"/>
          <w:bCs/>
          <w:sz w:val="21"/>
          <w:lang w:val="es-ES_tradnl" w:bidi="es-ES_tradnl"/>
        </w:rPr>
        <w:t xml:space="preserve"> repunta en relación con un año 2011 afectado por las catástrofes naturales.</w:t>
      </w:r>
    </w:p>
    <w:p w:rsidR="00B21DB8" w:rsidRPr="00B21DB8" w:rsidRDefault="008652EB" w:rsidP="00B21DB8">
      <w:pPr>
        <w:pStyle w:val="LadilloMichelinDossier"/>
        <w:numPr>
          <w:ilvl w:val="1"/>
          <w:numId w:val="5"/>
        </w:numPr>
        <w:spacing w:before="0" w:after="240"/>
        <w:jc w:val="both"/>
        <w:rPr>
          <w:rFonts w:ascii="Arial" w:hAnsi="Arial"/>
          <w:bCs/>
          <w:sz w:val="21"/>
          <w:u w:val="single"/>
          <w:lang w:val="es-ES_tradnl" w:bidi="es-ES_tradnl"/>
        </w:rPr>
      </w:pPr>
      <w:r w:rsidRPr="008652EB">
        <w:rPr>
          <w:rFonts w:ascii="Arial" w:hAnsi="Arial"/>
          <w:b w:val="0"/>
          <w:bCs/>
          <w:sz w:val="21"/>
          <w:lang w:val="es-ES_tradnl" w:bidi="es-ES_tradnl"/>
        </w:rPr>
        <w:t>En América del Sur, la demanda permanece estable, el dinamismo de la demanda en el segundo semestre (+ 7</w:t>
      </w:r>
      <w:r w:rsidRPr="008652EB">
        <w:rPr>
          <w:rFonts w:ascii="Arial" w:hAnsi="Arial"/>
          <w:bCs/>
          <w:sz w:val="21"/>
          <w:lang w:bidi="es-ES_tradnl"/>
        </w:rPr>
        <w:t>%) equilibra el retroceso del primer semestre (- 7%). El mercado brasileño progresa en un 3% sostenido por las medidas gubernamentales puestas en marcha en</w:t>
      </w:r>
      <w:r>
        <w:rPr>
          <w:rFonts w:ascii="Arial" w:hAnsi="Arial"/>
          <w:b w:val="0"/>
          <w:bCs/>
          <w:sz w:val="21"/>
          <w:lang w:val="es-ES_tradnl" w:bidi="es-ES_tradnl"/>
        </w:rPr>
        <w:t xml:space="preserve"> </w:t>
      </w:r>
      <w:r w:rsidRPr="008652EB">
        <w:rPr>
          <w:rFonts w:ascii="Arial" w:hAnsi="Arial"/>
          <w:b w:val="0"/>
          <w:bCs/>
          <w:sz w:val="21"/>
          <w:lang w:val="es-ES_tradnl" w:bidi="es-ES_tradnl"/>
        </w:rPr>
        <w:t>otoño.</w:t>
      </w:r>
    </w:p>
    <w:p w:rsidR="00B21DB8" w:rsidRPr="00B21DB8" w:rsidRDefault="00B21DB8" w:rsidP="00B21DB8">
      <w:pPr>
        <w:pStyle w:val="LadilloMichelinDossier"/>
        <w:spacing w:before="0" w:after="240"/>
        <w:jc w:val="both"/>
        <w:rPr>
          <w:rFonts w:ascii="Arial" w:hAnsi="Arial"/>
          <w:bCs/>
          <w:sz w:val="21"/>
          <w:u w:val="single"/>
          <w:lang w:val="es-ES_tradnl" w:bidi="es-ES_tradnl"/>
        </w:rPr>
      </w:pPr>
    </w:p>
    <w:p w:rsidR="00913057" w:rsidRPr="008652EB" w:rsidRDefault="00913057" w:rsidP="00B21DB8">
      <w:pPr>
        <w:pStyle w:val="LadilloMichelinDossier"/>
        <w:numPr>
          <w:ilvl w:val="0"/>
          <w:numId w:val="5"/>
        </w:numPr>
        <w:spacing w:before="0" w:after="240"/>
        <w:jc w:val="both"/>
        <w:rPr>
          <w:rFonts w:ascii="Arial" w:hAnsi="Arial"/>
          <w:bCs/>
          <w:sz w:val="21"/>
          <w:u w:val="single"/>
          <w:lang w:val="es-ES_tradnl" w:bidi="es-ES_tradnl"/>
        </w:rPr>
      </w:pPr>
      <w:r w:rsidRPr="008652EB">
        <w:rPr>
          <w:rFonts w:ascii="Arial" w:hAnsi="Arial"/>
          <w:bCs/>
          <w:sz w:val="21"/>
          <w:lang w:val="es-ES_tradnl" w:bidi="es-ES_tradnl"/>
        </w:rPr>
        <w:t>Reemplazo</w:t>
      </w:r>
    </w:p>
    <w:p w:rsidR="00412E56" w:rsidRDefault="00F971B2" w:rsidP="00913057">
      <w:pPr>
        <w:pStyle w:val="LadilloMichelinDossier"/>
        <w:numPr>
          <w:ilvl w:val="1"/>
          <w:numId w:val="5"/>
        </w:numPr>
        <w:jc w:val="both"/>
        <w:rPr>
          <w:rFonts w:ascii="Arial" w:hAnsi="Arial"/>
          <w:b w:val="0"/>
          <w:bCs/>
          <w:sz w:val="21"/>
          <w:lang w:val="es-ES_tradnl" w:bidi="es-ES_tradnl"/>
        </w:rPr>
      </w:pPr>
      <w:r w:rsidRPr="000F3918">
        <w:rPr>
          <w:rFonts w:ascii="Arial" w:hAnsi="Arial"/>
          <w:b w:val="0"/>
          <w:bCs/>
          <w:sz w:val="21"/>
          <w:lang w:val="es-ES_tradnl" w:bidi="es-ES_tradnl"/>
        </w:rPr>
        <w:t>En  Europ</w:t>
      </w:r>
      <w:r w:rsidR="00412E56">
        <w:rPr>
          <w:rFonts w:ascii="Arial" w:hAnsi="Arial"/>
          <w:b w:val="0"/>
          <w:bCs/>
          <w:sz w:val="21"/>
          <w:lang w:val="es-ES_tradnl" w:bidi="es-ES_tradnl"/>
        </w:rPr>
        <w:t>a,</w:t>
      </w:r>
      <w:r w:rsidRPr="000F3918">
        <w:rPr>
          <w:rFonts w:ascii="Arial" w:hAnsi="Arial"/>
          <w:b w:val="0"/>
          <w:bCs/>
          <w:sz w:val="21"/>
          <w:lang w:val="es-ES_tradnl" w:bidi="es-ES_tradnl"/>
        </w:rPr>
        <w:t xml:space="preserve"> </w:t>
      </w:r>
      <w:r w:rsidR="00412E56">
        <w:rPr>
          <w:rFonts w:ascii="Arial" w:hAnsi="Arial"/>
          <w:b w:val="0"/>
          <w:bCs/>
          <w:sz w:val="21"/>
          <w:lang w:val="es-ES_tradnl" w:bidi="es-ES_tradnl"/>
        </w:rPr>
        <w:t xml:space="preserve">en un contexto macroeconómico enormemente incierto, el mercado </w:t>
      </w:r>
      <w:r w:rsidR="00FD421E">
        <w:rPr>
          <w:rFonts w:ascii="Arial" w:hAnsi="Arial"/>
          <w:b w:val="0"/>
          <w:bCs/>
          <w:sz w:val="21"/>
          <w:lang w:val="es-ES_tradnl" w:bidi="es-ES_tradnl"/>
        </w:rPr>
        <w:t>baja</w:t>
      </w:r>
      <w:r w:rsidR="00412E56">
        <w:rPr>
          <w:rFonts w:ascii="Arial" w:hAnsi="Arial"/>
          <w:b w:val="0"/>
          <w:bCs/>
          <w:sz w:val="21"/>
          <w:lang w:val="es-ES_tradnl" w:bidi="es-ES_tradnl"/>
        </w:rPr>
        <w:t xml:space="preserve"> un 10% en relación con 2</w:t>
      </w:r>
      <w:r w:rsidR="00FD421E">
        <w:rPr>
          <w:rFonts w:ascii="Arial" w:hAnsi="Arial"/>
          <w:b w:val="0"/>
          <w:bCs/>
          <w:sz w:val="21"/>
          <w:lang w:val="es-ES_tradnl" w:bidi="es-ES_tradnl"/>
        </w:rPr>
        <w:t>011. Europa occidental sufre así una caída</w:t>
      </w:r>
      <w:r w:rsidR="00412E56">
        <w:rPr>
          <w:rFonts w:ascii="Arial" w:hAnsi="Arial"/>
          <w:b w:val="0"/>
          <w:bCs/>
          <w:sz w:val="21"/>
          <w:lang w:val="es-ES_tradnl" w:bidi="es-ES_tradnl"/>
        </w:rPr>
        <w:t xml:space="preserve"> récord</w:t>
      </w:r>
      <w:r w:rsidR="00FD421E">
        <w:rPr>
          <w:rFonts w:ascii="Arial" w:hAnsi="Arial"/>
          <w:b w:val="0"/>
          <w:bCs/>
          <w:sz w:val="21"/>
          <w:lang w:val="es-ES_tradnl" w:bidi="es-ES_tradnl"/>
        </w:rPr>
        <w:t>, superior al descenso de 2008, acentuad</w:t>
      </w:r>
      <w:r w:rsidR="00042E94">
        <w:rPr>
          <w:rFonts w:ascii="Arial" w:hAnsi="Arial"/>
          <w:b w:val="0"/>
          <w:bCs/>
          <w:sz w:val="21"/>
          <w:lang w:val="es-ES_tradnl" w:bidi="es-ES_tradnl"/>
        </w:rPr>
        <w:t>a</w:t>
      </w:r>
      <w:r w:rsidR="00FD421E">
        <w:rPr>
          <w:rFonts w:ascii="Arial" w:hAnsi="Arial"/>
          <w:b w:val="0"/>
          <w:bCs/>
          <w:sz w:val="21"/>
          <w:lang w:val="es-ES_tradnl" w:bidi="es-ES_tradnl"/>
        </w:rPr>
        <w:t xml:space="preserve"> por </w:t>
      </w:r>
      <w:r w:rsidR="00E701D7">
        <w:rPr>
          <w:rFonts w:ascii="Arial" w:hAnsi="Arial"/>
          <w:b w:val="0"/>
          <w:bCs/>
          <w:sz w:val="21"/>
          <w:lang w:val="es-ES_tradnl" w:bidi="es-ES_tradnl"/>
        </w:rPr>
        <w:t>la reducción de stock</w:t>
      </w:r>
      <w:r w:rsidR="00FD421E">
        <w:rPr>
          <w:rFonts w:ascii="Arial" w:hAnsi="Arial"/>
          <w:b w:val="0"/>
          <w:bCs/>
          <w:sz w:val="21"/>
          <w:lang w:val="es-ES_tradnl" w:bidi="es-ES_tradnl"/>
        </w:rPr>
        <w:t xml:space="preserve"> de la distribución. </w:t>
      </w:r>
      <w:r w:rsidR="002C394A">
        <w:rPr>
          <w:rFonts w:ascii="Arial" w:hAnsi="Arial"/>
          <w:b w:val="0"/>
          <w:bCs/>
          <w:sz w:val="21"/>
          <w:lang w:val="es-ES_tradnl" w:bidi="es-ES_tradnl"/>
        </w:rPr>
        <w:t xml:space="preserve">El mercado de invierno marca una caída del 16%, como se esperaba, y el segmento de neumáticos de altas prestaciones (17” y superiores) se ralentiza de manera menos acentuada que la media del mercado europeo, </w:t>
      </w:r>
      <w:r w:rsidR="004D1297">
        <w:rPr>
          <w:rFonts w:ascii="Arial" w:hAnsi="Arial"/>
          <w:b w:val="0"/>
          <w:bCs/>
          <w:sz w:val="21"/>
          <w:lang w:val="es-ES_tradnl" w:bidi="es-ES_tradnl"/>
        </w:rPr>
        <w:t xml:space="preserve">lo que </w:t>
      </w:r>
      <w:r w:rsidR="00A216B6">
        <w:rPr>
          <w:rFonts w:ascii="Arial" w:hAnsi="Arial"/>
          <w:b w:val="0"/>
          <w:bCs/>
          <w:sz w:val="21"/>
          <w:lang w:val="es-ES_tradnl" w:bidi="es-ES_tradnl"/>
        </w:rPr>
        <w:t>refleja</w:t>
      </w:r>
      <w:r w:rsidR="002C394A">
        <w:rPr>
          <w:rFonts w:ascii="Arial" w:hAnsi="Arial"/>
          <w:b w:val="0"/>
          <w:bCs/>
          <w:sz w:val="21"/>
          <w:lang w:val="es-ES_tradnl" w:bidi="es-ES_tradnl"/>
        </w:rPr>
        <w:t xml:space="preserve"> </w:t>
      </w:r>
      <w:r w:rsidR="00857BD6">
        <w:rPr>
          <w:rFonts w:ascii="Arial" w:hAnsi="Arial"/>
          <w:b w:val="0"/>
          <w:bCs/>
          <w:sz w:val="21"/>
          <w:lang w:val="es-ES_tradnl" w:bidi="es-ES_tradnl"/>
        </w:rPr>
        <w:t xml:space="preserve">la </w:t>
      </w:r>
      <w:r w:rsidR="00E701D7">
        <w:rPr>
          <w:rFonts w:ascii="Arial" w:hAnsi="Arial"/>
          <w:b w:val="0"/>
          <w:bCs/>
          <w:sz w:val="21"/>
          <w:lang w:val="es-ES_tradnl" w:bidi="es-ES_tradnl"/>
        </w:rPr>
        <w:t xml:space="preserve">continuidad </w:t>
      </w:r>
      <w:r w:rsidR="004D1297">
        <w:rPr>
          <w:rFonts w:ascii="Arial" w:hAnsi="Arial"/>
          <w:b w:val="0"/>
          <w:bCs/>
          <w:sz w:val="21"/>
          <w:lang w:val="es-ES_tradnl" w:bidi="es-ES_tradnl"/>
        </w:rPr>
        <w:t>de la</w:t>
      </w:r>
      <w:r w:rsidR="00857BD6">
        <w:rPr>
          <w:rFonts w:ascii="Arial" w:hAnsi="Arial"/>
          <w:b w:val="0"/>
          <w:bCs/>
          <w:sz w:val="21"/>
          <w:lang w:val="es-ES_tradnl" w:bidi="es-ES_tradnl"/>
        </w:rPr>
        <w:t xml:space="preserve"> </w:t>
      </w:r>
      <w:r w:rsidR="00C424F2">
        <w:rPr>
          <w:rFonts w:ascii="Arial" w:hAnsi="Arial"/>
          <w:b w:val="0"/>
          <w:bCs/>
          <w:sz w:val="21"/>
          <w:lang w:val="es-ES_tradnl" w:bidi="es-ES_tradnl"/>
        </w:rPr>
        <w:t>mejora del mix.</w:t>
      </w:r>
    </w:p>
    <w:p w:rsidR="006B621A" w:rsidRPr="006B621A" w:rsidRDefault="00586C35" w:rsidP="00B21DB8">
      <w:pPr>
        <w:pStyle w:val="LadilloMichelinDossier"/>
        <w:numPr>
          <w:ilvl w:val="1"/>
          <w:numId w:val="5"/>
        </w:numPr>
        <w:spacing w:before="0"/>
        <w:jc w:val="both"/>
        <w:rPr>
          <w:rFonts w:ascii="Arial" w:hAnsi="Arial"/>
          <w:bCs/>
          <w:sz w:val="21"/>
          <w:lang w:val="es-ES_tradnl" w:bidi="es-ES_tradnl"/>
        </w:rPr>
      </w:pPr>
      <w:r w:rsidRPr="000F3918">
        <w:rPr>
          <w:rFonts w:ascii="Arial" w:hAnsi="Arial"/>
          <w:b w:val="0"/>
          <w:bCs/>
          <w:sz w:val="21"/>
          <w:lang w:val="es-ES_tradnl" w:bidi="es-ES_tradnl"/>
        </w:rPr>
        <w:t xml:space="preserve">En </w:t>
      </w:r>
      <w:r w:rsidR="00A216B6">
        <w:rPr>
          <w:rFonts w:ascii="Arial" w:hAnsi="Arial"/>
          <w:b w:val="0"/>
          <w:bCs/>
          <w:sz w:val="21"/>
          <w:lang w:val="es-ES_tradnl" w:bidi="es-ES_tradnl"/>
        </w:rPr>
        <w:t>América del Norte</w:t>
      </w:r>
      <w:r w:rsidRPr="000F3918">
        <w:rPr>
          <w:rFonts w:ascii="Arial" w:hAnsi="Arial"/>
          <w:b w:val="0"/>
          <w:bCs/>
          <w:sz w:val="21"/>
          <w:lang w:val="es-ES_tradnl" w:bidi="es-ES_tradnl"/>
        </w:rPr>
        <w:t>, la demand</w:t>
      </w:r>
      <w:r w:rsidR="00A216B6">
        <w:rPr>
          <w:rFonts w:ascii="Arial" w:hAnsi="Arial"/>
          <w:b w:val="0"/>
          <w:bCs/>
          <w:sz w:val="21"/>
          <w:lang w:val="es-ES_tradnl" w:bidi="es-ES_tradnl"/>
        </w:rPr>
        <w:t>a</w:t>
      </w:r>
      <w:r w:rsidRPr="000F3918">
        <w:rPr>
          <w:rFonts w:ascii="Arial" w:hAnsi="Arial"/>
          <w:b w:val="0"/>
          <w:bCs/>
          <w:sz w:val="21"/>
          <w:lang w:val="es-ES_tradnl" w:bidi="es-ES_tradnl"/>
        </w:rPr>
        <w:t xml:space="preserve">, </w:t>
      </w:r>
      <w:r w:rsidR="00A216B6">
        <w:rPr>
          <w:rFonts w:ascii="Arial" w:hAnsi="Arial"/>
          <w:b w:val="0"/>
          <w:bCs/>
          <w:sz w:val="21"/>
          <w:lang w:val="es-ES_tradnl" w:bidi="es-ES_tradnl"/>
        </w:rPr>
        <w:t>con caídas del</w:t>
      </w:r>
      <w:r w:rsidRPr="000F3918">
        <w:rPr>
          <w:rFonts w:ascii="Arial" w:hAnsi="Arial"/>
          <w:b w:val="0"/>
          <w:bCs/>
          <w:sz w:val="21"/>
          <w:lang w:val="es-ES_tradnl" w:bidi="es-ES_tradnl"/>
        </w:rPr>
        <w:t xml:space="preserve"> 2 %, </w:t>
      </w:r>
      <w:r w:rsidR="006B621A">
        <w:rPr>
          <w:rFonts w:ascii="Arial" w:hAnsi="Arial"/>
          <w:b w:val="0"/>
          <w:bCs/>
          <w:sz w:val="21"/>
          <w:lang w:val="es-ES_tradnl" w:bidi="es-ES_tradnl"/>
        </w:rPr>
        <w:t xml:space="preserve">sufre la </w:t>
      </w:r>
      <w:r w:rsidR="00155AA1">
        <w:rPr>
          <w:rFonts w:ascii="Arial" w:hAnsi="Arial"/>
          <w:b w:val="0"/>
          <w:bCs/>
          <w:sz w:val="21"/>
          <w:lang w:val="es-ES_tradnl" w:bidi="es-ES_tradnl"/>
        </w:rPr>
        <w:t>pérdida</w:t>
      </w:r>
      <w:r w:rsidR="006B621A">
        <w:rPr>
          <w:rFonts w:ascii="Arial" w:hAnsi="Arial"/>
          <w:b w:val="0"/>
          <w:bCs/>
          <w:sz w:val="21"/>
          <w:lang w:val="es-ES_tradnl" w:bidi="es-ES_tradnl"/>
        </w:rPr>
        <w:t xml:space="preserve"> de confianza de l</w:t>
      </w:r>
      <w:r w:rsidR="00DE22B3">
        <w:rPr>
          <w:rFonts w:ascii="Arial" w:hAnsi="Arial"/>
          <w:b w:val="0"/>
          <w:bCs/>
          <w:sz w:val="21"/>
          <w:lang w:val="es-ES_tradnl" w:bidi="es-ES_tradnl"/>
        </w:rPr>
        <w:t xml:space="preserve">os consumidores, </w:t>
      </w:r>
      <w:r w:rsidR="00C459BC">
        <w:rPr>
          <w:rFonts w:ascii="Arial" w:hAnsi="Arial"/>
          <w:b w:val="0"/>
          <w:bCs/>
          <w:sz w:val="21"/>
          <w:lang w:val="es-ES_tradnl" w:bidi="es-ES_tradnl"/>
        </w:rPr>
        <w:t>a</w:t>
      </w:r>
      <w:r w:rsidR="00C459BC" w:rsidRPr="00C459BC">
        <w:rPr>
          <w:rFonts w:ascii="Arial" w:hAnsi="Arial"/>
          <w:b w:val="0"/>
          <w:bCs/>
          <w:sz w:val="21"/>
          <w:lang w:val="es-ES_tradnl" w:bidi="es-ES_tradnl"/>
        </w:rPr>
        <w:t xml:space="preserve"> pesar de la </w:t>
      </w:r>
      <w:r w:rsidR="00C459BC">
        <w:rPr>
          <w:rFonts w:ascii="Arial" w:hAnsi="Arial"/>
          <w:b w:val="0"/>
          <w:bCs/>
          <w:sz w:val="21"/>
          <w:lang w:val="es-ES_tradnl" w:bidi="es-ES_tradnl"/>
        </w:rPr>
        <w:t xml:space="preserve">relativa </w:t>
      </w:r>
      <w:r w:rsidR="00C459BC" w:rsidRPr="00C459BC">
        <w:rPr>
          <w:rFonts w:ascii="Arial" w:hAnsi="Arial"/>
          <w:b w:val="0"/>
          <w:bCs/>
          <w:sz w:val="21"/>
          <w:lang w:val="es-ES_tradnl" w:bidi="es-ES_tradnl"/>
        </w:rPr>
        <w:t>estabilidad de las distancias medias recorrida</w:t>
      </w:r>
      <w:r w:rsidR="00C459BC">
        <w:rPr>
          <w:rFonts w:ascii="Arial" w:hAnsi="Arial"/>
          <w:b w:val="0"/>
          <w:bCs/>
          <w:sz w:val="21"/>
          <w:lang w:val="es-ES_tradnl" w:bidi="es-ES_tradnl"/>
        </w:rPr>
        <w:t xml:space="preserve">s y </w:t>
      </w:r>
      <w:r w:rsidR="00E701D7">
        <w:rPr>
          <w:rFonts w:ascii="Arial" w:hAnsi="Arial"/>
          <w:b w:val="0"/>
          <w:bCs/>
          <w:sz w:val="21"/>
          <w:lang w:val="es-ES_tradnl" w:bidi="es-ES_tradnl"/>
        </w:rPr>
        <w:t>del</w:t>
      </w:r>
      <w:r w:rsidR="00A61AD3">
        <w:rPr>
          <w:rFonts w:ascii="Arial" w:hAnsi="Arial"/>
          <w:b w:val="0"/>
          <w:bCs/>
          <w:sz w:val="21"/>
          <w:lang w:val="es-ES_tradnl" w:bidi="es-ES_tradnl"/>
        </w:rPr>
        <w:t xml:space="preserve"> coste</w:t>
      </w:r>
      <w:r w:rsidR="00C459BC">
        <w:rPr>
          <w:rFonts w:ascii="Arial" w:hAnsi="Arial"/>
          <w:b w:val="0"/>
          <w:bCs/>
          <w:sz w:val="21"/>
          <w:lang w:val="es-ES_tradnl" w:bidi="es-ES_tradnl"/>
        </w:rPr>
        <w:t xml:space="preserve"> de los carburantes</w:t>
      </w:r>
      <w:r w:rsidR="00C459BC" w:rsidRPr="00C459BC">
        <w:rPr>
          <w:rFonts w:ascii="Arial" w:hAnsi="Arial"/>
          <w:b w:val="0"/>
          <w:bCs/>
          <w:sz w:val="21"/>
          <w:lang w:val="es-ES_tradnl" w:bidi="es-ES_tradnl"/>
        </w:rPr>
        <w:t>.</w:t>
      </w:r>
      <w:r w:rsidR="00C459BC">
        <w:rPr>
          <w:rFonts w:ascii="Arial" w:hAnsi="Arial"/>
          <w:b w:val="0"/>
          <w:bCs/>
          <w:sz w:val="21"/>
          <w:lang w:val="es-ES_tradnl" w:bidi="es-ES_tradnl"/>
        </w:rPr>
        <w:t xml:space="preserve"> Tras una </w:t>
      </w:r>
      <w:r w:rsidR="002C5320">
        <w:rPr>
          <w:rFonts w:ascii="Arial" w:hAnsi="Arial"/>
          <w:b w:val="0"/>
          <w:bCs/>
          <w:sz w:val="21"/>
          <w:lang w:val="es-ES_tradnl" w:bidi="es-ES_tradnl"/>
        </w:rPr>
        <w:t xml:space="preserve">recuperación en 2010, el mercado norteamericano </w:t>
      </w:r>
      <w:r w:rsidR="009C7313">
        <w:rPr>
          <w:rFonts w:ascii="Arial" w:hAnsi="Arial"/>
          <w:b w:val="0"/>
          <w:bCs/>
          <w:sz w:val="21"/>
          <w:lang w:val="es-ES_tradnl" w:bidi="es-ES_tradnl"/>
        </w:rPr>
        <w:t>vuelve</w:t>
      </w:r>
      <w:r w:rsidR="002C5320">
        <w:rPr>
          <w:rFonts w:ascii="Arial" w:hAnsi="Arial"/>
          <w:b w:val="0"/>
          <w:bCs/>
          <w:sz w:val="21"/>
          <w:lang w:val="es-ES_tradnl" w:bidi="es-ES_tradnl"/>
        </w:rPr>
        <w:t xml:space="preserve"> a su nivel de 2009, sensiblemente inferior al número de neumáticos vendidos en 2007. El mercado de Estados Unidos, marcado por un </w:t>
      </w:r>
      <w:r w:rsidR="00E701D7">
        <w:rPr>
          <w:rFonts w:ascii="Arial" w:hAnsi="Arial"/>
          <w:b w:val="0"/>
          <w:bCs/>
          <w:sz w:val="21"/>
          <w:lang w:val="es-ES_tradnl" w:bidi="es-ES_tradnl"/>
        </w:rPr>
        <w:t xml:space="preserve">importante </w:t>
      </w:r>
      <w:r w:rsidR="002C5320">
        <w:rPr>
          <w:rFonts w:ascii="Arial" w:hAnsi="Arial"/>
          <w:b w:val="0"/>
          <w:bCs/>
          <w:sz w:val="21"/>
          <w:lang w:val="es-ES_tradnl" w:bidi="es-ES_tradnl"/>
        </w:rPr>
        <w:t>aumento de las importacio</w:t>
      </w:r>
      <w:r w:rsidR="008348AE">
        <w:rPr>
          <w:rFonts w:ascii="Arial" w:hAnsi="Arial"/>
          <w:b w:val="0"/>
          <w:bCs/>
          <w:sz w:val="21"/>
          <w:lang w:val="es-ES_tradnl" w:bidi="es-ES_tradnl"/>
        </w:rPr>
        <w:t>nes chinas tras el levantamient</w:t>
      </w:r>
      <w:r w:rsidR="002C5320">
        <w:rPr>
          <w:rFonts w:ascii="Arial" w:hAnsi="Arial"/>
          <w:b w:val="0"/>
          <w:bCs/>
          <w:sz w:val="21"/>
          <w:lang w:val="es-ES_tradnl" w:bidi="es-ES_tradnl"/>
        </w:rPr>
        <w:t xml:space="preserve">o de </w:t>
      </w:r>
      <w:r w:rsidR="00BF5F2C">
        <w:rPr>
          <w:rFonts w:ascii="Arial" w:hAnsi="Arial"/>
          <w:b w:val="0"/>
          <w:bCs/>
          <w:sz w:val="21"/>
          <w:lang w:val="es-ES_tradnl" w:bidi="es-ES_tradnl"/>
        </w:rPr>
        <w:t>los aranceles</w:t>
      </w:r>
      <w:r w:rsidR="002C5320">
        <w:rPr>
          <w:rFonts w:ascii="Arial" w:hAnsi="Arial"/>
          <w:b w:val="0"/>
          <w:bCs/>
          <w:sz w:val="21"/>
          <w:lang w:val="es-ES_tradnl" w:bidi="es-ES_tradnl"/>
        </w:rPr>
        <w:t xml:space="preserve"> aduaner</w:t>
      </w:r>
      <w:r w:rsidR="00BF5F2C">
        <w:rPr>
          <w:rFonts w:ascii="Arial" w:hAnsi="Arial"/>
          <w:b w:val="0"/>
          <w:bCs/>
          <w:sz w:val="21"/>
          <w:lang w:val="es-ES_tradnl" w:bidi="es-ES_tradnl"/>
        </w:rPr>
        <w:t>o</w:t>
      </w:r>
      <w:r w:rsidR="002C5320">
        <w:rPr>
          <w:rFonts w:ascii="Arial" w:hAnsi="Arial"/>
          <w:b w:val="0"/>
          <w:bCs/>
          <w:sz w:val="21"/>
          <w:lang w:val="es-ES_tradnl" w:bidi="es-ES_tradnl"/>
        </w:rPr>
        <w:t>s, cae un 3%</w:t>
      </w:r>
    </w:p>
    <w:p w:rsidR="00A83FD5" w:rsidRDefault="0075308E" w:rsidP="00B21DB8">
      <w:pPr>
        <w:pStyle w:val="LadilloMichelinDossier"/>
        <w:numPr>
          <w:ilvl w:val="1"/>
          <w:numId w:val="5"/>
        </w:numPr>
        <w:spacing w:before="0"/>
        <w:jc w:val="both"/>
        <w:rPr>
          <w:rFonts w:ascii="Arial" w:hAnsi="Arial"/>
          <w:b w:val="0"/>
          <w:bCs/>
          <w:sz w:val="21"/>
          <w:lang w:val="es-ES_tradnl" w:bidi="es-ES_tradnl"/>
        </w:rPr>
      </w:pPr>
      <w:r w:rsidRPr="000F3918">
        <w:rPr>
          <w:rFonts w:ascii="Arial" w:hAnsi="Arial"/>
          <w:b w:val="0"/>
          <w:bCs/>
          <w:sz w:val="21"/>
          <w:lang w:val="es-ES_tradnl" w:bidi="es-ES_tradnl"/>
        </w:rPr>
        <w:t>En Asi</w:t>
      </w:r>
      <w:r>
        <w:rPr>
          <w:rFonts w:ascii="Arial" w:hAnsi="Arial"/>
          <w:b w:val="0"/>
          <w:bCs/>
          <w:sz w:val="21"/>
          <w:lang w:val="es-ES_tradnl" w:bidi="es-ES_tradnl"/>
        </w:rPr>
        <w:t>a</w:t>
      </w:r>
      <w:r w:rsidRPr="000F3918">
        <w:rPr>
          <w:rFonts w:ascii="Arial" w:hAnsi="Arial"/>
          <w:b w:val="0"/>
          <w:bCs/>
          <w:sz w:val="21"/>
          <w:lang w:val="es-ES_tradnl" w:bidi="es-ES_tradnl"/>
        </w:rPr>
        <w:t xml:space="preserve"> (</w:t>
      </w:r>
      <w:r>
        <w:rPr>
          <w:rFonts w:ascii="Arial" w:hAnsi="Arial"/>
          <w:b w:val="0"/>
          <w:bCs/>
          <w:sz w:val="21"/>
          <w:lang w:val="es-ES_tradnl" w:bidi="es-ES_tradnl"/>
        </w:rPr>
        <w:t>excluyendo India</w:t>
      </w:r>
      <w:r w:rsidRPr="000F3918">
        <w:rPr>
          <w:rFonts w:ascii="Arial" w:hAnsi="Arial"/>
          <w:b w:val="0"/>
          <w:bCs/>
          <w:sz w:val="21"/>
          <w:lang w:val="es-ES_tradnl" w:bidi="es-ES_tradnl"/>
        </w:rPr>
        <w:t xml:space="preserve">), </w:t>
      </w:r>
      <w:r>
        <w:rPr>
          <w:rFonts w:ascii="Arial" w:hAnsi="Arial"/>
          <w:b w:val="0"/>
          <w:bCs/>
          <w:sz w:val="21"/>
          <w:lang w:val="es-ES_tradnl" w:bidi="es-ES_tradnl"/>
        </w:rPr>
        <w:t>los mercados aumentan un 2% globa</w:t>
      </w:r>
      <w:r w:rsidR="00A83FD5">
        <w:rPr>
          <w:rFonts w:ascii="Arial" w:hAnsi="Arial"/>
          <w:b w:val="0"/>
          <w:bCs/>
          <w:sz w:val="21"/>
          <w:lang w:val="es-ES_tradnl" w:bidi="es-ES_tradnl"/>
        </w:rPr>
        <w:t>l</w:t>
      </w:r>
      <w:r>
        <w:rPr>
          <w:rFonts w:ascii="Arial" w:hAnsi="Arial"/>
          <w:b w:val="0"/>
          <w:bCs/>
          <w:sz w:val="21"/>
          <w:lang w:val="es-ES_tradnl" w:bidi="es-ES_tradnl"/>
        </w:rPr>
        <w:t xml:space="preserve">mente. </w:t>
      </w:r>
      <w:r w:rsidR="00A83FD5">
        <w:rPr>
          <w:rFonts w:ascii="Arial" w:hAnsi="Arial"/>
          <w:b w:val="0"/>
          <w:bCs/>
          <w:sz w:val="21"/>
          <w:lang w:val="es-ES_tradnl" w:bidi="es-ES_tradnl"/>
        </w:rPr>
        <w:t>L</w:t>
      </w:r>
      <w:r>
        <w:rPr>
          <w:rFonts w:ascii="Arial" w:hAnsi="Arial"/>
          <w:b w:val="0"/>
          <w:bCs/>
          <w:sz w:val="21"/>
          <w:lang w:val="es-ES_tradnl" w:bidi="es-ES_tradnl"/>
        </w:rPr>
        <w:t>a demanda china aumenta un 4% a pesar de</w:t>
      </w:r>
      <w:r w:rsidR="00A83FD5">
        <w:rPr>
          <w:rFonts w:ascii="Arial" w:hAnsi="Arial"/>
          <w:b w:val="0"/>
          <w:bCs/>
          <w:sz w:val="21"/>
          <w:lang w:val="es-ES_tradnl" w:bidi="es-ES_tradnl"/>
        </w:rPr>
        <w:t xml:space="preserve"> la caída en el ritmo del crecimiento económico. El mercado japonés</w:t>
      </w:r>
      <w:r w:rsidR="004F4EFE">
        <w:rPr>
          <w:rFonts w:ascii="Arial" w:hAnsi="Arial"/>
          <w:b w:val="0"/>
          <w:bCs/>
          <w:sz w:val="21"/>
          <w:lang w:val="es-ES_tradnl" w:bidi="es-ES_tradnl"/>
        </w:rPr>
        <w:t xml:space="preserve"> (- 1%), lastrado en 2011 por </w:t>
      </w:r>
      <w:r w:rsidR="00763644">
        <w:rPr>
          <w:rFonts w:ascii="Arial" w:hAnsi="Arial"/>
          <w:b w:val="0"/>
          <w:bCs/>
          <w:sz w:val="21"/>
          <w:lang w:val="es-ES_tradnl" w:bidi="es-ES_tradnl"/>
        </w:rPr>
        <w:t xml:space="preserve">las </w:t>
      </w:r>
      <w:r w:rsidR="004F4EFE">
        <w:rPr>
          <w:rFonts w:ascii="Arial" w:hAnsi="Arial"/>
          <w:b w:val="0"/>
          <w:bCs/>
          <w:sz w:val="21"/>
          <w:lang w:val="es-ES_tradnl" w:bidi="es-ES_tradnl"/>
        </w:rPr>
        <w:t xml:space="preserve">catástrofes naturales, recupera un volumen </w:t>
      </w:r>
      <w:r w:rsidR="00E701D7">
        <w:rPr>
          <w:rFonts w:ascii="Arial" w:hAnsi="Arial"/>
          <w:b w:val="0"/>
          <w:bCs/>
          <w:sz w:val="21"/>
          <w:lang w:val="es-ES_tradnl" w:bidi="es-ES_tradnl"/>
        </w:rPr>
        <w:t>habitual</w:t>
      </w:r>
      <w:r w:rsidR="003156D6">
        <w:rPr>
          <w:rFonts w:ascii="Arial" w:hAnsi="Arial"/>
          <w:b w:val="0"/>
          <w:bCs/>
          <w:sz w:val="21"/>
          <w:lang w:val="es-ES_tradnl" w:bidi="es-ES_tradnl"/>
        </w:rPr>
        <w:t>, con las ventas de neumáticos de invierno estables.</w:t>
      </w:r>
      <w:r w:rsidR="00763644">
        <w:rPr>
          <w:rFonts w:ascii="Arial" w:hAnsi="Arial"/>
          <w:b w:val="0"/>
          <w:bCs/>
          <w:sz w:val="21"/>
          <w:lang w:val="es-ES_tradnl" w:bidi="es-ES_tradnl"/>
        </w:rPr>
        <w:t xml:space="preserve"> En Corea, la demanda baja un 6% en una economía orientada hacia la exportación y penalizada por las incertidumbres económicas mundiales.</w:t>
      </w:r>
    </w:p>
    <w:p w:rsidR="00913057" w:rsidRPr="000F3918" w:rsidRDefault="008A7E2A" w:rsidP="00B21DB8">
      <w:pPr>
        <w:pStyle w:val="LadilloMichelinDossier"/>
        <w:numPr>
          <w:ilvl w:val="1"/>
          <w:numId w:val="5"/>
        </w:numPr>
        <w:spacing w:before="0"/>
        <w:jc w:val="both"/>
        <w:rPr>
          <w:rFonts w:ascii="Arial" w:hAnsi="Arial"/>
          <w:b w:val="0"/>
          <w:bCs/>
          <w:sz w:val="21"/>
          <w:lang w:val="es-ES_tradnl" w:bidi="es-ES_tradnl"/>
        </w:rPr>
      </w:pPr>
      <w:r w:rsidRPr="000F3918">
        <w:rPr>
          <w:rFonts w:ascii="Arial" w:hAnsi="Arial"/>
          <w:b w:val="0"/>
          <w:bCs/>
          <w:sz w:val="21"/>
          <w:lang w:val="es-ES_tradnl" w:bidi="es-ES_tradnl"/>
        </w:rPr>
        <w:t>En Amér</w:t>
      </w:r>
      <w:r w:rsidR="00763644">
        <w:rPr>
          <w:rFonts w:ascii="Arial" w:hAnsi="Arial"/>
          <w:b w:val="0"/>
          <w:bCs/>
          <w:sz w:val="21"/>
          <w:lang w:val="es-ES_tradnl" w:bidi="es-ES_tradnl"/>
        </w:rPr>
        <w:t>ica</w:t>
      </w:r>
      <w:r w:rsidRPr="000F3918">
        <w:rPr>
          <w:rFonts w:ascii="Arial" w:hAnsi="Arial"/>
          <w:b w:val="0"/>
          <w:bCs/>
          <w:sz w:val="21"/>
          <w:lang w:val="es-ES_tradnl" w:bidi="es-ES_tradnl"/>
        </w:rPr>
        <w:t xml:space="preserve"> </w:t>
      </w:r>
      <w:r w:rsidR="00763644">
        <w:rPr>
          <w:rFonts w:ascii="Arial" w:hAnsi="Arial"/>
          <w:b w:val="0"/>
          <w:bCs/>
          <w:sz w:val="21"/>
          <w:lang w:val="es-ES_tradnl" w:bidi="es-ES_tradnl"/>
        </w:rPr>
        <w:t xml:space="preserve">del Sur, el mercado está en </w:t>
      </w:r>
      <w:r w:rsidR="00E701D7">
        <w:rPr>
          <w:rFonts w:ascii="Arial" w:hAnsi="Arial"/>
          <w:b w:val="0"/>
          <w:bCs/>
          <w:sz w:val="21"/>
          <w:lang w:val="es-ES_tradnl" w:bidi="es-ES_tradnl"/>
        </w:rPr>
        <w:t xml:space="preserve">ligera </w:t>
      </w:r>
      <w:r w:rsidR="00763644">
        <w:rPr>
          <w:rFonts w:ascii="Arial" w:hAnsi="Arial"/>
          <w:b w:val="0"/>
          <w:bCs/>
          <w:sz w:val="21"/>
          <w:lang w:val="es-ES_tradnl" w:bidi="es-ES_tradnl"/>
        </w:rPr>
        <w:t>alza (+ 2</w:t>
      </w:r>
      <w:r w:rsidRPr="000F3918">
        <w:rPr>
          <w:rFonts w:ascii="Arial" w:hAnsi="Arial"/>
          <w:b w:val="0"/>
          <w:bCs/>
          <w:sz w:val="21"/>
          <w:lang w:val="es-ES_tradnl" w:bidi="es-ES_tradnl"/>
        </w:rPr>
        <w:t xml:space="preserve">%), </w:t>
      </w:r>
      <w:r w:rsidR="00763644">
        <w:rPr>
          <w:rFonts w:ascii="Arial" w:hAnsi="Arial"/>
          <w:b w:val="0"/>
          <w:bCs/>
          <w:sz w:val="21"/>
          <w:lang w:val="es-ES_tradnl" w:bidi="es-ES_tradnl"/>
        </w:rPr>
        <w:t>con fuertes disparidades  por países. En Brasil, aument</w:t>
      </w:r>
      <w:r w:rsidR="000521FB">
        <w:rPr>
          <w:rFonts w:ascii="Arial" w:hAnsi="Arial"/>
          <w:b w:val="0"/>
          <w:bCs/>
          <w:sz w:val="21"/>
          <w:lang w:val="es-ES_tradnl" w:bidi="es-ES_tradnl"/>
        </w:rPr>
        <w:t>a</w:t>
      </w:r>
      <w:r w:rsidR="00763644">
        <w:rPr>
          <w:rFonts w:ascii="Arial" w:hAnsi="Arial"/>
          <w:b w:val="0"/>
          <w:bCs/>
          <w:sz w:val="21"/>
          <w:lang w:val="es-ES_tradnl" w:bidi="es-ES_tradnl"/>
        </w:rPr>
        <w:t xml:space="preserve"> </w:t>
      </w:r>
      <w:r w:rsidR="000521FB">
        <w:rPr>
          <w:rFonts w:ascii="Arial" w:hAnsi="Arial"/>
          <w:b w:val="0"/>
          <w:bCs/>
          <w:sz w:val="21"/>
          <w:lang w:val="es-ES_tradnl" w:bidi="es-ES_tradnl"/>
        </w:rPr>
        <w:t>un</w:t>
      </w:r>
      <w:r w:rsidR="00763644">
        <w:rPr>
          <w:rFonts w:ascii="Arial" w:hAnsi="Arial"/>
          <w:b w:val="0"/>
          <w:bCs/>
          <w:sz w:val="21"/>
          <w:lang w:val="es-ES_tradnl" w:bidi="es-ES_tradnl"/>
        </w:rPr>
        <w:t xml:space="preserve"> 3%</w:t>
      </w:r>
      <w:r w:rsidR="00F07E43" w:rsidRPr="00F07E43">
        <w:rPr>
          <w:rFonts w:ascii="Arial" w:hAnsi="Arial"/>
          <w:b w:val="0"/>
          <w:bCs/>
          <w:sz w:val="21"/>
          <w:lang w:val="es-ES_tradnl" w:bidi="es-ES_tradnl"/>
        </w:rPr>
        <w:t xml:space="preserve"> </w:t>
      </w:r>
      <w:r w:rsidR="00F07E43">
        <w:rPr>
          <w:rFonts w:ascii="Arial" w:hAnsi="Arial"/>
          <w:b w:val="0"/>
          <w:bCs/>
          <w:sz w:val="21"/>
          <w:lang w:val="es-ES_tradnl" w:bidi="es-ES_tradnl"/>
        </w:rPr>
        <w:t>hasta niveles de 2011</w:t>
      </w:r>
      <w:r w:rsidR="00763644">
        <w:rPr>
          <w:rFonts w:ascii="Arial" w:hAnsi="Arial"/>
          <w:b w:val="0"/>
          <w:bCs/>
          <w:sz w:val="21"/>
          <w:lang w:val="es-ES_tradnl" w:bidi="es-ES_tradnl"/>
        </w:rPr>
        <w:t>, gracias a</w:t>
      </w:r>
      <w:r w:rsidR="000748A3">
        <w:rPr>
          <w:rFonts w:ascii="Arial" w:hAnsi="Arial"/>
          <w:b w:val="0"/>
          <w:bCs/>
          <w:sz w:val="21"/>
          <w:lang w:val="es-ES_tradnl" w:bidi="es-ES_tradnl"/>
        </w:rPr>
        <w:t>l mantenimiento de</w:t>
      </w:r>
      <w:r w:rsidR="00763644">
        <w:rPr>
          <w:rFonts w:ascii="Arial" w:hAnsi="Arial"/>
          <w:b w:val="0"/>
          <w:bCs/>
          <w:sz w:val="21"/>
          <w:lang w:val="es-ES_tradnl" w:bidi="es-ES_tradnl"/>
        </w:rPr>
        <w:t xml:space="preserve"> la demanda de los clientes finales</w:t>
      </w:r>
      <w:r w:rsidRPr="000F3918">
        <w:rPr>
          <w:rFonts w:ascii="Arial" w:hAnsi="Arial"/>
          <w:b w:val="0"/>
          <w:bCs/>
          <w:sz w:val="21"/>
          <w:lang w:val="es-ES_tradnl" w:bidi="es-ES_tradnl"/>
        </w:rPr>
        <w:t>.</w:t>
      </w:r>
    </w:p>
    <w:p w:rsidR="00913057" w:rsidRPr="000F3918" w:rsidRDefault="00913057" w:rsidP="00913057">
      <w:pPr>
        <w:spacing w:after="60"/>
        <w:ind w:left="720"/>
        <w:jc w:val="both"/>
        <w:rPr>
          <w:rFonts w:ascii="Arial" w:hAnsi="Arial"/>
          <w:bCs/>
          <w:sz w:val="21"/>
          <w:lang w:bidi="es-ES_tradnl"/>
        </w:rPr>
      </w:pPr>
    </w:p>
    <w:p w:rsidR="00913057" w:rsidRPr="000F3918" w:rsidRDefault="00913057" w:rsidP="00913057">
      <w:pPr>
        <w:pStyle w:val="LadilloMichelinDossier"/>
        <w:rPr>
          <w:lang w:val="es-ES_tradnl"/>
        </w:rPr>
      </w:pPr>
      <w:r w:rsidRPr="000F3918">
        <w:rPr>
          <w:lang w:val="es-ES_tradnl"/>
        </w:rPr>
        <w:br w:type="column"/>
        <w:t>Camión</w:t>
      </w:r>
      <w:r w:rsidR="00450DC4" w:rsidRPr="000F3918">
        <w:rPr>
          <w:lang w:val="es-ES_tradn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276"/>
        <w:gridCol w:w="1275"/>
        <w:gridCol w:w="1418"/>
        <w:gridCol w:w="1134"/>
        <w:gridCol w:w="1417"/>
        <w:gridCol w:w="1276"/>
      </w:tblGrid>
      <w:tr w:rsidR="00913057" w:rsidRPr="000F3918">
        <w:trPr>
          <w:trHeight w:val="1002"/>
        </w:trPr>
        <w:tc>
          <w:tcPr>
            <w:tcW w:w="2093" w:type="dxa"/>
            <w:shd w:val="clear" w:color="auto" w:fill="E0E0E0"/>
          </w:tcPr>
          <w:p w:rsidR="00913057" w:rsidRPr="000F3918" w:rsidRDefault="00913057" w:rsidP="006D7B1F">
            <w:pPr>
              <w:pStyle w:val="LadilloMichelinDossier"/>
              <w:spacing w:before="0" w:after="0"/>
              <w:rPr>
                <w:bCs/>
                <w:sz w:val="21"/>
                <w:lang w:val="es-ES_tradnl" w:bidi="es-ES_tradnl"/>
              </w:rPr>
            </w:pPr>
            <w:r w:rsidRPr="000F3918">
              <w:rPr>
                <w:rFonts w:ascii="Arial" w:hAnsi="Arial"/>
                <w:bCs/>
                <w:sz w:val="20"/>
                <w:lang w:val="es-ES_tradnl" w:bidi="es-ES_tradnl"/>
              </w:rPr>
              <w:t>201</w:t>
            </w:r>
            <w:r w:rsidR="006D7B1F">
              <w:rPr>
                <w:rFonts w:ascii="Arial" w:hAnsi="Arial"/>
                <w:bCs/>
                <w:sz w:val="20"/>
                <w:lang w:val="es-ES_tradnl" w:bidi="es-ES_tradnl"/>
              </w:rPr>
              <w:t>2</w:t>
            </w:r>
            <w:r w:rsidRPr="000F3918">
              <w:rPr>
                <w:rFonts w:ascii="Arial" w:hAnsi="Arial"/>
                <w:bCs/>
                <w:sz w:val="20"/>
                <w:lang w:val="es-ES_tradnl" w:bidi="es-ES_tradnl"/>
              </w:rPr>
              <w:t>/201</w:t>
            </w:r>
            <w:r w:rsidR="006D7B1F">
              <w:rPr>
                <w:rFonts w:ascii="Arial" w:hAnsi="Arial"/>
                <w:bCs/>
                <w:sz w:val="20"/>
                <w:lang w:val="es-ES_tradnl" w:bidi="es-ES_tradnl"/>
              </w:rPr>
              <w:t>1</w:t>
            </w:r>
            <w:r w:rsidRPr="000F3918">
              <w:rPr>
                <w:rFonts w:ascii="Arial" w:hAnsi="Arial"/>
                <w:bCs/>
                <w:sz w:val="21"/>
                <w:lang w:val="es-ES_tradnl" w:bidi="es-ES_tradnl"/>
              </w:rPr>
              <w:br/>
            </w:r>
            <w:r w:rsidRPr="000F3918">
              <w:rPr>
                <w:rFonts w:ascii="Arial" w:hAnsi="Arial"/>
                <w:b w:val="0"/>
                <w:bCs/>
                <w:sz w:val="16"/>
                <w:lang w:val="es-ES_tradnl" w:bidi="es-ES_tradnl"/>
              </w:rPr>
              <w:t>(Nº neumáticos)</w:t>
            </w:r>
          </w:p>
        </w:tc>
        <w:tc>
          <w:tcPr>
            <w:tcW w:w="1276" w:type="dxa"/>
            <w:shd w:val="clear" w:color="auto" w:fill="E0E0E0"/>
          </w:tcPr>
          <w:p w:rsidR="00913057" w:rsidRPr="000F3918" w:rsidRDefault="00913057" w:rsidP="00913057">
            <w:pPr>
              <w:pStyle w:val="LadilloMichelinDossier"/>
              <w:spacing w:before="0" w:after="0"/>
              <w:jc w:val="center"/>
              <w:rPr>
                <w:bCs/>
                <w:sz w:val="21"/>
                <w:lang w:val="es-ES_tradnl" w:bidi="es-ES_tradnl"/>
              </w:rPr>
            </w:pPr>
            <w:r w:rsidRPr="000F3918">
              <w:rPr>
                <w:rFonts w:ascii="Arial" w:hAnsi="Arial"/>
                <w:bCs/>
                <w:sz w:val="20"/>
                <w:lang w:val="es-ES_tradnl" w:bidi="es-ES_tradnl"/>
              </w:rPr>
              <w:t>Europa</w:t>
            </w:r>
            <w:r w:rsidRPr="000F3918">
              <w:rPr>
                <w:rStyle w:val="FootnoteReference"/>
                <w:rFonts w:ascii="Arial" w:hAnsi="Arial"/>
                <w:bCs/>
                <w:sz w:val="32"/>
                <w:lang w:val="es-ES_tradnl" w:bidi="es-ES_tradnl"/>
              </w:rPr>
              <w:footnoteReference w:customMarkFollows="1" w:id="5"/>
              <w:sym w:font="Symbol" w:char="F02A"/>
            </w:r>
            <w:r w:rsidRPr="000F3918">
              <w:rPr>
                <w:rStyle w:val="FootnoteReference"/>
                <w:rFonts w:ascii="Arial" w:hAnsi="Arial"/>
                <w:bCs/>
                <w:sz w:val="32"/>
                <w:lang w:val="es-ES_tradnl" w:bidi="es-ES_tradnl"/>
              </w:rPr>
              <w:footnoteReference w:customMarkFollows="1" w:id="6"/>
              <w:sym w:font="Symbol" w:char="F02A"/>
            </w:r>
          </w:p>
        </w:tc>
        <w:tc>
          <w:tcPr>
            <w:tcW w:w="1275" w:type="dxa"/>
            <w:shd w:val="clear" w:color="auto" w:fill="E0E0E0"/>
          </w:tcPr>
          <w:p w:rsidR="00913057" w:rsidRPr="000F3918" w:rsidRDefault="00913057" w:rsidP="00913057">
            <w:pPr>
              <w:pStyle w:val="LadilloMichelinDossier"/>
              <w:spacing w:before="0" w:after="0"/>
              <w:jc w:val="center"/>
              <w:rPr>
                <w:bCs/>
                <w:sz w:val="20"/>
                <w:lang w:val="es-ES_tradnl" w:bidi="es-ES_tradnl"/>
              </w:rPr>
            </w:pPr>
            <w:r w:rsidRPr="000F3918">
              <w:rPr>
                <w:rFonts w:ascii="Arial" w:hAnsi="Arial"/>
                <w:bCs/>
                <w:sz w:val="20"/>
                <w:lang w:val="es-ES_tradnl" w:bidi="es-ES_tradnl"/>
              </w:rPr>
              <w:t>América del Norte</w:t>
            </w:r>
          </w:p>
        </w:tc>
        <w:tc>
          <w:tcPr>
            <w:tcW w:w="1418" w:type="dxa"/>
            <w:shd w:val="clear" w:color="auto" w:fill="E0E0E0"/>
          </w:tcPr>
          <w:p w:rsidR="00913057" w:rsidRPr="000F3918" w:rsidRDefault="00913057" w:rsidP="00913057">
            <w:pPr>
              <w:pStyle w:val="LadilloMichelinDossier"/>
              <w:spacing w:before="0" w:after="0"/>
              <w:jc w:val="center"/>
              <w:rPr>
                <w:rFonts w:ascii="Arial" w:hAnsi="Arial"/>
                <w:bCs/>
                <w:sz w:val="20"/>
                <w:lang w:val="es-ES_tradnl" w:bidi="es-ES_tradnl"/>
              </w:rPr>
            </w:pPr>
            <w:r w:rsidRPr="000F3918">
              <w:rPr>
                <w:rFonts w:ascii="Arial" w:hAnsi="Arial"/>
                <w:bCs/>
                <w:sz w:val="20"/>
                <w:lang w:val="es-ES_tradnl" w:bidi="es-ES_tradnl"/>
              </w:rPr>
              <w:t>Asia</w:t>
            </w:r>
          </w:p>
          <w:p w:rsidR="00913057" w:rsidRPr="000F3918" w:rsidRDefault="00913057" w:rsidP="00913057">
            <w:pPr>
              <w:pStyle w:val="LadilloMichelinDossier"/>
              <w:spacing w:before="0" w:after="0"/>
              <w:jc w:val="center"/>
              <w:rPr>
                <w:bCs/>
                <w:sz w:val="20"/>
                <w:lang w:val="es-ES_tradnl" w:bidi="es-ES_tradnl"/>
              </w:rPr>
            </w:pPr>
            <w:r w:rsidRPr="000F3918">
              <w:rPr>
                <w:rFonts w:ascii="Arial" w:hAnsi="Arial"/>
                <w:bCs/>
                <w:sz w:val="20"/>
                <w:lang w:val="es-ES_tradnl" w:bidi="es-ES_tradnl"/>
              </w:rPr>
              <w:t>(excluida India)</w:t>
            </w:r>
          </w:p>
        </w:tc>
        <w:tc>
          <w:tcPr>
            <w:tcW w:w="1134" w:type="dxa"/>
            <w:shd w:val="clear" w:color="auto" w:fill="E0E0E0"/>
          </w:tcPr>
          <w:p w:rsidR="00913057" w:rsidRPr="000F3918" w:rsidRDefault="00913057" w:rsidP="00913057">
            <w:pPr>
              <w:pStyle w:val="LadilloMichelinDossier"/>
              <w:spacing w:before="0" w:after="0"/>
              <w:jc w:val="center"/>
              <w:rPr>
                <w:bCs/>
                <w:sz w:val="20"/>
                <w:lang w:val="es-ES_tradnl" w:bidi="es-ES_tradnl"/>
              </w:rPr>
            </w:pPr>
            <w:r w:rsidRPr="000F3918">
              <w:rPr>
                <w:rFonts w:ascii="Arial" w:hAnsi="Arial"/>
                <w:bCs/>
                <w:sz w:val="20"/>
                <w:lang w:val="es-ES_tradnl" w:bidi="es-ES_tradnl"/>
              </w:rPr>
              <w:t>América del Sur</w:t>
            </w:r>
          </w:p>
        </w:tc>
        <w:tc>
          <w:tcPr>
            <w:tcW w:w="1417" w:type="dxa"/>
            <w:shd w:val="clear" w:color="auto" w:fill="E0E0E0"/>
          </w:tcPr>
          <w:p w:rsidR="00913057" w:rsidRPr="000F3918" w:rsidRDefault="00913057" w:rsidP="00913057">
            <w:pPr>
              <w:pStyle w:val="LadilloMichelinDossier"/>
              <w:spacing w:before="0" w:after="0"/>
              <w:jc w:val="center"/>
              <w:rPr>
                <w:bCs/>
                <w:sz w:val="20"/>
                <w:lang w:val="es-ES_tradnl" w:bidi="es-ES_tradnl"/>
              </w:rPr>
            </w:pPr>
            <w:r w:rsidRPr="000F3918">
              <w:rPr>
                <w:rFonts w:ascii="Arial" w:hAnsi="Arial"/>
                <w:bCs/>
                <w:sz w:val="20"/>
                <w:lang w:val="es-ES_tradnl" w:bidi="es-ES_tradnl"/>
              </w:rPr>
              <w:t>África/India/ Oriente Medio</w:t>
            </w:r>
          </w:p>
        </w:tc>
        <w:tc>
          <w:tcPr>
            <w:tcW w:w="1276" w:type="dxa"/>
            <w:shd w:val="clear" w:color="auto" w:fill="E0E0E0"/>
          </w:tcPr>
          <w:p w:rsidR="00913057" w:rsidRPr="000F3918" w:rsidRDefault="00913057" w:rsidP="00913057">
            <w:pPr>
              <w:pStyle w:val="LadilloMichelinDossier"/>
              <w:spacing w:before="0" w:after="0"/>
              <w:jc w:val="center"/>
              <w:rPr>
                <w:bCs/>
                <w:sz w:val="20"/>
                <w:lang w:val="es-ES_tradnl" w:bidi="es-ES_tradnl"/>
              </w:rPr>
            </w:pPr>
            <w:r w:rsidRPr="000F3918">
              <w:rPr>
                <w:rFonts w:ascii="Arial" w:hAnsi="Arial"/>
                <w:bCs/>
                <w:sz w:val="20"/>
                <w:lang w:val="es-ES_tradnl" w:bidi="es-ES_tradnl"/>
              </w:rPr>
              <w:t>Total</w:t>
            </w:r>
          </w:p>
        </w:tc>
      </w:tr>
      <w:tr w:rsidR="006D7B1F" w:rsidRPr="000F3918">
        <w:tc>
          <w:tcPr>
            <w:tcW w:w="2093" w:type="dxa"/>
          </w:tcPr>
          <w:p w:rsidR="006D7B1F" w:rsidRPr="000F3918" w:rsidRDefault="006D7B1F" w:rsidP="00913057">
            <w:pPr>
              <w:pStyle w:val="LadilloMichelinDossier"/>
              <w:spacing w:before="0" w:after="0"/>
              <w:jc w:val="both"/>
              <w:rPr>
                <w:rFonts w:ascii="Arial" w:hAnsi="Arial"/>
                <w:b w:val="0"/>
                <w:bCs/>
                <w:sz w:val="21"/>
                <w:lang w:val="es-ES_tradnl" w:bidi="es-ES_tradnl"/>
              </w:rPr>
            </w:pPr>
            <w:r w:rsidRPr="000F3918">
              <w:rPr>
                <w:rFonts w:ascii="Arial" w:hAnsi="Arial"/>
                <w:b w:val="0"/>
                <w:bCs/>
                <w:sz w:val="21"/>
                <w:lang w:val="es-ES_tradnl" w:bidi="es-ES_tradnl"/>
              </w:rPr>
              <w:t>Primeros equipos*</w:t>
            </w:r>
          </w:p>
          <w:p w:rsidR="006D7B1F" w:rsidRPr="000F3918" w:rsidRDefault="006D7B1F" w:rsidP="00913057">
            <w:pPr>
              <w:pStyle w:val="LadilloMichelinDossier"/>
              <w:spacing w:before="0" w:after="0"/>
              <w:jc w:val="both"/>
              <w:rPr>
                <w:rFonts w:ascii="Arial" w:hAnsi="Arial"/>
                <w:b w:val="0"/>
                <w:bCs/>
                <w:sz w:val="21"/>
                <w:lang w:val="es-ES_tradnl" w:bidi="es-ES_tradnl"/>
              </w:rPr>
            </w:pPr>
            <w:r w:rsidRPr="000F3918">
              <w:rPr>
                <w:rFonts w:ascii="Arial" w:hAnsi="Arial"/>
                <w:b w:val="0"/>
                <w:bCs/>
                <w:sz w:val="21"/>
                <w:lang w:val="es-ES_tradnl" w:bidi="es-ES_tradnl"/>
              </w:rPr>
              <w:t xml:space="preserve">     </w:t>
            </w:r>
          </w:p>
          <w:p w:rsidR="006D7B1F" w:rsidRPr="000F3918" w:rsidRDefault="006D7B1F" w:rsidP="00913057">
            <w:pPr>
              <w:pStyle w:val="LadilloMichelinDossier"/>
              <w:spacing w:before="0" w:after="0"/>
              <w:jc w:val="both"/>
              <w:rPr>
                <w:b w:val="0"/>
                <w:bCs/>
                <w:sz w:val="21"/>
                <w:lang w:val="es-ES_tradnl" w:bidi="es-ES_tradnl"/>
              </w:rPr>
            </w:pPr>
            <w:r w:rsidRPr="000F3918">
              <w:rPr>
                <w:rFonts w:ascii="Arial" w:hAnsi="Arial"/>
                <w:b w:val="0"/>
                <w:bCs/>
                <w:sz w:val="21"/>
                <w:lang w:val="es-ES_tradnl" w:bidi="es-ES_tradnl"/>
              </w:rPr>
              <w:t>Reemplazo*</w:t>
            </w:r>
          </w:p>
        </w:tc>
        <w:tc>
          <w:tcPr>
            <w:tcW w:w="1276" w:type="dxa"/>
          </w:tcPr>
          <w:p w:rsidR="006D7B1F" w:rsidRPr="00DA08B4" w:rsidRDefault="006D7B1F">
            <w:pPr>
              <w:spacing w:before="19" w:line="200" w:lineRule="exact"/>
              <w:rPr>
                <w:rFonts w:ascii="Arial" w:hAnsi="Arial"/>
                <w:b/>
                <w:bCs/>
                <w:sz w:val="20"/>
                <w:lang w:bidi="es-ES_tradnl"/>
              </w:rPr>
            </w:pPr>
          </w:p>
          <w:p w:rsidR="006D7B1F" w:rsidRPr="00DA08B4" w:rsidRDefault="006D7B1F">
            <w:pPr>
              <w:ind w:left="349" w:right="-20"/>
              <w:rPr>
                <w:rFonts w:ascii="Arial" w:hAnsi="Arial"/>
                <w:b/>
                <w:bCs/>
                <w:sz w:val="20"/>
                <w:lang w:bidi="es-ES_tradnl"/>
              </w:rPr>
            </w:pPr>
            <w:r w:rsidRPr="00DA08B4">
              <w:rPr>
                <w:rFonts w:ascii="Arial" w:hAnsi="Arial"/>
                <w:b/>
                <w:bCs/>
                <w:sz w:val="20"/>
                <w:lang w:bidi="es-ES_tradnl"/>
              </w:rPr>
              <w:t>- 4%</w:t>
            </w:r>
          </w:p>
          <w:p w:rsidR="006D7B1F" w:rsidRPr="00DA08B4" w:rsidRDefault="006D7B1F">
            <w:pPr>
              <w:spacing w:before="18" w:line="200" w:lineRule="exact"/>
              <w:rPr>
                <w:rFonts w:ascii="Arial" w:hAnsi="Arial"/>
                <w:b/>
                <w:bCs/>
                <w:sz w:val="20"/>
                <w:lang w:bidi="es-ES_tradnl"/>
              </w:rPr>
            </w:pPr>
          </w:p>
          <w:p w:rsidR="006D7B1F" w:rsidRPr="00DA08B4" w:rsidRDefault="006D7B1F">
            <w:pPr>
              <w:ind w:left="285" w:right="-20"/>
              <w:rPr>
                <w:rFonts w:ascii="Arial" w:hAnsi="Arial"/>
                <w:b/>
                <w:bCs/>
                <w:sz w:val="20"/>
                <w:lang w:bidi="es-ES_tradnl"/>
              </w:rPr>
            </w:pPr>
            <w:r w:rsidRPr="00DA08B4">
              <w:rPr>
                <w:rFonts w:ascii="Arial" w:hAnsi="Arial"/>
                <w:b/>
                <w:bCs/>
                <w:sz w:val="20"/>
                <w:lang w:bidi="es-ES_tradnl"/>
              </w:rPr>
              <w:t>- 14%</w:t>
            </w:r>
            <w:r w:rsidR="00DE67CF" w:rsidRPr="00DA08B4">
              <w:rPr>
                <w:rFonts w:ascii="Arial" w:hAnsi="Arial"/>
                <w:b/>
                <w:bCs/>
                <w:sz w:val="20"/>
                <w:lang w:bidi="es-ES_tradnl"/>
              </w:rPr>
              <w:br/>
            </w:r>
          </w:p>
        </w:tc>
        <w:tc>
          <w:tcPr>
            <w:tcW w:w="1275" w:type="dxa"/>
          </w:tcPr>
          <w:p w:rsidR="006D7B1F" w:rsidRPr="00DA08B4" w:rsidRDefault="006D7B1F">
            <w:pPr>
              <w:spacing w:before="19" w:line="200" w:lineRule="exact"/>
              <w:rPr>
                <w:rFonts w:ascii="Arial" w:hAnsi="Arial"/>
                <w:b/>
                <w:bCs/>
                <w:sz w:val="20"/>
                <w:lang w:bidi="es-ES_tradnl"/>
              </w:rPr>
            </w:pPr>
          </w:p>
          <w:p w:rsidR="006D7B1F" w:rsidRPr="00DA08B4" w:rsidRDefault="006D7B1F">
            <w:pPr>
              <w:ind w:left="313" w:right="-20"/>
              <w:rPr>
                <w:rFonts w:ascii="Arial" w:hAnsi="Arial"/>
                <w:b/>
                <w:bCs/>
                <w:sz w:val="20"/>
                <w:lang w:bidi="es-ES_tradnl"/>
              </w:rPr>
            </w:pPr>
            <w:r w:rsidRPr="00DA08B4">
              <w:rPr>
                <w:rFonts w:ascii="Arial" w:hAnsi="Arial"/>
                <w:b/>
                <w:bCs/>
                <w:sz w:val="20"/>
                <w:lang w:bidi="es-ES_tradnl"/>
              </w:rPr>
              <w:t>+ 2%</w:t>
            </w:r>
          </w:p>
          <w:p w:rsidR="006D7B1F" w:rsidRPr="00DA08B4" w:rsidRDefault="006D7B1F">
            <w:pPr>
              <w:spacing w:before="18" w:line="200" w:lineRule="exact"/>
              <w:rPr>
                <w:rFonts w:ascii="Arial" w:hAnsi="Arial"/>
                <w:b/>
                <w:bCs/>
                <w:sz w:val="20"/>
                <w:lang w:bidi="es-ES_tradnl"/>
              </w:rPr>
            </w:pPr>
          </w:p>
          <w:p w:rsidR="006D7B1F" w:rsidRPr="00DA08B4" w:rsidRDefault="006D7B1F">
            <w:pPr>
              <w:ind w:left="347" w:right="-20"/>
              <w:rPr>
                <w:rFonts w:ascii="Arial" w:hAnsi="Arial"/>
                <w:b/>
                <w:bCs/>
                <w:sz w:val="20"/>
                <w:lang w:bidi="es-ES_tradnl"/>
              </w:rPr>
            </w:pPr>
            <w:r w:rsidRPr="00DA08B4">
              <w:rPr>
                <w:rFonts w:ascii="Arial" w:hAnsi="Arial"/>
                <w:b/>
                <w:bCs/>
                <w:sz w:val="20"/>
                <w:lang w:bidi="es-ES_tradnl"/>
              </w:rPr>
              <w:t>- 2%</w:t>
            </w:r>
          </w:p>
        </w:tc>
        <w:tc>
          <w:tcPr>
            <w:tcW w:w="1418" w:type="dxa"/>
          </w:tcPr>
          <w:p w:rsidR="006D7B1F" w:rsidRPr="00DA08B4" w:rsidRDefault="006D7B1F">
            <w:pPr>
              <w:spacing w:before="19" w:line="200" w:lineRule="exact"/>
              <w:rPr>
                <w:rFonts w:ascii="Arial" w:hAnsi="Arial"/>
                <w:b/>
                <w:bCs/>
                <w:sz w:val="20"/>
                <w:lang w:bidi="es-ES_tradnl"/>
              </w:rPr>
            </w:pPr>
          </w:p>
          <w:p w:rsidR="006D7B1F" w:rsidRPr="00DA08B4" w:rsidRDefault="006D7B1F">
            <w:pPr>
              <w:ind w:left="349" w:right="-20"/>
              <w:rPr>
                <w:rFonts w:ascii="Arial" w:hAnsi="Arial"/>
                <w:b/>
                <w:bCs/>
                <w:sz w:val="20"/>
                <w:lang w:bidi="es-ES_tradnl"/>
              </w:rPr>
            </w:pPr>
            <w:r w:rsidRPr="00DA08B4">
              <w:rPr>
                <w:rFonts w:ascii="Arial" w:hAnsi="Arial"/>
                <w:b/>
                <w:bCs/>
                <w:sz w:val="20"/>
                <w:lang w:bidi="es-ES_tradnl"/>
              </w:rPr>
              <w:t>- 9%</w:t>
            </w:r>
          </w:p>
          <w:p w:rsidR="006D7B1F" w:rsidRPr="00DA08B4" w:rsidRDefault="006D7B1F">
            <w:pPr>
              <w:spacing w:before="18" w:line="200" w:lineRule="exact"/>
              <w:rPr>
                <w:rFonts w:ascii="Arial" w:hAnsi="Arial"/>
                <w:b/>
                <w:bCs/>
                <w:sz w:val="20"/>
                <w:lang w:bidi="es-ES_tradnl"/>
              </w:rPr>
            </w:pPr>
          </w:p>
          <w:p w:rsidR="006D7B1F" w:rsidRPr="00DA08B4" w:rsidRDefault="006D7B1F">
            <w:pPr>
              <w:ind w:left="349" w:right="-20"/>
              <w:rPr>
                <w:rFonts w:ascii="Arial" w:hAnsi="Arial"/>
                <w:b/>
                <w:bCs/>
                <w:sz w:val="20"/>
                <w:lang w:bidi="es-ES_tradnl"/>
              </w:rPr>
            </w:pPr>
            <w:r w:rsidRPr="00DA08B4">
              <w:rPr>
                <w:rFonts w:ascii="Arial" w:hAnsi="Arial"/>
                <w:b/>
                <w:bCs/>
                <w:sz w:val="20"/>
                <w:lang w:bidi="es-ES_tradnl"/>
              </w:rPr>
              <w:t>- 6%</w:t>
            </w:r>
          </w:p>
        </w:tc>
        <w:tc>
          <w:tcPr>
            <w:tcW w:w="1134" w:type="dxa"/>
          </w:tcPr>
          <w:p w:rsidR="006D7B1F" w:rsidRPr="00DA08B4" w:rsidRDefault="006D7B1F">
            <w:pPr>
              <w:spacing w:before="19" w:line="200" w:lineRule="exact"/>
              <w:rPr>
                <w:rFonts w:ascii="Arial" w:hAnsi="Arial"/>
                <w:b/>
                <w:bCs/>
                <w:sz w:val="20"/>
                <w:lang w:bidi="es-ES_tradnl"/>
              </w:rPr>
            </w:pPr>
          </w:p>
          <w:p w:rsidR="006D7B1F" w:rsidRPr="00DA08B4" w:rsidRDefault="00283994" w:rsidP="00283994">
            <w:pPr>
              <w:ind w:right="-20"/>
              <w:rPr>
                <w:rFonts w:ascii="Arial" w:hAnsi="Arial"/>
                <w:b/>
                <w:bCs/>
                <w:sz w:val="20"/>
                <w:lang w:bidi="es-ES_tradnl"/>
              </w:rPr>
            </w:pPr>
            <w:r w:rsidRPr="00DA08B4">
              <w:rPr>
                <w:rFonts w:ascii="Arial" w:hAnsi="Arial"/>
                <w:b/>
                <w:bCs/>
                <w:sz w:val="20"/>
                <w:lang w:bidi="es-ES_tradnl"/>
              </w:rPr>
              <w:t xml:space="preserve">   </w:t>
            </w:r>
            <w:r w:rsidR="006D7B1F" w:rsidRPr="00DA08B4">
              <w:rPr>
                <w:rFonts w:ascii="Arial" w:hAnsi="Arial"/>
                <w:b/>
                <w:bCs/>
                <w:sz w:val="20"/>
                <w:lang w:bidi="es-ES_tradnl"/>
              </w:rPr>
              <w:t xml:space="preserve">- </w:t>
            </w:r>
            <w:r w:rsidRPr="00DA08B4">
              <w:rPr>
                <w:rFonts w:ascii="Arial" w:hAnsi="Arial"/>
                <w:b/>
                <w:bCs/>
                <w:sz w:val="20"/>
                <w:lang w:bidi="es-ES_tradnl"/>
              </w:rPr>
              <w:t>3</w:t>
            </w:r>
            <w:r w:rsidR="006D7B1F" w:rsidRPr="00DA08B4">
              <w:rPr>
                <w:rFonts w:ascii="Arial" w:hAnsi="Arial"/>
                <w:b/>
                <w:bCs/>
                <w:sz w:val="20"/>
                <w:lang w:bidi="es-ES_tradnl"/>
              </w:rPr>
              <w:t>0%</w:t>
            </w:r>
          </w:p>
          <w:p w:rsidR="006D7B1F" w:rsidRPr="00DA08B4" w:rsidRDefault="006D7B1F">
            <w:pPr>
              <w:spacing w:before="18" w:line="200" w:lineRule="exact"/>
              <w:rPr>
                <w:rFonts w:ascii="Arial" w:hAnsi="Arial"/>
                <w:b/>
                <w:bCs/>
                <w:sz w:val="20"/>
                <w:lang w:bidi="es-ES_tradnl"/>
              </w:rPr>
            </w:pPr>
          </w:p>
          <w:p w:rsidR="006D7B1F" w:rsidRPr="00DA08B4" w:rsidRDefault="00283994" w:rsidP="00283994">
            <w:pPr>
              <w:ind w:right="-20"/>
              <w:rPr>
                <w:rFonts w:ascii="Arial" w:hAnsi="Arial"/>
                <w:b/>
                <w:bCs/>
                <w:sz w:val="20"/>
                <w:lang w:bidi="es-ES_tradnl"/>
              </w:rPr>
            </w:pPr>
            <w:r w:rsidRPr="00DA08B4">
              <w:rPr>
                <w:rFonts w:ascii="Arial" w:hAnsi="Arial"/>
                <w:b/>
                <w:bCs/>
                <w:sz w:val="20"/>
                <w:lang w:bidi="es-ES_tradnl"/>
              </w:rPr>
              <w:t xml:space="preserve">   </w:t>
            </w:r>
            <w:r w:rsidR="006D7B1F" w:rsidRPr="00DA08B4">
              <w:rPr>
                <w:rFonts w:ascii="Arial" w:hAnsi="Arial"/>
                <w:b/>
                <w:bCs/>
                <w:sz w:val="20"/>
                <w:lang w:bidi="es-ES_tradnl"/>
              </w:rPr>
              <w:t>+ 3%</w:t>
            </w:r>
          </w:p>
        </w:tc>
        <w:tc>
          <w:tcPr>
            <w:tcW w:w="1417" w:type="dxa"/>
          </w:tcPr>
          <w:p w:rsidR="006D7B1F" w:rsidRPr="00DA08B4" w:rsidRDefault="006D7B1F">
            <w:pPr>
              <w:spacing w:before="19" w:line="200" w:lineRule="exact"/>
              <w:rPr>
                <w:rFonts w:ascii="Arial" w:hAnsi="Arial"/>
                <w:b/>
                <w:bCs/>
                <w:sz w:val="20"/>
                <w:lang w:bidi="es-ES_tradnl"/>
              </w:rPr>
            </w:pPr>
          </w:p>
          <w:p w:rsidR="006D7B1F" w:rsidRPr="00DA08B4" w:rsidRDefault="006D7B1F">
            <w:pPr>
              <w:ind w:left="321" w:right="-20"/>
              <w:rPr>
                <w:rFonts w:ascii="Arial" w:hAnsi="Arial"/>
                <w:b/>
                <w:bCs/>
                <w:sz w:val="20"/>
                <w:lang w:bidi="es-ES_tradnl"/>
              </w:rPr>
            </w:pPr>
            <w:r w:rsidRPr="00DA08B4">
              <w:rPr>
                <w:rFonts w:ascii="Arial" w:hAnsi="Arial"/>
                <w:b/>
                <w:bCs/>
                <w:sz w:val="20"/>
                <w:lang w:bidi="es-ES_tradnl"/>
              </w:rPr>
              <w:t>+ 31%</w:t>
            </w:r>
          </w:p>
          <w:p w:rsidR="006D7B1F" w:rsidRPr="00DA08B4" w:rsidRDefault="006D7B1F">
            <w:pPr>
              <w:spacing w:before="18" w:line="200" w:lineRule="exact"/>
              <w:rPr>
                <w:rFonts w:ascii="Arial" w:hAnsi="Arial"/>
                <w:b/>
                <w:bCs/>
                <w:sz w:val="20"/>
                <w:lang w:bidi="es-ES_tradnl"/>
              </w:rPr>
            </w:pPr>
          </w:p>
          <w:p w:rsidR="006D7B1F" w:rsidRPr="00DA08B4" w:rsidRDefault="006D7B1F">
            <w:pPr>
              <w:ind w:left="383" w:right="-20"/>
              <w:rPr>
                <w:rFonts w:ascii="Arial" w:hAnsi="Arial"/>
                <w:b/>
                <w:bCs/>
                <w:sz w:val="20"/>
                <w:lang w:bidi="es-ES_tradnl"/>
              </w:rPr>
            </w:pPr>
            <w:r w:rsidRPr="00DA08B4">
              <w:rPr>
                <w:rFonts w:ascii="Arial" w:hAnsi="Arial"/>
                <w:b/>
                <w:bCs/>
                <w:sz w:val="20"/>
                <w:lang w:bidi="es-ES_tradnl"/>
              </w:rPr>
              <w:t>+ 8%</w:t>
            </w:r>
          </w:p>
        </w:tc>
        <w:tc>
          <w:tcPr>
            <w:tcW w:w="1276" w:type="dxa"/>
          </w:tcPr>
          <w:p w:rsidR="006D7B1F" w:rsidRPr="00DA08B4" w:rsidRDefault="006D7B1F" w:rsidP="006A35A3">
            <w:pPr>
              <w:spacing w:before="19" w:line="200" w:lineRule="exact"/>
              <w:rPr>
                <w:rFonts w:ascii="Arial" w:hAnsi="Arial"/>
                <w:b/>
                <w:bCs/>
                <w:sz w:val="20"/>
                <w:lang w:bidi="es-ES_tradnl"/>
              </w:rPr>
            </w:pPr>
          </w:p>
          <w:p w:rsidR="006D7B1F" w:rsidRPr="00DA08B4" w:rsidRDefault="006D7B1F" w:rsidP="006A35A3">
            <w:pPr>
              <w:ind w:right="-20"/>
              <w:jc w:val="center"/>
              <w:rPr>
                <w:rFonts w:ascii="Arial" w:hAnsi="Arial"/>
                <w:b/>
                <w:bCs/>
                <w:sz w:val="20"/>
                <w:lang w:bidi="es-ES_tradnl"/>
              </w:rPr>
            </w:pPr>
            <w:r w:rsidRPr="00DA08B4">
              <w:rPr>
                <w:rFonts w:ascii="Arial" w:hAnsi="Arial"/>
                <w:b/>
                <w:bCs/>
                <w:sz w:val="20"/>
                <w:lang w:bidi="es-ES_tradnl"/>
              </w:rPr>
              <w:t>- 5%</w:t>
            </w:r>
          </w:p>
          <w:p w:rsidR="006D7B1F" w:rsidRPr="00DA08B4" w:rsidRDefault="006D7B1F" w:rsidP="006A35A3">
            <w:pPr>
              <w:spacing w:before="18" w:line="200" w:lineRule="exact"/>
              <w:jc w:val="center"/>
              <w:rPr>
                <w:rFonts w:ascii="Arial" w:hAnsi="Arial"/>
                <w:b/>
                <w:bCs/>
                <w:sz w:val="20"/>
                <w:lang w:bidi="es-ES_tradnl"/>
              </w:rPr>
            </w:pPr>
          </w:p>
          <w:p w:rsidR="006D7B1F" w:rsidRPr="00DA08B4" w:rsidRDefault="006D7B1F" w:rsidP="006A35A3">
            <w:pPr>
              <w:ind w:right="-20"/>
              <w:jc w:val="center"/>
              <w:rPr>
                <w:rFonts w:ascii="Arial" w:hAnsi="Arial"/>
                <w:b/>
                <w:bCs/>
                <w:sz w:val="20"/>
                <w:lang w:bidi="es-ES_tradnl"/>
              </w:rPr>
            </w:pPr>
            <w:r w:rsidRPr="00DA08B4">
              <w:rPr>
                <w:rFonts w:ascii="Arial" w:hAnsi="Arial"/>
                <w:b/>
                <w:bCs/>
                <w:sz w:val="20"/>
                <w:lang w:bidi="es-ES_tradnl"/>
              </w:rPr>
              <w:t>- 4%</w:t>
            </w:r>
          </w:p>
        </w:tc>
      </w:tr>
      <w:tr w:rsidR="00436118" w:rsidRPr="000F3918">
        <w:tc>
          <w:tcPr>
            <w:tcW w:w="2093" w:type="dxa"/>
            <w:tcBorders>
              <w:top w:val="single" w:sz="4" w:space="0" w:color="auto"/>
              <w:left w:val="single" w:sz="4" w:space="0" w:color="auto"/>
              <w:bottom w:val="single" w:sz="4" w:space="0" w:color="auto"/>
              <w:right w:val="single" w:sz="4" w:space="0" w:color="auto"/>
            </w:tcBorders>
            <w:shd w:val="clear" w:color="auto" w:fill="E0E0E0"/>
          </w:tcPr>
          <w:p w:rsidR="00436118" w:rsidRPr="00E701D7" w:rsidRDefault="00436118" w:rsidP="00DA08B4">
            <w:pPr>
              <w:pStyle w:val="LadilloMichelinDossier"/>
              <w:spacing w:before="0" w:after="0"/>
              <w:rPr>
                <w:rFonts w:ascii="Arial" w:hAnsi="Arial"/>
                <w:b w:val="0"/>
                <w:bCs/>
                <w:sz w:val="21"/>
                <w:lang w:val="es-ES_tradnl" w:bidi="es-ES_tradnl"/>
              </w:rPr>
            </w:pPr>
            <w:r>
              <w:rPr>
                <w:rFonts w:ascii="Arial" w:hAnsi="Arial"/>
                <w:b w:val="0"/>
                <w:bCs/>
                <w:sz w:val="21"/>
                <w:lang w:val="es-ES_tradnl" w:bidi="es-ES_tradnl"/>
              </w:rPr>
              <w:t xml:space="preserve">4º </w:t>
            </w:r>
            <w:r w:rsidRPr="00E701D7">
              <w:rPr>
                <w:rFonts w:ascii="Arial" w:hAnsi="Arial"/>
                <w:b w:val="0"/>
                <w:bCs/>
                <w:sz w:val="21"/>
                <w:lang w:val="es-ES_tradnl" w:bidi="es-ES_tradnl"/>
              </w:rPr>
              <w:t>Trimestre  2012/2011</w:t>
            </w:r>
          </w:p>
          <w:p w:rsidR="00436118" w:rsidRPr="00E701D7" w:rsidRDefault="00436118" w:rsidP="00E701D7">
            <w:pPr>
              <w:pStyle w:val="LadilloMichelinDossier"/>
              <w:spacing w:before="0" w:after="0"/>
              <w:jc w:val="both"/>
              <w:rPr>
                <w:rFonts w:ascii="Arial" w:hAnsi="Arial"/>
                <w:b w:val="0"/>
                <w:bCs/>
                <w:sz w:val="21"/>
                <w:lang w:val="es-ES_tradnl" w:bidi="es-ES_tradnl"/>
              </w:rPr>
            </w:pPr>
            <w:r w:rsidRPr="00E701D7">
              <w:rPr>
                <w:rFonts w:ascii="Arial" w:hAnsi="Arial"/>
                <w:b w:val="0"/>
                <w:bCs/>
                <w:sz w:val="21"/>
                <w:lang w:val="es-ES_tradnl" w:bidi="es-ES_tradnl"/>
              </w:rPr>
              <w:t>(Nº neumáticos)</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436118" w:rsidRPr="00E701D7" w:rsidRDefault="00436118" w:rsidP="006A35A3">
            <w:pPr>
              <w:pStyle w:val="LadilloMichelinDossier"/>
              <w:spacing w:before="0" w:after="0"/>
              <w:jc w:val="center"/>
              <w:rPr>
                <w:b w:val="0"/>
                <w:sz w:val="20"/>
              </w:rPr>
            </w:pPr>
            <w:r w:rsidRPr="00596298">
              <w:rPr>
                <w:rFonts w:ascii="Arial" w:hAnsi="Arial"/>
                <w:bCs/>
                <w:sz w:val="20"/>
                <w:lang w:val="es-ES_tradnl" w:bidi="es-ES_tradnl"/>
              </w:rPr>
              <w:t>Europa</w:t>
            </w:r>
            <w:r w:rsidRPr="00436118">
              <w:rPr>
                <w:rFonts w:ascii="Arial" w:hAnsi="Arial"/>
                <w:bCs/>
                <w:sz w:val="32"/>
                <w:vertAlign w:val="superscript"/>
                <w:lang w:val="es-ES_tradnl" w:bidi="es-ES_tradnl"/>
              </w:rPr>
              <w:footnoteReference w:customMarkFollows="1" w:id="7"/>
              <w:sym w:font="Symbol" w:char="F02A"/>
            </w: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436118" w:rsidRPr="000F3918" w:rsidRDefault="00436118" w:rsidP="00913057">
            <w:pPr>
              <w:pStyle w:val="LadilloMichelinDossier"/>
              <w:spacing w:before="0" w:after="0"/>
              <w:jc w:val="center"/>
              <w:rPr>
                <w:bCs/>
                <w:sz w:val="20"/>
                <w:lang w:val="es-ES_tradnl" w:bidi="es-ES_tradnl"/>
              </w:rPr>
            </w:pPr>
            <w:r w:rsidRPr="000F3918">
              <w:rPr>
                <w:rFonts w:ascii="Arial" w:hAnsi="Arial"/>
                <w:bCs/>
                <w:sz w:val="20"/>
                <w:lang w:val="es-ES_tradnl" w:bidi="es-ES_tradnl"/>
              </w:rPr>
              <w:t>América del Norte</w:t>
            </w:r>
          </w:p>
        </w:tc>
        <w:tc>
          <w:tcPr>
            <w:tcW w:w="1418" w:type="dxa"/>
            <w:tcBorders>
              <w:top w:val="single" w:sz="4" w:space="0" w:color="auto"/>
              <w:left w:val="single" w:sz="4" w:space="0" w:color="auto"/>
              <w:bottom w:val="single" w:sz="4" w:space="0" w:color="auto"/>
              <w:right w:val="single" w:sz="4" w:space="0" w:color="auto"/>
            </w:tcBorders>
            <w:shd w:val="clear" w:color="auto" w:fill="E0E0E0"/>
          </w:tcPr>
          <w:p w:rsidR="00436118" w:rsidRPr="000F3918" w:rsidRDefault="00436118" w:rsidP="00913057">
            <w:pPr>
              <w:pStyle w:val="LadilloMichelinDossier"/>
              <w:spacing w:before="0" w:after="0"/>
              <w:jc w:val="center"/>
              <w:rPr>
                <w:rFonts w:ascii="Arial" w:hAnsi="Arial"/>
                <w:bCs/>
                <w:sz w:val="20"/>
                <w:lang w:val="es-ES_tradnl" w:bidi="es-ES_tradnl"/>
              </w:rPr>
            </w:pPr>
            <w:r w:rsidRPr="000F3918">
              <w:rPr>
                <w:rFonts w:ascii="Arial" w:hAnsi="Arial"/>
                <w:bCs/>
                <w:sz w:val="20"/>
                <w:lang w:val="es-ES_tradnl" w:bidi="es-ES_tradnl"/>
              </w:rPr>
              <w:t>Asia</w:t>
            </w:r>
          </w:p>
          <w:p w:rsidR="00436118" w:rsidRPr="000F3918" w:rsidRDefault="00436118" w:rsidP="00913057">
            <w:pPr>
              <w:pStyle w:val="LadilloMichelinDossier"/>
              <w:spacing w:before="0" w:after="0"/>
              <w:jc w:val="center"/>
              <w:rPr>
                <w:bCs/>
                <w:sz w:val="20"/>
                <w:lang w:val="es-ES_tradnl" w:bidi="es-ES_tradnl"/>
              </w:rPr>
            </w:pPr>
            <w:r w:rsidRPr="000F3918">
              <w:rPr>
                <w:rFonts w:ascii="Arial" w:hAnsi="Arial"/>
                <w:bCs/>
                <w:sz w:val="20"/>
                <w:lang w:val="es-ES_tradnl" w:bidi="es-ES_tradnl"/>
              </w:rPr>
              <w:t>(excluida India)</w:t>
            </w:r>
            <w:r>
              <w:rPr>
                <w:rFonts w:ascii="Arial" w:hAnsi="Arial"/>
                <w:bCs/>
                <w:sz w:val="20"/>
                <w:lang w:val="es-ES_tradnl" w:bidi="es-ES_tradnl"/>
              </w:rPr>
              <w:br/>
            </w: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436118" w:rsidRPr="000F3918" w:rsidRDefault="00436118" w:rsidP="00913057">
            <w:pPr>
              <w:pStyle w:val="LadilloMichelinDossier"/>
              <w:spacing w:before="0" w:after="0"/>
              <w:jc w:val="center"/>
              <w:rPr>
                <w:bCs/>
                <w:sz w:val="20"/>
                <w:lang w:val="es-ES_tradnl" w:bidi="es-ES_tradnl"/>
              </w:rPr>
            </w:pPr>
            <w:r w:rsidRPr="000F3918">
              <w:rPr>
                <w:rFonts w:ascii="Arial" w:hAnsi="Arial"/>
                <w:bCs/>
                <w:sz w:val="20"/>
                <w:lang w:val="es-ES_tradnl" w:bidi="es-ES_tradnl"/>
              </w:rPr>
              <w:t>América del Sur</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rsidR="00436118" w:rsidRPr="000F3918" w:rsidRDefault="00436118" w:rsidP="00913057">
            <w:pPr>
              <w:pStyle w:val="LadilloMichelinDossier"/>
              <w:spacing w:before="0" w:after="0"/>
              <w:jc w:val="center"/>
              <w:rPr>
                <w:bCs/>
                <w:sz w:val="20"/>
                <w:lang w:val="es-ES_tradnl" w:bidi="es-ES_tradnl"/>
              </w:rPr>
            </w:pPr>
            <w:r w:rsidRPr="000F3918">
              <w:rPr>
                <w:rFonts w:ascii="Arial" w:hAnsi="Arial"/>
                <w:bCs/>
                <w:sz w:val="20"/>
                <w:lang w:val="es-ES_tradnl" w:bidi="es-ES_tradnl"/>
              </w:rPr>
              <w:t>África/India/ Oriente Medio</w:t>
            </w:r>
          </w:p>
        </w:tc>
        <w:tc>
          <w:tcPr>
            <w:tcW w:w="1276" w:type="dxa"/>
            <w:tcBorders>
              <w:top w:val="single" w:sz="4" w:space="0" w:color="auto"/>
              <w:left w:val="single" w:sz="4" w:space="0" w:color="auto"/>
              <w:bottom w:val="single" w:sz="4" w:space="0" w:color="auto"/>
              <w:right w:val="single" w:sz="4" w:space="0" w:color="auto"/>
            </w:tcBorders>
            <w:shd w:val="clear" w:color="auto" w:fill="E0E0E0"/>
          </w:tcPr>
          <w:p w:rsidR="00436118" w:rsidRPr="000F3918" w:rsidRDefault="00436118" w:rsidP="00913057">
            <w:pPr>
              <w:pStyle w:val="LadilloMichelinDossier"/>
              <w:spacing w:before="0" w:after="0"/>
              <w:jc w:val="center"/>
              <w:rPr>
                <w:bCs/>
                <w:sz w:val="20"/>
                <w:lang w:val="es-ES_tradnl" w:bidi="es-ES_tradnl"/>
              </w:rPr>
            </w:pPr>
            <w:r w:rsidRPr="000F3918">
              <w:rPr>
                <w:rFonts w:ascii="Arial" w:hAnsi="Arial"/>
                <w:bCs/>
                <w:sz w:val="20"/>
                <w:lang w:val="es-ES_tradnl" w:bidi="es-ES_tradnl"/>
              </w:rPr>
              <w:t>Total</w:t>
            </w:r>
          </w:p>
        </w:tc>
      </w:tr>
      <w:tr w:rsidR="00E701D7" w:rsidRPr="000F3918">
        <w:tc>
          <w:tcPr>
            <w:tcW w:w="2093" w:type="dxa"/>
            <w:tcBorders>
              <w:top w:val="single" w:sz="4" w:space="0" w:color="auto"/>
              <w:left w:val="single" w:sz="4" w:space="0" w:color="auto"/>
              <w:bottom w:val="single" w:sz="4" w:space="0" w:color="auto"/>
              <w:right w:val="single" w:sz="4" w:space="0" w:color="auto"/>
            </w:tcBorders>
          </w:tcPr>
          <w:p w:rsidR="00E701D7" w:rsidRPr="000F3918" w:rsidRDefault="00E701D7" w:rsidP="000D1C68">
            <w:pPr>
              <w:pStyle w:val="LadilloMichelinDossier"/>
              <w:spacing w:before="0" w:after="0"/>
              <w:jc w:val="both"/>
              <w:rPr>
                <w:rFonts w:ascii="Arial" w:hAnsi="Arial"/>
                <w:b w:val="0"/>
                <w:bCs/>
                <w:sz w:val="21"/>
                <w:lang w:val="es-ES_tradnl" w:bidi="es-ES_tradnl"/>
              </w:rPr>
            </w:pPr>
            <w:r w:rsidRPr="000F3918">
              <w:rPr>
                <w:rFonts w:ascii="Arial" w:hAnsi="Arial"/>
                <w:b w:val="0"/>
                <w:bCs/>
                <w:sz w:val="21"/>
                <w:lang w:val="es-ES_tradnl" w:bidi="es-ES_tradnl"/>
              </w:rPr>
              <w:t>Primeros equipos*</w:t>
            </w:r>
          </w:p>
          <w:p w:rsidR="00E701D7" w:rsidRPr="000F3918" w:rsidRDefault="00E701D7" w:rsidP="000D1C68">
            <w:pPr>
              <w:pStyle w:val="LadilloMichelinDossier"/>
              <w:spacing w:before="0" w:after="0"/>
              <w:jc w:val="both"/>
              <w:rPr>
                <w:rFonts w:ascii="Arial" w:hAnsi="Arial"/>
                <w:b w:val="0"/>
                <w:bCs/>
                <w:sz w:val="21"/>
                <w:lang w:val="es-ES_tradnl" w:bidi="es-ES_tradnl"/>
              </w:rPr>
            </w:pPr>
            <w:r w:rsidRPr="000F3918">
              <w:rPr>
                <w:rFonts w:ascii="Arial" w:hAnsi="Arial"/>
                <w:b w:val="0"/>
                <w:bCs/>
                <w:sz w:val="21"/>
                <w:lang w:val="es-ES_tradnl" w:bidi="es-ES_tradnl"/>
              </w:rPr>
              <w:t xml:space="preserve">     </w:t>
            </w:r>
          </w:p>
          <w:p w:rsidR="00E701D7" w:rsidRPr="00E701D7" w:rsidRDefault="00E701D7" w:rsidP="000D1C68">
            <w:pPr>
              <w:pStyle w:val="LadilloMichelinDossier"/>
              <w:spacing w:before="0" w:after="0"/>
              <w:jc w:val="both"/>
              <w:rPr>
                <w:rFonts w:ascii="Arial" w:hAnsi="Arial"/>
                <w:b w:val="0"/>
                <w:bCs/>
                <w:sz w:val="21"/>
                <w:lang w:val="es-ES_tradnl" w:bidi="es-ES_tradnl"/>
              </w:rPr>
            </w:pPr>
            <w:r w:rsidRPr="000F3918">
              <w:rPr>
                <w:rFonts w:ascii="Arial" w:hAnsi="Arial"/>
                <w:b w:val="0"/>
                <w:bCs/>
                <w:sz w:val="21"/>
                <w:lang w:val="es-ES_tradnl" w:bidi="es-ES_tradnl"/>
              </w:rPr>
              <w:t>Reemplazo*</w:t>
            </w:r>
          </w:p>
        </w:tc>
        <w:tc>
          <w:tcPr>
            <w:tcW w:w="1276" w:type="dxa"/>
            <w:tcBorders>
              <w:top w:val="single" w:sz="4" w:space="0" w:color="auto"/>
              <w:left w:val="single" w:sz="4" w:space="0" w:color="auto"/>
              <w:bottom w:val="single" w:sz="4" w:space="0" w:color="auto"/>
              <w:right w:val="single" w:sz="4" w:space="0" w:color="auto"/>
            </w:tcBorders>
          </w:tcPr>
          <w:p w:rsidR="00E701D7" w:rsidRPr="00DA08B4" w:rsidRDefault="00E701D7" w:rsidP="006A35A3">
            <w:pPr>
              <w:spacing w:before="19" w:line="200" w:lineRule="exact"/>
              <w:jc w:val="center"/>
              <w:rPr>
                <w:rFonts w:ascii="Arial" w:hAnsi="Arial"/>
                <w:b/>
                <w:bCs/>
                <w:sz w:val="20"/>
                <w:lang w:bidi="es-ES_tradnl"/>
              </w:rPr>
            </w:pPr>
          </w:p>
          <w:p w:rsidR="00E701D7" w:rsidRPr="00DA08B4" w:rsidRDefault="00E701D7" w:rsidP="006A35A3">
            <w:pPr>
              <w:spacing w:before="19" w:line="200" w:lineRule="exact"/>
              <w:jc w:val="center"/>
              <w:rPr>
                <w:rFonts w:ascii="Arial" w:hAnsi="Arial"/>
                <w:b/>
                <w:bCs/>
                <w:sz w:val="20"/>
                <w:lang w:bidi="es-ES_tradnl"/>
              </w:rPr>
            </w:pPr>
            <w:r w:rsidRPr="00DA08B4">
              <w:rPr>
                <w:rFonts w:ascii="Arial" w:hAnsi="Arial"/>
                <w:b/>
                <w:bCs/>
                <w:sz w:val="20"/>
                <w:lang w:bidi="es-ES_tradnl"/>
              </w:rPr>
              <w:t>- 7%</w:t>
            </w:r>
          </w:p>
          <w:p w:rsidR="00E701D7" w:rsidRPr="00DA08B4" w:rsidRDefault="00E701D7" w:rsidP="006A35A3">
            <w:pPr>
              <w:spacing w:before="19" w:line="200" w:lineRule="exact"/>
              <w:jc w:val="center"/>
              <w:rPr>
                <w:rFonts w:ascii="Arial" w:hAnsi="Arial"/>
                <w:b/>
                <w:bCs/>
                <w:sz w:val="20"/>
                <w:lang w:bidi="es-ES_tradnl"/>
              </w:rPr>
            </w:pPr>
          </w:p>
          <w:p w:rsidR="00E701D7" w:rsidRPr="00DA08B4" w:rsidRDefault="00E701D7" w:rsidP="006A35A3">
            <w:pPr>
              <w:spacing w:before="19" w:line="200" w:lineRule="exact"/>
              <w:jc w:val="center"/>
              <w:rPr>
                <w:rFonts w:ascii="Arial" w:hAnsi="Arial"/>
                <w:b/>
                <w:bCs/>
                <w:sz w:val="20"/>
                <w:lang w:bidi="es-ES_tradnl"/>
              </w:rPr>
            </w:pPr>
            <w:r w:rsidRPr="00DA08B4">
              <w:rPr>
                <w:rFonts w:ascii="Arial" w:hAnsi="Arial"/>
                <w:b/>
                <w:bCs/>
                <w:sz w:val="20"/>
                <w:lang w:bidi="es-ES_tradnl"/>
              </w:rPr>
              <w:t>+ 2%</w:t>
            </w:r>
            <w:r w:rsidR="00436118">
              <w:rPr>
                <w:rFonts w:ascii="Arial" w:hAnsi="Arial"/>
                <w:b/>
                <w:bCs/>
                <w:sz w:val="20"/>
                <w:lang w:bidi="es-ES_tradnl"/>
              </w:rPr>
              <w:br/>
            </w:r>
          </w:p>
        </w:tc>
        <w:tc>
          <w:tcPr>
            <w:tcW w:w="1275" w:type="dxa"/>
            <w:tcBorders>
              <w:top w:val="single" w:sz="4" w:space="0" w:color="auto"/>
              <w:left w:val="single" w:sz="4" w:space="0" w:color="auto"/>
              <w:bottom w:val="single" w:sz="4" w:space="0" w:color="auto"/>
              <w:right w:val="single" w:sz="4" w:space="0" w:color="auto"/>
            </w:tcBorders>
          </w:tcPr>
          <w:p w:rsidR="00E701D7" w:rsidRPr="00DA08B4" w:rsidRDefault="00E701D7" w:rsidP="006A35A3">
            <w:pPr>
              <w:spacing w:before="19" w:line="200" w:lineRule="exact"/>
              <w:jc w:val="center"/>
              <w:rPr>
                <w:rFonts w:ascii="Arial" w:hAnsi="Arial"/>
                <w:b/>
                <w:bCs/>
                <w:sz w:val="20"/>
                <w:lang w:bidi="es-ES_tradnl"/>
              </w:rPr>
            </w:pPr>
          </w:p>
          <w:p w:rsidR="00E701D7" w:rsidRPr="00DA08B4" w:rsidRDefault="00E701D7" w:rsidP="006A35A3">
            <w:pPr>
              <w:spacing w:before="19" w:line="200" w:lineRule="exact"/>
              <w:jc w:val="center"/>
              <w:rPr>
                <w:rFonts w:ascii="Arial" w:hAnsi="Arial"/>
                <w:b/>
                <w:bCs/>
                <w:sz w:val="20"/>
                <w:lang w:bidi="es-ES_tradnl"/>
              </w:rPr>
            </w:pPr>
            <w:r w:rsidRPr="00DA08B4">
              <w:rPr>
                <w:rFonts w:ascii="Arial" w:hAnsi="Arial"/>
                <w:b/>
                <w:bCs/>
                <w:sz w:val="20"/>
                <w:lang w:bidi="es-ES_tradnl"/>
              </w:rPr>
              <w:t>- 15%</w:t>
            </w:r>
          </w:p>
          <w:p w:rsidR="00E701D7" w:rsidRPr="00DA08B4" w:rsidRDefault="00E701D7" w:rsidP="006A35A3">
            <w:pPr>
              <w:spacing w:before="19" w:line="200" w:lineRule="exact"/>
              <w:jc w:val="center"/>
              <w:rPr>
                <w:rFonts w:ascii="Arial" w:hAnsi="Arial"/>
                <w:b/>
                <w:bCs/>
                <w:sz w:val="20"/>
                <w:lang w:bidi="es-ES_tradnl"/>
              </w:rPr>
            </w:pPr>
          </w:p>
          <w:p w:rsidR="00E701D7" w:rsidRPr="00DA08B4" w:rsidRDefault="00E701D7" w:rsidP="006A35A3">
            <w:pPr>
              <w:spacing w:before="19" w:line="200" w:lineRule="exact"/>
              <w:jc w:val="center"/>
              <w:rPr>
                <w:rFonts w:ascii="Arial" w:hAnsi="Arial"/>
                <w:b/>
                <w:bCs/>
                <w:sz w:val="20"/>
                <w:lang w:bidi="es-ES_tradnl"/>
              </w:rPr>
            </w:pPr>
            <w:r w:rsidRPr="00DA08B4">
              <w:rPr>
                <w:rFonts w:ascii="Arial" w:hAnsi="Arial"/>
                <w:b/>
                <w:bCs/>
                <w:sz w:val="20"/>
                <w:lang w:bidi="es-ES_tradnl"/>
              </w:rPr>
              <w:t>+ 2%</w:t>
            </w:r>
          </w:p>
        </w:tc>
        <w:tc>
          <w:tcPr>
            <w:tcW w:w="1418" w:type="dxa"/>
            <w:tcBorders>
              <w:top w:val="single" w:sz="4" w:space="0" w:color="auto"/>
              <w:left w:val="single" w:sz="4" w:space="0" w:color="auto"/>
              <w:bottom w:val="single" w:sz="4" w:space="0" w:color="auto"/>
              <w:right w:val="single" w:sz="4" w:space="0" w:color="auto"/>
            </w:tcBorders>
          </w:tcPr>
          <w:p w:rsidR="00E701D7" w:rsidRPr="00DA08B4" w:rsidRDefault="00E701D7" w:rsidP="006A35A3">
            <w:pPr>
              <w:spacing w:before="19" w:line="200" w:lineRule="exact"/>
              <w:jc w:val="center"/>
              <w:rPr>
                <w:rFonts w:ascii="Arial" w:hAnsi="Arial"/>
                <w:b/>
                <w:bCs/>
                <w:sz w:val="20"/>
                <w:lang w:bidi="es-ES_tradnl"/>
              </w:rPr>
            </w:pPr>
          </w:p>
          <w:p w:rsidR="00E701D7" w:rsidRPr="00DA08B4" w:rsidRDefault="00E701D7" w:rsidP="006A35A3">
            <w:pPr>
              <w:spacing w:before="19" w:line="200" w:lineRule="exact"/>
              <w:jc w:val="center"/>
              <w:rPr>
                <w:rFonts w:ascii="Arial" w:hAnsi="Arial"/>
                <w:b/>
                <w:bCs/>
                <w:sz w:val="20"/>
                <w:lang w:bidi="es-ES_tradnl"/>
              </w:rPr>
            </w:pPr>
            <w:r w:rsidRPr="00DA08B4">
              <w:rPr>
                <w:rFonts w:ascii="Arial" w:hAnsi="Arial"/>
                <w:b/>
                <w:bCs/>
                <w:sz w:val="20"/>
                <w:lang w:bidi="es-ES_tradnl"/>
              </w:rPr>
              <w:t>- 10%</w:t>
            </w:r>
          </w:p>
          <w:p w:rsidR="00E701D7" w:rsidRPr="00DA08B4" w:rsidRDefault="00E701D7" w:rsidP="006A35A3">
            <w:pPr>
              <w:spacing w:before="19" w:line="200" w:lineRule="exact"/>
              <w:jc w:val="center"/>
              <w:rPr>
                <w:rFonts w:ascii="Arial" w:hAnsi="Arial"/>
                <w:b/>
                <w:bCs/>
                <w:sz w:val="20"/>
                <w:lang w:bidi="es-ES_tradnl"/>
              </w:rPr>
            </w:pPr>
          </w:p>
          <w:p w:rsidR="00E701D7" w:rsidRPr="00DA08B4" w:rsidRDefault="00E701D7" w:rsidP="006A35A3">
            <w:pPr>
              <w:spacing w:before="19" w:line="200" w:lineRule="exact"/>
              <w:jc w:val="center"/>
              <w:rPr>
                <w:rFonts w:ascii="Arial" w:hAnsi="Arial"/>
                <w:b/>
                <w:bCs/>
                <w:sz w:val="20"/>
                <w:lang w:bidi="es-ES_tradnl"/>
              </w:rPr>
            </w:pPr>
            <w:r w:rsidRPr="00DA08B4">
              <w:rPr>
                <w:rFonts w:ascii="Arial" w:hAnsi="Arial"/>
                <w:b/>
                <w:bCs/>
                <w:sz w:val="20"/>
                <w:lang w:bidi="es-ES_tradnl"/>
              </w:rPr>
              <w:t>+ 2%</w:t>
            </w:r>
          </w:p>
        </w:tc>
        <w:tc>
          <w:tcPr>
            <w:tcW w:w="1134" w:type="dxa"/>
            <w:tcBorders>
              <w:top w:val="single" w:sz="4" w:space="0" w:color="auto"/>
              <w:left w:val="single" w:sz="4" w:space="0" w:color="auto"/>
              <w:bottom w:val="single" w:sz="4" w:space="0" w:color="auto"/>
              <w:right w:val="single" w:sz="4" w:space="0" w:color="auto"/>
            </w:tcBorders>
          </w:tcPr>
          <w:p w:rsidR="00E701D7" w:rsidRPr="00DA08B4" w:rsidRDefault="00E701D7" w:rsidP="006A35A3">
            <w:pPr>
              <w:spacing w:before="19" w:line="200" w:lineRule="exact"/>
              <w:jc w:val="center"/>
              <w:rPr>
                <w:rFonts w:ascii="Arial" w:hAnsi="Arial"/>
                <w:b/>
                <w:bCs/>
                <w:sz w:val="20"/>
                <w:lang w:bidi="es-ES_tradnl"/>
              </w:rPr>
            </w:pPr>
          </w:p>
          <w:p w:rsidR="00E701D7" w:rsidRPr="00DA08B4" w:rsidRDefault="00E701D7" w:rsidP="006A35A3">
            <w:pPr>
              <w:spacing w:before="19" w:line="200" w:lineRule="exact"/>
              <w:jc w:val="center"/>
              <w:rPr>
                <w:rFonts w:ascii="Arial" w:hAnsi="Arial"/>
                <w:b/>
                <w:bCs/>
                <w:sz w:val="20"/>
                <w:lang w:bidi="es-ES_tradnl"/>
              </w:rPr>
            </w:pPr>
            <w:r w:rsidRPr="00DA08B4">
              <w:rPr>
                <w:rFonts w:ascii="Arial" w:hAnsi="Arial"/>
                <w:b/>
                <w:bCs/>
                <w:sz w:val="20"/>
                <w:lang w:bidi="es-ES_tradnl"/>
              </w:rPr>
              <w:t>- 27%</w:t>
            </w:r>
          </w:p>
          <w:p w:rsidR="00E701D7" w:rsidRPr="00DA08B4" w:rsidRDefault="00E701D7" w:rsidP="006A35A3">
            <w:pPr>
              <w:spacing w:before="19" w:line="200" w:lineRule="exact"/>
              <w:jc w:val="center"/>
              <w:rPr>
                <w:rFonts w:ascii="Arial" w:hAnsi="Arial"/>
                <w:b/>
                <w:bCs/>
                <w:sz w:val="20"/>
                <w:lang w:bidi="es-ES_tradnl"/>
              </w:rPr>
            </w:pPr>
          </w:p>
          <w:p w:rsidR="00E701D7" w:rsidRPr="00DA08B4" w:rsidRDefault="00E701D7" w:rsidP="006A35A3">
            <w:pPr>
              <w:spacing w:before="19" w:line="200" w:lineRule="exact"/>
              <w:jc w:val="center"/>
              <w:rPr>
                <w:rFonts w:ascii="Arial" w:hAnsi="Arial"/>
                <w:b/>
                <w:bCs/>
                <w:sz w:val="20"/>
                <w:lang w:bidi="es-ES_tradnl"/>
              </w:rPr>
            </w:pPr>
            <w:r w:rsidRPr="00DA08B4">
              <w:rPr>
                <w:rFonts w:ascii="Arial" w:hAnsi="Arial"/>
                <w:b/>
                <w:bCs/>
                <w:sz w:val="20"/>
                <w:lang w:bidi="es-ES_tradnl"/>
              </w:rPr>
              <w:t>+ 6%</w:t>
            </w:r>
          </w:p>
        </w:tc>
        <w:tc>
          <w:tcPr>
            <w:tcW w:w="1417" w:type="dxa"/>
            <w:tcBorders>
              <w:top w:val="single" w:sz="4" w:space="0" w:color="auto"/>
              <w:left w:val="single" w:sz="4" w:space="0" w:color="auto"/>
              <w:bottom w:val="single" w:sz="4" w:space="0" w:color="auto"/>
              <w:right w:val="single" w:sz="4" w:space="0" w:color="auto"/>
            </w:tcBorders>
          </w:tcPr>
          <w:p w:rsidR="00E701D7" w:rsidRPr="00DA08B4" w:rsidRDefault="00E701D7" w:rsidP="006A35A3">
            <w:pPr>
              <w:spacing w:before="19" w:line="200" w:lineRule="exact"/>
              <w:jc w:val="center"/>
              <w:rPr>
                <w:rFonts w:ascii="Arial" w:hAnsi="Arial"/>
                <w:b/>
                <w:bCs/>
                <w:sz w:val="20"/>
                <w:lang w:bidi="es-ES_tradnl"/>
              </w:rPr>
            </w:pPr>
          </w:p>
          <w:p w:rsidR="00E701D7" w:rsidRPr="00DA08B4" w:rsidRDefault="00E701D7" w:rsidP="006A35A3">
            <w:pPr>
              <w:spacing w:before="19" w:line="200" w:lineRule="exact"/>
              <w:jc w:val="center"/>
              <w:rPr>
                <w:rFonts w:ascii="Arial" w:hAnsi="Arial"/>
                <w:b/>
                <w:bCs/>
                <w:sz w:val="20"/>
                <w:lang w:bidi="es-ES_tradnl"/>
              </w:rPr>
            </w:pPr>
            <w:r w:rsidRPr="00DA08B4">
              <w:rPr>
                <w:rFonts w:ascii="Arial" w:hAnsi="Arial"/>
                <w:b/>
                <w:bCs/>
                <w:sz w:val="20"/>
                <w:lang w:bidi="es-ES_tradnl"/>
              </w:rPr>
              <w:t>+ 31%</w:t>
            </w:r>
          </w:p>
          <w:p w:rsidR="00E701D7" w:rsidRPr="00DA08B4" w:rsidRDefault="00E701D7" w:rsidP="006A35A3">
            <w:pPr>
              <w:spacing w:before="19" w:line="200" w:lineRule="exact"/>
              <w:jc w:val="center"/>
              <w:rPr>
                <w:rFonts w:ascii="Arial" w:hAnsi="Arial"/>
                <w:b/>
                <w:bCs/>
                <w:sz w:val="20"/>
                <w:lang w:bidi="es-ES_tradnl"/>
              </w:rPr>
            </w:pPr>
          </w:p>
          <w:p w:rsidR="00E701D7" w:rsidRPr="00DA08B4" w:rsidRDefault="00E701D7" w:rsidP="006A35A3">
            <w:pPr>
              <w:spacing w:before="19" w:line="200" w:lineRule="exact"/>
              <w:jc w:val="center"/>
              <w:rPr>
                <w:rFonts w:ascii="Arial" w:hAnsi="Arial"/>
                <w:b/>
                <w:bCs/>
                <w:sz w:val="20"/>
                <w:lang w:bidi="es-ES_tradnl"/>
              </w:rPr>
            </w:pPr>
            <w:r w:rsidRPr="00DA08B4">
              <w:rPr>
                <w:rFonts w:ascii="Arial" w:hAnsi="Arial"/>
                <w:b/>
                <w:bCs/>
                <w:sz w:val="20"/>
                <w:lang w:bidi="es-ES_tradnl"/>
              </w:rPr>
              <w:t>+ 6%</w:t>
            </w:r>
          </w:p>
        </w:tc>
        <w:tc>
          <w:tcPr>
            <w:tcW w:w="1276" w:type="dxa"/>
            <w:tcBorders>
              <w:top w:val="single" w:sz="4" w:space="0" w:color="auto"/>
              <w:left w:val="single" w:sz="4" w:space="0" w:color="auto"/>
              <w:bottom w:val="single" w:sz="4" w:space="0" w:color="auto"/>
              <w:right w:val="single" w:sz="4" w:space="0" w:color="auto"/>
            </w:tcBorders>
          </w:tcPr>
          <w:p w:rsidR="00E701D7" w:rsidRPr="00DA08B4" w:rsidRDefault="00E701D7" w:rsidP="006A35A3">
            <w:pPr>
              <w:spacing w:before="19" w:line="200" w:lineRule="exact"/>
              <w:jc w:val="center"/>
              <w:rPr>
                <w:rFonts w:ascii="Arial" w:hAnsi="Arial"/>
                <w:b/>
                <w:bCs/>
                <w:sz w:val="20"/>
                <w:lang w:bidi="es-ES_tradnl"/>
              </w:rPr>
            </w:pPr>
          </w:p>
          <w:p w:rsidR="00E701D7" w:rsidRPr="00DA08B4" w:rsidRDefault="00E701D7" w:rsidP="006A35A3">
            <w:pPr>
              <w:spacing w:before="19" w:line="200" w:lineRule="exact"/>
              <w:jc w:val="center"/>
              <w:rPr>
                <w:rFonts w:ascii="Arial" w:hAnsi="Arial"/>
                <w:b/>
                <w:bCs/>
                <w:sz w:val="20"/>
                <w:lang w:bidi="es-ES_tradnl"/>
              </w:rPr>
            </w:pPr>
            <w:r w:rsidRPr="00DA08B4">
              <w:rPr>
                <w:rFonts w:ascii="Arial" w:hAnsi="Arial"/>
                <w:b/>
                <w:bCs/>
                <w:sz w:val="20"/>
                <w:lang w:bidi="es-ES_tradnl"/>
              </w:rPr>
              <w:t>- 9%</w:t>
            </w:r>
          </w:p>
          <w:p w:rsidR="00E701D7" w:rsidRPr="00DA08B4" w:rsidRDefault="00E701D7" w:rsidP="006A35A3">
            <w:pPr>
              <w:spacing w:before="19" w:line="200" w:lineRule="exact"/>
              <w:jc w:val="center"/>
              <w:rPr>
                <w:rFonts w:ascii="Arial" w:hAnsi="Arial"/>
                <w:b/>
                <w:bCs/>
                <w:sz w:val="20"/>
                <w:lang w:bidi="es-ES_tradnl"/>
              </w:rPr>
            </w:pPr>
          </w:p>
          <w:p w:rsidR="00E701D7" w:rsidRPr="00DA08B4" w:rsidRDefault="00E701D7" w:rsidP="006A35A3">
            <w:pPr>
              <w:spacing w:before="19" w:line="200" w:lineRule="exact"/>
              <w:jc w:val="center"/>
              <w:rPr>
                <w:rFonts w:ascii="Arial" w:hAnsi="Arial"/>
                <w:b/>
                <w:bCs/>
                <w:sz w:val="20"/>
                <w:lang w:bidi="es-ES_tradnl"/>
              </w:rPr>
            </w:pPr>
            <w:r w:rsidRPr="00DA08B4">
              <w:rPr>
                <w:rFonts w:ascii="Arial" w:hAnsi="Arial"/>
                <w:b/>
                <w:bCs/>
                <w:sz w:val="20"/>
                <w:lang w:bidi="es-ES_tradnl"/>
              </w:rPr>
              <w:t>+ 3%</w:t>
            </w:r>
          </w:p>
        </w:tc>
      </w:tr>
    </w:tbl>
    <w:p w:rsidR="00913057" w:rsidRPr="000F3918" w:rsidRDefault="00913057" w:rsidP="00913057">
      <w:pPr>
        <w:pStyle w:val="LadilloMichelinDossier"/>
        <w:numPr>
          <w:ilvl w:val="0"/>
          <w:numId w:val="5"/>
        </w:numPr>
        <w:spacing w:after="240"/>
        <w:jc w:val="both"/>
        <w:rPr>
          <w:rFonts w:ascii="Arial" w:hAnsi="Arial"/>
          <w:bCs/>
          <w:sz w:val="21"/>
          <w:lang w:val="es-ES_tradnl" w:bidi="es-ES_tradnl"/>
        </w:rPr>
      </w:pPr>
      <w:r w:rsidRPr="000F3918">
        <w:rPr>
          <w:rFonts w:ascii="Arial" w:hAnsi="Arial"/>
          <w:bCs/>
          <w:sz w:val="21"/>
          <w:lang w:val="es-ES_tradnl" w:bidi="es-ES_tradnl"/>
        </w:rPr>
        <w:t>Primeros Equipos</w:t>
      </w:r>
    </w:p>
    <w:p w:rsidR="00450DC4" w:rsidRPr="000F3918" w:rsidRDefault="00450DC4" w:rsidP="00B21DB8">
      <w:pPr>
        <w:pStyle w:val="LadilloMichelinDossier"/>
        <w:numPr>
          <w:ilvl w:val="1"/>
          <w:numId w:val="5"/>
        </w:numPr>
        <w:spacing w:before="0"/>
        <w:jc w:val="both"/>
        <w:rPr>
          <w:rFonts w:ascii="Arial" w:hAnsi="Arial"/>
          <w:b w:val="0"/>
          <w:bCs/>
          <w:sz w:val="21"/>
          <w:lang w:val="es-ES_tradnl" w:bidi="es-ES_tradnl"/>
        </w:rPr>
      </w:pPr>
      <w:r w:rsidRPr="000F3918">
        <w:rPr>
          <w:rFonts w:ascii="Arial" w:hAnsi="Arial"/>
          <w:b w:val="0"/>
          <w:bCs/>
          <w:sz w:val="21"/>
          <w:lang w:val="es-ES_tradnl" w:bidi="es-ES_tradnl"/>
        </w:rPr>
        <w:t>En Europ</w:t>
      </w:r>
      <w:r w:rsidR="00F131C2">
        <w:rPr>
          <w:rFonts w:ascii="Arial" w:hAnsi="Arial"/>
          <w:b w:val="0"/>
          <w:bCs/>
          <w:sz w:val="21"/>
          <w:lang w:val="es-ES_tradnl" w:bidi="es-ES_tradnl"/>
        </w:rPr>
        <w:t>a</w:t>
      </w:r>
      <w:r w:rsidRPr="000F3918">
        <w:rPr>
          <w:rFonts w:ascii="Arial" w:hAnsi="Arial"/>
          <w:b w:val="0"/>
          <w:bCs/>
          <w:sz w:val="21"/>
          <w:lang w:val="es-ES_tradnl" w:bidi="es-ES_tradnl"/>
        </w:rPr>
        <w:t xml:space="preserve">, </w:t>
      </w:r>
      <w:r w:rsidR="00F131C2">
        <w:rPr>
          <w:rFonts w:ascii="Arial" w:hAnsi="Arial"/>
          <w:b w:val="0"/>
          <w:bCs/>
          <w:sz w:val="21"/>
          <w:lang w:val="es-ES_tradnl" w:bidi="es-ES_tradnl"/>
        </w:rPr>
        <w:t xml:space="preserve">el mercado experimenta un retroceso del 4%, inferior a los niveles de 2007 y 2008. </w:t>
      </w:r>
      <w:r w:rsidR="002332B7">
        <w:rPr>
          <w:rFonts w:ascii="Arial" w:hAnsi="Arial"/>
          <w:b w:val="0"/>
          <w:bCs/>
          <w:sz w:val="21"/>
          <w:lang w:val="es-ES_tradnl" w:bidi="es-ES_tradnl"/>
        </w:rPr>
        <w:t xml:space="preserve">Aunque la bajada permaneció relativamente limitada durante el primer semestre </w:t>
      </w:r>
      <w:r w:rsidRPr="000F3918">
        <w:rPr>
          <w:rFonts w:ascii="Arial" w:hAnsi="Arial"/>
          <w:b w:val="0"/>
          <w:bCs/>
          <w:sz w:val="21"/>
          <w:lang w:val="es-ES_tradnl" w:bidi="es-ES_tradnl"/>
        </w:rPr>
        <w:t xml:space="preserve">(- 2 %), </w:t>
      </w:r>
      <w:r w:rsidR="002332B7">
        <w:rPr>
          <w:rFonts w:ascii="Arial" w:hAnsi="Arial"/>
          <w:b w:val="0"/>
          <w:bCs/>
          <w:sz w:val="21"/>
          <w:lang w:val="es-ES_tradnl" w:bidi="es-ES_tradnl"/>
        </w:rPr>
        <w:t>el mercado acentuó su contracción en el segundo seme</w:t>
      </w:r>
      <w:r w:rsidR="003417FD">
        <w:rPr>
          <w:rFonts w:ascii="Arial" w:hAnsi="Arial"/>
          <w:b w:val="0"/>
          <w:bCs/>
          <w:sz w:val="21"/>
          <w:lang w:val="es-ES_tradnl" w:bidi="es-ES_tradnl"/>
        </w:rPr>
        <w:t>s</w:t>
      </w:r>
      <w:r w:rsidR="002332B7">
        <w:rPr>
          <w:rFonts w:ascii="Arial" w:hAnsi="Arial"/>
          <w:b w:val="0"/>
          <w:bCs/>
          <w:sz w:val="21"/>
          <w:lang w:val="es-ES_tradnl" w:bidi="es-ES_tradnl"/>
        </w:rPr>
        <w:t xml:space="preserve">tre </w:t>
      </w:r>
      <w:r w:rsidRPr="000F3918">
        <w:rPr>
          <w:rFonts w:ascii="Arial" w:hAnsi="Arial"/>
          <w:b w:val="0"/>
          <w:bCs/>
          <w:sz w:val="21"/>
          <w:lang w:val="es-ES_tradnl" w:bidi="es-ES_tradnl"/>
        </w:rPr>
        <w:t>(-</w:t>
      </w:r>
      <w:r w:rsidR="002332B7">
        <w:rPr>
          <w:rFonts w:ascii="Arial" w:hAnsi="Arial"/>
          <w:b w:val="0"/>
          <w:bCs/>
          <w:sz w:val="21"/>
          <w:lang w:val="es-ES_tradnl" w:bidi="es-ES_tradnl"/>
        </w:rPr>
        <w:t xml:space="preserve"> </w:t>
      </w:r>
      <w:r w:rsidRPr="000F3918">
        <w:rPr>
          <w:rFonts w:ascii="Arial" w:hAnsi="Arial"/>
          <w:b w:val="0"/>
          <w:bCs/>
          <w:sz w:val="21"/>
          <w:lang w:val="es-ES_tradnl" w:bidi="es-ES_tradnl"/>
        </w:rPr>
        <w:t xml:space="preserve">5 %), </w:t>
      </w:r>
      <w:r w:rsidR="002332B7">
        <w:rPr>
          <w:rFonts w:ascii="Arial" w:hAnsi="Arial"/>
          <w:b w:val="0"/>
          <w:bCs/>
          <w:sz w:val="21"/>
          <w:lang w:val="es-ES_tradnl" w:bidi="es-ES_tradnl"/>
        </w:rPr>
        <w:t>reflejando así la degradación del contexto macroeconómico europeo</w:t>
      </w:r>
      <w:r w:rsidRPr="000F3918">
        <w:rPr>
          <w:rFonts w:ascii="Arial" w:hAnsi="Arial"/>
          <w:b w:val="0"/>
          <w:bCs/>
          <w:sz w:val="21"/>
          <w:lang w:val="es-ES_tradnl" w:bidi="es-ES_tradnl"/>
        </w:rPr>
        <w:t>.</w:t>
      </w:r>
    </w:p>
    <w:p w:rsidR="0069592E" w:rsidRDefault="00450DC4" w:rsidP="00B21DB8">
      <w:pPr>
        <w:pStyle w:val="LadilloMichelinDossier"/>
        <w:numPr>
          <w:ilvl w:val="1"/>
          <w:numId w:val="5"/>
        </w:numPr>
        <w:spacing w:before="0"/>
        <w:jc w:val="both"/>
        <w:rPr>
          <w:rFonts w:ascii="Arial" w:hAnsi="Arial"/>
          <w:b w:val="0"/>
          <w:bCs/>
          <w:sz w:val="21"/>
          <w:lang w:val="es-ES_tradnl" w:bidi="es-ES_tradnl"/>
        </w:rPr>
      </w:pPr>
      <w:r w:rsidRPr="000F3918">
        <w:rPr>
          <w:rFonts w:ascii="Arial" w:hAnsi="Arial"/>
          <w:b w:val="0"/>
          <w:bCs/>
          <w:sz w:val="21"/>
          <w:lang w:val="es-ES_tradnl" w:bidi="es-ES_tradnl"/>
        </w:rPr>
        <w:t xml:space="preserve">En </w:t>
      </w:r>
      <w:r w:rsidR="002332B7" w:rsidRPr="002332B7">
        <w:rPr>
          <w:rFonts w:ascii="Arial" w:hAnsi="Arial"/>
          <w:b w:val="0"/>
          <w:bCs/>
          <w:sz w:val="21"/>
          <w:lang w:val="es-ES_tradnl" w:bidi="es-ES_tradnl"/>
        </w:rPr>
        <w:t>América del Norte</w:t>
      </w:r>
      <w:r w:rsidRPr="000F3918">
        <w:rPr>
          <w:rFonts w:ascii="Arial" w:hAnsi="Arial"/>
          <w:b w:val="0"/>
          <w:bCs/>
          <w:sz w:val="21"/>
          <w:lang w:val="es-ES_tradnl" w:bidi="es-ES_tradnl"/>
        </w:rPr>
        <w:t xml:space="preserve">, </w:t>
      </w:r>
      <w:r w:rsidR="002332B7">
        <w:rPr>
          <w:rFonts w:ascii="Arial" w:hAnsi="Arial"/>
          <w:b w:val="0"/>
          <w:bCs/>
          <w:sz w:val="21"/>
          <w:lang w:val="es-ES_tradnl" w:bidi="es-ES_tradnl"/>
        </w:rPr>
        <w:t xml:space="preserve">tras haber </w:t>
      </w:r>
      <w:r w:rsidR="0069592E">
        <w:rPr>
          <w:rFonts w:ascii="Arial" w:hAnsi="Arial"/>
          <w:b w:val="0"/>
          <w:bCs/>
          <w:sz w:val="21"/>
          <w:lang w:val="es-ES_tradnl" w:bidi="es-ES_tradnl"/>
        </w:rPr>
        <w:t>registrado</w:t>
      </w:r>
      <w:r w:rsidR="002332B7">
        <w:rPr>
          <w:rFonts w:ascii="Arial" w:hAnsi="Arial"/>
          <w:b w:val="0"/>
          <w:bCs/>
          <w:sz w:val="21"/>
          <w:lang w:val="es-ES_tradnl" w:bidi="es-ES_tradnl"/>
        </w:rPr>
        <w:t xml:space="preserve"> un </w:t>
      </w:r>
      <w:r w:rsidR="0069592E">
        <w:rPr>
          <w:rFonts w:ascii="Arial" w:hAnsi="Arial"/>
          <w:b w:val="0"/>
          <w:bCs/>
          <w:sz w:val="21"/>
          <w:lang w:val="es-ES_tradnl" w:bidi="es-ES_tradnl"/>
        </w:rPr>
        <w:t xml:space="preserve">marcado </w:t>
      </w:r>
      <w:r w:rsidR="002332B7">
        <w:rPr>
          <w:rFonts w:ascii="Arial" w:hAnsi="Arial"/>
          <w:b w:val="0"/>
          <w:bCs/>
          <w:sz w:val="21"/>
          <w:lang w:val="es-ES_tradnl" w:bidi="es-ES_tradnl"/>
        </w:rPr>
        <w:t xml:space="preserve">crecimiento </w:t>
      </w:r>
      <w:r w:rsidR="0069592E">
        <w:rPr>
          <w:rFonts w:ascii="Arial" w:hAnsi="Arial"/>
          <w:b w:val="0"/>
          <w:bCs/>
          <w:sz w:val="21"/>
          <w:lang w:val="es-ES_tradnl" w:bidi="es-ES_tradnl"/>
        </w:rPr>
        <w:t xml:space="preserve">en el primer semestre </w:t>
      </w:r>
      <w:r w:rsidRPr="000F3918">
        <w:rPr>
          <w:rFonts w:ascii="Arial" w:hAnsi="Arial"/>
          <w:b w:val="0"/>
          <w:bCs/>
          <w:sz w:val="21"/>
          <w:lang w:val="es-ES_tradnl" w:bidi="es-ES_tradnl"/>
        </w:rPr>
        <w:t>(+</w:t>
      </w:r>
      <w:r w:rsidR="0069592E">
        <w:rPr>
          <w:rFonts w:ascii="Arial" w:hAnsi="Arial"/>
          <w:b w:val="0"/>
          <w:bCs/>
          <w:sz w:val="21"/>
          <w:lang w:val="es-ES_tradnl" w:bidi="es-ES_tradnl"/>
        </w:rPr>
        <w:t xml:space="preserve"> </w:t>
      </w:r>
      <w:r w:rsidR="002C31F8">
        <w:rPr>
          <w:rFonts w:ascii="Arial" w:hAnsi="Arial"/>
          <w:b w:val="0"/>
          <w:bCs/>
          <w:sz w:val="21"/>
          <w:lang w:val="es-ES_tradnl" w:bidi="es-ES_tradnl"/>
        </w:rPr>
        <w:t>17</w:t>
      </w:r>
      <w:r w:rsidRPr="000F3918">
        <w:rPr>
          <w:rFonts w:ascii="Arial" w:hAnsi="Arial"/>
          <w:b w:val="0"/>
          <w:bCs/>
          <w:sz w:val="21"/>
          <w:lang w:val="es-ES_tradnl" w:bidi="es-ES_tradnl"/>
        </w:rPr>
        <w:t xml:space="preserve">%), </w:t>
      </w:r>
      <w:r w:rsidR="0069592E">
        <w:rPr>
          <w:rFonts w:ascii="Arial" w:hAnsi="Arial"/>
          <w:b w:val="0"/>
          <w:bCs/>
          <w:sz w:val="21"/>
          <w:lang w:val="es-ES_tradnl" w:bidi="es-ES_tradnl"/>
        </w:rPr>
        <w:t>el mercado se ha ralentizado fuertemente en la segunda mitad del año</w:t>
      </w:r>
      <w:r w:rsidR="0006054C">
        <w:rPr>
          <w:rFonts w:ascii="Arial" w:hAnsi="Arial"/>
          <w:b w:val="0"/>
          <w:bCs/>
          <w:sz w:val="21"/>
          <w:lang w:val="es-ES_tradnl" w:bidi="es-ES_tradnl"/>
        </w:rPr>
        <w:t xml:space="preserve"> para acabar el periodo con un crecimiento limitado del 2%. Las incertidumbres macroeconómicas relacionadas con los problemas fiscales de los Estados Unido</w:t>
      </w:r>
      <w:r w:rsidR="003417FD">
        <w:rPr>
          <w:rFonts w:ascii="Arial" w:hAnsi="Arial"/>
          <w:b w:val="0"/>
          <w:bCs/>
          <w:sz w:val="21"/>
          <w:lang w:val="es-ES_tradnl" w:bidi="es-ES_tradnl"/>
        </w:rPr>
        <w:t>s</w:t>
      </w:r>
      <w:r w:rsidR="0006054C">
        <w:rPr>
          <w:rFonts w:ascii="Arial" w:hAnsi="Arial"/>
          <w:b w:val="0"/>
          <w:bCs/>
          <w:sz w:val="21"/>
          <w:lang w:val="es-ES_tradnl" w:bidi="es-ES_tradnl"/>
        </w:rPr>
        <w:t xml:space="preserve"> han pesado en los pedidos de camiones nuevos.</w:t>
      </w:r>
    </w:p>
    <w:p w:rsidR="0043224F" w:rsidRDefault="00B02992" w:rsidP="00B21DB8">
      <w:pPr>
        <w:pStyle w:val="LadilloMichelinDossier"/>
        <w:numPr>
          <w:ilvl w:val="1"/>
          <w:numId w:val="5"/>
        </w:numPr>
        <w:spacing w:before="0"/>
        <w:jc w:val="both"/>
        <w:rPr>
          <w:rFonts w:ascii="Arial" w:hAnsi="Arial"/>
          <w:b w:val="0"/>
          <w:bCs/>
          <w:sz w:val="21"/>
          <w:lang w:val="es-ES_tradnl" w:bidi="es-ES_tradnl"/>
        </w:rPr>
      </w:pPr>
      <w:r w:rsidRPr="00B02992">
        <w:rPr>
          <w:rFonts w:ascii="Arial" w:hAnsi="Arial"/>
          <w:b w:val="0"/>
          <w:bCs/>
          <w:sz w:val="21"/>
          <w:lang w:val="es-ES_tradnl" w:bidi="es-ES_tradnl"/>
        </w:rPr>
        <w:t>En Asia (excluida India)</w:t>
      </w:r>
      <w:r w:rsidR="00450DC4" w:rsidRPr="00B02992">
        <w:rPr>
          <w:rFonts w:ascii="Arial" w:hAnsi="Arial"/>
          <w:b w:val="0"/>
          <w:bCs/>
          <w:sz w:val="21"/>
          <w:lang w:val="es-ES_tradnl" w:bidi="es-ES_tradnl"/>
        </w:rPr>
        <w:t xml:space="preserve">, </w:t>
      </w:r>
      <w:r w:rsidR="0043224F" w:rsidRPr="005A249D">
        <w:rPr>
          <w:rFonts w:ascii="Arial" w:hAnsi="Arial"/>
          <w:b w:val="0"/>
          <w:bCs/>
          <w:sz w:val="21"/>
          <w:lang w:val="es-ES_tradnl" w:bidi="es-ES_tradnl"/>
        </w:rPr>
        <w:t xml:space="preserve">la demanda se ha retraído un </w:t>
      </w:r>
      <w:r w:rsidR="0043224F">
        <w:rPr>
          <w:rFonts w:ascii="Arial" w:hAnsi="Arial"/>
          <w:b w:val="0"/>
          <w:bCs/>
          <w:sz w:val="21"/>
          <w:lang w:val="es-ES_tradnl" w:bidi="es-ES_tradnl"/>
        </w:rPr>
        <w:t>9</w:t>
      </w:r>
      <w:r w:rsidR="00450DC4" w:rsidRPr="00B02992">
        <w:rPr>
          <w:rFonts w:ascii="Arial" w:hAnsi="Arial"/>
          <w:b w:val="0"/>
          <w:bCs/>
          <w:sz w:val="21"/>
          <w:lang w:val="es-ES_tradnl" w:bidi="es-ES_tradnl"/>
        </w:rPr>
        <w:t>%. En Chin</w:t>
      </w:r>
      <w:r w:rsidR="0043224F">
        <w:rPr>
          <w:rFonts w:ascii="Arial" w:hAnsi="Arial"/>
          <w:b w:val="0"/>
          <w:bCs/>
          <w:sz w:val="21"/>
          <w:lang w:val="es-ES_tradnl" w:bidi="es-ES_tradnl"/>
        </w:rPr>
        <w:t>a, en un co</w:t>
      </w:r>
      <w:r w:rsidR="003417FD">
        <w:rPr>
          <w:rFonts w:ascii="Arial" w:hAnsi="Arial"/>
          <w:b w:val="0"/>
          <w:bCs/>
          <w:sz w:val="21"/>
          <w:lang w:val="es-ES_tradnl" w:bidi="es-ES_tradnl"/>
        </w:rPr>
        <w:t>n</w:t>
      </w:r>
      <w:r w:rsidR="0043224F">
        <w:rPr>
          <w:rFonts w:ascii="Arial" w:hAnsi="Arial"/>
          <w:b w:val="0"/>
          <w:bCs/>
          <w:sz w:val="21"/>
          <w:lang w:val="es-ES_tradnl" w:bidi="es-ES_tradnl"/>
        </w:rPr>
        <w:t>tex</w:t>
      </w:r>
      <w:r w:rsidR="003417FD">
        <w:rPr>
          <w:rFonts w:ascii="Arial" w:hAnsi="Arial"/>
          <w:b w:val="0"/>
          <w:bCs/>
          <w:sz w:val="21"/>
          <w:lang w:val="es-ES_tradnl" w:bidi="es-ES_tradnl"/>
        </w:rPr>
        <w:t>t</w:t>
      </w:r>
      <w:r w:rsidR="0043224F">
        <w:rPr>
          <w:rFonts w:ascii="Arial" w:hAnsi="Arial"/>
          <w:b w:val="0"/>
          <w:bCs/>
          <w:sz w:val="21"/>
          <w:lang w:val="es-ES_tradnl" w:bidi="es-ES_tradnl"/>
        </w:rPr>
        <w:t>o de ralentización del crecimien</w:t>
      </w:r>
      <w:r w:rsidR="001C2ECA">
        <w:rPr>
          <w:rFonts w:ascii="Arial" w:hAnsi="Arial"/>
          <w:b w:val="0"/>
          <w:bCs/>
          <w:sz w:val="21"/>
          <w:lang w:val="es-ES_tradnl" w:bidi="es-ES_tradnl"/>
        </w:rPr>
        <w:t>to económico y en particular de las exportaciones, el mercado ha bajado (- 15</w:t>
      </w:r>
      <w:r w:rsidR="00450DC4" w:rsidRPr="00B02992">
        <w:rPr>
          <w:rFonts w:ascii="Arial" w:hAnsi="Arial"/>
          <w:b w:val="0"/>
          <w:bCs/>
          <w:sz w:val="21"/>
          <w:lang w:val="es-ES_tradnl" w:bidi="es-ES_tradnl"/>
        </w:rPr>
        <w:t xml:space="preserve">%). En </w:t>
      </w:r>
      <w:r w:rsidR="00FC4082">
        <w:rPr>
          <w:rFonts w:ascii="Arial" w:hAnsi="Arial"/>
          <w:b w:val="0"/>
          <w:bCs/>
          <w:sz w:val="21"/>
          <w:lang w:val="es-ES_tradnl" w:bidi="es-ES_tradnl"/>
        </w:rPr>
        <w:t>el sudeste asiático,</w:t>
      </w:r>
      <w:r w:rsidR="00450DC4" w:rsidRPr="00B02992">
        <w:rPr>
          <w:rFonts w:ascii="Arial" w:hAnsi="Arial"/>
          <w:b w:val="0"/>
          <w:bCs/>
          <w:sz w:val="21"/>
          <w:lang w:val="es-ES_tradnl" w:bidi="es-ES_tradnl"/>
        </w:rPr>
        <w:t xml:space="preserve"> </w:t>
      </w:r>
      <w:r w:rsidR="00FC4082">
        <w:rPr>
          <w:rFonts w:ascii="Arial" w:hAnsi="Arial"/>
          <w:b w:val="0"/>
          <w:bCs/>
          <w:sz w:val="21"/>
          <w:lang w:val="es-ES_tradnl" w:bidi="es-ES_tradnl"/>
        </w:rPr>
        <w:t>el mercado, que continúa su ‘radialización’</w:t>
      </w:r>
      <w:r w:rsidR="00450DC4" w:rsidRPr="00B02992">
        <w:rPr>
          <w:rFonts w:ascii="Arial" w:hAnsi="Arial"/>
          <w:b w:val="0"/>
          <w:bCs/>
          <w:sz w:val="21"/>
          <w:lang w:val="es-ES_tradnl" w:bidi="es-ES_tradnl"/>
        </w:rPr>
        <w:t xml:space="preserve">, </w:t>
      </w:r>
      <w:r w:rsidR="00FC4082">
        <w:rPr>
          <w:rFonts w:ascii="Arial" w:hAnsi="Arial"/>
          <w:b w:val="0"/>
          <w:bCs/>
          <w:sz w:val="21"/>
          <w:lang w:val="es-ES_tradnl" w:bidi="es-ES_tradnl"/>
        </w:rPr>
        <w:t>ha sido muy activo (+ 42</w:t>
      </w:r>
      <w:r w:rsidR="00450DC4" w:rsidRPr="00B02992">
        <w:rPr>
          <w:rFonts w:ascii="Arial" w:hAnsi="Arial"/>
          <w:b w:val="0"/>
          <w:bCs/>
          <w:sz w:val="21"/>
          <w:lang w:val="es-ES_tradnl" w:bidi="es-ES_tradnl"/>
        </w:rPr>
        <w:t xml:space="preserve">%), </w:t>
      </w:r>
      <w:r w:rsidR="00853C99">
        <w:rPr>
          <w:rFonts w:ascii="Arial" w:hAnsi="Arial"/>
          <w:b w:val="0"/>
          <w:bCs/>
          <w:sz w:val="21"/>
          <w:lang w:val="es-ES_tradnl" w:bidi="es-ES_tradnl"/>
        </w:rPr>
        <w:t xml:space="preserve">al igual que </w:t>
      </w:r>
      <w:r w:rsidR="00FC4082">
        <w:rPr>
          <w:rFonts w:ascii="Arial" w:hAnsi="Arial"/>
          <w:b w:val="0"/>
          <w:bCs/>
          <w:sz w:val="21"/>
          <w:lang w:val="es-ES_tradnl" w:bidi="es-ES_tradnl"/>
        </w:rPr>
        <w:t xml:space="preserve">en Japón </w:t>
      </w:r>
      <w:r w:rsidR="00853C99">
        <w:rPr>
          <w:rFonts w:ascii="Arial" w:hAnsi="Arial"/>
          <w:b w:val="0"/>
          <w:bCs/>
          <w:sz w:val="21"/>
          <w:lang w:val="es-ES_tradnl" w:bidi="es-ES_tradnl"/>
        </w:rPr>
        <w:t>(+ 12</w:t>
      </w:r>
      <w:r w:rsidR="00450DC4" w:rsidRPr="00B02992">
        <w:rPr>
          <w:rFonts w:ascii="Arial" w:hAnsi="Arial"/>
          <w:b w:val="0"/>
          <w:bCs/>
          <w:sz w:val="21"/>
          <w:lang w:val="es-ES_tradnl" w:bidi="es-ES_tradnl"/>
        </w:rPr>
        <w:t xml:space="preserve">%), </w:t>
      </w:r>
      <w:r w:rsidR="00035747">
        <w:rPr>
          <w:rFonts w:ascii="Arial" w:hAnsi="Arial"/>
          <w:b w:val="0"/>
          <w:bCs/>
          <w:sz w:val="21"/>
          <w:lang w:val="es-ES_tradnl" w:bidi="es-ES_tradnl"/>
        </w:rPr>
        <w:t>beneficiándose ambos</w:t>
      </w:r>
      <w:r w:rsidR="00853C99">
        <w:rPr>
          <w:rFonts w:ascii="Arial" w:hAnsi="Arial"/>
          <w:b w:val="0"/>
          <w:bCs/>
          <w:sz w:val="21"/>
          <w:lang w:val="es-ES_tradnl" w:bidi="es-ES_tradnl"/>
        </w:rPr>
        <w:t xml:space="preserve"> de una base comparativa </w:t>
      </w:r>
      <w:r w:rsidR="00035747">
        <w:rPr>
          <w:rFonts w:ascii="Arial" w:hAnsi="Arial"/>
          <w:b w:val="0"/>
          <w:bCs/>
          <w:sz w:val="21"/>
          <w:lang w:val="es-ES_tradnl" w:bidi="es-ES_tradnl"/>
        </w:rPr>
        <w:t>con 2011 marcada por las inundaciones y el tsunami</w:t>
      </w:r>
      <w:r w:rsidR="00450DC4" w:rsidRPr="00B02992">
        <w:rPr>
          <w:rFonts w:ascii="Arial" w:hAnsi="Arial"/>
          <w:b w:val="0"/>
          <w:bCs/>
          <w:sz w:val="21"/>
          <w:lang w:val="es-ES_tradnl" w:bidi="es-ES_tradnl"/>
        </w:rPr>
        <w:t>.</w:t>
      </w:r>
    </w:p>
    <w:p w:rsidR="00E632A9" w:rsidRDefault="00F63ECA" w:rsidP="00A61AD3">
      <w:pPr>
        <w:pStyle w:val="LadilloMichelinDossier"/>
        <w:numPr>
          <w:ilvl w:val="1"/>
          <w:numId w:val="5"/>
        </w:numPr>
        <w:spacing w:before="0"/>
        <w:jc w:val="both"/>
        <w:rPr>
          <w:rFonts w:ascii="Arial" w:hAnsi="Arial"/>
          <w:b w:val="0"/>
          <w:bCs/>
          <w:sz w:val="21"/>
          <w:lang w:val="es-ES_tradnl" w:bidi="es-ES_tradnl"/>
        </w:rPr>
      </w:pPr>
      <w:r>
        <w:rPr>
          <w:rFonts w:ascii="Arial" w:hAnsi="Arial"/>
          <w:b w:val="0"/>
          <w:bCs/>
          <w:sz w:val="21"/>
          <w:lang w:val="es-ES_tradnl" w:bidi="es-ES_tradnl"/>
        </w:rPr>
        <w:t>E</w:t>
      </w:r>
      <w:r w:rsidR="00450DC4" w:rsidRPr="00F63ECA">
        <w:rPr>
          <w:rFonts w:ascii="Arial" w:hAnsi="Arial"/>
          <w:b w:val="0"/>
          <w:bCs/>
          <w:sz w:val="21"/>
          <w:lang w:val="es-ES_tradnl" w:bidi="es-ES_tradnl"/>
        </w:rPr>
        <w:t xml:space="preserve">n </w:t>
      </w:r>
      <w:r w:rsidRPr="00F63ECA">
        <w:rPr>
          <w:rFonts w:ascii="Arial" w:hAnsi="Arial"/>
          <w:b w:val="0"/>
          <w:bCs/>
          <w:sz w:val="21"/>
          <w:lang w:val="es-ES_tradnl" w:bidi="es-ES_tradnl"/>
        </w:rPr>
        <w:t>América del Sur</w:t>
      </w:r>
      <w:r w:rsidR="00450DC4" w:rsidRPr="00F63ECA">
        <w:rPr>
          <w:rFonts w:ascii="Arial" w:hAnsi="Arial"/>
          <w:b w:val="0"/>
          <w:bCs/>
          <w:sz w:val="21"/>
          <w:lang w:val="es-ES_tradnl" w:bidi="es-ES_tradnl"/>
        </w:rPr>
        <w:t xml:space="preserve">, </w:t>
      </w:r>
      <w:r>
        <w:rPr>
          <w:rFonts w:ascii="Arial" w:hAnsi="Arial"/>
          <w:b w:val="0"/>
          <w:bCs/>
          <w:sz w:val="21"/>
          <w:lang w:val="es-ES_tradnl" w:bidi="es-ES_tradnl"/>
        </w:rPr>
        <w:t xml:space="preserve">el mercado </w:t>
      </w:r>
      <w:r w:rsidR="004C2CC9">
        <w:rPr>
          <w:rFonts w:ascii="Arial" w:hAnsi="Arial"/>
          <w:b w:val="0"/>
          <w:bCs/>
          <w:sz w:val="21"/>
          <w:lang w:val="es-ES_tradnl" w:bidi="es-ES_tradnl"/>
        </w:rPr>
        <w:t>experimenta</w:t>
      </w:r>
      <w:r>
        <w:rPr>
          <w:rFonts w:ascii="Arial" w:hAnsi="Arial"/>
          <w:b w:val="0"/>
          <w:bCs/>
          <w:sz w:val="21"/>
          <w:lang w:val="es-ES_tradnl" w:bidi="es-ES_tradnl"/>
        </w:rPr>
        <w:t xml:space="preserve"> una caída importante (- 30</w:t>
      </w:r>
      <w:r w:rsidR="00450DC4" w:rsidRPr="00F63ECA">
        <w:rPr>
          <w:rFonts w:ascii="Arial" w:hAnsi="Arial"/>
          <w:b w:val="0"/>
          <w:bCs/>
          <w:sz w:val="21"/>
          <w:lang w:val="es-ES_tradnl" w:bidi="es-ES_tradnl"/>
        </w:rPr>
        <w:t xml:space="preserve">%) </w:t>
      </w:r>
      <w:r w:rsidR="00E632A9">
        <w:rPr>
          <w:rFonts w:ascii="Arial" w:hAnsi="Arial"/>
          <w:b w:val="0"/>
          <w:bCs/>
          <w:sz w:val="21"/>
          <w:lang w:val="es-ES_tradnl" w:bidi="es-ES_tradnl"/>
        </w:rPr>
        <w:t xml:space="preserve">como consecuencia de la introducción en Brasil de la norma </w:t>
      </w:r>
      <w:r w:rsidR="00450DC4" w:rsidRPr="00F63ECA">
        <w:rPr>
          <w:rFonts w:ascii="Arial" w:hAnsi="Arial"/>
          <w:b w:val="0"/>
          <w:bCs/>
          <w:sz w:val="21"/>
          <w:lang w:val="es-ES_tradnl" w:bidi="es-ES_tradnl"/>
        </w:rPr>
        <w:t xml:space="preserve">EURO V en 2012. </w:t>
      </w:r>
      <w:r w:rsidR="00E632A9">
        <w:rPr>
          <w:rFonts w:ascii="Arial" w:hAnsi="Arial"/>
          <w:b w:val="0"/>
          <w:bCs/>
          <w:sz w:val="21"/>
          <w:lang w:val="es-ES_tradnl" w:bidi="es-ES_tradnl"/>
        </w:rPr>
        <w:t xml:space="preserve">La puesta en marcha por el Gobierno brasileño de </w:t>
      </w:r>
      <w:r w:rsidR="00D774E3">
        <w:rPr>
          <w:rFonts w:ascii="Arial" w:hAnsi="Arial"/>
          <w:b w:val="0"/>
          <w:bCs/>
          <w:sz w:val="21"/>
          <w:lang w:val="es-ES_tradnl" w:bidi="es-ES_tradnl"/>
        </w:rPr>
        <w:t xml:space="preserve">favorables </w:t>
      </w:r>
      <w:r w:rsidR="00E632A9">
        <w:rPr>
          <w:rFonts w:ascii="Arial" w:hAnsi="Arial"/>
          <w:b w:val="0"/>
          <w:bCs/>
          <w:sz w:val="21"/>
          <w:lang w:val="es-ES_tradnl" w:bidi="es-ES_tradnl"/>
        </w:rPr>
        <w:t xml:space="preserve">condiciones </w:t>
      </w:r>
      <w:r w:rsidR="00D774E3">
        <w:rPr>
          <w:rFonts w:ascii="Arial" w:hAnsi="Arial"/>
          <w:b w:val="0"/>
          <w:bCs/>
          <w:sz w:val="21"/>
          <w:lang w:val="es-ES_tradnl" w:bidi="es-ES_tradnl"/>
        </w:rPr>
        <w:t>de financiación</w:t>
      </w:r>
      <w:r w:rsidR="00E632A9">
        <w:rPr>
          <w:rFonts w:ascii="Arial" w:hAnsi="Arial"/>
          <w:b w:val="0"/>
          <w:bCs/>
          <w:sz w:val="21"/>
          <w:lang w:val="es-ES_tradnl" w:bidi="es-ES_tradnl"/>
        </w:rPr>
        <w:t xml:space="preserve"> ha permitido al mercado </w:t>
      </w:r>
      <w:r w:rsidR="00A26E85">
        <w:rPr>
          <w:rFonts w:ascii="Arial" w:hAnsi="Arial"/>
          <w:b w:val="0"/>
          <w:bCs/>
          <w:sz w:val="21"/>
          <w:lang w:val="es-ES_tradnl" w:bidi="es-ES_tradnl"/>
        </w:rPr>
        <w:t>modificar esa tendencia y recuperarse en el cuarto trimestre.</w:t>
      </w:r>
    </w:p>
    <w:p w:rsidR="00913057" w:rsidRPr="000F3918" w:rsidRDefault="00913057" w:rsidP="00913057">
      <w:pPr>
        <w:pStyle w:val="LadilloMichelinDossier"/>
        <w:numPr>
          <w:ilvl w:val="0"/>
          <w:numId w:val="5"/>
        </w:numPr>
        <w:spacing w:after="240"/>
        <w:jc w:val="both"/>
        <w:rPr>
          <w:bCs/>
          <w:lang w:val="es-ES_tradnl" w:bidi="es-ES_tradnl"/>
        </w:rPr>
      </w:pPr>
      <w:r w:rsidRPr="000F3918">
        <w:rPr>
          <w:rFonts w:ascii="Arial" w:hAnsi="Arial"/>
          <w:bCs/>
          <w:sz w:val="21"/>
          <w:lang w:val="es-ES_tradnl" w:bidi="es-ES_tradnl"/>
        </w:rPr>
        <w:t>Reemplazo</w:t>
      </w:r>
    </w:p>
    <w:p w:rsidR="00170AED" w:rsidRDefault="008A42EA" w:rsidP="00B21DB8">
      <w:pPr>
        <w:pStyle w:val="LadilloMichelinDossier"/>
        <w:numPr>
          <w:ilvl w:val="1"/>
          <w:numId w:val="5"/>
        </w:numPr>
        <w:spacing w:before="0"/>
        <w:jc w:val="both"/>
        <w:rPr>
          <w:rFonts w:ascii="Arial" w:hAnsi="Arial"/>
          <w:b w:val="0"/>
          <w:bCs/>
          <w:sz w:val="21"/>
          <w:lang w:val="es-ES_tradnl" w:bidi="es-ES_tradnl"/>
        </w:rPr>
      </w:pPr>
      <w:r w:rsidRPr="000F3918">
        <w:rPr>
          <w:rFonts w:ascii="Arial" w:hAnsi="Arial"/>
          <w:b w:val="0"/>
          <w:bCs/>
          <w:sz w:val="21"/>
          <w:lang w:val="es-ES_tradnl" w:bidi="es-ES_tradnl"/>
        </w:rPr>
        <w:t>En Europ</w:t>
      </w:r>
      <w:r w:rsidR="00A26E85">
        <w:rPr>
          <w:rFonts w:ascii="Arial" w:hAnsi="Arial"/>
          <w:b w:val="0"/>
          <w:bCs/>
          <w:sz w:val="21"/>
          <w:lang w:val="es-ES_tradnl" w:bidi="es-ES_tradnl"/>
        </w:rPr>
        <w:t>a</w:t>
      </w:r>
      <w:r w:rsidRPr="000F3918">
        <w:rPr>
          <w:rFonts w:ascii="Arial" w:hAnsi="Arial"/>
          <w:b w:val="0"/>
          <w:bCs/>
          <w:sz w:val="21"/>
          <w:lang w:val="es-ES_tradnl" w:bidi="es-ES_tradnl"/>
        </w:rPr>
        <w:t xml:space="preserve">, </w:t>
      </w:r>
      <w:r w:rsidR="00A26E85">
        <w:rPr>
          <w:rFonts w:ascii="Arial" w:hAnsi="Arial"/>
          <w:b w:val="0"/>
          <w:bCs/>
          <w:sz w:val="21"/>
          <w:lang w:val="es-ES_tradnl" w:bidi="es-ES_tradnl"/>
        </w:rPr>
        <w:t xml:space="preserve">el mercado </w:t>
      </w:r>
      <w:r w:rsidR="00D20288">
        <w:rPr>
          <w:rFonts w:ascii="Arial" w:hAnsi="Arial"/>
          <w:b w:val="0"/>
          <w:bCs/>
          <w:sz w:val="21"/>
          <w:lang w:val="es-ES_tradnl" w:bidi="es-ES_tradnl"/>
        </w:rPr>
        <w:t>cae un</w:t>
      </w:r>
      <w:r w:rsidR="00A26E85">
        <w:rPr>
          <w:rFonts w:ascii="Arial" w:hAnsi="Arial"/>
          <w:b w:val="0"/>
          <w:bCs/>
          <w:sz w:val="21"/>
          <w:lang w:val="es-ES_tradnl" w:bidi="es-ES_tradnl"/>
        </w:rPr>
        <w:t xml:space="preserve"> 14</w:t>
      </w:r>
      <w:r w:rsidRPr="000F3918">
        <w:rPr>
          <w:rFonts w:ascii="Arial" w:hAnsi="Arial"/>
          <w:b w:val="0"/>
          <w:bCs/>
          <w:sz w:val="21"/>
          <w:lang w:val="es-ES_tradnl" w:bidi="es-ES_tradnl"/>
        </w:rPr>
        <w:t xml:space="preserve">%. </w:t>
      </w:r>
      <w:r w:rsidR="00A26E85">
        <w:rPr>
          <w:rFonts w:ascii="Arial" w:hAnsi="Arial"/>
          <w:b w:val="0"/>
          <w:bCs/>
          <w:sz w:val="21"/>
          <w:lang w:val="es-ES_tradnl" w:bidi="es-ES_tradnl"/>
        </w:rPr>
        <w:t>En el primer semestre (- 25</w:t>
      </w:r>
      <w:r w:rsidRPr="000F3918">
        <w:rPr>
          <w:rFonts w:ascii="Arial" w:hAnsi="Arial"/>
          <w:b w:val="0"/>
          <w:bCs/>
          <w:sz w:val="21"/>
          <w:lang w:val="es-ES_tradnl" w:bidi="es-ES_tradnl"/>
        </w:rPr>
        <w:t xml:space="preserve">%), la </w:t>
      </w:r>
      <w:r w:rsidR="00B80CCE">
        <w:rPr>
          <w:rFonts w:ascii="Arial" w:hAnsi="Arial"/>
          <w:b w:val="0"/>
          <w:bCs/>
          <w:sz w:val="21"/>
          <w:lang w:val="es-ES_tradnl" w:bidi="es-ES_tradnl"/>
        </w:rPr>
        <w:t xml:space="preserve">bajada se explica principalmente por las elevadas bases de comparación y por un fenómeno de </w:t>
      </w:r>
      <w:r w:rsidR="00E701D7">
        <w:rPr>
          <w:rFonts w:ascii="Arial" w:hAnsi="Arial"/>
          <w:b w:val="0"/>
          <w:bCs/>
          <w:sz w:val="21"/>
          <w:lang w:val="es-ES_tradnl" w:bidi="es-ES_tradnl"/>
        </w:rPr>
        <w:t>reducción de stock en la distribución</w:t>
      </w:r>
      <w:r w:rsidRPr="000F3918">
        <w:rPr>
          <w:rFonts w:ascii="Arial" w:hAnsi="Arial"/>
          <w:b w:val="0"/>
          <w:bCs/>
          <w:sz w:val="21"/>
          <w:lang w:val="es-ES_tradnl" w:bidi="es-ES_tradnl"/>
        </w:rPr>
        <w:t xml:space="preserve">. </w:t>
      </w:r>
      <w:r w:rsidR="00170AED">
        <w:rPr>
          <w:rFonts w:ascii="Arial" w:hAnsi="Arial"/>
          <w:b w:val="0"/>
          <w:bCs/>
          <w:sz w:val="21"/>
          <w:lang w:val="es-ES_tradnl" w:bidi="es-ES_tradnl"/>
        </w:rPr>
        <w:t>En el segundo semestre, la debilidad de la actividad del transporte y las perspectivas macroeconómicas han continuado pesando sobre la demanda. En Europa oriental, el retroceso del mercado (- 3</w:t>
      </w:r>
      <w:r w:rsidRPr="000F3918">
        <w:rPr>
          <w:rFonts w:ascii="Arial" w:hAnsi="Arial"/>
          <w:b w:val="0"/>
          <w:bCs/>
          <w:sz w:val="21"/>
          <w:lang w:val="es-ES_tradnl" w:bidi="es-ES_tradnl"/>
        </w:rPr>
        <w:t xml:space="preserve">%) </w:t>
      </w:r>
      <w:r w:rsidR="00170AED">
        <w:rPr>
          <w:rFonts w:ascii="Arial" w:hAnsi="Arial"/>
          <w:b w:val="0"/>
          <w:bCs/>
          <w:sz w:val="21"/>
          <w:lang w:val="es-ES_tradnl" w:bidi="es-ES_tradnl"/>
        </w:rPr>
        <w:t xml:space="preserve">está relacionado fundamentalmente por </w:t>
      </w:r>
      <w:r w:rsidR="00E701D7">
        <w:rPr>
          <w:rFonts w:ascii="Arial" w:hAnsi="Arial"/>
          <w:b w:val="0"/>
          <w:bCs/>
          <w:sz w:val="21"/>
          <w:lang w:val="es-ES_tradnl" w:bidi="es-ES_tradnl"/>
        </w:rPr>
        <w:t>el mismo fenómeno de reducción de stocks</w:t>
      </w:r>
      <w:r w:rsidR="00170AED">
        <w:rPr>
          <w:rFonts w:ascii="Arial" w:hAnsi="Arial"/>
          <w:b w:val="0"/>
          <w:bCs/>
          <w:sz w:val="21"/>
          <w:lang w:val="es-ES_tradnl" w:bidi="es-ES_tradnl"/>
        </w:rPr>
        <w:t>.</w:t>
      </w:r>
    </w:p>
    <w:p w:rsidR="00170AED" w:rsidRDefault="00170AED" w:rsidP="00B21DB8">
      <w:pPr>
        <w:pStyle w:val="LadilloMichelinDossier"/>
        <w:numPr>
          <w:ilvl w:val="1"/>
          <w:numId w:val="5"/>
        </w:numPr>
        <w:spacing w:before="0"/>
        <w:jc w:val="both"/>
        <w:rPr>
          <w:rFonts w:ascii="Arial" w:hAnsi="Arial"/>
          <w:b w:val="0"/>
          <w:bCs/>
          <w:sz w:val="21"/>
          <w:lang w:val="es-ES_tradnl" w:bidi="es-ES_tradnl"/>
        </w:rPr>
      </w:pPr>
      <w:r w:rsidRPr="000F3918">
        <w:rPr>
          <w:rFonts w:ascii="Arial" w:hAnsi="Arial"/>
          <w:b w:val="0"/>
          <w:bCs/>
          <w:sz w:val="21"/>
          <w:lang w:val="es-ES_tradnl" w:bidi="es-ES_tradnl"/>
        </w:rPr>
        <w:t xml:space="preserve">En </w:t>
      </w:r>
      <w:r w:rsidRPr="002332B7">
        <w:rPr>
          <w:rFonts w:ascii="Arial" w:hAnsi="Arial"/>
          <w:b w:val="0"/>
          <w:bCs/>
          <w:sz w:val="21"/>
          <w:lang w:val="es-ES_tradnl" w:bidi="es-ES_tradnl"/>
        </w:rPr>
        <w:t>América del Norte</w:t>
      </w:r>
      <w:r w:rsidRPr="000F3918">
        <w:rPr>
          <w:rFonts w:ascii="Arial" w:hAnsi="Arial"/>
          <w:b w:val="0"/>
          <w:bCs/>
          <w:sz w:val="21"/>
          <w:lang w:val="es-ES_tradnl" w:bidi="es-ES_tradnl"/>
        </w:rPr>
        <w:t xml:space="preserve">, </w:t>
      </w:r>
      <w:r>
        <w:rPr>
          <w:rFonts w:ascii="Arial" w:hAnsi="Arial"/>
          <w:b w:val="0"/>
          <w:bCs/>
          <w:sz w:val="21"/>
          <w:lang w:val="es-ES_tradnl" w:bidi="es-ES_tradnl"/>
        </w:rPr>
        <w:t>el mercado experimenta una bajada limitada del 2%, que refleja la prudencia de las flotas ante la incertidumbre económica</w:t>
      </w:r>
      <w:r w:rsidR="00466CE7">
        <w:rPr>
          <w:rFonts w:ascii="Arial" w:hAnsi="Arial"/>
          <w:b w:val="0"/>
          <w:bCs/>
          <w:sz w:val="21"/>
          <w:lang w:val="es-ES_tradnl" w:bidi="es-ES_tradnl"/>
        </w:rPr>
        <w:t xml:space="preserve"> a pesar de una actividad de fletes relativamente robusta. Esta contracción puede también explicarse por el fuerte crecimiento de los primeros equipos y por la disponibilidad de carcasas para el recauchutado </w:t>
      </w:r>
    </w:p>
    <w:p w:rsidR="00AD0BF3" w:rsidRPr="00A13D96" w:rsidRDefault="00A13D96" w:rsidP="00B21DB8">
      <w:pPr>
        <w:pStyle w:val="LadilloMichelinDossier"/>
        <w:numPr>
          <w:ilvl w:val="1"/>
          <w:numId w:val="5"/>
        </w:numPr>
        <w:spacing w:before="0"/>
        <w:jc w:val="both"/>
        <w:rPr>
          <w:rFonts w:ascii="Arial" w:hAnsi="Arial"/>
          <w:b w:val="0"/>
          <w:bCs/>
          <w:sz w:val="21"/>
          <w:lang w:val="es-ES_tradnl" w:bidi="es-ES_tradnl"/>
        </w:rPr>
      </w:pPr>
      <w:r>
        <w:rPr>
          <w:rFonts w:ascii="Arial" w:hAnsi="Arial"/>
          <w:b w:val="0"/>
          <w:bCs/>
          <w:sz w:val="21"/>
          <w:lang w:val="es-ES_tradnl" w:bidi="es-ES_tradnl"/>
        </w:rPr>
        <w:t>Los mercados de</w:t>
      </w:r>
      <w:r w:rsidR="008A42EA" w:rsidRPr="000F3918">
        <w:rPr>
          <w:rFonts w:ascii="Arial" w:hAnsi="Arial"/>
          <w:b w:val="0"/>
          <w:bCs/>
          <w:sz w:val="21"/>
          <w:lang w:val="es-ES_tradnl" w:bidi="es-ES_tradnl"/>
        </w:rPr>
        <w:t xml:space="preserve"> </w:t>
      </w:r>
      <w:r w:rsidRPr="00B02992">
        <w:rPr>
          <w:rFonts w:ascii="Arial" w:hAnsi="Arial"/>
          <w:b w:val="0"/>
          <w:bCs/>
          <w:sz w:val="21"/>
          <w:lang w:val="es-ES_tradnl" w:bidi="es-ES_tradnl"/>
        </w:rPr>
        <w:t>Asia (excluida India)</w:t>
      </w:r>
      <w:r>
        <w:rPr>
          <w:rFonts w:ascii="Arial" w:hAnsi="Arial"/>
          <w:b w:val="0"/>
          <w:bCs/>
          <w:sz w:val="21"/>
          <w:lang w:val="es-ES_tradnl" w:bidi="es-ES_tradnl"/>
        </w:rPr>
        <w:t xml:space="preserve"> caen un 6%. En China, el mercado decre</w:t>
      </w:r>
      <w:r w:rsidR="001609F0">
        <w:rPr>
          <w:rFonts w:ascii="Arial" w:hAnsi="Arial"/>
          <w:b w:val="0"/>
          <w:bCs/>
          <w:sz w:val="21"/>
          <w:lang w:val="es-ES_tradnl" w:bidi="es-ES_tradnl"/>
        </w:rPr>
        <w:t>ce    (- 7%) por la desaceleración d</w:t>
      </w:r>
      <w:r w:rsidR="00FB27F6">
        <w:rPr>
          <w:rFonts w:ascii="Arial" w:hAnsi="Arial"/>
          <w:b w:val="0"/>
          <w:bCs/>
          <w:sz w:val="21"/>
          <w:lang w:val="es-ES_tradnl" w:bidi="es-ES_tradnl"/>
        </w:rPr>
        <w:t>el crecimiento económico y de las exportaci</w:t>
      </w:r>
      <w:r w:rsidR="001609F0">
        <w:rPr>
          <w:rFonts w:ascii="Arial" w:hAnsi="Arial"/>
          <w:b w:val="0"/>
          <w:bCs/>
          <w:sz w:val="21"/>
          <w:lang w:val="es-ES_tradnl" w:bidi="es-ES_tradnl"/>
        </w:rPr>
        <w:t>ones. En Japón, el mercado</w:t>
      </w:r>
      <w:r w:rsidR="00E61C86">
        <w:rPr>
          <w:rFonts w:ascii="Arial" w:hAnsi="Arial"/>
          <w:b w:val="0"/>
          <w:bCs/>
          <w:sz w:val="21"/>
          <w:lang w:val="es-ES_tradnl" w:bidi="es-ES_tradnl"/>
        </w:rPr>
        <w:t xml:space="preserve"> está a la</w:t>
      </w:r>
      <w:r w:rsidR="001609F0">
        <w:rPr>
          <w:rFonts w:ascii="Arial" w:hAnsi="Arial"/>
          <w:b w:val="0"/>
          <w:bCs/>
          <w:sz w:val="21"/>
          <w:lang w:val="es-ES_tradnl" w:bidi="es-ES_tradnl"/>
        </w:rPr>
        <w:t xml:space="preserve"> baja </w:t>
      </w:r>
      <w:r w:rsidR="008A42EA" w:rsidRPr="00A13D96">
        <w:rPr>
          <w:rFonts w:ascii="Arial" w:hAnsi="Arial"/>
          <w:b w:val="0"/>
          <w:bCs/>
          <w:sz w:val="21"/>
          <w:lang w:val="es-ES_tradnl" w:bidi="es-ES_tradnl"/>
        </w:rPr>
        <w:t xml:space="preserve">(- 6 %), </w:t>
      </w:r>
      <w:r w:rsidR="009F2C58">
        <w:rPr>
          <w:rFonts w:ascii="Arial" w:hAnsi="Arial"/>
          <w:b w:val="0"/>
          <w:bCs/>
          <w:sz w:val="21"/>
          <w:lang w:val="es-ES_tradnl" w:bidi="es-ES_tradnl"/>
        </w:rPr>
        <w:t xml:space="preserve">con una </w:t>
      </w:r>
      <w:r w:rsidR="00FF1CEF">
        <w:rPr>
          <w:rFonts w:ascii="Arial" w:hAnsi="Arial"/>
          <w:b w:val="0"/>
          <w:bCs/>
          <w:sz w:val="21"/>
          <w:lang w:val="es-ES_tradnl" w:bidi="es-ES_tradnl"/>
        </w:rPr>
        <w:t xml:space="preserve">base de comparación </w:t>
      </w:r>
      <w:r w:rsidR="009F2C58">
        <w:rPr>
          <w:rFonts w:ascii="Arial" w:hAnsi="Arial"/>
          <w:b w:val="0"/>
          <w:bCs/>
          <w:sz w:val="21"/>
          <w:lang w:val="es-ES_tradnl" w:bidi="es-ES_tradnl"/>
        </w:rPr>
        <w:t xml:space="preserve">con 2011 </w:t>
      </w:r>
      <w:r w:rsidR="00FF1CEF">
        <w:rPr>
          <w:rFonts w:ascii="Arial" w:hAnsi="Arial"/>
          <w:b w:val="0"/>
          <w:bCs/>
          <w:sz w:val="21"/>
          <w:lang w:val="es-ES_tradnl" w:bidi="es-ES_tradnl"/>
        </w:rPr>
        <w:t xml:space="preserve">elevada </w:t>
      </w:r>
      <w:r w:rsidR="00E61C86">
        <w:rPr>
          <w:rFonts w:ascii="Arial" w:hAnsi="Arial"/>
          <w:b w:val="0"/>
          <w:bCs/>
          <w:sz w:val="21"/>
          <w:lang w:val="es-ES_tradnl" w:bidi="es-ES_tradnl"/>
        </w:rPr>
        <w:t>por las subidas de precios del año pasado y la reconstrucción de los stocks en 2011 tras el tsunami.</w:t>
      </w:r>
      <w:r w:rsidR="00F47557">
        <w:rPr>
          <w:rFonts w:ascii="Arial" w:hAnsi="Arial"/>
          <w:b w:val="0"/>
          <w:bCs/>
          <w:sz w:val="21"/>
          <w:lang w:val="es-ES_tradnl" w:bidi="es-ES_tradnl"/>
        </w:rPr>
        <w:t xml:space="preserve"> En Corea, el mercado está igualmente en retroceso. La ralentización de la demanda mundial pesa sobre las exportaciones y la actividad del trasporte </w:t>
      </w:r>
      <w:r w:rsidR="00AD0BF3">
        <w:rPr>
          <w:rFonts w:ascii="Arial" w:hAnsi="Arial"/>
          <w:b w:val="0"/>
          <w:bCs/>
          <w:sz w:val="21"/>
          <w:lang w:val="es-ES_tradnl" w:bidi="es-ES_tradnl"/>
        </w:rPr>
        <w:t>coreano (- 6</w:t>
      </w:r>
      <w:r w:rsidR="00AD0BF3" w:rsidRPr="00A13D96">
        <w:rPr>
          <w:rFonts w:ascii="Arial" w:hAnsi="Arial"/>
          <w:b w:val="0"/>
          <w:bCs/>
          <w:sz w:val="21"/>
          <w:lang w:val="es-ES_tradnl" w:bidi="es-ES_tradnl"/>
        </w:rPr>
        <w:t>%).</w:t>
      </w:r>
    </w:p>
    <w:p w:rsidR="001609F0" w:rsidRDefault="00AD0BF3" w:rsidP="00B21DB8">
      <w:pPr>
        <w:pStyle w:val="LadilloMichelinDossier"/>
        <w:numPr>
          <w:ilvl w:val="1"/>
          <w:numId w:val="5"/>
        </w:numPr>
        <w:spacing w:before="0"/>
        <w:jc w:val="both"/>
        <w:rPr>
          <w:rFonts w:ascii="Arial" w:hAnsi="Arial"/>
          <w:b w:val="0"/>
          <w:bCs/>
          <w:sz w:val="21"/>
          <w:lang w:val="es-ES_tradnl" w:bidi="es-ES_tradnl"/>
        </w:rPr>
      </w:pPr>
      <w:r>
        <w:rPr>
          <w:rFonts w:ascii="Arial" w:hAnsi="Arial"/>
          <w:b w:val="0"/>
          <w:bCs/>
          <w:sz w:val="21"/>
          <w:lang w:val="es-ES_tradnl" w:bidi="es-ES_tradnl"/>
        </w:rPr>
        <w:t>E</w:t>
      </w:r>
      <w:r w:rsidRPr="00F63ECA">
        <w:rPr>
          <w:rFonts w:ascii="Arial" w:hAnsi="Arial"/>
          <w:b w:val="0"/>
          <w:bCs/>
          <w:sz w:val="21"/>
          <w:lang w:val="es-ES_tradnl" w:bidi="es-ES_tradnl"/>
        </w:rPr>
        <w:t>n América del Sur,</w:t>
      </w:r>
      <w:r>
        <w:rPr>
          <w:rFonts w:ascii="Arial" w:hAnsi="Arial"/>
          <w:b w:val="0"/>
          <w:bCs/>
          <w:sz w:val="21"/>
          <w:lang w:val="es-ES_tradnl" w:bidi="es-ES_tradnl"/>
        </w:rPr>
        <w:t xml:space="preserve"> el mercado crece un 3%. En Brasil, </w:t>
      </w:r>
      <w:r w:rsidR="000C44F7">
        <w:rPr>
          <w:rFonts w:ascii="Arial" w:hAnsi="Arial"/>
          <w:b w:val="0"/>
          <w:bCs/>
          <w:sz w:val="21"/>
          <w:lang w:val="es-ES_tradnl" w:bidi="es-ES_tradnl"/>
        </w:rPr>
        <w:t xml:space="preserve">una más estricta aplicación de los controles aduaneros ha reducido las importaciones y, en general, </w:t>
      </w:r>
      <w:r w:rsidR="009117CB">
        <w:rPr>
          <w:rFonts w:ascii="Arial" w:hAnsi="Arial"/>
          <w:b w:val="0"/>
          <w:bCs/>
          <w:sz w:val="21"/>
          <w:lang w:val="es-ES_tradnl" w:bidi="es-ES_tradnl"/>
        </w:rPr>
        <w:t>el conjunto del mercado. En el último trimestre, el mercado ha mostrado los primeros síntomas de recuperación.</w:t>
      </w:r>
    </w:p>
    <w:p w:rsidR="00913057" w:rsidRPr="000F3918" w:rsidRDefault="003A0289" w:rsidP="00913057">
      <w:pPr>
        <w:pStyle w:val="LadilloMichelinDossier"/>
        <w:spacing w:after="240"/>
        <w:rPr>
          <w:lang w:val="es-ES_tradnl"/>
        </w:rPr>
      </w:pPr>
      <w:r w:rsidRPr="000F3918">
        <w:rPr>
          <w:lang w:val="es-ES_tradnl"/>
        </w:rPr>
        <w:br w:type="column"/>
      </w:r>
      <w:r w:rsidR="00913057" w:rsidRPr="000F3918">
        <w:rPr>
          <w:lang w:val="es-ES_tradnl"/>
        </w:rPr>
        <w:t>Neumáticos de especialidades</w:t>
      </w:r>
    </w:p>
    <w:p w:rsidR="00047843" w:rsidRPr="00047843" w:rsidRDefault="00913057" w:rsidP="00913057">
      <w:pPr>
        <w:pStyle w:val="LadilloMichelinDossier"/>
        <w:numPr>
          <w:ilvl w:val="0"/>
          <w:numId w:val="5"/>
        </w:numPr>
        <w:spacing w:before="0"/>
        <w:jc w:val="both"/>
        <w:rPr>
          <w:rFonts w:ascii="Arial" w:hAnsi="Arial"/>
          <w:bCs/>
          <w:sz w:val="21"/>
          <w:lang w:val="es-ES_tradnl" w:bidi="es-ES_tradnl"/>
        </w:rPr>
      </w:pPr>
      <w:r w:rsidRPr="000F3918">
        <w:rPr>
          <w:rFonts w:ascii="Arial" w:hAnsi="Arial"/>
          <w:bCs/>
          <w:sz w:val="21"/>
          <w:lang w:val="es-ES_tradnl" w:bidi="es-ES_tradnl"/>
        </w:rPr>
        <w:t>Ingeniería civil:</w:t>
      </w:r>
      <w:r w:rsidRPr="000F3918">
        <w:rPr>
          <w:rFonts w:ascii="Arial" w:hAnsi="Arial"/>
          <w:b w:val="0"/>
          <w:bCs/>
          <w:sz w:val="21"/>
          <w:lang w:val="es-ES_tradnl" w:bidi="es-ES_tradnl"/>
        </w:rPr>
        <w:t xml:space="preserve"> </w:t>
      </w:r>
      <w:r w:rsidR="00047843">
        <w:rPr>
          <w:rFonts w:ascii="Arial" w:hAnsi="Arial"/>
          <w:b w:val="0"/>
          <w:bCs/>
          <w:sz w:val="21"/>
          <w:lang w:val="es-ES_tradnl" w:bidi="es-ES_tradnl"/>
        </w:rPr>
        <w:t xml:space="preserve">Continúa el crecimiento del sector minero, espoleado por la demanda de minerales y energía. El mercado </w:t>
      </w:r>
      <w:r w:rsidR="00575608">
        <w:rPr>
          <w:rFonts w:ascii="Arial" w:hAnsi="Arial"/>
          <w:b w:val="0"/>
          <w:bCs/>
          <w:sz w:val="21"/>
          <w:lang w:val="es-ES_tradnl" w:bidi="es-ES_tradnl"/>
        </w:rPr>
        <w:t xml:space="preserve">sigue en desarrollo </w:t>
      </w:r>
      <w:r w:rsidR="00575608" w:rsidRPr="005A249D">
        <w:rPr>
          <w:rFonts w:ascii="Arial" w:hAnsi="Arial"/>
          <w:b w:val="0"/>
          <w:bCs/>
          <w:sz w:val="21"/>
          <w:lang w:val="es-ES_tradnl" w:bidi="es-ES_tradnl"/>
        </w:rPr>
        <w:t>para los neumáticos de gran dimensión</w:t>
      </w:r>
      <w:r w:rsidR="00575608">
        <w:rPr>
          <w:rFonts w:ascii="Arial" w:hAnsi="Arial"/>
          <w:b w:val="0"/>
          <w:bCs/>
          <w:sz w:val="21"/>
          <w:lang w:val="es-ES_tradnl" w:bidi="es-ES_tradnl"/>
        </w:rPr>
        <w:t xml:space="preserve">. Tras un primer semestre en aumento, el mercado de primeros equipos se ha replegado en el último trimestre, </w:t>
      </w:r>
      <w:r w:rsidR="00AC7968">
        <w:rPr>
          <w:rFonts w:ascii="Arial" w:hAnsi="Arial"/>
          <w:b w:val="0"/>
          <w:bCs/>
          <w:sz w:val="21"/>
          <w:lang w:val="es-ES_tradnl" w:bidi="es-ES_tradnl"/>
        </w:rPr>
        <w:t xml:space="preserve">de manera más marcada en Europa. </w:t>
      </w:r>
      <w:r w:rsidR="00AC7968" w:rsidRPr="005A249D">
        <w:rPr>
          <w:rFonts w:ascii="Arial" w:hAnsi="Arial"/>
          <w:b w:val="0"/>
          <w:bCs/>
          <w:sz w:val="21"/>
          <w:lang w:val="es-ES_tradnl" w:bidi="es-ES_tradnl"/>
        </w:rPr>
        <w:t>El mercado de neumáticos destinado</w:t>
      </w:r>
      <w:r w:rsidR="00AC7968">
        <w:rPr>
          <w:rFonts w:ascii="Arial" w:hAnsi="Arial"/>
          <w:b w:val="0"/>
          <w:bCs/>
          <w:sz w:val="21"/>
          <w:lang w:val="es-ES_tradnl" w:bidi="es-ES_tradnl"/>
        </w:rPr>
        <w:t>s</w:t>
      </w:r>
      <w:r w:rsidR="00AC7968" w:rsidRPr="005A249D">
        <w:rPr>
          <w:rFonts w:ascii="Arial" w:hAnsi="Arial"/>
          <w:b w:val="0"/>
          <w:bCs/>
          <w:sz w:val="21"/>
          <w:lang w:val="es-ES_tradnl" w:bidi="es-ES_tradnl"/>
        </w:rPr>
        <w:t xml:space="preserve"> a infraestructuras y canteras</w:t>
      </w:r>
      <w:r w:rsidR="00AC7968">
        <w:rPr>
          <w:rFonts w:ascii="Arial" w:hAnsi="Arial"/>
          <w:b w:val="0"/>
          <w:bCs/>
          <w:sz w:val="21"/>
          <w:lang w:val="es-ES_tradnl" w:bidi="es-ES_tradnl"/>
        </w:rPr>
        <w:t xml:space="preserve"> se contrae en Europa Occidental. En América del Norte, tras un primer semestre de crecimiento, </w:t>
      </w:r>
      <w:r w:rsidR="004D1BA5">
        <w:rPr>
          <w:rFonts w:ascii="Arial" w:hAnsi="Arial"/>
          <w:b w:val="0"/>
          <w:bCs/>
          <w:sz w:val="21"/>
          <w:lang w:val="es-ES_tradnl" w:bidi="es-ES_tradnl"/>
        </w:rPr>
        <w:t>el mercado baja a partir del cuarto trimestre.</w:t>
      </w:r>
    </w:p>
    <w:p w:rsidR="004D1BA5" w:rsidRPr="004D1BA5" w:rsidRDefault="00913057" w:rsidP="00913057">
      <w:pPr>
        <w:pStyle w:val="LadilloMichelinDossier"/>
        <w:numPr>
          <w:ilvl w:val="0"/>
          <w:numId w:val="5"/>
        </w:numPr>
        <w:jc w:val="both"/>
        <w:rPr>
          <w:rFonts w:ascii="Arial" w:hAnsi="Arial"/>
          <w:bCs/>
          <w:sz w:val="21"/>
          <w:lang w:val="es-ES_tradnl" w:bidi="es-ES_tradnl"/>
        </w:rPr>
      </w:pPr>
      <w:r w:rsidRPr="000F3918">
        <w:rPr>
          <w:rFonts w:ascii="Arial" w:hAnsi="Arial"/>
          <w:bCs/>
          <w:sz w:val="21"/>
          <w:lang w:val="es-ES_tradnl" w:bidi="es-ES_tradnl"/>
        </w:rPr>
        <w:t>Agrícola:</w:t>
      </w:r>
      <w:r w:rsidRPr="000F3918">
        <w:rPr>
          <w:rFonts w:ascii="Arial" w:hAnsi="Arial"/>
          <w:b w:val="0"/>
          <w:bCs/>
          <w:sz w:val="21"/>
          <w:lang w:val="es-ES_tradnl" w:bidi="es-ES_tradnl"/>
        </w:rPr>
        <w:t xml:space="preserve"> </w:t>
      </w:r>
      <w:r w:rsidR="004D1BA5">
        <w:rPr>
          <w:rFonts w:ascii="Arial" w:hAnsi="Arial"/>
          <w:b w:val="0"/>
          <w:bCs/>
          <w:sz w:val="21"/>
          <w:lang w:val="es-ES_tradnl" w:bidi="es-ES_tradnl"/>
        </w:rPr>
        <w:t>Al alza en el primer seme</w:t>
      </w:r>
      <w:r w:rsidR="00234197">
        <w:rPr>
          <w:rFonts w:ascii="Arial" w:hAnsi="Arial"/>
          <w:b w:val="0"/>
          <w:bCs/>
          <w:sz w:val="21"/>
          <w:lang w:val="es-ES_tradnl" w:bidi="es-ES_tradnl"/>
        </w:rPr>
        <w:t>s</w:t>
      </w:r>
      <w:r w:rsidR="004D1BA5">
        <w:rPr>
          <w:rFonts w:ascii="Arial" w:hAnsi="Arial"/>
          <w:b w:val="0"/>
          <w:bCs/>
          <w:sz w:val="21"/>
          <w:lang w:val="es-ES_tradnl" w:bidi="es-ES_tradnl"/>
        </w:rPr>
        <w:t xml:space="preserve">tre, la </w:t>
      </w:r>
      <w:r w:rsidR="00234197" w:rsidRPr="005A249D">
        <w:rPr>
          <w:rFonts w:ascii="Arial" w:hAnsi="Arial"/>
          <w:b w:val="0"/>
          <w:bCs/>
          <w:sz w:val="21"/>
          <w:lang w:val="es-ES_tradnl" w:bidi="es-ES_tradnl"/>
        </w:rPr>
        <w:t xml:space="preserve">demanda mundial </w:t>
      </w:r>
      <w:r w:rsidR="00234197">
        <w:rPr>
          <w:rFonts w:ascii="Arial" w:hAnsi="Arial"/>
          <w:b w:val="0"/>
          <w:bCs/>
          <w:sz w:val="21"/>
          <w:lang w:val="es-ES_tradnl" w:bidi="es-ES_tradnl"/>
        </w:rPr>
        <w:t xml:space="preserve">en </w:t>
      </w:r>
      <w:r w:rsidR="00234197" w:rsidRPr="005A249D">
        <w:rPr>
          <w:rFonts w:ascii="Arial" w:hAnsi="Arial"/>
          <w:b w:val="0"/>
          <w:bCs/>
          <w:sz w:val="21"/>
          <w:lang w:val="es-ES_tradnl" w:bidi="es-ES_tradnl"/>
        </w:rPr>
        <w:t>el mercado de primer</w:t>
      </w:r>
      <w:r w:rsidR="00234197">
        <w:rPr>
          <w:rFonts w:ascii="Arial" w:hAnsi="Arial"/>
          <w:b w:val="0"/>
          <w:bCs/>
          <w:sz w:val="21"/>
          <w:lang w:val="es-ES_tradnl" w:bidi="es-ES_tradnl"/>
        </w:rPr>
        <w:t>os</w:t>
      </w:r>
      <w:r w:rsidR="00234197" w:rsidRPr="005A249D">
        <w:rPr>
          <w:rFonts w:ascii="Arial" w:hAnsi="Arial"/>
          <w:b w:val="0"/>
          <w:bCs/>
          <w:sz w:val="21"/>
          <w:lang w:val="es-ES_tradnl" w:bidi="es-ES_tradnl"/>
        </w:rPr>
        <w:t xml:space="preserve"> equipo</w:t>
      </w:r>
      <w:r w:rsidR="00234197">
        <w:rPr>
          <w:rFonts w:ascii="Arial" w:hAnsi="Arial"/>
          <w:b w:val="0"/>
          <w:bCs/>
          <w:sz w:val="21"/>
          <w:lang w:val="es-ES_tradnl" w:bidi="es-ES_tradnl"/>
        </w:rPr>
        <w:t xml:space="preserve">s cae en el cuarto trimestre, especialmente en Europa. En 2012, el mercado de remplazo se contrae significativamente en los países maduros, lastrado por las incertidumbres económicas. </w:t>
      </w:r>
    </w:p>
    <w:p w:rsidR="00234197" w:rsidRDefault="00913057" w:rsidP="00913057">
      <w:pPr>
        <w:pStyle w:val="LadilloMichelinDossier"/>
        <w:numPr>
          <w:ilvl w:val="0"/>
          <w:numId w:val="5"/>
        </w:numPr>
        <w:jc w:val="both"/>
        <w:rPr>
          <w:rFonts w:ascii="Arial" w:hAnsi="Arial"/>
          <w:b w:val="0"/>
          <w:bCs/>
          <w:sz w:val="21"/>
          <w:lang w:val="es-ES_tradnl" w:bidi="es-ES_tradnl"/>
        </w:rPr>
      </w:pPr>
      <w:r w:rsidRPr="000F3918">
        <w:rPr>
          <w:rFonts w:ascii="Arial" w:hAnsi="Arial"/>
          <w:bCs/>
          <w:sz w:val="21"/>
          <w:lang w:val="es-ES_tradnl" w:bidi="es-ES_tradnl"/>
        </w:rPr>
        <w:t>Dos ruedas:</w:t>
      </w:r>
      <w:r w:rsidRPr="000F3918">
        <w:rPr>
          <w:rFonts w:ascii="Arial" w:hAnsi="Arial"/>
          <w:b w:val="0"/>
          <w:bCs/>
          <w:sz w:val="21"/>
          <w:lang w:val="es-ES_tradnl" w:bidi="es-ES_tradnl"/>
        </w:rPr>
        <w:t xml:space="preserve"> </w:t>
      </w:r>
      <w:r w:rsidR="00FD0EA7">
        <w:rPr>
          <w:rFonts w:ascii="Arial" w:hAnsi="Arial"/>
          <w:b w:val="0"/>
          <w:bCs/>
          <w:sz w:val="21"/>
          <w:lang w:val="es-ES_tradnl" w:bidi="es-ES_tradnl"/>
        </w:rPr>
        <w:t xml:space="preserve">Afectados por una sombría coyuntura económica, los mercados de moto están a la baja en las zonas maduras, con la excepción de América del Norte. En los países emergentes, se constata </w:t>
      </w:r>
      <w:r w:rsidR="00B14414">
        <w:rPr>
          <w:rFonts w:ascii="Arial" w:hAnsi="Arial"/>
          <w:b w:val="0"/>
          <w:bCs/>
          <w:sz w:val="21"/>
          <w:lang w:val="es-ES_tradnl" w:bidi="es-ES_tradnl"/>
        </w:rPr>
        <w:t>un</w:t>
      </w:r>
      <w:r w:rsidR="00FD0EA7">
        <w:rPr>
          <w:rFonts w:ascii="Arial" w:hAnsi="Arial"/>
          <w:b w:val="0"/>
          <w:bCs/>
          <w:sz w:val="21"/>
          <w:lang w:val="es-ES_tradnl" w:bidi="es-ES_tradnl"/>
        </w:rPr>
        <w:t xml:space="preserve"> crecimiento</w:t>
      </w:r>
      <w:r w:rsidR="00B14414">
        <w:rPr>
          <w:rFonts w:ascii="Arial" w:hAnsi="Arial"/>
          <w:b w:val="0"/>
          <w:bCs/>
          <w:sz w:val="21"/>
          <w:lang w:val="es-ES_tradnl" w:bidi="es-ES_tradnl"/>
        </w:rPr>
        <w:t xml:space="preserve"> continuado.</w:t>
      </w:r>
    </w:p>
    <w:p w:rsidR="00913057" w:rsidRPr="004A7D63" w:rsidRDefault="00913057" w:rsidP="00913057">
      <w:pPr>
        <w:pStyle w:val="LadilloMichelinDossier"/>
        <w:numPr>
          <w:ilvl w:val="0"/>
          <w:numId w:val="5"/>
        </w:numPr>
        <w:jc w:val="both"/>
        <w:rPr>
          <w:bCs/>
          <w:lang w:val="es-ES_tradnl" w:bidi="es-ES_tradnl"/>
        </w:rPr>
      </w:pPr>
      <w:r w:rsidRPr="004A7D63">
        <w:rPr>
          <w:rFonts w:ascii="Arial" w:hAnsi="Arial"/>
          <w:bCs/>
          <w:sz w:val="21"/>
          <w:lang w:val="es-ES_tradnl" w:bidi="es-ES_tradnl"/>
        </w:rPr>
        <w:t>Avión:</w:t>
      </w:r>
      <w:r w:rsidRPr="004A7D63">
        <w:rPr>
          <w:rFonts w:ascii="Arial" w:hAnsi="Arial"/>
          <w:b w:val="0"/>
          <w:bCs/>
          <w:sz w:val="21"/>
          <w:lang w:val="es-ES_tradnl" w:bidi="es-ES_tradnl"/>
        </w:rPr>
        <w:t xml:space="preserve"> </w:t>
      </w:r>
      <w:r w:rsidR="00B14414" w:rsidRPr="004A7D63">
        <w:rPr>
          <w:rFonts w:ascii="Arial" w:hAnsi="Arial"/>
          <w:b w:val="0"/>
          <w:bCs/>
          <w:sz w:val="21"/>
          <w:lang w:val="es-ES_tradnl" w:bidi="es-ES_tradnl"/>
        </w:rPr>
        <w:t>En aviación comercial, continúa el crecimiento del tráfico de pasajeros</w:t>
      </w:r>
      <w:r w:rsidR="008D354F" w:rsidRPr="004A7D63">
        <w:rPr>
          <w:rFonts w:ascii="Arial" w:hAnsi="Arial"/>
          <w:b w:val="0"/>
          <w:bCs/>
          <w:sz w:val="21"/>
          <w:lang w:val="es-ES_tradnl" w:bidi="es-ES_tradnl"/>
        </w:rPr>
        <w:t xml:space="preserve">, </w:t>
      </w:r>
      <w:r w:rsidR="00B14414" w:rsidRPr="004A7D63">
        <w:rPr>
          <w:rFonts w:ascii="Arial" w:hAnsi="Arial"/>
          <w:b w:val="0"/>
          <w:bCs/>
          <w:sz w:val="21"/>
          <w:lang w:val="es-ES_tradnl" w:bidi="es-ES_tradnl"/>
        </w:rPr>
        <w:t>tanto en destinos nacionales como</w:t>
      </w:r>
      <w:r w:rsidR="004A7D63" w:rsidRPr="004A7D63">
        <w:rPr>
          <w:rFonts w:ascii="Arial" w:hAnsi="Arial"/>
          <w:b w:val="0"/>
          <w:bCs/>
          <w:sz w:val="21"/>
          <w:lang w:val="es-ES_tradnl" w:bidi="es-ES_tradnl"/>
        </w:rPr>
        <w:t xml:space="preserve"> internacionales. El </w:t>
      </w:r>
      <w:r w:rsidR="00B21DB8">
        <w:rPr>
          <w:rFonts w:ascii="Arial" w:hAnsi="Arial"/>
          <w:b w:val="0"/>
          <w:bCs/>
          <w:sz w:val="21"/>
          <w:lang w:val="es-ES_tradnl" w:bidi="es-ES_tradnl"/>
        </w:rPr>
        <w:t>transporte de mercancías</w:t>
      </w:r>
      <w:r w:rsidR="004A7D63" w:rsidRPr="004A7D63">
        <w:rPr>
          <w:rFonts w:ascii="Arial" w:hAnsi="Arial"/>
          <w:b w:val="0"/>
          <w:bCs/>
          <w:sz w:val="21"/>
          <w:lang w:val="es-ES_tradnl" w:bidi="es-ES_tradnl"/>
        </w:rPr>
        <w:t xml:space="preserve"> está en retroceso</w:t>
      </w:r>
      <w:r w:rsidR="004A7D63">
        <w:rPr>
          <w:rFonts w:ascii="Arial" w:hAnsi="Arial"/>
          <w:b w:val="0"/>
          <w:bCs/>
          <w:sz w:val="21"/>
          <w:lang w:val="es-ES_tradnl" w:bidi="es-ES_tradnl"/>
        </w:rPr>
        <w:t>.</w:t>
      </w:r>
    </w:p>
    <w:p w:rsidR="00913057" w:rsidRPr="000F3918" w:rsidRDefault="00913057" w:rsidP="00913057">
      <w:pPr>
        <w:pStyle w:val="TextoMichelin"/>
        <w:rPr>
          <w:bCs/>
          <w:lang w:val="es-ES_tradnl" w:bidi="es-ES_tradnl"/>
        </w:rPr>
      </w:pPr>
    </w:p>
    <w:p w:rsidR="00913057" w:rsidRPr="000F3918" w:rsidRDefault="00913057" w:rsidP="00913057">
      <w:pPr>
        <w:pStyle w:val="TITULARMICHELIN"/>
        <w:spacing w:after="240"/>
        <w:rPr>
          <w:bCs/>
          <w:lang w:bidi="es-ES_tradnl"/>
        </w:rPr>
      </w:pPr>
      <w:r w:rsidRPr="000F3918">
        <w:rPr>
          <w:bCs/>
          <w:lang w:bidi="es-ES_tradnl"/>
        </w:rPr>
        <w:br w:type="column"/>
        <w:t>Actividad y resultados de 201</w:t>
      </w:r>
      <w:r w:rsidR="00220FF2" w:rsidRPr="000F3918">
        <w:rPr>
          <w:bCs/>
          <w:lang w:bidi="es-ES_tradnl"/>
        </w:rPr>
        <w:t>2</w:t>
      </w:r>
    </w:p>
    <w:p w:rsidR="00913057" w:rsidRPr="000F3918" w:rsidRDefault="00913057" w:rsidP="00913057">
      <w:pPr>
        <w:pStyle w:val="LadilloMichelinDossier"/>
        <w:rPr>
          <w:lang w:val="es-ES_tradnl"/>
        </w:rPr>
      </w:pPr>
      <w:r w:rsidRPr="000F3918">
        <w:rPr>
          <w:lang w:val="es-ES_tradnl"/>
        </w:rPr>
        <w:t>Ventas netas</w:t>
      </w:r>
    </w:p>
    <w:p w:rsidR="00220FF2" w:rsidRPr="000F3918" w:rsidRDefault="00EA7BF8" w:rsidP="00220FF2">
      <w:pPr>
        <w:pStyle w:val="TextoMichelin"/>
        <w:rPr>
          <w:rFonts w:cs="Arial"/>
          <w:lang w:val="es-ES_tradnl" w:bidi="es-ES_tradnl"/>
        </w:rPr>
      </w:pPr>
      <w:r w:rsidRPr="005A249D">
        <w:rPr>
          <w:rFonts w:cs="Arial"/>
          <w:b/>
          <w:lang w:bidi="es-ES_tradnl"/>
        </w:rPr>
        <w:t xml:space="preserve">Las ventas netas se </w:t>
      </w:r>
      <w:r w:rsidR="000D1C68">
        <w:rPr>
          <w:rFonts w:cs="Arial"/>
          <w:b/>
          <w:lang w:bidi="es-ES_tradnl"/>
        </w:rPr>
        <w:t>sitúan</w:t>
      </w:r>
      <w:r w:rsidR="000D1C68" w:rsidRPr="005A249D">
        <w:rPr>
          <w:rFonts w:cs="Arial"/>
          <w:b/>
          <w:lang w:bidi="es-ES_tradnl"/>
        </w:rPr>
        <w:t xml:space="preserve"> </w:t>
      </w:r>
      <w:r w:rsidRPr="005A249D">
        <w:rPr>
          <w:rFonts w:cs="Arial"/>
          <w:b/>
          <w:lang w:bidi="es-ES_tradnl"/>
        </w:rPr>
        <w:t xml:space="preserve">en </w:t>
      </w:r>
      <w:r w:rsidR="00220FF2" w:rsidRPr="000F3918">
        <w:rPr>
          <w:rFonts w:cs="Arial"/>
          <w:b/>
          <w:lang w:val="es-ES_tradnl" w:bidi="es-ES_tradnl"/>
        </w:rPr>
        <w:t>21</w:t>
      </w:r>
      <w:r>
        <w:rPr>
          <w:rFonts w:cs="Arial"/>
          <w:b/>
          <w:lang w:val="es-ES_tradnl" w:bidi="es-ES_tradnl"/>
        </w:rPr>
        <w:t>.</w:t>
      </w:r>
      <w:r w:rsidR="00220FF2" w:rsidRPr="000F3918">
        <w:rPr>
          <w:rFonts w:cs="Arial"/>
          <w:b/>
          <w:lang w:val="es-ES_tradnl" w:bidi="es-ES_tradnl"/>
        </w:rPr>
        <w:t>474</w:t>
      </w:r>
      <w:r w:rsidRPr="005A249D">
        <w:rPr>
          <w:rFonts w:cs="Arial"/>
          <w:b/>
          <w:lang w:bidi="es-ES_tradnl"/>
        </w:rPr>
        <w:t xml:space="preserve"> millones de euros</w:t>
      </w:r>
      <w:r w:rsidRPr="005A249D">
        <w:rPr>
          <w:rFonts w:cs="Arial"/>
          <w:b/>
          <w:bCs/>
          <w:lang w:bidi="es-ES_tradnl"/>
        </w:rPr>
        <w:t>,</w:t>
      </w:r>
      <w:r w:rsidRPr="005A249D">
        <w:rPr>
          <w:rFonts w:cs="Arial"/>
          <w:bCs/>
          <w:lang w:bidi="es-ES_tradnl"/>
        </w:rPr>
        <w:t xml:space="preserve"> </w:t>
      </w:r>
      <w:r w:rsidR="00AC5A10" w:rsidRPr="005A249D">
        <w:rPr>
          <w:rFonts w:cs="Arial"/>
          <w:bCs/>
          <w:lang w:bidi="es-ES_tradnl"/>
        </w:rPr>
        <w:t xml:space="preserve">con una progresión del </w:t>
      </w:r>
      <w:r w:rsidR="00AC5A10">
        <w:rPr>
          <w:rFonts w:cs="Arial"/>
          <w:lang w:val="es-ES_tradnl" w:bidi="es-ES_tradnl"/>
        </w:rPr>
        <w:t>3,6</w:t>
      </w:r>
      <w:r w:rsidR="00220FF2" w:rsidRPr="000F3918">
        <w:rPr>
          <w:rFonts w:cs="Arial"/>
          <w:lang w:val="es-ES_tradnl" w:bidi="es-ES_tradnl"/>
        </w:rPr>
        <w:t xml:space="preserve">% </w:t>
      </w:r>
      <w:r w:rsidR="00AC5A10" w:rsidRPr="005A249D">
        <w:rPr>
          <w:rFonts w:cs="Arial"/>
          <w:bCs/>
          <w:lang w:bidi="es-ES_tradnl"/>
        </w:rPr>
        <w:t>a tipos de cambio corrientes</w:t>
      </w:r>
      <w:r w:rsidR="00AC5A10">
        <w:rPr>
          <w:rFonts w:cs="Arial"/>
          <w:bCs/>
          <w:lang w:bidi="es-ES_tradnl"/>
        </w:rPr>
        <w:t>,</w:t>
      </w:r>
      <w:r w:rsidR="00AC5A10" w:rsidRPr="005A249D">
        <w:rPr>
          <w:rFonts w:cs="Arial"/>
          <w:bCs/>
          <w:lang w:bidi="es-ES_tradnl"/>
        </w:rPr>
        <w:t xml:space="preserve"> en relación</w:t>
      </w:r>
      <w:r w:rsidR="00AC5A10">
        <w:rPr>
          <w:rFonts w:cs="Arial"/>
          <w:bCs/>
          <w:lang w:bidi="es-ES_tradnl"/>
        </w:rPr>
        <w:t xml:space="preserve"> con los</w:t>
      </w:r>
      <w:r w:rsidR="00220FF2" w:rsidRPr="000F3918">
        <w:rPr>
          <w:rFonts w:cs="Arial"/>
          <w:lang w:val="es-ES_tradnl" w:bidi="es-ES_tradnl"/>
        </w:rPr>
        <w:t xml:space="preserve"> 20</w:t>
      </w:r>
      <w:r w:rsidR="00AC5A10">
        <w:rPr>
          <w:rFonts w:cs="Arial"/>
          <w:lang w:val="es-ES_tradnl" w:bidi="es-ES_tradnl"/>
        </w:rPr>
        <w:t>.</w:t>
      </w:r>
      <w:r w:rsidR="00220FF2" w:rsidRPr="000F3918">
        <w:rPr>
          <w:rFonts w:cs="Arial"/>
          <w:lang w:val="es-ES_tradnl" w:bidi="es-ES_tradnl"/>
        </w:rPr>
        <w:t xml:space="preserve">719 </w:t>
      </w:r>
      <w:r w:rsidR="00AC5A10" w:rsidRPr="00AC5A10">
        <w:rPr>
          <w:rFonts w:cs="Arial"/>
          <w:lang w:val="es-ES_tradnl" w:bidi="es-ES_tradnl"/>
        </w:rPr>
        <w:t xml:space="preserve">millones de euros </w:t>
      </w:r>
      <w:r w:rsidR="00AC5A10">
        <w:rPr>
          <w:rFonts w:cs="Arial"/>
          <w:lang w:val="es-ES_tradnl" w:bidi="es-ES_tradnl"/>
        </w:rPr>
        <w:t>de</w:t>
      </w:r>
      <w:r w:rsidR="00220FF2" w:rsidRPr="000F3918">
        <w:rPr>
          <w:rFonts w:cs="Arial"/>
          <w:lang w:val="es-ES_tradnl" w:bidi="es-ES_tradnl"/>
        </w:rPr>
        <w:t xml:space="preserve"> 2011.</w:t>
      </w:r>
    </w:p>
    <w:p w:rsidR="001E7D73" w:rsidRDefault="00AC5A10" w:rsidP="00220FF2">
      <w:pPr>
        <w:pStyle w:val="TextoMichelin"/>
        <w:rPr>
          <w:rFonts w:cs="Arial"/>
          <w:lang w:val="es-ES_tradnl" w:bidi="es-ES_tradnl"/>
        </w:rPr>
      </w:pPr>
      <w:r>
        <w:rPr>
          <w:rFonts w:cs="Arial"/>
          <w:lang w:val="es-ES_tradnl" w:bidi="es-ES_tradnl"/>
        </w:rPr>
        <w:t xml:space="preserve">El </w:t>
      </w:r>
      <w:r w:rsidRPr="005A249D">
        <w:rPr>
          <w:rFonts w:cs="Arial"/>
          <w:bCs/>
          <w:lang w:bidi="es-ES_tradnl"/>
        </w:rPr>
        <w:t xml:space="preserve">efecto positivo </w:t>
      </w:r>
      <w:r>
        <w:rPr>
          <w:rFonts w:cs="Arial"/>
          <w:bCs/>
          <w:lang w:bidi="es-ES_tradnl"/>
        </w:rPr>
        <w:t xml:space="preserve">del </w:t>
      </w:r>
      <w:r w:rsidRPr="005A249D">
        <w:rPr>
          <w:rFonts w:cs="Arial"/>
          <w:bCs/>
          <w:lang w:bidi="es-ES_tradnl"/>
        </w:rPr>
        <w:t>mix de precios</w:t>
      </w:r>
      <w:r w:rsidR="00850CE2">
        <w:rPr>
          <w:rFonts w:cs="Arial"/>
          <w:lang w:val="es-ES_tradnl" w:bidi="es-ES_tradnl"/>
        </w:rPr>
        <w:t xml:space="preserve"> (+ 6,2</w:t>
      </w:r>
      <w:r w:rsidR="001E7D73">
        <w:rPr>
          <w:rFonts w:cs="Arial"/>
          <w:lang w:val="es-ES_tradnl" w:bidi="es-ES_tradnl"/>
        </w:rPr>
        <w:t xml:space="preserve">%), que alcanza los </w:t>
      </w:r>
      <w:r w:rsidR="001E7D73" w:rsidRPr="000F3918">
        <w:rPr>
          <w:rFonts w:cs="Arial"/>
          <w:lang w:val="es-ES_tradnl" w:bidi="es-ES_tradnl"/>
        </w:rPr>
        <w:t>1</w:t>
      </w:r>
      <w:r w:rsidR="001E7D73">
        <w:rPr>
          <w:rFonts w:cs="Arial"/>
          <w:lang w:val="es-ES_tradnl" w:bidi="es-ES_tradnl"/>
        </w:rPr>
        <w:t>.</w:t>
      </w:r>
      <w:r w:rsidR="001E7D73" w:rsidRPr="000F3918">
        <w:rPr>
          <w:rFonts w:cs="Arial"/>
          <w:lang w:val="es-ES_tradnl" w:bidi="es-ES_tradnl"/>
        </w:rPr>
        <w:t>052</w:t>
      </w:r>
      <w:r w:rsidR="001E7D73">
        <w:rPr>
          <w:rFonts w:cs="Arial"/>
          <w:lang w:val="es-ES_tradnl" w:bidi="es-ES_tradnl"/>
        </w:rPr>
        <w:t xml:space="preserve"> millones de euros, se corresponde con efecto combinado </w:t>
      </w:r>
      <w:r w:rsidR="0090143D">
        <w:rPr>
          <w:rFonts w:cs="Arial"/>
          <w:lang w:val="es-ES_tradnl" w:bidi="es-ES_tradnl"/>
        </w:rPr>
        <w:t>de l</w:t>
      </w:r>
      <w:r w:rsidR="003558E6">
        <w:rPr>
          <w:rFonts w:cs="Arial"/>
          <w:lang w:val="es-ES_tradnl" w:bidi="es-ES_tradnl"/>
        </w:rPr>
        <w:t>o</w:t>
      </w:r>
      <w:r w:rsidR="0090143D">
        <w:rPr>
          <w:rFonts w:cs="Arial"/>
          <w:lang w:val="es-ES_tradnl" w:bidi="es-ES_tradnl"/>
        </w:rPr>
        <w:t xml:space="preserve">s aumentos de tarifas de 2011 y con los </w:t>
      </w:r>
      <w:r w:rsidR="0090143D" w:rsidRPr="005A249D">
        <w:rPr>
          <w:rFonts w:cs="Arial"/>
          <w:bCs/>
          <w:lang w:bidi="es-ES_tradnl"/>
        </w:rPr>
        <w:t>ajustes contractuales de</w:t>
      </w:r>
      <w:r w:rsidR="00A61AD3">
        <w:rPr>
          <w:rFonts w:cs="Arial"/>
          <w:bCs/>
          <w:lang w:bidi="es-ES_tradnl"/>
        </w:rPr>
        <w:t xml:space="preserve"> </w:t>
      </w:r>
      <w:r w:rsidR="0090143D" w:rsidRPr="005A249D">
        <w:rPr>
          <w:rFonts w:cs="Arial"/>
          <w:bCs/>
          <w:lang w:bidi="es-ES_tradnl"/>
        </w:rPr>
        <w:t>precio</w:t>
      </w:r>
      <w:r w:rsidR="000D1C68">
        <w:rPr>
          <w:rFonts w:cs="Arial"/>
          <w:bCs/>
          <w:lang w:bidi="es-ES_tradnl"/>
        </w:rPr>
        <w:t>s</w:t>
      </w:r>
      <w:r w:rsidR="001203AC">
        <w:rPr>
          <w:rFonts w:cs="Arial"/>
          <w:bCs/>
          <w:lang w:bidi="es-ES_tradnl"/>
        </w:rPr>
        <w:t>, relacionados con la indexa</w:t>
      </w:r>
      <w:r w:rsidR="0006759F">
        <w:rPr>
          <w:rFonts w:cs="Arial"/>
          <w:bCs/>
          <w:lang w:bidi="es-ES_tradnl"/>
        </w:rPr>
        <w:t xml:space="preserve">ción </w:t>
      </w:r>
      <w:r w:rsidR="000D1C68">
        <w:rPr>
          <w:rFonts w:cs="Arial"/>
          <w:bCs/>
          <w:lang w:bidi="es-ES_tradnl"/>
        </w:rPr>
        <w:t xml:space="preserve">sobre </w:t>
      </w:r>
      <w:r w:rsidR="00A61AD3">
        <w:rPr>
          <w:rFonts w:cs="Arial"/>
          <w:bCs/>
          <w:lang w:bidi="es-ES_tradnl"/>
        </w:rPr>
        <w:t xml:space="preserve">el precio de </w:t>
      </w:r>
      <w:r w:rsidR="0006759F">
        <w:rPr>
          <w:rFonts w:cs="Arial"/>
          <w:bCs/>
          <w:lang w:bidi="es-ES_tradnl"/>
        </w:rPr>
        <w:t>las materias primas</w:t>
      </w:r>
      <w:r w:rsidR="00A61AD3">
        <w:rPr>
          <w:rFonts w:cs="Arial"/>
          <w:bCs/>
          <w:lang w:bidi="es-ES_tradnl"/>
        </w:rPr>
        <w:t>,</w:t>
      </w:r>
      <w:r w:rsidR="0006759F">
        <w:rPr>
          <w:rFonts w:cs="Arial"/>
          <w:bCs/>
          <w:lang w:bidi="es-ES_tradnl"/>
        </w:rPr>
        <w:t xml:space="preserve"> </w:t>
      </w:r>
      <w:r w:rsidR="000D1C68">
        <w:rPr>
          <w:rFonts w:cs="Arial"/>
          <w:bCs/>
          <w:lang w:bidi="es-ES_tradnl"/>
        </w:rPr>
        <w:t xml:space="preserve">que suponen </w:t>
      </w:r>
      <w:r w:rsidR="0006759F">
        <w:rPr>
          <w:rFonts w:cs="Arial"/>
          <w:bCs/>
          <w:lang w:bidi="es-ES_tradnl"/>
        </w:rPr>
        <w:t>casi el 30% de las ventas del Grupo. Esto comprende igualmente</w:t>
      </w:r>
      <w:r w:rsidR="00D10C8A">
        <w:rPr>
          <w:rFonts w:cs="Arial"/>
          <w:bCs/>
          <w:lang w:bidi="es-ES_tradnl"/>
        </w:rPr>
        <w:t xml:space="preserve"> </w:t>
      </w:r>
      <w:r w:rsidR="0006759F">
        <w:rPr>
          <w:rFonts w:cs="Arial"/>
          <w:bCs/>
          <w:lang w:bidi="es-ES_tradnl"/>
        </w:rPr>
        <w:t>157 millones de euros</w:t>
      </w:r>
      <w:r w:rsidR="00D10C8A">
        <w:rPr>
          <w:rFonts w:cs="Arial"/>
          <w:bCs/>
          <w:lang w:bidi="es-ES_tradnl"/>
        </w:rPr>
        <w:t xml:space="preserve">, </w:t>
      </w:r>
      <w:r w:rsidR="000D1C68">
        <w:rPr>
          <w:rFonts w:cs="Arial"/>
          <w:bCs/>
          <w:lang w:bidi="es-ES_tradnl"/>
        </w:rPr>
        <w:t>debidos a la</w:t>
      </w:r>
      <w:r w:rsidR="00D10C8A">
        <w:rPr>
          <w:rFonts w:cs="Arial"/>
          <w:bCs/>
          <w:lang w:bidi="es-ES_tradnl"/>
        </w:rPr>
        <w:t xml:space="preserve"> mejora del mix </w:t>
      </w:r>
      <w:r w:rsidR="00BC2D08">
        <w:rPr>
          <w:rFonts w:cs="Arial"/>
          <w:bCs/>
          <w:lang w:bidi="es-ES_tradnl"/>
        </w:rPr>
        <w:t>apoyad</w:t>
      </w:r>
      <w:r w:rsidR="000D1C68">
        <w:rPr>
          <w:rFonts w:cs="Arial"/>
          <w:bCs/>
          <w:lang w:bidi="es-ES_tradnl"/>
        </w:rPr>
        <w:t>a</w:t>
      </w:r>
      <w:r w:rsidR="00BC2D08">
        <w:rPr>
          <w:rFonts w:cs="Arial"/>
          <w:bCs/>
          <w:lang w:bidi="es-ES_tradnl"/>
        </w:rPr>
        <w:t xml:space="preserve"> por </w:t>
      </w:r>
      <w:r w:rsidR="00D10C8A">
        <w:rPr>
          <w:rFonts w:cs="Arial"/>
          <w:bCs/>
          <w:lang w:bidi="es-ES_tradnl"/>
        </w:rPr>
        <w:t>la estrategia premium y el crecimiento de las actividades de especialidades.</w:t>
      </w:r>
    </w:p>
    <w:p w:rsidR="00BC2D08" w:rsidRDefault="00BC2D08" w:rsidP="00BC2D08">
      <w:pPr>
        <w:pStyle w:val="TextoMichelin"/>
        <w:rPr>
          <w:rFonts w:cs="Arial"/>
          <w:lang w:val="es-ES_tradnl" w:bidi="es-ES_tradnl"/>
        </w:rPr>
      </w:pPr>
      <w:r>
        <w:rPr>
          <w:rFonts w:cs="Arial"/>
          <w:lang w:val="es-ES_tradnl" w:bidi="es-ES_tradnl"/>
        </w:rPr>
        <w:t>La caída de los volúmenes (- 6,4</w:t>
      </w:r>
      <w:r w:rsidR="00220FF2" w:rsidRPr="000F3918">
        <w:rPr>
          <w:rFonts w:cs="Arial"/>
          <w:lang w:val="es-ES_tradnl" w:bidi="es-ES_tradnl"/>
        </w:rPr>
        <w:t xml:space="preserve">%) </w:t>
      </w:r>
      <w:r>
        <w:rPr>
          <w:rFonts w:cs="Arial"/>
          <w:lang w:val="es-ES_tradnl" w:bidi="es-ES_tradnl"/>
        </w:rPr>
        <w:t>se enmarca en un contexto de mercados debilitados, especialmente los europeos.</w:t>
      </w:r>
    </w:p>
    <w:p w:rsidR="00EA7BF8" w:rsidRPr="005A249D" w:rsidRDefault="00EA7BF8" w:rsidP="00EA7BF8">
      <w:pPr>
        <w:pStyle w:val="TextoMichelin"/>
        <w:rPr>
          <w:rFonts w:cs="Arial"/>
          <w:bCs/>
          <w:lang w:bidi="es-ES_tradnl"/>
        </w:rPr>
      </w:pPr>
      <w:r w:rsidRPr="005A249D">
        <w:rPr>
          <w:rFonts w:cs="Arial"/>
          <w:bCs/>
          <w:lang w:bidi="es-ES_tradnl"/>
        </w:rPr>
        <w:t xml:space="preserve">El impacto </w:t>
      </w:r>
      <w:r w:rsidR="007E1214">
        <w:rPr>
          <w:rFonts w:cs="Arial"/>
          <w:bCs/>
          <w:lang w:bidi="es-ES_tradnl"/>
        </w:rPr>
        <w:t>positivo</w:t>
      </w:r>
      <w:r w:rsidRPr="005A249D">
        <w:rPr>
          <w:rFonts w:cs="Arial"/>
          <w:bCs/>
          <w:lang w:bidi="es-ES_tradnl"/>
        </w:rPr>
        <w:t xml:space="preserve"> </w:t>
      </w:r>
      <w:r w:rsidR="007E1214">
        <w:rPr>
          <w:rFonts w:cs="Arial"/>
          <w:lang w:val="es-ES_tradnl" w:bidi="es-ES_tradnl"/>
        </w:rPr>
        <w:t>(+ 4,2</w:t>
      </w:r>
      <w:r w:rsidR="007E1214" w:rsidRPr="000F3918">
        <w:rPr>
          <w:rFonts w:cs="Arial"/>
          <w:lang w:val="es-ES_tradnl" w:bidi="es-ES_tradnl"/>
        </w:rPr>
        <w:t xml:space="preserve">%) </w:t>
      </w:r>
      <w:r w:rsidRPr="005A249D">
        <w:rPr>
          <w:rFonts w:cs="Arial"/>
          <w:bCs/>
          <w:lang w:bidi="es-ES_tradnl"/>
        </w:rPr>
        <w:t>de las paridades de cambio es</w:t>
      </w:r>
      <w:r>
        <w:rPr>
          <w:rFonts w:cs="Arial"/>
          <w:bCs/>
          <w:lang w:bidi="es-ES_tradnl"/>
        </w:rPr>
        <w:t>, principalmente,</w:t>
      </w:r>
      <w:r w:rsidRPr="005A249D">
        <w:rPr>
          <w:rFonts w:cs="Arial"/>
          <w:bCs/>
          <w:lang w:bidi="es-ES_tradnl"/>
        </w:rPr>
        <w:t xml:space="preserve"> el resultado de la evolución </w:t>
      </w:r>
      <w:r w:rsidR="007E1214">
        <w:rPr>
          <w:rFonts w:cs="Arial"/>
          <w:bCs/>
          <w:lang w:bidi="es-ES_tradnl"/>
        </w:rPr>
        <w:t xml:space="preserve">favorable </w:t>
      </w:r>
      <w:r w:rsidRPr="005A249D">
        <w:rPr>
          <w:rFonts w:cs="Arial"/>
          <w:bCs/>
          <w:lang w:bidi="es-ES_tradnl"/>
        </w:rPr>
        <w:t>del euro en relación al dólar americano.</w:t>
      </w:r>
    </w:p>
    <w:p w:rsidR="00220FF2" w:rsidRPr="000F3918" w:rsidRDefault="00220FF2" w:rsidP="00220FF2">
      <w:pPr>
        <w:pStyle w:val="TextoMichelin"/>
        <w:rPr>
          <w:rFonts w:cs="Arial"/>
          <w:lang w:val="es-ES_tradnl" w:bidi="es-ES_tradnl"/>
        </w:rPr>
      </w:pPr>
    </w:p>
    <w:p w:rsidR="00913057" w:rsidRPr="000F3918" w:rsidRDefault="00913057" w:rsidP="00913057">
      <w:pPr>
        <w:pStyle w:val="LadilloMichelinDossier"/>
        <w:rPr>
          <w:lang w:val="es-ES_tradnl"/>
        </w:rPr>
      </w:pPr>
      <w:r w:rsidRPr="000F3918">
        <w:rPr>
          <w:lang w:val="es-ES_tradnl"/>
        </w:rPr>
        <w:t>Resultados</w:t>
      </w:r>
    </w:p>
    <w:p w:rsidR="00220FF2" w:rsidRPr="000F3918" w:rsidRDefault="004F41B1" w:rsidP="00220FF2">
      <w:pPr>
        <w:pStyle w:val="TextoMichelin"/>
        <w:rPr>
          <w:rFonts w:cs="Arial"/>
          <w:bCs/>
          <w:lang w:val="es-ES_tradnl" w:bidi="es-ES_tradnl"/>
        </w:rPr>
      </w:pPr>
      <w:r w:rsidRPr="005A249D">
        <w:rPr>
          <w:rFonts w:cs="Arial"/>
          <w:b/>
          <w:lang w:bidi="es-ES_tradnl"/>
        </w:rPr>
        <w:t>El resultado opera</w:t>
      </w:r>
      <w:r>
        <w:rPr>
          <w:rFonts w:cs="Arial"/>
          <w:b/>
          <w:lang w:bidi="es-ES_tradnl"/>
        </w:rPr>
        <w:t>tivo</w:t>
      </w:r>
      <w:r w:rsidRPr="005A249D">
        <w:rPr>
          <w:rFonts w:cs="Arial"/>
          <w:b/>
          <w:lang w:bidi="es-ES_tradnl"/>
        </w:rPr>
        <w:t xml:space="preserve"> del Grupo antes de elementos no recurrentes alcanza los </w:t>
      </w:r>
      <w:r w:rsidRPr="000F3918">
        <w:rPr>
          <w:rFonts w:cs="Arial"/>
          <w:b/>
          <w:bCs/>
          <w:lang w:val="es-ES_tradnl" w:bidi="es-ES_tradnl"/>
        </w:rPr>
        <w:t>2</w:t>
      </w:r>
      <w:r>
        <w:rPr>
          <w:rFonts w:cs="Arial"/>
          <w:b/>
          <w:bCs/>
          <w:lang w:val="es-ES_tradnl" w:bidi="es-ES_tradnl"/>
        </w:rPr>
        <w:t>.</w:t>
      </w:r>
      <w:r w:rsidRPr="000F3918">
        <w:rPr>
          <w:rFonts w:cs="Arial"/>
          <w:b/>
          <w:bCs/>
          <w:lang w:val="es-ES_tradnl" w:bidi="es-ES_tradnl"/>
        </w:rPr>
        <w:t xml:space="preserve">423 </w:t>
      </w:r>
      <w:r w:rsidRPr="005A249D">
        <w:rPr>
          <w:rFonts w:cs="Arial"/>
          <w:b/>
          <w:lang w:bidi="es-ES_tradnl"/>
        </w:rPr>
        <w:t xml:space="preserve">millones de euros, es decir, el </w:t>
      </w:r>
      <w:r>
        <w:rPr>
          <w:rFonts w:cs="Arial"/>
          <w:b/>
          <w:lang w:bidi="es-ES_tradnl"/>
        </w:rPr>
        <w:t>11,3</w:t>
      </w:r>
      <w:r w:rsidRPr="005A249D">
        <w:rPr>
          <w:rFonts w:cs="Arial"/>
          <w:b/>
          <w:lang w:bidi="es-ES_tradnl"/>
        </w:rPr>
        <w:t>% de las ventas netas</w:t>
      </w:r>
      <w:r>
        <w:rPr>
          <w:rFonts w:cs="Arial"/>
          <w:b/>
          <w:lang w:bidi="es-ES_tradnl"/>
        </w:rPr>
        <w:t>,</w:t>
      </w:r>
      <w:r>
        <w:rPr>
          <w:rFonts w:cs="Arial"/>
          <w:bCs/>
          <w:lang w:val="es-ES_tradnl" w:bidi="es-ES_tradnl"/>
        </w:rPr>
        <w:t xml:space="preserve"> en comparación con los </w:t>
      </w:r>
      <w:r w:rsidR="00220FF2" w:rsidRPr="000F3918">
        <w:rPr>
          <w:rFonts w:cs="Arial"/>
          <w:bCs/>
          <w:lang w:val="es-ES_tradnl" w:bidi="es-ES_tradnl"/>
        </w:rPr>
        <w:t>1</w:t>
      </w:r>
      <w:r>
        <w:rPr>
          <w:rFonts w:cs="Arial"/>
          <w:bCs/>
          <w:lang w:val="es-ES_tradnl" w:bidi="es-ES_tradnl"/>
        </w:rPr>
        <w:t>.</w:t>
      </w:r>
      <w:r w:rsidR="00220FF2" w:rsidRPr="000F3918">
        <w:rPr>
          <w:rFonts w:cs="Arial"/>
          <w:bCs/>
          <w:lang w:val="es-ES_tradnl" w:bidi="es-ES_tradnl"/>
        </w:rPr>
        <w:t xml:space="preserve">945 </w:t>
      </w:r>
      <w:r w:rsidRPr="004F41B1">
        <w:rPr>
          <w:rFonts w:cs="Arial"/>
          <w:bCs/>
          <w:lang w:val="es-ES_tradnl" w:bidi="es-ES_tradnl"/>
        </w:rPr>
        <w:t>millones de euros</w:t>
      </w:r>
      <w:r w:rsidR="00220FF2" w:rsidRPr="000F3918">
        <w:rPr>
          <w:rFonts w:cs="Arial"/>
          <w:bCs/>
          <w:lang w:val="es-ES_tradnl" w:bidi="es-ES_tradnl"/>
        </w:rPr>
        <w:t xml:space="preserve"> </w:t>
      </w:r>
      <w:r>
        <w:rPr>
          <w:rFonts w:cs="Arial"/>
          <w:bCs/>
          <w:lang w:val="es-ES_tradnl" w:bidi="es-ES_tradnl"/>
        </w:rPr>
        <w:t>y el 9,4</w:t>
      </w:r>
      <w:r w:rsidR="00220FF2" w:rsidRPr="000F3918">
        <w:rPr>
          <w:rFonts w:cs="Arial"/>
          <w:bCs/>
          <w:lang w:val="es-ES_tradnl" w:bidi="es-ES_tradnl"/>
        </w:rPr>
        <w:t xml:space="preserve">% </w:t>
      </w:r>
      <w:r>
        <w:rPr>
          <w:rFonts w:cs="Arial"/>
          <w:bCs/>
          <w:lang w:val="es-ES_tradnl" w:bidi="es-ES_tradnl"/>
        </w:rPr>
        <w:t>de</w:t>
      </w:r>
      <w:r w:rsidR="00220FF2" w:rsidRPr="000F3918">
        <w:rPr>
          <w:rFonts w:cs="Arial"/>
          <w:bCs/>
          <w:lang w:val="es-ES_tradnl" w:bidi="es-ES_tradnl"/>
        </w:rPr>
        <w:t xml:space="preserve"> 2011.</w:t>
      </w:r>
    </w:p>
    <w:p w:rsidR="000470EF" w:rsidRDefault="00443E0E" w:rsidP="000B40FE">
      <w:pPr>
        <w:pStyle w:val="TextoMichelin"/>
        <w:rPr>
          <w:rFonts w:cs="Arial"/>
          <w:bCs/>
          <w:lang w:val="es-ES_tradnl" w:bidi="es-ES_tradnl"/>
        </w:rPr>
      </w:pPr>
      <w:r w:rsidRPr="005A249D">
        <w:rPr>
          <w:rFonts w:cs="Arial"/>
          <w:bCs/>
          <w:lang w:bidi="es-ES_tradnl"/>
        </w:rPr>
        <w:t xml:space="preserve">La mejora de </w:t>
      </w:r>
      <w:r>
        <w:rPr>
          <w:rFonts w:cs="Arial"/>
          <w:bCs/>
          <w:lang w:bidi="es-ES_tradnl"/>
        </w:rPr>
        <w:t>478</w:t>
      </w:r>
      <w:r w:rsidRPr="005A249D">
        <w:rPr>
          <w:rFonts w:cs="Arial"/>
          <w:bCs/>
          <w:lang w:bidi="es-ES_tradnl"/>
        </w:rPr>
        <w:t xml:space="preserve"> millones de euros en relación al resultado opera</w:t>
      </w:r>
      <w:r>
        <w:rPr>
          <w:rFonts w:cs="Arial"/>
          <w:bCs/>
          <w:lang w:bidi="es-ES_tradnl"/>
        </w:rPr>
        <w:t>tivo</w:t>
      </w:r>
      <w:r w:rsidRPr="005A249D">
        <w:rPr>
          <w:rFonts w:cs="Arial"/>
          <w:bCs/>
          <w:lang w:bidi="es-ES_tradnl"/>
        </w:rPr>
        <w:t xml:space="preserve"> </w:t>
      </w:r>
      <w:r>
        <w:rPr>
          <w:rFonts w:cs="Arial"/>
          <w:bCs/>
          <w:lang w:bidi="es-ES_tradnl"/>
        </w:rPr>
        <w:t xml:space="preserve">antes de elementos no recurrentes </w:t>
      </w:r>
      <w:r w:rsidRPr="005A249D">
        <w:rPr>
          <w:rFonts w:cs="Arial"/>
          <w:bCs/>
          <w:lang w:bidi="es-ES_tradnl"/>
        </w:rPr>
        <w:t xml:space="preserve">refleja principalmente el efecto favorable del </w:t>
      </w:r>
      <w:r>
        <w:rPr>
          <w:rFonts w:cs="Arial"/>
          <w:bCs/>
          <w:lang w:bidi="es-ES_tradnl"/>
        </w:rPr>
        <w:t>mix de precios</w:t>
      </w:r>
      <w:r w:rsidR="00220FF2" w:rsidRPr="000F3918">
        <w:rPr>
          <w:rFonts w:cs="Arial"/>
          <w:bCs/>
          <w:lang w:val="es-ES_tradnl" w:bidi="es-ES_tradnl"/>
        </w:rPr>
        <w:t xml:space="preserve"> (+ 1</w:t>
      </w:r>
      <w:r>
        <w:rPr>
          <w:rFonts w:cs="Arial"/>
          <w:bCs/>
          <w:lang w:val="es-ES_tradnl" w:bidi="es-ES_tradnl"/>
        </w:rPr>
        <w:t>.209</w:t>
      </w:r>
      <w:r w:rsidR="00220FF2" w:rsidRPr="000F3918">
        <w:rPr>
          <w:rFonts w:cs="Arial"/>
          <w:bCs/>
          <w:lang w:val="es-ES_tradnl" w:bidi="es-ES_tradnl"/>
        </w:rPr>
        <w:t xml:space="preserve"> </w:t>
      </w:r>
      <w:r>
        <w:rPr>
          <w:rFonts w:cs="Arial"/>
          <w:bCs/>
          <w:lang w:val="es-ES_tradnl" w:bidi="es-ES_tradnl"/>
        </w:rPr>
        <w:t>millones de euros</w:t>
      </w:r>
      <w:r w:rsidR="00220FF2" w:rsidRPr="000F3918">
        <w:rPr>
          <w:rFonts w:cs="Arial"/>
          <w:bCs/>
          <w:lang w:val="es-ES_tradnl" w:bidi="es-ES_tradnl"/>
        </w:rPr>
        <w:t xml:space="preserve">, </w:t>
      </w:r>
      <w:r>
        <w:rPr>
          <w:rFonts w:cs="Arial"/>
          <w:bCs/>
          <w:lang w:val="es-ES_tradnl" w:bidi="es-ES_tradnl"/>
        </w:rPr>
        <w:t xml:space="preserve">de ellos </w:t>
      </w:r>
      <w:r w:rsidR="00220FF2" w:rsidRPr="000F3918">
        <w:rPr>
          <w:rFonts w:cs="Arial"/>
          <w:bCs/>
          <w:lang w:val="es-ES_tradnl" w:bidi="es-ES_tradnl"/>
        </w:rPr>
        <w:t>1</w:t>
      </w:r>
      <w:r>
        <w:rPr>
          <w:rFonts w:cs="Arial"/>
          <w:bCs/>
          <w:lang w:val="es-ES_tradnl" w:bidi="es-ES_tradnl"/>
        </w:rPr>
        <w:t>.</w:t>
      </w:r>
      <w:r w:rsidR="00220FF2" w:rsidRPr="000F3918">
        <w:rPr>
          <w:rFonts w:cs="Arial"/>
          <w:bCs/>
          <w:lang w:val="es-ES_tradnl" w:bidi="es-ES_tradnl"/>
        </w:rPr>
        <w:t xml:space="preserve">052 </w:t>
      </w:r>
      <w:r>
        <w:rPr>
          <w:rFonts w:cs="Arial"/>
          <w:bCs/>
          <w:lang w:val="es-ES_tradnl" w:bidi="es-ES_tradnl"/>
        </w:rPr>
        <w:t>millones</w:t>
      </w:r>
      <w:r w:rsidR="00220FF2" w:rsidRPr="000F3918">
        <w:rPr>
          <w:rFonts w:cs="Arial"/>
          <w:bCs/>
          <w:lang w:val="es-ES_tradnl" w:bidi="es-ES_tradnl"/>
        </w:rPr>
        <w:t xml:space="preserve"> </w:t>
      </w:r>
      <w:r w:rsidR="00966FA0">
        <w:rPr>
          <w:rFonts w:cs="Arial"/>
          <w:bCs/>
          <w:lang w:val="es-ES_tradnl" w:bidi="es-ES_tradnl"/>
        </w:rPr>
        <w:t xml:space="preserve">en concepto de precios), que se conjuga </w:t>
      </w:r>
      <w:r w:rsidR="00970CC2">
        <w:rPr>
          <w:rFonts w:cs="Arial"/>
          <w:bCs/>
          <w:lang w:val="es-ES_tradnl" w:bidi="es-ES_tradnl"/>
        </w:rPr>
        <w:t>favorablemente con un efecto negativo limitado de las materias primas (</w:t>
      </w:r>
      <w:r w:rsidR="00220FF2" w:rsidRPr="000F3918">
        <w:rPr>
          <w:rFonts w:cs="Arial"/>
          <w:bCs/>
          <w:lang w:val="es-ES_tradnl" w:bidi="es-ES_tradnl"/>
        </w:rPr>
        <w:t xml:space="preserve">- 76 </w:t>
      </w:r>
      <w:r w:rsidR="00970CC2" w:rsidRPr="005A249D">
        <w:rPr>
          <w:rFonts w:cs="Arial"/>
          <w:bCs/>
          <w:lang w:bidi="es-ES_tradnl"/>
        </w:rPr>
        <w:t>millones de euros</w:t>
      </w:r>
      <w:r w:rsidR="00220FF2" w:rsidRPr="000F3918">
        <w:rPr>
          <w:rFonts w:cs="Arial"/>
          <w:bCs/>
          <w:lang w:val="es-ES_tradnl" w:bidi="es-ES_tradnl"/>
        </w:rPr>
        <w:t xml:space="preserve">). </w:t>
      </w:r>
      <w:r w:rsidR="00970CC2">
        <w:rPr>
          <w:rFonts w:cs="Arial"/>
          <w:bCs/>
          <w:lang w:val="es-ES_tradnl" w:bidi="es-ES_tradnl"/>
        </w:rPr>
        <w:t xml:space="preserve">Esto </w:t>
      </w:r>
      <w:r w:rsidR="000D1C68">
        <w:rPr>
          <w:rFonts w:cs="Arial"/>
          <w:bCs/>
          <w:lang w:val="es-ES_tradnl" w:bidi="es-ES_tradnl"/>
        </w:rPr>
        <w:t xml:space="preserve">incluye </w:t>
      </w:r>
      <w:r w:rsidR="00970CC2">
        <w:rPr>
          <w:rFonts w:cs="Arial"/>
          <w:bCs/>
          <w:lang w:val="es-ES_tradnl" w:bidi="es-ES_tradnl"/>
        </w:rPr>
        <w:t xml:space="preserve">también el </w:t>
      </w:r>
      <w:r w:rsidR="003B3CF8">
        <w:rPr>
          <w:rFonts w:cs="Arial"/>
          <w:bCs/>
          <w:lang w:val="es-ES_tradnl" w:bidi="es-ES_tradnl"/>
        </w:rPr>
        <w:t xml:space="preserve">retroceso de los volúmenes </w:t>
      </w:r>
      <w:r w:rsidR="00220FF2" w:rsidRPr="000F3918">
        <w:rPr>
          <w:rFonts w:cs="Arial"/>
          <w:bCs/>
          <w:lang w:val="es-ES_tradnl" w:bidi="es-ES_tradnl"/>
        </w:rPr>
        <w:t xml:space="preserve">(- 504 </w:t>
      </w:r>
      <w:r w:rsidR="003B3CF8" w:rsidRPr="005A249D">
        <w:rPr>
          <w:rFonts w:cs="Arial"/>
          <w:bCs/>
          <w:lang w:bidi="es-ES_tradnl"/>
        </w:rPr>
        <w:t>millones de euros</w:t>
      </w:r>
      <w:r w:rsidR="00220FF2" w:rsidRPr="000F3918">
        <w:rPr>
          <w:rFonts w:cs="Arial"/>
          <w:bCs/>
          <w:lang w:val="es-ES_tradnl" w:bidi="es-ES_tradnl"/>
        </w:rPr>
        <w:t xml:space="preserve">), </w:t>
      </w:r>
      <w:r w:rsidR="003B3CF8">
        <w:rPr>
          <w:rFonts w:cs="Arial"/>
          <w:bCs/>
          <w:lang w:val="es-ES_tradnl" w:bidi="es-ES_tradnl"/>
        </w:rPr>
        <w:t>el esfuerzo de crecimiento del Grupo (</w:t>
      </w:r>
      <w:r w:rsidR="00910729">
        <w:rPr>
          <w:rFonts w:cs="Arial"/>
          <w:bCs/>
          <w:lang w:val="es-ES_tradnl" w:bidi="es-ES_tradnl"/>
        </w:rPr>
        <w:t>costes</w:t>
      </w:r>
      <w:r w:rsidR="00785CEE">
        <w:rPr>
          <w:rFonts w:cs="Arial"/>
          <w:bCs/>
          <w:lang w:val="es-ES_tradnl" w:bidi="es-ES_tradnl"/>
        </w:rPr>
        <w:t xml:space="preserve"> de arranque y </w:t>
      </w:r>
      <w:r w:rsidR="00910729">
        <w:rPr>
          <w:rFonts w:cs="Arial"/>
          <w:bCs/>
          <w:lang w:val="es-ES_tradnl" w:bidi="es-ES_tradnl"/>
        </w:rPr>
        <w:t>costes</w:t>
      </w:r>
      <w:r w:rsidR="00785CEE">
        <w:rPr>
          <w:rFonts w:cs="Arial"/>
          <w:bCs/>
          <w:lang w:val="es-ES_tradnl" w:bidi="es-ES_tradnl"/>
        </w:rPr>
        <w:t xml:space="preserve"> en los nuevos mercados</w:t>
      </w:r>
      <w:r w:rsidR="00220FF2" w:rsidRPr="000F3918">
        <w:rPr>
          <w:rFonts w:cs="Arial"/>
          <w:bCs/>
          <w:lang w:val="es-ES_tradnl" w:bidi="es-ES_tradnl"/>
        </w:rPr>
        <w:t xml:space="preserve"> - 176 </w:t>
      </w:r>
      <w:r w:rsidR="00AA3D88">
        <w:rPr>
          <w:rFonts w:cs="Arial"/>
          <w:bCs/>
          <w:lang w:val="es-ES_tradnl" w:bidi="es-ES_tradnl"/>
        </w:rPr>
        <w:t>millones de euros</w:t>
      </w:r>
      <w:r w:rsidR="00220FF2" w:rsidRPr="000F3918">
        <w:rPr>
          <w:rFonts w:cs="Arial"/>
          <w:bCs/>
          <w:lang w:val="es-ES_tradnl" w:bidi="es-ES_tradnl"/>
        </w:rPr>
        <w:t xml:space="preserve">), </w:t>
      </w:r>
      <w:r w:rsidR="00AA3D88">
        <w:rPr>
          <w:rFonts w:cs="Arial"/>
          <w:bCs/>
          <w:lang w:val="es-ES_tradnl" w:bidi="es-ES_tradnl"/>
        </w:rPr>
        <w:t xml:space="preserve">la inflación </w:t>
      </w:r>
      <w:r w:rsidR="006B35D7">
        <w:rPr>
          <w:rFonts w:cs="Arial"/>
          <w:bCs/>
          <w:lang w:val="es-ES_tradnl" w:bidi="es-ES_tradnl"/>
        </w:rPr>
        <w:t>de</w:t>
      </w:r>
      <w:r w:rsidR="00AA3D88">
        <w:rPr>
          <w:rFonts w:cs="Arial"/>
          <w:bCs/>
          <w:lang w:val="es-ES_tradnl" w:bidi="es-ES_tradnl"/>
        </w:rPr>
        <w:t xml:space="preserve"> los costes industriales</w:t>
      </w:r>
      <w:r w:rsidR="000B40FE">
        <w:rPr>
          <w:rFonts w:cs="Arial"/>
          <w:bCs/>
          <w:lang w:val="es-ES_tradnl" w:bidi="es-ES_tradnl"/>
        </w:rPr>
        <w:t xml:space="preserve"> y los </w:t>
      </w:r>
      <w:r w:rsidR="006B35D7">
        <w:rPr>
          <w:rFonts w:cs="Arial"/>
          <w:bCs/>
          <w:lang w:val="es-ES_tradnl" w:bidi="es-ES_tradnl"/>
        </w:rPr>
        <w:t>gastos</w:t>
      </w:r>
      <w:r w:rsidR="000B40FE">
        <w:rPr>
          <w:rFonts w:cs="Arial"/>
          <w:bCs/>
          <w:lang w:val="es-ES_tradnl" w:bidi="es-ES_tradnl"/>
        </w:rPr>
        <w:t xml:space="preserve"> </w:t>
      </w:r>
      <w:r w:rsidR="00220FF2" w:rsidRPr="000F3918">
        <w:rPr>
          <w:rFonts w:cs="Arial"/>
          <w:bCs/>
          <w:lang w:val="es-ES_tradnl" w:bidi="es-ES_tradnl"/>
        </w:rPr>
        <w:t xml:space="preserve">(- 311 </w:t>
      </w:r>
      <w:r w:rsidR="000B40FE">
        <w:rPr>
          <w:rFonts w:cs="Arial"/>
          <w:bCs/>
          <w:lang w:val="es-ES_tradnl" w:bidi="es-ES_tradnl"/>
        </w:rPr>
        <w:t>millones de euros</w:t>
      </w:r>
      <w:r w:rsidR="00220FF2" w:rsidRPr="000F3918">
        <w:rPr>
          <w:rFonts w:cs="Arial"/>
          <w:bCs/>
          <w:lang w:val="es-ES_tradnl" w:bidi="es-ES_tradnl"/>
        </w:rPr>
        <w:t xml:space="preserve">) </w:t>
      </w:r>
      <w:r w:rsidR="000B40FE">
        <w:rPr>
          <w:rFonts w:cs="Arial"/>
          <w:bCs/>
          <w:lang w:val="es-ES_tradnl" w:bidi="es-ES_tradnl"/>
        </w:rPr>
        <w:t xml:space="preserve">y el efecto sobre la productividad de las ralentizaciones de la producción </w:t>
      </w:r>
      <w:r w:rsidR="00220FF2" w:rsidRPr="000F3918">
        <w:rPr>
          <w:rFonts w:cs="Arial"/>
          <w:bCs/>
          <w:lang w:val="es-ES_tradnl" w:bidi="es-ES_tradnl"/>
        </w:rPr>
        <w:t xml:space="preserve">(+ 3 </w:t>
      </w:r>
      <w:r w:rsidR="000B40FE">
        <w:rPr>
          <w:rFonts w:cs="Arial"/>
          <w:bCs/>
          <w:lang w:val="es-ES_tradnl" w:bidi="es-ES_tradnl"/>
        </w:rPr>
        <w:t>millones de euros</w:t>
      </w:r>
      <w:r w:rsidR="00220FF2" w:rsidRPr="000F3918">
        <w:rPr>
          <w:rFonts w:cs="Arial"/>
          <w:bCs/>
          <w:lang w:val="es-ES_tradnl" w:bidi="es-ES_tradnl"/>
        </w:rPr>
        <w:t>).</w:t>
      </w:r>
      <w:r w:rsidR="000470EF">
        <w:rPr>
          <w:rFonts w:cs="Arial"/>
          <w:bCs/>
          <w:lang w:val="es-ES_tradnl" w:bidi="es-ES_tradnl"/>
        </w:rPr>
        <w:t xml:space="preserve"> La evolución </w:t>
      </w:r>
      <w:r w:rsidR="000470EF" w:rsidRPr="005A249D">
        <w:rPr>
          <w:rFonts w:cs="Arial"/>
          <w:bCs/>
          <w:lang w:bidi="es-ES_tradnl"/>
        </w:rPr>
        <w:t>de las paridades</w:t>
      </w:r>
      <w:r w:rsidR="000470EF">
        <w:rPr>
          <w:rFonts w:cs="Arial"/>
          <w:bCs/>
          <w:lang w:bidi="es-ES_tradnl"/>
        </w:rPr>
        <w:t xml:space="preserve"> monetarias aporta 268 millones de euros. Esto incluye, además, los primeros efectos del plan de competitividad puesto en marcha a comienzos de 2012.</w:t>
      </w:r>
    </w:p>
    <w:p w:rsidR="00F50FF3" w:rsidRPr="005A249D" w:rsidRDefault="008D4B7E" w:rsidP="00F50FF3">
      <w:pPr>
        <w:pStyle w:val="TextoMichelin"/>
        <w:rPr>
          <w:rFonts w:cs="Arial"/>
          <w:b/>
          <w:lang w:val="es-ES_tradnl"/>
        </w:rPr>
      </w:pPr>
      <w:r>
        <w:rPr>
          <w:rFonts w:cs="Arial"/>
          <w:b/>
          <w:lang w:val="es-ES_tradnl"/>
        </w:rPr>
        <w:br/>
      </w:r>
      <w:r w:rsidR="00F50FF3" w:rsidRPr="005A249D">
        <w:rPr>
          <w:rFonts w:cs="Arial"/>
          <w:b/>
          <w:lang w:val="es-ES_tradnl"/>
        </w:rPr>
        <w:t xml:space="preserve">El resultado neto arroja un beneficio de </w:t>
      </w:r>
      <w:r w:rsidRPr="000F3918">
        <w:rPr>
          <w:rFonts w:cs="Arial"/>
          <w:b/>
          <w:bCs/>
          <w:lang w:val="es-ES_tradnl" w:bidi="es-ES_tradnl"/>
        </w:rPr>
        <w:t>1</w:t>
      </w:r>
      <w:r>
        <w:rPr>
          <w:rFonts w:cs="Arial"/>
          <w:b/>
          <w:bCs/>
          <w:lang w:val="es-ES_tradnl" w:bidi="es-ES_tradnl"/>
        </w:rPr>
        <w:t>.</w:t>
      </w:r>
      <w:r w:rsidRPr="000F3918">
        <w:rPr>
          <w:rFonts w:cs="Arial"/>
          <w:b/>
          <w:bCs/>
          <w:lang w:val="es-ES_tradnl" w:bidi="es-ES_tradnl"/>
        </w:rPr>
        <w:t xml:space="preserve">571 </w:t>
      </w:r>
      <w:r w:rsidR="00F50FF3" w:rsidRPr="005A249D">
        <w:rPr>
          <w:rFonts w:cs="Arial"/>
          <w:b/>
          <w:lang w:val="es-ES_tradnl"/>
        </w:rPr>
        <w:t>millones de euros.</w:t>
      </w:r>
    </w:p>
    <w:p w:rsidR="00913057" w:rsidRPr="000F3918" w:rsidRDefault="00F50FF3" w:rsidP="00913057">
      <w:pPr>
        <w:pStyle w:val="LadilloMichelinDossier"/>
        <w:rPr>
          <w:lang w:val="es-ES_tradnl"/>
        </w:rPr>
      </w:pPr>
      <w:r>
        <w:rPr>
          <w:lang w:val="es-ES_tradnl"/>
        </w:rPr>
        <w:br w:type="column"/>
      </w:r>
      <w:r w:rsidR="00913057" w:rsidRPr="000F3918">
        <w:rPr>
          <w:lang w:val="es-ES_tradnl"/>
        </w:rPr>
        <w:t>Posición financiera neta</w:t>
      </w:r>
    </w:p>
    <w:p w:rsidR="00777D5A" w:rsidRDefault="006B35D7" w:rsidP="008D4B7E">
      <w:pPr>
        <w:pStyle w:val="TextoMichelin"/>
        <w:rPr>
          <w:rFonts w:cs="Arial"/>
          <w:lang w:bidi="es-ES_tradnl"/>
        </w:rPr>
      </w:pPr>
      <w:r>
        <w:rPr>
          <w:rFonts w:cs="Arial"/>
          <w:lang w:bidi="es-ES_tradnl"/>
        </w:rPr>
        <w:t>E</w:t>
      </w:r>
      <w:r w:rsidR="008D4B7E" w:rsidRPr="005A249D">
        <w:rPr>
          <w:rFonts w:cs="Arial"/>
          <w:lang w:bidi="es-ES_tradnl"/>
        </w:rPr>
        <w:t xml:space="preserve">l Grupo ha generado un </w:t>
      </w:r>
      <w:r w:rsidR="008D4B7E" w:rsidRPr="005A249D">
        <w:rPr>
          <w:rFonts w:cs="Arial"/>
          <w:b/>
          <w:lang w:bidi="es-ES_tradnl"/>
        </w:rPr>
        <w:t xml:space="preserve">cash flow </w:t>
      </w:r>
      <w:r w:rsidR="008D4B7E">
        <w:rPr>
          <w:rFonts w:cs="Arial"/>
          <w:b/>
          <w:lang w:bidi="es-ES_tradnl"/>
        </w:rPr>
        <w:t xml:space="preserve">libre </w:t>
      </w:r>
      <w:r w:rsidR="008D4B7E" w:rsidRPr="005A249D">
        <w:rPr>
          <w:rFonts w:cs="Arial"/>
          <w:b/>
          <w:lang w:bidi="es-ES_tradnl"/>
        </w:rPr>
        <w:t xml:space="preserve">de </w:t>
      </w:r>
      <w:r w:rsidR="008D4B7E" w:rsidRPr="000F3918">
        <w:rPr>
          <w:rFonts w:cs="Arial"/>
          <w:b/>
          <w:lang w:val="es-ES_tradnl" w:bidi="es-ES_tradnl"/>
        </w:rPr>
        <w:t>1</w:t>
      </w:r>
      <w:r w:rsidR="008D4B7E">
        <w:rPr>
          <w:rFonts w:cs="Arial"/>
          <w:b/>
          <w:lang w:val="es-ES_tradnl" w:bidi="es-ES_tradnl"/>
        </w:rPr>
        <w:t>.</w:t>
      </w:r>
      <w:r w:rsidR="008D4B7E" w:rsidRPr="000F3918">
        <w:rPr>
          <w:rFonts w:cs="Arial"/>
          <w:b/>
          <w:lang w:val="es-ES_tradnl" w:bidi="es-ES_tradnl"/>
        </w:rPr>
        <w:t xml:space="preserve">075 </w:t>
      </w:r>
      <w:r w:rsidR="008D4B7E" w:rsidRPr="005A249D">
        <w:rPr>
          <w:rFonts w:cs="Arial"/>
          <w:b/>
          <w:lang w:bidi="es-ES_tradnl"/>
        </w:rPr>
        <w:t xml:space="preserve"> millones de euros,</w:t>
      </w:r>
      <w:r w:rsidR="008D4B7E">
        <w:rPr>
          <w:rFonts w:cs="Arial"/>
          <w:lang w:bidi="es-ES_tradnl"/>
        </w:rPr>
        <w:t xml:space="preserve"> gracias a</w:t>
      </w:r>
      <w:r w:rsidR="00945203">
        <w:rPr>
          <w:rFonts w:cs="Arial"/>
          <w:lang w:bidi="es-ES_tradnl"/>
        </w:rPr>
        <w:t xml:space="preserve">l </w:t>
      </w:r>
      <w:r w:rsidR="00945203" w:rsidRPr="000F3918">
        <w:rPr>
          <w:rFonts w:cs="Arial"/>
          <w:lang w:val="es-ES_tradnl" w:bidi="es-ES_tradnl"/>
        </w:rPr>
        <w:t>cash flow disponible</w:t>
      </w:r>
      <w:r w:rsidR="00945203">
        <w:rPr>
          <w:rFonts w:cs="Arial"/>
          <w:lang w:val="es-ES_tradnl" w:bidi="es-ES_tradnl"/>
        </w:rPr>
        <w:t>, por la venta de complejo inmobiliario en París</w:t>
      </w:r>
      <w:r w:rsidR="008D4B7E" w:rsidRPr="005A249D">
        <w:rPr>
          <w:rFonts w:cs="Arial"/>
          <w:lang w:bidi="es-ES_tradnl"/>
        </w:rPr>
        <w:t xml:space="preserve"> </w:t>
      </w:r>
      <w:r w:rsidR="00777D5A">
        <w:rPr>
          <w:rFonts w:cs="Arial"/>
          <w:lang w:bidi="es-ES_tradnl"/>
        </w:rPr>
        <w:t>y a pesar de la aceleración de las inversiones en crecimiento.</w:t>
      </w:r>
    </w:p>
    <w:p w:rsidR="008D4B7E" w:rsidRPr="005A249D" w:rsidRDefault="008D4B7E" w:rsidP="008D4B7E">
      <w:pPr>
        <w:pStyle w:val="TextoMichelin"/>
        <w:rPr>
          <w:rFonts w:cs="Arial"/>
          <w:b/>
          <w:lang w:bidi="es-ES_tradnl"/>
        </w:rPr>
      </w:pPr>
      <w:r w:rsidRPr="005A249D">
        <w:rPr>
          <w:rFonts w:cs="Arial"/>
          <w:lang w:bidi="es-ES_tradnl"/>
        </w:rPr>
        <w:t>A finales de diciembre de 201</w:t>
      </w:r>
      <w:r w:rsidR="00777D5A">
        <w:rPr>
          <w:rFonts w:cs="Arial"/>
          <w:lang w:bidi="es-ES_tradnl"/>
        </w:rPr>
        <w:t>2</w:t>
      </w:r>
      <w:r w:rsidRPr="005A249D">
        <w:rPr>
          <w:rFonts w:cs="Arial"/>
          <w:lang w:bidi="es-ES_tradnl"/>
        </w:rPr>
        <w:t xml:space="preserve">, </w:t>
      </w:r>
      <w:r w:rsidRPr="005A249D">
        <w:rPr>
          <w:rFonts w:cs="Arial"/>
          <w:b/>
          <w:lang w:bidi="es-ES_tradnl"/>
        </w:rPr>
        <w:t xml:space="preserve">el ratio de endeudamiento asciende </w:t>
      </w:r>
      <w:r>
        <w:rPr>
          <w:rFonts w:cs="Arial"/>
          <w:b/>
          <w:lang w:bidi="es-ES_tradnl"/>
        </w:rPr>
        <w:t>al</w:t>
      </w:r>
      <w:r w:rsidRPr="005A249D">
        <w:rPr>
          <w:rFonts w:cs="Arial"/>
          <w:b/>
          <w:lang w:bidi="es-ES_tradnl"/>
        </w:rPr>
        <w:t xml:space="preserve"> </w:t>
      </w:r>
      <w:r w:rsidR="00777D5A">
        <w:rPr>
          <w:rFonts w:cs="Arial"/>
          <w:b/>
          <w:lang w:bidi="es-ES_tradnl"/>
        </w:rPr>
        <w:t>1</w:t>
      </w:r>
      <w:r w:rsidRPr="005A249D">
        <w:rPr>
          <w:rFonts w:cs="Arial"/>
          <w:b/>
          <w:lang w:bidi="es-ES_tradnl"/>
        </w:rPr>
        <w:t>2%</w:t>
      </w:r>
      <w:r w:rsidRPr="005A249D">
        <w:rPr>
          <w:rFonts w:cs="Arial"/>
          <w:lang w:bidi="es-ES_tradnl"/>
        </w:rPr>
        <w:t>, correspondiente a un endeudamiento financiero neto de 1.</w:t>
      </w:r>
      <w:r w:rsidR="00777D5A" w:rsidRPr="000F3918">
        <w:rPr>
          <w:rFonts w:cs="Arial"/>
          <w:lang w:val="es-ES_tradnl" w:bidi="es-ES_tradnl"/>
        </w:rPr>
        <w:t>053</w:t>
      </w:r>
      <w:r w:rsidRPr="005A249D">
        <w:rPr>
          <w:rFonts w:cs="Arial"/>
          <w:lang w:bidi="es-ES_tradnl"/>
        </w:rPr>
        <w:t xml:space="preserve"> millones de euros.</w:t>
      </w:r>
    </w:p>
    <w:p w:rsidR="00220FF2" w:rsidRPr="000F3918" w:rsidRDefault="00220FF2" w:rsidP="00220FF2">
      <w:pPr>
        <w:pStyle w:val="TextoMichelin"/>
        <w:rPr>
          <w:rFonts w:cs="Arial"/>
          <w:lang w:val="es-ES_tradnl" w:bidi="es-ES_tradnl"/>
        </w:rPr>
      </w:pPr>
    </w:p>
    <w:p w:rsidR="00913057" w:rsidRPr="000F3918" w:rsidRDefault="00913057" w:rsidP="00913057">
      <w:pPr>
        <w:pStyle w:val="LadilloMichelinDossier"/>
        <w:rPr>
          <w:rFonts w:ascii="Verdana" w:hAnsi="Verdana" w:cs="Arial"/>
          <w:b w:val="0"/>
          <w:lang w:val="es-ES_tradnl"/>
        </w:rPr>
      </w:pPr>
      <w:r w:rsidRPr="000F3918">
        <w:rPr>
          <w:lang w:val="es-ES_tradnl"/>
        </w:rPr>
        <w:t>Información sectorial</w:t>
      </w:r>
    </w:p>
    <w:tbl>
      <w:tblPr>
        <w:tblpPr w:leftFromText="141" w:rightFromText="141" w:vertAnchor="text" w:horzAnchor="margin" w:tblpY="160"/>
        <w:tblW w:w="8613" w:type="dxa"/>
        <w:tblBorders>
          <w:top w:val="single" w:sz="2" w:space="0" w:color="auto"/>
          <w:left w:val="single" w:sz="2" w:space="0" w:color="auto"/>
          <w:bottom w:val="single" w:sz="2" w:space="0" w:color="auto"/>
          <w:right w:val="single" w:sz="2" w:space="0" w:color="auto"/>
        </w:tblBorders>
        <w:tblLayout w:type="fixed"/>
        <w:tblLook w:val="01E0"/>
      </w:tblPr>
      <w:tblGrid>
        <w:gridCol w:w="1668"/>
        <w:gridCol w:w="1134"/>
        <w:gridCol w:w="1275"/>
        <w:gridCol w:w="1134"/>
        <w:gridCol w:w="1134"/>
        <w:gridCol w:w="1134"/>
        <w:gridCol w:w="1134"/>
      </w:tblGrid>
      <w:tr w:rsidR="00913057" w:rsidRPr="000F3918">
        <w:tc>
          <w:tcPr>
            <w:tcW w:w="1668" w:type="dxa"/>
            <w:tcBorders>
              <w:top w:val="single" w:sz="2" w:space="0" w:color="auto"/>
              <w:bottom w:val="single" w:sz="2" w:space="0" w:color="auto"/>
              <w:right w:val="single" w:sz="2" w:space="0" w:color="auto"/>
            </w:tcBorders>
            <w:shd w:val="clear" w:color="auto" w:fill="E0E0E0"/>
          </w:tcPr>
          <w:p w:rsidR="00913057" w:rsidRPr="000F3918" w:rsidRDefault="00913057" w:rsidP="00913057">
            <w:pPr>
              <w:pStyle w:val="LadilloMichelinDossier"/>
              <w:spacing w:before="0" w:after="0"/>
              <w:jc w:val="center"/>
              <w:rPr>
                <w:rFonts w:ascii="Arial" w:hAnsi="Arial"/>
                <w:bCs/>
                <w:sz w:val="20"/>
                <w:lang w:val="es-ES_tradnl" w:bidi="es-ES_tradnl"/>
              </w:rPr>
            </w:pPr>
          </w:p>
          <w:p w:rsidR="00913057" w:rsidRPr="000F3918" w:rsidRDefault="00913057" w:rsidP="00913057">
            <w:pPr>
              <w:pStyle w:val="LadilloMichelinDossier"/>
              <w:spacing w:before="0" w:after="0"/>
              <w:jc w:val="center"/>
              <w:rPr>
                <w:rFonts w:ascii="Arial" w:hAnsi="Arial"/>
                <w:bCs/>
                <w:sz w:val="20"/>
                <w:lang w:val="es-ES_tradnl" w:bidi="es-ES_tradnl"/>
              </w:rPr>
            </w:pPr>
            <w:r w:rsidRPr="000F3918">
              <w:rPr>
                <w:rFonts w:ascii="Arial" w:hAnsi="Arial"/>
                <w:bCs/>
                <w:sz w:val="20"/>
                <w:lang w:val="es-ES_tradnl" w:bidi="es-ES_tradnl"/>
              </w:rPr>
              <w:t>Millones de euros</w:t>
            </w:r>
          </w:p>
        </w:tc>
        <w:tc>
          <w:tcPr>
            <w:tcW w:w="2409" w:type="dxa"/>
            <w:gridSpan w:val="2"/>
            <w:tcBorders>
              <w:top w:val="single" w:sz="2" w:space="0" w:color="auto"/>
              <w:left w:val="single" w:sz="2" w:space="0" w:color="auto"/>
              <w:bottom w:val="single" w:sz="2" w:space="0" w:color="auto"/>
              <w:right w:val="single" w:sz="2" w:space="0" w:color="auto"/>
            </w:tcBorders>
            <w:shd w:val="clear" w:color="auto" w:fill="E0E0E0"/>
          </w:tcPr>
          <w:p w:rsidR="00913057" w:rsidRPr="000F3918" w:rsidRDefault="00913057" w:rsidP="00913057">
            <w:pPr>
              <w:pStyle w:val="LadilloMichelinDossier"/>
              <w:spacing w:before="0" w:after="0"/>
              <w:jc w:val="center"/>
              <w:rPr>
                <w:rFonts w:ascii="Arial" w:hAnsi="Arial"/>
                <w:bCs/>
                <w:sz w:val="20"/>
                <w:lang w:val="es-ES_tradnl" w:bidi="es-ES_tradnl"/>
              </w:rPr>
            </w:pPr>
            <w:r w:rsidRPr="000F3918">
              <w:rPr>
                <w:rFonts w:ascii="Arial" w:hAnsi="Arial"/>
                <w:bCs/>
                <w:sz w:val="20"/>
                <w:lang w:val="es-ES_tradnl" w:bidi="es-ES_tradnl"/>
              </w:rPr>
              <w:br/>
              <w:t>Ventas netas</w:t>
            </w:r>
          </w:p>
        </w:tc>
        <w:tc>
          <w:tcPr>
            <w:tcW w:w="2268" w:type="dxa"/>
            <w:gridSpan w:val="2"/>
            <w:tcBorders>
              <w:top w:val="single" w:sz="2" w:space="0" w:color="auto"/>
              <w:left w:val="single" w:sz="2" w:space="0" w:color="auto"/>
              <w:bottom w:val="single" w:sz="2" w:space="0" w:color="auto"/>
              <w:right w:val="single" w:sz="2" w:space="0" w:color="auto"/>
            </w:tcBorders>
            <w:shd w:val="clear" w:color="auto" w:fill="E0E0E0"/>
          </w:tcPr>
          <w:p w:rsidR="00913057" w:rsidRPr="000F3918" w:rsidRDefault="00913057" w:rsidP="00913057">
            <w:pPr>
              <w:pStyle w:val="LadilloMichelinDossier"/>
              <w:spacing w:before="0" w:after="0"/>
              <w:jc w:val="center"/>
              <w:rPr>
                <w:rFonts w:ascii="Arial" w:hAnsi="Arial"/>
                <w:bCs/>
                <w:sz w:val="20"/>
                <w:lang w:val="es-ES_tradnl" w:bidi="es-ES_tradnl"/>
              </w:rPr>
            </w:pPr>
            <w:r w:rsidRPr="000F3918">
              <w:rPr>
                <w:rFonts w:ascii="Arial" w:hAnsi="Arial"/>
                <w:bCs/>
                <w:sz w:val="20"/>
                <w:lang w:val="es-ES_tradnl" w:bidi="es-ES_tradnl"/>
              </w:rPr>
              <w:t xml:space="preserve">Resultado operativo antes de no recurrentes </w:t>
            </w:r>
          </w:p>
        </w:tc>
        <w:tc>
          <w:tcPr>
            <w:tcW w:w="2268" w:type="dxa"/>
            <w:gridSpan w:val="2"/>
            <w:tcBorders>
              <w:top w:val="single" w:sz="2" w:space="0" w:color="auto"/>
              <w:left w:val="single" w:sz="2" w:space="0" w:color="auto"/>
              <w:bottom w:val="single" w:sz="2" w:space="0" w:color="auto"/>
            </w:tcBorders>
            <w:shd w:val="clear" w:color="auto" w:fill="E0E0E0"/>
          </w:tcPr>
          <w:p w:rsidR="00913057" w:rsidRPr="000F3918" w:rsidRDefault="00913057" w:rsidP="00913057">
            <w:pPr>
              <w:pStyle w:val="LadilloMichelinDossier"/>
              <w:spacing w:before="0" w:after="0"/>
              <w:jc w:val="center"/>
              <w:rPr>
                <w:rFonts w:ascii="Arial" w:hAnsi="Arial"/>
                <w:bCs/>
                <w:sz w:val="20"/>
                <w:lang w:val="es-ES_tradnl" w:bidi="es-ES_tradnl"/>
              </w:rPr>
            </w:pPr>
            <w:r w:rsidRPr="000F3918">
              <w:rPr>
                <w:rFonts w:ascii="Arial" w:hAnsi="Arial"/>
                <w:bCs/>
                <w:sz w:val="20"/>
                <w:lang w:val="es-ES_tradnl" w:bidi="es-ES_tradnl"/>
              </w:rPr>
              <w:t>Margen operativo antes de no recurrentes</w:t>
            </w:r>
          </w:p>
        </w:tc>
      </w:tr>
      <w:tr w:rsidR="00913057" w:rsidRPr="000F3918">
        <w:tc>
          <w:tcPr>
            <w:tcW w:w="1668" w:type="dxa"/>
            <w:tcBorders>
              <w:top w:val="single" w:sz="2" w:space="0" w:color="auto"/>
              <w:bottom w:val="single" w:sz="2" w:space="0" w:color="auto"/>
              <w:right w:val="single" w:sz="2" w:space="0" w:color="auto"/>
            </w:tcBorders>
          </w:tcPr>
          <w:p w:rsidR="00913057" w:rsidRPr="000F3918" w:rsidRDefault="00913057" w:rsidP="00913057">
            <w:pPr>
              <w:keepNext/>
              <w:spacing w:after="120"/>
              <w:jc w:val="both"/>
              <w:rPr>
                <w:rFonts w:ascii="Arial" w:hAnsi="Arial" w:cs="Arial"/>
                <w:b/>
                <w:sz w:val="20"/>
              </w:rPr>
            </w:pPr>
          </w:p>
        </w:tc>
        <w:tc>
          <w:tcPr>
            <w:tcW w:w="1134" w:type="dxa"/>
            <w:tcBorders>
              <w:top w:val="single" w:sz="2" w:space="0" w:color="auto"/>
              <w:left w:val="single" w:sz="2" w:space="0" w:color="auto"/>
              <w:bottom w:val="single" w:sz="2" w:space="0" w:color="auto"/>
              <w:right w:val="single" w:sz="2" w:space="0" w:color="auto"/>
            </w:tcBorders>
          </w:tcPr>
          <w:p w:rsidR="00913057" w:rsidRPr="000F3918" w:rsidRDefault="00CC7851" w:rsidP="00913057">
            <w:pPr>
              <w:keepNext/>
              <w:spacing w:after="120"/>
              <w:jc w:val="center"/>
              <w:rPr>
                <w:rFonts w:ascii="Verdana" w:hAnsi="Verdana" w:cs="Arial"/>
                <w:smallCaps/>
                <w:sz w:val="20"/>
                <w:szCs w:val="18"/>
              </w:rPr>
            </w:pPr>
            <w:r w:rsidRPr="00CC7851">
              <w:rPr>
                <w:rFonts w:ascii="Arial" w:hAnsi="Arial" w:cs="Arial"/>
                <w:smallCaps/>
                <w:sz w:val="20"/>
                <w:szCs w:val="18"/>
              </w:rPr>
              <w:t>2012</w:t>
            </w:r>
          </w:p>
        </w:tc>
        <w:tc>
          <w:tcPr>
            <w:tcW w:w="1275" w:type="dxa"/>
            <w:tcBorders>
              <w:top w:val="single" w:sz="2" w:space="0" w:color="auto"/>
              <w:left w:val="single" w:sz="2" w:space="0" w:color="auto"/>
              <w:bottom w:val="single" w:sz="2" w:space="0" w:color="auto"/>
              <w:right w:val="single" w:sz="2" w:space="0" w:color="auto"/>
            </w:tcBorders>
          </w:tcPr>
          <w:p w:rsidR="00913057" w:rsidRPr="000F3918" w:rsidRDefault="000E2D8D" w:rsidP="00913057">
            <w:pPr>
              <w:keepNext/>
              <w:spacing w:after="120"/>
              <w:jc w:val="center"/>
              <w:rPr>
                <w:rFonts w:ascii="Verdana" w:hAnsi="Verdana" w:cs="Arial"/>
                <w:smallCaps/>
                <w:sz w:val="20"/>
                <w:szCs w:val="18"/>
              </w:rPr>
            </w:pPr>
            <w:r w:rsidRPr="000F3918">
              <w:rPr>
                <w:rFonts w:ascii="Arial" w:hAnsi="Arial" w:cs="Arial"/>
                <w:smallCaps/>
                <w:sz w:val="20"/>
                <w:szCs w:val="18"/>
              </w:rPr>
              <w:t>2011</w:t>
            </w:r>
          </w:p>
        </w:tc>
        <w:tc>
          <w:tcPr>
            <w:tcW w:w="1134" w:type="dxa"/>
            <w:tcBorders>
              <w:top w:val="single" w:sz="2" w:space="0" w:color="auto"/>
              <w:left w:val="single" w:sz="2" w:space="0" w:color="auto"/>
              <w:bottom w:val="single" w:sz="2" w:space="0" w:color="auto"/>
              <w:right w:val="single" w:sz="2" w:space="0" w:color="auto"/>
            </w:tcBorders>
          </w:tcPr>
          <w:p w:rsidR="00913057" w:rsidRPr="000F3918" w:rsidRDefault="00CC7851" w:rsidP="00913057">
            <w:pPr>
              <w:keepNext/>
              <w:spacing w:after="120"/>
              <w:jc w:val="center"/>
              <w:rPr>
                <w:rFonts w:ascii="Verdana" w:hAnsi="Verdana" w:cs="Arial"/>
                <w:sz w:val="20"/>
                <w:szCs w:val="18"/>
              </w:rPr>
            </w:pPr>
            <w:r w:rsidRPr="00CC7851">
              <w:rPr>
                <w:rFonts w:ascii="Arial" w:hAnsi="Arial" w:cs="Arial"/>
                <w:smallCaps/>
                <w:sz w:val="20"/>
                <w:szCs w:val="18"/>
              </w:rPr>
              <w:t>2012</w:t>
            </w:r>
          </w:p>
        </w:tc>
        <w:tc>
          <w:tcPr>
            <w:tcW w:w="1134" w:type="dxa"/>
            <w:tcBorders>
              <w:top w:val="single" w:sz="2" w:space="0" w:color="auto"/>
              <w:left w:val="single" w:sz="2" w:space="0" w:color="auto"/>
              <w:bottom w:val="single" w:sz="2" w:space="0" w:color="auto"/>
              <w:right w:val="single" w:sz="2" w:space="0" w:color="auto"/>
            </w:tcBorders>
          </w:tcPr>
          <w:p w:rsidR="00913057" w:rsidRPr="000F3918" w:rsidRDefault="000E2D8D" w:rsidP="00913057">
            <w:pPr>
              <w:keepNext/>
              <w:spacing w:after="120"/>
              <w:jc w:val="center"/>
              <w:rPr>
                <w:rFonts w:ascii="Verdana" w:hAnsi="Verdana" w:cs="Arial"/>
                <w:sz w:val="20"/>
                <w:szCs w:val="18"/>
              </w:rPr>
            </w:pPr>
            <w:r w:rsidRPr="000F3918">
              <w:rPr>
                <w:rFonts w:ascii="Arial" w:hAnsi="Arial" w:cs="Arial"/>
                <w:smallCaps/>
                <w:sz w:val="20"/>
                <w:szCs w:val="18"/>
              </w:rPr>
              <w:t>2011</w:t>
            </w:r>
          </w:p>
        </w:tc>
        <w:tc>
          <w:tcPr>
            <w:tcW w:w="1134" w:type="dxa"/>
            <w:tcBorders>
              <w:top w:val="single" w:sz="2" w:space="0" w:color="auto"/>
              <w:left w:val="single" w:sz="2" w:space="0" w:color="auto"/>
              <w:bottom w:val="single" w:sz="2" w:space="0" w:color="auto"/>
              <w:right w:val="single" w:sz="2" w:space="0" w:color="auto"/>
            </w:tcBorders>
          </w:tcPr>
          <w:p w:rsidR="00913057" w:rsidRPr="000F3918" w:rsidRDefault="00CC7851" w:rsidP="00913057">
            <w:pPr>
              <w:keepNext/>
              <w:spacing w:after="120"/>
              <w:jc w:val="center"/>
              <w:rPr>
                <w:rFonts w:ascii="Verdana" w:hAnsi="Verdana" w:cs="Arial"/>
                <w:smallCaps/>
                <w:sz w:val="20"/>
                <w:szCs w:val="18"/>
              </w:rPr>
            </w:pPr>
            <w:r w:rsidRPr="00CC7851">
              <w:rPr>
                <w:rFonts w:ascii="Arial" w:hAnsi="Arial" w:cs="Arial"/>
                <w:smallCaps/>
                <w:sz w:val="20"/>
                <w:szCs w:val="18"/>
              </w:rPr>
              <w:t>2012</w:t>
            </w:r>
          </w:p>
        </w:tc>
        <w:tc>
          <w:tcPr>
            <w:tcW w:w="1134" w:type="dxa"/>
            <w:tcBorders>
              <w:top w:val="single" w:sz="2" w:space="0" w:color="auto"/>
              <w:left w:val="single" w:sz="2" w:space="0" w:color="auto"/>
              <w:bottom w:val="single" w:sz="2" w:space="0" w:color="auto"/>
            </w:tcBorders>
          </w:tcPr>
          <w:p w:rsidR="00913057" w:rsidRPr="000F3918" w:rsidRDefault="000E2D8D" w:rsidP="00913057">
            <w:pPr>
              <w:keepNext/>
              <w:spacing w:after="120"/>
              <w:jc w:val="center"/>
              <w:rPr>
                <w:rFonts w:ascii="Verdana" w:hAnsi="Verdana" w:cs="Arial"/>
                <w:smallCaps/>
                <w:sz w:val="20"/>
                <w:szCs w:val="18"/>
              </w:rPr>
            </w:pPr>
            <w:r w:rsidRPr="000F3918">
              <w:rPr>
                <w:rFonts w:ascii="Arial" w:hAnsi="Arial" w:cs="Arial"/>
                <w:smallCaps/>
                <w:sz w:val="20"/>
                <w:szCs w:val="18"/>
              </w:rPr>
              <w:t>2011</w:t>
            </w:r>
          </w:p>
        </w:tc>
      </w:tr>
      <w:tr w:rsidR="00EC66DB" w:rsidRPr="000F3918">
        <w:tc>
          <w:tcPr>
            <w:tcW w:w="1668" w:type="dxa"/>
            <w:tcBorders>
              <w:top w:val="single" w:sz="2" w:space="0" w:color="auto"/>
              <w:bottom w:val="single" w:sz="2" w:space="0" w:color="auto"/>
              <w:right w:val="single" w:sz="2" w:space="0" w:color="auto"/>
            </w:tcBorders>
          </w:tcPr>
          <w:p w:rsidR="00EC66DB" w:rsidRPr="000F3918" w:rsidRDefault="00EC66DB" w:rsidP="00B21DB8">
            <w:pPr>
              <w:spacing w:after="120"/>
              <w:rPr>
                <w:rFonts w:ascii="Arial" w:hAnsi="Arial" w:cs="Arial"/>
                <w:smallCaps/>
                <w:sz w:val="20"/>
                <w:szCs w:val="18"/>
              </w:rPr>
            </w:pPr>
            <w:r w:rsidRPr="000F3918">
              <w:rPr>
                <w:rFonts w:ascii="Arial" w:hAnsi="Arial" w:cs="Arial"/>
                <w:smallCaps/>
                <w:sz w:val="20"/>
                <w:szCs w:val="18"/>
              </w:rPr>
              <w:t xml:space="preserve">turismo </w:t>
            </w:r>
            <w:r w:rsidRPr="000F3918">
              <w:rPr>
                <w:rFonts w:ascii="Arial" w:hAnsi="Arial" w:cs="Arial"/>
                <w:smallCaps/>
                <w:sz w:val="16"/>
              </w:rPr>
              <w:t>CAMIONETA</w:t>
            </w:r>
            <w:r w:rsidRPr="000F3918">
              <w:rPr>
                <w:rFonts w:ascii="Arial" w:hAnsi="Arial" w:cs="Arial"/>
                <w:smallCaps/>
                <w:sz w:val="20"/>
                <w:szCs w:val="18"/>
              </w:rPr>
              <w:t xml:space="preserve"> y </w:t>
            </w:r>
            <w:r w:rsidR="00B21DB8" w:rsidRPr="000F3918">
              <w:rPr>
                <w:rFonts w:ascii="Arial" w:hAnsi="Arial" w:cs="Arial"/>
                <w:smallCaps/>
                <w:sz w:val="20"/>
                <w:szCs w:val="18"/>
              </w:rPr>
              <w:t>distribución</w:t>
            </w:r>
            <w:r w:rsidRPr="000F3918">
              <w:rPr>
                <w:rFonts w:ascii="Arial" w:hAnsi="Arial" w:cs="Arial"/>
                <w:smallCaps/>
                <w:sz w:val="20"/>
                <w:szCs w:val="18"/>
              </w:rPr>
              <w:t xml:space="preserve"> asociada</w:t>
            </w:r>
          </w:p>
        </w:tc>
        <w:tc>
          <w:tcPr>
            <w:tcW w:w="1134" w:type="dxa"/>
            <w:tcBorders>
              <w:top w:val="single" w:sz="2" w:space="0" w:color="auto"/>
              <w:left w:val="single" w:sz="2" w:space="0" w:color="auto"/>
              <w:bottom w:val="single" w:sz="2" w:space="0" w:color="auto"/>
              <w:right w:val="single" w:sz="2" w:space="0" w:color="auto"/>
            </w:tcBorders>
          </w:tcPr>
          <w:p w:rsidR="00EC66DB" w:rsidRPr="00CC7851" w:rsidRDefault="00EC66DB">
            <w:pPr>
              <w:spacing w:line="200" w:lineRule="exact"/>
              <w:rPr>
                <w:rFonts w:ascii="Arial" w:hAnsi="Arial" w:cs="Arial"/>
                <w:b/>
                <w:bCs/>
                <w:sz w:val="20"/>
              </w:rPr>
            </w:pPr>
          </w:p>
          <w:p w:rsidR="00EC66DB" w:rsidRPr="00CC7851" w:rsidRDefault="00EC66DB">
            <w:pPr>
              <w:spacing w:line="200" w:lineRule="exact"/>
              <w:rPr>
                <w:rFonts w:ascii="Arial" w:hAnsi="Arial" w:cs="Arial"/>
                <w:b/>
                <w:bCs/>
                <w:sz w:val="20"/>
              </w:rPr>
            </w:pPr>
          </w:p>
          <w:p w:rsidR="00EC66DB" w:rsidRPr="00CC7851" w:rsidRDefault="00EC66DB">
            <w:pPr>
              <w:spacing w:before="16" w:line="240" w:lineRule="exact"/>
              <w:rPr>
                <w:rFonts w:ascii="Arial" w:hAnsi="Arial" w:cs="Arial"/>
                <w:b/>
                <w:bCs/>
                <w:sz w:val="20"/>
              </w:rPr>
            </w:pPr>
          </w:p>
          <w:p w:rsidR="00EC66DB" w:rsidRPr="00CC7851" w:rsidRDefault="00EC66DB" w:rsidP="00CC7851">
            <w:pPr>
              <w:ind w:left="186" w:right="-20"/>
              <w:rPr>
                <w:rFonts w:ascii="Arial" w:hAnsi="Arial" w:cs="Arial"/>
                <w:b/>
                <w:bCs/>
                <w:sz w:val="20"/>
              </w:rPr>
            </w:pPr>
            <w:r w:rsidRPr="00CC7851">
              <w:rPr>
                <w:rFonts w:ascii="Arial" w:hAnsi="Arial" w:cs="Arial"/>
                <w:b/>
                <w:bCs/>
                <w:sz w:val="20"/>
              </w:rPr>
              <w:t>11.098</w:t>
            </w:r>
          </w:p>
        </w:tc>
        <w:tc>
          <w:tcPr>
            <w:tcW w:w="1275" w:type="dxa"/>
            <w:tcBorders>
              <w:top w:val="single" w:sz="2" w:space="0" w:color="auto"/>
              <w:left w:val="single" w:sz="2" w:space="0" w:color="auto"/>
              <w:bottom w:val="single" w:sz="2" w:space="0" w:color="auto"/>
              <w:right w:val="single" w:sz="2" w:space="0" w:color="auto"/>
            </w:tcBorders>
          </w:tcPr>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Verdana" w:hAnsi="Verdana" w:cs="Arial"/>
                <w:b/>
                <w:bCs/>
                <w:sz w:val="20"/>
              </w:rPr>
            </w:pPr>
            <w:r w:rsidRPr="000F3918">
              <w:rPr>
                <w:rFonts w:ascii="Arial" w:hAnsi="Arial" w:cs="Arial"/>
                <w:b/>
                <w:bCs/>
                <w:sz w:val="20"/>
              </w:rPr>
              <w:t>10.780</w:t>
            </w:r>
          </w:p>
        </w:tc>
        <w:tc>
          <w:tcPr>
            <w:tcW w:w="1134" w:type="dxa"/>
            <w:tcBorders>
              <w:top w:val="single" w:sz="2" w:space="0" w:color="auto"/>
              <w:left w:val="single" w:sz="2" w:space="0" w:color="auto"/>
              <w:bottom w:val="single" w:sz="2" w:space="0" w:color="auto"/>
              <w:right w:val="single" w:sz="2" w:space="0" w:color="auto"/>
            </w:tcBorders>
          </w:tcPr>
          <w:p w:rsidR="00EC66DB" w:rsidRPr="00EC66DB" w:rsidRDefault="00EC66DB" w:rsidP="00EC66DB">
            <w:pPr>
              <w:tabs>
                <w:tab w:val="left" w:pos="360"/>
              </w:tabs>
              <w:jc w:val="center"/>
              <w:rPr>
                <w:rFonts w:ascii="Arial" w:hAnsi="Arial" w:cs="Arial"/>
                <w:b/>
                <w:bCs/>
                <w:sz w:val="20"/>
              </w:rPr>
            </w:pPr>
          </w:p>
          <w:p w:rsidR="00EC66DB" w:rsidRPr="00EC66DB" w:rsidRDefault="00EC66DB" w:rsidP="00EC66DB">
            <w:pPr>
              <w:tabs>
                <w:tab w:val="left" w:pos="360"/>
              </w:tabs>
              <w:jc w:val="center"/>
              <w:rPr>
                <w:rFonts w:ascii="Arial" w:hAnsi="Arial" w:cs="Arial"/>
                <w:b/>
                <w:bCs/>
                <w:sz w:val="20"/>
              </w:rPr>
            </w:pPr>
          </w:p>
          <w:p w:rsidR="00EC66DB" w:rsidRPr="00EC66DB" w:rsidRDefault="00EC66DB" w:rsidP="00EC66DB">
            <w:pPr>
              <w:tabs>
                <w:tab w:val="left" w:pos="360"/>
              </w:tabs>
              <w:spacing w:before="16"/>
              <w:jc w:val="center"/>
              <w:rPr>
                <w:rFonts w:ascii="Arial" w:hAnsi="Arial" w:cs="Arial"/>
                <w:b/>
                <w:bCs/>
                <w:sz w:val="20"/>
              </w:rPr>
            </w:pPr>
          </w:p>
          <w:p w:rsidR="00EC66DB" w:rsidRPr="00EC66DB" w:rsidRDefault="00EC66DB" w:rsidP="00EC66DB">
            <w:pPr>
              <w:tabs>
                <w:tab w:val="left" w:pos="360"/>
              </w:tabs>
              <w:ind w:left="239" w:right="-20"/>
              <w:rPr>
                <w:rFonts w:ascii="Arial" w:hAnsi="Arial" w:cs="Arial"/>
                <w:b/>
                <w:bCs/>
                <w:sz w:val="20"/>
              </w:rPr>
            </w:pPr>
            <w:r w:rsidRPr="00EC66DB">
              <w:rPr>
                <w:rFonts w:ascii="Arial" w:hAnsi="Arial" w:cs="Arial"/>
                <w:b/>
                <w:bCs/>
                <w:sz w:val="20"/>
              </w:rPr>
              <w:t>1</w:t>
            </w:r>
            <w:r>
              <w:rPr>
                <w:rFonts w:ascii="Arial" w:hAnsi="Arial" w:cs="Arial"/>
                <w:b/>
                <w:bCs/>
                <w:sz w:val="20"/>
              </w:rPr>
              <w:t>.</w:t>
            </w:r>
            <w:r w:rsidRPr="00EC66DB">
              <w:rPr>
                <w:rFonts w:ascii="Arial" w:hAnsi="Arial" w:cs="Arial"/>
                <w:b/>
                <w:bCs/>
                <w:sz w:val="20"/>
              </w:rPr>
              <w:t>033</w:t>
            </w:r>
          </w:p>
        </w:tc>
        <w:tc>
          <w:tcPr>
            <w:tcW w:w="1134" w:type="dxa"/>
            <w:tcBorders>
              <w:top w:val="single" w:sz="2" w:space="0" w:color="auto"/>
              <w:left w:val="single" w:sz="2" w:space="0" w:color="auto"/>
              <w:bottom w:val="single" w:sz="2" w:space="0" w:color="auto"/>
              <w:right w:val="single" w:sz="2" w:space="0" w:color="auto"/>
            </w:tcBorders>
          </w:tcPr>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Verdana" w:hAnsi="Verdana" w:cs="Arial"/>
                <w:b/>
                <w:bCs/>
                <w:sz w:val="20"/>
              </w:rPr>
            </w:pPr>
            <w:r w:rsidRPr="000F3918">
              <w:rPr>
                <w:rFonts w:ascii="Arial" w:hAnsi="Arial" w:cs="Arial"/>
                <w:b/>
                <w:bCs/>
                <w:sz w:val="20"/>
              </w:rPr>
              <w:t>1.018</w:t>
            </w:r>
          </w:p>
        </w:tc>
        <w:tc>
          <w:tcPr>
            <w:tcW w:w="1134" w:type="dxa"/>
            <w:tcBorders>
              <w:top w:val="single" w:sz="2" w:space="0" w:color="auto"/>
              <w:left w:val="single" w:sz="2" w:space="0" w:color="auto"/>
              <w:bottom w:val="single" w:sz="2" w:space="0" w:color="auto"/>
              <w:right w:val="single" w:sz="2" w:space="0" w:color="auto"/>
            </w:tcBorders>
          </w:tcPr>
          <w:p w:rsidR="00EC66DB" w:rsidRPr="00EC66DB" w:rsidRDefault="00EC66DB" w:rsidP="00EC66DB">
            <w:pPr>
              <w:tabs>
                <w:tab w:val="left" w:pos="360"/>
              </w:tabs>
              <w:jc w:val="center"/>
              <w:rPr>
                <w:rFonts w:ascii="Arial" w:hAnsi="Arial" w:cs="Arial"/>
                <w:b/>
                <w:bCs/>
                <w:sz w:val="20"/>
              </w:rPr>
            </w:pPr>
          </w:p>
          <w:p w:rsidR="00EC66DB" w:rsidRPr="00EC66DB" w:rsidRDefault="00EC66DB" w:rsidP="00EC66DB">
            <w:pPr>
              <w:tabs>
                <w:tab w:val="left" w:pos="360"/>
              </w:tabs>
              <w:jc w:val="center"/>
              <w:rPr>
                <w:rFonts w:ascii="Arial" w:hAnsi="Arial" w:cs="Arial"/>
                <w:b/>
                <w:bCs/>
                <w:sz w:val="20"/>
              </w:rPr>
            </w:pPr>
          </w:p>
          <w:p w:rsidR="00EC66DB" w:rsidRPr="00EC66DB" w:rsidRDefault="00EC66DB" w:rsidP="00EC66DB">
            <w:pPr>
              <w:tabs>
                <w:tab w:val="left" w:pos="360"/>
              </w:tabs>
              <w:spacing w:before="16"/>
              <w:jc w:val="center"/>
              <w:rPr>
                <w:rFonts w:ascii="Arial" w:hAnsi="Arial" w:cs="Arial"/>
                <w:b/>
                <w:bCs/>
                <w:sz w:val="20"/>
              </w:rPr>
            </w:pPr>
          </w:p>
          <w:p w:rsidR="00EC66DB" w:rsidRPr="00EC66DB" w:rsidRDefault="00EC66DB" w:rsidP="00EC66DB">
            <w:pPr>
              <w:tabs>
                <w:tab w:val="left" w:pos="360"/>
              </w:tabs>
              <w:ind w:right="-20"/>
              <w:jc w:val="center"/>
              <w:rPr>
                <w:rFonts w:ascii="Arial" w:hAnsi="Arial" w:cs="Arial"/>
                <w:b/>
                <w:bCs/>
                <w:sz w:val="20"/>
              </w:rPr>
            </w:pPr>
            <w:r w:rsidRPr="00EC66DB">
              <w:rPr>
                <w:rFonts w:ascii="Arial" w:hAnsi="Arial" w:cs="Arial"/>
                <w:b/>
                <w:bCs/>
                <w:sz w:val="20"/>
              </w:rPr>
              <w:t>9,3%</w:t>
            </w:r>
          </w:p>
        </w:tc>
        <w:tc>
          <w:tcPr>
            <w:tcW w:w="1134" w:type="dxa"/>
            <w:tcBorders>
              <w:top w:val="single" w:sz="2" w:space="0" w:color="auto"/>
              <w:left w:val="single" w:sz="2" w:space="0" w:color="auto"/>
              <w:bottom w:val="single" w:sz="2" w:space="0" w:color="auto"/>
            </w:tcBorders>
          </w:tcPr>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Verdana" w:hAnsi="Verdana" w:cs="Arial"/>
                <w:b/>
                <w:bCs/>
                <w:sz w:val="20"/>
              </w:rPr>
            </w:pPr>
            <w:r w:rsidRPr="000F3918">
              <w:rPr>
                <w:rFonts w:ascii="Arial" w:hAnsi="Arial" w:cs="Arial"/>
                <w:b/>
                <w:bCs/>
                <w:sz w:val="20"/>
              </w:rPr>
              <w:t>9,4%</w:t>
            </w:r>
          </w:p>
        </w:tc>
      </w:tr>
      <w:tr w:rsidR="00EC66DB" w:rsidRPr="000F3918">
        <w:tc>
          <w:tcPr>
            <w:tcW w:w="1668" w:type="dxa"/>
            <w:tcBorders>
              <w:top w:val="single" w:sz="2" w:space="0" w:color="auto"/>
              <w:bottom w:val="single" w:sz="2" w:space="0" w:color="auto"/>
              <w:right w:val="single" w:sz="2" w:space="0" w:color="auto"/>
            </w:tcBorders>
          </w:tcPr>
          <w:p w:rsidR="00EC66DB" w:rsidRPr="000F3918" w:rsidRDefault="00EC66DB" w:rsidP="00B21DB8">
            <w:pPr>
              <w:spacing w:after="120"/>
              <w:rPr>
                <w:rFonts w:ascii="Arial" w:hAnsi="Arial" w:cs="Arial"/>
                <w:smallCaps/>
                <w:sz w:val="20"/>
                <w:szCs w:val="18"/>
              </w:rPr>
            </w:pPr>
            <w:r w:rsidRPr="000F3918">
              <w:rPr>
                <w:rFonts w:ascii="Arial" w:hAnsi="Arial" w:cs="Arial"/>
                <w:smallCaps/>
                <w:sz w:val="20"/>
                <w:szCs w:val="18"/>
              </w:rPr>
              <w:t>camión y distribución asociada</w:t>
            </w:r>
          </w:p>
        </w:tc>
        <w:tc>
          <w:tcPr>
            <w:tcW w:w="1134" w:type="dxa"/>
            <w:tcBorders>
              <w:top w:val="single" w:sz="2" w:space="0" w:color="auto"/>
              <w:left w:val="single" w:sz="2" w:space="0" w:color="auto"/>
              <w:bottom w:val="single" w:sz="2" w:space="0" w:color="auto"/>
              <w:right w:val="single" w:sz="2" w:space="0" w:color="auto"/>
            </w:tcBorders>
          </w:tcPr>
          <w:p w:rsidR="00EC66DB" w:rsidRPr="00CC7851" w:rsidRDefault="00EC66DB">
            <w:pPr>
              <w:spacing w:line="200" w:lineRule="exact"/>
              <w:rPr>
                <w:rFonts w:ascii="Arial" w:hAnsi="Arial" w:cs="Arial"/>
                <w:b/>
                <w:bCs/>
                <w:sz w:val="20"/>
              </w:rPr>
            </w:pPr>
          </w:p>
          <w:p w:rsidR="00EC66DB" w:rsidRPr="00CC7851" w:rsidRDefault="00EC66DB">
            <w:pPr>
              <w:spacing w:before="17" w:line="220" w:lineRule="exact"/>
              <w:rPr>
                <w:rFonts w:ascii="Arial" w:hAnsi="Arial" w:cs="Arial"/>
                <w:b/>
                <w:bCs/>
                <w:sz w:val="20"/>
              </w:rPr>
            </w:pPr>
          </w:p>
          <w:p w:rsidR="00EC66DB" w:rsidRPr="00CC7851" w:rsidRDefault="00EC66DB" w:rsidP="00CC7851">
            <w:pPr>
              <w:ind w:left="249" w:right="-20"/>
              <w:rPr>
                <w:rFonts w:ascii="Arial" w:hAnsi="Arial" w:cs="Arial"/>
                <w:b/>
                <w:bCs/>
                <w:sz w:val="20"/>
              </w:rPr>
            </w:pPr>
            <w:r w:rsidRPr="00CC7851">
              <w:rPr>
                <w:rFonts w:ascii="Arial" w:hAnsi="Arial" w:cs="Arial"/>
                <w:b/>
                <w:bCs/>
                <w:sz w:val="20"/>
              </w:rPr>
              <w:t>6</w:t>
            </w:r>
            <w:r>
              <w:rPr>
                <w:rFonts w:ascii="Arial" w:hAnsi="Arial" w:cs="Arial"/>
                <w:b/>
                <w:bCs/>
                <w:sz w:val="20"/>
              </w:rPr>
              <w:t>.</w:t>
            </w:r>
            <w:r w:rsidRPr="00CC7851">
              <w:rPr>
                <w:rFonts w:ascii="Arial" w:hAnsi="Arial" w:cs="Arial"/>
                <w:b/>
                <w:bCs/>
                <w:sz w:val="20"/>
              </w:rPr>
              <w:t>736</w:t>
            </w:r>
          </w:p>
        </w:tc>
        <w:tc>
          <w:tcPr>
            <w:tcW w:w="1275" w:type="dxa"/>
            <w:tcBorders>
              <w:top w:val="single" w:sz="2" w:space="0" w:color="auto"/>
              <w:left w:val="single" w:sz="2" w:space="0" w:color="auto"/>
              <w:bottom w:val="single" w:sz="2" w:space="0" w:color="auto"/>
              <w:right w:val="single" w:sz="2" w:space="0" w:color="auto"/>
            </w:tcBorders>
          </w:tcPr>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Verdana" w:hAnsi="Verdana" w:cs="Arial"/>
                <w:b/>
                <w:bCs/>
                <w:sz w:val="20"/>
              </w:rPr>
            </w:pPr>
            <w:r w:rsidRPr="000F3918">
              <w:rPr>
                <w:rFonts w:ascii="Arial" w:hAnsi="Arial" w:cs="Arial"/>
                <w:b/>
                <w:bCs/>
                <w:sz w:val="20"/>
              </w:rPr>
              <w:t>6.718</w:t>
            </w:r>
          </w:p>
        </w:tc>
        <w:tc>
          <w:tcPr>
            <w:tcW w:w="1134" w:type="dxa"/>
            <w:tcBorders>
              <w:top w:val="single" w:sz="2" w:space="0" w:color="auto"/>
              <w:left w:val="single" w:sz="2" w:space="0" w:color="auto"/>
              <w:bottom w:val="single" w:sz="2" w:space="0" w:color="auto"/>
              <w:right w:val="single" w:sz="2" w:space="0" w:color="auto"/>
            </w:tcBorders>
          </w:tcPr>
          <w:p w:rsidR="00EC66DB" w:rsidRPr="00EC66DB" w:rsidRDefault="00EC66DB" w:rsidP="00EC66DB">
            <w:pPr>
              <w:tabs>
                <w:tab w:val="left" w:pos="360"/>
              </w:tabs>
              <w:jc w:val="center"/>
              <w:rPr>
                <w:rFonts w:ascii="Arial" w:hAnsi="Arial" w:cs="Arial"/>
                <w:b/>
                <w:bCs/>
                <w:sz w:val="20"/>
              </w:rPr>
            </w:pPr>
          </w:p>
          <w:p w:rsidR="00EC66DB" w:rsidRPr="00EC66DB" w:rsidRDefault="00EC66DB" w:rsidP="00EC66DB">
            <w:pPr>
              <w:tabs>
                <w:tab w:val="left" w:pos="360"/>
              </w:tabs>
              <w:spacing w:before="17"/>
              <w:jc w:val="center"/>
              <w:rPr>
                <w:rFonts w:ascii="Arial" w:hAnsi="Arial" w:cs="Arial"/>
                <w:b/>
                <w:bCs/>
                <w:sz w:val="20"/>
              </w:rPr>
            </w:pPr>
          </w:p>
          <w:p w:rsidR="00EC66DB" w:rsidRPr="00EC66DB" w:rsidRDefault="00EC66DB" w:rsidP="00EC66DB">
            <w:pPr>
              <w:tabs>
                <w:tab w:val="left" w:pos="360"/>
              </w:tabs>
              <w:ind w:right="-20"/>
              <w:jc w:val="center"/>
              <w:rPr>
                <w:rFonts w:ascii="Arial" w:hAnsi="Arial" w:cs="Arial"/>
                <w:b/>
                <w:bCs/>
                <w:sz w:val="20"/>
              </w:rPr>
            </w:pPr>
            <w:r w:rsidRPr="00EC66DB">
              <w:rPr>
                <w:rFonts w:ascii="Arial" w:hAnsi="Arial" w:cs="Arial"/>
                <w:b/>
                <w:bCs/>
                <w:sz w:val="20"/>
              </w:rPr>
              <w:t>444</w:t>
            </w:r>
          </w:p>
        </w:tc>
        <w:tc>
          <w:tcPr>
            <w:tcW w:w="1134" w:type="dxa"/>
            <w:tcBorders>
              <w:top w:val="single" w:sz="2" w:space="0" w:color="auto"/>
              <w:left w:val="single" w:sz="2" w:space="0" w:color="auto"/>
              <w:bottom w:val="single" w:sz="2" w:space="0" w:color="auto"/>
              <w:right w:val="single" w:sz="2" w:space="0" w:color="auto"/>
            </w:tcBorders>
          </w:tcPr>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Verdana" w:hAnsi="Verdana" w:cs="Arial"/>
                <w:b/>
                <w:bCs/>
                <w:sz w:val="20"/>
              </w:rPr>
            </w:pPr>
            <w:r w:rsidRPr="000F3918">
              <w:rPr>
                <w:rFonts w:ascii="Arial" w:hAnsi="Arial" w:cs="Arial"/>
                <w:b/>
                <w:bCs/>
                <w:sz w:val="20"/>
              </w:rPr>
              <w:t>233</w:t>
            </w:r>
          </w:p>
        </w:tc>
        <w:tc>
          <w:tcPr>
            <w:tcW w:w="1134" w:type="dxa"/>
            <w:tcBorders>
              <w:top w:val="single" w:sz="2" w:space="0" w:color="auto"/>
              <w:left w:val="single" w:sz="2" w:space="0" w:color="auto"/>
              <w:bottom w:val="single" w:sz="2" w:space="0" w:color="auto"/>
              <w:right w:val="single" w:sz="2" w:space="0" w:color="auto"/>
            </w:tcBorders>
          </w:tcPr>
          <w:p w:rsidR="00EC66DB" w:rsidRPr="00EC66DB" w:rsidRDefault="00EC66DB" w:rsidP="00EC66DB">
            <w:pPr>
              <w:tabs>
                <w:tab w:val="left" w:pos="360"/>
              </w:tabs>
              <w:jc w:val="center"/>
              <w:rPr>
                <w:rFonts w:ascii="Arial" w:hAnsi="Arial" w:cs="Arial"/>
                <w:b/>
                <w:bCs/>
                <w:sz w:val="20"/>
              </w:rPr>
            </w:pPr>
          </w:p>
          <w:p w:rsidR="00EC66DB" w:rsidRPr="00EC66DB" w:rsidRDefault="00EC66DB" w:rsidP="00EC66DB">
            <w:pPr>
              <w:tabs>
                <w:tab w:val="left" w:pos="360"/>
              </w:tabs>
              <w:spacing w:before="17"/>
              <w:jc w:val="center"/>
              <w:rPr>
                <w:rFonts w:ascii="Arial" w:hAnsi="Arial" w:cs="Arial"/>
                <w:b/>
                <w:bCs/>
                <w:sz w:val="20"/>
              </w:rPr>
            </w:pPr>
          </w:p>
          <w:p w:rsidR="00EC66DB" w:rsidRPr="00EC66DB" w:rsidRDefault="00EC66DB" w:rsidP="00EC66DB">
            <w:pPr>
              <w:tabs>
                <w:tab w:val="left" w:pos="360"/>
              </w:tabs>
              <w:ind w:right="-20"/>
              <w:jc w:val="center"/>
              <w:rPr>
                <w:rFonts w:ascii="Arial" w:hAnsi="Arial" w:cs="Arial"/>
                <w:b/>
                <w:bCs/>
                <w:sz w:val="20"/>
              </w:rPr>
            </w:pPr>
            <w:r w:rsidRPr="00EC66DB">
              <w:rPr>
                <w:rFonts w:ascii="Arial" w:hAnsi="Arial" w:cs="Arial"/>
                <w:b/>
                <w:bCs/>
                <w:sz w:val="20"/>
              </w:rPr>
              <w:t>6,6%</w:t>
            </w:r>
          </w:p>
        </w:tc>
        <w:tc>
          <w:tcPr>
            <w:tcW w:w="1134" w:type="dxa"/>
            <w:tcBorders>
              <w:top w:val="single" w:sz="2" w:space="0" w:color="auto"/>
              <w:left w:val="single" w:sz="2" w:space="0" w:color="auto"/>
              <w:bottom w:val="single" w:sz="2" w:space="0" w:color="auto"/>
            </w:tcBorders>
          </w:tcPr>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Verdana" w:hAnsi="Verdana" w:cs="Arial"/>
                <w:b/>
                <w:bCs/>
                <w:sz w:val="20"/>
              </w:rPr>
            </w:pPr>
            <w:r w:rsidRPr="000F3918">
              <w:rPr>
                <w:rFonts w:ascii="Arial" w:hAnsi="Arial" w:cs="Arial"/>
                <w:b/>
                <w:bCs/>
                <w:sz w:val="20"/>
              </w:rPr>
              <w:t>3,5%</w:t>
            </w:r>
          </w:p>
        </w:tc>
      </w:tr>
      <w:tr w:rsidR="00EC66DB" w:rsidRPr="000F3918">
        <w:tc>
          <w:tcPr>
            <w:tcW w:w="1668" w:type="dxa"/>
            <w:tcBorders>
              <w:top w:val="single" w:sz="2" w:space="0" w:color="auto"/>
              <w:bottom w:val="single" w:sz="2" w:space="0" w:color="auto"/>
              <w:right w:val="single" w:sz="2" w:space="0" w:color="auto"/>
            </w:tcBorders>
          </w:tcPr>
          <w:p w:rsidR="00EC66DB" w:rsidRPr="000F3918" w:rsidRDefault="00EC66DB" w:rsidP="000E2D8D">
            <w:pPr>
              <w:spacing w:after="120"/>
              <w:jc w:val="both"/>
              <w:rPr>
                <w:rFonts w:ascii="Arial" w:hAnsi="Arial" w:cs="Arial"/>
                <w:smallCaps/>
                <w:sz w:val="20"/>
                <w:szCs w:val="18"/>
              </w:rPr>
            </w:pPr>
            <w:r w:rsidRPr="000F3918">
              <w:rPr>
                <w:rFonts w:ascii="Arial" w:hAnsi="Arial" w:cs="Arial"/>
                <w:smallCaps/>
                <w:sz w:val="20"/>
                <w:szCs w:val="18"/>
              </w:rPr>
              <w:t xml:space="preserve">actividades </w:t>
            </w:r>
            <w:r w:rsidRPr="000F3918">
              <w:rPr>
                <w:rFonts w:ascii="Arial" w:hAnsi="Arial" w:cs="Arial"/>
                <w:smallCaps/>
                <w:sz w:val="16"/>
              </w:rPr>
              <w:t>DE</w:t>
            </w:r>
            <w:r w:rsidRPr="000F3918">
              <w:rPr>
                <w:rFonts w:ascii="Arial" w:hAnsi="Arial" w:cs="Arial"/>
                <w:smallCaps/>
                <w:sz w:val="20"/>
              </w:rPr>
              <w:t xml:space="preserve"> </w:t>
            </w:r>
            <w:r w:rsidR="00B21DB8" w:rsidRPr="000F3918">
              <w:rPr>
                <w:rFonts w:ascii="Arial" w:hAnsi="Arial" w:cs="Arial"/>
                <w:smallCaps/>
                <w:sz w:val="20"/>
              </w:rPr>
              <w:t>especiali</w:t>
            </w:r>
            <w:r w:rsidR="00B21DB8" w:rsidRPr="000F3918">
              <w:rPr>
                <w:rFonts w:ascii="Arial" w:hAnsi="Arial" w:cs="Arial"/>
                <w:smallCaps/>
                <w:sz w:val="16"/>
              </w:rPr>
              <w:t>dades</w:t>
            </w:r>
          </w:p>
        </w:tc>
        <w:tc>
          <w:tcPr>
            <w:tcW w:w="1134" w:type="dxa"/>
            <w:tcBorders>
              <w:top w:val="single" w:sz="2" w:space="0" w:color="auto"/>
              <w:left w:val="single" w:sz="2" w:space="0" w:color="auto"/>
              <w:bottom w:val="single" w:sz="2" w:space="0" w:color="auto"/>
              <w:right w:val="single" w:sz="2" w:space="0" w:color="auto"/>
            </w:tcBorders>
          </w:tcPr>
          <w:p w:rsidR="00EC66DB" w:rsidRPr="00CC7851" w:rsidRDefault="00EC66DB">
            <w:pPr>
              <w:spacing w:before="19" w:line="200" w:lineRule="exact"/>
              <w:rPr>
                <w:rFonts w:ascii="Arial" w:hAnsi="Arial" w:cs="Arial"/>
                <w:b/>
                <w:bCs/>
                <w:sz w:val="20"/>
              </w:rPr>
            </w:pPr>
          </w:p>
          <w:p w:rsidR="00EC66DB" w:rsidRPr="00CC7851" w:rsidRDefault="00EC66DB" w:rsidP="00CC7851">
            <w:pPr>
              <w:ind w:left="249" w:right="-20"/>
              <w:rPr>
                <w:rFonts w:ascii="Arial" w:hAnsi="Arial" w:cs="Arial"/>
                <w:b/>
                <w:bCs/>
                <w:sz w:val="20"/>
              </w:rPr>
            </w:pPr>
            <w:r w:rsidRPr="00CC7851">
              <w:rPr>
                <w:rFonts w:ascii="Arial" w:hAnsi="Arial" w:cs="Arial"/>
                <w:b/>
                <w:bCs/>
                <w:sz w:val="20"/>
              </w:rPr>
              <w:t>3</w:t>
            </w:r>
            <w:r>
              <w:rPr>
                <w:rFonts w:ascii="Arial" w:hAnsi="Arial" w:cs="Arial"/>
                <w:b/>
                <w:bCs/>
                <w:sz w:val="20"/>
              </w:rPr>
              <w:t>.</w:t>
            </w:r>
            <w:r w:rsidRPr="00CC7851">
              <w:rPr>
                <w:rFonts w:ascii="Arial" w:hAnsi="Arial" w:cs="Arial"/>
                <w:b/>
                <w:bCs/>
                <w:sz w:val="20"/>
              </w:rPr>
              <w:t>640</w:t>
            </w:r>
          </w:p>
        </w:tc>
        <w:tc>
          <w:tcPr>
            <w:tcW w:w="1275" w:type="dxa"/>
            <w:tcBorders>
              <w:top w:val="single" w:sz="2" w:space="0" w:color="auto"/>
              <w:left w:val="single" w:sz="2" w:space="0" w:color="auto"/>
              <w:bottom w:val="single" w:sz="2" w:space="0" w:color="auto"/>
              <w:right w:val="single" w:sz="2" w:space="0" w:color="auto"/>
            </w:tcBorders>
          </w:tcPr>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Verdana" w:hAnsi="Verdana" w:cs="Arial"/>
                <w:b/>
                <w:bCs/>
                <w:sz w:val="20"/>
              </w:rPr>
            </w:pPr>
            <w:r w:rsidRPr="000F3918">
              <w:rPr>
                <w:rFonts w:ascii="Arial" w:hAnsi="Arial" w:cs="Arial"/>
                <w:b/>
                <w:bCs/>
                <w:sz w:val="20"/>
              </w:rPr>
              <w:t>3.221</w:t>
            </w:r>
          </w:p>
        </w:tc>
        <w:tc>
          <w:tcPr>
            <w:tcW w:w="1134" w:type="dxa"/>
            <w:tcBorders>
              <w:top w:val="single" w:sz="2" w:space="0" w:color="auto"/>
              <w:left w:val="single" w:sz="2" w:space="0" w:color="auto"/>
              <w:bottom w:val="single" w:sz="2" w:space="0" w:color="auto"/>
              <w:right w:val="single" w:sz="2" w:space="0" w:color="auto"/>
            </w:tcBorders>
          </w:tcPr>
          <w:p w:rsidR="00EC66DB" w:rsidRPr="00EC66DB" w:rsidRDefault="00EC66DB" w:rsidP="00EC66DB">
            <w:pPr>
              <w:tabs>
                <w:tab w:val="left" w:pos="360"/>
              </w:tabs>
              <w:jc w:val="center"/>
              <w:rPr>
                <w:rFonts w:ascii="Arial" w:hAnsi="Arial" w:cs="Arial"/>
                <w:b/>
                <w:bCs/>
                <w:sz w:val="20"/>
              </w:rPr>
            </w:pPr>
          </w:p>
          <w:p w:rsidR="00EC66DB" w:rsidRPr="00EC66DB" w:rsidRDefault="00EC66DB" w:rsidP="00EC66DB">
            <w:pPr>
              <w:tabs>
                <w:tab w:val="left" w:pos="360"/>
              </w:tabs>
              <w:ind w:right="-20"/>
              <w:jc w:val="center"/>
              <w:rPr>
                <w:rFonts w:ascii="Arial" w:hAnsi="Arial" w:cs="Arial"/>
                <w:b/>
                <w:bCs/>
                <w:sz w:val="20"/>
              </w:rPr>
            </w:pPr>
            <w:r w:rsidRPr="00EC66DB">
              <w:rPr>
                <w:rFonts w:ascii="Arial" w:hAnsi="Arial" w:cs="Arial"/>
                <w:b/>
                <w:bCs/>
                <w:sz w:val="20"/>
              </w:rPr>
              <w:t>946</w:t>
            </w:r>
          </w:p>
        </w:tc>
        <w:tc>
          <w:tcPr>
            <w:tcW w:w="1134" w:type="dxa"/>
            <w:tcBorders>
              <w:top w:val="single" w:sz="2" w:space="0" w:color="auto"/>
              <w:left w:val="single" w:sz="2" w:space="0" w:color="auto"/>
              <w:bottom w:val="single" w:sz="2" w:space="0" w:color="auto"/>
              <w:right w:val="single" w:sz="2" w:space="0" w:color="auto"/>
            </w:tcBorders>
          </w:tcPr>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Verdana" w:hAnsi="Verdana" w:cs="Arial"/>
                <w:b/>
                <w:bCs/>
                <w:sz w:val="20"/>
              </w:rPr>
            </w:pPr>
            <w:r w:rsidRPr="000F3918">
              <w:rPr>
                <w:rFonts w:ascii="Arial" w:hAnsi="Arial" w:cs="Arial"/>
                <w:b/>
                <w:bCs/>
                <w:sz w:val="20"/>
              </w:rPr>
              <w:t>694</w:t>
            </w:r>
          </w:p>
        </w:tc>
        <w:tc>
          <w:tcPr>
            <w:tcW w:w="1134" w:type="dxa"/>
            <w:tcBorders>
              <w:top w:val="single" w:sz="2" w:space="0" w:color="auto"/>
              <w:left w:val="single" w:sz="2" w:space="0" w:color="auto"/>
              <w:bottom w:val="single" w:sz="2" w:space="0" w:color="auto"/>
              <w:right w:val="single" w:sz="2" w:space="0" w:color="auto"/>
            </w:tcBorders>
          </w:tcPr>
          <w:p w:rsidR="00EC66DB" w:rsidRPr="00EC66DB" w:rsidRDefault="00EC66DB" w:rsidP="00EC66DB">
            <w:pPr>
              <w:tabs>
                <w:tab w:val="left" w:pos="360"/>
              </w:tabs>
              <w:jc w:val="center"/>
              <w:rPr>
                <w:rFonts w:ascii="Arial" w:hAnsi="Arial" w:cs="Arial"/>
                <w:b/>
                <w:bCs/>
                <w:sz w:val="20"/>
              </w:rPr>
            </w:pPr>
          </w:p>
          <w:p w:rsidR="00EC66DB" w:rsidRPr="00EC66DB" w:rsidRDefault="00EC66DB" w:rsidP="00EC66DB">
            <w:pPr>
              <w:tabs>
                <w:tab w:val="left" w:pos="360"/>
              </w:tabs>
              <w:ind w:right="-20"/>
              <w:jc w:val="center"/>
              <w:rPr>
                <w:rFonts w:ascii="Arial" w:hAnsi="Arial" w:cs="Arial"/>
                <w:b/>
                <w:bCs/>
                <w:sz w:val="20"/>
              </w:rPr>
            </w:pPr>
            <w:r w:rsidRPr="00EC66DB">
              <w:rPr>
                <w:rFonts w:ascii="Arial" w:hAnsi="Arial" w:cs="Arial"/>
                <w:b/>
                <w:bCs/>
                <w:sz w:val="20"/>
              </w:rPr>
              <w:t>26,0%</w:t>
            </w:r>
          </w:p>
        </w:tc>
        <w:tc>
          <w:tcPr>
            <w:tcW w:w="1134" w:type="dxa"/>
            <w:tcBorders>
              <w:top w:val="single" w:sz="2" w:space="0" w:color="auto"/>
              <w:left w:val="single" w:sz="2" w:space="0" w:color="auto"/>
              <w:bottom w:val="single" w:sz="2" w:space="0" w:color="auto"/>
            </w:tcBorders>
          </w:tcPr>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Verdana" w:hAnsi="Verdana" w:cs="Arial"/>
                <w:b/>
                <w:bCs/>
                <w:sz w:val="20"/>
              </w:rPr>
            </w:pPr>
            <w:r w:rsidRPr="000F3918">
              <w:rPr>
                <w:rFonts w:ascii="Arial" w:hAnsi="Arial" w:cs="Arial"/>
                <w:b/>
                <w:bCs/>
                <w:sz w:val="20"/>
              </w:rPr>
              <w:t>21,5%</w:t>
            </w:r>
          </w:p>
        </w:tc>
      </w:tr>
      <w:tr w:rsidR="00EC66DB" w:rsidRPr="000F3918">
        <w:tc>
          <w:tcPr>
            <w:tcW w:w="1668" w:type="dxa"/>
            <w:tcBorders>
              <w:top w:val="single" w:sz="2" w:space="0" w:color="auto"/>
              <w:right w:val="single" w:sz="2" w:space="0" w:color="auto"/>
            </w:tcBorders>
          </w:tcPr>
          <w:p w:rsidR="00EC66DB" w:rsidRPr="000F3918" w:rsidRDefault="00EC66DB" w:rsidP="000E2D8D">
            <w:pPr>
              <w:jc w:val="both"/>
              <w:rPr>
                <w:rFonts w:ascii="Arial" w:hAnsi="Arial" w:cs="Arial"/>
                <w:smallCaps/>
                <w:sz w:val="20"/>
              </w:rPr>
            </w:pPr>
          </w:p>
          <w:p w:rsidR="00EC66DB" w:rsidRPr="000F3918" w:rsidRDefault="00EC66DB" w:rsidP="000E2D8D">
            <w:pPr>
              <w:jc w:val="both"/>
              <w:rPr>
                <w:rFonts w:ascii="Arial" w:hAnsi="Arial" w:cs="Arial"/>
                <w:smallCaps/>
                <w:sz w:val="20"/>
              </w:rPr>
            </w:pPr>
            <w:r w:rsidRPr="000F3918">
              <w:rPr>
                <w:rFonts w:ascii="Arial" w:hAnsi="Arial" w:cs="Arial"/>
                <w:smallCaps/>
                <w:sz w:val="20"/>
                <w:szCs w:val="18"/>
              </w:rPr>
              <w:t>grupo</w:t>
            </w:r>
          </w:p>
          <w:p w:rsidR="00EC66DB" w:rsidRPr="000F3918" w:rsidRDefault="00EC66DB" w:rsidP="000E2D8D">
            <w:pPr>
              <w:jc w:val="both"/>
              <w:rPr>
                <w:rFonts w:ascii="Arial" w:hAnsi="Arial" w:cs="Arial"/>
                <w:smallCaps/>
                <w:sz w:val="20"/>
                <w:szCs w:val="16"/>
              </w:rPr>
            </w:pPr>
          </w:p>
        </w:tc>
        <w:tc>
          <w:tcPr>
            <w:tcW w:w="1134" w:type="dxa"/>
            <w:tcBorders>
              <w:top w:val="single" w:sz="2" w:space="0" w:color="auto"/>
              <w:left w:val="single" w:sz="2" w:space="0" w:color="auto"/>
              <w:bottom w:val="single" w:sz="2" w:space="0" w:color="auto"/>
              <w:right w:val="single" w:sz="2" w:space="0" w:color="auto"/>
            </w:tcBorders>
          </w:tcPr>
          <w:p w:rsidR="00EC66DB" w:rsidRPr="00CC7851" w:rsidRDefault="00EC66DB">
            <w:pPr>
              <w:spacing w:before="19" w:line="200" w:lineRule="exact"/>
              <w:rPr>
                <w:rFonts w:ascii="Arial" w:hAnsi="Arial" w:cs="Arial"/>
                <w:b/>
                <w:bCs/>
                <w:sz w:val="20"/>
              </w:rPr>
            </w:pPr>
          </w:p>
          <w:p w:rsidR="00EC66DB" w:rsidRPr="00CC7851" w:rsidRDefault="00EC66DB" w:rsidP="00CC7851">
            <w:pPr>
              <w:ind w:left="186" w:right="-20"/>
              <w:rPr>
                <w:rFonts w:ascii="Arial" w:hAnsi="Arial" w:cs="Arial"/>
                <w:b/>
                <w:bCs/>
                <w:sz w:val="20"/>
              </w:rPr>
            </w:pPr>
            <w:r w:rsidRPr="00CC7851">
              <w:rPr>
                <w:rFonts w:ascii="Arial" w:hAnsi="Arial" w:cs="Arial"/>
                <w:b/>
                <w:bCs/>
                <w:sz w:val="20"/>
              </w:rPr>
              <w:t>21</w:t>
            </w:r>
            <w:r>
              <w:rPr>
                <w:rFonts w:ascii="Arial" w:hAnsi="Arial" w:cs="Arial"/>
                <w:b/>
                <w:bCs/>
                <w:sz w:val="20"/>
              </w:rPr>
              <w:t>.</w:t>
            </w:r>
            <w:r w:rsidRPr="00CC7851">
              <w:rPr>
                <w:rFonts w:ascii="Arial" w:hAnsi="Arial" w:cs="Arial"/>
                <w:b/>
                <w:bCs/>
                <w:sz w:val="20"/>
              </w:rPr>
              <w:t>474</w:t>
            </w:r>
          </w:p>
        </w:tc>
        <w:tc>
          <w:tcPr>
            <w:tcW w:w="1275" w:type="dxa"/>
            <w:tcBorders>
              <w:top w:val="single" w:sz="2" w:space="0" w:color="auto"/>
              <w:left w:val="single" w:sz="2" w:space="0" w:color="auto"/>
              <w:bottom w:val="single" w:sz="2" w:space="0" w:color="auto"/>
              <w:right w:val="single" w:sz="2" w:space="0" w:color="auto"/>
            </w:tcBorders>
          </w:tcPr>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Verdana" w:hAnsi="Verdana" w:cs="Arial"/>
                <w:b/>
                <w:bCs/>
                <w:sz w:val="20"/>
              </w:rPr>
            </w:pPr>
            <w:r w:rsidRPr="000F3918">
              <w:rPr>
                <w:rFonts w:ascii="Arial" w:hAnsi="Arial" w:cs="Arial"/>
                <w:b/>
                <w:bCs/>
                <w:sz w:val="20"/>
              </w:rPr>
              <w:t>20.719</w:t>
            </w:r>
          </w:p>
        </w:tc>
        <w:tc>
          <w:tcPr>
            <w:tcW w:w="1134" w:type="dxa"/>
            <w:tcBorders>
              <w:top w:val="single" w:sz="2" w:space="0" w:color="auto"/>
              <w:left w:val="single" w:sz="2" w:space="0" w:color="auto"/>
              <w:bottom w:val="single" w:sz="2" w:space="0" w:color="auto"/>
              <w:right w:val="single" w:sz="2" w:space="0" w:color="auto"/>
            </w:tcBorders>
          </w:tcPr>
          <w:p w:rsidR="00EC66DB" w:rsidRPr="00EC66DB" w:rsidRDefault="00EC66DB" w:rsidP="00EC66DB">
            <w:pPr>
              <w:tabs>
                <w:tab w:val="left" w:pos="360"/>
              </w:tabs>
              <w:jc w:val="center"/>
              <w:rPr>
                <w:rFonts w:ascii="Arial" w:hAnsi="Arial" w:cs="Arial"/>
                <w:b/>
                <w:bCs/>
                <w:sz w:val="20"/>
              </w:rPr>
            </w:pPr>
          </w:p>
          <w:p w:rsidR="00EC66DB" w:rsidRPr="00EC66DB" w:rsidRDefault="00EC66DB" w:rsidP="00EC66DB">
            <w:pPr>
              <w:tabs>
                <w:tab w:val="left" w:pos="360"/>
              </w:tabs>
              <w:ind w:left="239" w:right="-20"/>
              <w:rPr>
                <w:rFonts w:ascii="Arial" w:hAnsi="Arial" w:cs="Arial"/>
                <w:b/>
                <w:bCs/>
                <w:sz w:val="20"/>
              </w:rPr>
            </w:pPr>
            <w:r w:rsidRPr="00EC66DB">
              <w:rPr>
                <w:rFonts w:ascii="Arial" w:hAnsi="Arial" w:cs="Arial"/>
                <w:b/>
                <w:bCs/>
                <w:sz w:val="20"/>
              </w:rPr>
              <w:t>2</w:t>
            </w:r>
            <w:r>
              <w:rPr>
                <w:rFonts w:ascii="Arial" w:hAnsi="Arial" w:cs="Arial"/>
                <w:b/>
                <w:bCs/>
                <w:sz w:val="20"/>
              </w:rPr>
              <w:t>.</w:t>
            </w:r>
            <w:r w:rsidRPr="00EC66DB">
              <w:rPr>
                <w:rFonts w:ascii="Arial" w:hAnsi="Arial" w:cs="Arial"/>
                <w:b/>
                <w:bCs/>
                <w:sz w:val="20"/>
              </w:rPr>
              <w:t>423</w:t>
            </w:r>
          </w:p>
        </w:tc>
        <w:tc>
          <w:tcPr>
            <w:tcW w:w="1134" w:type="dxa"/>
            <w:tcBorders>
              <w:top w:val="single" w:sz="2" w:space="0" w:color="auto"/>
              <w:left w:val="single" w:sz="2" w:space="0" w:color="auto"/>
              <w:bottom w:val="single" w:sz="2" w:space="0" w:color="auto"/>
              <w:right w:val="single" w:sz="2" w:space="0" w:color="auto"/>
            </w:tcBorders>
          </w:tcPr>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Verdana" w:hAnsi="Verdana" w:cs="Arial"/>
                <w:b/>
                <w:bCs/>
                <w:sz w:val="20"/>
              </w:rPr>
            </w:pPr>
            <w:r w:rsidRPr="000F3918">
              <w:rPr>
                <w:rFonts w:ascii="Arial" w:hAnsi="Arial" w:cs="Arial"/>
                <w:b/>
                <w:bCs/>
                <w:sz w:val="20"/>
              </w:rPr>
              <w:t>1.945</w:t>
            </w:r>
          </w:p>
        </w:tc>
        <w:tc>
          <w:tcPr>
            <w:tcW w:w="1134" w:type="dxa"/>
            <w:tcBorders>
              <w:top w:val="single" w:sz="2" w:space="0" w:color="auto"/>
              <w:left w:val="single" w:sz="2" w:space="0" w:color="auto"/>
              <w:bottom w:val="single" w:sz="2" w:space="0" w:color="auto"/>
              <w:right w:val="single" w:sz="2" w:space="0" w:color="auto"/>
            </w:tcBorders>
          </w:tcPr>
          <w:p w:rsidR="00EC66DB" w:rsidRPr="00EC66DB" w:rsidRDefault="00EC66DB" w:rsidP="00EC66DB">
            <w:pPr>
              <w:tabs>
                <w:tab w:val="left" w:pos="360"/>
              </w:tabs>
              <w:jc w:val="center"/>
              <w:rPr>
                <w:rFonts w:ascii="Arial" w:hAnsi="Arial" w:cs="Arial"/>
                <w:b/>
                <w:bCs/>
                <w:sz w:val="20"/>
              </w:rPr>
            </w:pPr>
          </w:p>
          <w:p w:rsidR="00EC66DB" w:rsidRPr="00EC66DB" w:rsidRDefault="00EC66DB" w:rsidP="00EC66DB">
            <w:pPr>
              <w:tabs>
                <w:tab w:val="left" w:pos="360"/>
              </w:tabs>
              <w:ind w:right="-20"/>
              <w:jc w:val="center"/>
              <w:rPr>
                <w:rFonts w:ascii="Arial" w:hAnsi="Arial" w:cs="Arial"/>
                <w:b/>
                <w:bCs/>
                <w:sz w:val="20"/>
              </w:rPr>
            </w:pPr>
            <w:r w:rsidRPr="00EC66DB">
              <w:rPr>
                <w:rFonts w:ascii="Arial" w:hAnsi="Arial" w:cs="Arial"/>
                <w:b/>
                <w:bCs/>
                <w:sz w:val="20"/>
              </w:rPr>
              <w:t>11,3%</w:t>
            </w:r>
          </w:p>
        </w:tc>
        <w:tc>
          <w:tcPr>
            <w:tcW w:w="1134" w:type="dxa"/>
            <w:tcBorders>
              <w:top w:val="single" w:sz="2" w:space="0" w:color="auto"/>
              <w:left w:val="single" w:sz="2" w:space="0" w:color="auto"/>
            </w:tcBorders>
          </w:tcPr>
          <w:p w:rsidR="00EC66DB" w:rsidRPr="000F3918" w:rsidRDefault="00EC66DB" w:rsidP="000E2D8D">
            <w:pPr>
              <w:tabs>
                <w:tab w:val="left" w:pos="360"/>
              </w:tabs>
              <w:jc w:val="center"/>
              <w:rPr>
                <w:rFonts w:ascii="Arial" w:hAnsi="Arial" w:cs="Arial"/>
                <w:b/>
                <w:bCs/>
                <w:sz w:val="20"/>
              </w:rPr>
            </w:pPr>
          </w:p>
          <w:p w:rsidR="00EC66DB" w:rsidRPr="000F3918" w:rsidRDefault="00EC66DB" w:rsidP="000E2D8D">
            <w:pPr>
              <w:tabs>
                <w:tab w:val="left" w:pos="360"/>
              </w:tabs>
              <w:jc w:val="center"/>
              <w:rPr>
                <w:rFonts w:ascii="Verdana" w:hAnsi="Verdana" w:cs="Arial"/>
                <w:b/>
                <w:bCs/>
                <w:sz w:val="20"/>
              </w:rPr>
            </w:pPr>
            <w:r w:rsidRPr="000F3918">
              <w:rPr>
                <w:rFonts w:ascii="Arial" w:hAnsi="Arial" w:cs="Arial"/>
                <w:b/>
                <w:bCs/>
                <w:sz w:val="20"/>
              </w:rPr>
              <w:t>9,4%</w:t>
            </w:r>
          </w:p>
        </w:tc>
      </w:tr>
    </w:tbl>
    <w:p w:rsidR="00913057" w:rsidRPr="000F3918" w:rsidRDefault="00913057" w:rsidP="00913057">
      <w:pPr>
        <w:keepNext/>
        <w:spacing w:after="60"/>
        <w:jc w:val="both"/>
        <w:rPr>
          <w:rFonts w:ascii="Arial" w:hAnsi="Arial" w:cs="Arial"/>
          <w:smallCaps/>
          <w:u w:val="single"/>
        </w:rPr>
      </w:pPr>
    </w:p>
    <w:p w:rsidR="00913057" w:rsidRPr="000F3918" w:rsidRDefault="00913057" w:rsidP="00913057">
      <w:pPr>
        <w:spacing w:after="120"/>
        <w:rPr>
          <w:rFonts w:ascii="Arial" w:hAnsi="Arial" w:cs="Arial"/>
          <w:sz w:val="21"/>
        </w:rPr>
      </w:pPr>
    </w:p>
    <w:p w:rsidR="00913057" w:rsidRPr="000F3918" w:rsidRDefault="00913057" w:rsidP="00913057">
      <w:pPr>
        <w:spacing w:after="60"/>
        <w:jc w:val="both"/>
        <w:rPr>
          <w:rFonts w:ascii="Verdana" w:hAnsi="Verdana" w:cs="Arial"/>
          <w:smallCaps/>
          <w:u w:val="single"/>
        </w:rPr>
      </w:pPr>
    </w:p>
    <w:p w:rsidR="00913057" w:rsidRPr="000F3918" w:rsidRDefault="00913057" w:rsidP="00913057">
      <w:pPr>
        <w:spacing w:after="60"/>
        <w:jc w:val="both"/>
        <w:rPr>
          <w:rFonts w:ascii="Verdana" w:hAnsi="Verdana" w:cs="Arial"/>
          <w:smallCaps/>
          <w:u w:val="single"/>
        </w:rPr>
      </w:pPr>
    </w:p>
    <w:p w:rsidR="00913057" w:rsidRPr="000F3918" w:rsidRDefault="00913057" w:rsidP="00913057">
      <w:pPr>
        <w:pStyle w:val="LadilloMichelinDossier"/>
        <w:jc w:val="both"/>
        <w:rPr>
          <w:rFonts w:ascii="Verdana" w:hAnsi="Verdana" w:cs="Arial"/>
          <w:smallCaps/>
          <w:u w:val="single"/>
          <w:lang w:val="es-ES_tradnl"/>
        </w:rPr>
      </w:pPr>
    </w:p>
    <w:p w:rsidR="00913057" w:rsidRPr="000F3918" w:rsidRDefault="00913057" w:rsidP="00913057">
      <w:pPr>
        <w:pStyle w:val="LadilloMichelinDossier"/>
        <w:jc w:val="both"/>
        <w:rPr>
          <w:rFonts w:ascii="Verdana" w:hAnsi="Verdana" w:cs="Arial"/>
          <w:smallCaps/>
          <w:u w:val="single"/>
          <w:lang w:val="es-ES_tradnl"/>
        </w:rPr>
      </w:pPr>
    </w:p>
    <w:p w:rsidR="00913057" w:rsidRPr="000F3918" w:rsidRDefault="00913057" w:rsidP="00913057">
      <w:pPr>
        <w:pStyle w:val="LadilloMichelinDossier"/>
        <w:jc w:val="both"/>
        <w:rPr>
          <w:rFonts w:ascii="Verdana" w:hAnsi="Verdana" w:cs="Arial"/>
          <w:smallCaps/>
          <w:u w:val="single"/>
          <w:lang w:val="es-ES_tradnl"/>
        </w:rPr>
      </w:pPr>
    </w:p>
    <w:p w:rsidR="00913057" w:rsidRPr="000F3918" w:rsidRDefault="00913057" w:rsidP="00913057">
      <w:pPr>
        <w:pStyle w:val="LadilloMichelinDossier"/>
        <w:jc w:val="both"/>
        <w:rPr>
          <w:rFonts w:ascii="Verdana" w:hAnsi="Verdana" w:cs="Arial"/>
          <w:smallCaps/>
          <w:u w:val="single"/>
          <w:lang w:val="es-ES_tradnl"/>
        </w:rPr>
      </w:pPr>
    </w:p>
    <w:p w:rsidR="00913057" w:rsidRPr="000F3918" w:rsidRDefault="00913057" w:rsidP="00913057">
      <w:pPr>
        <w:pStyle w:val="LadilloMichelinDossier"/>
        <w:numPr>
          <w:ilvl w:val="0"/>
          <w:numId w:val="5"/>
        </w:numPr>
        <w:spacing w:after="240"/>
        <w:jc w:val="both"/>
        <w:rPr>
          <w:rFonts w:ascii="Verdana" w:hAnsi="Verdana" w:cs="Arial"/>
          <w:smallCaps/>
          <w:u w:val="single"/>
          <w:lang w:val="es-ES_tradnl"/>
        </w:rPr>
      </w:pPr>
      <w:r w:rsidRPr="000F3918">
        <w:rPr>
          <w:rFonts w:ascii="Arial" w:hAnsi="Arial"/>
          <w:bCs/>
          <w:sz w:val="21"/>
          <w:lang w:val="es-ES_tradnl" w:bidi="es-ES_tradnl"/>
        </w:rPr>
        <w:t xml:space="preserve">Turismo, camioneta y distribución asociada </w:t>
      </w:r>
    </w:p>
    <w:p w:rsidR="00B5374C" w:rsidRDefault="00B5374C" w:rsidP="007A2702">
      <w:pPr>
        <w:pStyle w:val="TextoMichelin"/>
        <w:rPr>
          <w:rFonts w:cs="Arial"/>
          <w:lang w:val="es-ES_tradnl" w:bidi="es-ES_tradnl"/>
        </w:rPr>
      </w:pPr>
      <w:r w:rsidRPr="005A249D">
        <w:rPr>
          <w:rFonts w:cs="Arial"/>
          <w:lang w:val="es-ES_tradnl" w:bidi="es-ES_tradnl"/>
        </w:rPr>
        <w:t>Las ventas netas del segmento de Turismo</w:t>
      </w:r>
      <w:r>
        <w:rPr>
          <w:rFonts w:cs="Arial"/>
          <w:lang w:val="es-ES_tradnl" w:bidi="es-ES_tradnl"/>
        </w:rPr>
        <w:t xml:space="preserve"> c</w:t>
      </w:r>
      <w:r w:rsidRPr="005A249D">
        <w:rPr>
          <w:rFonts w:cs="Arial"/>
          <w:lang w:val="es-ES_tradnl" w:bidi="es-ES_tradnl"/>
        </w:rPr>
        <w:t xml:space="preserve">amioneta y distribución asociada </w:t>
      </w:r>
      <w:r>
        <w:rPr>
          <w:rFonts w:cs="Arial"/>
          <w:lang w:val="es-ES_tradnl" w:bidi="es-ES_tradnl"/>
        </w:rPr>
        <w:t>se elevan a 11.098 millones de euros</w:t>
      </w:r>
      <w:r w:rsidR="00D85395">
        <w:rPr>
          <w:rFonts w:cs="Arial"/>
          <w:lang w:val="es-ES_tradnl" w:bidi="es-ES_tradnl"/>
        </w:rPr>
        <w:t>, un aumento del 2,9% respecto a 2011.</w:t>
      </w:r>
    </w:p>
    <w:p w:rsidR="00CE1B40" w:rsidRDefault="00D85395" w:rsidP="00AB309E">
      <w:pPr>
        <w:pStyle w:val="TextoMichelin"/>
        <w:rPr>
          <w:rFonts w:cs="Arial"/>
          <w:lang w:val="es-ES_tradnl" w:bidi="es-ES_tradnl"/>
        </w:rPr>
      </w:pPr>
      <w:r>
        <w:rPr>
          <w:rFonts w:cs="Arial"/>
          <w:lang w:val="es-ES_tradnl" w:bidi="es-ES_tradnl"/>
        </w:rPr>
        <w:t>El mantenimi</w:t>
      </w:r>
      <w:r w:rsidR="0011799C">
        <w:rPr>
          <w:rFonts w:cs="Arial"/>
          <w:lang w:val="es-ES_tradnl" w:bidi="es-ES_tradnl"/>
        </w:rPr>
        <w:t xml:space="preserve">ento de una firme política de precios y la continua mejora del mix de producto, </w:t>
      </w:r>
      <w:r w:rsidR="00AB309E">
        <w:rPr>
          <w:rFonts w:cs="Arial"/>
          <w:lang w:val="es-ES_tradnl" w:bidi="es-ES_tradnl"/>
        </w:rPr>
        <w:t>que se beneficia de la posición premium de la marca MICHELIN, han compensado el efecto de la bajada de los volúmenes (- 5,5</w:t>
      </w:r>
      <w:r w:rsidR="007A2702" w:rsidRPr="000F3918">
        <w:rPr>
          <w:rFonts w:cs="Arial"/>
          <w:lang w:val="es-ES_tradnl" w:bidi="es-ES_tradnl"/>
        </w:rPr>
        <w:t xml:space="preserve">%). </w:t>
      </w:r>
      <w:r w:rsidR="00AB309E">
        <w:rPr>
          <w:rFonts w:cs="Arial"/>
          <w:lang w:val="es-ES_tradnl" w:bidi="es-ES_tradnl"/>
        </w:rPr>
        <w:t>El resultado operativo antes de elementos no recurrentes alcanza</w:t>
      </w:r>
      <w:r w:rsidR="00A61AD3">
        <w:rPr>
          <w:rFonts w:cs="Arial"/>
          <w:lang w:val="es-ES_tradnl" w:bidi="es-ES_tradnl"/>
        </w:rPr>
        <w:t xml:space="preserve"> </w:t>
      </w:r>
      <w:r w:rsidR="00AB309E">
        <w:rPr>
          <w:rFonts w:cs="Arial"/>
          <w:lang w:val="es-ES_tradnl" w:bidi="es-ES_tradnl"/>
        </w:rPr>
        <w:t>los 1.033 millones de euros</w:t>
      </w:r>
      <w:r w:rsidR="00CE1B40">
        <w:rPr>
          <w:rFonts w:cs="Arial"/>
          <w:lang w:val="es-ES_tradnl" w:bidi="es-ES_tradnl"/>
        </w:rPr>
        <w:t>, es decir, un 9,3% de las ventas netas, en comparación con los 1.018 millones de euros y el 9,4% logrados en 2011.</w:t>
      </w:r>
    </w:p>
    <w:p w:rsidR="00913057" w:rsidRPr="000F3918" w:rsidRDefault="00CE1B40" w:rsidP="00CE1B40">
      <w:pPr>
        <w:pStyle w:val="LadilloMichelinDossier"/>
        <w:numPr>
          <w:ilvl w:val="0"/>
          <w:numId w:val="5"/>
        </w:numPr>
        <w:spacing w:after="240"/>
        <w:jc w:val="both"/>
        <w:rPr>
          <w:lang w:bidi="es-ES_tradnl"/>
        </w:rPr>
      </w:pPr>
      <w:r>
        <w:rPr>
          <w:rFonts w:cs="Arial"/>
          <w:lang w:bidi="es-ES_tradnl"/>
        </w:rPr>
        <w:br w:type="column"/>
      </w:r>
      <w:r w:rsidR="00913057" w:rsidRPr="00CE1B40">
        <w:rPr>
          <w:rFonts w:ascii="Arial" w:hAnsi="Arial"/>
          <w:bCs/>
          <w:sz w:val="21"/>
          <w:lang w:val="es-ES_tradnl" w:bidi="es-ES_tradnl"/>
        </w:rPr>
        <w:t>Camión y distribución asociada</w:t>
      </w:r>
      <w:r w:rsidR="00913057" w:rsidRPr="000F3918">
        <w:rPr>
          <w:lang w:bidi="es-ES_tradnl"/>
        </w:rPr>
        <w:t xml:space="preserve"> </w:t>
      </w:r>
    </w:p>
    <w:p w:rsidR="007A2702" w:rsidRPr="000F3918" w:rsidRDefault="00CE1B40" w:rsidP="007A2702">
      <w:pPr>
        <w:pStyle w:val="TextoMichelin"/>
        <w:rPr>
          <w:rFonts w:cs="Arial"/>
          <w:lang w:val="es-ES_tradnl" w:bidi="es-ES_tradnl"/>
        </w:rPr>
      </w:pPr>
      <w:r w:rsidRPr="005A249D">
        <w:rPr>
          <w:rFonts w:cs="Arial"/>
          <w:lang w:val="es-ES_tradnl" w:bidi="es-ES_tradnl"/>
        </w:rPr>
        <w:t>Las ventas netas del segmento de camión y distribución asociada alcanzaron los</w:t>
      </w:r>
      <w:r w:rsidRPr="000F3918">
        <w:rPr>
          <w:rFonts w:cs="Arial"/>
          <w:lang w:val="es-ES_tradnl" w:bidi="es-ES_tradnl"/>
        </w:rPr>
        <w:t xml:space="preserve"> </w:t>
      </w:r>
      <w:r w:rsidR="007A2702" w:rsidRPr="000F3918">
        <w:rPr>
          <w:rFonts w:cs="Arial"/>
          <w:lang w:val="es-ES_tradnl" w:bidi="es-ES_tradnl"/>
        </w:rPr>
        <w:t>6</w:t>
      </w:r>
      <w:r>
        <w:rPr>
          <w:rFonts w:cs="Arial"/>
          <w:lang w:val="es-ES_tradnl" w:bidi="es-ES_tradnl"/>
        </w:rPr>
        <w:t>.</w:t>
      </w:r>
      <w:r w:rsidR="007A2702" w:rsidRPr="000F3918">
        <w:rPr>
          <w:rFonts w:cs="Arial"/>
          <w:lang w:val="es-ES_tradnl" w:bidi="es-ES_tradnl"/>
        </w:rPr>
        <w:t xml:space="preserve">736 </w:t>
      </w:r>
      <w:r w:rsidR="002E628F">
        <w:rPr>
          <w:rFonts w:cs="Arial"/>
          <w:lang w:val="es-ES_tradnl" w:bidi="es-ES_tradnl"/>
        </w:rPr>
        <w:t>millones de euros,</w:t>
      </w:r>
      <w:r w:rsidR="007A2702" w:rsidRPr="000F3918">
        <w:rPr>
          <w:rFonts w:cs="Arial"/>
          <w:lang w:val="es-ES_tradnl" w:bidi="es-ES_tradnl"/>
        </w:rPr>
        <w:t xml:space="preserve"> </w:t>
      </w:r>
      <w:r w:rsidR="002E628F">
        <w:rPr>
          <w:rFonts w:cs="Arial"/>
          <w:lang w:val="es-ES_tradnl" w:bidi="es-ES_tradnl"/>
        </w:rPr>
        <w:t xml:space="preserve">prácticamente la misma cantidad lograda en </w:t>
      </w:r>
      <w:r w:rsidR="007A2702" w:rsidRPr="000F3918">
        <w:rPr>
          <w:rFonts w:cs="Arial"/>
          <w:lang w:val="es-ES_tradnl" w:bidi="es-ES_tradnl"/>
        </w:rPr>
        <w:t>2011.</w:t>
      </w:r>
    </w:p>
    <w:p w:rsidR="002149A7" w:rsidRDefault="002149A7" w:rsidP="002149A7">
      <w:pPr>
        <w:pStyle w:val="TextoMichelin"/>
        <w:rPr>
          <w:rFonts w:cs="Arial"/>
          <w:lang w:val="es-ES_tradnl" w:bidi="es-ES_tradnl"/>
        </w:rPr>
      </w:pPr>
      <w:r>
        <w:rPr>
          <w:rFonts w:cs="Arial"/>
          <w:lang w:val="es-ES_tradnl" w:bidi="es-ES_tradnl"/>
        </w:rPr>
        <w:t>En un contexto de mercados deprimidos, los volúmenes han decrecido un 10,8</w:t>
      </w:r>
      <w:r w:rsidR="00460FF3">
        <w:rPr>
          <w:rFonts w:cs="Arial"/>
          <w:lang w:val="es-ES_tradnl" w:bidi="es-ES_tradnl"/>
        </w:rPr>
        <w:t>%, mientras</w:t>
      </w:r>
      <w:r w:rsidR="008F1DF2">
        <w:rPr>
          <w:rFonts w:cs="Arial"/>
          <w:lang w:val="es-ES_tradnl" w:bidi="es-ES_tradnl"/>
        </w:rPr>
        <w:t xml:space="preserve"> </w:t>
      </w:r>
      <w:r w:rsidR="00F02DE5">
        <w:rPr>
          <w:rFonts w:cs="Arial"/>
          <w:lang w:val="es-ES_tradnl" w:bidi="es-ES_tradnl"/>
        </w:rPr>
        <w:t xml:space="preserve">que </w:t>
      </w:r>
      <w:r w:rsidR="008F1DF2">
        <w:rPr>
          <w:rFonts w:cs="Arial"/>
          <w:lang w:val="es-ES_tradnl" w:bidi="es-ES_tradnl"/>
        </w:rPr>
        <w:t xml:space="preserve">el Grupo daba prioridad a la recuperación y rentabilidad de la actividad de camión. </w:t>
      </w:r>
      <w:r w:rsidR="00F02DE5">
        <w:rPr>
          <w:rFonts w:cs="Arial"/>
          <w:lang w:val="es-ES_tradnl" w:bidi="es-ES_tradnl"/>
        </w:rPr>
        <w:t xml:space="preserve">Esta estrategia, así como los múltiples lanzamientos comerciales y </w:t>
      </w:r>
      <w:r w:rsidR="006A4FAA">
        <w:rPr>
          <w:rFonts w:cs="Arial"/>
          <w:lang w:val="es-ES_tradnl" w:bidi="es-ES_tradnl"/>
        </w:rPr>
        <w:t xml:space="preserve">aligeramiento de los precios de las materias primas, ha llevado a un fuerte aumento del resultado operativo antes de elementos no </w:t>
      </w:r>
      <w:r w:rsidR="00D52AA8">
        <w:rPr>
          <w:rFonts w:cs="Arial"/>
          <w:lang w:val="es-ES_tradnl" w:bidi="es-ES_tradnl"/>
        </w:rPr>
        <w:t>recurren</w:t>
      </w:r>
      <w:r w:rsidR="006A4FAA">
        <w:rPr>
          <w:rFonts w:cs="Arial"/>
          <w:lang w:val="es-ES_tradnl" w:bidi="es-ES_tradnl"/>
        </w:rPr>
        <w:t>tes, h</w:t>
      </w:r>
      <w:r w:rsidR="00D52AA8">
        <w:rPr>
          <w:rFonts w:cs="Arial"/>
          <w:lang w:val="es-ES_tradnl" w:bidi="es-ES_tradnl"/>
        </w:rPr>
        <w:t xml:space="preserve">asta </w:t>
      </w:r>
      <w:r w:rsidR="000A6E67">
        <w:rPr>
          <w:rFonts w:cs="Arial"/>
          <w:lang w:val="es-ES_tradnl" w:bidi="es-ES_tradnl"/>
        </w:rPr>
        <w:t xml:space="preserve">alcanzar </w:t>
      </w:r>
      <w:r w:rsidR="00D52AA8">
        <w:rPr>
          <w:rFonts w:cs="Arial"/>
          <w:lang w:val="es-ES_tradnl" w:bidi="es-ES_tradnl"/>
        </w:rPr>
        <w:t>los 44</w:t>
      </w:r>
      <w:r w:rsidR="000A6E67">
        <w:rPr>
          <w:rFonts w:cs="Arial"/>
          <w:lang w:val="es-ES_tradnl" w:bidi="es-ES_tradnl"/>
        </w:rPr>
        <w:t>4</w:t>
      </w:r>
      <w:r w:rsidR="00D52AA8">
        <w:rPr>
          <w:rFonts w:cs="Arial"/>
          <w:lang w:val="es-ES_tradnl" w:bidi="es-ES_tradnl"/>
        </w:rPr>
        <w:t xml:space="preserve"> millones de euros, es decir, el 6,6% de las ventas netas, en relación </w:t>
      </w:r>
      <w:r w:rsidR="000A6E67">
        <w:rPr>
          <w:rFonts w:cs="Arial"/>
          <w:lang w:val="es-ES_tradnl" w:bidi="es-ES_tradnl"/>
        </w:rPr>
        <w:t>con</w:t>
      </w:r>
      <w:r w:rsidR="00D52AA8">
        <w:rPr>
          <w:rFonts w:cs="Arial"/>
          <w:lang w:val="es-ES_tradnl" w:bidi="es-ES_tradnl"/>
        </w:rPr>
        <w:t xml:space="preserve"> los 233 millones de euros y el 3,5% de 2011.</w:t>
      </w:r>
    </w:p>
    <w:p w:rsidR="00913057" w:rsidRPr="000F3918" w:rsidRDefault="00913057" w:rsidP="00EC3349">
      <w:pPr>
        <w:pStyle w:val="LadilloMichelinDossier"/>
        <w:numPr>
          <w:ilvl w:val="0"/>
          <w:numId w:val="5"/>
        </w:numPr>
        <w:spacing w:after="240"/>
        <w:jc w:val="both"/>
        <w:rPr>
          <w:rFonts w:ascii="Arial" w:hAnsi="Arial"/>
          <w:bCs/>
          <w:sz w:val="21"/>
          <w:lang w:val="es-ES_tradnl" w:bidi="es-ES_tradnl"/>
        </w:rPr>
      </w:pPr>
      <w:r w:rsidRPr="000F3918">
        <w:rPr>
          <w:rFonts w:ascii="Arial" w:hAnsi="Arial"/>
          <w:bCs/>
          <w:sz w:val="21"/>
          <w:lang w:val="es-ES_tradnl" w:bidi="es-ES_tradnl"/>
        </w:rPr>
        <w:t>Actividades de especialidades</w:t>
      </w:r>
    </w:p>
    <w:p w:rsidR="00C739C7" w:rsidRPr="000F3918" w:rsidRDefault="000A6E67" w:rsidP="00C739C7">
      <w:pPr>
        <w:pStyle w:val="TextoMichelin"/>
        <w:rPr>
          <w:rFonts w:cs="Arial"/>
          <w:lang w:val="es-ES_tradnl"/>
        </w:rPr>
      </w:pPr>
      <w:r w:rsidRPr="005A249D">
        <w:rPr>
          <w:rFonts w:cs="Arial"/>
          <w:lang w:val="es-ES_tradnl"/>
        </w:rPr>
        <w:t xml:space="preserve">Las ventas netas del segmento de Actividades </w:t>
      </w:r>
      <w:r>
        <w:rPr>
          <w:rFonts w:cs="Arial"/>
          <w:lang w:val="es-ES_tradnl"/>
        </w:rPr>
        <w:t xml:space="preserve">de </w:t>
      </w:r>
      <w:r w:rsidRPr="005A249D">
        <w:rPr>
          <w:rFonts w:cs="Arial"/>
          <w:lang w:val="es-ES_tradnl"/>
        </w:rPr>
        <w:t>Especiali</w:t>
      </w:r>
      <w:r>
        <w:rPr>
          <w:rFonts w:cs="Arial"/>
          <w:lang w:val="es-ES_tradnl"/>
        </w:rPr>
        <w:t>dades</w:t>
      </w:r>
      <w:r w:rsidRPr="005A249D">
        <w:rPr>
          <w:rFonts w:cs="Arial"/>
          <w:lang w:val="es-ES_tradnl"/>
        </w:rPr>
        <w:t xml:space="preserve"> alcanzaron los </w:t>
      </w:r>
      <w:r w:rsidR="00C739C7" w:rsidRPr="000F3918">
        <w:rPr>
          <w:rFonts w:cs="Arial"/>
          <w:lang w:val="es-ES_tradnl"/>
        </w:rPr>
        <w:t xml:space="preserve">3.640 </w:t>
      </w:r>
      <w:r w:rsidR="00BC68CF">
        <w:rPr>
          <w:rFonts w:cs="Arial"/>
          <w:lang w:val="es-ES_tradnl" w:bidi="es-ES_tradnl"/>
        </w:rPr>
        <w:t>millones de euros</w:t>
      </w:r>
      <w:r w:rsidR="00C739C7" w:rsidRPr="000F3918">
        <w:rPr>
          <w:rFonts w:cs="Arial"/>
          <w:lang w:val="es-ES_tradnl"/>
        </w:rPr>
        <w:t xml:space="preserve">, </w:t>
      </w:r>
      <w:r w:rsidR="00BC68CF" w:rsidRPr="005A249D">
        <w:rPr>
          <w:rFonts w:cs="Arial"/>
          <w:lang w:val="es-ES_tradnl"/>
        </w:rPr>
        <w:t>una subida de</w:t>
      </w:r>
      <w:r w:rsidR="00BC68CF">
        <w:rPr>
          <w:rFonts w:cs="Arial"/>
          <w:lang w:val="es-ES_tradnl"/>
        </w:rPr>
        <w:t>l 13,0</w:t>
      </w:r>
      <w:r w:rsidR="00C739C7" w:rsidRPr="000F3918">
        <w:rPr>
          <w:rFonts w:cs="Arial"/>
          <w:lang w:val="es-ES_tradnl"/>
        </w:rPr>
        <w:t xml:space="preserve">% </w:t>
      </w:r>
      <w:r w:rsidR="00BC68CF">
        <w:rPr>
          <w:rFonts w:cs="Arial"/>
          <w:lang w:val="es-ES_tradnl"/>
        </w:rPr>
        <w:t>en comparación con</w:t>
      </w:r>
      <w:r w:rsidR="00C739C7" w:rsidRPr="000F3918">
        <w:rPr>
          <w:rFonts w:cs="Arial"/>
          <w:lang w:val="es-ES_tradnl"/>
        </w:rPr>
        <w:t xml:space="preserve"> 2011.</w:t>
      </w:r>
    </w:p>
    <w:p w:rsidR="00C739C7" w:rsidRPr="000F3918" w:rsidRDefault="006545BD" w:rsidP="00794036">
      <w:pPr>
        <w:pStyle w:val="TextoMichelin"/>
        <w:rPr>
          <w:rFonts w:cs="Arial"/>
          <w:lang w:val="es-ES_tradnl"/>
        </w:rPr>
      </w:pPr>
      <w:r>
        <w:rPr>
          <w:rFonts w:cs="Arial"/>
          <w:lang w:val="es-ES_tradnl"/>
        </w:rPr>
        <w:t>Con</w:t>
      </w:r>
      <w:r w:rsidR="00C739C7" w:rsidRPr="000F3918">
        <w:rPr>
          <w:rFonts w:cs="Arial"/>
          <w:lang w:val="es-ES_tradnl"/>
        </w:rPr>
        <w:t xml:space="preserve"> 946 </w:t>
      </w:r>
      <w:r>
        <w:rPr>
          <w:rFonts w:cs="Arial"/>
          <w:lang w:val="es-ES_tradnl" w:bidi="es-ES_tradnl"/>
        </w:rPr>
        <w:t>millones de euros</w:t>
      </w:r>
      <w:r w:rsidRPr="000F3918">
        <w:rPr>
          <w:rFonts w:cs="Arial"/>
          <w:lang w:val="es-ES_tradnl"/>
        </w:rPr>
        <w:t>,</w:t>
      </w:r>
      <w:r>
        <w:rPr>
          <w:rFonts w:cs="Arial"/>
          <w:lang w:val="es-ES_tradnl"/>
        </w:rPr>
        <w:t xml:space="preserve"> el 26,0</w:t>
      </w:r>
      <w:r w:rsidR="00C739C7" w:rsidRPr="000F3918">
        <w:rPr>
          <w:rFonts w:cs="Arial"/>
          <w:lang w:val="es-ES_tradnl"/>
        </w:rPr>
        <w:t>% de</w:t>
      </w:r>
      <w:r>
        <w:rPr>
          <w:rFonts w:cs="Arial"/>
          <w:lang w:val="es-ES_tradnl"/>
        </w:rPr>
        <w:t xml:space="preserve"> las ventas neta</w:t>
      </w:r>
      <w:r w:rsidR="00C739C7" w:rsidRPr="000F3918">
        <w:rPr>
          <w:rFonts w:cs="Arial"/>
          <w:lang w:val="es-ES_tradnl"/>
        </w:rPr>
        <w:t xml:space="preserve">s, </w:t>
      </w:r>
      <w:r w:rsidR="00AF5E6F">
        <w:rPr>
          <w:rFonts w:cs="Arial"/>
          <w:lang w:val="es-ES_tradnl"/>
        </w:rPr>
        <w:t xml:space="preserve">el </w:t>
      </w:r>
      <w:r w:rsidR="00AF5E6F">
        <w:rPr>
          <w:rFonts w:cs="Arial"/>
          <w:lang w:val="es-ES_tradnl" w:bidi="es-ES_tradnl"/>
        </w:rPr>
        <w:t>resultado operativo antes de elementos no recurrentes confirma la rentabilidad estructuralmente elevada</w:t>
      </w:r>
      <w:r w:rsidR="00C739C7" w:rsidRPr="000F3918">
        <w:rPr>
          <w:rFonts w:cs="Arial"/>
          <w:lang w:val="es-ES_tradnl"/>
        </w:rPr>
        <w:t xml:space="preserve"> </w:t>
      </w:r>
      <w:r w:rsidR="00AF5E6F">
        <w:rPr>
          <w:rFonts w:cs="Arial"/>
          <w:lang w:val="es-ES_tradnl"/>
        </w:rPr>
        <w:t>de esta</w:t>
      </w:r>
      <w:r w:rsidR="006B35D7">
        <w:rPr>
          <w:rFonts w:cs="Arial"/>
          <w:lang w:val="es-ES_tradnl"/>
        </w:rPr>
        <w:t>s</w:t>
      </w:r>
      <w:r w:rsidR="00AF5E6F">
        <w:rPr>
          <w:rFonts w:cs="Arial"/>
          <w:lang w:val="es-ES_tradnl"/>
        </w:rPr>
        <w:t xml:space="preserve"> actividades</w:t>
      </w:r>
      <w:r w:rsidR="00A16F33">
        <w:rPr>
          <w:rFonts w:cs="Arial"/>
          <w:lang w:val="es-ES_tradnl"/>
        </w:rPr>
        <w:t>. En un entorno de cambio particularmente favorable, se benefician del efecto aún positivo de las cláusulas de indexación sobre los precios de las materias primas y de la progresión de los volúmenes</w:t>
      </w:r>
      <w:r w:rsidR="00AF5E6F">
        <w:rPr>
          <w:rFonts w:cs="Arial"/>
          <w:lang w:val="es-ES_tradnl"/>
        </w:rPr>
        <w:t xml:space="preserve"> </w:t>
      </w:r>
      <w:r w:rsidR="00794036">
        <w:rPr>
          <w:rFonts w:cs="Arial"/>
          <w:lang w:val="es-ES_tradnl"/>
        </w:rPr>
        <w:t>(+ 1,7</w:t>
      </w:r>
      <w:r w:rsidR="00C739C7" w:rsidRPr="000F3918">
        <w:rPr>
          <w:rFonts w:cs="Arial"/>
          <w:lang w:val="es-ES_tradnl"/>
        </w:rPr>
        <w:t>%).</w:t>
      </w:r>
    </w:p>
    <w:p w:rsidR="00C739C7" w:rsidRPr="000F3918" w:rsidRDefault="00C739C7" w:rsidP="00913057">
      <w:pPr>
        <w:pStyle w:val="TextoMichelin"/>
        <w:rPr>
          <w:rFonts w:cs="Arial"/>
          <w:lang w:val="es-ES_tradnl"/>
        </w:rPr>
      </w:pPr>
    </w:p>
    <w:p w:rsidR="00913057" w:rsidRPr="00550696" w:rsidRDefault="00913057" w:rsidP="00913057">
      <w:pPr>
        <w:pStyle w:val="TITULARMICHELIN"/>
        <w:spacing w:after="240"/>
        <w:rPr>
          <w:rFonts w:cs="Arial"/>
          <w:bCs/>
          <w:lang w:val="fr-FR"/>
        </w:rPr>
      </w:pPr>
      <w:r w:rsidRPr="00B21DB8">
        <w:rPr>
          <w:rFonts w:cs="Arial"/>
          <w:bCs/>
          <w:lang w:val="fr-FR"/>
        </w:rPr>
        <w:br w:type="column"/>
      </w:r>
      <w:r w:rsidRPr="00550696">
        <w:rPr>
          <w:rFonts w:cs="Arial"/>
          <w:bCs/>
          <w:lang w:val="fr-FR"/>
        </w:rPr>
        <w:t>Compagnie Générale des Etablissements Michelin</w:t>
      </w:r>
    </w:p>
    <w:p w:rsidR="00913057" w:rsidRPr="00A61AD3" w:rsidRDefault="00913057" w:rsidP="00913057">
      <w:pPr>
        <w:pStyle w:val="TextoMichelin"/>
        <w:rPr>
          <w:rFonts w:cs="Arial"/>
        </w:rPr>
      </w:pPr>
      <w:r w:rsidRPr="00550696">
        <w:rPr>
          <w:rFonts w:cs="Arial"/>
          <w:lang w:val="fr-FR"/>
        </w:rPr>
        <w:t xml:space="preserve">La Compagnie Générale des Etablissements Michelin </w:t>
      </w:r>
      <w:r w:rsidRPr="00A61AD3">
        <w:rPr>
          <w:rFonts w:cs="Arial"/>
        </w:rPr>
        <w:t xml:space="preserve">ha tenido un beneficio de </w:t>
      </w:r>
      <w:r w:rsidR="008E07E7" w:rsidRPr="00A61AD3">
        <w:rPr>
          <w:rFonts w:cs="Arial"/>
        </w:rPr>
        <w:t>465</w:t>
      </w:r>
      <w:r w:rsidRPr="00A61AD3">
        <w:rPr>
          <w:rFonts w:cs="Arial"/>
        </w:rPr>
        <w:t xml:space="preserve"> millones de euros </w:t>
      </w:r>
      <w:r w:rsidR="006B35D7" w:rsidRPr="00A61AD3">
        <w:rPr>
          <w:rFonts w:cs="Arial"/>
        </w:rPr>
        <w:t xml:space="preserve">en </w:t>
      </w:r>
      <w:r w:rsidRPr="00A61AD3">
        <w:rPr>
          <w:rFonts w:cs="Arial"/>
        </w:rPr>
        <w:t>el ejercicio 201</w:t>
      </w:r>
      <w:r w:rsidR="008E07E7" w:rsidRPr="00A61AD3">
        <w:rPr>
          <w:rFonts w:cs="Arial"/>
        </w:rPr>
        <w:t>2</w:t>
      </w:r>
      <w:r w:rsidRPr="00A61AD3">
        <w:rPr>
          <w:rFonts w:cs="Arial"/>
        </w:rPr>
        <w:t xml:space="preserve">. </w:t>
      </w:r>
    </w:p>
    <w:p w:rsidR="00913057" w:rsidRPr="00A06945" w:rsidRDefault="00913057" w:rsidP="00913057">
      <w:pPr>
        <w:pStyle w:val="TextoMichelin"/>
        <w:rPr>
          <w:rFonts w:cs="Arial"/>
          <w:lang w:val="es-ES_tradnl" w:bidi="es-ES_tradnl"/>
        </w:rPr>
      </w:pPr>
      <w:r w:rsidRPr="00A06945">
        <w:rPr>
          <w:rFonts w:cs="Arial"/>
          <w:lang w:val="es-ES_tradnl"/>
        </w:rPr>
        <w:t>Las cuentas han sido presentadas al Consejo de Vigilancia en su reunión del</w:t>
      </w:r>
      <w:r w:rsidRPr="00A06945">
        <w:rPr>
          <w:rFonts w:cs="Arial"/>
          <w:lang w:val="es-ES_tradnl" w:bidi="es-ES_tradnl"/>
        </w:rPr>
        <w:t xml:space="preserve"> </w:t>
      </w:r>
      <w:r w:rsidR="008E07E7" w:rsidRPr="00A06945">
        <w:rPr>
          <w:rFonts w:cs="Arial"/>
          <w:lang w:val="es-ES_tradnl" w:bidi="es-ES_tradnl"/>
        </w:rPr>
        <w:t>7</w:t>
      </w:r>
      <w:r w:rsidRPr="00A06945">
        <w:rPr>
          <w:rFonts w:cs="Arial"/>
          <w:lang w:val="es-ES_tradnl" w:bidi="es-ES_tradnl"/>
        </w:rPr>
        <w:t xml:space="preserve"> de febrero de 201</w:t>
      </w:r>
      <w:r w:rsidR="008E07E7" w:rsidRPr="00A06945">
        <w:rPr>
          <w:rFonts w:cs="Arial"/>
          <w:lang w:val="es-ES_tradnl" w:bidi="es-ES_tradnl"/>
        </w:rPr>
        <w:t>3</w:t>
      </w:r>
      <w:r w:rsidR="00FB6E08">
        <w:rPr>
          <w:rFonts w:cs="Arial"/>
          <w:lang w:val="es-ES_tradnl" w:bidi="es-ES_tradnl"/>
        </w:rPr>
        <w:t>. Los</w:t>
      </w:r>
      <w:r w:rsidRPr="00A06945">
        <w:rPr>
          <w:rFonts w:cs="Arial"/>
          <w:lang w:val="es-ES_tradnl" w:bidi="es-ES_tradnl"/>
        </w:rPr>
        <w:t xml:space="preserve"> procedimientos de </w:t>
      </w:r>
      <w:r w:rsidR="008E07E7" w:rsidRPr="00A06945">
        <w:rPr>
          <w:rFonts w:cs="Arial"/>
          <w:lang w:val="es-ES_tradnl" w:bidi="es-ES_tradnl"/>
        </w:rPr>
        <w:t>auditoría han sido realizados y</w:t>
      </w:r>
      <w:r w:rsidRPr="00A06945">
        <w:rPr>
          <w:rFonts w:cs="Arial"/>
          <w:lang w:val="es-ES_tradnl" w:bidi="es-ES_tradnl"/>
        </w:rPr>
        <w:t xml:space="preserve"> el informe de auditoría ha sido emitido en la misma fecha. </w:t>
      </w:r>
    </w:p>
    <w:p w:rsidR="00913057" w:rsidRPr="00A06945" w:rsidRDefault="00AF449A" w:rsidP="00913057">
      <w:pPr>
        <w:pStyle w:val="TextoMichelin"/>
        <w:rPr>
          <w:rFonts w:cs="Arial"/>
          <w:lang w:val="es-ES_tradnl" w:bidi="es-ES_tradnl"/>
        </w:rPr>
      </w:pPr>
      <w:r w:rsidRPr="00A06945">
        <w:rPr>
          <w:rFonts w:cs="Arial"/>
          <w:lang w:val="es-ES_tradnl" w:bidi="es-ES_tradnl"/>
        </w:rPr>
        <w:t>El presidente</w:t>
      </w:r>
      <w:r w:rsidR="00913057" w:rsidRPr="00A06945">
        <w:rPr>
          <w:rFonts w:cs="Arial"/>
          <w:lang w:val="es-ES_tradnl" w:bidi="es-ES_tradnl"/>
        </w:rPr>
        <w:t xml:space="preserve"> del Grupo ha convocado una Asamblea General de Accionistas para el viernes 1</w:t>
      </w:r>
      <w:r w:rsidR="008E07E7" w:rsidRPr="00A06945">
        <w:rPr>
          <w:rFonts w:cs="Arial"/>
          <w:lang w:val="es-ES_tradnl" w:bidi="es-ES_tradnl"/>
        </w:rPr>
        <w:t>7</w:t>
      </w:r>
      <w:r w:rsidR="00913057" w:rsidRPr="00A06945">
        <w:rPr>
          <w:rFonts w:cs="Arial"/>
          <w:lang w:val="es-ES_tradnl" w:bidi="es-ES_tradnl"/>
        </w:rPr>
        <w:t xml:space="preserve"> de mayo de 201</w:t>
      </w:r>
      <w:r w:rsidRPr="00A06945">
        <w:rPr>
          <w:rFonts w:cs="Arial"/>
          <w:lang w:val="es-ES_tradnl" w:bidi="es-ES_tradnl"/>
        </w:rPr>
        <w:t>3</w:t>
      </w:r>
      <w:r w:rsidR="00913057" w:rsidRPr="00A06945">
        <w:rPr>
          <w:rFonts w:cs="Arial"/>
          <w:lang w:val="es-ES_tradnl" w:bidi="es-ES_tradnl"/>
        </w:rPr>
        <w:t>, a las 9 horas, en Clermont-Ferrand.</w:t>
      </w:r>
    </w:p>
    <w:p w:rsidR="00913057" w:rsidRPr="00A06945" w:rsidRDefault="00A06945" w:rsidP="00913057">
      <w:pPr>
        <w:pStyle w:val="TextoMichelin"/>
        <w:rPr>
          <w:rFonts w:cs="Arial"/>
          <w:lang w:val="es-ES_tradnl" w:bidi="es-ES_tradnl"/>
        </w:rPr>
      </w:pPr>
      <w:r w:rsidRPr="00A06945">
        <w:rPr>
          <w:rFonts w:cs="Arial"/>
          <w:lang w:val="es-ES_tradnl" w:bidi="es-ES_tradnl"/>
        </w:rPr>
        <w:t xml:space="preserve">El presidente del Grupo </w:t>
      </w:r>
      <w:r w:rsidR="00913057" w:rsidRPr="00A06945">
        <w:rPr>
          <w:rFonts w:cs="Arial"/>
          <w:lang w:val="es-ES_tradnl" w:bidi="es-ES_tradnl"/>
        </w:rPr>
        <w:t>someterá</w:t>
      </w:r>
      <w:r w:rsidRPr="00A06945">
        <w:rPr>
          <w:rFonts w:cs="Arial"/>
          <w:lang w:val="es-ES_tradnl" w:bidi="es-ES_tradnl"/>
        </w:rPr>
        <w:t xml:space="preserve"> </w:t>
      </w:r>
      <w:r w:rsidR="00913057" w:rsidRPr="00A06945">
        <w:rPr>
          <w:rFonts w:cs="Arial"/>
          <w:lang w:val="es-ES_tradnl" w:bidi="es-ES_tradnl"/>
        </w:rPr>
        <w:t>a la aprobación de los accionistas el pago de un dividendo de 2,</w:t>
      </w:r>
      <w:r w:rsidRPr="00A06945">
        <w:rPr>
          <w:rFonts w:cs="Arial"/>
          <w:lang w:val="es-ES_tradnl" w:bidi="es-ES_tradnl"/>
        </w:rPr>
        <w:t>4</w:t>
      </w:r>
      <w:r w:rsidR="00913057" w:rsidRPr="00A06945">
        <w:rPr>
          <w:rFonts w:cs="Arial"/>
          <w:lang w:val="es-ES_tradnl" w:bidi="es-ES_tradnl"/>
        </w:rPr>
        <w:t>0 euros por acción realizable</w:t>
      </w:r>
      <w:r w:rsidR="006B35D7">
        <w:rPr>
          <w:rFonts w:cs="Arial"/>
          <w:lang w:val="es-ES_tradnl" w:bidi="es-ES_tradnl"/>
        </w:rPr>
        <w:t>,</w:t>
      </w:r>
      <w:r w:rsidR="00913057" w:rsidRPr="00A06945">
        <w:rPr>
          <w:rFonts w:cs="Arial"/>
          <w:lang w:val="es-ES_tradnl" w:bidi="es-ES_tradnl"/>
        </w:rPr>
        <w:t xml:space="preserve"> a la elección de cada accionista</w:t>
      </w:r>
      <w:r w:rsidR="006B35D7">
        <w:rPr>
          <w:rFonts w:cs="Arial"/>
          <w:lang w:val="es-ES_tradnl" w:bidi="es-ES_tradnl"/>
        </w:rPr>
        <w:t>,</w:t>
      </w:r>
      <w:r w:rsidR="00913057" w:rsidRPr="00A06945">
        <w:rPr>
          <w:rFonts w:cs="Arial"/>
          <w:lang w:val="es-ES_tradnl" w:bidi="es-ES_tradnl"/>
        </w:rPr>
        <w:t xml:space="preserve"> en efectivo o en acciones.</w:t>
      </w:r>
    </w:p>
    <w:p w:rsidR="00913057" w:rsidRPr="000F3918" w:rsidRDefault="00913057" w:rsidP="00913057">
      <w:pPr>
        <w:pStyle w:val="TITULARMICHELIN"/>
        <w:spacing w:after="240"/>
        <w:rPr>
          <w:bCs/>
          <w:lang w:bidi="es-ES_tradnl"/>
        </w:rPr>
      </w:pPr>
      <w:r w:rsidRPr="000F3918">
        <w:rPr>
          <w:rFonts w:cs="Arial"/>
          <w:color w:val="auto"/>
          <w:lang w:bidi="es-ES_tradnl"/>
        </w:rPr>
        <w:br w:type="column"/>
      </w:r>
      <w:r w:rsidRPr="000F3918">
        <w:rPr>
          <w:rFonts w:cs="Arial"/>
          <w:bCs/>
        </w:rPr>
        <w:t>Hechos destacados de 201</w:t>
      </w:r>
      <w:r w:rsidR="00DF1C5C" w:rsidRPr="000F3918">
        <w:rPr>
          <w:rFonts w:cs="Arial"/>
          <w:bCs/>
        </w:rPr>
        <w:t>2</w:t>
      </w:r>
    </w:p>
    <w:p w:rsidR="00DF1C5C" w:rsidRPr="000F3918" w:rsidRDefault="00DF1C5C" w:rsidP="00214C97">
      <w:pPr>
        <w:pStyle w:val="TextoMichelin"/>
        <w:numPr>
          <w:ilvl w:val="0"/>
          <w:numId w:val="4"/>
        </w:numPr>
        <w:jc w:val="left"/>
        <w:rPr>
          <w:b/>
          <w:bCs/>
          <w:lang w:val="es-ES_tradnl" w:bidi="es-ES_tradnl"/>
        </w:rPr>
      </w:pPr>
      <w:r w:rsidRPr="000F3918">
        <w:rPr>
          <w:b/>
          <w:bCs/>
          <w:lang w:val="es-ES_tradnl" w:bidi="es-ES_tradnl"/>
        </w:rPr>
        <w:t>L</w:t>
      </w:r>
      <w:r w:rsidR="004C04DE">
        <w:rPr>
          <w:b/>
          <w:bCs/>
          <w:lang w:val="es-ES_tradnl" w:bidi="es-ES_tradnl"/>
        </w:rPr>
        <w:t xml:space="preserve">a agencia Standard &amp; Poor’s </w:t>
      </w:r>
      <w:r w:rsidR="00B07E54">
        <w:rPr>
          <w:b/>
          <w:bCs/>
          <w:lang w:val="es-ES_tradnl" w:bidi="es-ES_tradnl"/>
        </w:rPr>
        <w:t>eleva la nota crediticia de Michelin a</w:t>
      </w:r>
      <w:r w:rsidRPr="000F3918">
        <w:rPr>
          <w:b/>
          <w:bCs/>
          <w:lang w:val="es-ES_tradnl" w:bidi="es-ES_tradnl"/>
        </w:rPr>
        <w:t xml:space="preserve"> "BBB+" </w:t>
      </w:r>
      <w:r w:rsidR="00E31646">
        <w:rPr>
          <w:b/>
          <w:bCs/>
          <w:lang w:val="es-ES_tradnl" w:bidi="es-ES_tradnl"/>
        </w:rPr>
        <w:br/>
      </w:r>
      <w:r w:rsidRPr="000F3918">
        <w:rPr>
          <w:b/>
          <w:bCs/>
          <w:lang w:val="es-ES_tradnl" w:bidi="es-ES_tradnl"/>
        </w:rPr>
        <w:t xml:space="preserve">(23 </w:t>
      </w:r>
      <w:r w:rsidR="00B07E54">
        <w:rPr>
          <w:b/>
          <w:bCs/>
          <w:lang w:val="es-ES_tradnl" w:bidi="es-ES_tradnl"/>
        </w:rPr>
        <w:t xml:space="preserve">de </w:t>
      </w:r>
      <w:r w:rsidRPr="000F3918">
        <w:rPr>
          <w:b/>
          <w:bCs/>
          <w:lang w:val="es-ES_tradnl" w:bidi="es-ES_tradnl"/>
        </w:rPr>
        <w:t>mar</w:t>
      </w:r>
      <w:r w:rsidR="00B07E54">
        <w:rPr>
          <w:b/>
          <w:bCs/>
          <w:lang w:val="es-ES_tradnl" w:bidi="es-ES_tradnl"/>
        </w:rPr>
        <w:t>zo de</w:t>
      </w:r>
      <w:r w:rsidRPr="000F3918">
        <w:rPr>
          <w:b/>
          <w:bCs/>
          <w:lang w:val="es-ES_tradnl" w:bidi="es-ES_tradnl"/>
        </w:rPr>
        <w:t xml:space="preserve"> 2012)</w:t>
      </w:r>
    </w:p>
    <w:p w:rsidR="00DF1C5C" w:rsidRPr="000F3918" w:rsidRDefault="00DF1C5C" w:rsidP="00214C97">
      <w:pPr>
        <w:pStyle w:val="TextoMichelin"/>
        <w:numPr>
          <w:ilvl w:val="0"/>
          <w:numId w:val="4"/>
        </w:numPr>
        <w:jc w:val="left"/>
        <w:rPr>
          <w:b/>
          <w:bCs/>
          <w:lang w:val="es-ES_tradnl" w:bidi="es-ES_tradnl"/>
        </w:rPr>
      </w:pPr>
      <w:r w:rsidRPr="000F3918">
        <w:rPr>
          <w:b/>
          <w:bCs/>
          <w:lang w:val="es-ES_tradnl" w:bidi="es-ES_tradnl"/>
        </w:rPr>
        <w:t xml:space="preserve">Michelin </w:t>
      </w:r>
      <w:r w:rsidR="00B07E54">
        <w:rPr>
          <w:b/>
          <w:bCs/>
          <w:lang w:val="es-ES_tradnl" w:bidi="es-ES_tradnl"/>
        </w:rPr>
        <w:t xml:space="preserve">refuerza su posición como líder mundial en el mercado de ingeniería civil con el anuncio de la construcción de una nueva factoría y la ampliación de otra en América del Norte </w:t>
      </w:r>
      <w:r w:rsidRPr="000F3918">
        <w:rPr>
          <w:b/>
          <w:bCs/>
          <w:lang w:val="es-ES_tradnl" w:bidi="es-ES_tradnl"/>
        </w:rPr>
        <w:t xml:space="preserve">(10 </w:t>
      </w:r>
      <w:r w:rsidR="00B07E54">
        <w:rPr>
          <w:b/>
          <w:bCs/>
          <w:lang w:val="es-ES_tradnl" w:bidi="es-ES_tradnl"/>
        </w:rPr>
        <w:t xml:space="preserve">de </w:t>
      </w:r>
      <w:r w:rsidRPr="000F3918">
        <w:rPr>
          <w:b/>
          <w:bCs/>
          <w:lang w:val="es-ES_tradnl" w:bidi="es-ES_tradnl"/>
        </w:rPr>
        <w:t>a</w:t>
      </w:r>
      <w:r w:rsidR="00B07E54">
        <w:rPr>
          <w:b/>
          <w:bCs/>
          <w:lang w:val="es-ES_tradnl" w:bidi="es-ES_tradnl"/>
        </w:rPr>
        <w:t>b</w:t>
      </w:r>
      <w:r w:rsidRPr="000F3918">
        <w:rPr>
          <w:b/>
          <w:bCs/>
          <w:lang w:val="es-ES_tradnl" w:bidi="es-ES_tradnl"/>
        </w:rPr>
        <w:t>ril</w:t>
      </w:r>
      <w:r w:rsidR="00B07E54">
        <w:rPr>
          <w:b/>
          <w:bCs/>
          <w:lang w:val="es-ES_tradnl" w:bidi="es-ES_tradnl"/>
        </w:rPr>
        <w:t xml:space="preserve"> de</w:t>
      </w:r>
      <w:r w:rsidRPr="000F3918">
        <w:rPr>
          <w:b/>
          <w:bCs/>
          <w:lang w:val="es-ES_tradnl" w:bidi="es-ES_tradnl"/>
        </w:rPr>
        <w:t xml:space="preserve"> 2012)</w:t>
      </w:r>
    </w:p>
    <w:p w:rsidR="00DF1C5C" w:rsidRPr="000F3918" w:rsidRDefault="00B07E54" w:rsidP="00214C97">
      <w:pPr>
        <w:pStyle w:val="TextoMichelin"/>
        <w:numPr>
          <w:ilvl w:val="0"/>
          <w:numId w:val="4"/>
        </w:numPr>
        <w:jc w:val="left"/>
        <w:rPr>
          <w:b/>
          <w:bCs/>
          <w:lang w:val="es-ES_tradnl" w:bidi="es-ES_tradnl"/>
        </w:rPr>
      </w:pPr>
      <w:r w:rsidRPr="000F3918">
        <w:rPr>
          <w:b/>
          <w:bCs/>
          <w:lang w:val="es-ES_tradnl" w:bidi="es-ES_tradnl"/>
        </w:rPr>
        <w:t>L</w:t>
      </w:r>
      <w:r>
        <w:rPr>
          <w:b/>
          <w:bCs/>
          <w:lang w:val="es-ES_tradnl" w:bidi="es-ES_tradnl"/>
        </w:rPr>
        <w:t xml:space="preserve">a agencia </w:t>
      </w:r>
      <w:r w:rsidR="00E31646">
        <w:rPr>
          <w:b/>
          <w:bCs/>
          <w:lang w:val="es-ES_tradnl" w:bidi="es-ES_tradnl"/>
        </w:rPr>
        <w:t>Moody’s</w:t>
      </w:r>
      <w:r w:rsidR="00DF1C5C" w:rsidRPr="000F3918">
        <w:rPr>
          <w:b/>
          <w:bCs/>
          <w:lang w:val="es-ES_tradnl" w:bidi="es-ES_tradnl"/>
        </w:rPr>
        <w:t xml:space="preserve"> </w:t>
      </w:r>
      <w:r>
        <w:rPr>
          <w:b/>
          <w:bCs/>
          <w:lang w:val="es-ES_tradnl" w:bidi="es-ES_tradnl"/>
        </w:rPr>
        <w:t>revisa al alza la nota de</w:t>
      </w:r>
      <w:r w:rsidR="00DF1C5C" w:rsidRPr="000F3918">
        <w:rPr>
          <w:b/>
          <w:bCs/>
          <w:lang w:val="es-ES_tradnl" w:bidi="es-ES_tradnl"/>
        </w:rPr>
        <w:t xml:space="preserve"> Michelin </w:t>
      </w:r>
      <w:r>
        <w:rPr>
          <w:b/>
          <w:bCs/>
          <w:lang w:val="es-ES_tradnl" w:bidi="es-ES_tradnl"/>
        </w:rPr>
        <w:t>hasta</w:t>
      </w:r>
      <w:r w:rsidR="00DF1C5C" w:rsidRPr="000F3918">
        <w:rPr>
          <w:b/>
          <w:bCs/>
          <w:lang w:val="es-ES_tradnl" w:bidi="es-ES_tradnl"/>
        </w:rPr>
        <w:t xml:space="preserve"> "Baa1" </w:t>
      </w:r>
      <w:r w:rsidR="00E31646">
        <w:rPr>
          <w:b/>
          <w:bCs/>
          <w:lang w:val="es-ES_tradnl" w:bidi="es-ES_tradnl"/>
        </w:rPr>
        <w:br/>
      </w:r>
      <w:r w:rsidR="00DF1C5C" w:rsidRPr="000F3918">
        <w:rPr>
          <w:b/>
          <w:bCs/>
          <w:lang w:val="es-ES_tradnl" w:bidi="es-ES_tradnl"/>
        </w:rPr>
        <w:t>(24</w:t>
      </w:r>
      <w:r>
        <w:rPr>
          <w:b/>
          <w:bCs/>
          <w:lang w:val="es-ES_tradnl" w:bidi="es-ES_tradnl"/>
        </w:rPr>
        <w:t xml:space="preserve"> de</w:t>
      </w:r>
      <w:r w:rsidR="00DF1C5C" w:rsidRPr="000F3918">
        <w:rPr>
          <w:b/>
          <w:bCs/>
          <w:lang w:val="es-ES_tradnl" w:bidi="es-ES_tradnl"/>
        </w:rPr>
        <w:t xml:space="preserve"> a</w:t>
      </w:r>
      <w:r>
        <w:rPr>
          <w:b/>
          <w:bCs/>
          <w:lang w:val="es-ES_tradnl" w:bidi="es-ES_tradnl"/>
        </w:rPr>
        <w:t>b</w:t>
      </w:r>
      <w:r w:rsidR="00DF1C5C" w:rsidRPr="000F3918">
        <w:rPr>
          <w:b/>
          <w:bCs/>
          <w:lang w:val="es-ES_tradnl" w:bidi="es-ES_tradnl"/>
        </w:rPr>
        <w:t xml:space="preserve">ril </w:t>
      </w:r>
      <w:r>
        <w:rPr>
          <w:b/>
          <w:bCs/>
          <w:lang w:val="es-ES_tradnl" w:bidi="es-ES_tradnl"/>
        </w:rPr>
        <w:t xml:space="preserve">de </w:t>
      </w:r>
      <w:r w:rsidR="00DF1C5C" w:rsidRPr="000F3918">
        <w:rPr>
          <w:b/>
          <w:bCs/>
          <w:lang w:val="es-ES_tradnl" w:bidi="es-ES_tradnl"/>
        </w:rPr>
        <w:t>2012)</w:t>
      </w:r>
    </w:p>
    <w:p w:rsidR="00DF1C5C" w:rsidRPr="000F3918" w:rsidRDefault="00DF1C5C" w:rsidP="00214C97">
      <w:pPr>
        <w:pStyle w:val="TextoMichelin"/>
        <w:numPr>
          <w:ilvl w:val="0"/>
          <w:numId w:val="4"/>
        </w:numPr>
        <w:jc w:val="left"/>
        <w:rPr>
          <w:b/>
          <w:bCs/>
          <w:lang w:val="es-ES_tradnl" w:bidi="es-ES_tradnl"/>
        </w:rPr>
      </w:pPr>
      <w:r w:rsidRPr="000F3918">
        <w:rPr>
          <w:b/>
          <w:bCs/>
          <w:lang w:val="es-ES_tradnl" w:bidi="es-ES_tradnl"/>
        </w:rPr>
        <w:t>Pr</w:t>
      </w:r>
      <w:r w:rsidR="00E31646">
        <w:rPr>
          <w:b/>
          <w:bCs/>
          <w:lang w:val="es-ES_tradnl" w:bidi="es-ES_tradnl"/>
        </w:rPr>
        <w:t xml:space="preserve">imer neumático de turismo camioneta fabricado en la planta de </w:t>
      </w:r>
      <w:r w:rsidRPr="000F3918">
        <w:rPr>
          <w:b/>
          <w:bCs/>
          <w:lang w:val="es-ES_tradnl" w:bidi="es-ES_tradnl"/>
        </w:rPr>
        <w:t>Pau</w:t>
      </w:r>
      <w:r w:rsidR="00E31646">
        <w:rPr>
          <w:b/>
          <w:bCs/>
          <w:lang w:val="es-ES_tradnl" w:bidi="es-ES_tradnl"/>
        </w:rPr>
        <w:t>,</w:t>
      </w:r>
      <w:r w:rsidRPr="000F3918">
        <w:rPr>
          <w:b/>
          <w:bCs/>
          <w:lang w:val="es-ES_tradnl" w:bidi="es-ES_tradnl"/>
        </w:rPr>
        <w:t xml:space="preserve"> Brasil  </w:t>
      </w:r>
      <w:r w:rsidR="00E31646">
        <w:rPr>
          <w:b/>
          <w:bCs/>
          <w:lang w:val="es-ES_tradnl" w:bidi="es-ES_tradnl"/>
        </w:rPr>
        <w:br/>
      </w:r>
      <w:r w:rsidRPr="000F3918">
        <w:rPr>
          <w:b/>
          <w:bCs/>
          <w:lang w:val="es-ES_tradnl" w:bidi="es-ES_tradnl"/>
        </w:rPr>
        <w:t xml:space="preserve">(9 </w:t>
      </w:r>
      <w:r w:rsidR="00E31646">
        <w:rPr>
          <w:b/>
          <w:bCs/>
          <w:lang w:val="es-ES_tradnl" w:bidi="es-ES_tradnl"/>
        </w:rPr>
        <w:t>de febrero de</w:t>
      </w:r>
      <w:r w:rsidRPr="000F3918">
        <w:rPr>
          <w:b/>
          <w:bCs/>
          <w:lang w:val="es-ES_tradnl" w:bidi="es-ES_tradnl"/>
        </w:rPr>
        <w:t xml:space="preserve"> 2012)</w:t>
      </w:r>
    </w:p>
    <w:p w:rsidR="00DF1C5C" w:rsidRPr="000F3918" w:rsidRDefault="00E31646" w:rsidP="00214C97">
      <w:pPr>
        <w:pStyle w:val="TextoMichelin"/>
        <w:numPr>
          <w:ilvl w:val="0"/>
          <w:numId w:val="4"/>
        </w:numPr>
        <w:jc w:val="left"/>
        <w:rPr>
          <w:b/>
          <w:bCs/>
          <w:lang w:val="es-ES_tradnl" w:bidi="es-ES_tradnl"/>
        </w:rPr>
      </w:pPr>
      <w:r>
        <w:rPr>
          <w:b/>
          <w:bCs/>
          <w:lang w:val="es-ES_tradnl" w:bidi="es-ES_tradnl"/>
        </w:rPr>
        <w:t>Más allá de la etiqueta, MICHELIN Total</w:t>
      </w:r>
      <w:r w:rsidR="00DF1C5C" w:rsidRPr="000F3918">
        <w:rPr>
          <w:b/>
          <w:bCs/>
          <w:lang w:val="es-ES_tradnl" w:bidi="es-ES_tradnl"/>
        </w:rPr>
        <w:t xml:space="preserve">  Perfo</w:t>
      </w:r>
      <w:r w:rsidR="006D034B">
        <w:rPr>
          <w:b/>
          <w:bCs/>
          <w:lang w:val="es-ES_tradnl" w:bidi="es-ES_tradnl"/>
        </w:rPr>
        <w:t xml:space="preserve">rmance, una estrategia que permite </w:t>
      </w:r>
      <w:r w:rsidR="006B35D7">
        <w:rPr>
          <w:b/>
          <w:bCs/>
          <w:lang w:val="es-ES_tradnl" w:bidi="es-ES_tradnl"/>
        </w:rPr>
        <w:t xml:space="preserve">poner en valor </w:t>
      </w:r>
      <w:r w:rsidR="006D034B">
        <w:rPr>
          <w:b/>
          <w:bCs/>
          <w:lang w:val="es-ES_tradnl" w:bidi="es-ES_tradnl"/>
        </w:rPr>
        <w:t xml:space="preserve">toda la tecnología del neumático “Michelin no vende goma, sino prestaciones” </w:t>
      </w:r>
      <w:r w:rsidR="00DF1C5C" w:rsidRPr="000F3918">
        <w:rPr>
          <w:b/>
          <w:bCs/>
          <w:lang w:val="es-ES_tradnl" w:bidi="es-ES_tradnl"/>
        </w:rPr>
        <w:t xml:space="preserve">(29 </w:t>
      </w:r>
      <w:r w:rsidR="006D034B">
        <w:rPr>
          <w:b/>
          <w:bCs/>
          <w:lang w:val="es-ES_tradnl" w:bidi="es-ES_tradnl"/>
        </w:rPr>
        <w:t xml:space="preserve">de </w:t>
      </w:r>
      <w:r w:rsidR="00DF1C5C" w:rsidRPr="000F3918">
        <w:rPr>
          <w:b/>
          <w:bCs/>
          <w:lang w:val="es-ES_tradnl" w:bidi="es-ES_tradnl"/>
        </w:rPr>
        <w:t>ju</w:t>
      </w:r>
      <w:r w:rsidR="006D034B">
        <w:rPr>
          <w:b/>
          <w:bCs/>
          <w:lang w:val="es-ES_tradnl" w:bidi="es-ES_tradnl"/>
        </w:rPr>
        <w:t>nio de</w:t>
      </w:r>
      <w:r w:rsidR="00DF1C5C" w:rsidRPr="000F3918">
        <w:rPr>
          <w:b/>
          <w:bCs/>
          <w:lang w:val="es-ES_tradnl" w:bidi="es-ES_tradnl"/>
        </w:rPr>
        <w:t xml:space="preserve"> 2012)</w:t>
      </w:r>
    </w:p>
    <w:p w:rsidR="00DF1C5C" w:rsidRPr="000F3918" w:rsidRDefault="00DF1C5C" w:rsidP="00214C97">
      <w:pPr>
        <w:pStyle w:val="TextoMichelin"/>
        <w:numPr>
          <w:ilvl w:val="0"/>
          <w:numId w:val="4"/>
        </w:numPr>
        <w:jc w:val="left"/>
        <w:rPr>
          <w:b/>
          <w:bCs/>
          <w:lang w:val="es-ES_tradnl" w:bidi="es-ES_tradnl"/>
        </w:rPr>
      </w:pPr>
      <w:r w:rsidRPr="000F3918">
        <w:rPr>
          <w:b/>
          <w:bCs/>
          <w:lang w:val="es-ES_tradnl" w:bidi="es-ES_tradnl"/>
        </w:rPr>
        <w:t>Michelin</w:t>
      </w:r>
      <w:r w:rsidR="007178B3">
        <w:rPr>
          <w:b/>
          <w:bCs/>
          <w:lang w:val="es-ES_tradnl" w:bidi="es-ES_tradnl"/>
        </w:rPr>
        <w:t xml:space="preserve"> lanza su nueva web MICHELIN Restaurants en </w:t>
      </w:r>
      <w:r w:rsidRPr="000F3918">
        <w:rPr>
          <w:b/>
          <w:bCs/>
          <w:lang w:val="es-ES_tradnl" w:bidi="es-ES_tradnl"/>
        </w:rPr>
        <w:t>Franc</w:t>
      </w:r>
      <w:r w:rsidR="007178B3">
        <w:rPr>
          <w:b/>
          <w:bCs/>
          <w:lang w:val="es-ES_tradnl" w:bidi="es-ES_tradnl"/>
        </w:rPr>
        <w:t xml:space="preserve">ia </w:t>
      </w:r>
      <w:r w:rsidR="007178B3">
        <w:rPr>
          <w:b/>
          <w:bCs/>
          <w:lang w:val="es-ES_tradnl" w:bidi="es-ES_tradnl"/>
        </w:rPr>
        <w:br/>
      </w:r>
      <w:r w:rsidRPr="000F3918">
        <w:rPr>
          <w:b/>
          <w:bCs/>
          <w:lang w:val="es-ES_tradnl" w:bidi="es-ES_tradnl"/>
        </w:rPr>
        <w:t xml:space="preserve">(25 </w:t>
      </w:r>
      <w:r w:rsidR="007178B3">
        <w:rPr>
          <w:b/>
          <w:bCs/>
          <w:lang w:val="es-ES_tradnl" w:bidi="es-ES_tradnl"/>
        </w:rPr>
        <w:t xml:space="preserve">de mayo de </w:t>
      </w:r>
      <w:r w:rsidRPr="000F3918">
        <w:rPr>
          <w:b/>
          <w:bCs/>
          <w:lang w:val="es-ES_tradnl" w:bidi="es-ES_tradnl"/>
        </w:rPr>
        <w:t>2012)</w:t>
      </w:r>
    </w:p>
    <w:p w:rsidR="00DF1C5C" w:rsidRPr="000F3918" w:rsidRDefault="007178B3" w:rsidP="00214C97">
      <w:pPr>
        <w:pStyle w:val="TextoMichelin"/>
        <w:numPr>
          <w:ilvl w:val="0"/>
          <w:numId w:val="4"/>
        </w:numPr>
        <w:jc w:val="left"/>
        <w:rPr>
          <w:b/>
          <w:bCs/>
          <w:lang w:val="es-ES_tradnl" w:bidi="es-ES_tradnl"/>
        </w:rPr>
      </w:pPr>
      <w:r>
        <w:rPr>
          <w:b/>
          <w:bCs/>
          <w:lang w:val="es-ES_tradnl" w:bidi="es-ES_tradnl"/>
        </w:rPr>
        <w:t>El</w:t>
      </w:r>
      <w:r w:rsidR="00DF1C5C" w:rsidRPr="000F3918">
        <w:rPr>
          <w:b/>
          <w:bCs/>
          <w:lang w:val="es-ES_tradnl" w:bidi="es-ES_tradnl"/>
        </w:rPr>
        <w:t xml:space="preserve"> </w:t>
      </w:r>
      <w:r>
        <w:rPr>
          <w:b/>
          <w:bCs/>
          <w:lang w:val="es-ES_tradnl" w:bidi="es-ES_tradnl"/>
        </w:rPr>
        <w:t xml:space="preserve">Grupo celebra los 10 años de la </w:t>
      </w:r>
      <w:r w:rsidRPr="00015592">
        <w:rPr>
          <w:b/>
          <w:bCs/>
          <w:lang w:val="es-ES_tradnl" w:bidi="es-ES_tradnl"/>
        </w:rPr>
        <w:t>declaración</w:t>
      </w:r>
      <w:r w:rsidRPr="007178B3">
        <w:rPr>
          <w:b/>
          <w:bCs/>
          <w:i/>
          <w:lang w:val="es-ES_tradnl" w:bidi="es-ES_tradnl"/>
        </w:rPr>
        <w:t xml:space="preserve"> </w:t>
      </w:r>
      <w:r w:rsidR="00E3524A">
        <w:rPr>
          <w:b/>
          <w:bCs/>
          <w:i/>
          <w:lang w:val="es-ES_tradnl" w:bidi="es-ES_tradnl"/>
        </w:rPr>
        <w:t xml:space="preserve">Resultado y Responsabilidad </w:t>
      </w:r>
      <w:r w:rsidR="00DF1C5C" w:rsidRPr="007178B3">
        <w:rPr>
          <w:b/>
          <w:bCs/>
          <w:i/>
          <w:lang w:val="es-ES_tradnl" w:bidi="es-ES_tradnl"/>
        </w:rPr>
        <w:t>Michelin</w:t>
      </w:r>
      <w:r w:rsidR="00DF1C5C" w:rsidRPr="000F3918">
        <w:rPr>
          <w:b/>
          <w:bCs/>
          <w:lang w:val="es-ES_tradnl" w:bidi="es-ES_tradnl"/>
        </w:rPr>
        <w:t xml:space="preserve"> (18 </w:t>
      </w:r>
      <w:r>
        <w:rPr>
          <w:b/>
          <w:bCs/>
          <w:lang w:val="es-ES_tradnl" w:bidi="es-ES_tradnl"/>
        </w:rPr>
        <w:t>de</w:t>
      </w:r>
      <w:r w:rsidR="003062A2">
        <w:rPr>
          <w:b/>
          <w:bCs/>
          <w:lang w:val="es-ES_tradnl" w:bidi="es-ES_tradnl"/>
        </w:rPr>
        <w:t xml:space="preserve"> ju</w:t>
      </w:r>
      <w:r>
        <w:rPr>
          <w:b/>
          <w:bCs/>
          <w:lang w:val="es-ES_tradnl" w:bidi="es-ES_tradnl"/>
        </w:rPr>
        <w:t>nio de</w:t>
      </w:r>
      <w:r w:rsidR="00214C97" w:rsidRPr="000F3918">
        <w:rPr>
          <w:b/>
          <w:bCs/>
          <w:lang w:val="es-ES_tradnl" w:bidi="es-ES_tradnl"/>
        </w:rPr>
        <w:t xml:space="preserve"> </w:t>
      </w:r>
      <w:r w:rsidR="00DF1C5C" w:rsidRPr="000F3918">
        <w:rPr>
          <w:b/>
          <w:bCs/>
          <w:lang w:val="es-ES_tradnl" w:bidi="es-ES_tradnl"/>
        </w:rPr>
        <w:t>2012)</w:t>
      </w:r>
    </w:p>
    <w:p w:rsidR="00DF1C5C" w:rsidRPr="000F3918" w:rsidRDefault="00015592" w:rsidP="00214C97">
      <w:pPr>
        <w:pStyle w:val="TextoMichelin"/>
        <w:numPr>
          <w:ilvl w:val="0"/>
          <w:numId w:val="4"/>
        </w:numPr>
        <w:jc w:val="left"/>
        <w:rPr>
          <w:b/>
          <w:bCs/>
          <w:lang w:val="es-ES_tradnl" w:bidi="es-ES_tradnl"/>
        </w:rPr>
      </w:pPr>
      <w:r>
        <w:rPr>
          <w:b/>
          <w:bCs/>
          <w:lang w:val="es-ES_tradnl" w:bidi="es-ES_tradnl"/>
        </w:rPr>
        <w:t xml:space="preserve">Michelin coloca con éxito un </w:t>
      </w:r>
      <w:r w:rsidR="003062A2">
        <w:rPr>
          <w:b/>
          <w:bCs/>
          <w:lang w:val="es-ES_tradnl" w:bidi="es-ES_tradnl"/>
        </w:rPr>
        <w:t>préstamo obligatorio de</w:t>
      </w:r>
      <w:r w:rsidR="00DF1C5C" w:rsidRPr="000F3918">
        <w:rPr>
          <w:b/>
          <w:bCs/>
          <w:lang w:val="es-ES_tradnl" w:bidi="es-ES_tradnl"/>
        </w:rPr>
        <w:t xml:space="preserve"> 400 mill</w:t>
      </w:r>
      <w:r w:rsidR="003062A2">
        <w:rPr>
          <w:b/>
          <w:bCs/>
          <w:lang w:val="es-ES_tradnl" w:bidi="es-ES_tradnl"/>
        </w:rPr>
        <w:t>o</w:t>
      </w:r>
      <w:r w:rsidR="00DF1C5C" w:rsidRPr="000F3918">
        <w:rPr>
          <w:b/>
          <w:bCs/>
          <w:lang w:val="es-ES_tradnl" w:bidi="es-ES_tradnl"/>
        </w:rPr>
        <w:t>n</w:t>
      </w:r>
      <w:r w:rsidR="003062A2">
        <w:rPr>
          <w:b/>
          <w:bCs/>
          <w:lang w:val="es-ES_tradnl" w:bidi="es-ES_tradnl"/>
        </w:rPr>
        <w:t>e</w:t>
      </w:r>
      <w:r w:rsidR="00DF1C5C" w:rsidRPr="000F3918">
        <w:rPr>
          <w:b/>
          <w:bCs/>
          <w:lang w:val="es-ES_tradnl" w:bidi="es-ES_tradnl"/>
        </w:rPr>
        <w:t>s d</w:t>
      </w:r>
      <w:r w:rsidR="003062A2">
        <w:rPr>
          <w:b/>
          <w:bCs/>
          <w:lang w:val="es-ES_tradnl" w:bidi="es-ES_tradnl"/>
        </w:rPr>
        <w:t xml:space="preserve">e </w:t>
      </w:r>
      <w:r w:rsidR="00DF1C5C" w:rsidRPr="000F3918">
        <w:rPr>
          <w:b/>
          <w:bCs/>
          <w:lang w:val="es-ES_tradnl" w:bidi="es-ES_tradnl"/>
        </w:rPr>
        <w:t xml:space="preserve">euros </w:t>
      </w:r>
      <w:r w:rsidR="00E3524A">
        <w:rPr>
          <w:b/>
          <w:bCs/>
          <w:lang w:val="es-ES_tradnl" w:bidi="es-ES_tradnl"/>
        </w:rPr>
        <w:br/>
      </w:r>
      <w:r w:rsidR="003062A2">
        <w:rPr>
          <w:b/>
          <w:bCs/>
          <w:lang w:val="es-ES_tradnl" w:bidi="es-ES_tradnl"/>
        </w:rPr>
        <w:t>a</w:t>
      </w:r>
      <w:r w:rsidR="00214C97" w:rsidRPr="000F3918">
        <w:rPr>
          <w:b/>
          <w:bCs/>
          <w:lang w:val="es-ES_tradnl" w:bidi="es-ES_tradnl"/>
        </w:rPr>
        <w:t xml:space="preserve"> </w:t>
      </w:r>
      <w:r w:rsidR="00DF1C5C" w:rsidRPr="000F3918">
        <w:rPr>
          <w:b/>
          <w:bCs/>
          <w:lang w:val="es-ES_tradnl" w:bidi="es-ES_tradnl"/>
        </w:rPr>
        <w:t>7 a</w:t>
      </w:r>
      <w:r w:rsidR="003062A2">
        <w:rPr>
          <w:b/>
          <w:bCs/>
          <w:lang w:val="es-ES_tradnl" w:bidi="es-ES_tradnl"/>
        </w:rPr>
        <w:t>ño</w:t>
      </w:r>
      <w:r w:rsidR="00DF1C5C" w:rsidRPr="000F3918">
        <w:rPr>
          <w:b/>
          <w:bCs/>
          <w:lang w:val="es-ES_tradnl" w:bidi="es-ES_tradnl"/>
        </w:rPr>
        <w:t xml:space="preserve">s (19 </w:t>
      </w:r>
      <w:r w:rsidR="003062A2">
        <w:rPr>
          <w:b/>
          <w:bCs/>
          <w:lang w:val="es-ES_tradnl" w:bidi="es-ES_tradnl"/>
        </w:rPr>
        <w:t>de junio de</w:t>
      </w:r>
      <w:r w:rsidR="003062A2" w:rsidRPr="000F3918">
        <w:rPr>
          <w:b/>
          <w:bCs/>
          <w:lang w:val="es-ES_tradnl" w:bidi="es-ES_tradnl"/>
        </w:rPr>
        <w:t xml:space="preserve"> </w:t>
      </w:r>
      <w:r w:rsidR="00DF1C5C" w:rsidRPr="000F3918">
        <w:rPr>
          <w:b/>
          <w:bCs/>
          <w:lang w:val="es-ES_tradnl" w:bidi="es-ES_tradnl"/>
        </w:rPr>
        <w:t>2012)</w:t>
      </w:r>
    </w:p>
    <w:p w:rsidR="00DF1C5C" w:rsidRPr="000F3918" w:rsidRDefault="00DF1C5C" w:rsidP="00214C97">
      <w:pPr>
        <w:pStyle w:val="TextoMichelin"/>
        <w:numPr>
          <w:ilvl w:val="0"/>
          <w:numId w:val="4"/>
        </w:numPr>
        <w:jc w:val="left"/>
        <w:rPr>
          <w:b/>
          <w:bCs/>
          <w:lang w:val="es-ES_tradnl" w:bidi="es-ES_tradnl"/>
        </w:rPr>
      </w:pPr>
      <w:r w:rsidRPr="000F3918">
        <w:rPr>
          <w:b/>
          <w:bCs/>
          <w:lang w:val="es-ES_tradnl" w:bidi="es-ES_tradnl"/>
        </w:rPr>
        <w:t xml:space="preserve">Michel Rollier </w:t>
      </w:r>
      <w:r w:rsidR="005D1E94">
        <w:rPr>
          <w:b/>
          <w:bCs/>
          <w:lang w:val="es-ES_tradnl" w:bidi="es-ES_tradnl"/>
        </w:rPr>
        <w:t xml:space="preserve">pasa el relevo a Jean-Dominique Senard en la Asamblea General </w:t>
      </w:r>
      <w:r w:rsidR="005D1E94">
        <w:rPr>
          <w:b/>
          <w:bCs/>
          <w:lang w:val="es-ES_tradnl" w:bidi="es-ES_tradnl"/>
        </w:rPr>
        <w:br/>
        <w:t xml:space="preserve">del </w:t>
      </w:r>
      <w:r w:rsidRPr="000F3918">
        <w:rPr>
          <w:b/>
          <w:bCs/>
          <w:lang w:val="es-ES_tradnl" w:bidi="es-ES_tradnl"/>
        </w:rPr>
        <w:t xml:space="preserve">11 </w:t>
      </w:r>
      <w:r w:rsidR="005D1E94">
        <w:rPr>
          <w:b/>
          <w:bCs/>
          <w:lang w:val="es-ES_tradnl" w:bidi="es-ES_tradnl"/>
        </w:rPr>
        <w:t xml:space="preserve">de mayo de </w:t>
      </w:r>
      <w:r w:rsidRPr="000F3918">
        <w:rPr>
          <w:b/>
          <w:bCs/>
          <w:lang w:val="es-ES_tradnl" w:bidi="es-ES_tradnl"/>
        </w:rPr>
        <w:t>2012</w:t>
      </w:r>
    </w:p>
    <w:p w:rsidR="006B35D7" w:rsidRDefault="00DF1C5C" w:rsidP="00214C97">
      <w:pPr>
        <w:pStyle w:val="TextoMichelin"/>
        <w:numPr>
          <w:ilvl w:val="0"/>
          <w:numId w:val="4"/>
        </w:numPr>
        <w:jc w:val="left"/>
        <w:rPr>
          <w:b/>
          <w:bCs/>
          <w:lang w:val="es-ES_tradnl" w:bidi="es-ES_tradnl"/>
        </w:rPr>
      </w:pPr>
      <w:r w:rsidRPr="000F3918">
        <w:rPr>
          <w:b/>
          <w:bCs/>
          <w:lang w:val="es-ES_tradnl" w:bidi="es-ES_tradnl"/>
        </w:rPr>
        <w:t xml:space="preserve">Michelin </w:t>
      </w:r>
      <w:r w:rsidR="005D1E94">
        <w:rPr>
          <w:b/>
          <w:bCs/>
          <w:lang w:val="es-ES_tradnl" w:bidi="es-ES_tradnl"/>
        </w:rPr>
        <w:t xml:space="preserve">actualiza sus previsiones para 2015 </w:t>
      </w:r>
      <w:r w:rsidRPr="000F3918">
        <w:rPr>
          <w:b/>
          <w:bCs/>
          <w:lang w:val="es-ES_tradnl" w:bidi="es-ES_tradnl"/>
        </w:rPr>
        <w:t xml:space="preserve">(19 </w:t>
      </w:r>
      <w:r w:rsidR="005D1E94">
        <w:rPr>
          <w:b/>
          <w:bCs/>
          <w:lang w:val="es-ES_tradnl" w:bidi="es-ES_tradnl"/>
        </w:rPr>
        <w:t xml:space="preserve">de </w:t>
      </w:r>
      <w:r w:rsidRPr="000F3918">
        <w:rPr>
          <w:b/>
          <w:bCs/>
          <w:lang w:val="es-ES_tradnl" w:bidi="es-ES_tradnl"/>
        </w:rPr>
        <w:t>sept</w:t>
      </w:r>
      <w:r w:rsidR="005D1E94">
        <w:rPr>
          <w:b/>
          <w:bCs/>
          <w:lang w:val="es-ES_tradnl" w:bidi="es-ES_tradnl"/>
        </w:rPr>
        <w:t>i</w:t>
      </w:r>
      <w:r w:rsidRPr="000F3918">
        <w:rPr>
          <w:b/>
          <w:bCs/>
          <w:lang w:val="es-ES_tradnl" w:bidi="es-ES_tradnl"/>
        </w:rPr>
        <w:t xml:space="preserve">embre </w:t>
      </w:r>
      <w:r w:rsidR="005D1E94">
        <w:rPr>
          <w:b/>
          <w:bCs/>
          <w:lang w:val="es-ES_tradnl" w:bidi="es-ES_tradnl"/>
        </w:rPr>
        <w:t xml:space="preserve">de </w:t>
      </w:r>
      <w:r w:rsidRPr="000F3918">
        <w:rPr>
          <w:b/>
          <w:bCs/>
          <w:lang w:val="es-ES_tradnl" w:bidi="es-ES_tradnl"/>
        </w:rPr>
        <w:t>2012)</w:t>
      </w:r>
      <w:r w:rsidR="005D1E94">
        <w:rPr>
          <w:b/>
          <w:bCs/>
          <w:lang w:val="es-ES_tradnl" w:bidi="es-ES_tradnl"/>
        </w:rPr>
        <w:t>.</w:t>
      </w:r>
    </w:p>
    <w:p w:rsidR="00DF1C5C" w:rsidRPr="000F3918" w:rsidRDefault="006B35D7" w:rsidP="00214C97">
      <w:pPr>
        <w:pStyle w:val="TextoMichelin"/>
        <w:numPr>
          <w:ilvl w:val="0"/>
          <w:numId w:val="4"/>
        </w:numPr>
        <w:jc w:val="left"/>
        <w:rPr>
          <w:b/>
          <w:bCs/>
          <w:lang w:val="es-ES_tradnl" w:bidi="es-ES_tradnl"/>
        </w:rPr>
      </w:pPr>
      <w:r>
        <w:rPr>
          <w:b/>
          <w:bCs/>
          <w:lang w:val="es-ES_tradnl" w:bidi="es-ES_tradnl"/>
        </w:rPr>
        <w:t xml:space="preserve">Primer neumático de camión fabricado en la nueva factoría </w:t>
      </w:r>
      <w:r w:rsidRPr="000F3918">
        <w:rPr>
          <w:b/>
          <w:bCs/>
          <w:lang w:val="es-ES_tradnl" w:bidi="es-ES_tradnl"/>
        </w:rPr>
        <w:t>Shenyang 2 en Chin</w:t>
      </w:r>
      <w:r>
        <w:rPr>
          <w:b/>
          <w:bCs/>
          <w:lang w:val="es-ES_tradnl" w:bidi="es-ES_tradnl"/>
        </w:rPr>
        <w:t>a</w:t>
      </w:r>
      <w:r w:rsidRPr="000F3918">
        <w:rPr>
          <w:b/>
          <w:bCs/>
          <w:lang w:val="es-ES_tradnl" w:bidi="es-ES_tradnl"/>
        </w:rPr>
        <w:t xml:space="preserve"> (18 </w:t>
      </w:r>
      <w:r>
        <w:rPr>
          <w:b/>
          <w:bCs/>
          <w:lang w:val="es-ES_tradnl" w:bidi="es-ES_tradnl"/>
        </w:rPr>
        <w:t xml:space="preserve">de </w:t>
      </w:r>
      <w:r w:rsidRPr="000F3918">
        <w:rPr>
          <w:b/>
          <w:bCs/>
          <w:lang w:val="es-ES_tradnl" w:bidi="es-ES_tradnl"/>
        </w:rPr>
        <w:t>sept</w:t>
      </w:r>
      <w:r>
        <w:rPr>
          <w:b/>
          <w:bCs/>
          <w:lang w:val="es-ES_tradnl" w:bidi="es-ES_tradnl"/>
        </w:rPr>
        <w:t>i</w:t>
      </w:r>
      <w:r w:rsidRPr="000F3918">
        <w:rPr>
          <w:b/>
          <w:bCs/>
          <w:lang w:val="es-ES_tradnl" w:bidi="es-ES_tradnl"/>
        </w:rPr>
        <w:t xml:space="preserve">embre </w:t>
      </w:r>
      <w:r>
        <w:rPr>
          <w:b/>
          <w:bCs/>
          <w:lang w:val="es-ES_tradnl" w:bidi="es-ES_tradnl"/>
        </w:rPr>
        <w:t xml:space="preserve">de </w:t>
      </w:r>
      <w:r w:rsidRPr="000F3918">
        <w:rPr>
          <w:b/>
          <w:bCs/>
          <w:lang w:val="es-ES_tradnl" w:bidi="es-ES_tradnl"/>
        </w:rPr>
        <w:t>2012)</w:t>
      </w:r>
    </w:p>
    <w:p w:rsidR="00DF1C5C" w:rsidRPr="000F3918" w:rsidRDefault="00DF1C5C" w:rsidP="00214C97">
      <w:pPr>
        <w:pStyle w:val="TextoMichelin"/>
        <w:numPr>
          <w:ilvl w:val="0"/>
          <w:numId w:val="4"/>
        </w:numPr>
        <w:jc w:val="left"/>
        <w:rPr>
          <w:b/>
          <w:bCs/>
          <w:lang w:val="es-ES_tradnl" w:bidi="es-ES_tradnl"/>
        </w:rPr>
      </w:pPr>
      <w:r w:rsidRPr="000F3918">
        <w:rPr>
          <w:b/>
          <w:bCs/>
          <w:lang w:val="es-ES_tradnl" w:bidi="es-ES_tradnl"/>
        </w:rPr>
        <w:t xml:space="preserve">Michelin </w:t>
      </w:r>
      <w:r w:rsidR="004A759C">
        <w:rPr>
          <w:b/>
          <w:bCs/>
          <w:lang w:val="es-ES_tradnl" w:bidi="es-ES_tradnl"/>
        </w:rPr>
        <w:t xml:space="preserve">presenta su nueva oferta de neumáticos de camión en el </w:t>
      </w:r>
      <w:r w:rsidRPr="000F3918">
        <w:rPr>
          <w:b/>
          <w:bCs/>
          <w:lang w:val="es-ES_tradnl" w:bidi="es-ES_tradnl"/>
        </w:rPr>
        <w:t>Sal</w:t>
      </w:r>
      <w:r w:rsidR="004A759C">
        <w:rPr>
          <w:b/>
          <w:bCs/>
          <w:lang w:val="es-ES_tradnl" w:bidi="es-ES_tradnl"/>
        </w:rPr>
        <w:t>ó</w:t>
      </w:r>
      <w:r w:rsidRPr="000F3918">
        <w:rPr>
          <w:b/>
          <w:bCs/>
          <w:lang w:val="es-ES_tradnl" w:bidi="es-ES_tradnl"/>
        </w:rPr>
        <w:t>n</w:t>
      </w:r>
      <w:r w:rsidR="00214C97" w:rsidRPr="000F3918">
        <w:rPr>
          <w:b/>
          <w:bCs/>
          <w:lang w:val="es-ES_tradnl" w:bidi="es-ES_tradnl"/>
        </w:rPr>
        <w:t xml:space="preserve"> </w:t>
      </w:r>
      <w:r w:rsidRPr="000F3918">
        <w:rPr>
          <w:b/>
          <w:bCs/>
          <w:lang w:val="es-ES_tradnl" w:bidi="es-ES_tradnl"/>
        </w:rPr>
        <w:t>IAA d</w:t>
      </w:r>
      <w:r w:rsidR="004A759C">
        <w:rPr>
          <w:b/>
          <w:bCs/>
          <w:lang w:val="es-ES_tradnl" w:bidi="es-ES_tradnl"/>
        </w:rPr>
        <w:t xml:space="preserve">e Hannover </w:t>
      </w:r>
      <w:r w:rsidRPr="000F3918">
        <w:rPr>
          <w:b/>
          <w:bCs/>
          <w:lang w:val="es-ES_tradnl" w:bidi="es-ES_tradnl"/>
        </w:rPr>
        <w:t>(20</w:t>
      </w:r>
      <w:r w:rsidR="004A759C" w:rsidRPr="004A759C">
        <w:rPr>
          <w:b/>
          <w:bCs/>
          <w:lang w:val="es-ES_tradnl" w:bidi="es-ES_tradnl"/>
        </w:rPr>
        <w:t xml:space="preserve"> </w:t>
      </w:r>
      <w:r w:rsidR="004A759C">
        <w:rPr>
          <w:b/>
          <w:bCs/>
          <w:lang w:val="es-ES_tradnl" w:bidi="es-ES_tradnl"/>
        </w:rPr>
        <w:t xml:space="preserve">de </w:t>
      </w:r>
      <w:r w:rsidR="004A759C" w:rsidRPr="000F3918">
        <w:rPr>
          <w:b/>
          <w:bCs/>
          <w:lang w:val="es-ES_tradnl" w:bidi="es-ES_tradnl"/>
        </w:rPr>
        <w:t>sept</w:t>
      </w:r>
      <w:r w:rsidR="004A759C">
        <w:rPr>
          <w:b/>
          <w:bCs/>
          <w:lang w:val="es-ES_tradnl" w:bidi="es-ES_tradnl"/>
        </w:rPr>
        <w:t>i</w:t>
      </w:r>
      <w:r w:rsidR="004A759C" w:rsidRPr="000F3918">
        <w:rPr>
          <w:b/>
          <w:bCs/>
          <w:lang w:val="es-ES_tradnl" w:bidi="es-ES_tradnl"/>
        </w:rPr>
        <w:t xml:space="preserve">embre </w:t>
      </w:r>
      <w:r w:rsidR="004A759C">
        <w:rPr>
          <w:b/>
          <w:bCs/>
          <w:lang w:val="es-ES_tradnl" w:bidi="es-ES_tradnl"/>
        </w:rPr>
        <w:t xml:space="preserve">de </w:t>
      </w:r>
      <w:r w:rsidRPr="000F3918">
        <w:rPr>
          <w:b/>
          <w:bCs/>
          <w:lang w:val="es-ES_tradnl" w:bidi="es-ES_tradnl"/>
        </w:rPr>
        <w:t>2012)</w:t>
      </w:r>
    </w:p>
    <w:p w:rsidR="00DF1C5C" w:rsidRPr="000F3918" w:rsidRDefault="00DF1C5C" w:rsidP="00214C97">
      <w:pPr>
        <w:pStyle w:val="TextoMichelin"/>
        <w:numPr>
          <w:ilvl w:val="0"/>
          <w:numId w:val="4"/>
        </w:numPr>
        <w:jc w:val="left"/>
        <w:rPr>
          <w:b/>
          <w:bCs/>
          <w:lang w:val="es-ES_tradnl" w:bidi="es-ES_tradnl"/>
        </w:rPr>
      </w:pPr>
      <w:r w:rsidRPr="000F3918">
        <w:rPr>
          <w:b/>
          <w:bCs/>
          <w:lang w:val="es-ES_tradnl" w:bidi="es-ES_tradnl"/>
        </w:rPr>
        <w:t xml:space="preserve">Michelin </w:t>
      </w:r>
      <w:r w:rsidR="004A759C">
        <w:rPr>
          <w:b/>
          <w:bCs/>
          <w:lang w:val="es-ES_tradnl" w:bidi="es-ES_tradnl"/>
        </w:rPr>
        <w:t>desvela las novedades para 2013 de su</w:t>
      </w:r>
      <w:r w:rsidR="00DF702D">
        <w:rPr>
          <w:b/>
          <w:bCs/>
          <w:lang w:val="es-ES_tradnl" w:bidi="es-ES_tradnl"/>
        </w:rPr>
        <w:t xml:space="preserve"> gama de ingeniería civil en el </w:t>
      </w:r>
      <w:r w:rsidRPr="000F3918">
        <w:rPr>
          <w:b/>
          <w:bCs/>
          <w:lang w:val="es-ES_tradnl" w:bidi="es-ES_tradnl"/>
        </w:rPr>
        <w:t>Sal</w:t>
      </w:r>
      <w:r w:rsidR="00DF702D">
        <w:rPr>
          <w:b/>
          <w:bCs/>
          <w:lang w:val="es-ES_tradnl" w:bidi="es-ES_tradnl"/>
        </w:rPr>
        <w:t>ó</w:t>
      </w:r>
      <w:r w:rsidRPr="000F3918">
        <w:rPr>
          <w:b/>
          <w:bCs/>
          <w:lang w:val="es-ES_tradnl" w:bidi="es-ES_tradnl"/>
        </w:rPr>
        <w:t>n</w:t>
      </w:r>
      <w:r w:rsidR="00214C97" w:rsidRPr="000F3918">
        <w:rPr>
          <w:b/>
          <w:bCs/>
          <w:lang w:val="es-ES_tradnl" w:bidi="es-ES_tradnl"/>
        </w:rPr>
        <w:t xml:space="preserve"> </w:t>
      </w:r>
      <w:r w:rsidRPr="000F3918">
        <w:rPr>
          <w:b/>
          <w:bCs/>
          <w:lang w:val="es-ES_tradnl" w:bidi="es-ES_tradnl"/>
        </w:rPr>
        <w:t xml:space="preserve">MINExpo de Las Vegas, </w:t>
      </w:r>
      <w:r w:rsidR="00DF702D">
        <w:rPr>
          <w:b/>
          <w:bCs/>
          <w:lang w:val="es-ES_tradnl" w:bidi="es-ES_tradnl"/>
        </w:rPr>
        <w:t>Estados Unidos</w:t>
      </w:r>
      <w:r w:rsidRPr="000F3918">
        <w:rPr>
          <w:b/>
          <w:bCs/>
          <w:lang w:val="es-ES_tradnl" w:bidi="es-ES_tradnl"/>
        </w:rPr>
        <w:t xml:space="preserve"> (24</w:t>
      </w:r>
      <w:r w:rsidR="00DF702D" w:rsidRPr="00DF702D">
        <w:rPr>
          <w:b/>
          <w:bCs/>
          <w:lang w:val="es-ES_tradnl" w:bidi="es-ES_tradnl"/>
        </w:rPr>
        <w:t xml:space="preserve"> </w:t>
      </w:r>
      <w:r w:rsidR="00DF702D">
        <w:rPr>
          <w:b/>
          <w:bCs/>
          <w:lang w:val="es-ES_tradnl" w:bidi="es-ES_tradnl"/>
        </w:rPr>
        <w:t xml:space="preserve">de </w:t>
      </w:r>
      <w:r w:rsidR="00DF702D" w:rsidRPr="000F3918">
        <w:rPr>
          <w:b/>
          <w:bCs/>
          <w:lang w:val="es-ES_tradnl" w:bidi="es-ES_tradnl"/>
        </w:rPr>
        <w:t>sept</w:t>
      </w:r>
      <w:r w:rsidR="00DF702D">
        <w:rPr>
          <w:b/>
          <w:bCs/>
          <w:lang w:val="es-ES_tradnl" w:bidi="es-ES_tradnl"/>
        </w:rPr>
        <w:t>i</w:t>
      </w:r>
      <w:r w:rsidR="00DF702D" w:rsidRPr="000F3918">
        <w:rPr>
          <w:b/>
          <w:bCs/>
          <w:lang w:val="es-ES_tradnl" w:bidi="es-ES_tradnl"/>
        </w:rPr>
        <w:t xml:space="preserve">embre </w:t>
      </w:r>
      <w:r w:rsidR="00DF702D">
        <w:rPr>
          <w:b/>
          <w:bCs/>
          <w:lang w:val="es-ES_tradnl" w:bidi="es-ES_tradnl"/>
        </w:rPr>
        <w:t xml:space="preserve">de </w:t>
      </w:r>
      <w:r w:rsidRPr="000F3918">
        <w:rPr>
          <w:b/>
          <w:bCs/>
          <w:lang w:val="es-ES_tradnl" w:bidi="es-ES_tradnl"/>
        </w:rPr>
        <w:t>2012)</w:t>
      </w:r>
    </w:p>
    <w:p w:rsidR="00DF1C5C" w:rsidRPr="000F3918" w:rsidRDefault="00DF1C5C" w:rsidP="00214C97">
      <w:pPr>
        <w:pStyle w:val="TextoMichelin"/>
        <w:numPr>
          <w:ilvl w:val="0"/>
          <w:numId w:val="4"/>
        </w:numPr>
        <w:jc w:val="left"/>
        <w:rPr>
          <w:b/>
          <w:bCs/>
          <w:lang w:val="es-ES_tradnl" w:bidi="es-ES_tradnl"/>
        </w:rPr>
      </w:pPr>
      <w:r w:rsidRPr="000F3918">
        <w:rPr>
          <w:b/>
          <w:bCs/>
          <w:lang w:val="es-ES_tradnl" w:bidi="es-ES_tradnl"/>
        </w:rPr>
        <w:t>C</w:t>
      </w:r>
      <w:r w:rsidR="00A61AD3">
        <w:rPr>
          <w:b/>
          <w:bCs/>
          <w:lang w:val="es-ES_tradnl" w:bidi="es-ES_tradnl"/>
        </w:rPr>
        <w:t>ampeonato del Mundo de Rally</w:t>
      </w:r>
      <w:bookmarkStart w:id="0" w:name="_GoBack"/>
      <w:bookmarkEnd w:id="0"/>
      <w:r w:rsidRPr="000F3918">
        <w:rPr>
          <w:b/>
          <w:bCs/>
          <w:lang w:val="es-ES_tradnl" w:bidi="es-ES_tradnl"/>
        </w:rPr>
        <w:t>:  20</w:t>
      </w:r>
      <w:r w:rsidR="00DF702D">
        <w:rPr>
          <w:b/>
          <w:bCs/>
          <w:lang w:val="es-ES_tradnl" w:bidi="es-ES_tradnl"/>
        </w:rPr>
        <w:t xml:space="preserve">º </w:t>
      </w:r>
      <w:r w:rsidRPr="000F3918">
        <w:rPr>
          <w:b/>
          <w:bCs/>
          <w:lang w:val="es-ES_tradnl" w:bidi="es-ES_tradnl"/>
        </w:rPr>
        <w:t xml:space="preserve"> </w:t>
      </w:r>
      <w:r w:rsidR="00DF702D">
        <w:rPr>
          <w:b/>
          <w:bCs/>
          <w:lang w:val="es-ES_tradnl" w:bidi="es-ES_tradnl"/>
        </w:rPr>
        <w:t>título en “pilotos” y 22º en “constructores”</w:t>
      </w:r>
      <w:r w:rsidR="00214C97" w:rsidRPr="000F3918">
        <w:rPr>
          <w:b/>
          <w:bCs/>
          <w:lang w:val="es-ES_tradnl" w:bidi="es-ES_tradnl"/>
        </w:rPr>
        <w:t xml:space="preserve"> </w:t>
      </w:r>
      <w:r w:rsidR="00944A2A">
        <w:rPr>
          <w:b/>
          <w:bCs/>
          <w:lang w:val="es-ES_tradnl" w:bidi="es-ES_tradnl"/>
        </w:rPr>
        <w:t>para</w:t>
      </w:r>
      <w:r w:rsidRPr="000F3918">
        <w:rPr>
          <w:b/>
          <w:bCs/>
          <w:lang w:val="es-ES_tradnl" w:bidi="es-ES_tradnl"/>
        </w:rPr>
        <w:t xml:space="preserve"> Michelin (9 </w:t>
      </w:r>
      <w:r w:rsidR="00944A2A">
        <w:rPr>
          <w:b/>
          <w:bCs/>
          <w:lang w:val="es-ES_tradnl" w:bidi="es-ES_tradnl"/>
        </w:rPr>
        <w:t xml:space="preserve">de </w:t>
      </w:r>
      <w:r w:rsidRPr="000F3918">
        <w:rPr>
          <w:b/>
          <w:bCs/>
          <w:lang w:val="es-ES_tradnl" w:bidi="es-ES_tradnl"/>
        </w:rPr>
        <w:t>oct</w:t>
      </w:r>
      <w:r w:rsidR="00944A2A">
        <w:rPr>
          <w:b/>
          <w:bCs/>
          <w:lang w:val="es-ES_tradnl" w:bidi="es-ES_tradnl"/>
        </w:rPr>
        <w:t>u</w:t>
      </w:r>
      <w:r w:rsidRPr="000F3918">
        <w:rPr>
          <w:b/>
          <w:bCs/>
          <w:lang w:val="es-ES_tradnl" w:bidi="es-ES_tradnl"/>
        </w:rPr>
        <w:t xml:space="preserve">bre </w:t>
      </w:r>
      <w:r w:rsidR="00944A2A">
        <w:rPr>
          <w:b/>
          <w:bCs/>
          <w:lang w:val="es-ES_tradnl" w:bidi="es-ES_tradnl"/>
        </w:rPr>
        <w:t xml:space="preserve">de </w:t>
      </w:r>
      <w:r w:rsidRPr="000F3918">
        <w:rPr>
          <w:b/>
          <w:bCs/>
          <w:lang w:val="es-ES_tradnl" w:bidi="es-ES_tradnl"/>
        </w:rPr>
        <w:t>2012)</w:t>
      </w:r>
    </w:p>
    <w:p w:rsidR="00DF1C5C" w:rsidRPr="000F3918" w:rsidRDefault="00DF1C5C" w:rsidP="00214C97">
      <w:pPr>
        <w:pStyle w:val="TextoMichelin"/>
        <w:numPr>
          <w:ilvl w:val="0"/>
          <w:numId w:val="4"/>
        </w:numPr>
        <w:jc w:val="left"/>
        <w:rPr>
          <w:b/>
          <w:bCs/>
          <w:lang w:val="es-ES_tradnl" w:bidi="es-ES_tradnl"/>
        </w:rPr>
      </w:pPr>
      <w:r w:rsidRPr="000F3918">
        <w:rPr>
          <w:b/>
          <w:bCs/>
          <w:lang w:val="es-ES_tradnl" w:bidi="es-ES_tradnl"/>
        </w:rPr>
        <w:t xml:space="preserve">Michelin </w:t>
      </w:r>
      <w:r w:rsidR="00944A2A">
        <w:rPr>
          <w:b/>
          <w:bCs/>
          <w:lang w:val="es-ES_tradnl" w:bidi="es-ES_tradnl"/>
        </w:rPr>
        <w:t xml:space="preserve">organiza una Jornada </w:t>
      </w:r>
      <w:r w:rsidR="006B35D7">
        <w:rPr>
          <w:b/>
          <w:bCs/>
          <w:lang w:val="es-ES_tradnl" w:bidi="es-ES_tradnl"/>
        </w:rPr>
        <w:t>para Inversores</w:t>
      </w:r>
      <w:r w:rsidR="00944A2A">
        <w:rPr>
          <w:b/>
          <w:bCs/>
          <w:lang w:val="es-ES_tradnl" w:bidi="es-ES_tradnl"/>
        </w:rPr>
        <w:t xml:space="preserve"> en el Centro de Tecnología</w:t>
      </w:r>
      <w:r w:rsidR="00A61AD3">
        <w:rPr>
          <w:b/>
          <w:bCs/>
          <w:lang w:val="es-ES_tradnl" w:bidi="es-ES_tradnl"/>
        </w:rPr>
        <w:t xml:space="preserve"> </w:t>
      </w:r>
      <w:r w:rsidR="00944A2A">
        <w:rPr>
          <w:b/>
          <w:bCs/>
          <w:lang w:val="es-ES_tradnl" w:bidi="es-ES_tradnl"/>
        </w:rPr>
        <w:t>de Ladoux</w:t>
      </w:r>
      <w:r w:rsidRPr="000F3918">
        <w:rPr>
          <w:b/>
          <w:bCs/>
          <w:lang w:val="es-ES_tradnl" w:bidi="es-ES_tradnl"/>
        </w:rPr>
        <w:t>, Franc</w:t>
      </w:r>
      <w:r w:rsidR="00944A2A">
        <w:rPr>
          <w:b/>
          <w:bCs/>
          <w:lang w:val="es-ES_tradnl" w:bidi="es-ES_tradnl"/>
        </w:rPr>
        <w:t>ia</w:t>
      </w:r>
      <w:r w:rsidRPr="000F3918">
        <w:rPr>
          <w:b/>
          <w:bCs/>
          <w:lang w:val="es-ES_tradnl" w:bidi="es-ES_tradnl"/>
        </w:rPr>
        <w:t xml:space="preserve">  (5 </w:t>
      </w:r>
      <w:r w:rsidR="00944A2A">
        <w:rPr>
          <w:b/>
          <w:bCs/>
          <w:lang w:val="es-ES_tradnl" w:bidi="es-ES_tradnl"/>
        </w:rPr>
        <w:t xml:space="preserve">de </w:t>
      </w:r>
      <w:r w:rsidRPr="000F3918">
        <w:rPr>
          <w:b/>
          <w:bCs/>
          <w:lang w:val="es-ES_tradnl" w:bidi="es-ES_tradnl"/>
        </w:rPr>
        <w:t>nov</w:t>
      </w:r>
      <w:r w:rsidR="00944A2A">
        <w:rPr>
          <w:b/>
          <w:bCs/>
          <w:lang w:val="es-ES_tradnl" w:bidi="es-ES_tradnl"/>
        </w:rPr>
        <w:t>i</w:t>
      </w:r>
      <w:r w:rsidRPr="000F3918">
        <w:rPr>
          <w:b/>
          <w:bCs/>
          <w:lang w:val="es-ES_tradnl" w:bidi="es-ES_tradnl"/>
        </w:rPr>
        <w:t xml:space="preserve">embre </w:t>
      </w:r>
      <w:r w:rsidR="00944A2A">
        <w:rPr>
          <w:b/>
          <w:bCs/>
          <w:lang w:val="es-ES_tradnl" w:bidi="es-ES_tradnl"/>
        </w:rPr>
        <w:t xml:space="preserve">de </w:t>
      </w:r>
      <w:r w:rsidRPr="000F3918">
        <w:rPr>
          <w:b/>
          <w:bCs/>
          <w:lang w:val="es-ES_tradnl" w:bidi="es-ES_tradnl"/>
        </w:rPr>
        <w:t>2012)</w:t>
      </w:r>
    </w:p>
    <w:p w:rsidR="00913057" w:rsidRPr="000F3918" w:rsidRDefault="00913057" w:rsidP="00214C97">
      <w:pPr>
        <w:pStyle w:val="TextoMichelin"/>
        <w:ind w:left="720"/>
        <w:jc w:val="left"/>
        <w:rPr>
          <w:i/>
          <w:lang w:val="es-ES_tradnl"/>
        </w:rPr>
      </w:pPr>
    </w:p>
    <w:p w:rsidR="00913057" w:rsidRPr="000F3918" w:rsidRDefault="00913057" w:rsidP="00913057">
      <w:pPr>
        <w:keepNext/>
        <w:pBdr>
          <w:top w:val="single" w:sz="4" w:space="1" w:color="auto"/>
          <w:left w:val="single" w:sz="4" w:space="4" w:color="auto"/>
          <w:bottom w:val="single" w:sz="4" w:space="1" w:color="auto"/>
          <w:right w:val="single" w:sz="4" w:space="4" w:color="auto"/>
        </w:pBdr>
        <w:jc w:val="center"/>
        <w:rPr>
          <w:rFonts w:ascii="Arial" w:hAnsi="Arial" w:cs="Arial"/>
          <w:sz w:val="21"/>
          <w:u w:val="single"/>
        </w:rPr>
      </w:pPr>
      <w:r w:rsidRPr="000F3918">
        <w:rPr>
          <w:rFonts w:ascii="Arial" w:hAnsi="Arial" w:cs="Arial"/>
          <w:sz w:val="21"/>
        </w:rPr>
        <w:t>La lista completa de los hechos destacados de 201</w:t>
      </w:r>
      <w:r w:rsidR="00FE65E9">
        <w:rPr>
          <w:rFonts w:ascii="Arial" w:hAnsi="Arial" w:cs="Arial"/>
          <w:sz w:val="21"/>
        </w:rPr>
        <w:t>2</w:t>
      </w:r>
      <w:r w:rsidRPr="000F3918">
        <w:rPr>
          <w:rFonts w:ascii="Arial" w:hAnsi="Arial" w:cs="Arial"/>
          <w:sz w:val="21"/>
        </w:rPr>
        <w:t xml:space="preserve"> está disponible en la web del Grupo: </w:t>
      </w:r>
      <w:hyperlink r:id="rId8" w:history="1">
        <w:r w:rsidRPr="000F3918">
          <w:rPr>
            <w:rStyle w:val="Hyperlink"/>
            <w:rFonts w:ascii="Arial" w:hAnsi="Arial" w:cs="Arial"/>
            <w:sz w:val="21"/>
          </w:rPr>
          <w:t>www.michelin.com/corporate</w:t>
        </w:r>
      </w:hyperlink>
      <w:r w:rsidRPr="000F3918">
        <w:rPr>
          <w:rFonts w:ascii="Arial" w:hAnsi="Arial" w:cs="Arial"/>
          <w:sz w:val="21"/>
          <w:u w:val="single"/>
        </w:rPr>
        <w:t>/finance</w:t>
      </w:r>
    </w:p>
    <w:p w:rsidR="00913057" w:rsidRPr="000F3918" w:rsidRDefault="00913057" w:rsidP="00913057">
      <w:pPr>
        <w:keepNext/>
        <w:tabs>
          <w:tab w:val="left" w:pos="360"/>
        </w:tabs>
        <w:jc w:val="center"/>
        <w:rPr>
          <w:rFonts w:ascii="Verdana" w:hAnsi="Verdana" w:cs="Arial"/>
          <w:b/>
          <w:sz w:val="16"/>
        </w:rPr>
      </w:pPr>
    </w:p>
    <w:p w:rsidR="00DA4E4A" w:rsidRDefault="00DA4E4A" w:rsidP="00913057">
      <w:pPr>
        <w:keepNext/>
        <w:tabs>
          <w:tab w:val="left" w:pos="360"/>
        </w:tabs>
        <w:jc w:val="center"/>
        <w:rPr>
          <w:rFonts w:ascii="Arial" w:hAnsi="Arial" w:cs="Arial"/>
          <w:b/>
          <w:sz w:val="21"/>
        </w:rPr>
      </w:pPr>
    </w:p>
    <w:p w:rsidR="00DA4E4A" w:rsidRDefault="00DA4E4A" w:rsidP="00913057">
      <w:pPr>
        <w:keepNext/>
        <w:tabs>
          <w:tab w:val="left" w:pos="360"/>
        </w:tabs>
        <w:jc w:val="center"/>
        <w:rPr>
          <w:rFonts w:ascii="Arial" w:hAnsi="Arial" w:cs="Arial"/>
          <w:b/>
          <w:sz w:val="21"/>
        </w:rPr>
      </w:pPr>
    </w:p>
    <w:p w:rsidR="00913057" w:rsidRPr="000F3918" w:rsidRDefault="00913057" w:rsidP="00913057">
      <w:pPr>
        <w:keepNext/>
        <w:tabs>
          <w:tab w:val="left" w:pos="360"/>
        </w:tabs>
        <w:jc w:val="center"/>
        <w:rPr>
          <w:rFonts w:ascii="Arial" w:hAnsi="Arial" w:cs="Arial"/>
          <w:b/>
          <w:sz w:val="21"/>
        </w:rPr>
      </w:pPr>
      <w:r w:rsidRPr="000F3918">
        <w:rPr>
          <w:rFonts w:ascii="Arial" w:hAnsi="Arial" w:cs="Arial"/>
          <w:b/>
          <w:sz w:val="21"/>
        </w:rPr>
        <w:t>ADVERTENCIA</w:t>
      </w:r>
    </w:p>
    <w:p w:rsidR="00913057" w:rsidRPr="000F3918" w:rsidRDefault="00913057" w:rsidP="00913057">
      <w:pPr>
        <w:keepNext/>
        <w:tabs>
          <w:tab w:val="left" w:pos="360"/>
        </w:tabs>
        <w:jc w:val="both"/>
        <w:rPr>
          <w:rFonts w:ascii="Verdana" w:hAnsi="Verdana"/>
          <w:sz w:val="16"/>
        </w:rPr>
      </w:pPr>
    </w:p>
    <w:p w:rsidR="00913057" w:rsidRPr="000F3918" w:rsidRDefault="00913057" w:rsidP="00913057">
      <w:pPr>
        <w:keepNext/>
        <w:tabs>
          <w:tab w:val="left" w:pos="360"/>
        </w:tabs>
        <w:jc w:val="both"/>
        <w:rPr>
          <w:rFonts w:ascii="Arial" w:hAnsi="Arial" w:cs="Arial"/>
          <w:b/>
          <w:i/>
          <w:iCs/>
          <w:sz w:val="21"/>
        </w:rPr>
      </w:pPr>
      <w:r w:rsidRPr="000F3918">
        <w:rPr>
          <w:rFonts w:ascii="Arial" w:hAnsi="Arial" w:cs="Arial"/>
          <w:b/>
          <w:i/>
          <w:iCs/>
          <w:sz w:val="21"/>
        </w:rPr>
        <w:t xml:space="preserve">Este comunicado de prensa no constituye una oferta de venta o la solicitud de oferta de compra de acciones Michelin. Si desea obtener información más detallada acerca de Michelin, por favor consulte los documentos públicos depositados en l’Autorité des marchés financiers, en Francia. Igualmente puede consultarlos en nuestra página web: </w:t>
      </w:r>
      <w:hyperlink r:id="rId9" w:history="1">
        <w:r w:rsidRPr="000F3918">
          <w:rPr>
            <w:rStyle w:val="Hyperlink"/>
            <w:rFonts w:ascii="Arial" w:hAnsi="Arial" w:cs="Arial"/>
            <w:b/>
            <w:i/>
            <w:iCs/>
            <w:sz w:val="21"/>
          </w:rPr>
          <w:t>www.michelin.com</w:t>
        </w:r>
      </w:hyperlink>
      <w:r w:rsidRPr="000F3918">
        <w:rPr>
          <w:rFonts w:ascii="Arial" w:hAnsi="Arial" w:cs="Arial"/>
          <w:b/>
          <w:i/>
          <w:iCs/>
          <w:sz w:val="21"/>
        </w:rPr>
        <w:t xml:space="preserve">. Este comunicado puede contener algunas declaraciones de carácter provisional. Si bien la compañía estima que sus declaraciones están basadas en hipótesis razonables a fecha de publicación del documento, éstas están inherentemente sujetas a riesgos e incertidumbres que pueden hacer que haya alguna diferencia entre los resultados reales y aquellos indicados o inducidos en estas declaraciones.   </w:t>
      </w:r>
    </w:p>
    <w:p w:rsidR="00913057" w:rsidRPr="000F3918" w:rsidRDefault="00913057" w:rsidP="00913057">
      <w:pPr>
        <w:pStyle w:val="TextoMichelin"/>
        <w:rPr>
          <w:i/>
          <w:lang w:val="es-ES_tradnl"/>
        </w:rPr>
      </w:pPr>
    </w:p>
    <w:p w:rsidR="00913057" w:rsidRPr="000F3918" w:rsidRDefault="00913057" w:rsidP="00913057">
      <w:pPr>
        <w:pStyle w:val="TextoMichelin"/>
        <w:rPr>
          <w:i/>
          <w:lang w:val="es-ES_tradnl"/>
        </w:rPr>
      </w:pPr>
    </w:p>
    <w:p w:rsidR="00913057" w:rsidRPr="000F3918" w:rsidRDefault="00913057" w:rsidP="00913057">
      <w:pPr>
        <w:pStyle w:val="TextoMichelin"/>
        <w:rPr>
          <w:i/>
          <w:lang w:val="es-ES_tradnl"/>
        </w:rPr>
      </w:pPr>
    </w:p>
    <w:p w:rsidR="00913057" w:rsidRPr="000F3918" w:rsidRDefault="00913057" w:rsidP="00913057">
      <w:pPr>
        <w:pStyle w:val="TextoMichelin"/>
        <w:rPr>
          <w:i/>
          <w:lang w:val="es-ES_tradnl"/>
        </w:rPr>
      </w:pPr>
    </w:p>
    <w:p w:rsidR="00913057" w:rsidRPr="00006009" w:rsidRDefault="00006009" w:rsidP="00006009">
      <w:pPr>
        <w:spacing w:after="230"/>
        <w:jc w:val="both"/>
        <w:rPr>
          <w:i/>
          <w:szCs w:val="20"/>
        </w:rPr>
      </w:pPr>
      <w:r w:rsidRPr="00006009">
        <w:rPr>
          <w:i/>
          <w:szCs w:val="20"/>
        </w:rPr>
        <w:t>La misión de Michelin es contribuir de manera sostenible a la movilidad de las personas y los bienes. Por esta razón, el Grupo fabrica y comercializa neumáticos para todo tipo de vehículos, desde aviones hasta automóviles, pasando por las dos ruedas, la ingeniería civil, la agricultura y los camiones. Michelin propone igualmente servicios digitales de ayuda a la movilidad (ViaMichelin.com), y edita guías turísticas, de alojamiento y restauración, mapas y atlas de carreteras. El Grupo, que tiene su sede en Clermont-Ferrand (Francia), está presente en más de 170 países, emplea a 115.000 personas en todo el mundo y dispone de 69 centros de producción implantados en 18 países diferentes (www.michelin.com).</w:t>
      </w:r>
    </w:p>
    <w:p w:rsidR="00913057" w:rsidRPr="000F3918" w:rsidRDefault="00913057" w:rsidP="00913057">
      <w:pPr>
        <w:pStyle w:val="Footer"/>
        <w:spacing w:after="230"/>
        <w:rPr>
          <w:b/>
          <w:color w:val="808080"/>
          <w:sz w:val="18"/>
          <w:lang w:val="es-ES_tradnl"/>
        </w:rPr>
      </w:pPr>
    </w:p>
    <w:p w:rsidR="00DA4E4A" w:rsidRDefault="00DA4E4A" w:rsidP="00913057">
      <w:pPr>
        <w:pStyle w:val="Footer"/>
        <w:outlineLvl w:val="0"/>
        <w:rPr>
          <w:rFonts w:ascii="Arial" w:hAnsi="Arial"/>
          <w:b/>
          <w:bCs/>
          <w:color w:val="808080"/>
          <w:sz w:val="18"/>
          <w:szCs w:val="18"/>
          <w:lang w:val="es-ES_tradnl"/>
        </w:rPr>
      </w:pPr>
    </w:p>
    <w:p w:rsidR="00DA4E4A" w:rsidRDefault="00DA4E4A" w:rsidP="00913057">
      <w:pPr>
        <w:pStyle w:val="Footer"/>
        <w:outlineLvl w:val="0"/>
        <w:rPr>
          <w:rFonts w:ascii="Arial" w:hAnsi="Arial"/>
          <w:b/>
          <w:bCs/>
          <w:color w:val="808080"/>
          <w:sz w:val="18"/>
          <w:szCs w:val="18"/>
          <w:lang w:val="es-ES_tradnl"/>
        </w:rPr>
      </w:pPr>
    </w:p>
    <w:p w:rsidR="00DA4E4A" w:rsidRDefault="00DA4E4A" w:rsidP="00913057">
      <w:pPr>
        <w:pStyle w:val="Footer"/>
        <w:outlineLvl w:val="0"/>
        <w:rPr>
          <w:rFonts w:ascii="Arial" w:hAnsi="Arial"/>
          <w:b/>
          <w:bCs/>
          <w:color w:val="808080"/>
          <w:sz w:val="18"/>
          <w:szCs w:val="18"/>
          <w:lang w:val="es-ES_tradnl"/>
        </w:rPr>
      </w:pPr>
    </w:p>
    <w:p w:rsidR="00DA4E4A" w:rsidRDefault="00DA4E4A" w:rsidP="00913057">
      <w:pPr>
        <w:pStyle w:val="Footer"/>
        <w:outlineLvl w:val="0"/>
        <w:rPr>
          <w:rFonts w:ascii="Arial" w:hAnsi="Arial"/>
          <w:b/>
          <w:bCs/>
          <w:color w:val="808080"/>
          <w:sz w:val="18"/>
          <w:szCs w:val="18"/>
          <w:lang w:val="es-ES_tradnl"/>
        </w:rPr>
      </w:pPr>
    </w:p>
    <w:p w:rsidR="00DA4E4A" w:rsidRDefault="00DA4E4A" w:rsidP="00913057">
      <w:pPr>
        <w:pStyle w:val="Footer"/>
        <w:outlineLvl w:val="0"/>
        <w:rPr>
          <w:rFonts w:ascii="Arial" w:hAnsi="Arial"/>
          <w:b/>
          <w:bCs/>
          <w:color w:val="808080"/>
          <w:sz w:val="18"/>
          <w:szCs w:val="18"/>
          <w:lang w:val="es-ES_tradnl"/>
        </w:rPr>
      </w:pPr>
    </w:p>
    <w:p w:rsidR="00DA4E4A" w:rsidRDefault="00DA4E4A" w:rsidP="00913057">
      <w:pPr>
        <w:pStyle w:val="Footer"/>
        <w:outlineLvl w:val="0"/>
        <w:rPr>
          <w:rFonts w:ascii="Arial" w:hAnsi="Arial"/>
          <w:b/>
          <w:bCs/>
          <w:color w:val="808080"/>
          <w:sz w:val="18"/>
          <w:szCs w:val="18"/>
          <w:lang w:val="es-ES_tradnl"/>
        </w:rPr>
      </w:pPr>
    </w:p>
    <w:p w:rsidR="00DA4E4A" w:rsidRDefault="00DA4E4A" w:rsidP="00913057">
      <w:pPr>
        <w:pStyle w:val="Footer"/>
        <w:outlineLvl w:val="0"/>
        <w:rPr>
          <w:rFonts w:ascii="Arial" w:hAnsi="Arial"/>
          <w:b/>
          <w:bCs/>
          <w:color w:val="808080"/>
          <w:sz w:val="18"/>
          <w:szCs w:val="18"/>
          <w:lang w:val="es-ES_tradnl"/>
        </w:rPr>
      </w:pPr>
    </w:p>
    <w:p w:rsidR="00DA4E4A" w:rsidRDefault="00DA4E4A" w:rsidP="00913057">
      <w:pPr>
        <w:pStyle w:val="Footer"/>
        <w:outlineLvl w:val="0"/>
        <w:rPr>
          <w:rFonts w:ascii="Arial" w:hAnsi="Arial"/>
          <w:b/>
          <w:bCs/>
          <w:color w:val="808080"/>
          <w:sz w:val="18"/>
          <w:szCs w:val="18"/>
          <w:lang w:val="es-ES_tradnl"/>
        </w:rPr>
      </w:pPr>
    </w:p>
    <w:p w:rsidR="00DA4E4A" w:rsidRDefault="00DA4E4A" w:rsidP="00913057">
      <w:pPr>
        <w:pStyle w:val="Footer"/>
        <w:outlineLvl w:val="0"/>
        <w:rPr>
          <w:rFonts w:ascii="Arial" w:hAnsi="Arial"/>
          <w:b/>
          <w:bCs/>
          <w:color w:val="808080"/>
          <w:sz w:val="18"/>
          <w:szCs w:val="18"/>
          <w:lang w:val="es-ES_tradnl"/>
        </w:rPr>
      </w:pPr>
    </w:p>
    <w:p w:rsidR="00DA4E4A" w:rsidRDefault="00DA4E4A" w:rsidP="00913057">
      <w:pPr>
        <w:pStyle w:val="Footer"/>
        <w:outlineLvl w:val="0"/>
        <w:rPr>
          <w:rFonts w:ascii="Arial" w:hAnsi="Arial"/>
          <w:b/>
          <w:bCs/>
          <w:color w:val="808080"/>
          <w:sz w:val="18"/>
          <w:szCs w:val="18"/>
          <w:lang w:val="es-ES_tradnl"/>
        </w:rPr>
      </w:pPr>
    </w:p>
    <w:p w:rsidR="00DA4E4A" w:rsidRDefault="00DA4E4A" w:rsidP="00913057">
      <w:pPr>
        <w:pStyle w:val="Footer"/>
        <w:outlineLvl w:val="0"/>
        <w:rPr>
          <w:rFonts w:ascii="Arial" w:hAnsi="Arial"/>
          <w:b/>
          <w:bCs/>
          <w:color w:val="808080"/>
          <w:sz w:val="18"/>
          <w:szCs w:val="18"/>
          <w:lang w:val="es-ES_tradnl"/>
        </w:rPr>
      </w:pPr>
    </w:p>
    <w:p w:rsidR="00DA4E4A" w:rsidRDefault="00DA4E4A" w:rsidP="00913057">
      <w:pPr>
        <w:pStyle w:val="Footer"/>
        <w:outlineLvl w:val="0"/>
        <w:rPr>
          <w:rFonts w:ascii="Arial" w:hAnsi="Arial"/>
          <w:b/>
          <w:bCs/>
          <w:color w:val="808080"/>
          <w:sz w:val="18"/>
          <w:szCs w:val="18"/>
          <w:lang w:val="es-ES_tradnl"/>
        </w:rPr>
      </w:pPr>
    </w:p>
    <w:p w:rsidR="00913057" w:rsidRPr="000F3918" w:rsidRDefault="00913057" w:rsidP="00913057">
      <w:pPr>
        <w:pStyle w:val="Footer"/>
        <w:outlineLvl w:val="0"/>
        <w:rPr>
          <w:rFonts w:ascii="Arial" w:hAnsi="Arial"/>
          <w:b/>
          <w:bCs/>
          <w:color w:val="808080"/>
          <w:sz w:val="18"/>
          <w:szCs w:val="18"/>
          <w:lang w:val="es-ES_tradnl"/>
        </w:rPr>
      </w:pPr>
    </w:p>
    <w:p w:rsidR="00913057" w:rsidRPr="000F3918" w:rsidRDefault="00913057" w:rsidP="00913057">
      <w:pPr>
        <w:pStyle w:val="Footer"/>
        <w:outlineLvl w:val="0"/>
        <w:rPr>
          <w:rFonts w:ascii="Arial" w:hAnsi="Arial"/>
          <w:b/>
          <w:bCs/>
          <w:color w:val="808080"/>
          <w:sz w:val="18"/>
          <w:szCs w:val="18"/>
          <w:lang w:val="es-ES_tradnl"/>
        </w:rPr>
      </w:pPr>
    </w:p>
    <w:p w:rsidR="00913057" w:rsidRPr="000F3918" w:rsidRDefault="00913057" w:rsidP="00913057">
      <w:pPr>
        <w:pStyle w:val="Footer"/>
        <w:outlineLvl w:val="0"/>
        <w:rPr>
          <w:rFonts w:ascii="Arial" w:hAnsi="Arial"/>
          <w:b/>
          <w:bCs/>
          <w:color w:val="808080"/>
          <w:sz w:val="18"/>
          <w:szCs w:val="18"/>
          <w:lang w:val="es-ES_tradnl"/>
        </w:rPr>
      </w:pPr>
      <w:r w:rsidRPr="000F3918">
        <w:rPr>
          <w:rFonts w:ascii="Arial" w:hAnsi="Arial"/>
          <w:b/>
          <w:bCs/>
          <w:color w:val="808080"/>
          <w:sz w:val="18"/>
          <w:szCs w:val="18"/>
          <w:lang w:val="es-ES_tradnl"/>
        </w:rPr>
        <w:t>DEPARTAMENTO DE COMUNICACIÓN</w:t>
      </w:r>
    </w:p>
    <w:p w:rsidR="00913057" w:rsidRPr="000F3918" w:rsidRDefault="00913057" w:rsidP="00913057">
      <w:pPr>
        <w:pStyle w:val="Footer"/>
        <w:outlineLvl w:val="0"/>
        <w:rPr>
          <w:rFonts w:ascii="Arial" w:hAnsi="Arial"/>
          <w:bCs/>
          <w:color w:val="808080"/>
          <w:sz w:val="18"/>
          <w:szCs w:val="18"/>
          <w:lang w:val="es-ES_tradnl"/>
        </w:rPr>
      </w:pPr>
      <w:r w:rsidRPr="000F3918">
        <w:rPr>
          <w:rFonts w:ascii="Arial" w:hAnsi="Arial"/>
          <w:bCs/>
          <w:color w:val="808080"/>
          <w:sz w:val="18"/>
          <w:szCs w:val="18"/>
          <w:lang w:val="es-ES_tradnl"/>
        </w:rPr>
        <w:t>Avda. de Los Encuartes, 19</w:t>
      </w:r>
    </w:p>
    <w:p w:rsidR="00913057" w:rsidRPr="000F3918" w:rsidRDefault="00913057" w:rsidP="00913057">
      <w:pPr>
        <w:pStyle w:val="Footer"/>
        <w:outlineLvl w:val="0"/>
        <w:rPr>
          <w:rFonts w:ascii="Arial" w:hAnsi="Arial"/>
          <w:bCs/>
          <w:color w:val="808080"/>
          <w:sz w:val="18"/>
          <w:szCs w:val="18"/>
          <w:lang w:val="es-ES_tradnl"/>
        </w:rPr>
      </w:pPr>
      <w:r w:rsidRPr="000F3918">
        <w:rPr>
          <w:rFonts w:ascii="Arial" w:hAnsi="Arial"/>
          <w:bCs/>
          <w:color w:val="808080"/>
          <w:sz w:val="18"/>
          <w:szCs w:val="18"/>
          <w:lang w:val="es-ES_tradnl"/>
        </w:rPr>
        <w:t>28760 Tres Cantos – Madrid – ESPAÑA</w:t>
      </w:r>
    </w:p>
    <w:p w:rsidR="00913057" w:rsidRPr="000F3918" w:rsidRDefault="00913057" w:rsidP="00913057">
      <w:pPr>
        <w:pStyle w:val="Footer"/>
        <w:outlineLvl w:val="0"/>
        <w:rPr>
          <w:rFonts w:ascii="Arial" w:hAnsi="Arial"/>
          <w:bCs/>
          <w:color w:val="808080"/>
          <w:sz w:val="18"/>
          <w:szCs w:val="18"/>
          <w:lang w:val="es-ES_tradnl"/>
        </w:rPr>
      </w:pPr>
      <w:r w:rsidRPr="000F3918">
        <w:rPr>
          <w:rFonts w:ascii="Arial" w:hAnsi="Arial"/>
          <w:bCs/>
          <w:color w:val="808080"/>
          <w:sz w:val="18"/>
          <w:szCs w:val="18"/>
          <w:lang w:val="es-ES_tradnl"/>
        </w:rPr>
        <w:t>Tel: 0034 914 105 167 – Fax: 0034 914 105 293</w:t>
      </w:r>
    </w:p>
    <w:sectPr w:rsidR="00913057" w:rsidRPr="000F3918" w:rsidSect="00913057">
      <w:headerReference w:type="even" r:id="rId10"/>
      <w:headerReference w:type="default" r:id="rId11"/>
      <w:footerReference w:type="even" r:id="rId12"/>
      <w:footerReference w:type="default" r:id="rId13"/>
      <w:pgSz w:w="11906" w:h="16838"/>
      <w:pgMar w:top="2155" w:right="1418" w:bottom="1418" w:left="1418" w:footer="130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298" w:rsidRDefault="00596298">
      <w:r>
        <w:separator/>
      </w:r>
    </w:p>
  </w:endnote>
  <w:endnote w:type="continuationSeparator" w:id="0">
    <w:p w:rsidR="00596298" w:rsidRDefault="0059629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Verdana"/>
    <w:charset w:val="00"/>
    <w:family w:val="auto"/>
    <w:pitch w:val="variable"/>
    <w:sig w:usb0="00000003" w:usb1="00000000" w:usb2="00000000" w:usb3="00000000" w:csb0="00000001" w:csb1="00000000"/>
  </w:font>
  <w:font w:name="Frutiger 45 Light">
    <w:altName w:val="Courier New"/>
    <w:charset w:val="00"/>
    <w:family w:val="auto"/>
    <w:pitch w:val="variable"/>
    <w:sig w:usb0="00000003" w:usb1="00000000" w:usb2="00000000" w:usb3="00000000" w:csb0="00000001" w:csb1="00000000"/>
  </w:font>
  <w:font w:name="Utopia">
    <w:altName w:val="Courier New"/>
    <w:charset w:val="00"/>
    <w:family w:val="auto"/>
    <w:pitch w:val="variable"/>
    <w:sig w:usb0="03000000" w:usb1="00000000" w:usb2="00000000" w:usb3="00000000" w:csb0="00000001" w:csb1="00000000"/>
  </w:font>
  <w:font w:name="Frutiger 95 UltraBlack">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98" w:rsidRDefault="00596298" w:rsidP="0019611E">
    <w:pPr>
      <w:pStyle w:val="Footer"/>
      <w:framePr w:wrap="around" w:vAnchor="text" w:hAnchor="margin" w:xAlign="right" w:y="1"/>
      <w:rPr>
        <w:rStyle w:val="PageNumber"/>
        <w:rFonts w:ascii="Times" w:hAnsi="Times"/>
        <w:snapToGrid/>
        <w:sz w:val="24"/>
        <w:lang w:val="es-ES_tradnl"/>
      </w:rPr>
    </w:pPr>
    <w:r>
      <w:rPr>
        <w:rStyle w:val="PageNumber"/>
      </w:rPr>
      <w:fldChar w:fldCharType="begin"/>
    </w:r>
    <w:r>
      <w:rPr>
        <w:rStyle w:val="PageNumber"/>
      </w:rPr>
      <w:instrText xml:space="preserve">PAGE  </w:instrText>
    </w:r>
    <w:r>
      <w:rPr>
        <w:rStyle w:val="PageNumber"/>
      </w:rPr>
      <w:fldChar w:fldCharType="end"/>
    </w:r>
  </w:p>
  <w:p w:rsidR="00596298" w:rsidRDefault="00596298" w:rsidP="0019611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98" w:rsidRDefault="00596298" w:rsidP="0019611E">
    <w:pPr>
      <w:pStyle w:val="Footer"/>
      <w:framePr w:wrap="around" w:vAnchor="text" w:hAnchor="margin" w:xAlign="right" w:y="1"/>
      <w:rPr>
        <w:rStyle w:val="PageNumber"/>
        <w:rFonts w:ascii="Times" w:hAnsi="Times"/>
        <w:snapToGrid/>
        <w:sz w:val="24"/>
        <w:lang w:val="es-ES_tradnl"/>
      </w:rPr>
    </w:pPr>
    <w:r>
      <w:rPr>
        <w:rStyle w:val="PageNumber"/>
      </w:rPr>
      <w:fldChar w:fldCharType="begin"/>
    </w:r>
    <w:r>
      <w:rPr>
        <w:rStyle w:val="PageNumber"/>
      </w:rPr>
      <w:instrText xml:space="preserve">PAGE  </w:instrText>
    </w:r>
    <w:r>
      <w:rPr>
        <w:rStyle w:val="PageNumber"/>
      </w:rPr>
      <w:fldChar w:fldCharType="separate"/>
    </w:r>
    <w:r w:rsidR="00FF5674">
      <w:rPr>
        <w:rStyle w:val="PageNumber"/>
        <w:noProof/>
      </w:rPr>
      <w:t>1</w:t>
    </w:r>
    <w:r>
      <w:rPr>
        <w:rStyle w:val="PageNumber"/>
      </w:rPr>
      <w:fldChar w:fldCharType="end"/>
    </w:r>
  </w:p>
  <w:p w:rsidR="00596298" w:rsidRDefault="00596298" w:rsidP="0019611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298" w:rsidRDefault="00596298">
      <w:r>
        <w:separator/>
      </w:r>
    </w:p>
  </w:footnote>
  <w:footnote w:type="continuationSeparator" w:id="0">
    <w:p w:rsidR="00596298" w:rsidRDefault="00596298">
      <w:r>
        <w:continuationSeparator/>
      </w:r>
    </w:p>
  </w:footnote>
  <w:footnote w:id="1">
    <w:p w:rsidR="00596298" w:rsidRDefault="00596298">
      <w:pPr>
        <w:pStyle w:val="FootnoteText"/>
      </w:pPr>
      <w:r>
        <w:rPr>
          <w:rStyle w:val="FootnoteReference"/>
        </w:rPr>
        <w:footnoteRef/>
      </w:r>
      <w:r>
        <w:t xml:space="preserve"> </w:t>
      </w:r>
      <w:r w:rsidRPr="00DA5E01">
        <w:rPr>
          <w:rStyle w:val="hps"/>
          <w:sz w:val="16"/>
          <w:lang w:val="es-ES"/>
        </w:rPr>
        <w:t>Cash Flow libre:</w:t>
      </w:r>
      <w:r>
        <w:t xml:space="preserve"> </w:t>
      </w:r>
      <w:r w:rsidRPr="00481429">
        <w:rPr>
          <w:rStyle w:val="hps"/>
          <w:sz w:val="16"/>
          <w:lang w:val="es-ES"/>
        </w:rPr>
        <w:t>Flujo de tesorería en</w:t>
      </w:r>
      <w:r w:rsidRPr="00481429">
        <w:rPr>
          <w:sz w:val="16"/>
          <w:lang w:val="es-ES"/>
        </w:rPr>
        <w:t xml:space="preserve"> </w:t>
      </w:r>
      <w:r w:rsidRPr="00481429">
        <w:rPr>
          <w:rStyle w:val="hps"/>
          <w:sz w:val="16"/>
          <w:lang w:val="es-ES"/>
        </w:rPr>
        <w:t>actividades operativas</w:t>
      </w:r>
      <w:r>
        <w:rPr>
          <w:rStyle w:val="hps"/>
          <w:sz w:val="16"/>
          <w:lang w:val="es-ES"/>
        </w:rPr>
        <w:t xml:space="preserve"> - f</w:t>
      </w:r>
      <w:r w:rsidRPr="00481429">
        <w:rPr>
          <w:rStyle w:val="hps"/>
          <w:sz w:val="16"/>
          <w:lang w:val="es-ES"/>
        </w:rPr>
        <w:t>lujo de tesorería en inversiones</w:t>
      </w:r>
      <w:r w:rsidRPr="00481429">
        <w:rPr>
          <w:sz w:val="16"/>
          <w:lang w:val="es-ES"/>
        </w:rPr>
        <w:t>.</w:t>
      </w:r>
    </w:p>
  </w:footnote>
  <w:footnote w:id="2">
    <w:p w:rsidR="00596298" w:rsidRDefault="00596298" w:rsidP="00913057">
      <w:pPr>
        <w:pStyle w:val="FootnoteText"/>
      </w:pPr>
      <w:r w:rsidRPr="005A249D">
        <w:rPr>
          <w:rStyle w:val="hps"/>
          <w:vertAlign w:val="superscript"/>
          <w:lang w:val="es-ES"/>
        </w:rPr>
        <w:footnoteRef/>
      </w:r>
      <w:r w:rsidRPr="005A249D">
        <w:rPr>
          <w:rStyle w:val="hps"/>
          <w:lang w:val="es-ES"/>
        </w:rPr>
        <w:t xml:space="preserve"> </w:t>
      </w:r>
      <w:r w:rsidRPr="005A249D">
        <w:rPr>
          <w:rStyle w:val="hps"/>
          <w:sz w:val="16"/>
          <w:lang w:val="es-ES"/>
        </w:rPr>
        <w:t>Al final del periodo.</w:t>
      </w:r>
    </w:p>
  </w:footnote>
  <w:footnote w:id="3">
    <w:p w:rsidR="00596298" w:rsidRDefault="00596298">
      <w:pPr>
        <w:pStyle w:val="FootnoteText"/>
      </w:pPr>
      <w:r w:rsidRPr="002F33D8">
        <w:rPr>
          <w:rStyle w:val="FootnoteReference"/>
          <w:sz w:val="32"/>
        </w:rPr>
        <w:sym w:font="Symbol" w:char="F02A"/>
      </w:r>
      <w:r w:rsidRPr="002F33D8">
        <w:rPr>
          <w:sz w:val="32"/>
        </w:rPr>
        <w:t xml:space="preserve"> </w:t>
      </w:r>
      <w:r w:rsidRPr="00481429">
        <w:rPr>
          <w:sz w:val="16"/>
        </w:rPr>
        <w:t>Incluyendo Rusia y Turquía</w:t>
      </w:r>
    </w:p>
  </w:footnote>
  <w:footnote w:id="4">
    <w:p w:rsidR="00596298" w:rsidRDefault="00596298">
      <w:pPr>
        <w:pStyle w:val="FootnoteText"/>
      </w:pPr>
    </w:p>
  </w:footnote>
  <w:footnote w:id="5">
    <w:p w:rsidR="00596298" w:rsidRDefault="00596298">
      <w:pPr>
        <w:pStyle w:val="FootnoteText"/>
      </w:pPr>
      <w:r w:rsidRPr="0068132F">
        <w:rPr>
          <w:rStyle w:val="FootnoteReference"/>
          <w:rFonts w:ascii="Arial" w:hAnsi="Arial"/>
          <w:bCs/>
          <w:sz w:val="32"/>
          <w:lang w:bidi="es-ES_tradnl"/>
        </w:rPr>
        <w:sym w:font="Symbol" w:char="F02A"/>
      </w:r>
      <w:r w:rsidRPr="0068132F">
        <w:rPr>
          <w:rStyle w:val="FootnoteReference"/>
          <w:sz w:val="32"/>
        </w:rPr>
        <w:sym w:font="Symbol" w:char="F02A"/>
      </w:r>
      <w:r w:rsidRPr="005A249D">
        <w:rPr>
          <w:sz w:val="30"/>
        </w:rPr>
        <w:t xml:space="preserve"> </w:t>
      </w:r>
      <w:r w:rsidRPr="00481429">
        <w:rPr>
          <w:sz w:val="16"/>
        </w:rPr>
        <w:t>Incluyendo Rusia y Turquía</w:t>
      </w:r>
    </w:p>
  </w:footnote>
  <w:footnote w:id="6">
    <w:p w:rsidR="00596298" w:rsidRDefault="00596298">
      <w:pPr>
        <w:pStyle w:val="FootnoteText"/>
      </w:pPr>
      <w:r w:rsidRPr="0068132F">
        <w:rPr>
          <w:rStyle w:val="FootnoteReference"/>
          <w:sz w:val="32"/>
        </w:rPr>
        <w:sym w:font="Symbol" w:char="F02A"/>
      </w:r>
      <w:r w:rsidRPr="0068132F">
        <w:rPr>
          <w:sz w:val="32"/>
        </w:rPr>
        <w:t xml:space="preserve"> </w:t>
      </w:r>
      <w:r w:rsidRPr="005A249D">
        <w:rPr>
          <w:sz w:val="16"/>
        </w:rPr>
        <w:t>Únicamente mercado radial</w:t>
      </w:r>
    </w:p>
  </w:footnote>
  <w:footnote w:id="7">
    <w:p w:rsidR="00436118" w:rsidRDefault="00436118" w:rsidP="00E701D7">
      <w:pPr>
        <w:pStyle w:val="FootnoteText"/>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98" w:rsidRDefault="00596298" w:rsidP="009130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6298" w:rsidRDefault="00596298" w:rsidP="0091305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298" w:rsidRDefault="00596298" w:rsidP="00913057">
    <w:pPr>
      <w:ind w:right="360"/>
    </w:pPr>
    <w:r>
      <w:rPr>
        <w:noProof/>
        <w:lang w:val="en-US" w:eastAsia="en-US"/>
      </w:rPr>
      <w:drawing>
        <wp:inline distT="0" distB="0" distL="0" distR="0">
          <wp:extent cx="2241550" cy="679450"/>
          <wp:effectExtent l="25400" t="0" r="0" b="0"/>
          <wp:docPr id="1" name="Picture 1" descr="LOGOTIPO MICHELIN 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MICHELIN CABECERA"/>
                  <pic:cNvPicPr>
                    <a:picLocks noChangeAspect="1" noChangeArrowheads="1"/>
                  </pic:cNvPicPr>
                </pic:nvPicPr>
                <pic:blipFill>
                  <a:blip r:embed="rId1"/>
                  <a:srcRect/>
                  <a:stretch>
                    <a:fillRect/>
                  </a:stretch>
                </pic:blipFill>
                <pic:spPr bwMode="auto">
                  <a:xfrm>
                    <a:off x="0" y="0"/>
                    <a:ext cx="2241550" cy="67945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E0D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7172"/>
    <w:multiLevelType w:val="hybridMultilevel"/>
    <w:tmpl w:val="EDE4CA42"/>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2">
    <w:nsid w:val="25A60CED"/>
    <w:multiLevelType w:val="hybridMultilevel"/>
    <w:tmpl w:val="F6908340"/>
    <w:lvl w:ilvl="0" w:tplc="FFFFFFFF">
      <w:start w:val="1"/>
      <w:numFmt w:val="bullet"/>
      <w:pStyle w:val="StyleTitre2Frutiger55Roman"/>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DD93FD6"/>
    <w:multiLevelType w:val="hybridMultilevel"/>
    <w:tmpl w:val="69B603BC"/>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Verdana"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Verdana"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7D366597"/>
    <w:multiLevelType w:val="hybridMultilevel"/>
    <w:tmpl w:val="56CAE766"/>
    <w:lvl w:ilvl="0" w:tplc="0001040A">
      <w:start w:val="1"/>
      <w:numFmt w:val="bullet"/>
      <w:lvlText w:val=""/>
      <w:lvlJc w:val="left"/>
      <w:pPr>
        <w:tabs>
          <w:tab w:val="num" w:pos="720"/>
        </w:tabs>
        <w:ind w:left="720" w:hanging="360"/>
      </w:pPr>
      <w:rPr>
        <w:rFonts w:ascii="Symbol" w:hAnsi="Symbol" w:hint="default"/>
      </w:rPr>
    </w:lvl>
    <w:lvl w:ilvl="1" w:tplc="0003040A">
      <w:start w:val="1"/>
      <w:numFmt w:val="bullet"/>
      <w:lvlText w:val="o"/>
      <w:lvlJc w:val="left"/>
      <w:pPr>
        <w:tabs>
          <w:tab w:val="num" w:pos="1440"/>
        </w:tabs>
        <w:ind w:left="1440" w:hanging="360"/>
      </w:pPr>
      <w:rPr>
        <w:rFonts w:ascii="Courier New" w:hAnsi="Courier New" w:hint="default"/>
      </w:rPr>
    </w:lvl>
    <w:lvl w:ilvl="2" w:tplc="0005040A">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5">
    <w:nsid w:val="7DD52932"/>
    <w:multiLevelType w:val="hybridMultilevel"/>
    <w:tmpl w:val="55704128"/>
    <w:lvl w:ilvl="0" w:tplc="FFFFFFFF">
      <w:start w:val="1"/>
      <w:numFmt w:val="bullet"/>
      <w:pStyle w:val="Bulletpoint"/>
      <w:lvlText w:val=""/>
      <w:lvlJc w:val="left"/>
      <w:pPr>
        <w:tabs>
          <w:tab w:val="num" w:pos="284"/>
        </w:tabs>
        <w:ind w:left="0" w:firstLine="0"/>
      </w:pPr>
      <w:rPr>
        <w:rFonts w:ascii="Wingdings" w:hAnsi="Wingdings" w:hint="default"/>
        <w:color w:val="33339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A4103"/>
    <w:rsid w:val="00006009"/>
    <w:rsid w:val="00015592"/>
    <w:rsid w:val="000349B9"/>
    <w:rsid w:val="00035747"/>
    <w:rsid w:val="00042E94"/>
    <w:rsid w:val="000470EF"/>
    <w:rsid w:val="00047843"/>
    <w:rsid w:val="000521FB"/>
    <w:rsid w:val="00054C4A"/>
    <w:rsid w:val="0006054C"/>
    <w:rsid w:val="0006759F"/>
    <w:rsid w:val="0007488D"/>
    <w:rsid w:val="000748A3"/>
    <w:rsid w:val="00086A17"/>
    <w:rsid w:val="000A6E67"/>
    <w:rsid w:val="000A7E2B"/>
    <w:rsid w:val="000B1335"/>
    <w:rsid w:val="000B40FE"/>
    <w:rsid w:val="000C3CF0"/>
    <w:rsid w:val="000C44F7"/>
    <w:rsid w:val="000D0618"/>
    <w:rsid w:val="000D1C68"/>
    <w:rsid w:val="000E2D8D"/>
    <w:rsid w:val="000F3918"/>
    <w:rsid w:val="000F4AF1"/>
    <w:rsid w:val="000F7B82"/>
    <w:rsid w:val="00101D27"/>
    <w:rsid w:val="00110433"/>
    <w:rsid w:val="0011799C"/>
    <w:rsid w:val="001203AC"/>
    <w:rsid w:val="00155AA1"/>
    <w:rsid w:val="001609F0"/>
    <w:rsid w:val="00164284"/>
    <w:rsid w:val="00170AED"/>
    <w:rsid w:val="0019611E"/>
    <w:rsid w:val="001A74CF"/>
    <w:rsid w:val="001A7F20"/>
    <w:rsid w:val="001C2ECA"/>
    <w:rsid w:val="001E7D73"/>
    <w:rsid w:val="002149A7"/>
    <w:rsid w:val="00214C97"/>
    <w:rsid w:val="00217AE4"/>
    <w:rsid w:val="00220FF2"/>
    <w:rsid w:val="002271CA"/>
    <w:rsid w:val="002332B7"/>
    <w:rsid w:val="00234197"/>
    <w:rsid w:val="00266A30"/>
    <w:rsid w:val="00283994"/>
    <w:rsid w:val="002C31F8"/>
    <w:rsid w:val="002C394A"/>
    <w:rsid w:val="002C5320"/>
    <w:rsid w:val="002D417A"/>
    <w:rsid w:val="002D705E"/>
    <w:rsid w:val="002E628F"/>
    <w:rsid w:val="002F07C9"/>
    <w:rsid w:val="002F33D8"/>
    <w:rsid w:val="003062A2"/>
    <w:rsid w:val="003156D6"/>
    <w:rsid w:val="0032751F"/>
    <w:rsid w:val="00334908"/>
    <w:rsid w:val="003417FD"/>
    <w:rsid w:val="003558E6"/>
    <w:rsid w:val="00373431"/>
    <w:rsid w:val="00387631"/>
    <w:rsid w:val="003A0289"/>
    <w:rsid w:val="003B3CF8"/>
    <w:rsid w:val="003C7936"/>
    <w:rsid w:val="0040679E"/>
    <w:rsid w:val="00412E56"/>
    <w:rsid w:val="0043224F"/>
    <w:rsid w:val="00436118"/>
    <w:rsid w:val="00443E0E"/>
    <w:rsid w:val="00450DC4"/>
    <w:rsid w:val="00456ACA"/>
    <w:rsid w:val="00460FF3"/>
    <w:rsid w:val="00466CE7"/>
    <w:rsid w:val="004A759C"/>
    <w:rsid w:val="004A7D63"/>
    <w:rsid w:val="004B554E"/>
    <w:rsid w:val="004C04DE"/>
    <w:rsid w:val="004C2CC9"/>
    <w:rsid w:val="004D1297"/>
    <w:rsid w:val="004D1BA5"/>
    <w:rsid w:val="004D1D46"/>
    <w:rsid w:val="004F41B1"/>
    <w:rsid w:val="004F4EFE"/>
    <w:rsid w:val="005020D0"/>
    <w:rsid w:val="00515928"/>
    <w:rsid w:val="00534CB7"/>
    <w:rsid w:val="005405BA"/>
    <w:rsid w:val="00542EAB"/>
    <w:rsid w:val="00550696"/>
    <w:rsid w:val="005525E4"/>
    <w:rsid w:val="0056412B"/>
    <w:rsid w:val="00575608"/>
    <w:rsid w:val="00581925"/>
    <w:rsid w:val="00581B19"/>
    <w:rsid w:val="00586C35"/>
    <w:rsid w:val="00594BD7"/>
    <w:rsid w:val="00596298"/>
    <w:rsid w:val="005D1E94"/>
    <w:rsid w:val="0060265E"/>
    <w:rsid w:val="00610827"/>
    <w:rsid w:val="006112D9"/>
    <w:rsid w:val="00611BE9"/>
    <w:rsid w:val="0062244B"/>
    <w:rsid w:val="0063158D"/>
    <w:rsid w:val="00647DA0"/>
    <w:rsid w:val="006545BD"/>
    <w:rsid w:val="00670AFE"/>
    <w:rsid w:val="006767C6"/>
    <w:rsid w:val="0068132F"/>
    <w:rsid w:val="0069592E"/>
    <w:rsid w:val="00696E13"/>
    <w:rsid w:val="006A35A3"/>
    <w:rsid w:val="006A4FAA"/>
    <w:rsid w:val="006B177D"/>
    <w:rsid w:val="006B35D7"/>
    <w:rsid w:val="006B621A"/>
    <w:rsid w:val="006C52EA"/>
    <w:rsid w:val="006D034B"/>
    <w:rsid w:val="006D7B1F"/>
    <w:rsid w:val="006E4DD2"/>
    <w:rsid w:val="006E5AC9"/>
    <w:rsid w:val="006E6BC4"/>
    <w:rsid w:val="007171B6"/>
    <w:rsid w:val="007178B3"/>
    <w:rsid w:val="0072635B"/>
    <w:rsid w:val="00737916"/>
    <w:rsid w:val="0075308E"/>
    <w:rsid w:val="00763499"/>
    <w:rsid w:val="00763644"/>
    <w:rsid w:val="007748BB"/>
    <w:rsid w:val="00777D5A"/>
    <w:rsid w:val="00785CEE"/>
    <w:rsid w:val="007874AF"/>
    <w:rsid w:val="00794036"/>
    <w:rsid w:val="007A2702"/>
    <w:rsid w:val="007E1214"/>
    <w:rsid w:val="008141C7"/>
    <w:rsid w:val="00824DA9"/>
    <w:rsid w:val="008348AE"/>
    <w:rsid w:val="008403FD"/>
    <w:rsid w:val="00850CE2"/>
    <w:rsid w:val="00853C99"/>
    <w:rsid w:val="00857BD6"/>
    <w:rsid w:val="008652EB"/>
    <w:rsid w:val="008A42EA"/>
    <w:rsid w:val="008A7E2A"/>
    <w:rsid w:val="008B20D9"/>
    <w:rsid w:val="008C0BE6"/>
    <w:rsid w:val="008D354F"/>
    <w:rsid w:val="008D4B7E"/>
    <w:rsid w:val="008E07E7"/>
    <w:rsid w:val="008F1DF2"/>
    <w:rsid w:val="008F7B7F"/>
    <w:rsid w:val="0090143D"/>
    <w:rsid w:val="00910729"/>
    <w:rsid w:val="009117CB"/>
    <w:rsid w:val="00913057"/>
    <w:rsid w:val="00917A4A"/>
    <w:rsid w:val="00924C99"/>
    <w:rsid w:val="00944A2A"/>
    <w:rsid w:val="00945203"/>
    <w:rsid w:val="00955BC6"/>
    <w:rsid w:val="00966F4E"/>
    <w:rsid w:val="00966FA0"/>
    <w:rsid w:val="00970CC2"/>
    <w:rsid w:val="009C7313"/>
    <w:rsid w:val="009D387C"/>
    <w:rsid w:val="009E60B7"/>
    <w:rsid w:val="009F2C58"/>
    <w:rsid w:val="00A06945"/>
    <w:rsid w:val="00A13D96"/>
    <w:rsid w:val="00A16F33"/>
    <w:rsid w:val="00A216B6"/>
    <w:rsid w:val="00A26E85"/>
    <w:rsid w:val="00A30938"/>
    <w:rsid w:val="00A32276"/>
    <w:rsid w:val="00A61AD3"/>
    <w:rsid w:val="00A61EDA"/>
    <w:rsid w:val="00A83FD5"/>
    <w:rsid w:val="00A84C7A"/>
    <w:rsid w:val="00A93446"/>
    <w:rsid w:val="00AA0EB1"/>
    <w:rsid w:val="00AA3D88"/>
    <w:rsid w:val="00AB309E"/>
    <w:rsid w:val="00AC5A10"/>
    <w:rsid w:val="00AC7968"/>
    <w:rsid w:val="00AD0BF3"/>
    <w:rsid w:val="00AF449A"/>
    <w:rsid w:val="00AF5E6F"/>
    <w:rsid w:val="00B02992"/>
    <w:rsid w:val="00B07E54"/>
    <w:rsid w:val="00B14414"/>
    <w:rsid w:val="00B21DB8"/>
    <w:rsid w:val="00B5374C"/>
    <w:rsid w:val="00B638CA"/>
    <w:rsid w:val="00B713B1"/>
    <w:rsid w:val="00B80CCE"/>
    <w:rsid w:val="00B83F4B"/>
    <w:rsid w:val="00BA21BF"/>
    <w:rsid w:val="00BA4103"/>
    <w:rsid w:val="00BC2D08"/>
    <w:rsid w:val="00BC68CF"/>
    <w:rsid w:val="00BC76AA"/>
    <w:rsid w:val="00BE6482"/>
    <w:rsid w:val="00BF5F2C"/>
    <w:rsid w:val="00C122D7"/>
    <w:rsid w:val="00C424F2"/>
    <w:rsid w:val="00C459BC"/>
    <w:rsid w:val="00C65F4C"/>
    <w:rsid w:val="00C739C7"/>
    <w:rsid w:val="00C81FF6"/>
    <w:rsid w:val="00C87FFC"/>
    <w:rsid w:val="00CB64F1"/>
    <w:rsid w:val="00CC7851"/>
    <w:rsid w:val="00CE1B40"/>
    <w:rsid w:val="00D10C8A"/>
    <w:rsid w:val="00D20288"/>
    <w:rsid w:val="00D50C8C"/>
    <w:rsid w:val="00D52AA8"/>
    <w:rsid w:val="00D70DBF"/>
    <w:rsid w:val="00D774E3"/>
    <w:rsid w:val="00D85395"/>
    <w:rsid w:val="00D92061"/>
    <w:rsid w:val="00DA08B4"/>
    <w:rsid w:val="00DA4E4A"/>
    <w:rsid w:val="00DA5E01"/>
    <w:rsid w:val="00DD3534"/>
    <w:rsid w:val="00DE22B3"/>
    <w:rsid w:val="00DE5FB5"/>
    <w:rsid w:val="00DE67CF"/>
    <w:rsid w:val="00DF1C5C"/>
    <w:rsid w:val="00DF702D"/>
    <w:rsid w:val="00E02607"/>
    <w:rsid w:val="00E25608"/>
    <w:rsid w:val="00E31646"/>
    <w:rsid w:val="00E32312"/>
    <w:rsid w:val="00E3524A"/>
    <w:rsid w:val="00E42D68"/>
    <w:rsid w:val="00E60C6B"/>
    <w:rsid w:val="00E61C86"/>
    <w:rsid w:val="00E632A9"/>
    <w:rsid w:val="00E701D7"/>
    <w:rsid w:val="00EA7BF8"/>
    <w:rsid w:val="00EB538E"/>
    <w:rsid w:val="00EB53E2"/>
    <w:rsid w:val="00EC3349"/>
    <w:rsid w:val="00EC66DB"/>
    <w:rsid w:val="00F02DE5"/>
    <w:rsid w:val="00F07E43"/>
    <w:rsid w:val="00F104E3"/>
    <w:rsid w:val="00F131C2"/>
    <w:rsid w:val="00F47557"/>
    <w:rsid w:val="00F50FF3"/>
    <w:rsid w:val="00F61E28"/>
    <w:rsid w:val="00F62BDE"/>
    <w:rsid w:val="00F63ECA"/>
    <w:rsid w:val="00F73326"/>
    <w:rsid w:val="00F95172"/>
    <w:rsid w:val="00F971B2"/>
    <w:rsid w:val="00FB27F6"/>
    <w:rsid w:val="00FB6E08"/>
    <w:rsid w:val="00FC4082"/>
    <w:rsid w:val="00FD0EA7"/>
    <w:rsid w:val="00FD421E"/>
    <w:rsid w:val="00FE65E9"/>
    <w:rsid w:val="00FF1CEF"/>
    <w:rsid w:val="00FF5674"/>
  </w:rsids>
  <m:mathPr>
    <m:mathFont m:val="Frutiger 55 Roman"/>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s-ES_trad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49D"/>
    <w:rPr>
      <w:lang w:eastAsia="fr-FR"/>
    </w:rPr>
  </w:style>
  <w:style w:type="paragraph" w:styleId="Heading1">
    <w:name w:val="heading 1"/>
    <w:basedOn w:val="Normal"/>
    <w:next w:val="Normal"/>
    <w:qFormat/>
    <w:rsid w:val="00086A17"/>
    <w:pPr>
      <w:keepNext/>
      <w:jc w:val="right"/>
      <w:outlineLvl w:val="0"/>
    </w:pPr>
    <w:rPr>
      <w:rFonts w:ascii="Frutiger 55 Roman" w:hAnsi="Frutiger 55 Roman"/>
      <w:b/>
      <w:color w:val="808080"/>
      <w:lang w:val="es-ES"/>
    </w:rPr>
  </w:style>
  <w:style w:type="paragraph" w:styleId="Heading2">
    <w:name w:val="heading 2"/>
    <w:basedOn w:val="Normal"/>
    <w:next w:val="Normal"/>
    <w:qFormat/>
    <w:rsid w:val="00086A17"/>
    <w:pPr>
      <w:keepNext/>
      <w:spacing w:before="240" w:after="60"/>
      <w:outlineLvl w:val="1"/>
    </w:pPr>
    <w:rPr>
      <w:b/>
      <w:i/>
      <w:sz w:val="28"/>
    </w:rPr>
  </w:style>
  <w:style w:type="paragraph" w:styleId="Heading3">
    <w:name w:val="heading 3"/>
    <w:basedOn w:val="Normal"/>
    <w:next w:val="Normal"/>
    <w:qFormat/>
    <w:rsid w:val="001275BC"/>
    <w:pPr>
      <w:keepNext/>
      <w:spacing w:before="240" w:after="60"/>
      <w:outlineLvl w:val="2"/>
    </w:pPr>
    <w:rPr>
      <w:b/>
      <w:sz w:val="26"/>
      <w:szCs w:val="26"/>
    </w:rPr>
  </w:style>
  <w:style w:type="paragraph" w:styleId="Heading4">
    <w:name w:val="heading 4"/>
    <w:basedOn w:val="Normal"/>
    <w:next w:val="Normal"/>
    <w:qFormat/>
    <w:rsid w:val="001275BC"/>
    <w:pPr>
      <w:keepNext/>
      <w:jc w:val="center"/>
      <w:outlineLvl w:val="3"/>
    </w:pPr>
    <w:rPr>
      <w:rFonts w:ascii="Frutiger 45 Light" w:eastAsia="Times New Roman" w:hAnsi="Frutiger 45 Light"/>
      <w:b/>
      <w:color w:val="0000FF"/>
      <w:sz w:val="32"/>
    </w:rPr>
  </w:style>
  <w:style w:type="paragraph" w:styleId="Heading5">
    <w:name w:val="heading 5"/>
    <w:basedOn w:val="Normal"/>
    <w:next w:val="Normal"/>
    <w:qFormat/>
    <w:rsid w:val="001275BC"/>
    <w:pPr>
      <w:spacing w:before="240" w:after="60"/>
      <w:outlineLvl w:val="4"/>
    </w:pPr>
    <w:rPr>
      <w:b/>
      <w:i/>
      <w:sz w:val="26"/>
      <w:szCs w:val="26"/>
    </w:rPr>
  </w:style>
  <w:style w:type="paragraph" w:styleId="Heading6">
    <w:name w:val="heading 6"/>
    <w:basedOn w:val="Normal"/>
    <w:next w:val="Normal"/>
    <w:qFormat/>
    <w:rsid w:val="001275BC"/>
    <w:pPr>
      <w:keepNext/>
      <w:outlineLvl w:val="5"/>
    </w:pPr>
    <w:rPr>
      <w:rFonts w:ascii="Utopia" w:hAnsi="Utopia"/>
      <w:b/>
      <w:color w:val="FF6600"/>
      <w:sz w:val="22"/>
    </w:rPr>
  </w:style>
  <w:style w:type="paragraph" w:styleId="Heading8">
    <w:name w:val="heading 8"/>
    <w:basedOn w:val="Normal"/>
    <w:next w:val="Normal"/>
    <w:qFormat/>
    <w:rsid w:val="00086A17"/>
    <w:pPr>
      <w:spacing w:before="240" w:after="60"/>
      <w:outlineLvl w:val="7"/>
    </w:pPr>
    <w:rPr>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086A17"/>
    <w:pPr>
      <w:spacing w:after="120"/>
    </w:pPr>
  </w:style>
  <w:style w:type="paragraph" w:customStyle="1" w:styleId="Headline">
    <w:name w:val="Headline"/>
    <w:rsid w:val="00086A17"/>
    <w:pPr>
      <w:spacing w:line="360" w:lineRule="exact"/>
    </w:pPr>
    <w:rPr>
      <w:rFonts w:ascii="Frutiger 95 UltraBlack" w:eastAsia="Times New Roman" w:hAnsi="Frutiger 95 UltraBlack"/>
      <w:snapToGrid w:val="0"/>
      <w:sz w:val="28"/>
    </w:rPr>
  </w:style>
  <w:style w:type="paragraph" w:customStyle="1" w:styleId="Subhead">
    <w:name w:val="Subhead"/>
    <w:rsid w:val="00086A17"/>
    <w:pPr>
      <w:spacing w:line="360" w:lineRule="exact"/>
    </w:pPr>
    <w:rPr>
      <w:rFonts w:ascii="Frutiger 55 Roman" w:eastAsia="Times New Roman" w:hAnsi="Frutiger 55 Roman"/>
      <w:b/>
      <w:snapToGrid w:val="0"/>
      <w:sz w:val="28"/>
    </w:rPr>
  </w:style>
  <w:style w:type="paragraph" w:customStyle="1" w:styleId="TextoMichelin">
    <w:name w:val="Texto Michelin"/>
    <w:basedOn w:val="Normal"/>
    <w:rsid w:val="00CB10B0"/>
    <w:pPr>
      <w:spacing w:after="240" w:line="270" w:lineRule="atLeast"/>
      <w:jc w:val="both"/>
    </w:pPr>
    <w:rPr>
      <w:rFonts w:ascii="Arial" w:hAnsi="Arial"/>
      <w:sz w:val="21"/>
      <w:lang w:val="es-ES"/>
    </w:rPr>
  </w:style>
  <w:style w:type="paragraph" w:styleId="Footer">
    <w:name w:val="footer"/>
    <w:basedOn w:val="Normal"/>
    <w:link w:val="FooterChar"/>
    <w:rsid w:val="00086A17"/>
    <w:pPr>
      <w:tabs>
        <w:tab w:val="center" w:pos="4536"/>
        <w:tab w:val="right" w:pos="9072"/>
      </w:tabs>
    </w:pPr>
    <w:rPr>
      <w:rFonts w:ascii="Utopia" w:hAnsi="Utopia"/>
      <w:snapToGrid w:val="0"/>
      <w:sz w:val="20"/>
      <w:lang w:val="fr-FR"/>
    </w:rPr>
  </w:style>
  <w:style w:type="paragraph" w:customStyle="1" w:styleId="Flietext">
    <w:name w:val="Fließtext"/>
    <w:rsid w:val="00086A17"/>
    <w:pPr>
      <w:spacing w:line="360" w:lineRule="exact"/>
      <w:jc w:val="both"/>
    </w:pPr>
    <w:rPr>
      <w:rFonts w:ascii="Utopia" w:eastAsia="Times New Roman" w:hAnsi="Utopia"/>
      <w:snapToGrid w:val="0"/>
      <w:lang w:val="de-DE"/>
    </w:rPr>
  </w:style>
  <w:style w:type="paragraph" w:styleId="ListBullet">
    <w:name w:val="List Bullet"/>
    <w:basedOn w:val="Normal"/>
    <w:autoRedefine/>
    <w:rsid w:val="00086A17"/>
    <w:pPr>
      <w:numPr>
        <w:numId w:val="1"/>
      </w:numPr>
    </w:pPr>
  </w:style>
  <w:style w:type="paragraph" w:customStyle="1" w:styleId="TextoCONTINENTAL">
    <w:name w:val="Texto CONTINENTAL"/>
    <w:basedOn w:val="BodyText"/>
    <w:rsid w:val="00086A17"/>
    <w:pPr>
      <w:spacing w:after="240" w:line="360" w:lineRule="auto"/>
      <w:jc w:val="both"/>
    </w:pPr>
    <w:rPr>
      <w:color w:val="000000"/>
    </w:rPr>
  </w:style>
  <w:style w:type="character" w:styleId="Hyperlink">
    <w:name w:val="Hyperlink"/>
    <w:uiPriority w:val="99"/>
    <w:semiHidden/>
    <w:unhideWhenUsed/>
    <w:rsid w:val="00BA4103"/>
    <w:rPr>
      <w:color w:val="0000FF"/>
      <w:u w:val="single"/>
    </w:rPr>
  </w:style>
  <w:style w:type="paragraph" w:styleId="BodyText3">
    <w:name w:val="Body Text 3"/>
    <w:basedOn w:val="Normal"/>
    <w:link w:val="BodyText3Char"/>
    <w:rsid w:val="006719B4"/>
    <w:pPr>
      <w:spacing w:after="120"/>
    </w:pPr>
    <w:rPr>
      <w:rFonts w:ascii="Times New Roman" w:hAnsi="Times New Roman"/>
      <w:snapToGrid w:val="0"/>
      <w:sz w:val="16"/>
      <w:szCs w:val="16"/>
      <w:lang w:val="fr-FR" w:eastAsia="es-ES"/>
    </w:rPr>
  </w:style>
  <w:style w:type="character" w:customStyle="1" w:styleId="BodyText3Char">
    <w:name w:val="Body Text 3 Char"/>
    <w:link w:val="BodyText3"/>
    <w:rsid w:val="006719B4"/>
    <w:rPr>
      <w:rFonts w:ascii="Times New Roman" w:eastAsia="Times New Roman" w:hAnsi="Times New Roman"/>
      <w:snapToGrid w:val="0"/>
      <w:sz w:val="16"/>
      <w:szCs w:val="16"/>
      <w:lang w:val="fr-FR" w:eastAsia="es-ES"/>
    </w:rPr>
  </w:style>
  <w:style w:type="paragraph" w:styleId="NormalWeb">
    <w:name w:val="Normal (Web)"/>
    <w:basedOn w:val="Normal"/>
    <w:rsid w:val="00CE0484"/>
    <w:pPr>
      <w:spacing w:before="100" w:beforeAutospacing="1" w:after="100" w:afterAutospacing="1"/>
    </w:pPr>
    <w:rPr>
      <w:rFonts w:ascii="Times New Roman" w:hAnsi="Times New Roman"/>
      <w:snapToGrid w:val="0"/>
      <w:color w:val="000000"/>
      <w:lang w:val="fr-FR" w:eastAsia="es-ES"/>
    </w:rPr>
  </w:style>
  <w:style w:type="character" w:customStyle="1" w:styleId="style21">
    <w:name w:val="style21"/>
    <w:rsid w:val="00CE0484"/>
    <w:rPr>
      <w:sz w:val="20"/>
      <w:szCs w:val="20"/>
    </w:rPr>
  </w:style>
  <w:style w:type="character" w:styleId="PageNumber">
    <w:name w:val="page number"/>
    <w:basedOn w:val="DefaultParagraphFont"/>
    <w:rsid w:val="00970ACE"/>
  </w:style>
  <w:style w:type="paragraph" w:styleId="Header">
    <w:name w:val="header"/>
    <w:basedOn w:val="Normal"/>
    <w:link w:val="HeaderChar"/>
    <w:rsid w:val="00970ACE"/>
    <w:pPr>
      <w:tabs>
        <w:tab w:val="center" w:pos="4153"/>
        <w:tab w:val="right" w:pos="8306"/>
      </w:tabs>
    </w:pPr>
  </w:style>
  <w:style w:type="character" w:customStyle="1" w:styleId="HeaderChar">
    <w:name w:val="Header Char"/>
    <w:link w:val="Header"/>
    <w:rsid w:val="00970ACE"/>
    <w:rPr>
      <w:rFonts w:ascii="Arial" w:eastAsia="Times New Roman" w:hAnsi="Arial"/>
      <w:sz w:val="22"/>
    </w:rPr>
  </w:style>
  <w:style w:type="character" w:styleId="Strong">
    <w:name w:val="Strong"/>
    <w:qFormat/>
    <w:rsid w:val="000B6AE5"/>
    <w:rPr>
      <w:b/>
      <w:bCs/>
    </w:rPr>
  </w:style>
  <w:style w:type="paragraph" w:styleId="ListParagraph">
    <w:name w:val="List Paragraph"/>
    <w:basedOn w:val="Normal"/>
    <w:qFormat/>
    <w:rsid w:val="000B6AE5"/>
    <w:pPr>
      <w:spacing w:after="200" w:line="276" w:lineRule="auto"/>
      <w:ind w:left="720"/>
      <w:contextualSpacing/>
    </w:pPr>
    <w:rPr>
      <w:rFonts w:ascii="Times New Roman" w:eastAsia="Calibri" w:hAnsi="Times New Roman"/>
      <w:szCs w:val="22"/>
      <w:lang w:val="es-ES"/>
    </w:rPr>
  </w:style>
  <w:style w:type="character" w:styleId="CommentReference">
    <w:name w:val="annotation reference"/>
    <w:semiHidden/>
    <w:rsid w:val="000B6AE5"/>
    <w:rPr>
      <w:sz w:val="18"/>
    </w:rPr>
  </w:style>
  <w:style w:type="paragraph" w:styleId="CommentText">
    <w:name w:val="annotation text"/>
    <w:basedOn w:val="Normal"/>
    <w:semiHidden/>
    <w:rsid w:val="000B6AE5"/>
  </w:style>
  <w:style w:type="paragraph" w:styleId="CommentSubject">
    <w:name w:val="annotation subject"/>
    <w:basedOn w:val="CommentText"/>
    <w:next w:val="CommentText"/>
    <w:semiHidden/>
    <w:rsid w:val="000B6AE5"/>
    <w:rPr>
      <w:sz w:val="22"/>
      <w:szCs w:val="20"/>
    </w:rPr>
  </w:style>
  <w:style w:type="paragraph" w:styleId="BalloonText">
    <w:name w:val="Balloon Text"/>
    <w:basedOn w:val="Normal"/>
    <w:semiHidden/>
    <w:rsid w:val="000B6AE5"/>
    <w:rPr>
      <w:rFonts w:ascii="Lucida Grande" w:hAnsi="Lucida Grande"/>
      <w:sz w:val="18"/>
      <w:szCs w:val="18"/>
    </w:rPr>
  </w:style>
  <w:style w:type="paragraph" w:styleId="FootnoteText">
    <w:name w:val="footnote text"/>
    <w:basedOn w:val="Normal"/>
    <w:semiHidden/>
    <w:rsid w:val="000B6AE5"/>
  </w:style>
  <w:style w:type="character" w:styleId="FootnoteReference">
    <w:name w:val="footnote reference"/>
    <w:semiHidden/>
    <w:rsid w:val="000B6AE5"/>
    <w:rPr>
      <w:vertAlign w:val="superscript"/>
    </w:rPr>
  </w:style>
  <w:style w:type="character" w:styleId="FollowedHyperlink">
    <w:name w:val="FollowedHyperlink"/>
    <w:rsid w:val="00D06922"/>
    <w:rPr>
      <w:color w:val="800080"/>
      <w:u w:val="single"/>
    </w:rPr>
  </w:style>
  <w:style w:type="paragraph" w:customStyle="1" w:styleId="EntradillaMICHELIN">
    <w:name w:val="Entradilla MICHELIN"/>
    <w:basedOn w:val="Normal"/>
    <w:rsid w:val="00213263"/>
    <w:pPr>
      <w:spacing w:line="240" w:lineRule="atLeast"/>
      <w:jc w:val="both"/>
    </w:pPr>
    <w:rPr>
      <w:rFonts w:ascii="Frutiger 45 Light" w:hAnsi="Frutiger 45 Light" w:cs="Frutiger 55 Roman"/>
      <w:b/>
      <w:bCs/>
      <w:i/>
      <w:snapToGrid w:val="0"/>
      <w:color w:val="333399"/>
      <w:szCs w:val="28"/>
      <w:lang w:eastAsia="es-ES"/>
    </w:rPr>
  </w:style>
  <w:style w:type="character" w:customStyle="1" w:styleId="hps">
    <w:name w:val="hps"/>
    <w:basedOn w:val="DefaultParagraphFont"/>
    <w:rsid w:val="00481429"/>
  </w:style>
  <w:style w:type="paragraph" w:customStyle="1" w:styleId="SUBTITULOMichelinOK">
    <w:name w:val="SUBTITULO Michelin OK"/>
    <w:basedOn w:val="TextoMichelin"/>
    <w:rsid w:val="00921147"/>
    <w:pPr>
      <w:spacing w:after="120"/>
      <w:jc w:val="left"/>
    </w:pPr>
    <w:rPr>
      <w:rFonts w:ascii="Times" w:hAnsi="Times"/>
      <w:b/>
      <w:sz w:val="34"/>
    </w:rPr>
  </w:style>
  <w:style w:type="paragraph" w:customStyle="1" w:styleId="SubheadMichelin">
    <w:name w:val="Subhead Michelin"/>
    <w:autoRedefine/>
    <w:rsid w:val="00213263"/>
    <w:pPr>
      <w:spacing w:line="360" w:lineRule="exact"/>
    </w:pPr>
    <w:rPr>
      <w:rFonts w:ascii="Frutiger 55 Roman" w:eastAsia="Times New Roman" w:hAnsi="Frutiger 55 Roman"/>
      <w:b/>
      <w:snapToGrid w:val="0"/>
      <w:sz w:val="28"/>
    </w:rPr>
  </w:style>
  <w:style w:type="paragraph" w:customStyle="1" w:styleId="SUBTITULOMICHELIN">
    <w:name w:val="SUBTITULO MICHELIN"/>
    <w:basedOn w:val="Normal"/>
    <w:rsid w:val="00213263"/>
    <w:pPr>
      <w:spacing w:line="360" w:lineRule="exact"/>
    </w:pPr>
    <w:rPr>
      <w:rFonts w:ascii="Frutiger 45 Light" w:hAnsi="Frutiger 45 Light"/>
      <w:b/>
      <w:snapToGrid w:val="0"/>
      <w:sz w:val="36"/>
    </w:rPr>
  </w:style>
  <w:style w:type="paragraph" w:customStyle="1" w:styleId="TITULARMICHELIN">
    <w:name w:val="TITULAR MICHELIN"/>
    <w:basedOn w:val="Normal"/>
    <w:rsid w:val="00CB10B0"/>
    <w:pPr>
      <w:spacing w:line="360" w:lineRule="exact"/>
    </w:pPr>
    <w:rPr>
      <w:b/>
      <w:snapToGrid w:val="0"/>
      <w:color w:val="333399"/>
      <w:sz w:val="40"/>
    </w:rPr>
  </w:style>
  <w:style w:type="character" w:customStyle="1" w:styleId="FooterChar">
    <w:name w:val="Footer Char"/>
    <w:link w:val="Footer"/>
    <w:rsid w:val="00B8350E"/>
    <w:rPr>
      <w:rFonts w:ascii="Utopia" w:eastAsia="Times New Roman" w:hAnsi="Utopia"/>
      <w:snapToGrid w:val="0"/>
      <w:lang w:val="fr-FR"/>
    </w:rPr>
  </w:style>
  <w:style w:type="paragraph" w:customStyle="1" w:styleId="TtuloDossier">
    <w:name w:val="Título Dossier"/>
    <w:basedOn w:val="Headline"/>
    <w:rsid w:val="00256CB2"/>
    <w:pPr>
      <w:spacing w:before="400" w:after="200" w:line="240" w:lineRule="auto"/>
      <w:jc w:val="center"/>
      <w:outlineLvl w:val="0"/>
    </w:pPr>
    <w:rPr>
      <w:color w:val="333399"/>
      <w:sz w:val="70"/>
    </w:rPr>
  </w:style>
  <w:style w:type="paragraph" w:customStyle="1" w:styleId="Dossierdeprensa">
    <w:name w:val="Dossier de prensa"/>
    <w:basedOn w:val="Headline"/>
    <w:rsid w:val="00256CB2"/>
    <w:pPr>
      <w:spacing w:before="300"/>
      <w:jc w:val="center"/>
      <w:outlineLvl w:val="0"/>
    </w:pPr>
    <w:rPr>
      <w:rFonts w:ascii="Frutiger 45 Light" w:hAnsi="Frutiger 45 Light"/>
      <w:b/>
      <w:color w:val="000000"/>
      <w:sz w:val="50"/>
      <w:lang w:val="es-ES"/>
    </w:rPr>
  </w:style>
  <w:style w:type="paragraph" w:customStyle="1" w:styleId="Fechadossier">
    <w:name w:val="Fecha dossier"/>
    <w:basedOn w:val="Headline"/>
    <w:rsid w:val="00256CB2"/>
    <w:pPr>
      <w:jc w:val="center"/>
    </w:pPr>
    <w:rPr>
      <w:rFonts w:ascii="Frutiger 45 Light" w:hAnsi="Frutiger 45 Light"/>
      <w:b/>
      <w:color w:val="000000"/>
      <w:sz w:val="36"/>
      <w:lang w:val="es-ES"/>
    </w:rPr>
  </w:style>
  <w:style w:type="paragraph" w:customStyle="1" w:styleId="titulocapitulodossier">
    <w:name w:val="titulo capitulo dossier"/>
    <w:basedOn w:val="Normal"/>
    <w:rsid w:val="00921147"/>
    <w:pPr>
      <w:spacing w:after="240" w:line="360" w:lineRule="exact"/>
      <w:outlineLvl w:val="0"/>
    </w:pPr>
    <w:rPr>
      <w:b/>
      <w:snapToGrid w:val="0"/>
      <w:color w:val="333399"/>
      <w:sz w:val="32"/>
      <w:lang w:val="es-ES"/>
    </w:rPr>
  </w:style>
  <w:style w:type="paragraph" w:customStyle="1" w:styleId="Predeterminado">
    <w:name w:val="Predeterminado"/>
    <w:rsid w:val="008765E0"/>
    <w:pPr>
      <w:widowControl w:val="0"/>
      <w:autoSpaceDE w:val="0"/>
      <w:autoSpaceDN w:val="0"/>
    </w:pPr>
    <w:rPr>
      <w:rFonts w:ascii="Times New Roman" w:eastAsia="Times New Roman" w:hAnsi="Times New Roman"/>
      <w:lang w:eastAsia="es-ES"/>
    </w:rPr>
  </w:style>
  <w:style w:type="paragraph" w:styleId="BodyText2">
    <w:name w:val="Body Text 2"/>
    <w:basedOn w:val="Normal"/>
    <w:rsid w:val="001275BC"/>
    <w:pPr>
      <w:spacing w:after="120" w:line="480" w:lineRule="auto"/>
    </w:pPr>
  </w:style>
  <w:style w:type="paragraph" w:styleId="BodyTextIndent">
    <w:name w:val="Body Text Indent"/>
    <w:basedOn w:val="Normal"/>
    <w:rsid w:val="001275BC"/>
    <w:pPr>
      <w:spacing w:after="120"/>
      <w:ind w:left="283"/>
    </w:pPr>
    <w:rPr>
      <w:rFonts w:ascii="Utopia" w:eastAsia="Times New Roman" w:hAnsi="Utopia"/>
      <w:sz w:val="20"/>
    </w:rPr>
  </w:style>
  <w:style w:type="paragraph" w:styleId="BlockText">
    <w:name w:val="Block Text"/>
    <w:basedOn w:val="Normal"/>
    <w:rsid w:val="001275BC"/>
    <w:pPr>
      <w:ind w:left="1800" w:right="1990"/>
      <w:jc w:val="center"/>
    </w:pPr>
    <w:rPr>
      <w:rFonts w:ascii="Utopia" w:eastAsia="Times New Roman" w:hAnsi="Utopia"/>
      <w:b/>
      <w:color w:val="333399"/>
      <w:sz w:val="40"/>
    </w:rPr>
  </w:style>
  <w:style w:type="paragraph" w:styleId="Title">
    <w:name w:val="Title"/>
    <w:basedOn w:val="Normal"/>
    <w:qFormat/>
    <w:rsid w:val="001275BC"/>
    <w:pPr>
      <w:jc w:val="center"/>
    </w:pPr>
    <w:rPr>
      <w:rFonts w:ascii="Frutiger 55 Roman" w:eastAsia="Times New Roman" w:hAnsi="Frutiger 55 Roman"/>
      <w:b/>
      <w:sz w:val="32"/>
    </w:rPr>
  </w:style>
  <w:style w:type="paragraph" w:customStyle="1" w:styleId="StyleTitre2Frutiger55Roman">
    <w:name w:val="Style Titre 2 + Frutiger 55 Roman"/>
    <w:basedOn w:val="Heading2"/>
    <w:autoRedefine/>
    <w:rsid w:val="001275BC"/>
    <w:pPr>
      <w:numPr>
        <w:numId w:val="2"/>
      </w:numPr>
      <w:tabs>
        <w:tab w:val="clear" w:pos="720"/>
      </w:tabs>
      <w:spacing w:before="0" w:after="0"/>
      <w:ind w:left="0" w:firstLine="0"/>
    </w:pPr>
    <w:rPr>
      <w:rFonts w:ascii="Utopia" w:hAnsi="Utopia"/>
      <w:i w:val="0"/>
      <w:snapToGrid w:val="0"/>
      <w:color w:val="0000FF"/>
      <w:sz w:val="22"/>
      <w:lang w:val="fr-FR"/>
    </w:rPr>
  </w:style>
  <w:style w:type="paragraph" w:customStyle="1" w:styleId="StyleTitreTimesNewRoman12ptNoirJustifi">
    <w:name w:val="Style Titre + Times New Roman 12 pt Noir Justifié"/>
    <w:basedOn w:val="Title"/>
    <w:rsid w:val="001275BC"/>
    <w:pPr>
      <w:autoSpaceDE w:val="0"/>
      <w:autoSpaceDN w:val="0"/>
      <w:jc w:val="both"/>
    </w:pPr>
    <w:rPr>
      <w:color w:val="000000"/>
      <w:sz w:val="24"/>
    </w:rPr>
  </w:style>
  <w:style w:type="paragraph" w:customStyle="1" w:styleId="TITULARBENDIX">
    <w:name w:val="TITULAR BENDIX"/>
    <w:basedOn w:val="Heading8"/>
    <w:rsid w:val="00BD3C85"/>
    <w:pPr>
      <w:keepNext/>
      <w:spacing w:before="0" w:after="0"/>
      <w:ind w:right="11"/>
      <w:jc w:val="center"/>
    </w:pPr>
    <w:rPr>
      <w:rFonts w:eastAsia="Times New Roman"/>
      <w:b/>
      <w:i w:val="0"/>
      <w:caps/>
      <w:sz w:val="36"/>
    </w:rPr>
  </w:style>
  <w:style w:type="paragraph" w:customStyle="1" w:styleId="textoContinental0">
    <w:name w:val="texto Continental"/>
    <w:basedOn w:val="Normal"/>
    <w:rsid w:val="00F96529"/>
    <w:pPr>
      <w:spacing w:after="240" w:line="360" w:lineRule="auto"/>
      <w:jc w:val="both"/>
    </w:pPr>
    <w:rPr>
      <w:rFonts w:ascii="Arial" w:hAnsi="Arial"/>
      <w:color w:val="000000"/>
      <w:sz w:val="22"/>
      <w:lang w:val="sl-SI"/>
    </w:rPr>
  </w:style>
  <w:style w:type="paragraph" w:customStyle="1" w:styleId="textocooper">
    <w:name w:val="texto cooper"/>
    <w:basedOn w:val="TextoCOOPER0"/>
    <w:rsid w:val="00F96529"/>
    <w:pPr>
      <w:spacing w:line="360" w:lineRule="auto"/>
      <w:jc w:val="both"/>
    </w:pPr>
    <w:rPr>
      <w:b w:val="0"/>
      <w:sz w:val="24"/>
      <w:lang w:val="es-ES_tradnl"/>
    </w:rPr>
  </w:style>
  <w:style w:type="paragraph" w:customStyle="1" w:styleId="antetituloCONTINENTAL">
    <w:name w:val="antetitulo CONTINENTAL"/>
    <w:basedOn w:val="Heading2"/>
    <w:rsid w:val="00F96529"/>
    <w:pPr>
      <w:spacing w:before="0" w:after="240" w:line="360" w:lineRule="auto"/>
    </w:pPr>
    <w:rPr>
      <w:rFonts w:ascii="Arial" w:hAnsi="Arial"/>
      <w:i w:val="0"/>
      <w:color w:val="000000"/>
      <w:sz w:val="22"/>
    </w:rPr>
  </w:style>
  <w:style w:type="paragraph" w:customStyle="1" w:styleId="titularCONTINENTAL">
    <w:name w:val="titular CONTINENTAL"/>
    <w:basedOn w:val="Normal"/>
    <w:rsid w:val="00F96529"/>
    <w:pPr>
      <w:spacing w:after="240" w:line="360" w:lineRule="auto"/>
    </w:pPr>
    <w:rPr>
      <w:rFonts w:ascii="Arial" w:hAnsi="Arial"/>
      <w:b/>
      <w:color w:val="000000"/>
      <w:sz w:val="32"/>
    </w:rPr>
  </w:style>
  <w:style w:type="paragraph" w:customStyle="1" w:styleId="TextoCOOPER0">
    <w:name w:val="Texto COOPER"/>
    <w:basedOn w:val="Normal"/>
    <w:autoRedefine/>
    <w:rsid w:val="00F96529"/>
    <w:pPr>
      <w:spacing w:after="240"/>
    </w:pPr>
    <w:rPr>
      <w:rFonts w:ascii="Arial" w:eastAsia="Times New Roman" w:hAnsi="Arial"/>
      <w:b/>
      <w:sz w:val="22"/>
      <w:lang w:val="de-DE"/>
    </w:rPr>
  </w:style>
  <w:style w:type="paragraph" w:customStyle="1" w:styleId="ENTRADILLABENDIX">
    <w:name w:val="ENTRADILLA BENDIX"/>
    <w:basedOn w:val="Normal"/>
    <w:rsid w:val="00F96529"/>
    <w:pPr>
      <w:spacing w:after="240" w:line="360" w:lineRule="auto"/>
      <w:jc w:val="both"/>
    </w:pPr>
    <w:rPr>
      <w:rFonts w:eastAsia="Times New Roman"/>
      <w:b/>
    </w:rPr>
  </w:style>
  <w:style w:type="paragraph" w:customStyle="1" w:styleId="TEXTOBENDIX">
    <w:name w:val="TEXTO BENDIX"/>
    <w:basedOn w:val="Normal"/>
    <w:rsid w:val="00F96529"/>
    <w:pPr>
      <w:spacing w:after="240" w:line="360" w:lineRule="auto"/>
      <w:jc w:val="both"/>
    </w:pPr>
    <w:rPr>
      <w:rFonts w:eastAsia="Times New Roman"/>
    </w:rPr>
  </w:style>
  <w:style w:type="paragraph" w:customStyle="1" w:styleId="TitularCOOPER">
    <w:name w:val="Titular COOPER"/>
    <w:basedOn w:val="Normal"/>
    <w:rsid w:val="00F96529"/>
    <w:pPr>
      <w:spacing w:before="120" w:after="120"/>
      <w:jc w:val="center"/>
    </w:pPr>
    <w:rPr>
      <w:rFonts w:ascii="Arial" w:eastAsia="Times New Roman" w:hAnsi="Arial"/>
      <w:b/>
      <w:sz w:val="36"/>
    </w:rPr>
  </w:style>
  <w:style w:type="paragraph" w:customStyle="1" w:styleId="entradillaCOOPER">
    <w:name w:val="entradilla COOPER"/>
    <w:basedOn w:val="Heading2"/>
    <w:autoRedefine/>
    <w:rsid w:val="00F96529"/>
    <w:pPr>
      <w:spacing w:before="100" w:beforeAutospacing="1" w:after="240" w:afterAutospacing="1"/>
    </w:pPr>
    <w:rPr>
      <w:rFonts w:ascii="Arial" w:eastAsia="Times New Roman" w:hAnsi="Arial"/>
      <w:i w:val="0"/>
      <w:lang w:val="de-DE"/>
    </w:rPr>
  </w:style>
  <w:style w:type="paragraph" w:customStyle="1" w:styleId="corporativoCOOPER">
    <w:name w:val="corporativo COOPER"/>
    <w:basedOn w:val="Normal"/>
    <w:autoRedefine/>
    <w:rsid w:val="00F96529"/>
    <w:pPr>
      <w:spacing w:after="240" w:line="360" w:lineRule="auto"/>
      <w:jc w:val="both"/>
    </w:pPr>
    <w:rPr>
      <w:rFonts w:ascii="Arial" w:eastAsia="Times New Roman" w:hAnsi="Arial"/>
      <w:b/>
      <w:sz w:val="20"/>
      <w:lang w:val="de-DE"/>
    </w:rPr>
  </w:style>
  <w:style w:type="paragraph" w:customStyle="1" w:styleId="EntradillaCONTINENTAL">
    <w:name w:val="Entradilla CONTINENTAL"/>
    <w:basedOn w:val="textoContinental0"/>
    <w:autoRedefine/>
    <w:rsid w:val="00F96529"/>
    <w:rPr>
      <w:lang w:val="es-ES_tradnl"/>
    </w:rPr>
  </w:style>
  <w:style w:type="paragraph" w:customStyle="1" w:styleId="corporativoCONTINENTAL">
    <w:name w:val="corporativo CONTINENTAL"/>
    <w:basedOn w:val="TextoCONTINENTAL"/>
    <w:rsid w:val="00F96529"/>
    <w:rPr>
      <w:rFonts w:ascii="Arial" w:hAnsi="Arial" w:cs="Arial"/>
      <w:bCs/>
      <w:sz w:val="18"/>
      <w:lang w:val="es-ES" w:eastAsia="es-ES"/>
    </w:rPr>
  </w:style>
  <w:style w:type="paragraph" w:customStyle="1" w:styleId="LADILLOMICHELINOK">
    <w:name w:val="LADILLO MICHELIN OK"/>
    <w:basedOn w:val="Normal"/>
    <w:rsid w:val="00921147"/>
    <w:pPr>
      <w:spacing w:before="600" w:after="240" w:line="360" w:lineRule="exact"/>
    </w:pPr>
    <w:rPr>
      <w:rFonts w:ascii="Arial" w:hAnsi="Arial"/>
      <w:b/>
      <w:bCs/>
      <w:snapToGrid w:val="0"/>
      <w:color w:val="333399"/>
      <w:sz w:val="28"/>
      <w:lang w:val="es-ES"/>
    </w:rPr>
  </w:style>
  <w:style w:type="paragraph" w:customStyle="1" w:styleId="EntradillaMICHELINOK">
    <w:name w:val="Entradilla MICHELIN OK"/>
    <w:basedOn w:val="EntradillaMICHELIN"/>
    <w:rsid w:val="00921147"/>
    <w:rPr>
      <w:rFonts w:ascii="Times" w:hAnsi="Times"/>
      <w:iCs/>
      <w:sz w:val="25"/>
    </w:rPr>
  </w:style>
  <w:style w:type="paragraph" w:customStyle="1" w:styleId="LadilloMichelinDossier">
    <w:name w:val="Ladillo Michelin Dossier"/>
    <w:basedOn w:val="TextoMichelin"/>
    <w:rsid w:val="00481429"/>
    <w:pPr>
      <w:spacing w:before="480" w:after="120"/>
      <w:jc w:val="left"/>
    </w:pPr>
    <w:rPr>
      <w:rFonts w:ascii="Times" w:hAnsi="Times"/>
      <w:b/>
      <w:sz w:val="26"/>
    </w:rPr>
  </w:style>
  <w:style w:type="table" w:styleId="TableGrid">
    <w:name w:val="Table Grid"/>
    <w:basedOn w:val="TableNormal"/>
    <w:rsid w:val="00481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dillo">
    <w:name w:val="ladillo"/>
    <w:basedOn w:val="Normal"/>
    <w:autoRedefine/>
    <w:rsid w:val="00481429"/>
    <w:pPr>
      <w:jc w:val="both"/>
    </w:pPr>
    <w:rPr>
      <w:rFonts w:ascii="Trebuchet MS" w:eastAsia="Times New Roman" w:hAnsi="Trebuchet MS"/>
      <w:b/>
      <w:kern w:val="32"/>
      <w:sz w:val="22"/>
      <w:lang w:eastAsia="en-US"/>
    </w:rPr>
  </w:style>
  <w:style w:type="paragraph" w:customStyle="1" w:styleId="Normal2">
    <w:name w:val="Normal 2"/>
    <w:basedOn w:val="Normal"/>
    <w:autoRedefine/>
    <w:rsid w:val="00481429"/>
    <w:pPr>
      <w:jc w:val="both"/>
    </w:pPr>
    <w:rPr>
      <w:rFonts w:ascii="Helvetica" w:eastAsia="Times New Roman" w:hAnsi="Helvetica"/>
      <w:lang w:eastAsia="en-US"/>
    </w:rPr>
  </w:style>
  <w:style w:type="character" w:styleId="Emphasis">
    <w:name w:val="Emphasis"/>
    <w:qFormat/>
    <w:rsid w:val="00481429"/>
    <w:rPr>
      <w:i/>
      <w:iCs/>
    </w:rPr>
  </w:style>
  <w:style w:type="character" w:customStyle="1" w:styleId="tw4winMark">
    <w:name w:val="tw4winMark"/>
    <w:rsid w:val="00481429"/>
    <w:rPr>
      <w:rFonts w:ascii="Courier New" w:hAnsi="Courier New" w:cs="Courier New"/>
      <w:vanish/>
      <w:color w:val="800080"/>
      <w:sz w:val="24"/>
      <w:szCs w:val="24"/>
      <w:vertAlign w:val="subscript"/>
    </w:rPr>
  </w:style>
  <w:style w:type="character" w:customStyle="1" w:styleId="tw4winError">
    <w:name w:val="tw4winError"/>
    <w:rsid w:val="00481429"/>
    <w:rPr>
      <w:rFonts w:ascii="Courier New" w:hAnsi="Courier New" w:cs="Courier New"/>
      <w:color w:val="00FF00"/>
      <w:sz w:val="40"/>
      <w:szCs w:val="40"/>
    </w:rPr>
  </w:style>
  <w:style w:type="character" w:customStyle="1" w:styleId="tw4winTerm">
    <w:name w:val="tw4winTerm"/>
    <w:rsid w:val="00481429"/>
    <w:rPr>
      <w:color w:val="0000FF"/>
    </w:rPr>
  </w:style>
  <w:style w:type="character" w:customStyle="1" w:styleId="tw4winPopup">
    <w:name w:val="tw4winPopup"/>
    <w:rsid w:val="00481429"/>
    <w:rPr>
      <w:rFonts w:ascii="Courier New" w:hAnsi="Courier New" w:cs="Courier New"/>
      <w:noProof/>
      <w:color w:val="008000"/>
    </w:rPr>
  </w:style>
  <w:style w:type="character" w:customStyle="1" w:styleId="tw4winJump">
    <w:name w:val="tw4winJump"/>
    <w:rsid w:val="00481429"/>
    <w:rPr>
      <w:rFonts w:ascii="Courier New" w:hAnsi="Courier New" w:cs="Courier New"/>
      <w:noProof/>
      <w:color w:val="008080"/>
    </w:rPr>
  </w:style>
  <w:style w:type="character" w:customStyle="1" w:styleId="tw4winExternal">
    <w:name w:val="tw4winExternal"/>
    <w:rsid w:val="00481429"/>
    <w:rPr>
      <w:rFonts w:ascii="Courier New" w:hAnsi="Courier New" w:cs="Courier New"/>
      <w:noProof/>
      <w:color w:val="808080"/>
    </w:rPr>
  </w:style>
  <w:style w:type="character" w:customStyle="1" w:styleId="tw4winInternal">
    <w:name w:val="tw4winInternal"/>
    <w:rsid w:val="00481429"/>
    <w:rPr>
      <w:rFonts w:ascii="Courier New" w:hAnsi="Courier New" w:cs="Courier New"/>
      <w:noProof/>
      <w:color w:val="FF0000"/>
    </w:rPr>
  </w:style>
  <w:style w:type="character" w:customStyle="1" w:styleId="DONOTTRANSLATE">
    <w:name w:val="DO_NOT_TRANSLATE"/>
    <w:rsid w:val="00481429"/>
    <w:rPr>
      <w:rFonts w:ascii="Courier New" w:hAnsi="Courier New" w:cs="Courier New"/>
      <w:noProof/>
      <w:color w:val="800000"/>
    </w:rPr>
  </w:style>
  <w:style w:type="paragraph" w:styleId="PlainText">
    <w:name w:val="Plain Text"/>
    <w:basedOn w:val="Normal"/>
    <w:rsid w:val="00481429"/>
    <w:rPr>
      <w:rFonts w:ascii="Courier New" w:eastAsia="Times New Roman" w:hAnsi="Courier New" w:cs="Courier New"/>
      <w:sz w:val="20"/>
      <w:lang w:val="fr-FR"/>
    </w:rPr>
  </w:style>
  <w:style w:type="paragraph" w:customStyle="1" w:styleId="CarCarCarCarCarCarCarCarCar">
    <w:name w:val="Car Car Car Car Car Car Car Car Car"/>
    <w:basedOn w:val="Normal"/>
    <w:rsid w:val="00481429"/>
    <w:pPr>
      <w:spacing w:after="160" w:line="240" w:lineRule="exact"/>
    </w:pPr>
    <w:rPr>
      <w:rFonts w:ascii="Times New Roman" w:eastAsia="Times New Roman" w:hAnsi="Times New Roman"/>
      <w:sz w:val="20"/>
      <w:lang w:val="fr-FR" w:eastAsia="en-US"/>
    </w:rPr>
  </w:style>
  <w:style w:type="character" w:customStyle="1" w:styleId="CorpsdetexteCar">
    <w:name w:val="Corps de texte Car"/>
    <w:rsid w:val="00481429"/>
    <w:rPr>
      <w:rFonts w:ascii="Arial" w:hAnsi="Arial"/>
      <w:szCs w:val="24"/>
      <w:lang w:val="fr-FR" w:eastAsia="en-GB" w:bidi="ar-SA"/>
    </w:rPr>
  </w:style>
  <w:style w:type="paragraph" w:customStyle="1" w:styleId="corpsdetexte">
    <w:name w:val="corps de texte"/>
    <w:basedOn w:val="Normal"/>
    <w:rsid w:val="00481429"/>
    <w:pPr>
      <w:ind w:right="7510"/>
      <w:jc w:val="both"/>
    </w:pPr>
    <w:rPr>
      <w:rFonts w:ascii="Arial" w:eastAsia="Times New Roman" w:hAnsi="Arial"/>
      <w:sz w:val="18"/>
      <w:szCs w:val="18"/>
      <w:lang w:val="fr-FR" w:eastAsia="en-GB"/>
    </w:rPr>
  </w:style>
  <w:style w:type="character" w:customStyle="1" w:styleId="corpsdetexteCar0">
    <w:name w:val="corps de texte Car"/>
    <w:rsid w:val="00481429"/>
    <w:rPr>
      <w:rFonts w:ascii="Arial" w:hAnsi="Arial"/>
      <w:sz w:val="18"/>
      <w:szCs w:val="18"/>
      <w:lang w:val="fr-FR" w:eastAsia="en-GB" w:bidi="ar-SA"/>
    </w:rPr>
  </w:style>
  <w:style w:type="paragraph" w:customStyle="1" w:styleId="1">
    <w:name w:val="1"/>
    <w:basedOn w:val="Normal"/>
    <w:rsid w:val="00481429"/>
    <w:pPr>
      <w:spacing w:after="160" w:line="240" w:lineRule="exact"/>
    </w:pPr>
    <w:rPr>
      <w:rFonts w:ascii="Times New Roman" w:eastAsia="Times New Roman" w:hAnsi="Times New Roman"/>
      <w:sz w:val="20"/>
      <w:lang w:val="fr-FR" w:eastAsia="en-US"/>
    </w:rPr>
  </w:style>
  <w:style w:type="paragraph" w:customStyle="1" w:styleId="Note">
    <w:name w:val="Note"/>
    <w:basedOn w:val="BodyText"/>
    <w:rsid w:val="00481429"/>
    <w:pPr>
      <w:spacing w:before="60" w:after="0"/>
      <w:ind w:right="4649"/>
      <w:jc w:val="both"/>
    </w:pPr>
    <w:rPr>
      <w:rFonts w:ascii="Arial" w:eastAsia="Times New Roman" w:hAnsi="Arial" w:cs="Verdana"/>
      <w:i/>
      <w:sz w:val="16"/>
      <w:szCs w:val="16"/>
      <w:lang w:val="en-GB" w:eastAsia="en-GB" w:bidi="fr-FR"/>
    </w:rPr>
  </w:style>
  <w:style w:type="paragraph" w:customStyle="1" w:styleId="Bulletpoint">
    <w:name w:val="Bullet point"/>
    <w:basedOn w:val="BodyText"/>
    <w:rsid w:val="00481429"/>
    <w:pPr>
      <w:numPr>
        <w:numId w:val="6"/>
      </w:numPr>
      <w:spacing w:after="60"/>
      <w:ind w:right="4649"/>
      <w:jc w:val="both"/>
    </w:pPr>
    <w:rPr>
      <w:rFonts w:ascii="Arial" w:eastAsia="Times New Roman" w:hAnsi="Arial" w:cs="Verdana"/>
      <w:sz w:val="18"/>
      <w:szCs w:val="18"/>
      <w:lang w:val="fr-FR" w:eastAsia="en-GB" w:bidi="fr-FR"/>
    </w:rPr>
  </w:style>
  <w:style w:type="character" w:customStyle="1" w:styleId="BulletpointCar">
    <w:name w:val="Bullet point Car"/>
    <w:rsid w:val="00481429"/>
    <w:rPr>
      <w:rFonts w:ascii="Arial" w:hAnsi="Arial" w:cs="Verdana"/>
      <w:sz w:val="18"/>
      <w:szCs w:val="18"/>
      <w:lang w:val="fr-FR" w:eastAsia="en-GB" w:bidi="fr-FR"/>
    </w:rPr>
  </w:style>
  <w:style w:type="paragraph" w:customStyle="1" w:styleId="Titreinfo">
    <w:name w:val="Titre info"/>
    <w:basedOn w:val="BodyText"/>
    <w:next w:val="BodyText"/>
    <w:rsid w:val="00481429"/>
    <w:pPr>
      <w:keepNext/>
      <w:spacing w:after="60"/>
      <w:ind w:right="4649"/>
      <w:jc w:val="both"/>
    </w:pPr>
    <w:rPr>
      <w:rFonts w:ascii="Arial" w:eastAsia="Times New Roman" w:hAnsi="Arial" w:cs="Verdana"/>
      <w:b/>
      <w:color w:val="333399"/>
      <w:sz w:val="18"/>
      <w:szCs w:val="18"/>
      <w:lang w:val="fr-FR" w:eastAsia="en-GB" w:bidi="fr-FR"/>
    </w:rPr>
  </w:style>
  <w:style w:type="paragraph" w:customStyle="1" w:styleId="Titre4">
    <w:name w:val="Titre4"/>
    <w:basedOn w:val="Normal"/>
    <w:next w:val="BodyText"/>
    <w:rsid w:val="00481429"/>
    <w:pPr>
      <w:keepNext/>
      <w:spacing w:before="240" w:after="120"/>
      <w:ind w:right="4649"/>
    </w:pPr>
    <w:rPr>
      <w:rFonts w:ascii="Arial" w:eastAsia="Times New Roman" w:hAnsi="Arial"/>
      <w:b/>
      <w:bCs/>
      <w:color w:val="333399"/>
      <w:sz w:val="22"/>
      <w:lang w:val="fr-FR" w:eastAsia="en-GB"/>
    </w:rPr>
  </w:style>
  <w:style w:type="paragraph" w:customStyle="1" w:styleId="CarChar">
    <w:name w:val="Car Char"/>
    <w:basedOn w:val="Normal"/>
    <w:rsid w:val="00481429"/>
    <w:pPr>
      <w:spacing w:after="160" w:line="240" w:lineRule="exact"/>
    </w:pPr>
    <w:rPr>
      <w:rFonts w:ascii="Times New Roman" w:eastAsia="Times New Roman" w:hAnsi="Times New Roman"/>
      <w:sz w:val="20"/>
      <w:lang w:val="fr-FR" w:eastAsia="en-US"/>
    </w:rPr>
  </w:style>
  <w:style w:type="character" w:customStyle="1" w:styleId="Hipervnc">
    <w:name w:val="Hipervínc"/>
    <w:rsid w:val="005A24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s-ES_tradnl" w:eastAsia="en-US" w:bidi="ar-SA"/>
      </w:rPr>
    </w:rPrDefault>
    <w:pPrDefault/>
  </w:docDefaults>
  <w:latentStyles w:defLockedState="0" w:defUIPriority="0" w:defSemiHidden="0" w:defUnhideWhenUsed="0" w:defQFormat="0" w:count="267"/>
  <w:style w:type="paragraph" w:default="1" w:styleId="Normal">
    <w:name w:val="Normal"/>
    <w:qFormat/>
    <w:rsid w:val="005A249D"/>
    <w:rPr>
      <w:lang w:eastAsia="fr-FR"/>
    </w:rPr>
  </w:style>
  <w:style w:type="paragraph" w:styleId="Ttulo1">
    <w:name w:val="heading 1"/>
    <w:basedOn w:val="Normal"/>
    <w:next w:val="Normal"/>
    <w:qFormat/>
    <w:pPr>
      <w:keepNext/>
      <w:jc w:val="right"/>
      <w:outlineLvl w:val="0"/>
    </w:pPr>
    <w:rPr>
      <w:rFonts w:ascii="Frutiger 55 Roman" w:hAnsi="Frutiger 55 Roman"/>
      <w:b/>
      <w:color w:val="808080"/>
      <w:lang w:val="es-ES"/>
    </w:rPr>
  </w:style>
  <w:style w:type="paragraph" w:styleId="Ttulo2">
    <w:name w:val="heading 2"/>
    <w:basedOn w:val="Normal"/>
    <w:next w:val="Normal"/>
    <w:qFormat/>
    <w:pPr>
      <w:keepNext/>
      <w:spacing w:before="240" w:after="60"/>
      <w:outlineLvl w:val="1"/>
    </w:pPr>
    <w:rPr>
      <w:b/>
      <w:i/>
      <w:sz w:val="28"/>
    </w:rPr>
  </w:style>
  <w:style w:type="paragraph" w:styleId="Ttulo3">
    <w:name w:val="heading 3"/>
    <w:basedOn w:val="Normal"/>
    <w:next w:val="Normal"/>
    <w:qFormat/>
    <w:rsid w:val="001275BC"/>
    <w:pPr>
      <w:keepNext/>
      <w:spacing w:before="240" w:after="60"/>
      <w:outlineLvl w:val="2"/>
    </w:pPr>
    <w:rPr>
      <w:b/>
      <w:sz w:val="26"/>
      <w:szCs w:val="26"/>
    </w:rPr>
  </w:style>
  <w:style w:type="paragraph" w:styleId="Ttulo4">
    <w:name w:val="heading 4"/>
    <w:basedOn w:val="Normal"/>
    <w:next w:val="Normal"/>
    <w:qFormat/>
    <w:rsid w:val="001275BC"/>
    <w:pPr>
      <w:keepNext/>
      <w:jc w:val="center"/>
      <w:outlineLvl w:val="3"/>
    </w:pPr>
    <w:rPr>
      <w:rFonts w:ascii="Frutiger 45 Light" w:eastAsia="Times New Roman" w:hAnsi="Frutiger 45 Light"/>
      <w:b/>
      <w:color w:val="0000FF"/>
      <w:sz w:val="32"/>
    </w:rPr>
  </w:style>
  <w:style w:type="paragraph" w:styleId="Ttulo5">
    <w:name w:val="heading 5"/>
    <w:basedOn w:val="Normal"/>
    <w:next w:val="Normal"/>
    <w:qFormat/>
    <w:rsid w:val="001275BC"/>
    <w:pPr>
      <w:spacing w:before="240" w:after="60"/>
      <w:outlineLvl w:val="4"/>
    </w:pPr>
    <w:rPr>
      <w:b/>
      <w:i/>
      <w:sz w:val="26"/>
      <w:szCs w:val="26"/>
    </w:rPr>
  </w:style>
  <w:style w:type="paragraph" w:styleId="Ttulo6">
    <w:name w:val="heading 6"/>
    <w:basedOn w:val="Normal"/>
    <w:next w:val="Normal"/>
    <w:qFormat/>
    <w:rsid w:val="001275BC"/>
    <w:pPr>
      <w:keepNext/>
      <w:outlineLvl w:val="5"/>
    </w:pPr>
    <w:rPr>
      <w:rFonts w:ascii="Utopia" w:hAnsi="Utopia"/>
      <w:b/>
      <w:color w:val="FF6600"/>
      <w:sz w:val="22"/>
    </w:rPr>
  </w:style>
  <w:style w:type="paragraph" w:styleId="Ttulo8">
    <w:name w:val="heading 8"/>
    <w:basedOn w:val="Normal"/>
    <w:next w:val="Normal"/>
    <w:qFormat/>
    <w:pPr>
      <w:spacing w:before="240" w:after="60"/>
      <w:outlineLvl w:val="7"/>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style>
  <w:style w:type="paragraph" w:customStyle="1" w:styleId="Headline">
    <w:name w:val="Headline"/>
    <w:pPr>
      <w:spacing w:line="360" w:lineRule="exact"/>
    </w:pPr>
    <w:rPr>
      <w:rFonts w:ascii="Frutiger 95 UltraBlack" w:eastAsia="Times New Roman" w:hAnsi="Frutiger 95 UltraBlack"/>
      <w:snapToGrid w:val="0"/>
      <w:sz w:val="28"/>
    </w:rPr>
  </w:style>
  <w:style w:type="paragraph" w:customStyle="1" w:styleId="Subhead">
    <w:name w:val="Subhead"/>
    <w:pPr>
      <w:spacing w:line="360" w:lineRule="exact"/>
    </w:pPr>
    <w:rPr>
      <w:rFonts w:ascii="Frutiger 55 Roman" w:eastAsia="Times New Roman" w:hAnsi="Frutiger 55 Roman"/>
      <w:b/>
      <w:snapToGrid w:val="0"/>
      <w:sz w:val="28"/>
    </w:rPr>
  </w:style>
  <w:style w:type="paragraph" w:customStyle="1" w:styleId="TextoMichelin">
    <w:name w:val="Texto Michelin"/>
    <w:basedOn w:val="Normal"/>
    <w:rsid w:val="00CB10B0"/>
    <w:pPr>
      <w:spacing w:after="240" w:line="270" w:lineRule="atLeast"/>
      <w:jc w:val="both"/>
    </w:pPr>
    <w:rPr>
      <w:rFonts w:ascii="Arial" w:hAnsi="Arial"/>
      <w:sz w:val="21"/>
      <w:lang w:val="es-ES"/>
    </w:rPr>
  </w:style>
  <w:style w:type="paragraph" w:styleId="Piedepgina">
    <w:name w:val="footer"/>
    <w:basedOn w:val="Normal"/>
    <w:link w:val="PiedepginaCar"/>
    <w:pPr>
      <w:tabs>
        <w:tab w:val="center" w:pos="4536"/>
        <w:tab w:val="right" w:pos="9072"/>
      </w:tabs>
    </w:pPr>
    <w:rPr>
      <w:rFonts w:ascii="Utopia" w:hAnsi="Utopia"/>
      <w:snapToGrid w:val="0"/>
      <w:sz w:val="20"/>
      <w:lang w:val="fr-FR"/>
    </w:rPr>
  </w:style>
  <w:style w:type="paragraph" w:customStyle="1" w:styleId="Flietext">
    <w:name w:val="Fließtext"/>
    <w:pPr>
      <w:spacing w:line="360" w:lineRule="exact"/>
      <w:jc w:val="both"/>
    </w:pPr>
    <w:rPr>
      <w:rFonts w:ascii="Utopia" w:eastAsia="Times New Roman" w:hAnsi="Utopia"/>
      <w:snapToGrid w:val="0"/>
      <w:lang w:val="de-DE"/>
    </w:rPr>
  </w:style>
  <w:style w:type="paragraph" w:styleId="Listaconvietas">
    <w:name w:val="List Bullet"/>
    <w:basedOn w:val="Normal"/>
    <w:autoRedefine/>
    <w:pPr>
      <w:numPr>
        <w:numId w:val="1"/>
      </w:numPr>
    </w:pPr>
  </w:style>
  <w:style w:type="paragraph" w:customStyle="1" w:styleId="TextoCONTINENTAL">
    <w:name w:val="Texto CONTINENTAL"/>
    <w:basedOn w:val="Textoindependiente"/>
    <w:pPr>
      <w:spacing w:after="240" w:line="360" w:lineRule="auto"/>
      <w:jc w:val="both"/>
    </w:pPr>
    <w:rPr>
      <w:color w:val="000000"/>
    </w:rPr>
  </w:style>
  <w:style w:type="character" w:styleId="Hipervnculo">
    <w:name w:val="Hyperlink"/>
    <w:uiPriority w:val="99"/>
    <w:semiHidden/>
    <w:unhideWhenUsed/>
    <w:rsid w:val="00BA4103"/>
    <w:rPr>
      <w:color w:val="0000FF"/>
      <w:u w:val="single"/>
    </w:rPr>
  </w:style>
  <w:style w:type="paragraph" w:styleId="Textoindependiente3">
    <w:name w:val="Body Text 3"/>
    <w:basedOn w:val="Normal"/>
    <w:link w:val="Textoindependiente3Car"/>
    <w:rsid w:val="006719B4"/>
    <w:pPr>
      <w:spacing w:after="120"/>
    </w:pPr>
    <w:rPr>
      <w:rFonts w:ascii="Times New Roman" w:hAnsi="Times New Roman"/>
      <w:snapToGrid w:val="0"/>
      <w:sz w:val="16"/>
      <w:szCs w:val="16"/>
      <w:lang w:val="fr-FR" w:eastAsia="es-ES"/>
    </w:rPr>
  </w:style>
  <w:style w:type="character" w:customStyle="1" w:styleId="Textoindependiente3Car">
    <w:name w:val="Texto independiente 3 Car"/>
    <w:link w:val="Textoindependiente3"/>
    <w:rsid w:val="006719B4"/>
    <w:rPr>
      <w:rFonts w:ascii="Times New Roman" w:eastAsia="Times New Roman" w:hAnsi="Times New Roman"/>
      <w:snapToGrid w:val="0"/>
      <w:sz w:val="16"/>
      <w:szCs w:val="16"/>
      <w:lang w:val="fr-FR" w:eastAsia="es-ES"/>
    </w:rPr>
  </w:style>
  <w:style w:type="paragraph" w:styleId="NormalWeb">
    <w:name w:val="Normal (Web)"/>
    <w:basedOn w:val="Normal"/>
    <w:rsid w:val="00CE0484"/>
    <w:pPr>
      <w:spacing w:before="100" w:beforeAutospacing="1" w:after="100" w:afterAutospacing="1"/>
    </w:pPr>
    <w:rPr>
      <w:rFonts w:ascii="Times New Roman" w:hAnsi="Times New Roman"/>
      <w:snapToGrid w:val="0"/>
      <w:color w:val="000000"/>
      <w:lang w:val="fr-FR" w:eastAsia="es-ES"/>
    </w:rPr>
  </w:style>
  <w:style w:type="character" w:customStyle="1" w:styleId="style21">
    <w:name w:val="style21"/>
    <w:rsid w:val="00CE0484"/>
    <w:rPr>
      <w:sz w:val="20"/>
      <w:szCs w:val="20"/>
    </w:rPr>
  </w:style>
  <w:style w:type="character" w:styleId="Nmerodepgina">
    <w:name w:val="page number"/>
    <w:basedOn w:val="Fuentedeprrafopredeter"/>
    <w:rsid w:val="00970ACE"/>
  </w:style>
  <w:style w:type="paragraph" w:styleId="Encabezado">
    <w:name w:val="header"/>
    <w:basedOn w:val="Normal"/>
    <w:link w:val="EncabezadoCar"/>
    <w:rsid w:val="00970ACE"/>
    <w:pPr>
      <w:tabs>
        <w:tab w:val="center" w:pos="4153"/>
        <w:tab w:val="right" w:pos="8306"/>
      </w:tabs>
    </w:pPr>
  </w:style>
  <w:style w:type="character" w:customStyle="1" w:styleId="EncabezadoCar">
    <w:name w:val="Encabezado Car"/>
    <w:link w:val="Encabezado"/>
    <w:rsid w:val="00970ACE"/>
    <w:rPr>
      <w:rFonts w:ascii="Arial" w:eastAsia="Times New Roman" w:hAnsi="Arial"/>
      <w:sz w:val="22"/>
    </w:rPr>
  </w:style>
  <w:style w:type="character" w:styleId="Textoennegrita">
    <w:name w:val="Strong"/>
    <w:qFormat/>
    <w:rsid w:val="000B6AE5"/>
    <w:rPr>
      <w:b/>
      <w:bCs/>
    </w:rPr>
  </w:style>
  <w:style w:type="paragraph" w:styleId="Prrafodelista">
    <w:name w:val="List Paragraph"/>
    <w:basedOn w:val="Normal"/>
    <w:qFormat/>
    <w:rsid w:val="000B6AE5"/>
    <w:pPr>
      <w:spacing w:after="200" w:line="276" w:lineRule="auto"/>
      <w:ind w:left="720"/>
      <w:contextualSpacing/>
    </w:pPr>
    <w:rPr>
      <w:rFonts w:ascii="Times New Roman" w:eastAsia="Calibri" w:hAnsi="Times New Roman"/>
      <w:szCs w:val="22"/>
      <w:lang w:val="es-ES"/>
    </w:rPr>
  </w:style>
  <w:style w:type="character" w:styleId="Refdecomentario">
    <w:name w:val="annotation reference"/>
    <w:semiHidden/>
    <w:rsid w:val="000B6AE5"/>
    <w:rPr>
      <w:sz w:val="18"/>
    </w:rPr>
  </w:style>
  <w:style w:type="paragraph" w:styleId="Textocomentario">
    <w:name w:val="annotation text"/>
    <w:basedOn w:val="Normal"/>
    <w:semiHidden/>
    <w:rsid w:val="000B6AE5"/>
  </w:style>
  <w:style w:type="paragraph" w:styleId="Asuntodelcomentario">
    <w:name w:val="annotation subject"/>
    <w:basedOn w:val="Textocomentario"/>
    <w:next w:val="Textocomentario"/>
    <w:semiHidden/>
    <w:rsid w:val="000B6AE5"/>
    <w:rPr>
      <w:sz w:val="22"/>
      <w:szCs w:val="20"/>
    </w:rPr>
  </w:style>
  <w:style w:type="paragraph" w:styleId="Textodeglobo">
    <w:name w:val="Balloon Text"/>
    <w:basedOn w:val="Normal"/>
    <w:semiHidden/>
    <w:rsid w:val="000B6AE5"/>
    <w:rPr>
      <w:rFonts w:ascii="Lucida Grande" w:hAnsi="Lucida Grande"/>
      <w:sz w:val="18"/>
      <w:szCs w:val="18"/>
    </w:rPr>
  </w:style>
  <w:style w:type="paragraph" w:styleId="Textonotapie">
    <w:name w:val="footnote text"/>
    <w:basedOn w:val="Normal"/>
    <w:semiHidden/>
    <w:rsid w:val="000B6AE5"/>
  </w:style>
  <w:style w:type="character" w:styleId="Refdenotaalpie">
    <w:name w:val="footnote reference"/>
    <w:semiHidden/>
    <w:rsid w:val="000B6AE5"/>
    <w:rPr>
      <w:vertAlign w:val="superscript"/>
    </w:rPr>
  </w:style>
  <w:style w:type="character" w:styleId="Hipervnculovisitado">
    <w:name w:val="FollowedHyperlink"/>
    <w:rsid w:val="00D06922"/>
    <w:rPr>
      <w:color w:val="800080"/>
      <w:u w:val="single"/>
    </w:rPr>
  </w:style>
  <w:style w:type="paragraph" w:customStyle="1" w:styleId="EntradillaMICHELIN">
    <w:name w:val="Entradilla MICHELIN"/>
    <w:basedOn w:val="Normal"/>
    <w:rsid w:val="00213263"/>
    <w:pPr>
      <w:spacing w:line="240" w:lineRule="atLeast"/>
      <w:jc w:val="both"/>
    </w:pPr>
    <w:rPr>
      <w:rFonts w:ascii="Frutiger 45 Light" w:hAnsi="Frutiger 45 Light" w:cs="Frutiger 55 Roman"/>
      <w:b/>
      <w:bCs/>
      <w:i/>
      <w:snapToGrid w:val="0"/>
      <w:color w:val="333399"/>
      <w:szCs w:val="28"/>
      <w:lang w:eastAsia="es-ES"/>
    </w:rPr>
  </w:style>
  <w:style w:type="character" w:customStyle="1" w:styleId="hps">
    <w:name w:val="hps"/>
    <w:basedOn w:val="Fuentedeprrafopredeter"/>
    <w:rsid w:val="00481429"/>
  </w:style>
  <w:style w:type="paragraph" w:customStyle="1" w:styleId="SUBTITULOMichelinOK">
    <w:name w:val="SUBTITULO Michelin OK"/>
    <w:basedOn w:val="TextoMichelin"/>
    <w:rsid w:val="00921147"/>
    <w:pPr>
      <w:spacing w:after="120"/>
      <w:jc w:val="left"/>
    </w:pPr>
    <w:rPr>
      <w:rFonts w:ascii="Times" w:hAnsi="Times"/>
      <w:b/>
      <w:sz w:val="34"/>
    </w:rPr>
  </w:style>
  <w:style w:type="paragraph" w:customStyle="1" w:styleId="SubheadMichelin">
    <w:name w:val="Subhead Michelin"/>
    <w:autoRedefine/>
    <w:rsid w:val="00213263"/>
    <w:pPr>
      <w:spacing w:line="360" w:lineRule="exact"/>
    </w:pPr>
    <w:rPr>
      <w:rFonts w:ascii="Frutiger 55 Roman" w:eastAsia="Times New Roman" w:hAnsi="Frutiger 55 Roman"/>
      <w:b/>
      <w:snapToGrid w:val="0"/>
      <w:sz w:val="28"/>
    </w:rPr>
  </w:style>
  <w:style w:type="paragraph" w:customStyle="1" w:styleId="SUBTITULOMICHELIN">
    <w:name w:val="SUBTITULO MICHELIN"/>
    <w:basedOn w:val="Normal"/>
    <w:rsid w:val="00213263"/>
    <w:pPr>
      <w:spacing w:line="360" w:lineRule="exact"/>
    </w:pPr>
    <w:rPr>
      <w:rFonts w:ascii="Frutiger 45 Light" w:hAnsi="Frutiger 45 Light"/>
      <w:b/>
      <w:snapToGrid w:val="0"/>
      <w:sz w:val="36"/>
    </w:rPr>
  </w:style>
  <w:style w:type="paragraph" w:customStyle="1" w:styleId="TITULARMICHELIN">
    <w:name w:val="TITULAR MICHELIN"/>
    <w:basedOn w:val="Normal"/>
    <w:rsid w:val="00CB10B0"/>
    <w:pPr>
      <w:spacing w:line="360" w:lineRule="exact"/>
    </w:pPr>
    <w:rPr>
      <w:b/>
      <w:snapToGrid w:val="0"/>
      <w:color w:val="333399"/>
      <w:sz w:val="40"/>
    </w:rPr>
  </w:style>
  <w:style w:type="character" w:customStyle="1" w:styleId="PiedepginaCar">
    <w:name w:val="Pie de página Car"/>
    <w:link w:val="Piedepgina"/>
    <w:rsid w:val="00B8350E"/>
    <w:rPr>
      <w:rFonts w:ascii="Utopia" w:eastAsia="Times New Roman" w:hAnsi="Utopia"/>
      <w:snapToGrid w:val="0"/>
      <w:lang w:val="fr-FR"/>
    </w:rPr>
  </w:style>
  <w:style w:type="paragraph" w:customStyle="1" w:styleId="TtuloDossier">
    <w:name w:val="Título Dossier"/>
    <w:basedOn w:val="Headline"/>
    <w:rsid w:val="00256CB2"/>
    <w:pPr>
      <w:spacing w:before="400" w:after="200" w:line="240" w:lineRule="auto"/>
      <w:jc w:val="center"/>
      <w:outlineLvl w:val="0"/>
    </w:pPr>
    <w:rPr>
      <w:color w:val="333399"/>
      <w:sz w:val="70"/>
    </w:rPr>
  </w:style>
  <w:style w:type="paragraph" w:customStyle="1" w:styleId="Dossierdeprensa">
    <w:name w:val="Dossier de prensa"/>
    <w:basedOn w:val="Headline"/>
    <w:rsid w:val="00256CB2"/>
    <w:pPr>
      <w:spacing w:before="300"/>
      <w:jc w:val="center"/>
      <w:outlineLvl w:val="0"/>
    </w:pPr>
    <w:rPr>
      <w:rFonts w:ascii="Frutiger 45 Light" w:hAnsi="Frutiger 45 Light"/>
      <w:b/>
      <w:color w:val="000000"/>
      <w:sz w:val="50"/>
      <w:lang w:val="es-ES"/>
    </w:rPr>
  </w:style>
  <w:style w:type="paragraph" w:customStyle="1" w:styleId="Fechadossier">
    <w:name w:val="Fecha dossier"/>
    <w:basedOn w:val="Headline"/>
    <w:rsid w:val="00256CB2"/>
    <w:pPr>
      <w:jc w:val="center"/>
    </w:pPr>
    <w:rPr>
      <w:rFonts w:ascii="Frutiger 45 Light" w:hAnsi="Frutiger 45 Light"/>
      <w:b/>
      <w:color w:val="000000"/>
      <w:sz w:val="36"/>
      <w:lang w:val="es-ES"/>
    </w:rPr>
  </w:style>
  <w:style w:type="paragraph" w:customStyle="1" w:styleId="titulocapitulodossier">
    <w:name w:val="titulo capitulo dossier"/>
    <w:basedOn w:val="Normal"/>
    <w:rsid w:val="00921147"/>
    <w:pPr>
      <w:spacing w:after="240" w:line="360" w:lineRule="exact"/>
      <w:outlineLvl w:val="0"/>
    </w:pPr>
    <w:rPr>
      <w:b/>
      <w:snapToGrid w:val="0"/>
      <w:color w:val="333399"/>
      <w:sz w:val="32"/>
      <w:lang w:val="es-ES"/>
    </w:rPr>
  </w:style>
  <w:style w:type="paragraph" w:customStyle="1" w:styleId="Predeterminado">
    <w:name w:val="Predeterminado"/>
    <w:rsid w:val="008765E0"/>
    <w:pPr>
      <w:widowControl w:val="0"/>
      <w:autoSpaceDE w:val="0"/>
      <w:autoSpaceDN w:val="0"/>
    </w:pPr>
    <w:rPr>
      <w:rFonts w:ascii="Times New Roman" w:eastAsia="Times New Roman" w:hAnsi="Times New Roman"/>
      <w:lang w:eastAsia="es-ES"/>
    </w:rPr>
  </w:style>
  <w:style w:type="paragraph" w:styleId="Textoindependiente2">
    <w:name w:val="Body Text 2"/>
    <w:basedOn w:val="Normal"/>
    <w:rsid w:val="001275BC"/>
    <w:pPr>
      <w:spacing w:after="120" w:line="480" w:lineRule="auto"/>
    </w:pPr>
  </w:style>
  <w:style w:type="paragraph" w:styleId="Sangradetextonormal">
    <w:name w:val="Body Text Indent"/>
    <w:basedOn w:val="Normal"/>
    <w:rsid w:val="001275BC"/>
    <w:pPr>
      <w:spacing w:after="120"/>
      <w:ind w:left="283"/>
    </w:pPr>
    <w:rPr>
      <w:rFonts w:ascii="Utopia" w:eastAsia="Times New Roman" w:hAnsi="Utopia"/>
      <w:sz w:val="20"/>
    </w:rPr>
  </w:style>
  <w:style w:type="paragraph" w:styleId="Textodebloque">
    <w:name w:val="Block Text"/>
    <w:basedOn w:val="Normal"/>
    <w:rsid w:val="001275BC"/>
    <w:pPr>
      <w:ind w:left="1800" w:right="1990"/>
      <w:jc w:val="center"/>
    </w:pPr>
    <w:rPr>
      <w:rFonts w:ascii="Utopia" w:eastAsia="Times New Roman" w:hAnsi="Utopia"/>
      <w:b/>
      <w:color w:val="333399"/>
      <w:sz w:val="40"/>
    </w:rPr>
  </w:style>
  <w:style w:type="paragraph" w:styleId="Ttulo">
    <w:name w:val="Title"/>
    <w:basedOn w:val="Normal"/>
    <w:qFormat/>
    <w:rsid w:val="001275BC"/>
    <w:pPr>
      <w:jc w:val="center"/>
    </w:pPr>
    <w:rPr>
      <w:rFonts w:ascii="Frutiger 55 Roman" w:eastAsia="Times New Roman" w:hAnsi="Frutiger 55 Roman"/>
      <w:b/>
      <w:sz w:val="32"/>
    </w:rPr>
  </w:style>
  <w:style w:type="paragraph" w:customStyle="1" w:styleId="StyleTitre2Frutiger55Roman">
    <w:name w:val="Style Titre 2 + Frutiger 55 Roman"/>
    <w:basedOn w:val="Ttulo2"/>
    <w:autoRedefine/>
    <w:rsid w:val="001275BC"/>
    <w:pPr>
      <w:numPr>
        <w:numId w:val="2"/>
      </w:numPr>
      <w:tabs>
        <w:tab w:val="clear" w:pos="720"/>
      </w:tabs>
      <w:spacing w:before="0" w:after="0"/>
      <w:ind w:left="0" w:firstLine="0"/>
    </w:pPr>
    <w:rPr>
      <w:rFonts w:ascii="Utopia" w:hAnsi="Utopia"/>
      <w:i w:val="0"/>
      <w:snapToGrid w:val="0"/>
      <w:color w:val="0000FF"/>
      <w:sz w:val="22"/>
      <w:lang w:val="fr-FR"/>
    </w:rPr>
  </w:style>
  <w:style w:type="paragraph" w:customStyle="1" w:styleId="StyleTitreTimesNewRoman12ptNoirJustifi">
    <w:name w:val="Style Titre + Times New Roman 12 pt Noir Justifié"/>
    <w:basedOn w:val="Ttulo"/>
    <w:rsid w:val="001275BC"/>
    <w:pPr>
      <w:autoSpaceDE w:val="0"/>
      <w:autoSpaceDN w:val="0"/>
      <w:jc w:val="both"/>
    </w:pPr>
    <w:rPr>
      <w:color w:val="000000"/>
      <w:sz w:val="24"/>
    </w:rPr>
  </w:style>
  <w:style w:type="paragraph" w:customStyle="1" w:styleId="TITULARBENDIX">
    <w:name w:val="TITULAR BENDIX"/>
    <w:basedOn w:val="Ttulo8"/>
    <w:rsid w:val="00BD3C85"/>
    <w:pPr>
      <w:keepNext/>
      <w:spacing w:before="0" w:after="0"/>
      <w:ind w:right="11"/>
      <w:jc w:val="center"/>
    </w:pPr>
    <w:rPr>
      <w:rFonts w:eastAsia="Times New Roman"/>
      <w:b/>
      <w:i w:val="0"/>
      <w:caps/>
      <w:sz w:val="36"/>
    </w:rPr>
  </w:style>
  <w:style w:type="paragraph" w:customStyle="1" w:styleId="textoContinental0">
    <w:name w:val="texto Continental"/>
    <w:basedOn w:val="Normal"/>
    <w:rsid w:val="00F96529"/>
    <w:pPr>
      <w:spacing w:after="240" w:line="360" w:lineRule="auto"/>
      <w:jc w:val="both"/>
    </w:pPr>
    <w:rPr>
      <w:rFonts w:ascii="Arial" w:hAnsi="Arial"/>
      <w:color w:val="000000"/>
      <w:sz w:val="22"/>
      <w:lang w:val="sl-SI"/>
    </w:rPr>
  </w:style>
  <w:style w:type="paragraph" w:customStyle="1" w:styleId="textocooper">
    <w:name w:val="texto cooper"/>
    <w:basedOn w:val="TextoCOOPER0"/>
    <w:rsid w:val="00F96529"/>
    <w:pPr>
      <w:spacing w:line="360" w:lineRule="auto"/>
      <w:jc w:val="both"/>
    </w:pPr>
    <w:rPr>
      <w:b w:val="0"/>
      <w:sz w:val="24"/>
      <w:lang w:val="es-ES_tradnl"/>
    </w:rPr>
  </w:style>
  <w:style w:type="paragraph" w:customStyle="1" w:styleId="antetituloCONTINENTAL">
    <w:name w:val="antetitulo CONTINENTAL"/>
    <w:basedOn w:val="Ttulo2"/>
    <w:rsid w:val="00F96529"/>
    <w:pPr>
      <w:spacing w:before="0" w:after="240" w:line="360" w:lineRule="auto"/>
    </w:pPr>
    <w:rPr>
      <w:rFonts w:ascii="Arial" w:hAnsi="Arial"/>
      <w:i w:val="0"/>
      <w:color w:val="000000"/>
      <w:sz w:val="22"/>
    </w:rPr>
  </w:style>
  <w:style w:type="paragraph" w:customStyle="1" w:styleId="titularCONTINENTAL">
    <w:name w:val="titular CONTINENTAL"/>
    <w:basedOn w:val="Normal"/>
    <w:rsid w:val="00F96529"/>
    <w:pPr>
      <w:spacing w:after="240" w:line="360" w:lineRule="auto"/>
    </w:pPr>
    <w:rPr>
      <w:rFonts w:ascii="Arial" w:hAnsi="Arial"/>
      <w:b/>
      <w:color w:val="000000"/>
      <w:sz w:val="32"/>
    </w:rPr>
  </w:style>
  <w:style w:type="paragraph" w:customStyle="1" w:styleId="TextoCOOPER0">
    <w:name w:val="Texto COOPER"/>
    <w:basedOn w:val="Normal"/>
    <w:autoRedefine/>
    <w:rsid w:val="00F96529"/>
    <w:pPr>
      <w:spacing w:after="240"/>
    </w:pPr>
    <w:rPr>
      <w:rFonts w:ascii="Arial" w:eastAsia="Times New Roman" w:hAnsi="Arial"/>
      <w:b/>
      <w:sz w:val="22"/>
      <w:lang w:val="de-DE"/>
    </w:rPr>
  </w:style>
  <w:style w:type="paragraph" w:customStyle="1" w:styleId="ENTRADILLABENDIX">
    <w:name w:val="ENTRADILLA BENDIX"/>
    <w:basedOn w:val="Normal"/>
    <w:rsid w:val="00F96529"/>
    <w:pPr>
      <w:spacing w:after="240" w:line="360" w:lineRule="auto"/>
      <w:jc w:val="both"/>
    </w:pPr>
    <w:rPr>
      <w:rFonts w:eastAsia="Times New Roman"/>
      <w:b/>
    </w:rPr>
  </w:style>
  <w:style w:type="paragraph" w:customStyle="1" w:styleId="TEXTOBENDIX">
    <w:name w:val="TEXTO BENDIX"/>
    <w:basedOn w:val="Normal"/>
    <w:rsid w:val="00F96529"/>
    <w:pPr>
      <w:spacing w:after="240" w:line="360" w:lineRule="auto"/>
      <w:jc w:val="both"/>
    </w:pPr>
    <w:rPr>
      <w:rFonts w:eastAsia="Times New Roman"/>
    </w:rPr>
  </w:style>
  <w:style w:type="paragraph" w:customStyle="1" w:styleId="TitularCOOPER">
    <w:name w:val="Titular COOPER"/>
    <w:basedOn w:val="Normal"/>
    <w:rsid w:val="00F96529"/>
    <w:pPr>
      <w:spacing w:before="120" w:after="120"/>
      <w:jc w:val="center"/>
    </w:pPr>
    <w:rPr>
      <w:rFonts w:ascii="Arial" w:eastAsia="Times New Roman" w:hAnsi="Arial"/>
      <w:b/>
      <w:sz w:val="36"/>
    </w:rPr>
  </w:style>
  <w:style w:type="paragraph" w:customStyle="1" w:styleId="entradillaCOOPER">
    <w:name w:val="entradilla COOPER"/>
    <w:basedOn w:val="Ttulo2"/>
    <w:autoRedefine/>
    <w:rsid w:val="00F96529"/>
    <w:pPr>
      <w:spacing w:before="100" w:beforeAutospacing="1" w:after="240" w:afterAutospacing="1"/>
    </w:pPr>
    <w:rPr>
      <w:rFonts w:ascii="Arial" w:eastAsia="Times New Roman" w:hAnsi="Arial"/>
      <w:i w:val="0"/>
      <w:lang w:val="de-DE"/>
    </w:rPr>
  </w:style>
  <w:style w:type="paragraph" w:customStyle="1" w:styleId="corporativoCOOPER">
    <w:name w:val="corporativo COOPER"/>
    <w:basedOn w:val="Normal"/>
    <w:autoRedefine/>
    <w:rsid w:val="00F96529"/>
    <w:pPr>
      <w:spacing w:after="240" w:line="360" w:lineRule="auto"/>
      <w:jc w:val="both"/>
    </w:pPr>
    <w:rPr>
      <w:rFonts w:ascii="Arial" w:eastAsia="Times New Roman" w:hAnsi="Arial"/>
      <w:b/>
      <w:sz w:val="20"/>
      <w:lang w:val="de-DE"/>
    </w:rPr>
  </w:style>
  <w:style w:type="paragraph" w:customStyle="1" w:styleId="EntradillaCONTINENTAL">
    <w:name w:val="Entradilla CONTINENTAL"/>
    <w:basedOn w:val="textoContinental0"/>
    <w:autoRedefine/>
    <w:rsid w:val="00F96529"/>
    <w:rPr>
      <w:lang w:val="es-ES_tradnl"/>
    </w:rPr>
  </w:style>
  <w:style w:type="paragraph" w:customStyle="1" w:styleId="corporativoCONTINENTAL">
    <w:name w:val="corporativo CONTINENTAL"/>
    <w:basedOn w:val="TextoCONTINENTAL"/>
    <w:rsid w:val="00F96529"/>
    <w:rPr>
      <w:rFonts w:ascii="Arial" w:hAnsi="Arial" w:cs="Arial"/>
      <w:bCs/>
      <w:sz w:val="18"/>
      <w:lang w:val="es-ES" w:eastAsia="es-ES"/>
    </w:rPr>
  </w:style>
  <w:style w:type="paragraph" w:customStyle="1" w:styleId="LADILLOMICHELINOK">
    <w:name w:val="LADILLO MICHELIN OK"/>
    <w:basedOn w:val="Normal"/>
    <w:rsid w:val="00921147"/>
    <w:pPr>
      <w:spacing w:before="600" w:after="240" w:line="360" w:lineRule="exact"/>
    </w:pPr>
    <w:rPr>
      <w:rFonts w:ascii="Arial" w:hAnsi="Arial"/>
      <w:b/>
      <w:bCs/>
      <w:snapToGrid w:val="0"/>
      <w:color w:val="333399"/>
      <w:sz w:val="28"/>
      <w:lang w:val="es-ES"/>
    </w:rPr>
  </w:style>
  <w:style w:type="paragraph" w:customStyle="1" w:styleId="EntradillaMICHELINOK">
    <w:name w:val="Entradilla MICHELIN OK"/>
    <w:basedOn w:val="EntradillaMICHELIN"/>
    <w:rsid w:val="00921147"/>
    <w:rPr>
      <w:rFonts w:ascii="Times" w:hAnsi="Times"/>
      <w:iCs/>
      <w:sz w:val="25"/>
    </w:rPr>
  </w:style>
  <w:style w:type="paragraph" w:customStyle="1" w:styleId="LadilloMichelinDossier">
    <w:name w:val="Ladillo Michelin Dossier"/>
    <w:basedOn w:val="TextoMichelin"/>
    <w:rsid w:val="00481429"/>
    <w:pPr>
      <w:spacing w:before="480" w:after="120"/>
      <w:jc w:val="left"/>
    </w:pPr>
    <w:rPr>
      <w:rFonts w:ascii="Times" w:hAnsi="Times"/>
      <w:b/>
      <w:sz w:val="26"/>
    </w:rPr>
  </w:style>
  <w:style w:type="table" w:styleId="Tablaconcuadrcula">
    <w:name w:val="Table Grid"/>
    <w:basedOn w:val="Tablanormal"/>
    <w:rsid w:val="00481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dillo">
    <w:name w:val="ladillo"/>
    <w:basedOn w:val="Normal"/>
    <w:autoRedefine/>
    <w:rsid w:val="00481429"/>
    <w:pPr>
      <w:jc w:val="both"/>
    </w:pPr>
    <w:rPr>
      <w:rFonts w:ascii="Trebuchet MS" w:eastAsia="Times New Roman" w:hAnsi="Trebuchet MS"/>
      <w:b/>
      <w:kern w:val="32"/>
      <w:sz w:val="22"/>
      <w:lang w:eastAsia="en-US"/>
    </w:rPr>
  </w:style>
  <w:style w:type="paragraph" w:customStyle="1" w:styleId="Normal2">
    <w:name w:val="Normal 2"/>
    <w:basedOn w:val="Normal"/>
    <w:autoRedefine/>
    <w:rsid w:val="00481429"/>
    <w:pPr>
      <w:jc w:val="both"/>
    </w:pPr>
    <w:rPr>
      <w:rFonts w:ascii="Helvetica" w:eastAsia="Times New Roman" w:hAnsi="Helvetica"/>
      <w:lang w:eastAsia="en-US"/>
    </w:rPr>
  </w:style>
  <w:style w:type="character" w:styleId="nfasis">
    <w:name w:val="Emphasis"/>
    <w:qFormat/>
    <w:rsid w:val="00481429"/>
    <w:rPr>
      <w:i/>
      <w:iCs/>
    </w:rPr>
  </w:style>
  <w:style w:type="character" w:customStyle="1" w:styleId="tw4winMark">
    <w:name w:val="tw4winMark"/>
    <w:rsid w:val="00481429"/>
    <w:rPr>
      <w:rFonts w:ascii="Courier New" w:hAnsi="Courier New" w:cs="Courier New"/>
      <w:vanish/>
      <w:color w:val="800080"/>
      <w:sz w:val="24"/>
      <w:szCs w:val="24"/>
      <w:vertAlign w:val="subscript"/>
    </w:rPr>
  </w:style>
  <w:style w:type="character" w:customStyle="1" w:styleId="tw4winError">
    <w:name w:val="tw4winError"/>
    <w:rsid w:val="00481429"/>
    <w:rPr>
      <w:rFonts w:ascii="Courier New" w:hAnsi="Courier New" w:cs="Courier New"/>
      <w:color w:val="00FF00"/>
      <w:sz w:val="40"/>
      <w:szCs w:val="40"/>
    </w:rPr>
  </w:style>
  <w:style w:type="character" w:customStyle="1" w:styleId="tw4winTerm">
    <w:name w:val="tw4winTerm"/>
    <w:rsid w:val="00481429"/>
    <w:rPr>
      <w:color w:val="0000FF"/>
    </w:rPr>
  </w:style>
  <w:style w:type="character" w:customStyle="1" w:styleId="tw4winPopup">
    <w:name w:val="tw4winPopup"/>
    <w:rsid w:val="00481429"/>
    <w:rPr>
      <w:rFonts w:ascii="Courier New" w:hAnsi="Courier New" w:cs="Courier New"/>
      <w:noProof/>
      <w:color w:val="008000"/>
    </w:rPr>
  </w:style>
  <w:style w:type="character" w:customStyle="1" w:styleId="tw4winJump">
    <w:name w:val="tw4winJump"/>
    <w:rsid w:val="00481429"/>
    <w:rPr>
      <w:rFonts w:ascii="Courier New" w:hAnsi="Courier New" w:cs="Courier New"/>
      <w:noProof/>
      <w:color w:val="008080"/>
    </w:rPr>
  </w:style>
  <w:style w:type="character" w:customStyle="1" w:styleId="tw4winExternal">
    <w:name w:val="tw4winExternal"/>
    <w:rsid w:val="00481429"/>
    <w:rPr>
      <w:rFonts w:ascii="Courier New" w:hAnsi="Courier New" w:cs="Courier New"/>
      <w:noProof/>
      <w:color w:val="808080"/>
    </w:rPr>
  </w:style>
  <w:style w:type="character" w:customStyle="1" w:styleId="tw4winInternal">
    <w:name w:val="tw4winInternal"/>
    <w:rsid w:val="00481429"/>
    <w:rPr>
      <w:rFonts w:ascii="Courier New" w:hAnsi="Courier New" w:cs="Courier New"/>
      <w:noProof/>
      <w:color w:val="FF0000"/>
    </w:rPr>
  </w:style>
  <w:style w:type="character" w:customStyle="1" w:styleId="DONOTTRANSLATE">
    <w:name w:val="DO_NOT_TRANSLATE"/>
    <w:rsid w:val="00481429"/>
    <w:rPr>
      <w:rFonts w:ascii="Courier New" w:hAnsi="Courier New" w:cs="Courier New"/>
      <w:noProof/>
      <w:color w:val="800000"/>
    </w:rPr>
  </w:style>
  <w:style w:type="paragraph" w:styleId="Textosinformato">
    <w:name w:val="Plain Text"/>
    <w:basedOn w:val="Normal"/>
    <w:rsid w:val="00481429"/>
    <w:rPr>
      <w:rFonts w:ascii="Courier New" w:eastAsia="Times New Roman" w:hAnsi="Courier New" w:cs="Courier New"/>
      <w:sz w:val="20"/>
      <w:lang w:val="fr-FR"/>
    </w:rPr>
  </w:style>
  <w:style w:type="paragraph" w:customStyle="1" w:styleId="CarCarCarCarCarCarCarCarCar">
    <w:name w:val="Car Car Car Car Car Car Car Car Car"/>
    <w:basedOn w:val="Normal"/>
    <w:rsid w:val="00481429"/>
    <w:pPr>
      <w:spacing w:after="160" w:line="240" w:lineRule="exact"/>
    </w:pPr>
    <w:rPr>
      <w:rFonts w:ascii="Times New Roman" w:eastAsia="Times New Roman" w:hAnsi="Times New Roman"/>
      <w:sz w:val="20"/>
      <w:lang w:val="fr-FR" w:eastAsia="en-US"/>
    </w:rPr>
  </w:style>
  <w:style w:type="character" w:customStyle="1" w:styleId="CorpsdetexteCar">
    <w:name w:val="Corps de texte Car"/>
    <w:rsid w:val="00481429"/>
    <w:rPr>
      <w:rFonts w:ascii="Arial" w:hAnsi="Arial"/>
      <w:szCs w:val="24"/>
      <w:lang w:val="fr-FR" w:eastAsia="en-GB" w:bidi="ar-SA"/>
    </w:rPr>
  </w:style>
  <w:style w:type="paragraph" w:customStyle="1" w:styleId="corpsdetexte">
    <w:name w:val="corps de texte"/>
    <w:basedOn w:val="Normal"/>
    <w:rsid w:val="00481429"/>
    <w:pPr>
      <w:ind w:right="7510"/>
      <w:jc w:val="both"/>
    </w:pPr>
    <w:rPr>
      <w:rFonts w:ascii="Arial" w:eastAsia="Times New Roman" w:hAnsi="Arial"/>
      <w:sz w:val="18"/>
      <w:szCs w:val="18"/>
      <w:lang w:val="fr-FR" w:eastAsia="en-GB"/>
    </w:rPr>
  </w:style>
  <w:style w:type="character" w:customStyle="1" w:styleId="corpsdetexteCar0">
    <w:name w:val="corps de texte Car"/>
    <w:rsid w:val="00481429"/>
    <w:rPr>
      <w:rFonts w:ascii="Arial" w:hAnsi="Arial"/>
      <w:sz w:val="18"/>
      <w:szCs w:val="18"/>
      <w:lang w:val="fr-FR" w:eastAsia="en-GB" w:bidi="ar-SA"/>
    </w:rPr>
  </w:style>
  <w:style w:type="paragraph" w:customStyle="1" w:styleId="1">
    <w:name w:val="1"/>
    <w:basedOn w:val="Normal"/>
    <w:rsid w:val="00481429"/>
    <w:pPr>
      <w:spacing w:after="160" w:line="240" w:lineRule="exact"/>
    </w:pPr>
    <w:rPr>
      <w:rFonts w:ascii="Times New Roman" w:eastAsia="Times New Roman" w:hAnsi="Times New Roman"/>
      <w:sz w:val="20"/>
      <w:lang w:val="fr-FR" w:eastAsia="en-US"/>
    </w:rPr>
  </w:style>
  <w:style w:type="paragraph" w:customStyle="1" w:styleId="Note">
    <w:name w:val="Note"/>
    <w:basedOn w:val="Textoindependiente"/>
    <w:rsid w:val="00481429"/>
    <w:pPr>
      <w:spacing w:before="60" w:after="0"/>
      <w:ind w:right="4649"/>
      <w:jc w:val="both"/>
    </w:pPr>
    <w:rPr>
      <w:rFonts w:ascii="Arial" w:eastAsia="Times New Roman" w:hAnsi="Arial" w:cs="Verdana"/>
      <w:i/>
      <w:sz w:val="16"/>
      <w:szCs w:val="16"/>
      <w:lang w:val="en-GB" w:eastAsia="en-GB" w:bidi="fr-FR"/>
    </w:rPr>
  </w:style>
  <w:style w:type="paragraph" w:customStyle="1" w:styleId="Bulletpoint">
    <w:name w:val="Bullet point"/>
    <w:basedOn w:val="Textoindependiente"/>
    <w:rsid w:val="00481429"/>
    <w:pPr>
      <w:numPr>
        <w:numId w:val="6"/>
      </w:numPr>
      <w:spacing w:after="60"/>
      <w:ind w:right="4649"/>
      <w:jc w:val="both"/>
    </w:pPr>
    <w:rPr>
      <w:rFonts w:ascii="Arial" w:eastAsia="Times New Roman" w:hAnsi="Arial" w:cs="Verdana"/>
      <w:sz w:val="18"/>
      <w:szCs w:val="18"/>
      <w:lang w:val="fr-FR" w:eastAsia="en-GB" w:bidi="fr-FR"/>
    </w:rPr>
  </w:style>
  <w:style w:type="character" w:customStyle="1" w:styleId="BulletpointCar">
    <w:name w:val="Bullet point Car"/>
    <w:rsid w:val="00481429"/>
    <w:rPr>
      <w:rFonts w:ascii="Arial" w:hAnsi="Arial" w:cs="Verdana"/>
      <w:sz w:val="18"/>
      <w:szCs w:val="18"/>
      <w:lang w:val="fr-FR" w:eastAsia="en-GB" w:bidi="fr-FR"/>
    </w:rPr>
  </w:style>
  <w:style w:type="paragraph" w:customStyle="1" w:styleId="Titreinfo">
    <w:name w:val="Titre info"/>
    <w:basedOn w:val="Textoindependiente"/>
    <w:next w:val="Textoindependiente"/>
    <w:rsid w:val="00481429"/>
    <w:pPr>
      <w:keepNext/>
      <w:spacing w:after="60"/>
      <w:ind w:right="4649"/>
      <w:jc w:val="both"/>
    </w:pPr>
    <w:rPr>
      <w:rFonts w:ascii="Arial" w:eastAsia="Times New Roman" w:hAnsi="Arial" w:cs="Verdana"/>
      <w:b/>
      <w:color w:val="333399"/>
      <w:sz w:val="18"/>
      <w:szCs w:val="18"/>
      <w:lang w:val="fr-FR" w:eastAsia="en-GB" w:bidi="fr-FR"/>
    </w:rPr>
  </w:style>
  <w:style w:type="paragraph" w:customStyle="1" w:styleId="Titre4">
    <w:name w:val="Titre4"/>
    <w:basedOn w:val="Normal"/>
    <w:next w:val="Textoindependiente"/>
    <w:rsid w:val="00481429"/>
    <w:pPr>
      <w:keepNext/>
      <w:spacing w:before="240" w:after="120"/>
      <w:ind w:right="4649"/>
    </w:pPr>
    <w:rPr>
      <w:rFonts w:ascii="Arial" w:eastAsia="Times New Roman" w:hAnsi="Arial"/>
      <w:b/>
      <w:bCs/>
      <w:color w:val="333399"/>
      <w:sz w:val="22"/>
      <w:lang w:val="fr-FR" w:eastAsia="en-GB"/>
    </w:rPr>
  </w:style>
  <w:style w:type="paragraph" w:customStyle="1" w:styleId="CarChar">
    <w:name w:val="Car Char"/>
    <w:basedOn w:val="Normal"/>
    <w:rsid w:val="00481429"/>
    <w:pPr>
      <w:spacing w:after="160" w:line="240" w:lineRule="exact"/>
    </w:pPr>
    <w:rPr>
      <w:rFonts w:ascii="Times New Roman" w:eastAsia="Times New Roman" w:hAnsi="Times New Roman"/>
      <w:sz w:val="20"/>
      <w:lang w:val="fr-FR" w:eastAsia="en-US"/>
    </w:rPr>
  </w:style>
  <w:style w:type="character" w:customStyle="1" w:styleId="Hipervnc">
    <w:name w:val="Hipervínc"/>
    <w:rsid w:val="005A249D"/>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com/corporate" TargetMode="External"/><Relationship Id="rId9" Type="http://schemas.openxmlformats.org/officeDocument/2006/relationships/hyperlink" Target="http://www.michelin.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D59FBA-F2A6-0F42-BD92-C9438D45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3002</Words>
  <Characters>17116</Characters>
  <Application>Microsoft Macintosh Word</Application>
  <DocSecurity>0</DocSecurity>
  <Lines>142</Lines>
  <Paragraphs>34</Paragraphs>
  <ScaleCrop>false</ScaleCrop>
  <HeadingPairs>
    <vt:vector size="8" baseType="variant">
      <vt:variant>
        <vt:lpstr>Título</vt:lpstr>
      </vt:variant>
      <vt:variant>
        <vt:i4>1</vt:i4>
      </vt:variant>
      <vt:variant>
        <vt:lpstr>Títulos</vt:lpstr>
      </vt:variant>
      <vt:variant>
        <vt:i4>20</vt:i4>
      </vt:variant>
      <vt:variant>
        <vt:lpstr>Title</vt:lpstr>
      </vt:variant>
      <vt:variant>
        <vt:i4>1</vt:i4>
      </vt:variant>
      <vt:variant>
        <vt:lpstr>Headings</vt:lpstr>
      </vt:variant>
      <vt:variant>
        <vt:i4>38</vt:i4>
      </vt:variant>
    </vt:vector>
  </HeadingPairs>
  <TitlesOfParts>
    <vt:vector size="60" baseType="lpstr">
      <vt:lpstr>INFORMACIÓN DE PRENSA</vt:lpstr>
      <vt:lpstr/>
      <vt:lpstr>INFORMACIÓN DE PRENSA</vt:lpstr>
      <vt:lpstr/>
      <vt:lpstr/>
      <vt:lpstr/>
      <vt:lpstr/>
      <vt:lpstr/>
      <vt:lpstr/>
      <vt:lpstr/>
      <vt:lpstr/>
      <vt:lpstr/>
      <vt:lpstr/>
      <vt:lpstr/>
      <vt:lpstr/>
      <vt:lpstr/>
      <vt:lpstr/>
      <vt:lpstr>DEPARTAMENTO DE COMUNICACIÓN</vt:lpstr>
      <vt:lpstr>Avda. de Los Encuartes, 19</vt:lpstr>
      <vt:lpstr>28760 Tres Cantos – Madrid – ESPAÑA</vt:lpstr>
      <vt:lpstr>Tel: 0034 914 105 167 – Fax: 0034 914 105 293</vt:lpstr>
      <vt:lpstr>INFORMACIÓN DE PRENSA</vt:lpstr>
      <vt:lpstr/>
      <vt:lpstr>INFORMACIÓN DE PRENSA</vt:lpstr>
      <vt:lpstr/>
      <vt:lpstr/>
      <vt:lpstr/>
      <vt:lpstr/>
      <vt:lpstr/>
      <vt:lpstr/>
      <vt:lpstr/>
      <vt:lpstr/>
      <vt:lpstr/>
      <vt:lpstr/>
      <vt:lpstr/>
      <vt:lpstr/>
      <vt:lpstr/>
      <vt:lpstr/>
      <vt:lpstr/>
      <vt:lpstr/>
      <vt:lpstr/>
      <vt:lpstr/>
      <vt:lpstr/>
      <vt:lpstr/>
      <vt:lpstr/>
      <vt:lpstr/>
      <vt:lpstr/>
      <vt:lpstr/>
      <vt:lpstr/>
      <vt:lpstr/>
      <vt:lpstr/>
      <vt:lpstr/>
      <vt:lpstr/>
      <vt:lpstr/>
      <vt:lpstr/>
      <vt:lpstr/>
      <vt:lpstr>DEPARTAMENTO DE COMUNICACIÓN</vt:lpstr>
      <vt:lpstr>Avda. de Los Encuartes, 19</vt:lpstr>
      <vt:lpstr>28760 Tres Cantos – Madrid – ESPAÑA</vt:lpstr>
      <vt:lpstr>Tel: 0034 914 105 167 – Fax: 0034 914 105 293</vt:lpstr>
    </vt:vector>
  </TitlesOfParts>
  <Company>Century XXI</Company>
  <LinksUpToDate>false</LinksUpToDate>
  <CharactersWithSpaces>21019</CharactersWithSpaces>
  <SharedDoc>false</SharedDoc>
  <HLinks>
    <vt:vector size="18" baseType="variant">
      <vt:variant>
        <vt:i4>6094952</vt:i4>
      </vt:variant>
      <vt:variant>
        <vt:i4>3</vt:i4>
      </vt:variant>
      <vt:variant>
        <vt:i4>0</vt:i4>
      </vt:variant>
      <vt:variant>
        <vt:i4>5</vt:i4>
      </vt:variant>
      <vt:variant>
        <vt:lpwstr>http://www.michelin.com</vt:lpwstr>
      </vt:variant>
      <vt:variant>
        <vt:lpwstr/>
      </vt:variant>
      <vt:variant>
        <vt:i4>2555998</vt:i4>
      </vt:variant>
      <vt:variant>
        <vt:i4>0</vt:i4>
      </vt:variant>
      <vt:variant>
        <vt:i4>0</vt:i4>
      </vt:variant>
      <vt:variant>
        <vt:i4>5</vt:i4>
      </vt:variant>
      <vt:variant>
        <vt:lpwstr>http://www.michelin.com/corporate</vt:lpwstr>
      </vt:variant>
      <vt:variant>
        <vt:lpwstr/>
      </vt:variant>
      <vt:variant>
        <vt:i4>3932196</vt:i4>
      </vt:variant>
      <vt:variant>
        <vt:i4>23068</vt:i4>
      </vt:variant>
      <vt:variant>
        <vt:i4>1025</vt:i4>
      </vt:variant>
      <vt:variant>
        <vt:i4>1</vt:i4>
      </vt:variant>
      <vt:variant>
        <vt:lpwstr>LOGOTIPO MICHELIN CABECERA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DE PRENSA</dc:title>
  <dc:subject/>
  <dc:creator>.</dc:creator>
  <cp:keywords/>
  <cp:lastModifiedBy>Julio</cp:lastModifiedBy>
  <cp:revision>9</cp:revision>
  <cp:lastPrinted>2013-02-12T16:36:00Z</cp:lastPrinted>
  <dcterms:created xsi:type="dcterms:W3CDTF">2013-02-12T16:31:00Z</dcterms:created>
  <dcterms:modified xsi:type="dcterms:W3CDTF">2013-02-12T16:37:00Z</dcterms:modified>
</cp:coreProperties>
</file>