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7" w:rsidRPr="000F3918" w:rsidRDefault="00913057" w:rsidP="00913057">
      <w:pPr>
        <w:pStyle w:val="Heading1"/>
        <w:spacing w:after="230"/>
        <w:rPr>
          <w:rFonts w:ascii="Times" w:hAnsi="Times" w:cs="Times"/>
          <w:sz w:val="22"/>
        </w:rPr>
      </w:pPr>
    </w:p>
    <w:p w:rsidR="00913057" w:rsidRPr="000F3918" w:rsidRDefault="00913057" w:rsidP="00913057">
      <w:pPr>
        <w:pStyle w:val="Heading1"/>
        <w:spacing w:after="230"/>
        <w:rPr>
          <w:rFonts w:ascii="Times" w:hAnsi="Times" w:cs="Times"/>
          <w:sz w:val="22"/>
        </w:rPr>
      </w:pPr>
      <w:r>
        <w:rPr>
          <w:rFonts w:ascii="Times" w:hAnsi="Times" w:cs="Times"/>
          <w:bCs/>
          <w:sz w:val="22"/>
        </w:rPr>
        <w:t>INFORMAÇÃO DE IMPRENSA</w:t>
      </w:r>
      <w:r w:rsidR="0006573F">
        <w:rPr>
          <w:rFonts w:ascii="Times" w:hAnsi="Times" w:cs="Times"/>
          <w:b w:val="0"/>
          <w:sz w:val="22"/>
        </w:rPr>
        <w:br/>
        <w:t>14</w:t>
      </w:r>
      <w:r>
        <w:rPr>
          <w:rFonts w:ascii="Times" w:hAnsi="Times" w:cs="Times"/>
          <w:b w:val="0"/>
          <w:sz w:val="22"/>
        </w:rPr>
        <w:t>/02/2013</w:t>
      </w:r>
    </w:p>
    <w:p w:rsidR="00913057" w:rsidRPr="000F3918" w:rsidRDefault="00913057" w:rsidP="00913057">
      <w:pPr>
        <w:pStyle w:val="TITULARMICHELIN"/>
        <w:spacing w:after="230"/>
        <w:rPr>
          <w:rFonts w:ascii="Arial" w:hAnsi="Arial" w:cs="Arial"/>
          <w:szCs w:val="26"/>
        </w:rPr>
      </w:pPr>
    </w:p>
    <w:p w:rsidR="00913057" w:rsidRPr="000F3918" w:rsidRDefault="00913057" w:rsidP="00913057">
      <w:pPr>
        <w:pStyle w:val="TITULARMICHELIN"/>
        <w:spacing w:after="120"/>
        <w:rPr>
          <w:sz w:val="28"/>
          <w:szCs w:val="26"/>
        </w:rPr>
      </w:pPr>
      <w:r>
        <w:rPr>
          <w:bCs/>
          <w:sz w:val="38"/>
          <w:szCs w:val="38"/>
        </w:rPr>
        <w:t>Resultados financeiros do Grupo Michelin em 2012</w:t>
      </w:r>
      <w:r>
        <w:rPr>
          <w:b w:val="0"/>
          <w:szCs w:val="26"/>
        </w:rPr>
        <w:br/>
      </w:r>
      <w:r>
        <w:rPr>
          <w:bCs/>
          <w:sz w:val="28"/>
          <w:szCs w:val="26"/>
        </w:rPr>
        <w:t>Informação financeira em 31 de dezembro de 2012</w:t>
      </w:r>
    </w:p>
    <w:p w:rsidR="00913057" w:rsidRPr="000F3918" w:rsidRDefault="00913057" w:rsidP="00913057">
      <w:pPr>
        <w:jc w:val="center"/>
        <w:rPr>
          <w:rFonts w:ascii="Verdana" w:hAnsi="Verdana"/>
          <w:b/>
          <w:sz w:val="16"/>
          <w:szCs w:val="16"/>
        </w:rPr>
      </w:pPr>
    </w:p>
    <w:p w:rsidR="00913057" w:rsidRPr="000B1335" w:rsidRDefault="00913057" w:rsidP="0091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br/>
      </w:r>
      <w:r>
        <w:rPr>
          <w:rFonts w:ascii="Arial" w:hAnsi="Arial"/>
          <w:b/>
          <w:bCs/>
          <w:sz w:val="22"/>
          <w:szCs w:val="22"/>
          <w:u w:val="single"/>
        </w:rPr>
        <w:t>2012: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Resultados elevados em mercados pouco favoráveis.</w:t>
      </w:r>
    </w:p>
    <w:p w:rsidR="00F62BDE" w:rsidRPr="000F3918" w:rsidRDefault="00F62BDE" w:rsidP="00F62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Cash flow livre superior a 1.000 milhões de euros</w:t>
      </w:r>
    </w:p>
    <w:p w:rsidR="005020D0" w:rsidRPr="000F3918" w:rsidRDefault="009E60B7" w:rsidP="0050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Resultado operacional antes de elementos não recorrentes de 2.423 milhões de euros,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um aumento de 25%.</w:t>
      </w:r>
    </w:p>
    <w:p w:rsidR="00913057" w:rsidRPr="000F3918" w:rsidRDefault="005020D0" w:rsidP="0050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Margem operacional para a alta em dois pontos, até 11,3% das vendas líquidas.</w:t>
      </w:r>
    </w:p>
    <w:p w:rsidR="00913057" w:rsidRPr="000F3918" w:rsidRDefault="00913057" w:rsidP="0091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</w:rPr>
      </w:pPr>
    </w:p>
    <w:p w:rsidR="00913057" w:rsidRPr="000F3918" w:rsidRDefault="00913057" w:rsidP="00913057">
      <w:pPr>
        <w:pStyle w:val="EntradillaMICHELINOK"/>
        <w:spacing w:after="120"/>
        <w:ind w:left="360"/>
        <w:jc w:val="left"/>
        <w:rPr>
          <w:color w:val="auto"/>
        </w:rPr>
      </w:pPr>
    </w:p>
    <w:p w:rsidR="0063158D" w:rsidRPr="000F3918" w:rsidRDefault="006767C6" w:rsidP="004B554E">
      <w:pPr>
        <w:pStyle w:val="EntradillaMICHELINOK"/>
        <w:numPr>
          <w:ilvl w:val="0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Resultado operacional antes de elementos não recorrentes para a alta em 25% até aos 2.423 milhões de euros, o que reflete:</w:t>
      </w:r>
    </w:p>
    <w:p w:rsidR="0063158D" w:rsidRPr="000F3918" w:rsidRDefault="0063158D" w:rsidP="0063158D">
      <w:pPr>
        <w:pStyle w:val="EntradillaMICHELINOK"/>
        <w:numPr>
          <w:ilvl w:val="2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Uma eficaz política de preços</w:t>
      </w:r>
      <w:r>
        <w:rPr>
          <w:b w:val="0"/>
          <w:bCs w:val="0"/>
          <w:i w:val="0"/>
          <w:iCs w:val="0"/>
          <w:color w:val="auto"/>
        </w:rPr>
        <w:t xml:space="preserve"> </w:t>
      </w:r>
    </w:p>
    <w:p w:rsidR="0063158D" w:rsidRPr="000F3918" w:rsidRDefault="002D417A" w:rsidP="0063158D">
      <w:pPr>
        <w:pStyle w:val="EntradillaMICHELINOK"/>
        <w:numPr>
          <w:ilvl w:val="2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Uma presença mundial</w:t>
      </w:r>
    </w:p>
    <w:p w:rsidR="0063158D" w:rsidRPr="000F3918" w:rsidRDefault="0032751F" w:rsidP="0063158D">
      <w:pPr>
        <w:pStyle w:val="EntradillaMICHELINOK"/>
        <w:numPr>
          <w:ilvl w:val="2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Uma rentabilidade estruturalmente elevada devido aos pneus de especialidades</w:t>
      </w:r>
      <w:r>
        <w:rPr>
          <w:b w:val="0"/>
          <w:bCs w:val="0"/>
          <w:i w:val="0"/>
          <w:iCs w:val="0"/>
          <w:color w:val="auto"/>
        </w:rPr>
        <w:t xml:space="preserve"> </w:t>
      </w:r>
    </w:p>
    <w:p w:rsidR="0063158D" w:rsidRPr="000F3918" w:rsidRDefault="0063158D" w:rsidP="0063158D">
      <w:pPr>
        <w:pStyle w:val="EntradillaMICHELINOK"/>
        <w:numPr>
          <w:ilvl w:val="2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A recuperação da rentabilidade da atividade de pneus de camião, apesar de um mercado em claro retrocesso.</w:t>
      </w:r>
    </w:p>
    <w:p w:rsidR="00913057" w:rsidRPr="000F3918" w:rsidRDefault="00B83F4B" w:rsidP="004B554E">
      <w:pPr>
        <w:pStyle w:val="EntradillaMICHELINOK"/>
        <w:numPr>
          <w:ilvl w:val="0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Volumes para a baixa em 6,4%, com uma procura ainda fraca no segundo semestre.</w:t>
      </w:r>
    </w:p>
    <w:p w:rsidR="0063158D" w:rsidRPr="000F3918" w:rsidRDefault="00B83F4B" w:rsidP="0063158D">
      <w:pPr>
        <w:pStyle w:val="EntradillaMICHELINOK"/>
        <w:numPr>
          <w:ilvl w:val="0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Cash flow livre superior a 1.000 milhões de euros, o que demonstra:</w:t>
      </w:r>
    </w:p>
    <w:p w:rsidR="0063158D" w:rsidRPr="000F3918" w:rsidRDefault="006767C6" w:rsidP="0063158D">
      <w:pPr>
        <w:pStyle w:val="EntradillaMICHELINOK"/>
        <w:numPr>
          <w:ilvl w:val="2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A capacidade do Grupo para gerar cash estruturalmente</w:t>
      </w:r>
    </w:p>
    <w:p w:rsidR="0063158D" w:rsidRPr="000F3918" w:rsidRDefault="0063158D" w:rsidP="0063158D">
      <w:pPr>
        <w:pStyle w:val="EntradillaMICHELINOK"/>
        <w:numPr>
          <w:ilvl w:val="2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A tomada em consideração do objetivo de criação de valor em todas as entidades.</w:t>
      </w:r>
    </w:p>
    <w:p w:rsidR="0063158D" w:rsidRPr="000F3918" w:rsidRDefault="00924C99" w:rsidP="00913057">
      <w:pPr>
        <w:pStyle w:val="EntradillaMICHELINOK"/>
        <w:numPr>
          <w:ilvl w:val="0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Rentabilidade dos capitais empregues (ROCE) de 12,8%.</w:t>
      </w:r>
    </w:p>
    <w:p w:rsidR="00913057" w:rsidRPr="000F3918" w:rsidRDefault="00913057" w:rsidP="00913057">
      <w:pPr>
        <w:pStyle w:val="EntradillaMICHELINOK"/>
        <w:numPr>
          <w:ilvl w:val="0"/>
          <w:numId w:val="3"/>
        </w:numPr>
        <w:spacing w:after="120"/>
        <w:jc w:val="left"/>
        <w:rPr>
          <w:color w:val="auto"/>
        </w:rPr>
      </w:pPr>
      <w:r>
        <w:rPr>
          <w:color w:val="auto"/>
        </w:rPr>
        <w:t>Proposta de dividendo de 2,40 euros por ação, sujeita à aprovação da Assembleia Geral de Acionistas de 17 de maio de 2013.</w:t>
      </w:r>
    </w:p>
    <w:p w:rsidR="00913057" w:rsidRPr="000F3918" w:rsidRDefault="00913057" w:rsidP="00913057">
      <w:pPr>
        <w:pStyle w:val="TextoMichelin"/>
        <w:rPr>
          <w:b/>
          <w:bCs/>
          <w:sz w:val="28"/>
        </w:rPr>
      </w:pPr>
    </w:p>
    <w:p w:rsidR="00913057" w:rsidRPr="000F3918" w:rsidRDefault="00B713B1" w:rsidP="00913057">
      <w:pPr>
        <w:pStyle w:val="TextoMichelin"/>
        <w:rPr>
          <w:bCs/>
        </w:rPr>
      </w:pPr>
      <w:r>
        <w:rPr>
          <w:sz w:val="28"/>
        </w:rPr>
        <w:br w:type="column"/>
      </w:r>
      <w:r>
        <w:rPr>
          <w:b/>
          <w:bCs/>
          <w:sz w:val="28"/>
        </w:rPr>
        <w:t>Perspetivas 2013</w:t>
      </w:r>
    </w:p>
    <w:p w:rsidR="00C81FF6" w:rsidRDefault="00C81FF6" w:rsidP="00B713B1">
      <w:pPr>
        <w:pStyle w:val="TextoMichelin"/>
        <w:rPr>
          <w:b/>
          <w:bCs/>
        </w:rPr>
      </w:pPr>
      <w:r>
        <w:rPr>
          <w:b/>
          <w:bCs/>
        </w:rPr>
        <w:t>Numa conjuntura de mercados incertos nos países maduros e de crescimento nos novos mercados, a Michelin prevê volumes estáveis em 2013, graças à sua presença no mundo inteiro.</w:t>
      </w:r>
    </w:p>
    <w:p w:rsidR="00E25608" w:rsidRDefault="00550696" w:rsidP="00B713B1">
      <w:pPr>
        <w:pStyle w:val="TextoMichelin"/>
        <w:rPr>
          <w:b/>
          <w:bCs/>
        </w:rPr>
      </w:pPr>
      <w:r>
        <w:rPr>
          <w:b/>
          <w:bCs/>
        </w:rPr>
        <w:t>O preço das matérias-primas deveria permanecer estável durante o primeiro semestre, o que suporá um novo efeito favorável de entre 350 e 400 milhões de euros sobre o resultado operacional, que se compensará parcialmente pelo efeito das cláusulas de indexação nas atividades de primeiros equipamentos e de engenharia civil.</w:t>
      </w:r>
    </w:p>
    <w:p w:rsidR="00F95172" w:rsidRDefault="00F95172" w:rsidP="00B713B1">
      <w:pPr>
        <w:pStyle w:val="TextoMichelin"/>
        <w:rPr>
          <w:b/>
          <w:bCs/>
        </w:rPr>
      </w:pPr>
      <w:r>
        <w:rPr>
          <w:b/>
          <w:bCs/>
        </w:rPr>
        <w:t>O programa de investimentos (cerca de 2.000 milhões de euros) favorecerá o ambicioso objetivo de crescimento da Michelin, com a implantação de novas capacidades de produção nas zonas de crescimento, cuja entrada em serviço incidirá sobre os custos.</w:t>
      </w:r>
      <w:r>
        <w:t xml:space="preserve"> </w:t>
      </w:r>
      <w:r>
        <w:rPr>
          <w:b/>
          <w:bCs/>
        </w:rPr>
        <w:t>Esta medida afetará também a competitividade nos países maduros e a inovação tecnológica.</w:t>
      </w:r>
    </w:p>
    <w:p w:rsidR="0060265E" w:rsidRDefault="0060265E" w:rsidP="00B713B1">
      <w:pPr>
        <w:pStyle w:val="TextoMichelin"/>
        <w:rPr>
          <w:b/>
          <w:bCs/>
        </w:rPr>
      </w:pPr>
      <w:r>
        <w:rPr>
          <w:b/>
          <w:bCs/>
        </w:rPr>
        <w:t>Com confiança nas suas forças e graças ao lançamento de um ambicioso programa de melhoramento dos seus sistemas de gestão, o grupo Michelin confirma os seus objetivos para o horizonte de 2015 e pretende, para o ano 2013, conseguir um resultado operacional, antes de elementos não recorrentes, estável, baseado nas paridades cambiais atuais, uma rentabilidade dos capitais empregues superior a 10% e a geração de um cash flow livre positivo.</w:t>
      </w:r>
    </w:p>
    <w:p w:rsidR="00913057" w:rsidRPr="000F3918" w:rsidRDefault="00913057" w:rsidP="00913057">
      <w:pPr>
        <w:pStyle w:val="TextoMichelin"/>
        <w:rPr>
          <w:b/>
          <w:bCs/>
        </w:rPr>
      </w:pPr>
    </w:p>
    <w:p w:rsidR="00913057" w:rsidRPr="000F3918" w:rsidRDefault="00913057" w:rsidP="00913057">
      <w:pPr>
        <w:pStyle w:val="TextoMichelin"/>
        <w:rPr>
          <w:bCs/>
          <w:color w:val="FF0000"/>
        </w:rPr>
      </w:pPr>
      <w:r>
        <w:rPr>
          <w:color w:val="FF0000"/>
        </w:rPr>
        <w:br w:type="column"/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003"/>
        <w:gridCol w:w="2108"/>
      </w:tblGrid>
      <w:tr w:rsidR="00913057" w:rsidRPr="000F3918">
        <w:trPr>
          <w:jc w:val="center"/>
        </w:trPr>
        <w:tc>
          <w:tcPr>
            <w:tcW w:w="3227" w:type="dxa"/>
            <w:shd w:val="clear" w:color="auto" w:fill="E0E0E0"/>
          </w:tcPr>
          <w:p w:rsidR="00913057" w:rsidRPr="000F3918" w:rsidRDefault="00913057" w:rsidP="00913057">
            <w:pPr>
              <w:pStyle w:val="TextoMichelin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(EM MILHÕES DE EUROS)</w:t>
            </w:r>
          </w:p>
        </w:tc>
        <w:tc>
          <w:tcPr>
            <w:tcW w:w="2003" w:type="dxa"/>
            <w:shd w:val="clear" w:color="auto" w:fill="E0E0E0"/>
          </w:tcPr>
          <w:p w:rsidR="00913057" w:rsidRPr="000F3918" w:rsidRDefault="00913057" w:rsidP="00A93446">
            <w:pPr>
              <w:pStyle w:val="TextoMichelin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108" w:type="dxa"/>
            <w:shd w:val="clear" w:color="auto" w:fill="E0E0E0"/>
          </w:tcPr>
          <w:p w:rsidR="00913057" w:rsidRPr="000F3918" w:rsidRDefault="00913057" w:rsidP="00A93446">
            <w:pPr>
              <w:pStyle w:val="TextoMichelin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VENDAS LÍQUIDAS</w:t>
            </w:r>
          </w:p>
        </w:tc>
        <w:tc>
          <w:tcPr>
            <w:tcW w:w="2003" w:type="dxa"/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21.474</w:t>
            </w:r>
          </w:p>
          <w:p w:rsidR="00696E13" w:rsidRPr="00D70DBF" w:rsidRDefault="00696E13" w:rsidP="007874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20.719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696E13" w:rsidRPr="000F3918">
        <w:trPr>
          <w:trHeight w:val="846"/>
          <w:jc w:val="center"/>
        </w:trPr>
        <w:tc>
          <w:tcPr>
            <w:tcW w:w="3227" w:type="dxa"/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RESULTADO OPERACIONAL ANTES DE ELEMENTOS NÃO RECORRENTES</w:t>
            </w:r>
          </w:p>
        </w:tc>
        <w:tc>
          <w:tcPr>
            <w:tcW w:w="2003" w:type="dxa"/>
          </w:tcPr>
          <w:p w:rsidR="00696E13" w:rsidRPr="00D70DBF" w:rsidRDefault="00696E13" w:rsidP="00AA0EB1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2.423</w:t>
            </w:r>
          </w:p>
        </w:tc>
        <w:tc>
          <w:tcPr>
            <w:tcW w:w="2108" w:type="dxa"/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1.945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MARGEM OPERACIONAL ANTES DE ELEMENTOS NÃO RECORRENTES</w:t>
            </w:r>
          </w:p>
        </w:tc>
        <w:tc>
          <w:tcPr>
            <w:tcW w:w="2003" w:type="dxa"/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11,3%</w:t>
            </w:r>
          </w:p>
        </w:tc>
        <w:tc>
          <w:tcPr>
            <w:tcW w:w="2108" w:type="dxa"/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9,4%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</w:tcPr>
          <w:p w:rsidR="00696E13" w:rsidRPr="000F3918" w:rsidRDefault="00696E13" w:rsidP="00B21DB8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LIGEIRO, CAMIONETA E DISTRIBUIÇÃO ASSOCIADA </w:t>
            </w:r>
          </w:p>
        </w:tc>
        <w:tc>
          <w:tcPr>
            <w:tcW w:w="2003" w:type="dxa"/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9,3%</w:t>
            </w:r>
          </w:p>
        </w:tc>
        <w:tc>
          <w:tcPr>
            <w:tcW w:w="2108" w:type="dxa"/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9,4%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</w:tcPr>
          <w:p w:rsidR="00696E13" w:rsidRPr="000F3918" w:rsidRDefault="00696E13" w:rsidP="00B21DB8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CAMIÃO E </w:t>
            </w:r>
            <w:r>
              <w:rPr>
                <w:sz w:val="20"/>
              </w:rPr>
              <w:br/>
              <w:t xml:space="preserve">DISTRIBUIÇÃO ASSOCIADA </w:t>
            </w:r>
          </w:p>
        </w:tc>
        <w:tc>
          <w:tcPr>
            <w:tcW w:w="2003" w:type="dxa"/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6,6%</w:t>
            </w:r>
          </w:p>
        </w:tc>
        <w:tc>
          <w:tcPr>
            <w:tcW w:w="2108" w:type="dxa"/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3,5%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B21DB8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ATIVIDADES DE ESPECIALIDADES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7874AF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26,0%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21,5%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RESULTADO OPERACIONAL APÓS ELEMENTOS NÃO RECORRENTES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2.469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1.945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RESULTADO LÍQUIDO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1.571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1.462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INVESTIMENTOS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1.996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1.711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ENDIVIDAMENTO LÍQUIDO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1.053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1.814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PERCENTAGEM DE ENDIVIDAMENTO LÍQUIDO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22%</w:t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CASH FLOW LIVRE</w:t>
            </w:r>
            <w:r>
              <w:rPr>
                <w:rStyle w:val="FootnoteReference"/>
                <w:sz w:val="20"/>
              </w:rPr>
              <w:footnoteReference w:id="1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1.075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(19)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ROCE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12,8%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10,9%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696E13" w:rsidRPr="000F391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0F3918" w:rsidRDefault="00696E13" w:rsidP="00913057">
            <w:pPr>
              <w:pStyle w:val="TextoMichelin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EMPREGADOS</w:t>
            </w:r>
            <w:r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7874AF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113.400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3" w:rsidRPr="00D70DBF" w:rsidRDefault="00696E13" w:rsidP="009130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115.000</w:t>
            </w:r>
          </w:p>
        </w:tc>
      </w:tr>
    </w:tbl>
    <w:p w:rsidR="00913057" w:rsidRPr="000F3918" w:rsidRDefault="00913057" w:rsidP="00913057">
      <w:pPr>
        <w:pStyle w:val="TITULARMICHELIN"/>
        <w:spacing w:after="240"/>
        <w:rPr>
          <w:bCs/>
        </w:rPr>
      </w:pPr>
      <w:r>
        <w:rPr>
          <w:b w:val="0"/>
        </w:rPr>
        <w:br w:type="column"/>
      </w:r>
      <w:r>
        <w:rPr>
          <w:bCs/>
          <w:szCs w:val="26"/>
        </w:rPr>
        <w:t>Evolução do mercado de pneus</w:t>
      </w:r>
    </w:p>
    <w:p w:rsidR="00913057" w:rsidRPr="000F3918" w:rsidRDefault="00913057" w:rsidP="00B21DB8">
      <w:pPr>
        <w:pStyle w:val="LadilloMichelinDossier"/>
        <w:spacing w:before="0"/>
      </w:pPr>
      <w:r>
        <w:rPr>
          <w:bCs/>
        </w:rPr>
        <w:t>Ligeiro e camioneta</w:t>
      </w:r>
      <w:r>
        <w:rPr>
          <w:b w:val="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1275"/>
        <w:gridCol w:w="1276"/>
        <w:gridCol w:w="1276"/>
        <w:gridCol w:w="1417"/>
        <w:gridCol w:w="1276"/>
      </w:tblGrid>
      <w:tr w:rsidR="00913057" w:rsidRPr="000F3918">
        <w:trPr>
          <w:trHeight w:val="890"/>
        </w:trPr>
        <w:tc>
          <w:tcPr>
            <w:tcW w:w="2093" w:type="dxa"/>
            <w:shd w:val="clear" w:color="auto" w:fill="E0E0E0"/>
          </w:tcPr>
          <w:p w:rsidR="00913057" w:rsidRPr="000F3918" w:rsidRDefault="00913057" w:rsidP="00334908">
            <w:pPr>
              <w:pStyle w:val="LadilloMichelinDossier"/>
              <w:spacing w:before="0" w:after="0"/>
              <w:rPr>
                <w:bCs/>
                <w:sz w:val="21"/>
              </w:rPr>
            </w:pPr>
            <w:r>
              <w:rPr>
                <w:rFonts w:ascii="Arial" w:hAnsi="Arial"/>
                <w:bCs/>
                <w:sz w:val="20"/>
              </w:rPr>
              <w:t>2012/2011</w:t>
            </w:r>
            <w:r>
              <w:rPr>
                <w:rFonts w:ascii="Arial" w:hAnsi="Arial"/>
                <w:b w:val="0"/>
                <w:sz w:val="21"/>
              </w:rPr>
              <w:br/>
            </w:r>
            <w:r>
              <w:rPr>
                <w:rFonts w:ascii="Arial" w:hAnsi="Arial"/>
                <w:b w:val="0"/>
                <w:sz w:val="16"/>
              </w:rPr>
              <w:t>(Nº pneus)</w:t>
            </w:r>
          </w:p>
        </w:tc>
        <w:tc>
          <w:tcPr>
            <w:tcW w:w="1276" w:type="dxa"/>
            <w:shd w:val="clear" w:color="auto" w:fill="E0E0E0"/>
          </w:tcPr>
          <w:p w:rsidR="00913057" w:rsidRPr="00DA08B4" w:rsidRDefault="00913057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Europa</w:t>
            </w:r>
            <w:r>
              <w:rPr>
                <w:rFonts w:ascii="Arial" w:hAnsi="Arial"/>
                <w:sz w:val="32"/>
                <w:vertAlign w:val="superscript"/>
              </w:rPr>
              <w:sym w:font="Symbol" w:char="F02A"/>
            </w:r>
          </w:p>
        </w:tc>
        <w:tc>
          <w:tcPr>
            <w:tcW w:w="1275" w:type="dxa"/>
            <w:shd w:val="clear" w:color="auto" w:fill="E0E0E0"/>
          </w:tcPr>
          <w:p w:rsidR="00913057" w:rsidRPr="00DA08B4" w:rsidRDefault="00913057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ootnoteReference w:customMarkFollows="1" w:id="3"/>
              <w:t>América do Norte</w:t>
            </w:r>
          </w:p>
        </w:tc>
        <w:tc>
          <w:tcPr>
            <w:tcW w:w="1276" w:type="dxa"/>
            <w:shd w:val="clear" w:color="auto" w:fill="E0E0E0"/>
          </w:tcPr>
          <w:p w:rsidR="00913057" w:rsidRPr="00DA08B4" w:rsidRDefault="00913057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Ásia (excluindo a Índia)</w:t>
            </w:r>
          </w:p>
        </w:tc>
        <w:tc>
          <w:tcPr>
            <w:tcW w:w="1276" w:type="dxa"/>
            <w:shd w:val="clear" w:color="auto" w:fill="E0E0E0"/>
          </w:tcPr>
          <w:p w:rsidR="00913057" w:rsidRPr="00DA08B4" w:rsidRDefault="00913057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América do Sul</w:t>
            </w:r>
          </w:p>
        </w:tc>
        <w:tc>
          <w:tcPr>
            <w:tcW w:w="1417" w:type="dxa"/>
            <w:shd w:val="clear" w:color="auto" w:fill="E0E0E0"/>
          </w:tcPr>
          <w:p w:rsidR="00913057" w:rsidRPr="00DA08B4" w:rsidRDefault="00913057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África/Índia/ Médio Oriente</w:t>
            </w:r>
          </w:p>
        </w:tc>
        <w:tc>
          <w:tcPr>
            <w:tcW w:w="1276" w:type="dxa"/>
            <w:shd w:val="clear" w:color="auto" w:fill="E0E0E0"/>
          </w:tcPr>
          <w:p w:rsidR="00913057" w:rsidRPr="00DA08B4" w:rsidRDefault="00913057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</w:t>
            </w:r>
          </w:p>
        </w:tc>
      </w:tr>
      <w:tr w:rsidR="00334908" w:rsidRPr="000F3918">
        <w:trPr>
          <w:trHeight w:val="1271"/>
        </w:trPr>
        <w:tc>
          <w:tcPr>
            <w:tcW w:w="2093" w:type="dxa"/>
          </w:tcPr>
          <w:p w:rsidR="00334908" w:rsidRPr="000F3918" w:rsidRDefault="00334908" w:rsidP="00913057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Primeiros equipamentos</w:t>
            </w:r>
          </w:p>
          <w:p w:rsidR="00334908" w:rsidRPr="000F3918" w:rsidRDefault="00334908" w:rsidP="00913057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 xml:space="preserve">     </w:t>
            </w:r>
          </w:p>
          <w:p w:rsidR="00334908" w:rsidRPr="000F3918" w:rsidRDefault="00334908" w:rsidP="00913057">
            <w:pPr>
              <w:pStyle w:val="LadilloMichelinDossier"/>
              <w:spacing w:before="0" w:after="0"/>
              <w:jc w:val="both"/>
              <w:rPr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Substituição</w:t>
            </w:r>
          </w:p>
        </w:tc>
        <w:tc>
          <w:tcPr>
            <w:tcW w:w="1276" w:type="dxa"/>
          </w:tcPr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- 5%</w:t>
            </w: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- 10%</w:t>
            </w:r>
          </w:p>
        </w:tc>
        <w:tc>
          <w:tcPr>
            <w:tcW w:w="1275" w:type="dxa"/>
          </w:tcPr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+ 16%</w:t>
            </w: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- 2%</w:t>
            </w:r>
          </w:p>
        </w:tc>
        <w:tc>
          <w:tcPr>
            <w:tcW w:w="1276" w:type="dxa"/>
          </w:tcPr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+ 11%</w:t>
            </w: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+ 2%</w:t>
            </w:r>
          </w:p>
        </w:tc>
        <w:tc>
          <w:tcPr>
            <w:tcW w:w="1276" w:type="dxa"/>
          </w:tcPr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+ 0%</w:t>
            </w: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+ 2%</w:t>
            </w:r>
          </w:p>
        </w:tc>
        <w:tc>
          <w:tcPr>
            <w:tcW w:w="1417" w:type="dxa"/>
          </w:tcPr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- 3%</w:t>
            </w: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- 3%</w:t>
            </w:r>
          </w:p>
        </w:tc>
        <w:tc>
          <w:tcPr>
            <w:tcW w:w="1276" w:type="dxa"/>
          </w:tcPr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+ 6%</w:t>
            </w: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334908" w:rsidRPr="00DA08B4" w:rsidRDefault="00334908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- 4%</w:t>
            </w:r>
          </w:p>
        </w:tc>
      </w:tr>
      <w:tr w:rsidR="00596298" w:rsidRPr="000F3918">
        <w:trPr>
          <w:trHeight w:val="890"/>
        </w:trPr>
        <w:tc>
          <w:tcPr>
            <w:tcW w:w="2093" w:type="dxa"/>
            <w:shd w:val="clear" w:color="auto" w:fill="E0E0E0"/>
          </w:tcPr>
          <w:p w:rsidR="00596298" w:rsidRPr="000F3918" w:rsidRDefault="00596298" w:rsidP="00913057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4º Trimestre  </w:t>
            </w:r>
            <w:r>
              <w:rPr>
                <w:rFonts w:ascii="Arial" w:hAnsi="Arial"/>
                <w:b w:val="0"/>
                <w:sz w:val="20"/>
              </w:rPr>
              <w:t>2012/2011</w:t>
            </w:r>
          </w:p>
          <w:p w:rsidR="00596298" w:rsidRPr="000F3918" w:rsidRDefault="00596298" w:rsidP="00913057">
            <w:pPr>
              <w:pStyle w:val="LadilloMichelinDossier"/>
              <w:spacing w:before="0" w:after="0"/>
              <w:rPr>
                <w:bCs/>
                <w:sz w:val="21"/>
              </w:rPr>
            </w:pPr>
            <w:r>
              <w:rPr>
                <w:rFonts w:ascii="Arial" w:hAnsi="Arial"/>
                <w:b w:val="0"/>
                <w:sz w:val="16"/>
              </w:rPr>
              <w:t>(Nº pneus)</w:t>
            </w:r>
          </w:p>
        </w:tc>
        <w:tc>
          <w:tcPr>
            <w:tcW w:w="1276" w:type="dxa"/>
            <w:shd w:val="clear" w:color="auto" w:fill="E0E0E0"/>
          </w:tcPr>
          <w:p w:rsidR="00596298" w:rsidRPr="00DA08B4" w:rsidRDefault="00596298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Europa</w:t>
            </w:r>
            <w:r>
              <w:rPr>
                <w:rFonts w:ascii="Arial" w:hAnsi="Arial"/>
                <w:sz w:val="32"/>
                <w:vertAlign w:val="superscript"/>
              </w:rPr>
              <w:sym w:font="Symbol" w:char="F02A"/>
            </w:r>
          </w:p>
        </w:tc>
        <w:tc>
          <w:tcPr>
            <w:tcW w:w="1275" w:type="dxa"/>
            <w:shd w:val="clear" w:color="auto" w:fill="E0E0E0"/>
          </w:tcPr>
          <w:p w:rsidR="00596298" w:rsidRPr="00DA08B4" w:rsidRDefault="00596298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ootnoteReference w:customMarkFollows="1" w:id="4"/>
              <w:t>América do Norte</w:t>
            </w:r>
          </w:p>
        </w:tc>
        <w:tc>
          <w:tcPr>
            <w:tcW w:w="1276" w:type="dxa"/>
            <w:shd w:val="clear" w:color="auto" w:fill="E0E0E0"/>
          </w:tcPr>
          <w:p w:rsidR="00596298" w:rsidRPr="00DA08B4" w:rsidRDefault="00596298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Ásia (excluindo a Índia)</w:t>
            </w:r>
          </w:p>
        </w:tc>
        <w:tc>
          <w:tcPr>
            <w:tcW w:w="1276" w:type="dxa"/>
            <w:shd w:val="clear" w:color="auto" w:fill="E0E0E0"/>
          </w:tcPr>
          <w:p w:rsidR="00596298" w:rsidRPr="00DA08B4" w:rsidRDefault="00596298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América do Sul</w:t>
            </w:r>
          </w:p>
        </w:tc>
        <w:tc>
          <w:tcPr>
            <w:tcW w:w="1417" w:type="dxa"/>
            <w:shd w:val="clear" w:color="auto" w:fill="E0E0E0"/>
          </w:tcPr>
          <w:p w:rsidR="00596298" w:rsidRPr="00DA08B4" w:rsidRDefault="00596298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África/Índia/ Médio Oriente</w:t>
            </w:r>
          </w:p>
        </w:tc>
        <w:tc>
          <w:tcPr>
            <w:tcW w:w="1276" w:type="dxa"/>
            <w:shd w:val="clear" w:color="auto" w:fill="E0E0E0"/>
          </w:tcPr>
          <w:p w:rsidR="00596298" w:rsidRPr="00DA08B4" w:rsidRDefault="00596298" w:rsidP="00DA08B4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</w:t>
            </w:r>
          </w:p>
        </w:tc>
      </w:tr>
      <w:tr w:rsidR="00E02607" w:rsidRPr="000F3918">
        <w:trPr>
          <w:trHeight w:val="1271"/>
        </w:trPr>
        <w:tc>
          <w:tcPr>
            <w:tcW w:w="2093" w:type="dxa"/>
          </w:tcPr>
          <w:p w:rsidR="00E02607" w:rsidRPr="000F3918" w:rsidRDefault="00E02607" w:rsidP="00913057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Primeiros equipamentos</w:t>
            </w:r>
          </w:p>
          <w:p w:rsidR="00E02607" w:rsidRPr="000F3918" w:rsidRDefault="00E02607" w:rsidP="00913057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 xml:space="preserve">     </w:t>
            </w:r>
          </w:p>
          <w:p w:rsidR="00E02607" w:rsidRPr="000F3918" w:rsidRDefault="00E02607" w:rsidP="00913057">
            <w:pPr>
              <w:pStyle w:val="LadilloMichelinDossier"/>
              <w:spacing w:before="0" w:after="0"/>
              <w:jc w:val="both"/>
              <w:rPr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Substituição</w:t>
            </w:r>
          </w:p>
        </w:tc>
        <w:tc>
          <w:tcPr>
            <w:tcW w:w="1276" w:type="dxa"/>
          </w:tcPr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- 8%</w:t>
            </w: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- 9%</w:t>
            </w:r>
          </w:p>
        </w:tc>
        <w:tc>
          <w:tcPr>
            <w:tcW w:w="1275" w:type="dxa"/>
          </w:tcPr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+ 10%</w:t>
            </w: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 1%</w:t>
            </w:r>
          </w:p>
        </w:tc>
        <w:tc>
          <w:tcPr>
            <w:tcW w:w="1276" w:type="dxa"/>
          </w:tcPr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+ 5%</w:t>
            </w: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+ 4%</w:t>
            </w:r>
          </w:p>
        </w:tc>
        <w:tc>
          <w:tcPr>
            <w:tcW w:w="1276" w:type="dxa"/>
          </w:tcPr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+ 12%</w:t>
            </w: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+ 4%</w:t>
            </w:r>
          </w:p>
        </w:tc>
        <w:tc>
          <w:tcPr>
            <w:tcW w:w="1417" w:type="dxa"/>
          </w:tcPr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- 12%</w:t>
            </w: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- 5%</w:t>
            </w:r>
          </w:p>
        </w:tc>
        <w:tc>
          <w:tcPr>
            <w:tcW w:w="1276" w:type="dxa"/>
          </w:tcPr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+ 2%</w:t>
            </w: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</w:p>
          <w:p w:rsidR="00E02607" w:rsidRPr="00DA08B4" w:rsidRDefault="00E02607" w:rsidP="00DA08B4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- 2%</w:t>
            </w:r>
          </w:p>
        </w:tc>
      </w:tr>
    </w:tbl>
    <w:p w:rsidR="00B21DB8" w:rsidRPr="00B21DB8" w:rsidRDefault="00B21DB8" w:rsidP="00B21DB8">
      <w:pPr>
        <w:pStyle w:val="LadilloMichelinDossier"/>
        <w:spacing w:before="0" w:after="240"/>
        <w:ind w:left="360"/>
        <w:jc w:val="both"/>
        <w:rPr>
          <w:rFonts w:ascii="Arial" w:hAnsi="Arial"/>
          <w:bCs/>
          <w:sz w:val="21"/>
          <w:u w:val="single"/>
        </w:rPr>
      </w:pPr>
    </w:p>
    <w:p w:rsidR="00913057" w:rsidRPr="000F3918" w:rsidRDefault="00913057" w:rsidP="00B21DB8">
      <w:pPr>
        <w:pStyle w:val="LadilloMichelinDossier"/>
        <w:numPr>
          <w:ilvl w:val="0"/>
          <w:numId w:val="5"/>
        </w:numPr>
        <w:spacing w:before="0" w:after="240"/>
        <w:jc w:val="both"/>
        <w:rPr>
          <w:rFonts w:ascii="Arial" w:hAnsi="Arial"/>
          <w:bCs/>
          <w:sz w:val="21"/>
          <w:u w:val="single"/>
        </w:rPr>
      </w:pPr>
      <w:r>
        <w:rPr>
          <w:rFonts w:ascii="Arial" w:hAnsi="Arial"/>
          <w:bCs/>
          <w:sz w:val="21"/>
          <w:u w:val="single"/>
        </w:rPr>
        <w:t>Primeiros Equipamentos</w:t>
      </w:r>
    </w:p>
    <w:p w:rsidR="008C0BE6" w:rsidRDefault="00C87FFC" w:rsidP="00BC76AA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Europa, a procura de pneus diminuiu 5%. A descida das matrículas de veículos novos em 2012 na União Europeia, no seu nível mais baixo há 17 anos, disfarça uma atividade caracterizada pelo contraste entre a queda dos construtores de automóveis generalistas e a melhor resistência das marcas especialistas e exportadoras. Os mercados da Europa do Leste continuam a crescer (+ 11%).</w:t>
      </w:r>
    </w:p>
    <w:p w:rsidR="00966F4E" w:rsidRPr="008B20D9" w:rsidRDefault="00966F4E" w:rsidP="00B21DB8">
      <w:pPr>
        <w:pStyle w:val="LadilloMichelinDossier"/>
        <w:numPr>
          <w:ilvl w:val="1"/>
          <w:numId w:val="5"/>
        </w:numPr>
        <w:spacing w:before="0" w:line="240" w:lineRule="auto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O mercado da América do Norte aumenta 16% e aproveita as fortes vendas de carros novos, relacionadas com a renovação do parque automobilístico para recuperar os seus níveis de 2007.</w:t>
      </w:r>
    </w:p>
    <w:p w:rsidR="00A84C7A" w:rsidRDefault="0062244B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Ásia (excluindo a Índia), a procura subiu 11% globalmente. Na China, o mercado, sempre positivo, afrouxou o seu ritmo de crescimento (+ 6%). A procura no Japão (+ 18%) e no sudeste asiático (+ 38%) sobe em relação a um ano 2011 afetado pelas catástrofes naturais.</w:t>
      </w:r>
    </w:p>
    <w:p w:rsidR="00B21DB8" w:rsidRPr="00B26600" w:rsidRDefault="008652EB" w:rsidP="00B21DB8">
      <w:pPr>
        <w:pStyle w:val="LadilloMichelinDossier"/>
        <w:numPr>
          <w:ilvl w:val="1"/>
          <w:numId w:val="5"/>
        </w:numPr>
        <w:spacing w:before="0" w:after="240"/>
        <w:jc w:val="both"/>
        <w:rPr>
          <w:rFonts w:ascii="Arial" w:hAnsi="Arial"/>
          <w:bCs/>
          <w:sz w:val="21"/>
        </w:rPr>
      </w:pPr>
      <w:r w:rsidRPr="00B26600">
        <w:rPr>
          <w:rFonts w:ascii="Arial" w:hAnsi="Arial"/>
          <w:b w:val="0"/>
          <w:sz w:val="21"/>
        </w:rPr>
        <w:t>Na América do Sul, a procura permanece estável, o dinamismo da procura no segundo semestre (+ 7</w:t>
      </w:r>
      <w:r w:rsidRPr="00B26600">
        <w:rPr>
          <w:rFonts w:ascii="Arial" w:hAnsi="Arial"/>
          <w:bCs/>
          <w:sz w:val="21"/>
        </w:rPr>
        <w:t>%) equilibra o retrocesso do primeiro semestre (- 7%).</w:t>
      </w:r>
      <w:r w:rsidRPr="00B26600">
        <w:rPr>
          <w:rFonts w:ascii="Arial" w:hAnsi="Arial"/>
          <w:b w:val="0"/>
          <w:sz w:val="21"/>
        </w:rPr>
        <w:t xml:space="preserve"> </w:t>
      </w:r>
      <w:r w:rsidRPr="00B26600">
        <w:rPr>
          <w:rFonts w:ascii="Arial" w:hAnsi="Arial"/>
          <w:bCs/>
          <w:sz w:val="21"/>
        </w:rPr>
        <w:t>O mercado brasileiro progride em 3% sustentado pelas medidas governamentais implementadas no outono</w:t>
      </w:r>
      <w:r w:rsidRPr="00B26600">
        <w:rPr>
          <w:rFonts w:ascii="Arial" w:hAnsi="Arial"/>
          <w:b w:val="0"/>
          <w:sz w:val="21"/>
        </w:rPr>
        <w:t>.</w:t>
      </w:r>
    </w:p>
    <w:p w:rsidR="00B21DB8" w:rsidRPr="00B21DB8" w:rsidRDefault="00B21DB8" w:rsidP="00B21DB8">
      <w:pPr>
        <w:pStyle w:val="LadilloMichelinDossier"/>
        <w:spacing w:before="0" w:after="240"/>
        <w:jc w:val="both"/>
        <w:rPr>
          <w:rFonts w:ascii="Arial" w:hAnsi="Arial"/>
          <w:bCs/>
          <w:sz w:val="21"/>
          <w:u w:val="single"/>
        </w:rPr>
      </w:pPr>
    </w:p>
    <w:p w:rsidR="00913057" w:rsidRPr="008652EB" w:rsidRDefault="00B26600" w:rsidP="00B21DB8">
      <w:pPr>
        <w:pStyle w:val="LadilloMichelinDossier"/>
        <w:numPr>
          <w:ilvl w:val="0"/>
          <w:numId w:val="5"/>
        </w:numPr>
        <w:spacing w:before="0" w:after="240"/>
        <w:jc w:val="both"/>
        <w:rPr>
          <w:rFonts w:ascii="Arial" w:hAnsi="Arial"/>
          <w:bCs/>
          <w:sz w:val="21"/>
          <w:u w:val="single"/>
        </w:rPr>
      </w:pPr>
      <w:r>
        <w:rPr>
          <w:rFonts w:ascii="Arial" w:hAnsi="Arial"/>
          <w:bCs/>
          <w:sz w:val="21"/>
          <w:u w:val="single"/>
        </w:rPr>
        <w:br w:type="column"/>
      </w:r>
      <w:r w:rsidR="00913057">
        <w:rPr>
          <w:rFonts w:ascii="Arial" w:hAnsi="Arial"/>
          <w:bCs/>
          <w:sz w:val="21"/>
          <w:u w:val="single"/>
        </w:rPr>
        <w:t>Substituição</w:t>
      </w:r>
    </w:p>
    <w:p w:rsidR="00412E56" w:rsidRDefault="00F971B2" w:rsidP="00913057">
      <w:pPr>
        <w:pStyle w:val="LadilloMichelinDossier"/>
        <w:numPr>
          <w:ilvl w:val="1"/>
          <w:numId w:val="5"/>
        </w:numPr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Europa, num contexto macroeconómico bastante incerto, o mercado desce 10% em relação a 2011. A Europa ocidental sofre assim uma queda record, superior à descida de 2008, acentuada pela redução de stock da distribuição. O mercado de inverno marca uma queda de 16%, como se esperava, e o segmento de pneus de altas performances (17” e superiores) afrouxa de maneira menos acentuada que a média do mercado europeu, o que reflete a continuidade do melhoramento do mix.</w:t>
      </w:r>
    </w:p>
    <w:p w:rsidR="006B621A" w:rsidRPr="006B621A" w:rsidRDefault="00586C35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Cs/>
          <w:sz w:val="21"/>
        </w:rPr>
      </w:pPr>
      <w:r>
        <w:rPr>
          <w:rFonts w:ascii="Arial" w:hAnsi="Arial"/>
          <w:b w:val="0"/>
          <w:sz w:val="21"/>
        </w:rPr>
        <w:t>Na América do Norte, a procura, com quedas de 2%, sofre a perda de confiança dos consumidores, apesar da relativa estabilidade das distâncias médias percorridas e do custo dos combustíveis. Após uma recuperação em 2010, o mercado norte-americano volta ao seu nível de 2009, sensivelmente inferior ao número de pneus vendidos em 2007. O mercado dos Estados Unidos, marcado por um importante aumento das importações chinesas após o levantamento das taxas alfandegárias, cai 3%.</w:t>
      </w:r>
    </w:p>
    <w:p w:rsidR="00A83FD5" w:rsidRDefault="0075308E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Ásia (excluindo a Índia), os mercados aumentam 2% globalmente. A procura chinesa aumenta 4%, apesar da queda no ritmo do crescimento económico. O mercado japonês (- 1%), lastrado em 2011 pelas catástrofes naturais, recupera um volume habitual, com as vendas de pneus de inverno estáveis. Na Coreia, a procura desce 6% numa economia orientada para a exportação e sancionada pelas incertezas económicas mundiais.</w:t>
      </w:r>
    </w:p>
    <w:p w:rsidR="00913057" w:rsidRPr="000F3918" w:rsidRDefault="008A7E2A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América do Sul, o mercado está a subir ligeiramente (+ 2%), com fortes disparidades por países. No Brasil, aumenta 3% até níveis de 2011, graças à manutenção da procura dos clientes finais.</w:t>
      </w:r>
    </w:p>
    <w:p w:rsidR="00913057" w:rsidRPr="000F3918" w:rsidRDefault="00913057" w:rsidP="00913057">
      <w:pPr>
        <w:spacing w:after="60"/>
        <w:ind w:left="720"/>
        <w:jc w:val="both"/>
        <w:rPr>
          <w:rFonts w:ascii="Arial" w:hAnsi="Arial"/>
          <w:bCs/>
          <w:sz w:val="21"/>
        </w:rPr>
      </w:pPr>
    </w:p>
    <w:p w:rsidR="00913057" w:rsidRPr="000F3918" w:rsidRDefault="00913057" w:rsidP="00913057">
      <w:pPr>
        <w:pStyle w:val="LadilloMichelinDossier"/>
      </w:pPr>
      <w:r>
        <w:rPr>
          <w:b w:val="0"/>
        </w:rPr>
        <w:br w:type="column"/>
      </w:r>
      <w:r>
        <w:rPr>
          <w:bCs/>
        </w:rPr>
        <w:t>Camião</w:t>
      </w:r>
      <w:r>
        <w:rPr>
          <w:b w:val="0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1275"/>
        <w:gridCol w:w="1418"/>
        <w:gridCol w:w="1134"/>
        <w:gridCol w:w="1417"/>
        <w:gridCol w:w="1276"/>
      </w:tblGrid>
      <w:tr w:rsidR="00913057" w:rsidRPr="000F3918">
        <w:trPr>
          <w:trHeight w:val="1002"/>
        </w:trPr>
        <w:tc>
          <w:tcPr>
            <w:tcW w:w="2093" w:type="dxa"/>
            <w:shd w:val="clear" w:color="auto" w:fill="E0E0E0"/>
          </w:tcPr>
          <w:p w:rsidR="00913057" w:rsidRPr="000F3918" w:rsidRDefault="00913057" w:rsidP="006D7B1F">
            <w:pPr>
              <w:pStyle w:val="LadilloMichelinDossier"/>
              <w:spacing w:before="0" w:after="0"/>
              <w:rPr>
                <w:bCs/>
                <w:sz w:val="21"/>
              </w:rPr>
            </w:pPr>
            <w:r>
              <w:rPr>
                <w:rFonts w:ascii="Arial" w:hAnsi="Arial"/>
                <w:bCs/>
                <w:sz w:val="20"/>
              </w:rPr>
              <w:t>2012/2011</w:t>
            </w:r>
            <w:r>
              <w:rPr>
                <w:rFonts w:ascii="Arial" w:hAnsi="Arial"/>
                <w:b w:val="0"/>
                <w:sz w:val="21"/>
              </w:rPr>
              <w:br/>
            </w:r>
            <w:r>
              <w:rPr>
                <w:rFonts w:ascii="Arial" w:hAnsi="Arial"/>
                <w:b w:val="0"/>
                <w:sz w:val="16"/>
              </w:rPr>
              <w:t>(Nº pneus)</w:t>
            </w:r>
          </w:p>
        </w:tc>
        <w:tc>
          <w:tcPr>
            <w:tcW w:w="1276" w:type="dxa"/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bCs/>
                <w:sz w:val="21"/>
              </w:rPr>
            </w:pPr>
            <w:r>
              <w:rPr>
                <w:rFonts w:ascii="Arial" w:hAnsi="Arial"/>
                <w:bCs/>
                <w:sz w:val="20"/>
              </w:rPr>
              <w:t>Europa</w:t>
            </w:r>
            <w:r>
              <w:rPr>
                <w:rStyle w:val="FootnoteReference"/>
                <w:rFonts w:ascii="Arial" w:hAnsi="Arial"/>
                <w:b w:val="0"/>
                <w:sz w:val="32"/>
              </w:rPr>
              <w:sym w:font="Symbol" w:char="F02A"/>
            </w:r>
            <w:r>
              <w:rPr>
                <w:rStyle w:val="FootnoteReference"/>
                <w:rFonts w:ascii="Arial" w:hAnsi="Arial"/>
                <w:b w:val="0"/>
                <w:sz w:val="32"/>
              </w:rPr>
              <w:sym w:font="Symbol" w:char="F02A"/>
            </w:r>
          </w:p>
        </w:tc>
        <w:tc>
          <w:tcPr>
            <w:tcW w:w="1275" w:type="dxa"/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ootnoteReference w:customMarkFollows="1" w:id="5"/>
              <w:t>América do Norte</w:t>
            </w:r>
          </w:p>
        </w:tc>
        <w:tc>
          <w:tcPr>
            <w:tcW w:w="1418" w:type="dxa"/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Ásia</w:t>
            </w:r>
          </w:p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(excluindo a Índia)</w:t>
            </w:r>
          </w:p>
        </w:tc>
        <w:tc>
          <w:tcPr>
            <w:tcW w:w="1134" w:type="dxa"/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América do Sul</w:t>
            </w:r>
          </w:p>
        </w:tc>
        <w:tc>
          <w:tcPr>
            <w:tcW w:w="1417" w:type="dxa"/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África/Índia/ Médio Oriente</w:t>
            </w:r>
          </w:p>
        </w:tc>
        <w:tc>
          <w:tcPr>
            <w:tcW w:w="1276" w:type="dxa"/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Total</w:t>
            </w:r>
          </w:p>
        </w:tc>
      </w:tr>
      <w:tr w:rsidR="006D7B1F" w:rsidRPr="000F3918">
        <w:tc>
          <w:tcPr>
            <w:tcW w:w="2093" w:type="dxa"/>
          </w:tcPr>
          <w:p w:rsidR="006D7B1F" w:rsidRPr="000F3918" w:rsidRDefault="006D7B1F" w:rsidP="00913057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Primeiros equipamentos*</w:t>
            </w:r>
          </w:p>
          <w:p w:rsidR="006D7B1F" w:rsidRPr="000F3918" w:rsidRDefault="006D7B1F" w:rsidP="00913057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 xml:space="preserve">     </w:t>
            </w:r>
          </w:p>
          <w:p w:rsidR="006D7B1F" w:rsidRPr="000F3918" w:rsidRDefault="006D7B1F" w:rsidP="00913057">
            <w:pPr>
              <w:pStyle w:val="LadilloMichelinDossier"/>
              <w:spacing w:before="0" w:after="0"/>
              <w:jc w:val="both"/>
              <w:rPr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Substituição*</w:t>
            </w:r>
          </w:p>
        </w:tc>
        <w:tc>
          <w:tcPr>
            <w:tcW w:w="1276" w:type="dxa"/>
          </w:tcPr>
          <w:p w:rsidR="006D7B1F" w:rsidRPr="00DA08B4" w:rsidRDefault="006D7B1F">
            <w:pPr>
              <w:spacing w:before="19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- 4%</w:t>
            </w:r>
          </w:p>
          <w:p w:rsidR="006D7B1F" w:rsidRPr="00DA08B4" w:rsidRDefault="006D7B1F">
            <w:pPr>
              <w:spacing w:before="18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>
            <w:pPr>
              <w:ind w:left="285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- 14%</w:t>
            </w: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1275" w:type="dxa"/>
          </w:tcPr>
          <w:p w:rsidR="006D7B1F" w:rsidRPr="00DA08B4" w:rsidRDefault="006D7B1F">
            <w:pPr>
              <w:spacing w:before="19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>
            <w:pPr>
              <w:ind w:left="313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+ 2%</w:t>
            </w:r>
          </w:p>
          <w:p w:rsidR="006D7B1F" w:rsidRPr="00DA08B4" w:rsidRDefault="006D7B1F">
            <w:pPr>
              <w:spacing w:before="18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>
            <w:pPr>
              <w:ind w:left="347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- 2%</w:t>
            </w:r>
          </w:p>
        </w:tc>
        <w:tc>
          <w:tcPr>
            <w:tcW w:w="1418" w:type="dxa"/>
          </w:tcPr>
          <w:p w:rsidR="006D7B1F" w:rsidRPr="00DA08B4" w:rsidRDefault="006D7B1F">
            <w:pPr>
              <w:spacing w:before="19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- 9%</w:t>
            </w:r>
          </w:p>
          <w:p w:rsidR="006D7B1F" w:rsidRPr="00DA08B4" w:rsidRDefault="006D7B1F">
            <w:pPr>
              <w:spacing w:before="18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>
            <w:pPr>
              <w:ind w:left="349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- 6%</w:t>
            </w:r>
          </w:p>
        </w:tc>
        <w:tc>
          <w:tcPr>
            <w:tcW w:w="1134" w:type="dxa"/>
          </w:tcPr>
          <w:p w:rsidR="006D7B1F" w:rsidRPr="00DA08B4" w:rsidRDefault="006D7B1F">
            <w:pPr>
              <w:spacing w:before="19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283994" w:rsidP="00283994">
            <w:pPr>
              <w:ind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bCs/>
                <w:sz w:val="20"/>
              </w:rPr>
              <w:t>- 30%</w:t>
            </w:r>
          </w:p>
          <w:p w:rsidR="006D7B1F" w:rsidRPr="00DA08B4" w:rsidRDefault="006D7B1F">
            <w:pPr>
              <w:spacing w:before="18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283994" w:rsidP="00283994">
            <w:pPr>
              <w:ind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bCs/>
                <w:sz w:val="20"/>
              </w:rPr>
              <w:t>+ 3%</w:t>
            </w:r>
          </w:p>
        </w:tc>
        <w:tc>
          <w:tcPr>
            <w:tcW w:w="1417" w:type="dxa"/>
          </w:tcPr>
          <w:p w:rsidR="006D7B1F" w:rsidRPr="00DA08B4" w:rsidRDefault="006D7B1F">
            <w:pPr>
              <w:spacing w:before="19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>
            <w:pPr>
              <w:ind w:left="321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+ 31%</w:t>
            </w:r>
          </w:p>
          <w:p w:rsidR="006D7B1F" w:rsidRPr="00DA08B4" w:rsidRDefault="006D7B1F">
            <w:pPr>
              <w:spacing w:before="18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>
            <w:pPr>
              <w:ind w:left="383" w:right="-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+ 8%</w:t>
            </w:r>
          </w:p>
        </w:tc>
        <w:tc>
          <w:tcPr>
            <w:tcW w:w="1276" w:type="dxa"/>
          </w:tcPr>
          <w:p w:rsidR="006D7B1F" w:rsidRPr="00DA08B4" w:rsidRDefault="006D7B1F" w:rsidP="006A35A3">
            <w:pPr>
              <w:spacing w:before="19" w:line="200" w:lineRule="exact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 w:rsidP="006A35A3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- 5%</w:t>
            </w:r>
          </w:p>
          <w:p w:rsidR="006D7B1F" w:rsidRPr="00DA08B4" w:rsidRDefault="006D7B1F" w:rsidP="006A35A3">
            <w:pPr>
              <w:spacing w:before="18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D7B1F" w:rsidRPr="00DA08B4" w:rsidRDefault="006D7B1F" w:rsidP="006A35A3">
            <w:pPr>
              <w:ind w:right="-2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- 4%</w:t>
            </w:r>
          </w:p>
        </w:tc>
      </w:tr>
      <w:tr w:rsidR="00436118" w:rsidRPr="000F3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6118" w:rsidRPr="00E701D7" w:rsidRDefault="00436118" w:rsidP="00DA08B4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4º Trimestre  2012/2011</w:t>
            </w:r>
          </w:p>
          <w:p w:rsidR="00436118" w:rsidRPr="00E701D7" w:rsidRDefault="00436118" w:rsidP="00E701D7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(Nº pneus)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6118" w:rsidRPr="00E701D7" w:rsidRDefault="00436118" w:rsidP="006A35A3">
            <w:pPr>
              <w:pStyle w:val="LadilloMichelinDossier"/>
              <w:spacing w:before="0" w:after="0"/>
              <w:jc w:val="center"/>
              <w:rPr>
                <w:b w:val="0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Europa</w:t>
            </w:r>
            <w:r>
              <w:rPr>
                <w:rFonts w:ascii="Arial" w:hAnsi="Arial"/>
                <w:b w:val="0"/>
                <w:sz w:val="32"/>
                <w:vertAlign w:val="superscript"/>
              </w:rPr>
              <w:sym w:font="Symbol" w:char="F02A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6118" w:rsidRPr="000F3918" w:rsidRDefault="00436118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ootnoteReference w:customMarkFollows="1" w:id="6"/>
              <w:t>América do Norte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6118" w:rsidRPr="000F3918" w:rsidRDefault="00436118" w:rsidP="0091305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Ásia</w:t>
            </w:r>
          </w:p>
          <w:p w:rsidR="00436118" w:rsidRPr="000F3918" w:rsidRDefault="00436118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(excluindo a Índia)</w:t>
            </w:r>
            <w:r>
              <w:rPr>
                <w:rFonts w:ascii="Arial" w:hAnsi="Arial"/>
                <w:b w:val="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6118" w:rsidRPr="000F3918" w:rsidRDefault="00436118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América do Sul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6118" w:rsidRPr="000F3918" w:rsidRDefault="00436118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África/Índia/ Médio Oriente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6118" w:rsidRPr="000F3918" w:rsidRDefault="00436118" w:rsidP="00913057">
            <w:pPr>
              <w:pStyle w:val="LadilloMichelinDossier"/>
              <w:spacing w:before="0" w:after="0"/>
              <w:jc w:val="center"/>
              <w:rPr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Total</w:t>
            </w:r>
          </w:p>
        </w:tc>
      </w:tr>
      <w:tr w:rsidR="00E701D7" w:rsidRPr="000F3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7" w:rsidRPr="000F3918" w:rsidRDefault="00E701D7" w:rsidP="000D1C68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Primeiros equipamentos*</w:t>
            </w:r>
          </w:p>
          <w:p w:rsidR="00E701D7" w:rsidRPr="000F3918" w:rsidRDefault="00E701D7" w:rsidP="000D1C68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 xml:space="preserve">     </w:t>
            </w:r>
          </w:p>
          <w:p w:rsidR="00E701D7" w:rsidRPr="00E701D7" w:rsidRDefault="00E701D7" w:rsidP="000D1C68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1"/>
              </w:rPr>
            </w:pPr>
            <w:r>
              <w:rPr>
                <w:rFonts w:ascii="Arial" w:hAnsi="Arial"/>
                <w:b w:val="0"/>
                <w:sz w:val="21"/>
              </w:rPr>
              <w:t>Substituição*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- 7%</w:t>
            </w: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+ 2%</w:t>
            </w: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- 15%</w:t>
            </w: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- 10%</w:t>
            </w: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- 27%</w:t>
            </w: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+ 31%</w:t>
            </w: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- 9%</w:t>
            </w: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701D7" w:rsidRPr="00DA08B4" w:rsidRDefault="00E701D7" w:rsidP="006A35A3">
            <w:pPr>
              <w:spacing w:before="19" w:line="2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+ 3%</w:t>
            </w:r>
          </w:p>
        </w:tc>
      </w:tr>
    </w:tbl>
    <w:p w:rsidR="00913057" w:rsidRPr="000F3918" w:rsidRDefault="00913057" w:rsidP="00913057">
      <w:pPr>
        <w:pStyle w:val="LadilloMichelinDossier"/>
        <w:numPr>
          <w:ilvl w:val="0"/>
          <w:numId w:val="5"/>
        </w:numPr>
        <w:spacing w:after="240"/>
        <w:jc w:val="both"/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Primeiros Equipamentos</w:t>
      </w:r>
    </w:p>
    <w:p w:rsidR="00450DC4" w:rsidRPr="000F3918" w:rsidRDefault="00450DC4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Europa, o mercado experimenta um retrocesso de 4%, inferior aos níveis de 2007 e 2008. Embora a descida tenha permanecido relativamente limitada durante o primeiro semestre (- 2%), o mercado acentuou a sua contração no segundo semestre (- 5%), refletindo assim a degradação do contexto macroeconómico europeu.</w:t>
      </w:r>
    </w:p>
    <w:p w:rsidR="0069592E" w:rsidRDefault="00450DC4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América do Norte, após registar um acentuado crescimento no primeiro semestre (+ 17%), o mercado afrouxou bastante na segunda metade do ano para acabar o período com um crescimento limitado de 2%. As incertezas macroeconómicas relacionadas com os problemas fiscais dos Estados Unidos pesaram nas encomendas de camiões novos.</w:t>
      </w:r>
    </w:p>
    <w:p w:rsidR="0043224F" w:rsidRDefault="00B02992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Ásia (excluindo a Índia), a procura retrocedeu 9%. Na China, num contexto de afrouxamento do crescimento económico e em particular das exportações, o mercado desceu (- 15%). No sudeste asiático, o mercado, que continua a sua «radialização», foi muito ativo (+ 42%), assim como no Japão (+ 12%), beneficiando-se ambos de uma base comparativa com 2011 marcada pelas inundações e pelo tsunami.</w:t>
      </w:r>
    </w:p>
    <w:p w:rsidR="00E632A9" w:rsidRDefault="00F63ECA" w:rsidP="00A61AD3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América do Sul, o mercado experimenta uma queda importante (- 30%) devido à introdução no Brasil da norma EURO V em 2012. As condições de financiamento favoráveis implementadas pelo Governo brasileiro permitiram ao mercado modificar essa tendência e recuperar-se no quarto trimestre.</w:t>
      </w:r>
    </w:p>
    <w:p w:rsidR="00913057" w:rsidRPr="000F3918" w:rsidRDefault="00913057" w:rsidP="00913057">
      <w:pPr>
        <w:pStyle w:val="LadilloMichelinDossier"/>
        <w:numPr>
          <w:ilvl w:val="0"/>
          <w:numId w:val="5"/>
        </w:numPr>
        <w:spacing w:after="240"/>
        <w:jc w:val="both"/>
        <w:rPr>
          <w:bCs/>
        </w:rPr>
      </w:pPr>
      <w:r>
        <w:rPr>
          <w:rFonts w:ascii="Arial" w:hAnsi="Arial"/>
          <w:bCs/>
          <w:sz w:val="21"/>
        </w:rPr>
        <w:t>Substituição</w:t>
      </w:r>
    </w:p>
    <w:p w:rsidR="00170AED" w:rsidRDefault="008A42EA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Europa, o mercado cai 14%. No primeiro semestre (- 25%), a descida explica-se principalmente pelas elevadas bases de comparação e por um fenómeno de redução de stock na distribuição. No segundo semestre, a debilidade da atividade do transporte e as perspetivas macroeconómicas continuaram a pesar sobre a procura. Na Europa oriental, o retrocesso do mercado (- 3%) está relacionado fundamentalmente com o mesmo fenómeno de redução de stocks.</w:t>
      </w:r>
    </w:p>
    <w:p w:rsidR="00170AED" w:rsidRDefault="00170AED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 xml:space="preserve">Na América do Norte, o mercado experimenta uma descida limitada de 2%, que reflete a prudência das frotas perante a incerteza económica apesar de uma atividade de fretes relativamente robusta. Esta contração também se pode explicar pelo forte crescimento dos primeiros equipamentos e pela disponibilidade de carcaças para a recauchutagem. </w:t>
      </w:r>
    </w:p>
    <w:p w:rsidR="00AD0BF3" w:rsidRPr="00A13D96" w:rsidRDefault="00A13D96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Os mercados da Ásia (excluindo a Índia) caem 6%. Na China, o mercado decresce (- 7%) pela desaceleração do crescimento económico e das exportações. No Japão, o mercado está a descer (- 6%), com uma base de comparação com 2011 elevada pelas subidas de preços do ano passado e pela reconstrução dos stocks em 2011 após o tsunami. Na Coreia, o mercado está igualmente em retrocesso. O afrouxamento da procura mundial pesa sobre as exportações e a atividade do transporte coreano (- 6%).</w:t>
      </w:r>
    </w:p>
    <w:p w:rsidR="001609F0" w:rsidRDefault="00AD0BF3" w:rsidP="00B21DB8">
      <w:pPr>
        <w:pStyle w:val="LadilloMichelinDossier"/>
        <w:numPr>
          <w:ilvl w:val="1"/>
          <w:numId w:val="5"/>
        </w:numPr>
        <w:spacing w:before="0"/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 w:val="0"/>
          <w:sz w:val="21"/>
        </w:rPr>
        <w:t>Na América do Sul, o mercado cresce 3%. No Brasil, uma mais estrita aplicação dos controlos alfandegários reduziu as importações e, em geral, o conjunto do mercado. No último trimestre, o mercado mostrou os primeiros sintomas de recuperação.</w:t>
      </w:r>
    </w:p>
    <w:p w:rsidR="00913057" w:rsidRPr="000F3918" w:rsidRDefault="003A0289" w:rsidP="00913057">
      <w:pPr>
        <w:pStyle w:val="LadilloMichelinDossier"/>
        <w:spacing w:after="240"/>
      </w:pPr>
      <w:r>
        <w:rPr>
          <w:b w:val="0"/>
        </w:rPr>
        <w:br w:type="column"/>
      </w:r>
      <w:r>
        <w:rPr>
          <w:bCs/>
        </w:rPr>
        <w:t>Pneus de especialidades</w:t>
      </w:r>
    </w:p>
    <w:p w:rsidR="00047843" w:rsidRPr="00047843" w:rsidRDefault="00913057" w:rsidP="00913057">
      <w:pPr>
        <w:pStyle w:val="LadilloMichelinDossier"/>
        <w:numPr>
          <w:ilvl w:val="0"/>
          <w:numId w:val="5"/>
        </w:numPr>
        <w:spacing w:before="0"/>
        <w:jc w:val="both"/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Engenharia civil:</w:t>
      </w:r>
      <w:r>
        <w:rPr>
          <w:rFonts w:ascii="Arial" w:hAnsi="Arial"/>
          <w:b w:val="0"/>
          <w:sz w:val="21"/>
        </w:rPr>
        <w:t xml:space="preserve"> Continua o crescimento do setor mineiro, incentivado pela procura de minerais e energia. O mercado continua em desenvolvimento para os pneus de grande tamanho. Após um primeiro semestre em aumento, o mercado de primeiros equipamentos afrouxou no último trimestre, de maneira mais acentuada na Europa. O mercado de pneus destinados a infraestruturas e pedreiras contrai-se na Europa ocidental. Na América do Norte, após um primeiro semestre de crescimento, o mercado desce a partir do quarto trimestre.</w:t>
      </w:r>
    </w:p>
    <w:p w:rsidR="004D1BA5" w:rsidRPr="004D1BA5" w:rsidRDefault="00913057" w:rsidP="00913057">
      <w:pPr>
        <w:pStyle w:val="LadilloMichelinDossier"/>
        <w:numPr>
          <w:ilvl w:val="0"/>
          <w:numId w:val="5"/>
        </w:numPr>
        <w:jc w:val="both"/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Agrícola:</w:t>
      </w:r>
      <w:r>
        <w:rPr>
          <w:rFonts w:ascii="Arial" w:hAnsi="Arial"/>
          <w:b w:val="0"/>
          <w:sz w:val="21"/>
        </w:rPr>
        <w:t xml:space="preserve"> Para a alta no primeiro semestre, a procura mundial no mercado de primeiros equipamentos cai no quarto trimestre, especialmente na Europa. Em 2012, o mercado de substituição contrai-se significativamente nos países maduros, lastrado pelas incertezas económicas. </w:t>
      </w:r>
    </w:p>
    <w:p w:rsidR="00234197" w:rsidRDefault="00913057" w:rsidP="00913057">
      <w:pPr>
        <w:pStyle w:val="LadilloMichelinDossier"/>
        <w:numPr>
          <w:ilvl w:val="0"/>
          <w:numId w:val="5"/>
        </w:numPr>
        <w:jc w:val="both"/>
        <w:rPr>
          <w:rFonts w:ascii="Arial" w:hAnsi="Arial"/>
          <w:b w:val="0"/>
          <w:bCs/>
          <w:sz w:val="21"/>
        </w:rPr>
      </w:pPr>
      <w:r>
        <w:rPr>
          <w:rFonts w:ascii="Arial" w:hAnsi="Arial"/>
          <w:bCs/>
          <w:sz w:val="21"/>
        </w:rPr>
        <w:t>Duas rodas:</w:t>
      </w:r>
      <w:r>
        <w:rPr>
          <w:rFonts w:ascii="Arial" w:hAnsi="Arial"/>
          <w:b w:val="0"/>
          <w:sz w:val="21"/>
        </w:rPr>
        <w:t xml:space="preserve"> Afetados por uma sombria conjuntura económica, os mercados de moto estão a descer nas zonas maduras, exceto na América do Norte. Nos países emergentes, constata-se um crescimento contínuo.</w:t>
      </w:r>
    </w:p>
    <w:p w:rsidR="00913057" w:rsidRPr="004A7D63" w:rsidRDefault="00913057" w:rsidP="00913057">
      <w:pPr>
        <w:pStyle w:val="LadilloMichelinDossier"/>
        <w:numPr>
          <w:ilvl w:val="0"/>
          <w:numId w:val="5"/>
        </w:numPr>
        <w:jc w:val="both"/>
        <w:rPr>
          <w:bCs/>
        </w:rPr>
      </w:pPr>
      <w:r>
        <w:rPr>
          <w:rFonts w:ascii="Arial" w:hAnsi="Arial"/>
          <w:bCs/>
          <w:sz w:val="21"/>
        </w:rPr>
        <w:t>Avião:</w:t>
      </w:r>
      <w:r>
        <w:rPr>
          <w:rFonts w:ascii="Arial" w:hAnsi="Arial"/>
          <w:b w:val="0"/>
          <w:sz w:val="21"/>
        </w:rPr>
        <w:t xml:space="preserve"> Em aviação comercial, continua o crescimento do tráfego de passageiros, tanto nos destinos nacionais como internacionais. O transporte de mercadorias está em retrocesso.</w:t>
      </w:r>
    </w:p>
    <w:p w:rsidR="00913057" w:rsidRPr="000F3918" w:rsidRDefault="00913057" w:rsidP="00913057">
      <w:pPr>
        <w:pStyle w:val="TextoMichelin"/>
        <w:rPr>
          <w:bCs/>
        </w:rPr>
      </w:pPr>
    </w:p>
    <w:p w:rsidR="00913057" w:rsidRPr="000F3918" w:rsidRDefault="00913057" w:rsidP="00913057">
      <w:pPr>
        <w:pStyle w:val="TITULARMICHELIN"/>
        <w:spacing w:after="240"/>
        <w:rPr>
          <w:bCs/>
        </w:rPr>
      </w:pPr>
      <w:r>
        <w:rPr>
          <w:b w:val="0"/>
        </w:rPr>
        <w:br w:type="column"/>
      </w:r>
      <w:r>
        <w:rPr>
          <w:bCs/>
        </w:rPr>
        <w:t>Atividade e resultados de 2012</w:t>
      </w:r>
    </w:p>
    <w:p w:rsidR="00913057" w:rsidRPr="000F3918" w:rsidRDefault="00913057" w:rsidP="00913057">
      <w:pPr>
        <w:pStyle w:val="LadilloMichelinDossier"/>
      </w:pPr>
      <w:r>
        <w:rPr>
          <w:bCs/>
        </w:rPr>
        <w:t>Vendas líquidas</w:t>
      </w:r>
    </w:p>
    <w:p w:rsidR="00220FF2" w:rsidRPr="000F3918" w:rsidRDefault="00EA7BF8" w:rsidP="00220FF2">
      <w:pPr>
        <w:pStyle w:val="TextoMichelin"/>
        <w:rPr>
          <w:rFonts w:cs="Arial"/>
        </w:rPr>
      </w:pPr>
      <w:r>
        <w:rPr>
          <w:rFonts w:cs="Arial"/>
          <w:b/>
          <w:bCs/>
        </w:rPr>
        <w:t>As vendas líquidas situam-se em 21.474 milhões de euros,</w:t>
      </w:r>
      <w:r>
        <w:rPr>
          <w:rFonts w:cs="Arial"/>
        </w:rPr>
        <w:t xml:space="preserve"> com um progresso de 3,6%, a taxas de juros correntes, em relação aos 20.719 milhões de euros de 2011.</w:t>
      </w:r>
    </w:p>
    <w:p w:rsidR="001E7D73" w:rsidRDefault="00AC5A10" w:rsidP="00220FF2">
      <w:pPr>
        <w:pStyle w:val="TextoMichelin"/>
        <w:rPr>
          <w:rFonts w:cs="Arial"/>
        </w:rPr>
      </w:pPr>
      <w:r>
        <w:rPr>
          <w:rFonts w:cs="Arial"/>
        </w:rPr>
        <w:t>O efeito positivo do mix de preços (+ 6,2%), que atinge os 1.052 milhões de euros, corresponde ao efeito combinado dos aumentos de preços de 2011 e com os ajustes contratuais de preços, relacionados com a indexação sobre o preço das matérias-primas, que supõem quase 30% das vendas do Grupo. Isto compreende igualmente 157 milhões de euros, devidos ao melhoramento do mix apoiado pela estratégia premium e pelo crescimento das atividades de especialidades.</w:t>
      </w:r>
    </w:p>
    <w:p w:rsidR="00BC2D08" w:rsidRDefault="00BC2D08" w:rsidP="00BC2D08">
      <w:pPr>
        <w:pStyle w:val="TextoMichelin"/>
        <w:rPr>
          <w:rFonts w:cs="Arial"/>
        </w:rPr>
      </w:pPr>
      <w:r>
        <w:rPr>
          <w:rFonts w:cs="Arial"/>
        </w:rPr>
        <w:t>A queda dos volumes (- 6,4%) enquadra-se num contexto de mercados enfraquecidos, especialmente os europeus.</w:t>
      </w:r>
    </w:p>
    <w:p w:rsidR="00EA7BF8" w:rsidRPr="005A249D" w:rsidRDefault="00EA7BF8" w:rsidP="00EA7BF8">
      <w:pPr>
        <w:pStyle w:val="TextoMichelin"/>
        <w:rPr>
          <w:rFonts w:cs="Arial"/>
          <w:bCs/>
        </w:rPr>
      </w:pPr>
      <w:r>
        <w:rPr>
          <w:rFonts w:cs="Arial"/>
        </w:rPr>
        <w:t>O impacto positivo (+ 4,2%) das paridades cambiais é, principalmente, o resultado da evolução favorável do euro em relação ao dólar americano.</w:t>
      </w:r>
    </w:p>
    <w:p w:rsidR="00220FF2" w:rsidRPr="000F3918" w:rsidRDefault="00220FF2" w:rsidP="00220FF2">
      <w:pPr>
        <w:pStyle w:val="TextoMichelin"/>
        <w:rPr>
          <w:rFonts w:cs="Arial"/>
        </w:rPr>
      </w:pPr>
    </w:p>
    <w:p w:rsidR="00913057" w:rsidRPr="000F3918" w:rsidRDefault="00913057" w:rsidP="00913057">
      <w:pPr>
        <w:pStyle w:val="LadilloMichelinDossier"/>
      </w:pPr>
      <w:r>
        <w:rPr>
          <w:bCs/>
        </w:rPr>
        <w:t>Resultados</w:t>
      </w:r>
    </w:p>
    <w:p w:rsidR="00220FF2" w:rsidRPr="000F3918" w:rsidRDefault="004F41B1" w:rsidP="00220FF2">
      <w:pPr>
        <w:pStyle w:val="TextoMichelin"/>
        <w:rPr>
          <w:rFonts w:cs="Arial"/>
          <w:bCs/>
        </w:rPr>
      </w:pPr>
      <w:r>
        <w:rPr>
          <w:rFonts w:cs="Arial"/>
          <w:b/>
          <w:bCs/>
        </w:rPr>
        <w:t>O resultado operacional do Grupo, antes de elementos não recorrentes, atinge os 2.423 milhões de euros, isto é, 11,3% das vendas líquidas,</w:t>
      </w:r>
      <w:r>
        <w:rPr>
          <w:rFonts w:cs="Arial"/>
        </w:rPr>
        <w:t xml:space="preserve"> em comparação com os 1.945 milhões de euros e o 9,4% de 2011.</w:t>
      </w:r>
    </w:p>
    <w:p w:rsidR="000470EF" w:rsidRDefault="00443E0E" w:rsidP="000B40FE">
      <w:pPr>
        <w:pStyle w:val="TextoMichelin"/>
        <w:rPr>
          <w:rFonts w:cs="Arial"/>
          <w:bCs/>
        </w:rPr>
      </w:pPr>
      <w:r>
        <w:rPr>
          <w:rFonts w:cs="Arial"/>
        </w:rPr>
        <w:t>A melhoria de 478 milhões de euros em relação ao resultado operacional antes de elementos não recorrentes reflete principalmente o efeito favorável do mix de preços (+1.209 milhões de euros, dos quais 1.052 milhões em conceito de preços) que se conjuga favoravelmente com um efeito negativo limitado das matérias-primas (-76 milhões de euros). Isto inclui também o retrocesso dos volumes (- 504 milhões de euros), o esforço de crescimento do Grupo (custos de arranque e custos nos novos mercados - 176 milhões de euros), a inflação dos custos industriais e das despesas (- 311 milhões de euros) e o efeito sobre a produtividade dos afrouxamentos da produção (+ 3 milhões de euros). A evolução das paridades monetárias fornece 268 milhões de euros. Isto inclui, além disso, os primeiros efeitos do plano de competitividade implantado no princípio de 2012.</w:t>
      </w:r>
    </w:p>
    <w:p w:rsidR="00F50FF3" w:rsidRPr="005A249D" w:rsidRDefault="008D4B7E" w:rsidP="00F50FF3">
      <w:pPr>
        <w:pStyle w:val="TextoMichelin"/>
        <w:rPr>
          <w:rFonts w:cs="Arial"/>
          <w:b/>
        </w:rPr>
      </w:pPr>
      <w:r>
        <w:rPr>
          <w:rFonts w:cs="Arial"/>
        </w:rPr>
        <w:br/>
      </w:r>
      <w:r>
        <w:rPr>
          <w:rFonts w:cs="Arial"/>
          <w:b/>
          <w:bCs/>
        </w:rPr>
        <w:t>O resultado líquido lança um lucro de 1.571 milhões de euros.</w:t>
      </w:r>
    </w:p>
    <w:p w:rsidR="00913057" w:rsidRPr="000F3918" w:rsidRDefault="00F50FF3" w:rsidP="00913057">
      <w:pPr>
        <w:pStyle w:val="LadilloMichelinDossier"/>
      </w:pPr>
      <w:r>
        <w:rPr>
          <w:b w:val="0"/>
        </w:rPr>
        <w:br w:type="column"/>
      </w:r>
      <w:r>
        <w:rPr>
          <w:bCs/>
        </w:rPr>
        <w:t>Posição financeira líquida</w:t>
      </w:r>
    </w:p>
    <w:p w:rsidR="00777D5A" w:rsidRDefault="006B35D7" w:rsidP="008D4B7E">
      <w:pPr>
        <w:pStyle w:val="TextoMichelin"/>
        <w:rPr>
          <w:rFonts w:cs="Arial"/>
        </w:rPr>
      </w:pPr>
      <w:r>
        <w:rPr>
          <w:rFonts w:cs="Arial"/>
        </w:rPr>
        <w:t xml:space="preserve">O Grupo gerou um </w:t>
      </w:r>
      <w:r>
        <w:rPr>
          <w:rFonts w:cs="Arial"/>
          <w:b/>
          <w:bCs/>
        </w:rPr>
        <w:t>cash flow livre de 1.075 milhões de euros,</w:t>
      </w:r>
      <w:r>
        <w:rPr>
          <w:rFonts w:cs="Arial"/>
        </w:rPr>
        <w:t xml:space="preserve"> graças ao cash flow disponível, pela venda de um complexo imobiliário em Paris e apesar da aceleração dos investimentos em crescimento.</w:t>
      </w:r>
    </w:p>
    <w:p w:rsidR="008D4B7E" w:rsidRPr="005A249D" w:rsidRDefault="008D4B7E" w:rsidP="008D4B7E">
      <w:pPr>
        <w:pStyle w:val="TextoMichelin"/>
        <w:rPr>
          <w:rFonts w:cs="Arial"/>
          <w:b/>
        </w:rPr>
      </w:pPr>
      <w:r>
        <w:rPr>
          <w:rFonts w:cs="Arial"/>
        </w:rPr>
        <w:t xml:space="preserve">Em finais de dezembro de 2012, o </w:t>
      </w:r>
      <w:r>
        <w:rPr>
          <w:rFonts w:cs="Arial"/>
          <w:b/>
          <w:bCs/>
        </w:rPr>
        <w:t>rácio de endividamento ascende a 12%</w:t>
      </w:r>
      <w:r>
        <w:rPr>
          <w:rFonts w:cs="Arial"/>
        </w:rPr>
        <w:t>, correspondente a um endividamento financeiro líquido de 1.053 milhões de euros.</w:t>
      </w:r>
    </w:p>
    <w:p w:rsidR="00220FF2" w:rsidRPr="000F3918" w:rsidRDefault="00220FF2" w:rsidP="00220FF2">
      <w:pPr>
        <w:pStyle w:val="TextoMichelin"/>
        <w:rPr>
          <w:rFonts w:cs="Arial"/>
        </w:rPr>
      </w:pPr>
    </w:p>
    <w:p w:rsidR="00913057" w:rsidRPr="000F3918" w:rsidRDefault="00913057" w:rsidP="00913057">
      <w:pPr>
        <w:pStyle w:val="LadilloMichelinDossier"/>
        <w:rPr>
          <w:rFonts w:ascii="Verdana" w:hAnsi="Verdana" w:cs="Arial"/>
          <w:b w:val="0"/>
        </w:rPr>
      </w:pPr>
      <w:r>
        <w:rPr>
          <w:bCs/>
        </w:rPr>
        <w:t>Informação setorial</w:t>
      </w:r>
    </w:p>
    <w:tbl>
      <w:tblPr>
        <w:tblpPr w:leftFromText="141" w:rightFromText="141" w:vertAnchor="text" w:horzAnchor="margin" w:tblpY="160"/>
        <w:tblW w:w="86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/>
      </w:tblPr>
      <w:tblGrid>
        <w:gridCol w:w="1668"/>
        <w:gridCol w:w="1134"/>
        <w:gridCol w:w="1275"/>
        <w:gridCol w:w="1134"/>
        <w:gridCol w:w="1134"/>
        <w:gridCol w:w="1134"/>
        <w:gridCol w:w="1134"/>
      </w:tblGrid>
      <w:tr w:rsidR="00913057" w:rsidRPr="000F3918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</w:rPr>
            </w:pPr>
          </w:p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Milhões de euros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br/>
            </w:r>
            <w:r>
              <w:rPr>
                <w:rFonts w:ascii="Arial" w:hAnsi="Arial"/>
                <w:bCs/>
                <w:sz w:val="20"/>
              </w:rPr>
              <w:t>Vendas líquidas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Resultado operacional antes de não recorrentes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913057" w:rsidRPr="000F3918" w:rsidRDefault="00913057" w:rsidP="0091305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Margem operacional antes de não recorrentes</w:t>
            </w:r>
          </w:p>
        </w:tc>
      </w:tr>
      <w:tr w:rsidR="00913057" w:rsidRPr="000F3918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057" w:rsidRPr="000F3918" w:rsidRDefault="00913057" w:rsidP="00913057">
            <w:pPr>
              <w:keepNext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057" w:rsidRPr="000F3918" w:rsidRDefault="00CC7851" w:rsidP="00913057">
            <w:pPr>
              <w:keepNext/>
              <w:spacing w:after="120"/>
              <w:jc w:val="center"/>
              <w:rPr>
                <w:rFonts w:ascii="Verdana" w:hAnsi="Verdana" w:cs="Arial"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>2012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057" w:rsidRPr="000F3918" w:rsidRDefault="000E2D8D" w:rsidP="00913057">
            <w:pPr>
              <w:keepNext/>
              <w:spacing w:after="120"/>
              <w:jc w:val="center"/>
              <w:rPr>
                <w:rFonts w:ascii="Verdana" w:hAnsi="Verdana" w:cs="Arial"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057" w:rsidRPr="000F3918" w:rsidRDefault="00CC7851" w:rsidP="00913057">
            <w:pPr>
              <w:keepNext/>
              <w:spacing w:after="120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057" w:rsidRPr="000F3918" w:rsidRDefault="000E2D8D" w:rsidP="00913057">
            <w:pPr>
              <w:keepNext/>
              <w:spacing w:after="120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057" w:rsidRPr="000F3918" w:rsidRDefault="00CC7851" w:rsidP="00913057">
            <w:pPr>
              <w:keepNext/>
              <w:spacing w:after="120"/>
              <w:jc w:val="center"/>
              <w:rPr>
                <w:rFonts w:ascii="Verdana" w:hAnsi="Verdana" w:cs="Arial"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3057" w:rsidRPr="000F3918" w:rsidRDefault="000E2D8D" w:rsidP="00913057">
            <w:pPr>
              <w:keepNext/>
              <w:spacing w:after="120"/>
              <w:jc w:val="center"/>
              <w:rPr>
                <w:rFonts w:ascii="Verdana" w:hAnsi="Verdana" w:cs="Arial"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>2011</w:t>
            </w:r>
          </w:p>
        </w:tc>
      </w:tr>
      <w:tr w:rsidR="00EC66DB" w:rsidRPr="000F3918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B21DB8">
            <w:pPr>
              <w:spacing w:after="120"/>
              <w:rPr>
                <w:rFonts w:ascii="Arial" w:hAnsi="Arial" w:cs="Arial"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 xml:space="preserve">ligeiro </w:t>
            </w:r>
            <w:r>
              <w:rPr>
                <w:rFonts w:ascii="Arial" w:hAnsi="Arial" w:cs="Arial"/>
                <w:smallCaps/>
                <w:sz w:val="16"/>
              </w:rPr>
              <w:t>CAMIONETA</w:t>
            </w:r>
            <w:r>
              <w:rPr>
                <w:rFonts w:ascii="Arial" w:hAnsi="Arial" w:cs="Arial"/>
                <w:smallCaps/>
                <w:sz w:val="20"/>
                <w:szCs w:val="18"/>
              </w:rPr>
              <w:t xml:space="preserve"> e distribuição associada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CC7851" w:rsidRDefault="00EC66DB">
            <w:pPr>
              <w:spacing w:line="20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CC7851" w:rsidRDefault="00EC66DB">
            <w:pPr>
              <w:spacing w:line="20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CC7851" w:rsidRDefault="00EC66DB">
            <w:pPr>
              <w:spacing w:before="16" w:line="24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CC7851" w:rsidRDefault="00EC66DB" w:rsidP="00CC7851">
            <w:pPr>
              <w:ind w:left="186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11.098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spacing w:before="16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ind w:left="239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spacing w:before="16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9,3%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9,4%</w:t>
            </w:r>
          </w:p>
        </w:tc>
      </w:tr>
      <w:tr w:rsidR="00EC66DB" w:rsidRPr="000F3918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B21DB8">
            <w:pPr>
              <w:spacing w:after="120"/>
              <w:rPr>
                <w:rFonts w:ascii="Arial" w:hAnsi="Arial" w:cs="Arial"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>camião e distribuição associada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CC7851" w:rsidRDefault="00EC66DB">
            <w:pPr>
              <w:spacing w:line="20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CC7851" w:rsidRDefault="00EC66DB">
            <w:pPr>
              <w:spacing w:before="17" w:line="2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CC7851" w:rsidRDefault="00EC66DB" w:rsidP="00CC7851">
            <w:pPr>
              <w:ind w:left="249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6.736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spacing w:before="1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spacing w:before="1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6,6%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3,5%</w:t>
            </w:r>
          </w:p>
        </w:tc>
      </w:tr>
      <w:tr w:rsidR="00EC66DB" w:rsidRPr="000F3918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spacing w:after="120"/>
              <w:jc w:val="both"/>
              <w:rPr>
                <w:rFonts w:ascii="Arial" w:hAnsi="Arial" w:cs="Arial"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 xml:space="preserve">atividades </w:t>
            </w:r>
            <w:r>
              <w:rPr>
                <w:rFonts w:ascii="Arial" w:hAnsi="Arial" w:cs="Arial"/>
                <w:smallCaps/>
                <w:sz w:val="16"/>
              </w:rPr>
              <w:t>de</w:t>
            </w:r>
            <w:r>
              <w:rPr>
                <w:rFonts w:ascii="Arial" w:hAnsi="Arial" w:cs="Arial"/>
                <w:smallCaps/>
                <w:sz w:val="20"/>
              </w:rPr>
              <w:t xml:space="preserve"> especiali</w:t>
            </w:r>
            <w:r>
              <w:rPr>
                <w:rFonts w:ascii="Arial" w:hAnsi="Arial" w:cs="Arial"/>
                <w:smallCaps/>
                <w:sz w:val="16"/>
              </w:rPr>
              <w:t>dades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CC7851" w:rsidRDefault="00EC66DB">
            <w:pPr>
              <w:spacing w:before="19" w:line="20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CC7851" w:rsidRDefault="00EC66DB" w:rsidP="00CC7851">
            <w:pPr>
              <w:ind w:left="249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3.640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26,0%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21,5%</w:t>
            </w:r>
          </w:p>
        </w:tc>
      </w:tr>
      <w:tr w:rsidR="00EC66DB" w:rsidRPr="000F3918">
        <w:tc>
          <w:tcPr>
            <w:tcW w:w="1668" w:type="dxa"/>
            <w:tcBorders>
              <w:top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jc w:val="both"/>
              <w:rPr>
                <w:rFonts w:ascii="Arial" w:hAnsi="Arial" w:cs="Arial"/>
                <w:smallCaps/>
                <w:sz w:val="20"/>
              </w:rPr>
            </w:pPr>
          </w:p>
          <w:p w:rsidR="00EC66DB" w:rsidRPr="000F3918" w:rsidRDefault="00EC66DB" w:rsidP="000E2D8D">
            <w:pPr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  <w:szCs w:val="18"/>
              </w:rPr>
              <w:t>grupo</w:t>
            </w:r>
          </w:p>
          <w:p w:rsidR="00EC66DB" w:rsidRPr="000F3918" w:rsidRDefault="00EC66DB" w:rsidP="000E2D8D">
            <w:pPr>
              <w:jc w:val="both"/>
              <w:rPr>
                <w:rFonts w:ascii="Arial" w:hAnsi="Arial" w:cs="Arial"/>
                <w:smallCap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CC7851" w:rsidRDefault="00EC66DB">
            <w:pPr>
              <w:spacing w:before="19" w:line="20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CC7851" w:rsidRDefault="00EC66DB" w:rsidP="00CC7851">
            <w:pPr>
              <w:ind w:left="186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21.474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ind w:left="239" w:right="-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B" w:rsidRPr="00EC66DB" w:rsidRDefault="00EC66DB" w:rsidP="00EC66D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EC66DB" w:rsidRDefault="00EC66DB" w:rsidP="00EC66DB">
            <w:pPr>
              <w:tabs>
                <w:tab w:val="left" w:pos="360"/>
              </w:tabs>
              <w:ind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11,3%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66DB" w:rsidRPr="000F3918" w:rsidRDefault="00EC66DB" w:rsidP="000E2D8D">
            <w:pPr>
              <w:tabs>
                <w:tab w:val="left" w:pos="360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9,4%</w:t>
            </w:r>
          </w:p>
        </w:tc>
      </w:tr>
    </w:tbl>
    <w:p w:rsidR="00913057" w:rsidRPr="000F3918" w:rsidRDefault="00913057" w:rsidP="00913057">
      <w:pPr>
        <w:keepNext/>
        <w:spacing w:after="60"/>
        <w:jc w:val="both"/>
        <w:rPr>
          <w:rFonts w:ascii="Arial" w:hAnsi="Arial" w:cs="Arial"/>
          <w:smallCaps/>
          <w:u w:val="single"/>
        </w:rPr>
      </w:pPr>
    </w:p>
    <w:p w:rsidR="00913057" w:rsidRPr="000F3918" w:rsidRDefault="00913057" w:rsidP="00913057">
      <w:pPr>
        <w:spacing w:after="120"/>
        <w:rPr>
          <w:rFonts w:ascii="Arial" w:hAnsi="Arial" w:cs="Arial"/>
          <w:sz w:val="21"/>
        </w:rPr>
      </w:pPr>
    </w:p>
    <w:p w:rsidR="00913057" w:rsidRPr="000F3918" w:rsidRDefault="00913057" w:rsidP="00913057">
      <w:pPr>
        <w:spacing w:after="60"/>
        <w:jc w:val="both"/>
        <w:rPr>
          <w:rFonts w:ascii="Verdana" w:hAnsi="Verdana" w:cs="Arial"/>
          <w:smallCaps/>
          <w:u w:val="single"/>
        </w:rPr>
      </w:pPr>
    </w:p>
    <w:p w:rsidR="00913057" w:rsidRPr="000F3918" w:rsidRDefault="00913057" w:rsidP="00913057">
      <w:pPr>
        <w:spacing w:after="60"/>
        <w:jc w:val="both"/>
        <w:rPr>
          <w:rFonts w:ascii="Verdana" w:hAnsi="Verdana" w:cs="Arial"/>
          <w:smallCaps/>
          <w:u w:val="single"/>
        </w:rPr>
      </w:pPr>
    </w:p>
    <w:p w:rsidR="00913057" w:rsidRPr="000F3918" w:rsidRDefault="00913057" w:rsidP="00913057">
      <w:pPr>
        <w:pStyle w:val="LadilloMichelinDossier"/>
        <w:jc w:val="both"/>
        <w:rPr>
          <w:rFonts w:ascii="Verdana" w:hAnsi="Verdana" w:cs="Arial"/>
          <w:smallCaps/>
          <w:u w:val="single"/>
        </w:rPr>
      </w:pPr>
    </w:p>
    <w:p w:rsidR="00913057" w:rsidRPr="000F3918" w:rsidRDefault="00913057" w:rsidP="00913057">
      <w:pPr>
        <w:pStyle w:val="LadilloMichelinDossier"/>
        <w:jc w:val="both"/>
        <w:rPr>
          <w:rFonts w:ascii="Verdana" w:hAnsi="Verdana" w:cs="Arial"/>
          <w:smallCaps/>
          <w:u w:val="single"/>
        </w:rPr>
      </w:pPr>
    </w:p>
    <w:p w:rsidR="00913057" w:rsidRPr="000F3918" w:rsidRDefault="00913057" w:rsidP="00913057">
      <w:pPr>
        <w:pStyle w:val="LadilloMichelinDossier"/>
        <w:jc w:val="both"/>
        <w:rPr>
          <w:rFonts w:ascii="Verdana" w:hAnsi="Verdana" w:cs="Arial"/>
          <w:smallCaps/>
          <w:u w:val="single"/>
        </w:rPr>
      </w:pPr>
    </w:p>
    <w:p w:rsidR="00913057" w:rsidRPr="000F3918" w:rsidRDefault="00913057" w:rsidP="00913057">
      <w:pPr>
        <w:pStyle w:val="LadilloMichelinDossier"/>
        <w:jc w:val="both"/>
        <w:rPr>
          <w:rFonts w:ascii="Verdana" w:hAnsi="Verdana" w:cs="Arial"/>
          <w:smallCaps/>
          <w:u w:val="single"/>
        </w:rPr>
      </w:pPr>
    </w:p>
    <w:p w:rsidR="00913057" w:rsidRPr="000F3918" w:rsidRDefault="00913057" w:rsidP="00913057">
      <w:pPr>
        <w:pStyle w:val="LadilloMichelinDossier"/>
        <w:numPr>
          <w:ilvl w:val="0"/>
          <w:numId w:val="5"/>
        </w:numPr>
        <w:spacing w:after="240"/>
        <w:jc w:val="both"/>
        <w:rPr>
          <w:rFonts w:ascii="Verdana" w:hAnsi="Verdana" w:cs="Arial"/>
          <w:smallCaps/>
          <w:u w:val="single"/>
        </w:rPr>
      </w:pPr>
      <w:r>
        <w:rPr>
          <w:rFonts w:ascii="Arial" w:hAnsi="Arial"/>
          <w:bCs/>
          <w:sz w:val="21"/>
          <w:u w:val="single"/>
        </w:rPr>
        <w:t>Ligeiro, camioneta e distribuição associada</w:t>
      </w:r>
      <w:r>
        <w:rPr>
          <w:rFonts w:ascii="Arial" w:hAnsi="Arial"/>
          <w:b w:val="0"/>
          <w:sz w:val="21"/>
          <w:u w:val="single"/>
        </w:rPr>
        <w:t xml:space="preserve"> </w:t>
      </w:r>
    </w:p>
    <w:p w:rsidR="00B5374C" w:rsidRDefault="00B5374C" w:rsidP="007A2702">
      <w:pPr>
        <w:pStyle w:val="TextoMichelin"/>
        <w:rPr>
          <w:rFonts w:cs="Arial"/>
        </w:rPr>
      </w:pPr>
      <w:r>
        <w:rPr>
          <w:rFonts w:cs="Arial"/>
        </w:rPr>
        <w:t>As vendas líquidas do segmento de Ligeiro Camioneta e distribuição associada elevam-se a 11.098 milhões de euros, um aumento de 2,9% em relação a 2011.</w:t>
      </w:r>
    </w:p>
    <w:p w:rsidR="00CE1B40" w:rsidRDefault="00D85395" w:rsidP="00AB309E">
      <w:pPr>
        <w:pStyle w:val="TextoMichelin"/>
        <w:rPr>
          <w:rFonts w:cs="Arial"/>
        </w:rPr>
      </w:pPr>
      <w:r>
        <w:rPr>
          <w:rFonts w:cs="Arial"/>
        </w:rPr>
        <w:t>A manutenção de uma firme política de preços e o melhoramento contínuo do mix de produto, que beneficia da posição premium da marca MICHELIN, compensaram o efeito da descida dos volumes (- 5,5%). O resultado operacional antes de elementos não recorrentes atinge os 1.033 milhões de euros, isto é, 9,3% das vendas líquidas, em comparação com os 1.018 milhões de euros e o 9,4% conseguidos em 2011.</w:t>
      </w:r>
    </w:p>
    <w:p w:rsidR="00913057" w:rsidRPr="000F3918" w:rsidRDefault="00CE1B40" w:rsidP="00CE1B40">
      <w:pPr>
        <w:pStyle w:val="LadilloMichelinDossier"/>
        <w:numPr>
          <w:ilvl w:val="0"/>
          <w:numId w:val="5"/>
        </w:numPr>
        <w:spacing w:after="240"/>
        <w:jc w:val="both"/>
      </w:pPr>
      <w:r>
        <w:rPr>
          <w:rFonts w:ascii="Arial" w:hAnsi="Arial"/>
          <w:b w:val="0"/>
        </w:rPr>
        <w:br w:type="column"/>
      </w:r>
      <w:r>
        <w:rPr>
          <w:rFonts w:ascii="Arial" w:hAnsi="Arial"/>
          <w:bCs/>
          <w:sz w:val="21"/>
        </w:rPr>
        <w:t>Camião e distribuição associada</w:t>
      </w:r>
      <w:r>
        <w:rPr>
          <w:b w:val="0"/>
        </w:rPr>
        <w:t xml:space="preserve"> </w:t>
      </w:r>
    </w:p>
    <w:p w:rsidR="007A2702" w:rsidRPr="000F3918" w:rsidRDefault="00CE1B40" w:rsidP="007A2702">
      <w:pPr>
        <w:pStyle w:val="TextoMichelin"/>
        <w:rPr>
          <w:rFonts w:cs="Arial"/>
        </w:rPr>
      </w:pPr>
      <w:r>
        <w:rPr>
          <w:rFonts w:cs="Arial"/>
        </w:rPr>
        <w:t>As vendas líquidas do segmento de camião e distribuição associada atingiram os 6.736 milhões de euros, praticamente o mesmo aumento conseguido em 2011.</w:t>
      </w:r>
    </w:p>
    <w:p w:rsidR="002149A7" w:rsidRDefault="002149A7" w:rsidP="002149A7">
      <w:pPr>
        <w:pStyle w:val="TextoMichelin"/>
        <w:rPr>
          <w:rFonts w:cs="Arial"/>
        </w:rPr>
      </w:pPr>
      <w:r>
        <w:rPr>
          <w:rFonts w:cs="Arial"/>
        </w:rPr>
        <w:t>Num contexto de mercados deprimidos, os volumes decresceram 10,8%, enquanto o Grupo dava prioridade à recuperação e rentabilidade da atividade de camião. Esta estratégia, assim como os vários lançamentos comerciais e aligeiramento dos preços das matérias-primas, levou a um forte aumento do resultado operacional antes de elementos não recorrentes, até atingir os 444 milhões de euros, isto é, 6,6% das vendas líquidas, em relação aos 233 milhões de euros e 3,5% de 2011.</w:t>
      </w:r>
    </w:p>
    <w:p w:rsidR="00913057" w:rsidRPr="000F3918" w:rsidRDefault="00913057" w:rsidP="00EC3349">
      <w:pPr>
        <w:pStyle w:val="LadilloMichelinDossier"/>
        <w:numPr>
          <w:ilvl w:val="0"/>
          <w:numId w:val="5"/>
        </w:numPr>
        <w:spacing w:after="240"/>
        <w:jc w:val="both"/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Atividades de especialidades</w:t>
      </w:r>
    </w:p>
    <w:p w:rsidR="00C739C7" w:rsidRPr="000F3918" w:rsidRDefault="000A6E67" w:rsidP="00C739C7">
      <w:pPr>
        <w:pStyle w:val="TextoMichelin"/>
        <w:rPr>
          <w:rFonts w:cs="Arial"/>
        </w:rPr>
      </w:pPr>
      <w:r>
        <w:rPr>
          <w:rFonts w:cs="Arial"/>
        </w:rPr>
        <w:t>As vendas líquidas do segmento de Atividades de Especialidades atingiram os 3.640 milhões de euros, uma subida de 13,0% em comparação com 2011.</w:t>
      </w:r>
    </w:p>
    <w:p w:rsidR="00C739C7" w:rsidRPr="000F3918" w:rsidRDefault="006545BD" w:rsidP="00794036">
      <w:pPr>
        <w:pStyle w:val="TextoMichelin"/>
        <w:rPr>
          <w:rFonts w:cs="Arial"/>
        </w:rPr>
      </w:pPr>
      <w:r>
        <w:rPr>
          <w:rFonts w:cs="Arial"/>
        </w:rPr>
        <w:t>Com 946 milhões de euros, 26,0% das vendas líquidas, o resultado operacional antes de elementos não recorrentes confirma a rentabilidade estruturalmente elevada destas atividades. Num ambiente de mudança particularmente favorável, beneficiam do efeito ainda positivo das cláusulas de indexação sobre os preços das matérias-primas e do progresso dos volumes (+ 1,7%).</w:t>
      </w:r>
    </w:p>
    <w:p w:rsidR="00C739C7" w:rsidRPr="000F3918" w:rsidRDefault="00C739C7" w:rsidP="00913057">
      <w:pPr>
        <w:pStyle w:val="TextoMichelin"/>
        <w:rPr>
          <w:rFonts w:cs="Arial"/>
        </w:rPr>
      </w:pPr>
    </w:p>
    <w:p w:rsidR="00913057" w:rsidRPr="00550696" w:rsidRDefault="00913057" w:rsidP="00913057">
      <w:pPr>
        <w:pStyle w:val="TITULARMICHELIN"/>
        <w:spacing w:after="240"/>
        <w:rPr>
          <w:rFonts w:cs="Arial"/>
          <w:bCs/>
        </w:rPr>
      </w:pPr>
      <w:r>
        <w:rPr>
          <w:rFonts w:cs="Arial"/>
          <w:b w:val="0"/>
        </w:rPr>
        <w:br w:type="column"/>
      </w:r>
      <w:r>
        <w:rPr>
          <w:rFonts w:cs="Arial"/>
          <w:bCs/>
        </w:rPr>
        <w:t>Compagnie Générale des Etablissements Michelin</w:t>
      </w:r>
    </w:p>
    <w:p w:rsidR="00913057" w:rsidRPr="00A61AD3" w:rsidRDefault="00913057" w:rsidP="00913057">
      <w:pPr>
        <w:pStyle w:val="TextoMichelin"/>
        <w:rPr>
          <w:rFonts w:cs="Arial"/>
        </w:rPr>
      </w:pPr>
      <w:r>
        <w:rPr>
          <w:rFonts w:cs="Arial"/>
        </w:rPr>
        <w:t xml:space="preserve">A Compagnie Générale des Etablissements Michelin teve um lucro de 465 milhões de euros no exercício 2012. </w:t>
      </w:r>
    </w:p>
    <w:p w:rsidR="00913057" w:rsidRPr="00A06945" w:rsidRDefault="00913057" w:rsidP="00913057">
      <w:pPr>
        <w:pStyle w:val="TextoMichelin"/>
        <w:rPr>
          <w:rFonts w:cs="Arial"/>
        </w:rPr>
      </w:pPr>
      <w:r>
        <w:rPr>
          <w:rFonts w:cs="Arial"/>
        </w:rPr>
        <w:t xml:space="preserve">As contas foram apresentadas ao Conselho de Vigilância na reunião de 7 de fevereiro de 2013. Os procedimentos de auditoria foram realizados e o relatório de auditoria foi emitido na mesma data. </w:t>
      </w:r>
    </w:p>
    <w:p w:rsidR="00913057" w:rsidRPr="00A06945" w:rsidRDefault="00AF449A" w:rsidP="00913057">
      <w:pPr>
        <w:pStyle w:val="TextoMichelin"/>
        <w:rPr>
          <w:rFonts w:cs="Arial"/>
        </w:rPr>
      </w:pPr>
      <w:r>
        <w:rPr>
          <w:rFonts w:cs="Arial"/>
        </w:rPr>
        <w:t>O presidente do Grupo convocou uma Assembleia Geral de Acionistas para a sexta-feira dia 17 de maio de 2013, às 9 horas, em Clermont-Ferrand.</w:t>
      </w:r>
    </w:p>
    <w:p w:rsidR="00913057" w:rsidRPr="00A06945" w:rsidRDefault="00A06945" w:rsidP="00913057">
      <w:pPr>
        <w:pStyle w:val="TextoMichelin"/>
        <w:rPr>
          <w:rFonts w:cs="Arial"/>
        </w:rPr>
      </w:pPr>
      <w:r>
        <w:rPr>
          <w:rFonts w:cs="Arial"/>
        </w:rPr>
        <w:t>O presidente do Grupo vai submeter à aprovação dos acionistas o pagamento de um dividendo de 2,40 euros por ação, que se pode pagar em numerário ou em ações, segundo prefira cada acionista.</w:t>
      </w:r>
    </w:p>
    <w:p w:rsidR="00913057" w:rsidRPr="000F3918" w:rsidRDefault="00913057" w:rsidP="00913057">
      <w:pPr>
        <w:pStyle w:val="TITULARMICHELIN"/>
        <w:spacing w:after="240"/>
        <w:rPr>
          <w:bCs/>
        </w:rPr>
      </w:pPr>
      <w:r>
        <w:rPr>
          <w:rFonts w:cs="Arial"/>
          <w:b w:val="0"/>
          <w:color w:val="auto"/>
        </w:rPr>
        <w:br w:type="column"/>
      </w:r>
      <w:r>
        <w:rPr>
          <w:rFonts w:cs="Arial"/>
          <w:bCs/>
        </w:rPr>
        <w:t>Fatos destacados de 2012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agência Standard &amp; Poor’s eleva a nota creditícia da Michelin para "BBB+"</w:t>
      </w:r>
      <w:r>
        <w:t xml:space="preserve"> </w:t>
      </w:r>
      <w:r>
        <w:br/>
      </w:r>
      <w:r>
        <w:rPr>
          <w:b/>
          <w:bCs/>
        </w:rPr>
        <w:t>(23 de março de 2012)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Michelin reforça a sua posição como líder mundial nos mercados de engenharia civil com o anúncio da construção de uma nova fábrica e a ampliação de outra na América do Norte (10 de abril de 2012).</w:t>
      </w:r>
    </w:p>
    <w:p w:rsidR="00DF1C5C" w:rsidRPr="000F3918" w:rsidRDefault="00B07E54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agência Moody’s subiu a nota da Michelin para "Baa1"</w:t>
      </w:r>
      <w:r>
        <w:t xml:space="preserve"> </w:t>
      </w:r>
      <w:r>
        <w:br/>
      </w:r>
      <w:r>
        <w:rPr>
          <w:b/>
          <w:bCs/>
        </w:rPr>
        <w:t>(24 de abril de 2012)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Primeiro pneu de ligeiro camioneta fabricado na fábrica de Pau, Brasil</w:t>
      </w:r>
      <w:r>
        <w:t xml:space="preserve">  </w:t>
      </w:r>
      <w:r>
        <w:br/>
      </w:r>
      <w:r>
        <w:rPr>
          <w:b/>
          <w:bCs/>
        </w:rPr>
        <w:t>(9 de fevereiro de 2012)</w:t>
      </w:r>
    </w:p>
    <w:p w:rsidR="00DF1C5C" w:rsidRPr="000F3918" w:rsidRDefault="00E31646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Para além da etiqueta, MICHELIN Total Performance, uma estratégia que permite valorizar toda a tecnologia do pneu: «A Michelin não vende borracha, mas sim performances» (29 de junho de 2012)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Michelin lança o seu novo site MICHELIN Restaurantes na França</w:t>
      </w:r>
      <w:r>
        <w:t xml:space="preserve"> </w:t>
      </w:r>
      <w:r>
        <w:br/>
      </w:r>
      <w:r>
        <w:rPr>
          <w:b/>
          <w:bCs/>
        </w:rPr>
        <w:t>(25 de maio de 2012)</w:t>
      </w:r>
    </w:p>
    <w:p w:rsidR="00DF1C5C" w:rsidRPr="000F3918" w:rsidRDefault="007178B3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O Grupo celebra os 10 anos da declaração</w:t>
      </w:r>
      <w:r>
        <w:rPr>
          <w:b/>
          <w:bCs/>
          <w:i/>
          <w:iCs/>
        </w:rPr>
        <w:t xml:space="preserve"> Resultado e Responsabilidade Michelin</w:t>
      </w:r>
      <w:r>
        <w:rPr>
          <w:b/>
          <w:bCs/>
        </w:rPr>
        <w:t xml:space="preserve"> (18 de junho de 2012)</w:t>
      </w:r>
    </w:p>
    <w:p w:rsidR="00DF1C5C" w:rsidRPr="000F3918" w:rsidRDefault="00015592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Michelin coloca com êxito um empréstimo obrigatório de 400 milhões de euros</w:t>
      </w:r>
      <w:r>
        <w:t xml:space="preserve"> </w:t>
      </w:r>
      <w:r>
        <w:br/>
      </w:r>
      <w:r>
        <w:rPr>
          <w:b/>
          <w:bCs/>
        </w:rPr>
        <w:t>a 7 anos (19 de junho de 2012)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Jean-Dominique Senard sucede a Michel Rollier na Assembleia Geral</w:t>
      </w:r>
      <w:r>
        <w:t xml:space="preserve"> </w:t>
      </w:r>
      <w:r>
        <w:br/>
      </w:r>
      <w:r>
        <w:rPr>
          <w:b/>
          <w:bCs/>
        </w:rPr>
        <w:t>de 11 de maio de 2012</w:t>
      </w:r>
    </w:p>
    <w:p w:rsidR="006B35D7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Michelin atualiza as suas previsões para 2015 (19 de setembro de 2012).</w:t>
      </w:r>
    </w:p>
    <w:p w:rsidR="00DF1C5C" w:rsidRPr="000F3918" w:rsidRDefault="006B35D7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Primeiro pneu de camião fabricado na nova fábrica Shenyang 2 na China (18 de setembro de 2012)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Michelin apresenta a sua nova oferta de pneus de camião no Salão IAA de Hannover (20 de setembro de 2012)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Michelin revela as suas novidades da sua gama de engenharia civil para 2013 no Salão MINExpo de Las Vegas, Estados Unidos (24 de setembro de 2012).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Campeonato do Mundo de Rally:</w:t>
      </w:r>
      <w:r>
        <w:t xml:space="preserve">  </w:t>
      </w:r>
      <w:r>
        <w:rPr>
          <w:b/>
          <w:bCs/>
        </w:rPr>
        <w:t>20º título em “pilotos” e 22º em “construtores” para a Michelin (9 de outubro de 2012)</w:t>
      </w:r>
    </w:p>
    <w:p w:rsidR="00DF1C5C" w:rsidRPr="000F3918" w:rsidRDefault="00DF1C5C" w:rsidP="00214C97">
      <w:pPr>
        <w:pStyle w:val="TextoMichelin"/>
        <w:numPr>
          <w:ilvl w:val="0"/>
          <w:numId w:val="4"/>
        </w:numPr>
        <w:jc w:val="left"/>
        <w:rPr>
          <w:b/>
          <w:bCs/>
        </w:rPr>
      </w:pPr>
      <w:r>
        <w:rPr>
          <w:b/>
          <w:bCs/>
        </w:rPr>
        <w:t>A Michelin organiza uma Jornada para Investidores no Centro de Tecnologia de Ladoux, França (5 de novembro de 2012)</w:t>
      </w:r>
    </w:p>
    <w:p w:rsidR="00913057" w:rsidRPr="000F3918" w:rsidRDefault="00913057" w:rsidP="00214C97">
      <w:pPr>
        <w:pStyle w:val="TextoMichelin"/>
        <w:ind w:left="720"/>
        <w:jc w:val="left"/>
        <w:rPr>
          <w:i/>
        </w:rPr>
      </w:pPr>
    </w:p>
    <w:p w:rsidR="00913057" w:rsidRPr="000F3918" w:rsidRDefault="00913057" w:rsidP="009130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  <w:u w:val="single"/>
        </w:rPr>
        <w:t xml:space="preserve">A lista completa dos fatos destacados de 2012 está disponível no site do Grupo: </w:t>
      </w:r>
      <w:hyperlink r:id="rId8" w:history="1">
        <w:r>
          <w:rPr>
            <w:rStyle w:val="Hyperlink"/>
            <w:rFonts w:ascii="Arial" w:hAnsi="Arial" w:cs="Arial"/>
            <w:sz w:val="21"/>
          </w:rPr>
          <w:t>www.michelin.com/corporate</w:t>
        </w:r>
      </w:hyperlink>
      <w:r>
        <w:rPr>
          <w:rFonts w:ascii="Arial" w:hAnsi="Arial" w:cs="Arial"/>
          <w:sz w:val="21"/>
          <w:u w:val="single"/>
        </w:rPr>
        <w:t>/finance</w:t>
      </w:r>
    </w:p>
    <w:p w:rsidR="00913057" w:rsidRPr="000F3918" w:rsidRDefault="00913057" w:rsidP="00913057">
      <w:pPr>
        <w:keepNext/>
        <w:tabs>
          <w:tab w:val="left" w:pos="360"/>
        </w:tabs>
        <w:jc w:val="center"/>
        <w:rPr>
          <w:rFonts w:ascii="Verdana" w:hAnsi="Verdana" w:cs="Arial"/>
          <w:b/>
          <w:sz w:val="16"/>
        </w:rPr>
      </w:pPr>
    </w:p>
    <w:p w:rsidR="00DA4E4A" w:rsidRDefault="00DA4E4A" w:rsidP="00913057">
      <w:pPr>
        <w:keepNext/>
        <w:tabs>
          <w:tab w:val="left" w:pos="360"/>
        </w:tabs>
        <w:jc w:val="center"/>
        <w:rPr>
          <w:rFonts w:ascii="Arial" w:hAnsi="Arial" w:cs="Arial"/>
          <w:b/>
          <w:sz w:val="21"/>
        </w:rPr>
      </w:pPr>
    </w:p>
    <w:p w:rsidR="00DA4E4A" w:rsidRDefault="00DA4E4A" w:rsidP="00913057">
      <w:pPr>
        <w:keepNext/>
        <w:tabs>
          <w:tab w:val="left" w:pos="360"/>
        </w:tabs>
        <w:jc w:val="center"/>
        <w:rPr>
          <w:rFonts w:ascii="Arial" w:hAnsi="Arial" w:cs="Arial"/>
          <w:b/>
          <w:sz w:val="21"/>
        </w:rPr>
      </w:pPr>
    </w:p>
    <w:p w:rsidR="00913057" w:rsidRPr="000F3918" w:rsidRDefault="00913057" w:rsidP="00913057">
      <w:pPr>
        <w:keepNext/>
        <w:tabs>
          <w:tab w:val="left" w:pos="360"/>
        </w:tabs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bCs/>
          <w:sz w:val="21"/>
        </w:rPr>
        <w:t>AVISO</w:t>
      </w:r>
    </w:p>
    <w:p w:rsidR="00913057" w:rsidRPr="000F3918" w:rsidRDefault="00913057" w:rsidP="00913057">
      <w:pPr>
        <w:keepNext/>
        <w:tabs>
          <w:tab w:val="left" w:pos="360"/>
        </w:tabs>
        <w:jc w:val="both"/>
        <w:rPr>
          <w:rFonts w:ascii="Verdana" w:hAnsi="Verdana"/>
          <w:sz w:val="16"/>
        </w:rPr>
      </w:pPr>
    </w:p>
    <w:p w:rsidR="00913057" w:rsidRPr="000F3918" w:rsidRDefault="00913057" w:rsidP="00913057">
      <w:pPr>
        <w:keepNext/>
        <w:tabs>
          <w:tab w:val="left" w:pos="360"/>
        </w:tabs>
        <w:jc w:val="both"/>
        <w:rPr>
          <w:rFonts w:ascii="Arial" w:hAnsi="Arial" w:cs="Arial"/>
          <w:b/>
          <w:i/>
          <w:iCs/>
          <w:sz w:val="21"/>
        </w:rPr>
      </w:pPr>
      <w:r>
        <w:rPr>
          <w:rFonts w:ascii="Arial" w:hAnsi="Arial" w:cs="Arial"/>
          <w:b/>
          <w:bCs/>
          <w:i/>
          <w:iCs/>
          <w:sz w:val="21"/>
        </w:rPr>
        <w:t>Este comunicado de imprensa não constitui uma oferta de venda ou a solicitação de oferta de compra de ações Michelin.</w:t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</w:rPr>
        <w:t>Se quiser mais informação acerca da Michelin, por favor consulte os documentos públicos depositados em l’Autorité des marchés financiers, na França.</w:t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</w:rPr>
        <w:t xml:space="preserve">Igualmente, pode consultá-los no nosso site: </w:t>
      </w:r>
      <w:hyperlink r:id="rId9" w:history="1">
        <w:r>
          <w:rPr>
            <w:rStyle w:val="Hyperlink"/>
            <w:rFonts w:ascii="Arial" w:hAnsi="Arial" w:cs="Arial"/>
            <w:b/>
            <w:bCs/>
            <w:i/>
            <w:iCs/>
            <w:sz w:val="21"/>
            <w:u w:val="none"/>
          </w:rPr>
          <w:t>www.michelin.com</w:t>
        </w:r>
      </w:hyperlink>
      <w:r>
        <w:rPr>
          <w:rFonts w:ascii="Arial" w:hAnsi="Arial" w:cs="Arial"/>
          <w:b/>
          <w:bCs/>
          <w:i/>
          <w:iCs/>
          <w:sz w:val="21"/>
        </w:rPr>
        <w:t>.</w:t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</w:rPr>
        <w:t>Este comunicado pode conter alguns declarações de caráter provisório.</w:t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</w:rPr>
        <w:t>Embora a companhia estime que as suas declarações estão baseadas em hipóteses razoáveis na data de publicação do documento, as mesmas estão inerentemente sujeitas a riscos e incertezas que podem fazer com que haja alguma diferença entre os resultados reais e aqueles indicados ou induzidos nestas declarações.</w:t>
      </w:r>
      <w:r>
        <w:rPr>
          <w:rFonts w:ascii="Arial" w:hAnsi="Arial" w:cs="Arial"/>
          <w:sz w:val="21"/>
        </w:rPr>
        <w:t xml:space="preserve">   </w:t>
      </w:r>
    </w:p>
    <w:p w:rsidR="00913057" w:rsidRPr="000F3918" w:rsidRDefault="00913057" w:rsidP="00913057">
      <w:pPr>
        <w:pStyle w:val="TextoMichelin"/>
        <w:rPr>
          <w:i/>
        </w:rPr>
      </w:pPr>
    </w:p>
    <w:p w:rsidR="00913057" w:rsidRPr="000F3918" w:rsidRDefault="00913057" w:rsidP="00913057">
      <w:pPr>
        <w:pStyle w:val="TextoMichelin"/>
        <w:rPr>
          <w:i/>
        </w:rPr>
      </w:pPr>
    </w:p>
    <w:p w:rsidR="00913057" w:rsidRPr="000F3918" w:rsidRDefault="00913057" w:rsidP="00913057">
      <w:pPr>
        <w:pStyle w:val="TextoMichelin"/>
        <w:rPr>
          <w:i/>
        </w:rPr>
      </w:pPr>
    </w:p>
    <w:p w:rsidR="00913057" w:rsidRPr="000F3918" w:rsidRDefault="00913057" w:rsidP="00913057">
      <w:pPr>
        <w:pStyle w:val="TextoMichelin"/>
        <w:rPr>
          <w:i/>
        </w:rPr>
      </w:pPr>
    </w:p>
    <w:p w:rsidR="00913057" w:rsidRPr="00006009" w:rsidRDefault="00006009" w:rsidP="00006009">
      <w:pPr>
        <w:spacing w:after="230"/>
        <w:jc w:val="both"/>
        <w:rPr>
          <w:i/>
          <w:szCs w:val="20"/>
        </w:rPr>
      </w:pPr>
      <w:r>
        <w:rPr>
          <w:i/>
          <w:iCs/>
          <w:szCs w:val="20"/>
        </w:rPr>
        <w:t>A missão da Michelin é contribuir de maneira duradoura para a mobilidade das pessoas e bens.</w:t>
      </w:r>
      <w:r>
        <w:rPr>
          <w:szCs w:val="20"/>
        </w:rPr>
        <w:t xml:space="preserve"> </w:t>
      </w:r>
      <w:r>
        <w:rPr>
          <w:i/>
          <w:iCs/>
          <w:szCs w:val="20"/>
        </w:rPr>
        <w:t>Por esta razão, o Grupo fabrica e comercializa pneus para todo o tipo de viaturas, desde aviões até automóveis, passando pelas duas rodas, a engenharia civil e agrícola e pelos camiões.</w:t>
      </w:r>
      <w:r>
        <w:rPr>
          <w:szCs w:val="20"/>
        </w:rPr>
        <w:t xml:space="preserve"> </w:t>
      </w:r>
      <w:r>
        <w:rPr>
          <w:i/>
          <w:iCs/>
          <w:szCs w:val="20"/>
        </w:rPr>
        <w:t>A Michelin também propõe serviços informáticos de ajuda à mobilidade (ViaMichelin.com), e edita guias turísticos, guias de hotéis e restaurantes, mapas e Atlas de estrada.</w:t>
      </w:r>
      <w:r>
        <w:rPr>
          <w:szCs w:val="20"/>
        </w:rPr>
        <w:t xml:space="preserve"> </w:t>
      </w:r>
      <w:r>
        <w:rPr>
          <w:i/>
          <w:iCs/>
          <w:szCs w:val="20"/>
        </w:rPr>
        <w:t>O Grupo, que tem a sua sede em Clermont-Ferrand (França), está presente em mais de 170 países, emprega a 115.000 pessoas em todo o mundo e dispõe de 69 centros de produção implantados em 18 países diferentes (www.michelin.com).</w:t>
      </w:r>
    </w:p>
    <w:p w:rsidR="00913057" w:rsidRPr="000F3918" w:rsidRDefault="00913057" w:rsidP="00913057">
      <w:pPr>
        <w:pStyle w:val="Footer"/>
        <w:spacing w:after="230"/>
        <w:rPr>
          <w:b/>
          <w:color w:val="808080"/>
          <w:sz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A4E4A" w:rsidRDefault="00DA4E4A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13057" w:rsidRPr="000F3918" w:rsidRDefault="00913057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13057" w:rsidRPr="000F3918" w:rsidRDefault="00913057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13057" w:rsidRPr="000F3918" w:rsidRDefault="00913057" w:rsidP="0091305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</w:rPr>
        <w:t>DEPARTAMENTO DE COMUNICAÇÃO</w:t>
      </w:r>
    </w:p>
    <w:p w:rsidR="00913057" w:rsidRPr="000F3918" w:rsidRDefault="00913057" w:rsidP="00913057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Avda. dos Encuartes, 19</w:t>
      </w:r>
    </w:p>
    <w:p w:rsidR="00913057" w:rsidRPr="000F3918" w:rsidRDefault="00913057" w:rsidP="00913057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28760 Tres Cantos – Madrid – ESPANHA</w:t>
      </w:r>
    </w:p>
    <w:p w:rsidR="00913057" w:rsidRPr="000F3918" w:rsidRDefault="00913057" w:rsidP="00913057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Tel.: 0034 914 105 167 – Fax: 0034 914 105 293</w:t>
      </w:r>
    </w:p>
    <w:sectPr w:rsidR="00913057" w:rsidRPr="000F3918" w:rsidSect="0091305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155" w:right="1418" w:bottom="1418" w:left="1418" w:footer="130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98" w:rsidRDefault="00596298">
      <w:r>
        <w:separator/>
      </w:r>
    </w:p>
  </w:endnote>
  <w:endnote w:type="continuationSeparator" w:id="0">
    <w:p w:rsidR="00596298" w:rsidRDefault="0059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95 Ultra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98" w:rsidRDefault="00506C4E" w:rsidP="0019611E">
    <w:pPr>
      <w:pStyle w:val="Footer"/>
      <w:framePr w:wrap="around" w:vAnchor="text" w:hAnchor="margin" w:xAlign="right" w:y="1"/>
      <w:rPr>
        <w:rStyle w:val="PageNumber"/>
        <w:rFonts w:ascii="Times" w:hAnsi="Times"/>
        <w:snapToGrid/>
        <w:sz w:val="24"/>
        <w:lang w:val="es-ES_tradnl"/>
      </w:rPr>
    </w:pPr>
    <w:r>
      <w:rPr>
        <w:rStyle w:val="PageNumber"/>
      </w:rPr>
      <w:fldChar w:fldCharType="begin"/>
    </w:r>
    <w:r w:rsidR="00596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298" w:rsidRDefault="00596298" w:rsidP="0019611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98" w:rsidRDefault="00506C4E" w:rsidP="0019611E">
    <w:pPr>
      <w:pStyle w:val="Footer"/>
      <w:framePr w:wrap="around" w:vAnchor="text" w:hAnchor="margin" w:xAlign="right" w:y="1"/>
      <w:rPr>
        <w:rStyle w:val="PageNumber"/>
        <w:rFonts w:ascii="Times" w:hAnsi="Times"/>
        <w:snapToGrid/>
        <w:sz w:val="24"/>
        <w:lang w:val="es-ES_tradnl"/>
      </w:rPr>
    </w:pPr>
    <w:r>
      <w:rPr>
        <w:rStyle w:val="PageNumber"/>
      </w:rPr>
      <w:fldChar w:fldCharType="begin"/>
    </w:r>
    <w:r w:rsidR="005962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73F">
      <w:rPr>
        <w:rStyle w:val="PageNumber"/>
        <w:noProof/>
      </w:rPr>
      <w:t>1</w:t>
    </w:r>
    <w:r>
      <w:rPr>
        <w:rStyle w:val="PageNumber"/>
      </w:rPr>
      <w:fldChar w:fldCharType="end"/>
    </w:r>
  </w:p>
  <w:p w:rsidR="00596298" w:rsidRDefault="00596298" w:rsidP="0019611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98" w:rsidRDefault="00596298">
      <w:r>
        <w:separator/>
      </w:r>
    </w:p>
  </w:footnote>
  <w:footnote w:type="continuationSeparator" w:id="0">
    <w:p w:rsidR="00596298" w:rsidRDefault="00596298">
      <w:r>
        <w:continuationSeparator/>
      </w:r>
    </w:p>
  </w:footnote>
  <w:footnote w:id="1">
    <w:p w:rsidR="00596298" w:rsidRDefault="005962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hps"/>
          <w:sz w:val="16"/>
        </w:rPr>
        <w:t>Cash Flow livre:</w:t>
      </w:r>
      <w:r>
        <w:t xml:space="preserve"> </w:t>
      </w:r>
      <w:r>
        <w:rPr>
          <w:rStyle w:val="hps"/>
          <w:sz w:val="16"/>
        </w:rPr>
        <w:t>Fluxo de tesouraria em atividades operacionais - fluxo de tesouraria em investimentos</w:t>
      </w:r>
      <w:r>
        <w:rPr>
          <w:sz w:val="16"/>
        </w:rPr>
        <w:t>.</w:t>
      </w:r>
    </w:p>
  </w:footnote>
  <w:footnote w:id="2">
    <w:p w:rsidR="00596298" w:rsidRDefault="00596298" w:rsidP="00913057">
      <w:pPr>
        <w:pStyle w:val="FootnoteText"/>
      </w:pPr>
      <w:r>
        <w:rPr>
          <w:rStyle w:val="hps"/>
          <w:vertAlign w:val="superscript"/>
        </w:rPr>
        <w:footnoteRef/>
      </w:r>
      <w:r>
        <w:rPr>
          <w:rStyle w:val="hps"/>
        </w:rPr>
        <w:t xml:space="preserve"> </w:t>
      </w:r>
      <w:r w:rsidRPr="00B26600">
        <w:rPr>
          <w:rStyle w:val="hps"/>
          <w:sz w:val="16"/>
        </w:rPr>
        <w:t>No fim do período.</w:t>
      </w:r>
    </w:p>
  </w:footnote>
  <w:footnote w:id="3">
    <w:p w:rsidR="00596298" w:rsidRDefault="00596298">
      <w:pPr>
        <w:pStyle w:val="FootnoteText"/>
      </w:pPr>
      <w:r>
        <w:rPr>
          <w:rStyle w:val="FootnoteReference"/>
          <w:sz w:val="32"/>
        </w:rPr>
        <w:sym w:font="Symbol" w:char="F02A"/>
      </w:r>
      <w:r>
        <w:rPr>
          <w:sz w:val="32"/>
        </w:rPr>
        <w:t xml:space="preserve"> </w:t>
      </w:r>
      <w:r>
        <w:rPr>
          <w:sz w:val="16"/>
        </w:rPr>
        <w:t>Incluindo a Rússia e a Turquia.</w:t>
      </w:r>
    </w:p>
  </w:footnote>
  <w:footnote w:id="4">
    <w:p w:rsidR="00596298" w:rsidRDefault="00596298">
      <w:pPr>
        <w:pStyle w:val="FootnoteText"/>
      </w:pPr>
    </w:p>
  </w:footnote>
  <w:footnote w:id="5">
    <w:p w:rsidR="00596298" w:rsidRDefault="00596298">
      <w:pPr>
        <w:pStyle w:val="FootnoteText"/>
      </w:pPr>
      <w:r>
        <w:rPr>
          <w:rStyle w:val="FootnoteReference"/>
          <w:sz w:val="32"/>
        </w:rPr>
        <w:sym w:font="Symbol" w:char="F02A"/>
      </w:r>
      <w:r>
        <w:rPr>
          <w:sz w:val="32"/>
        </w:rPr>
        <w:t xml:space="preserve"> </w:t>
      </w:r>
      <w:r>
        <w:rPr>
          <w:sz w:val="16"/>
        </w:rPr>
        <w:t>Mercado radial unicamente.</w:t>
      </w:r>
    </w:p>
    <w:p w:rsidR="00596298" w:rsidRDefault="00596298">
      <w:pPr>
        <w:pStyle w:val="FootnoteText"/>
      </w:pPr>
      <w:r>
        <w:rPr>
          <w:rStyle w:val="FootnoteReference"/>
          <w:rFonts w:ascii="Arial" w:hAnsi="Arial"/>
          <w:sz w:val="32"/>
        </w:rPr>
        <w:sym w:font="Symbol" w:char="F02A"/>
      </w:r>
      <w:r>
        <w:rPr>
          <w:rStyle w:val="FootnoteReference"/>
          <w:sz w:val="32"/>
        </w:rPr>
        <w:sym w:font="Symbol" w:char="F02A"/>
      </w:r>
      <w:r>
        <w:t xml:space="preserve"> </w:t>
      </w:r>
      <w:r>
        <w:rPr>
          <w:sz w:val="16"/>
        </w:rPr>
        <w:t>Incluindo a Rússia e a Turquia.</w:t>
      </w:r>
    </w:p>
  </w:footnote>
  <w:footnote w:id="6">
    <w:p w:rsidR="00436118" w:rsidRDefault="00436118" w:rsidP="00E701D7">
      <w:pPr>
        <w:pStyle w:val="FootnoteText"/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98" w:rsidRDefault="00506C4E" w:rsidP="009130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6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298" w:rsidRDefault="00596298" w:rsidP="0091305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98" w:rsidRDefault="00596298" w:rsidP="00913057">
    <w:pPr>
      <w:ind w:right="360"/>
    </w:pPr>
    <w:r>
      <w:rPr>
        <w:noProof/>
        <w:lang w:val="en-US" w:eastAsia="en-US"/>
      </w:rPr>
      <w:drawing>
        <wp:inline distT="0" distB="0" distL="0" distR="0">
          <wp:extent cx="2241550" cy="679450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27172"/>
    <w:multiLevelType w:val="hybridMultilevel"/>
    <w:tmpl w:val="EDE4CA4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93FD6"/>
    <w:multiLevelType w:val="hybridMultilevel"/>
    <w:tmpl w:val="69B603B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366597"/>
    <w:multiLevelType w:val="hybridMultilevel"/>
    <w:tmpl w:val="56CAE76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D52932"/>
    <w:multiLevelType w:val="hybridMultilevel"/>
    <w:tmpl w:val="55704128"/>
    <w:lvl w:ilvl="0" w:tplc="FFFFFFFF">
      <w:start w:val="1"/>
      <w:numFmt w:val="bullet"/>
      <w:pStyle w:val="Bulletpoin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06009"/>
    <w:rsid w:val="00015592"/>
    <w:rsid w:val="000349B9"/>
    <w:rsid w:val="00035747"/>
    <w:rsid w:val="00042E94"/>
    <w:rsid w:val="000470EF"/>
    <w:rsid w:val="00047843"/>
    <w:rsid w:val="000521FB"/>
    <w:rsid w:val="00054C4A"/>
    <w:rsid w:val="0006054C"/>
    <w:rsid w:val="0006573F"/>
    <w:rsid w:val="0006759F"/>
    <w:rsid w:val="0007488D"/>
    <w:rsid w:val="000748A3"/>
    <w:rsid w:val="00086A17"/>
    <w:rsid w:val="000A6E67"/>
    <w:rsid w:val="000A7E2B"/>
    <w:rsid w:val="000B1335"/>
    <w:rsid w:val="000B40FE"/>
    <w:rsid w:val="000C3CF0"/>
    <w:rsid w:val="000C44F7"/>
    <w:rsid w:val="000D0618"/>
    <w:rsid w:val="000D1C68"/>
    <w:rsid w:val="000E2D8D"/>
    <w:rsid w:val="000F3918"/>
    <w:rsid w:val="000F4AF1"/>
    <w:rsid w:val="000F7B82"/>
    <w:rsid w:val="00101D27"/>
    <w:rsid w:val="00110433"/>
    <w:rsid w:val="0011799C"/>
    <w:rsid w:val="001203AC"/>
    <w:rsid w:val="00155AA1"/>
    <w:rsid w:val="001609F0"/>
    <w:rsid w:val="00164284"/>
    <w:rsid w:val="00170AED"/>
    <w:rsid w:val="0019611E"/>
    <w:rsid w:val="001A74CF"/>
    <w:rsid w:val="001A7F20"/>
    <w:rsid w:val="001C2ECA"/>
    <w:rsid w:val="001E7D73"/>
    <w:rsid w:val="002149A7"/>
    <w:rsid w:val="00214C97"/>
    <w:rsid w:val="00217AE4"/>
    <w:rsid w:val="00220FF2"/>
    <w:rsid w:val="002271CA"/>
    <w:rsid w:val="002332B7"/>
    <w:rsid w:val="00234197"/>
    <w:rsid w:val="00266A30"/>
    <w:rsid w:val="00283994"/>
    <w:rsid w:val="002C31F8"/>
    <w:rsid w:val="002C394A"/>
    <w:rsid w:val="002C5320"/>
    <w:rsid w:val="002D417A"/>
    <w:rsid w:val="002D705E"/>
    <w:rsid w:val="002E628F"/>
    <w:rsid w:val="002F07C9"/>
    <w:rsid w:val="002F33D8"/>
    <w:rsid w:val="003062A2"/>
    <w:rsid w:val="003156D6"/>
    <w:rsid w:val="0032751F"/>
    <w:rsid w:val="00334908"/>
    <w:rsid w:val="003417FD"/>
    <w:rsid w:val="003558E6"/>
    <w:rsid w:val="00373431"/>
    <w:rsid w:val="00387631"/>
    <w:rsid w:val="003A0289"/>
    <w:rsid w:val="003B3CF8"/>
    <w:rsid w:val="003C7936"/>
    <w:rsid w:val="0040679E"/>
    <w:rsid w:val="00412E56"/>
    <w:rsid w:val="00426312"/>
    <w:rsid w:val="0043224F"/>
    <w:rsid w:val="00436118"/>
    <w:rsid w:val="00443E0E"/>
    <w:rsid w:val="00450DC4"/>
    <w:rsid w:val="00456ACA"/>
    <w:rsid w:val="00460FF3"/>
    <w:rsid w:val="00466CE7"/>
    <w:rsid w:val="004A759C"/>
    <w:rsid w:val="004A7D63"/>
    <w:rsid w:val="004B554E"/>
    <w:rsid w:val="004C04DE"/>
    <w:rsid w:val="004C2CC9"/>
    <w:rsid w:val="004D1297"/>
    <w:rsid w:val="004D1BA5"/>
    <w:rsid w:val="004D1D46"/>
    <w:rsid w:val="004F41B1"/>
    <w:rsid w:val="004F4EFE"/>
    <w:rsid w:val="005020D0"/>
    <w:rsid w:val="00506C4E"/>
    <w:rsid w:val="00515928"/>
    <w:rsid w:val="00534CB7"/>
    <w:rsid w:val="005405BA"/>
    <w:rsid w:val="00542EAB"/>
    <w:rsid w:val="00550696"/>
    <w:rsid w:val="005525E4"/>
    <w:rsid w:val="0056412B"/>
    <w:rsid w:val="00575608"/>
    <w:rsid w:val="00581925"/>
    <w:rsid w:val="00581B19"/>
    <w:rsid w:val="00586C35"/>
    <w:rsid w:val="00594BD7"/>
    <w:rsid w:val="00596298"/>
    <w:rsid w:val="005D1E94"/>
    <w:rsid w:val="0060265E"/>
    <w:rsid w:val="00610827"/>
    <w:rsid w:val="006112D9"/>
    <w:rsid w:val="00611BE9"/>
    <w:rsid w:val="0062244B"/>
    <w:rsid w:val="0063158D"/>
    <w:rsid w:val="00647DA0"/>
    <w:rsid w:val="006545BD"/>
    <w:rsid w:val="00670AFE"/>
    <w:rsid w:val="006767C6"/>
    <w:rsid w:val="0068132F"/>
    <w:rsid w:val="0069592E"/>
    <w:rsid w:val="00696E13"/>
    <w:rsid w:val="006A35A3"/>
    <w:rsid w:val="006A4FAA"/>
    <w:rsid w:val="006B177D"/>
    <w:rsid w:val="006B35D7"/>
    <w:rsid w:val="006B621A"/>
    <w:rsid w:val="006C52EA"/>
    <w:rsid w:val="006D034B"/>
    <w:rsid w:val="006D7B1F"/>
    <w:rsid w:val="006E4DD2"/>
    <w:rsid w:val="006E5AC9"/>
    <w:rsid w:val="006E6BC4"/>
    <w:rsid w:val="007171B6"/>
    <w:rsid w:val="007178B3"/>
    <w:rsid w:val="0072635B"/>
    <w:rsid w:val="00737916"/>
    <w:rsid w:val="0075308E"/>
    <w:rsid w:val="00763499"/>
    <w:rsid w:val="00763644"/>
    <w:rsid w:val="007748BB"/>
    <w:rsid w:val="00777D5A"/>
    <w:rsid w:val="00785CEE"/>
    <w:rsid w:val="007874AF"/>
    <w:rsid w:val="00794036"/>
    <w:rsid w:val="007A2702"/>
    <w:rsid w:val="007E1214"/>
    <w:rsid w:val="008141C7"/>
    <w:rsid w:val="00824DA9"/>
    <w:rsid w:val="008348AE"/>
    <w:rsid w:val="008403FD"/>
    <w:rsid w:val="00850CE2"/>
    <w:rsid w:val="00853C99"/>
    <w:rsid w:val="00857BD6"/>
    <w:rsid w:val="008652EB"/>
    <w:rsid w:val="008A42EA"/>
    <w:rsid w:val="008A7E2A"/>
    <w:rsid w:val="008B20D9"/>
    <w:rsid w:val="008C0BE6"/>
    <w:rsid w:val="008D354F"/>
    <w:rsid w:val="008D4B7E"/>
    <w:rsid w:val="008E07E7"/>
    <w:rsid w:val="008F1DF2"/>
    <w:rsid w:val="008F7B7F"/>
    <w:rsid w:val="0090143D"/>
    <w:rsid w:val="00910729"/>
    <w:rsid w:val="009117CB"/>
    <w:rsid w:val="00913057"/>
    <w:rsid w:val="00917A4A"/>
    <w:rsid w:val="00924C99"/>
    <w:rsid w:val="00944A2A"/>
    <w:rsid w:val="00945203"/>
    <w:rsid w:val="00955BC6"/>
    <w:rsid w:val="00966F4E"/>
    <w:rsid w:val="00966FA0"/>
    <w:rsid w:val="00970CC2"/>
    <w:rsid w:val="009C7313"/>
    <w:rsid w:val="009D387C"/>
    <w:rsid w:val="009E60B7"/>
    <w:rsid w:val="009F2C58"/>
    <w:rsid w:val="00A06945"/>
    <w:rsid w:val="00A13D96"/>
    <w:rsid w:val="00A16F33"/>
    <w:rsid w:val="00A216B6"/>
    <w:rsid w:val="00A26E85"/>
    <w:rsid w:val="00A30938"/>
    <w:rsid w:val="00A32276"/>
    <w:rsid w:val="00A61AD3"/>
    <w:rsid w:val="00A61EDA"/>
    <w:rsid w:val="00A83FD5"/>
    <w:rsid w:val="00A84C7A"/>
    <w:rsid w:val="00A93446"/>
    <w:rsid w:val="00AA0EB1"/>
    <w:rsid w:val="00AA3D88"/>
    <w:rsid w:val="00AB309E"/>
    <w:rsid w:val="00AC5A10"/>
    <w:rsid w:val="00AC7968"/>
    <w:rsid w:val="00AD0BF3"/>
    <w:rsid w:val="00AF449A"/>
    <w:rsid w:val="00AF5E6F"/>
    <w:rsid w:val="00B02992"/>
    <w:rsid w:val="00B07E54"/>
    <w:rsid w:val="00B14414"/>
    <w:rsid w:val="00B21DB8"/>
    <w:rsid w:val="00B26600"/>
    <w:rsid w:val="00B5374C"/>
    <w:rsid w:val="00B638CA"/>
    <w:rsid w:val="00B713B1"/>
    <w:rsid w:val="00B80CCE"/>
    <w:rsid w:val="00B83F4B"/>
    <w:rsid w:val="00BA21BF"/>
    <w:rsid w:val="00BA2D17"/>
    <w:rsid w:val="00BA4103"/>
    <w:rsid w:val="00BC2D08"/>
    <w:rsid w:val="00BC68CF"/>
    <w:rsid w:val="00BC76AA"/>
    <w:rsid w:val="00BE6482"/>
    <w:rsid w:val="00BF5F2C"/>
    <w:rsid w:val="00C122D7"/>
    <w:rsid w:val="00C424F2"/>
    <w:rsid w:val="00C459BC"/>
    <w:rsid w:val="00C65F4C"/>
    <w:rsid w:val="00C739C7"/>
    <w:rsid w:val="00C81FF6"/>
    <w:rsid w:val="00C87FFC"/>
    <w:rsid w:val="00CB64F1"/>
    <w:rsid w:val="00CC7851"/>
    <w:rsid w:val="00CE1B40"/>
    <w:rsid w:val="00D10C8A"/>
    <w:rsid w:val="00D20288"/>
    <w:rsid w:val="00D31549"/>
    <w:rsid w:val="00D50C8C"/>
    <w:rsid w:val="00D52AA8"/>
    <w:rsid w:val="00D70DBF"/>
    <w:rsid w:val="00D774E3"/>
    <w:rsid w:val="00D85395"/>
    <w:rsid w:val="00D92061"/>
    <w:rsid w:val="00DA08B4"/>
    <w:rsid w:val="00DA4E4A"/>
    <w:rsid w:val="00DA5E01"/>
    <w:rsid w:val="00DD3534"/>
    <w:rsid w:val="00DE22B3"/>
    <w:rsid w:val="00DE5FB5"/>
    <w:rsid w:val="00DE67CF"/>
    <w:rsid w:val="00DF1C5C"/>
    <w:rsid w:val="00DF702D"/>
    <w:rsid w:val="00E02607"/>
    <w:rsid w:val="00E25608"/>
    <w:rsid w:val="00E31646"/>
    <w:rsid w:val="00E32312"/>
    <w:rsid w:val="00E3524A"/>
    <w:rsid w:val="00E42D68"/>
    <w:rsid w:val="00E60C6B"/>
    <w:rsid w:val="00E61C86"/>
    <w:rsid w:val="00E632A9"/>
    <w:rsid w:val="00E701D7"/>
    <w:rsid w:val="00EA7BF8"/>
    <w:rsid w:val="00EB538E"/>
    <w:rsid w:val="00EB53E2"/>
    <w:rsid w:val="00EC3349"/>
    <w:rsid w:val="00EC66DB"/>
    <w:rsid w:val="00F02DE5"/>
    <w:rsid w:val="00F07E43"/>
    <w:rsid w:val="00F104E3"/>
    <w:rsid w:val="00F131C2"/>
    <w:rsid w:val="00F47557"/>
    <w:rsid w:val="00F50FF3"/>
    <w:rsid w:val="00F61E28"/>
    <w:rsid w:val="00F62BDE"/>
    <w:rsid w:val="00F63ECA"/>
    <w:rsid w:val="00F73326"/>
    <w:rsid w:val="00F95172"/>
    <w:rsid w:val="00F971B2"/>
    <w:rsid w:val="00FB27F6"/>
    <w:rsid w:val="00FB6E08"/>
    <w:rsid w:val="00FC4082"/>
    <w:rsid w:val="00FD0EA7"/>
    <w:rsid w:val="00FD421E"/>
    <w:rsid w:val="00FE65E9"/>
    <w:rsid w:val="00FF1CEF"/>
    <w:rsid w:val="00FF567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49D"/>
    <w:rPr>
      <w:lang w:eastAsia="fr-FR"/>
    </w:rPr>
  </w:style>
  <w:style w:type="paragraph" w:styleId="Heading1">
    <w:name w:val="heading 1"/>
    <w:basedOn w:val="Normal"/>
    <w:next w:val="Normal"/>
    <w:qFormat/>
    <w:rsid w:val="00086A17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qFormat/>
    <w:rsid w:val="00086A17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8">
    <w:name w:val="heading 8"/>
    <w:basedOn w:val="Normal"/>
    <w:next w:val="Normal"/>
    <w:qFormat/>
    <w:rsid w:val="00086A17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086A17"/>
    <w:pPr>
      <w:spacing w:after="120"/>
    </w:pPr>
  </w:style>
  <w:style w:type="paragraph" w:customStyle="1" w:styleId="Headline">
    <w:name w:val="Headline"/>
    <w:rsid w:val="00086A17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086A17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Footer">
    <w:name w:val="footer"/>
    <w:basedOn w:val="Normal"/>
    <w:link w:val="FooterChar"/>
    <w:rsid w:val="00086A17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086A17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Bullet">
    <w:name w:val="List Bullet"/>
    <w:basedOn w:val="Normal"/>
    <w:autoRedefine/>
    <w:rsid w:val="00086A17"/>
    <w:pPr>
      <w:numPr>
        <w:numId w:val="1"/>
      </w:numPr>
    </w:pPr>
  </w:style>
  <w:style w:type="paragraph" w:customStyle="1" w:styleId="TextoCONTINENTAL">
    <w:name w:val="Texto CONTINENTAL"/>
    <w:basedOn w:val="BodyText"/>
    <w:rsid w:val="00086A17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uiPriority w:val="99"/>
    <w:semiHidden/>
    <w:unhideWhenUsed/>
    <w:rsid w:val="00BA410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link w:val="BodyText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rsid w:val="00CE0484"/>
    <w:rPr>
      <w:sz w:val="20"/>
      <w:szCs w:val="20"/>
    </w:rPr>
  </w:style>
  <w:style w:type="character" w:styleId="PageNumber">
    <w:name w:val="page number"/>
    <w:basedOn w:val="DefaultParagraphFont"/>
    <w:rsid w:val="00970ACE"/>
  </w:style>
  <w:style w:type="paragraph" w:styleId="Header">
    <w:name w:val="header"/>
    <w:basedOn w:val="Normal"/>
    <w:link w:val="HeaderChar"/>
    <w:rsid w:val="00970A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70ACE"/>
    <w:rPr>
      <w:rFonts w:ascii="Arial" w:eastAsia="Times New Roman" w:hAnsi="Arial"/>
      <w:sz w:val="22"/>
    </w:rPr>
  </w:style>
  <w:style w:type="character" w:styleId="Strong">
    <w:name w:val="Strong"/>
    <w:qFormat/>
    <w:rsid w:val="000B6AE5"/>
    <w:rPr>
      <w:b/>
      <w:bCs/>
    </w:rPr>
  </w:style>
  <w:style w:type="paragraph" w:styleId="ListParagraph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semiHidden/>
    <w:rsid w:val="000B6AE5"/>
    <w:rPr>
      <w:sz w:val="18"/>
    </w:rPr>
  </w:style>
  <w:style w:type="paragraph" w:styleId="CommentText">
    <w:name w:val="annotation text"/>
    <w:basedOn w:val="Normal"/>
    <w:semiHidden/>
    <w:rsid w:val="000B6AE5"/>
  </w:style>
  <w:style w:type="paragraph" w:styleId="CommentSubject">
    <w:name w:val="annotation subject"/>
    <w:basedOn w:val="CommentText"/>
    <w:next w:val="CommentText"/>
    <w:semiHidden/>
    <w:rsid w:val="000B6AE5"/>
    <w:rPr>
      <w:sz w:val="22"/>
      <w:szCs w:val="20"/>
    </w:rPr>
  </w:style>
  <w:style w:type="paragraph" w:styleId="BalloonText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0B6AE5"/>
  </w:style>
  <w:style w:type="character" w:styleId="FootnoteReference">
    <w:name w:val="footnote reference"/>
    <w:semiHidden/>
    <w:rsid w:val="000B6AE5"/>
    <w:rPr>
      <w:vertAlign w:val="superscript"/>
    </w:rPr>
  </w:style>
  <w:style w:type="character" w:styleId="FollowedHyperlink">
    <w:name w:val="FollowedHyperlink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character" w:customStyle="1" w:styleId="hps">
    <w:name w:val="hps"/>
    <w:basedOn w:val="DefaultParagraphFont"/>
    <w:rsid w:val="00481429"/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FooterChar">
    <w:name w:val="Footer Char"/>
    <w:link w:val="Footer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BodyText2">
    <w:name w:val="Body Text 2"/>
    <w:basedOn w:val="Normal"/>
    <w:rsid w:val="001275BC"/>
    <w:pPr>
      <w:spacing w:after="120" w:line="480" w:lineRule="auto"/>
    </w:pPr>
  </w:style>
  <w:style w:type="paragraph" w:styleId="BodyTextIndent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BlockText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Heading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Heading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  <w:style w:type="paragraph" w:customStyle="1" w:styleId="LadilloMichelinDossier">
    <w:name w:val="Ladillo Michelin Dossier"/>
    <w:basedOn w:val="TextoMichelin"/>
    <w:rsid w:val="00481429"/>
    <w:pPr>
      <w:spacing w:before="480" w:after="120"/>
      <w:jc w:val="left"/>
    </w:pPr>
    <w:rPr>
      <w:rFonts w:ascii="Times" w:hAnsi="Times"/>
      <w:b/>
      <w:sz w:val="26"/>
    </w:rPr>
  </w:style>
  <w:style w:type="table" w:styleId="TableGrid">
    <w:name w:val="Table Grid"/>
    <w:basedOn w:val="TableNormal"/>
    <w:rsid w:val="0048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Normal"/>
    <w:autoRedefine/>
    <w:rsid w:val="00481429"/>
    <w:pPr>
      <w:jc w:val="both"/>
    </w:pPr>
    <w:rPr>
      <w:rFonts w:ascii="Trebuchet MS" w:eastAsia="Times New Roman" w:hAnsi="Trebuchet MS"/>
      <w:b/>
      <w:kern w:val="32"/>
      <w:sz w:val="22"/>
      <w:lang w:eastAsia="en-US"/>
    </w:rPr>
  </w:style>
  <w:style w:type="paragraph" w:customStyle="1" w:styleId="Normal2">
    <w:name w:val="Normal 2"/>
    <w:basedOn w:val="Normal"/>
    <w:autoRedefine/>
    <w:rsid w:val="00481429"/>
    <w:pPr>
      <w:jc w:val="both"/>
    </w:pPr>
    <w:rPr>
      <w:rFonts w:ascii="Helvetica" w:eastAsia="Times New Roman" w:hAnsi="Helvetica"/>
      <w:lang w:eastAsia="en-US"/>
    </w:rPr>
  </w:style>
  <w:style w:type="character" w:styleId="Emphasis">
    <w:name w:val="Emphasis"/>
    <w:qFormat/>
    <w:rsid w:val="00481429"/>
    <w:rPr>
      <w:i/>
      <w:iCs/>
    </w:rPr>
  </w:style>
  <w:style w:type="character" w:customStyle="1" w:styleId="tw4winMark">
    <w:name w:val="tw4winMark"/>
    <w:rsid w:val="0048142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8142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81429"/>
    <w:rPr>
      <w:color w:val="0000FF"/>
    </w:rPr>
  </w:style>
  <w:style w:type="character" w:customStyle="1" w:styleId="tw4winPopup">
    <w:name w:val="tw4winPopup"/>
    <w:rsid w:val="0048142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8142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8142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8142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81429"/>
    <w:rPr>
      <w:rFonts w:ascii="Courier New" w:hAnsi="Courier New" w:cs="Courier New"/>
      <w:noProof/>
      <w:color w:val="800000"/>
    </w:rPr>
  </w:style>
  <w:style w:type="paragraph" w:styleId="PlainText">
    <w:name w:val="Plain Text"/>
    <w:basedOn w:val="Normal"/>
    <w:rsid w:val="00481429"/>
    <w:rPr>
      <w:rFonts w:ascii="Courier New" w:eastAsia="Times New Roman" w:hAnsi="Courier New" w:cs="Courier New"/>
      <w:sz w:val="20"/>
      <w:lang w:val="fr-FR"/>
    </w:rPr>
  </w:style>
  <w:style w:type="paragraph" w:customStyle="1" w:styleId="CarCarCarCarCarCarCarCarCar">
    <w:name w:val="Car Car Car Car Car Car Car Car Car"/>
    <w:basedOn w:val="Normal"/>
    <w:rsid w:val="00481429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CorpsdetexteCar">
    <w:name w:val="Corps de texte Car"/>
    <w:rsid w:val="00481429"/>
    <w:rPr>
      <w:rFonts w:ascii="Arial" w:hAnsi="Arial"/>
      <w:szCs w:val="24"/>
      <w:lang w:val="fr-FR" w:eastAsia="en-GB" w:bidi="ar-SA"/>
    </w:rPr>
  </w:style>
  <w:style w:type="paragraph" w:customStyle="1" w:styleId="corpsdetexte">
    <w:name w:val="corps de texte"/>
    <w:basedOn w:val="Normal"/>
    <w:rsid w:val="00481429"/>
    <w:pPr>
      <w:ind w:right="7510"/>
      <w:jc w:val="both"/>
    </w:pPr>
    <w:rPr>
      <w:rFonts w:ascii="Arial" w:eastAsia="Times New Roman" w:hAnsi="Arial"/>
      <w:sz w:val="18"/>
      <w:szCs w:val="18"/>
      <w:lang w:val="fr-FR" w:eastAsia="en-GB"/>
    </w:rPr>
  </w:style>
  <w:style w:type="character" w:customStyle="1" w:styleId="corpsdetexteCar0">
    <w:name w:val="corps de texte Car"/>
    <w:rsid w:val="00481429"/>
    <w:rPr>
      <w:rFonts w:ascii="Arial" w:hAnsi="Arial"/>
      <w:sz w:val="18"/>
      <w:szCs w:val="18"/>
      <w:lang w:val="fr-FR" w:eastAsia="en-GB" w:bidi="ar-SA"/>
    </w:rPr>
  </w:style>
  <w:style w:type="paragraph" w:customStyle="1" w:styleId="1">
    <w:name w:val="1"/>
    <w:basedOn w:val="Normal"/>
    <w:rsid w:val="00481429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paragraph" w:customStyle="1" w:styleId="Note">
    <w:name w:val="Note"/>
    <w:basedOn w:val="BodyText"/>
    <w:rsid w:val="00481429"/>
    <w:pPr>
      <w:spacing w:before="60" w:after="0"/>
      <w:ind w:right="4649"/>
      <w:jc w:val="both"/>
    </w:pPr>
    <w:rPr>
      <w:rFonts w:ascii="Arial" w:eastAsia="Times New Roman" w:hAnsi="Arial" w:cs="Verdana"/>
      <w:i/>
      <w:sz w:val="16"/>
      <w:szCs w:val="16"/>
      <w:lang w:val="en-GB" w:eastAsia="en-GB" w:bidi="fr-FR"/>
    </w:rPr>
  </w:style>
  <w:style w:type="paragraph" w:customStyle="1" w:styleId="Bulletpoint">
    <w:name w:val="Bullet point"/>
    <w:basedOn w:val="BodyText"/>
    <w:rsid w:val="00481429"/>
    <w:pPr>
      <w:numPr>
        <w:numId w:val="6"/>
      </w:numPr>
      <w:spacing w:after="60"/>
      <w:ind w:right="4649"/>
      <w:jc w:val="both"/>
    </w:pPr>
    <w:rPr>
      <w:rFonts w:ascii="Arial" w:eastAsia="Times New Roman" w:hAnsi="Arial" w:cs="Verdana"/>
      <w:sz w:val="18"/>
      <w:szCs w:val="18"/>
      <w:lang w:val="fr-FR" w:eastAsia="en-GB" w:bidi="fr-FR"/>
    </w:rPr>
  </w:style>
  <w:style w:type="character" w:customStyle="1" w:styleId="BulletpointCar">
    <w:name w:val="Bullet point Car"/>
    <w:rsid w:val="00481429"/>
    <w:rPr>
      <w:rFonts w:ascii="Arial" w:hAnsi="Arial" w:cs="Verdana"/>
      <w:sz w:val="18"/>
      <w:szCs w:val="18"/>
      <w:lang w:val="fr-FR" w:eastAsia="en-GB" w:bidi="fr-FR"/>
    </w:rPr>
  </w:style>
  <w:style w:type="paragraph" w:customStyle="1" w:styleId="Titreinfo">
    <w:name w:val="Titre info"/>
    <w:basedOn w:val="BodyText"/>
    <w:next w:val="BodyText"/>
    <w:rsid w:val="00481429"/>
    <w:pPr>
      <w:keepNext/>
      <w:spacing w:after="60"/>
      <w:ind w:right="4649"/>
      <w:jc w:val="both"/>
    </w:pPr>
    <w:rPr>
      <w:rFonts w:ascii="Arial" w:eastAsia="Times New Roman" w:hAnsi="Arial" w:cs="Verdana"/>
      <w:b/>
      <w:color w:val="333399"/>
      <w:sz w:val="18"/>
      <w:szCs w:val="18"/>
      <w:lang w:val="fr-FR" w:eastAsia="en-GB" w:bidi="fr-FR"/>
    </w:rPr>
  </w:style>
  <w:style w:type="paragraph" w:customStyle="1" w:styleId="Titre4">
    <w:name w:val="Titre4"/>
    <w:basedOn w:val="Normal"/>
    <w:next w:val="BodyText"/>
    <w:rsid w:val="00481429"/>
    <w:pPr>
      <w:keepNext/>
      <w:spacing w:before="240" w:after="120"/>
      <w:ind w:right="4649"/>
    </w:pPr>
    <w:rPr>
      <w:rFonts w:ascii="Arial" w:eastAsia="Times New Roman" w:hAnsi="Arial"/>
      <w:b/>
      <w:bCs/>
      <w:color w:val="333399"/>
      <w:sz w:val="22"/>
      <w:lang w:val="fr-FR" w:eastAsia="en-GB"/>
    </w:rPr>
  </w:style>
  <w:style w:type="paragraph" w:customStyle="1" w:styleId="CarChar">
    <w:name w:val="Car Char"/>
    <w:basedOn w:val="Normal"/>
    <w:rsid w:val="00481429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Hipervnc">
    <w:name w:val="Hipervínc"/>
    <w:rsid w:val="005A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A249D"/>
    <w:rPr>
      <w:lang w:eastAsia="fr-F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Headline">
    <w:name w:val="Headline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paragraph" w:customStyle="1" w:styleId="TextoCONTINENTAL">
    <w:name w:val="Texto CONTINENTAL"/>
    <w:basedOn w:val="Textoindependiente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semiHidden/>
    <w:rsid w:val="000B6AE5"/>
    <w:rPr>
      <w:vertAlign w:val="superscript"/>
    </w:rPr>
  </w:style>
  <w:style w:type="character" w:styleId="Hipervnculovisitado">
    <w:name w:val="FollowedHyperlink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character" w:customStyle="1" w:styleId="hps">
    <w:name w:val="hps"/>
    <w:basedOn w:val="Fuentedeprrafopredeter"/>
    <w:rsid w:val="00481429"/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  <w:style w:type="paragraph" w:customStyle="1" w:styleId="LadilloMichelinDossier">
    <w:name w:val="Ladillo Michelin Dossier"/>
    <w:basedOn w:val="TextoMichelin"/>
    <w:rsid w:val="00481429"/>
    <w:pPr>
      <w:spacing w:before="480" w:after="120"/>
      <w:jc w:val="left"/>
    </w:pPr>
    <w:rPr>
      <w:rFonts w:ascii="Times" w:hAnsi="Times"/>
      <w:b/>
      <w:sz w:val="26"/>
    </w:rPr>
  </w:style>
  <w:style w:type="table" w:styleId="Tablaconcuadrcula">
    <w:name w:val="Table Grid"/>
    <w:basedOn w:val="Tablanormal"/>
    <w:rsid w:val="0048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Normal"/>
    <w:autoRedefine/>
    <w:rsid w:val="00481429"/>
    <w:pPr>
      <w:jc w:val="both"/>
    </w:pPr>
    <w:rPr>
      <w:rFonts w:ascii="Trebuchet MS" w:eastAsia="Times New Roman" w:hAnsi="Trebuchet MS"/>
      <w:b/>
      <w:kern w:val="32"/>
      <w:sz w:val="22"/>
      <w:lang w:eastAsia="en-US"/>
    </w:rPr>
  </w:style>
  <w:style w:type="paragraph" w:customStyle="1" w:styleId="Normal2">
    <w:name w:val="Normal 2"/>
    <w:basedOn w:val="Normal"/>
    <w:autoRedefine/>
    <w:rsid w:val="00481429"/>
    <w:pPr>
      <w:jc w:val="both"/>
    </w:pPr>
    <w:rPr>
      <w:rFonts w:ascii="Helvetica" w:eastAsia="Times New Roman" w:hAnsi="Helvetica"/>
      <w:lang w:eastAsia="en-US"/>
    </w:rPr>
  </w:style>
  <w:style w:type="character" w:styleId="nfasis">
    <w:name w:val="Emphasis"/>
    <w:qFormat/>
    <w:rsid w:val="00481429"/>
    <w:rPr>
      <w:i/>
      <w:iCs/>
    </w:rPr>
  </w:style>
  <w:style w:type="character" w:customStyle="1" w:styleId="tw4winMark">
    <w:name w:val="tw4winMark"/>
    <w:rsid w:val="0048142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8142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81429"/>
    <w:rPr>
      <w:color w:val="0000FF"/>
    </w:rPr>
  </w:style>
  <w:style w:type="character" w:customStyle="1" w:styleId="tw4winPopup">
    <w:name w:val="tw4winPopup"/>
    <w:rsid w:val="0048142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8142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8142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8142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81429"/>
    <w:rPr>
      <w:rFonts w:ascii="Courier New" w:hAnsi="Courier New" w:cs="Courier New"/>
      <w:noProof/>
      <w:color w:val="800000"/>
    </w:rPr>
  </w:style>
  <w:style w:type="paragraph" w:styleId="Textosinformato">
    <w:name w:val="Plain Text"/>
    <w:basedOn w:val="Normal"/>
    <w:rsid w:val="00481429"/>
    <w:rPr>
      <w:rFonts w:ascii="Courier New" w:eastAsia="Times New Roman" w:hAnsi="Courier New" w:cs="Courier New"/>
      <w:sz w:val="20"/>
      <w:lang w:val="fr-FR"/>
    </w:rPr>
  </w:style>
  <w:style w:type="paragraph" w:customStyle="1" w:styleId="CarCarCarCarCarCarCarCarCar">
    <w:name w:val="Car Car Car Car Car Car Car Car Car"/>
    <w:basedOn w:val="Normal"/>
    <w:rsid w:val="00481429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CorpsdetexteCar">
    <w:name w:val="Corps de texte Car"/>
    <w:rsid w:val="00481429"/>
    <w:rPr>
      <w:rFonts w:ascii="Arial" w:hAnsi="Arial"/>
      <w:szCs w:val="24"/>
      <w:lang w:val="fr-FR" w:eastAsia="en-GB" w:bidi="ar-SA"/>
    </w:rPr>
  </w:style>
  <w:style w:type="paragraph" w:customStyle="1" w:styleId="corpsdetexte">
    <w:name w:val="corps de texte"/>
    <w:basedOn w:val="Normal"/>
    <w:rsid w:val="00481429"/>
    <w:pPr>
      <w:ind w:right="7510"/>
      <w:jc w:val="both"/>
    </w:pPr>
    <w:rPr>
      <w:rFonts w:ascii="Arial" w:eastAsia="Times New Roman" w:hAnsi="Arial"/>
      <w:sz w:val="18"/>
      <w:szCs w:val="18"/>
      <w:lang w:val="fr-FR" w:eastAsia="en-GB"/>
    </w:rPr>
  </w:style>
  <w:style w:type="character" w:customStyle="1" w:styleId="corpsdetexteCar0">
    <w:name w:val="corps de texte Car"/>
    <w:rsid w:val="00481429"/>
    <w:rPr>
      <w:rFonts w:ascii="Arial" w:hAnsi="Arial"/>
      <w:sz w:val="18"/>
      <w:szCs w:val="18"/>
      <w:lang w:val="fr-FR" w:eastAsia="en-GB" w:bidi="ar-SA"/>
    </w:rPr>
  </w:style>
  <w:style w:type="paragraph" w:customStyle="1" w:styleId="1">
    <w:name w:val="1"/>
    <w:basedOn w:val="Normal"/>
    <w:rsid w:val="00481429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paragraph" w:customStyle="1" w:styleId="Note">
    <w:name w:val="Note"/>
    <w:basedOn w:val="Textoindependiente"/>
    <w:rsid w:val="00481429"/>
    <w:pPr>
      <w:spacing w:before="60" w:after="0"/>
      <w:ind w:right="4649"/>
      <w:jc w:val="both"/>
    </w:pPr>
    <w:rPr>
      <w:rFonts w:ascii="Arial" w:eastAsia="Times New Roman" w:hAnsi="Arial" w:cs="Verdana"/>
      <w:i/>
      <w:sz w:val="16"/>
      <w:szCs w:val="16"/>
      <w:lang w:val="en-GB" w:eastAsia="en-GB" w:bidi="fr-FR"/>
    </w:rPr>
  </w:style>
  <w:style w:type="paragraph" w:customStyle="1" w:styleId="Bulletpoint">
    <w:name w:val="Bullet point"/>
    <w:basedOn w:val="Textoindependiente"/>
    <w:rsid w:val="00481429"/>
    <w:pPr>
      <w:numPr>
        <w:numId w:val="6"/>
      </w:numPr>
      <w:spacing w:after="60"/>
      <w:ind w:right="4649"/>
      <w:jc w:val="both"/>
    </w:pPr>
    <w:rPr>
      <w:rFonts w:ascii="Arial" w:eastAsia="Times New Roman" w:hAnsi="Arial" w:cs="Verdana"/>
      <w:sz w:val="18"/>
      <w:szCs w:val="18"/>
      <w:lang w:val="fr-FR" w:eastAsia="en-GB" w:bidi="fr-FR"/>
    </w:rPr>
  </w:style>
  <w:style w:type="character" w:customStyle="1" w:styleId="BulletpointCar">
    <w:name w:val="Bullet point Car"/>
    <w:rsid w:val="00481429"/>
    <w:rPr>
      <w:rFonts w:ascii="Arial" w:hAnsi="Arial" w:cs="Verdana"/>
      <w:sz w:val="18"/>
      <w:szCs w:val="18"/>
      <w:lang w:val="fr-FR" w:eastAsia="en-GB" w:bidi="fr-FR"/>
    </w:rPr>
  </w:style>
  <w:style w:type="paragraph" w:customStyle="1" w:styleId="Titreinfo">
    <w:name w:val="Titre info"/>
    <w:basedOn w:val="Textoindependiente"/>
    <w:next w:val="Textoindependiente"/>
    <w:rsid w:val="00481429"/>
    <w:pPr>
      <w:keepNext/>
      <w:spacing w:after="60"/>
      <w:ind w:right="4649"/>
      <w:jc w:val="both"/>
    </w:pPr>
    <w:rPr>
      <w:rFonts w:ascii="Arial" w:eastAsia="Times New Roman" w:hAnsi="Arial" w:cs="Verdana"/>
      <w:b/>
      <w:color w:val="333399"/>
      <w:sz w:val="18"/>
      <w:szCs w:val="18"/>
      <w:lang w:val="fr-FR" w:eastAsia="en-GB" w:bidi="fr-FR"/>
    </w:rPr>
  </w:style>
  <w:style w:type="paragraph" w:customStyle="1" w:styleId="Titre4">
    <w:name w:val="Titre4"/>
    <w:basedOn w:val="Normal"/>
    <w:next w:val="Textoindependiente"/>
    <w:rsid w:val="00481429"/>
    <w:pPr>
      <w:keepNext/>
      <w:spacing w:before="240" w:after="120"/>
      <w:ind w:right="4649"/>
    </w:pPr>
    <w:rPr>
      <w:rFonts w:ascii="Arial" w:eastAsia="Times New Roman" w:hAnsi="Arial"/>
      <w:b/>
      <w:bCs/>
      <w:color w:val="333399"/>
      <w:sz w:val="22"/>
      <w:lang w:val="fr-FR" w:eastAsia="en-GB"/>
    </w:rPr>
  </w:style>
  <w:style w:type="paragraph" w:customStyle="1" w:styleId="CarChar">
    <w:name w:val="Car Char"/>
    <w:basedOn w:val="Normal"/>
    <w:rsid w:val="00481429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Hipervnc">
    <w:name w:val="Hipervínc"/>
    <w:rsid w:val="005A2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com/corporate" TargetMode="External"/><Relationship Id="rId9" Type="http://schemas.openxmlformats.org/officeDocument/2006/relationships/hyperlink" Target="http://www.michelin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B1F197-D153-144F-9CFF-EB7020D7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2871</Words>
  <Characters>16369</Characters>
  <Application>Microsoft Macintosh Word</Application>
  <DocSecurity>0</DocSecurity>
  <Lines>136</Lines>
  <Paragraphs>32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60" baseType="lpstr">
      <vt:lpstr>INFORMACIÓN DE PRENSA</vt:lpstr>
      <vt:lpstr/>
      <vt:lpstr>INFORMACIÓN DE PRENSA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>Tel: 0034 914 105 167 – Fax: 0034 914 105 293</vt:lpstr>
      <vt:lpstr>INFORMACIÓN DE PRENSA</vt:lpstr>
      <vt:lpstr/>
      <vt:lpstr>INFORMACIÓN DE PRENSA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>Tel: 0034 914 105 167 – Fax: 0034 914 105 293</vt:lpstr>
    </vt:vector>
  </TitlesOfParts>
  <Company>Century XXI</Company>
  <LinksUpToDate>false</LinksUpToDate>
  <CharactersWithSpaces>20102</CharactersWithSpaces>
  <SharedDoc>false</SharedDoc>
  <HLinks>
    <vt:vector size="18" baseType="variant">
      <vt:variant>
        <vt:i4>6094952</vt:i4>
      </vt:variant>
      <vt:variant>
        <vt:i4>3</vt:i4>
      </vt:variant>
      <vt:variant>
        <vt:i4>0</vt:i4>
      </vt:variant>
      <vt:variant>
        <vt:i4>5</vt:i4>
      </vt:variant>
      <vt:variant>
        <vt:lpwstr>http://www.michelin.com</vt:lpwstr>
      </vt:variant>
      <vt:variant>
        <vt:lpwstr/>
      </vt:variant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http://www.michelin.com/corporate</vt:lpwstr>
      </vt:variant>
      <vt:variant>
        <vt:lpwstr/>
      </vt:variant>
      <vt:variant>
        <vt:i4>3932196</vt:i4>
      </vt:variant>
      <vt:variant>
        <vt:i4>23068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Julio</cp:lastModifiedBy>
  <cp:revision>3</cp:revision>
  <cp:lastPrinted>2013-02-14T14:30:00Z</cp:lastPrinted>
  <dcterms:created xsi:type="dcterms:W3CDTF">2013-02-14T14:30:00Z</dcterms:created>
  <dcterms:modified xsi:type="dcterms:W3CDTF">2013-02-14T14:31:00Z</dcterms:modified>
</cp:coreProperties>
</file>