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AC62D" w14:textId="77777777" w:rsidR="00E13B15" w:rsidRDefault="00E13B15" w:rsidP="00B01F94">
      <w:pPr>
        <w:jc w:val="right"/>
        <w:rPr>
          <w:rFonts w:ascii="Verdana" w:hAnsi="Verdana"/>
          <w:sz w:val="18"/>
        </w:rPr>
      </w:pPr>
      <w:r w:rsidRPr="00E13B15">
        <w:rPr>
          <w:rFonts w:ascii="Times New Roman" w:eastAsia="Arial Unicode MS" w:hAnsi="Times New Roman"/>
          <w:b/>
          <w:bCs/>
          <w:noProof/>
          <w:color w:val="808080"/>
          <w:sz w:val="24"/>
          <w:szCs w:val="24"/>
          <w:u w:color="808080"/>
          <w:bdr w:val="nil"/>
          <w:lang w:eastAsia="en-US"/>
        </w:rPr>
        <w:t>INFORMAÇÃO DE IMPRENSA</w:t>
      </w:r>
      <w:r w:rsidRPr="0029325C">
        <w:rPr>
          <w:rFonts w:ascii="Verdana" w:hAnsi="Verdana"/>
          <w:sz w:val="18"/>
        </w:rPr>
        <w:t xml:space="preserve"> </w:t>
      </w:r>
    </w:p>
    <w:p w14:paraId="1B91A1FD" w14:textId="77777777" w:rsidR="00B01F94" w:rsidRPr="00AC577E" w:rsidRDefault="00E13B15" w:rsidP="00AC577E">
      <w:pPr>
        <w:spacing w:after="120" w:line="360" w:lineRule="exact"/>
        <w:jc w:val="right"/>
        <w:outlineLvl w:val="0"/>
        <w:rPr>
          <w:rFonts w:ascii="Times New Roman" w:eastAsia="Arial Unicode MS" w:hAnsi="Arial Unicode MS"/>
          <w:color w:val="808080"/>
          <w:sz w:val="22"/>
          <w:szCs w:val="24"/>
          <w:u w:color="808080"/>
          <w:lang w:val="es-ES_tradnl" w:eastAsia="en-US"/>
        </w:rPr>
      </w:pPr>
      <w:r w:rsidRPr="00AC577E">
        <w:rPr>
          <w:rFonts w:ascii="Times New Roman" w:eastAsia="Arial Unicode MS" w:hAnsi="Arial Unicode MS"/>
          <w:color w:val="808080"/>
          <w:sz w:val="22"/>
          <w:szCs w:val="24"/>
          <w:u w:color="808080"/>
          <w:lang w:val="es-ES_tradnl" w:eastAsia="en-US"/>
        </w:rPr>
        <w:t>28/07/2015</w:t>
      </w:r>
    </w:p>
    <w:p w14:paraId="3D002121" w14:textId="77777777" w:rsidR="00B01F94" w:rsidRPr="00B92773" w:rsidRDefault="00E13B15" w:rsidP="00B92773">
      <w:pPr>
        <w:spacing w:after="120" w:line="360" w:lineRule="exact"/>
        <w:outlineLvl w:val="0"/>
        <w:rPr>
          <w:rFonts w:ascii="Times" w:eastAsia="Arial Unicode MS" w:hAnsi="Times"/>
          <w:b/>
          <w:color w:val="333399"/>
          <w:sz w:val="38"/>
          <w:szCs w:val="24"/>
          <w:u w:color="333399"/>
          <w:lang w:val="es-ES_tradnl" w:eastAsia="en-US"/>
        </w:rPr>
      </w:pPr>
      <w:r w:rsidRPr="00E13B15">
        <w:rPr>
          <w:rFonts w:ascii="Times" w:eastAsia="Arial Unicode MS" w:hAnsi="Times"/>
          <w:b/>
          <w:bCs/>
          <w:color w:val="333399"/>
          <w:sz w:val="38"/>
          <w:szCs w:val="24"/>
          <w:u w:color="333399"/>
          <w:lang w:eastAsia="en-US"/>
        </w:rPr>
        <w:t>Resultados financeiros do Grupo Michelin</w:t>
      </w:r>
    </w:p>
    <w:p w14:paraId="4903CDFF" w14:textId="77777777" w:rsidR="00B01F94" w:rsidRPr="0029325C" w:rsidRDefault="00E13B15" w:rsidP="00B465C2">
      <w:pPr>
        <w:spacing w:after="120" w:line="360" w:lineRule="exact"/>
        <w:outlineLvl w:val="0"/>
        <w:rPr>
          <w:rFonts w:ascii="Verdana" w:hAnsi="Verdana"/>
          <w:b/>
          <w:sz w:val="18"/>
          <w:szCs w:val="18"/>
        </w:rPr>
      </w:pPr>
      <w:r w:rsidRPr="00E13B15">
        <w:rPr>
          <w:rFonts w:ascii="Times New Roman" w:eastAsia="Arial Unicode MS" w:hAnsi="Times New Roman"/>
          <w:b/>
          <w:bCs/>
          <w:color w:val="333399"/>
          <w:sz w:val="28"/>
          <w:szCs w:val="24"/>
          <w:u w:color="333399"/>
          <w:lang w:eastAsia="en-US"/>
        </w:rPr>
        <w:t>Informação financeira correspondente a</w:t>
      </w:r>
      <w:r w:rsidRPr="00E13B15">
        <w:rPr>
          <w:rFonts w:ascii="Times New Roman" w:eastAsia="Arial Unicode MS" w:hAnsi="Times New Roman"/>
          <w:b/>
          <w:color w:val="333399"/>
          <w:sz w:val="28"/>
          <w:szCs w:val="24"/>
          <w:u w:color="333399"/>
          <w:lang w:val="es-ES_tradnl" w:eastAsia="en-US"/>
        </w:rPr>
        <w:t xml:space="preserve"> </w:t>
      </w:r>
      <w:r w:rsidR="00C5001A" w:rsidRPr="00B465C2">
        <w:rPr>
          <w:rFonts w:ascii="Times New Roman" w:eastAsia="Arial Unicode MS" w:hAnsi="Times New Roman"/>
          <w:b/>
          <w:color w:val="333399"/>
          <w:sz w:val="28"/>
          <w:szCs w:val="24"/>
          <w:u w:color="333399"/>
          <w:lang w:val="es-ES_tradnl" w:eastAsia="en-US"/>
        </w:rPr>
        <w:t xml:space="preserve">30 de </w:t>
      </w:r>
      <w:proofErr w:type="spellStart"/>
      <w:r w:rsidR="00C5001A" w:rsidRPr="00B465C2">
        <w:rPr>
          <w:rFonts w:ascii="Times New Roman" w:eastAsia="Arial Unicode MS" w:hAnsi="Times New Roman"/>
          <w:b/>
          <w:color w:val="333399"/>
          <w:sz w:val="28"/>
          <w:szCs w:val="24"/>
          <w:u w:color="333399"/>
          <w:lang w:val="es-ES_tradnl" w:eastAsia="en-US"/>
        </w:rPr>
        <w:t>junho</w:t>
      </w:r>
      <w:proofErr w:type="spellEnd"/>
      <w:r>
        <w:rPr>
          <w:rFonts w:ascii="Times New Roman" w:eastAsia="Arial Unicode MS" w:hAnsi="Times New Roman"/>
          <w:b/>
          <w:color w:val="333399"/>
          <w:sz w:val="28"/>
          <w:szCs w:val="24"/>
          <w:u w:color="333399"/>
          <w:lang w:val="es-ES_tradnl" w:eastAsia="en-US"/>
        </w:rPr>
        <w:t xml:space="preserve"> de</w:t>
      </w:r>
      <w:r w:rsidR="00C5001A" w:rsidRPr="00B465C2">
        <w:rPr>
          <w:rFonts w:ascii="Times New Roman" w:eastAsia="Arial Unicode MS" w:hAnsi="Times New Roman"/>
          <w:b/>
          <w:color w:val="333399"/>
          <w:sz w:val="28"/>
          <w:szCs w:val="24"/>
          <w:u w:color="333399"/>
          <w:lang w:val="es-ES_tradnl" w:eastAsia="en-US"/>
        </w:rPr>
        <w:t xml:space="preserve"> 2015</w:t>
      </w:r>
    </w:p>
    <w:p w14:paraId="320295C4" w14:textId="77777777" w:rsidR="00B01F94" w:rsidRPr="0029325C" w:rsidRDefault="00B01F94" w:rsidP="00B01F94">
      <w:pPr>
        <w:jc w:val="center"/>
        <w:rPr>
          <w:rFonts w:ascii="Verdana" w:hAnsi="Verdana"/>
          <w:b/>
          <w:sz w:val="16"/>
          <w:szCs w:val="16"/>
        </w:rPr>
      </w:pPr>
    </w:p>
    <w:p w14:paraId="283849C9" w14:textId="77777777" w:rsidR="00B01F94" w:rsidRPr="00AC577E" w:rsidRDefault="00B01F94" w:rsidP="00AC577E">
      <w:pPr>
        <w:pStyle w:val="Body1"/>
        <w:pBdr>
          <w:top w:val="single" w:sz="4" w:space="0" w:color="000000"/>
          <w:left w:val="single" w:sz="4" w:space="0" w:color="000000"/>
          <w:bottom w:val="single" w:sz="4" w:space="0" w:color="000000"/>
          <w:right w:val="single" w:sz="4" w:space="0" w:color="000000"/>
        </w:pBdr>
        <w:jc w:val="center"/>
        <w:rPr>
          <w:b/>
          <w:sz w:val="32"/>
          <w:szCs w:val="32"/>
        </w:rPr>
      </w:pPr>
    </w:p>
    <w:p w14:paraId="127365BC" w14:textId="77777777" w:rsidR="00B01F94" w:rsidRPr="00AC577E" w:rsidRDefault="00C5001A" w:rsidP="00AC577E">
      <w:pPr>
        <w:pStyle w:val="Body1"/>
        <w:pBdr>
          <w:top w:val="single" w:sz="4" w:space="0" w:color="000000"/>
          <w:left w:val="single" w:sz="4" w:space="0" w:color="000000"/>
          <w:bottom w:val="single" w:sz="4" w:space="0" w:color="000000"/>
          <w:right w:val="single" w:sz="4" w:space="0" w:color="000000"/>
        </w:pBdr>
        <w:jc w:val="center"/>
        <w:rPr>
          <w:b/>
          <w:sz w:val="32"/>
          <w:szCs w:val="32"/>
        </w:rPr>
      </w:pPr>
      <w:r w:rsidRPr="00AC577E">
        <w:rPr>
          <w:b/>
          <w:sz w:val="32"/>
          <w:szCs w:val="32"/>
          <w:u w:val="single"/>
        </w:rPr>
        <w:t>Primeiro semestre de 2015</w:t>
      </w:r>
      <w:r w:rsidR="00460A30" w:rsidRPr="00AC577E">
        <w:rPr>
          <w:b/>
          <w:sz w:val="32"/>
          <w:szCs w:val="32"/>
        </w:rPr>
        <w:t xml:space="preserve">: </w:t>
      </w:r>
      <w:r w:rsidR="00460A30" w:rsidRPr="00AC577E">
        <w:rPr>
          <w:b/>
          <w:sz w:val="32"/>
          <w:szCs w:val="32"/>
        </w:rPr>
        <w:t>c</w:t>
      </w:r>
      <w:r w:rsidRPr="00AC577E">
        <w:rPr>
          <w:b/>
          <w:sz w:val="32"/>
          <w:szCs w:val="32"/>
        </w:rPr>
        <w:t xml:space="preserve">rescimento robusto e fluxo de caixa livre melhorado </w:t>
      </w:r>
    </w:p>
    <w:p w14:paraId="70129C3C" w14:textId="77777777" w:rsidR="00B01F94" w:rsidRPr="00AC577E" w:rsidRDefault="00C5001A" w:rsidP="00AC577E">
      <w:pPr>
        <w:pStyle w:val="Body1"/>
        <w:pBdr>
          <w:top w:val="single" w:sz="4" w:space="0" w:color="000000"/>
          <w:left w:val="single" w:sz="4" w:space="0" w:color="000000"/>
          <w:bottom w:val="single" w:sz="4" w:space="0" w:color="000000"/>
          <w:right w:val="single" w:sz="4" w:space="0" w:color="000000"/>
        </w:pBdr>
        <w:jc w:val="center"/>
        <w:rPr>
          <w:b/>
          <w:sz w:val="32"/>
          <w:szCs w:val="32"/>
        </w:rPr>
      </w:pPr>
      <w:r w:rsidRPr="00AC577E">
        <w:rPr>
          <w:b/>
          <w:sz w:val="32"/>
          <w:szCs w:val="32"/>
        </w:rPr>
        <w:t xml:space="preserve">Receitas até 8,5 %, de 10,497 milhões de euros </w:t>
      </w:r>
    </w:p>
    <w:p w14:paraId="150099D1" w14:textId="77777777" w:rsidR="00B01F94" w:rsidRPr="00AC577E" w:rsidRDefault="00C5001A" w:rsidP="00AC577E">
      <w:pPr>
        <w:pStyle w:val="Body1"/>
        <w:pBdr>
          <w:top w:val="single" w:sz="4" w:space="0" w:color="000000"/>
          <w:left w:val="single" w:sz="4" w:space="0" w:color="000000"/>
          <w:bottom w:val="single" w:sz="4" w:space="0" w:color="000000"/>
          <w:right w:val="single" w:sz="4" w:space="0" w:color="000000"/>
        </w:pBdr>
        <w:jc w:val="center"/>
        <w:rPr>
          <w:b/>
          <w:sz w:val="32"/>
          <w:szCs w:val="32"/>
        </w:rPr>
      </w:pPr>
      <w:r w:rsidRPr="00AC577E">
        <w:rPr>
          <w:b/>
          <w:sz w:val="32"/>
          <w:szCs w:val="32"/>
        </w:rPr>
        <w:t>Resu</w:t>
      </w:r>
      <w:r w:rsidR="00460A30" w:rsidRPr="00AC577E">
        <w:rPr>
          <w:b/>
          <w:sz w:val="32"/>
          <w:szCs w:val="32"/>
        </w:rPr>
        <w:t>ltado operacional até 9 %, de 1</w:t>
      </w:r>
      <w:r w:rsidRPr="00AC577E">
        <w:rPr>
          <w:b/>
          <w:sz w:val="32"/>
          <w:szCs w:val="32"/>
        </w:rPr>
        <w:t xml:space="preserve">262 milhões de euros </w:t>
      </w:r>
      <w:r w:rsidR="00AC577E">
        <w:rPr>
          <w:b/>
          <w:sz w:val="32"/>
          <w:szCs w:val="32"/>
        </w:rPr>
        <w:br/>
      </w:r>
      <w:r w:rsidRPr="00AC577E">
        <w:rPr>
          <w:b/>
          <w:sz w:val="32"/>
          <w:szCs w:val="32"/>
        </w:rPr>
        <w:t>(12 % das vendas líquidas)</w:t>
      </w:r>
    </w:p>
    <w:p w14:paraId="5319AFAE" w14:textId="77777777" w:rsidR="00B01F94" w:rsidRPr="00AC577E" w:rsidRDefault="00C5001A" w:rsidP="00AC577E">
      <w:pPr>
        <w:pStyle w:val="Body1"/>
        <w:pBdr>
          <w:top w:val="single" w:sz="4" w:space="0" w:color="000000"/>
          <w:left w:val="single" w:sz="4" w:space="0" w:color="000000"/>
          <w:bottom w:val="single" w:sz="4" w:space="0" w:color="000000"/>
          <w:right w:val="single" w:sz="4" w:space="0" w:color="000000"/>
        </w:pBdr>
        <w:jc w:val="center"/>
        <w:rPr>
          <w:b/>
          <w:sz w:val="32"/>
          <w:szCs w:val="32"/>
        </w:rPr>
      </w:pPr>
      <w:r w:rsidRPr="00AC577E">
        <w:rPr>
          <w:b/>
          <w:sz w:val="32"/>
          <w:szCs w:val="32"/>
          <w:u w:val="single"/>
        </w:rPr>
        <w:t xml:space="preserve">Perspetivas </w:t>
      </w:r>
      <w:r w:rsidR="00AC577E" w:rsidRPr="00AC577E">
        <w:rPr>
          <w:b/>
          <w:sz w:val="32"/>
          <w:szCs w:val="32"/>
          <w:u w:val="single"/>
        </w:rPr>
        <w:t>2015</w:t>
      </w:r>
      <w:r w:rsidRPr="00AC577E">
        <w:rPr>
          <w:b/>
          <w:sz w:val="32"/>
          <w:szCs w:val="32"/>
        </w:rPr>
        <w:t xml:space="preserve">: </w:t>
      </w:r>
      <w:r w:rsidR="00460A30" w:rsidRPr="00AC577E">
        <w:rPr>
          <w:b/>
          <w:sz w:val="32"/>
          <w:szCs w:val="32"/>
        </w:rPr>
        <w:t>o</w:t>
      </w:r>
      <w:r w:rsidRPr="00AC577E">
        <w:rPr>
          <w:b/>
          <w:sz w:val="32"/>
          <w:szCs w:val="32"/>
        </w:rPr>
        <w:t>rientação confirmada</w:t>
      </w:r>
    </w:p>
    <w:p w14:paraId="1B758E5D" w14:textId="77777777" w:rsidR="00B01F94" w:rsidRPr="0029325C" w:rsidRDefault="00B01F94" w:rsidP="00B01F94">
      <w:pPr>
        <w:jc w:val="center"/>
        <w:rPr>
          <w:rFonts w:ascii="Verdana" w:hAnsi="Verdana"/>
          <w:b/>
          <w:sz w:val="17"/>
          <w:szCs w:val="17"/>
        </w:rPr>
      </w:pPr>
    </w:p>
    <w:p w14:paraId="07E34BB2" w14:textId="77777777" w:rsidR="00B01F94" w:rsidRPr="0029325C" w:rsidRDefault="00B01F94" w:rsidP="00B01F94">
      <w:pPr>
        <w:jc w:val="center"/>
        <w:rPr>
          <w:rFonts w:ascii="Verdana" w:hAnsi="Verdana"/>
          <w:b/>
          <w:sz w:val="17"/>
          <w:szCs w:val="17"/>
        </w:rPr>
      </w:pPr>
    </w:p>
    <w:p w14:paraId="35DBB133" w14:textId="77777777" w:rsidR="00B01F94" w:rsidRPr="0029325C" w:rsidRDefault="00C5001A" w:rsidP="00470A49">
      <w:pPr>
        <w:numPr>
          <w:ilvl w:val="0"/>
          <w:numId w:val="18"/>
        </w:numPr>
        <w:tabs>
          <w:tab w:val="left" w:pos="284"/>
        </w:tabs>
        <w:adjustRightInd w:val="0"/>
        <w:snapToGrid w:val="0"/>
        <w:jc w:val="both"/>
        <w:rPr>
          <w:rFonts w:ascii="Verdana" w:hAnsi="Verdana" w:cs="Arial"/>
          <w:b/>
          <w:bCs/>
          <w:sz w:val="18"/>
          <w:szCs w:val="18"/>
        </w:rPr>
      </w:pPr>
      <w:r w:rsidRPr="00470A49">
        <w:rPr>
          <w:rFonts w:ascii="Times New Roman" w:eastAsia="Arial Unicode MS" w:hAnsi="Times New Roman"/>
          <w:b/>
          <w:bCs/>
          <w:color w:val="000000"/>
          <w:sz w:val="24"/>
          <w:szCs w:val="24"/>
          <w:u w:color="000000"/>
          <w:lang w:val="es-ES_tradnl" w:eastAsia="en-US"/>
        </w:rPr>
        <w:t>Os volumes subiram 2,4 %, superando os mercados</w:t>
      </w:r>
    </w:p>
    <w:p w14:paraId="4829BA95" w14:textId="77777777" w:rsidR="00B01F94" w:rsidRPr="00470A49" w:rsidRDefault="00C5001A" w:rsidP="00470A49">
      <w:pPr>
        <w:numPr>
          <w:ilvl w:val="1"/>
          <w:numId w:val="18"/>
        </w:numPr>
        <w:tabs>
          <w:tab w:val="left" w:pos="1440"/>
        </w:tabs>
        <w:spacing w:after="120" w:line="240" w:lineRule="atLeast"/>
        <w:outlineLvl w:val="0"/>
        <w:rPr>
          <w:rFonts w:ascii="Times New Roman" w:eastAsia="Arial Unicode MS" w:hAnsi="Times New Roman"/>
          <w:b/>
          <w:color w:val="000000"/>
          <w:sz w:val="24"/>
          <w:szCs w:val="24"/>
          <w:u w:color="000000"/>
          <w:lang w:val="es-ES_tradnl" w:eastAsia="en-US"/>
        </w:rPr>
      </w:pPr>
      <w:r w:rsidRPr="00470A49">
        <w:rPr>
          <w:rFonts w:ascii="Times New Roman" w:eastAsia="Arial Unicode MS" w:hAnsi="Times New Roman"/>
          <w:b/>
          <w:color w:val="000000"/>
          <w:sz w:val="24"/>
          <w:szCs w:val="24"/>
          <w:u w:color="000000"/>
          <w:lang w:val="es-ES_tradnl" w:eastAsia="en-US"/>
        </w:rPr>
        <w:t>Vendas de pneus de carros de passageiros/camiões ligeiros superaram claramente o mercado</w:t>
      </w:r>
    </w:p>
    <w:p w14:paraId="03E7C3CB" w14:textId="77777777" w:rsidR="00B01F94" w:rsidRPr="00470A49" w:rsidRDefault="00C5001A" w:rsidP="00470A49">
      <w:pPr>
        <w:numPr>
          <w:ilvl w:val="1"/>
          <w:numId w:val="18"/>
        </w:numPr>
        <w:tabs>
          <w:tab w:val="left" w:pos="1440"/>
        </w:tabs>
        <w:spacing w:after="120" w:line="240" w:lineRule="atLeast"/>
        <w:outlineLvl w:val="0"/>
        <w:rPr>
          <w:rFonts w:ascii="Times New Roman" w:eastAsia="Arial Unicode MS" w:hAnsi="Times New Roman"/>
          <w:b/>
          <w:color w:val="000000"/>
          <w:sz w:val="24"/>
          <w:szCs w:val="24"/>
          <w:u w:color="000000"/>
          <w:lang w:val="es-ES_tradnl" w:eastAsia="en-US"/>
        </w:rPr>
      </w:pPr>
      <w:r w:rsidRPr="00470A49">
        <w:rPr>
          <w:rFonts w:ascii="Times New Roman" w:eastAsia="Arial Unicode MS" w:hAnsi="Times New Roman"/>
          <w:b/>
          <w:color w:val="000000"/>
          <w:sz w:val="24"/>
          <w:szCs w:val="24"/>
          <w:u w:color="000000"/>
          <w:lang w:val="es-ES_tradnl" w:eastAsia="en-US"/>
        </w:rPr>
        <w:t>Os volumes dos negócios especializado e de pneus de camiões foram ligeiramente melhores do que os seus mercados</w:t>
      </w:r>
    </w:p>
    <w:p w14:paraId="6D4EF82B" w14:textId="77777777" w:rsidR="00394F80" w:rsidRPr="00470A49" w:rsidRDefault="00C5001A" w:rsidP="00470A49">
      <w:pPr>
        <w:numPr>
          <w:ilvl w:val="1"/>
          <w:numId w:val="18"/>
        </w:numPr>
        <w:tabs>
          <w:tab w:val="left" w:pos="1440"/>
        </w:tabs>
        <w:spacing w:after="120" w:line="240" w:lineRule="atLeast"/>
        <w:outlineLvl w:val="0"/>
        <w:rPr>
          <w:rFonts w:ascii="Times New Roman" w:eastAsia="Arial Unicode MS" w:hAnsi="Times New Roman"/>
          <w:b/>
          <w:color w:val="000000"/>
          <w:sz w:val="24"/>
          <w:szCs w:val="24"/>
          <w:u w:color="000000"/>
          <w:lang w:val="es-ES_tradnl" w:eastAsia="en-US"/>
        </w:rPr>
      </w:pPr>
      <w:r w:rsidRPr="00470A49">
        <w:rPr>
          <w:rFonts w:ascii="Times New Roman" w:eastAsia="Arial Unicode MS" w:hAnsi="Times New Roman"/>
          <w:b/>
          <w:color w:val="000000"/>
          <w:sz w:val="24"/>
          <w:szCs w:val="24"/>
          <w:u w:color="000000"/>
          <w:lang w:val="es-ES_tradnl" w:eastAsia="en-US"/>
        </w:rPr>
        <w:t>Crescimento mais rápido de trimestre para trimestre em mercados irregulares que eram fortes em economias maduras e estagnados na maioria dos novos mercados.</w:t>
      </w:r>
    </w:p>
    <w:p w14:paraId="09937705" w14:textId="77777777" w:rsidR="00B01F94" w:rsidRPr="0029325C" w:rsidRDefault="00B01F94" w:rsidP="00394F80">
      <w:pPr>
        <w:tabs>
          <w:tab w:val="left" w:pos="284"/>
        </w:tabs>
        <w:adjustRightInd w:val="0"/>
        <w:snapToGrid w:val="0"/>
        <w:ind w:left="1440"/>
        <w:jc w:val="both"/>
        <w:rPr>
          <w:rFonts w:ascii="Verdana" w:hAnsi="Verdana"/>
          <w:b/>
          <w:sz w:val="18"/>
        </w:rPr>
      </w:pPr>
    </w:p>
    <w:p w14:paraId="7949B5C8" w14:textId="77777777" w:rsidR="003B14DF" w:rsidRPr="00470A49" w:rsidRDefault="00C5001A" w:rsidP="00470A49">
      <w:pPr>
        <w:numPr>
          <w:ilvl w:val="0"/>
          <w:numId w:val="18"/>
        </w:numPr>
        <w:tabs>
          <w:tab w:val="left" w:pos="284"/>
        </w:tabs>
        <w:adjustRightInd w:val="0"/>
        <w:snapToGrid w:val="0"/>
        <w:jc w:val="both"/>
        <w:rPr>
          <w:rFonts w:ascii="Times New Roman" w:eastAsia="Arial Unicode MS" w:hAnsi="Times New Roman"/>
          <w:b/>
          <w:bCs/>
          <w:color w:val="000000"/>
          <w:sz w:val="24"/>
          <w:szCs w:val="24"/>
          <w:u w:color="000000"/>
          <w:lang w:val="es-ES_tradnl" w:eastAsia="en-US"/>
        </w:rPr>
      </w:pPr>
      <w:r w:rsidRPr="00470A49">
        <w:rPr>
          <w:rFonts w:ascii="Times New Roman" w:eastAsia="Arial Unicode MS" w:hAnsi="Times New Roman"/>
          <w:b/>
          <w:bCs/>
          <w:color w:val="000000"/>
          <w:sz w:val="24"/>
          <w:szCs w:val="24"/>
          <w:u w:color="000000"/>
          <w:lang w:val="es-ES_tradnl" w:eastAsia="en-US"/>
        </w:rPr>
        <w:t>Uma melhor</w:t>
      </w:r>
      <w:r w:rsidR="00460A30" w:rsidRPr="00470A49">
        <w:rPr>
          <w:rFonts w:ascii="Times New Roman" w:eastAsia="Arial Unicode MS" w:hAnsi="Times New Roman"/>
          <w:b/>
          <w:bCs/>
          <w:color w:val="000000"/>
          <w:sz w:val="24"/>
          <w:szCs w:val="24"/>
          <w:u w:color="000000"/>
          <w:lang w:val="es-ES_tradnl" w:eastAsia="en-US"/>
        </w:rPr>
        <w:t>i</w:t>
      </w:r>
      <w:r w:rsidRPr="00470A49">
        <w:rPr>
          <w:rFonts w:ascii="Times New Roman" w:eastAsia="Arial Unicode MS" w:hAnsi="Times New Roman"/>
          <w:b/>
          <w:bCs/>
          <w:color w:val="000000"/>
          <w:sz w:val="24"/>
          <w:szCs w:val="24"/>
          <w:u w:color="000000"/>
          <w:lang w:val="es-ES_tradnl" w:eastAsia="en-US"/>
        </w:rPr>
        <w:t xml:space="preserve">a </w:t>
      </w:r>
      <w:proofErr w:type="spellStart"/>
      <w:r w:rsidRPr="00470A49">
        <w:rPr>
          <w:rFonts w:ascii="Times New Roman" w:eastAsia="Arial Unicode MS" w:hAnsi="Times New Roman"/>
          <w:b/>
          <w:bCs/>
          <w:color w:val="000000"/>
          <w:sz w:val="24"/>
          <w:szCs w:val="24"/>
          <w:u w:color="000000"/>
          <w:lang w:val="es-ES_tradnl" w:eastAsia="en-US"/>
        </w:rPr>
        <w:t>intertrimestral</w:t>
      </w:r>
      <w:proofErr w:type="spellEnd"/>
      <w:r w:rsidRPr="00470A49">
        <w:rPr>
          <w:rFonts w:ascii="Times New Roman" w:eastAsia="Arial Unicode MS" w:hAnsi="Times New Roman"/>
          <w:b/>
          <w:bCs/>
          <w:color w:val="000000"/>
          <w:sz w:val="24"/>
          <w:szCs w:val="24"/>
          <w:u w:color="000000"/>
          <w:lang w:val="es-ES_tradnl" w:eastAsia="en-US"/>
        </w:rPr>
        <w:t xml:space="preserve"> no composto de preço</w:t>
      </w:r>
    </w:p>
    <w:p w14:paraId="1BCFB7FD" w14:textId="77777777" w:rsidR="00B01F94" w:rsidRPr="00470A49" w:rsidRDefault="00C5001A" w:rsidP="00470A49">
      <w:pPr>
        <w:numPr>
          <w:ilvl w:val="1"/>
          <w:numId w:val="18"/>
        </w:numPr>
        <w:tabs>
          <w:tab w:val="left" w:pos="1440"/>
        </w:tabs>
        <w:spacing w:after="120" w:line="240" w:lineRule="atLeast"/>
        <w:outlineLvl w:val="0"/>
        <w:rPr>
          <w:rFonts w:ascii="Times New Roman" w:eastAsia="Arial Unicode MS" w:hAnsi="Times New Roman"/>
          <w:b/>
          <w:color w:val="000000"/>
          <w:sz w:val="24"/>
          <w:szCs w:val="24"/>
          <w:u w:color="000000"/>
          <w:lang w:val="es-ES_tradnl" w:eastAsia="en-US"/>
        </w:rPr>
      </w:pPr>
      <w:r w:rsidRPr="00470A49">
        <w:rPr>
          <w:rFonts w:ascii="Times New Roman" w:eastAsia="Arial Unicode MS" w:hAnsi="Times New Roman"/>
          <w:b/>
          <w:color w:val="000000"/>
          <w:sz w:val="24"/>
          <w:szCs w:val="24"/>
          <w:u w:color="000000"/>
          <w:lang w:val="es-ES_tradnl" w:eastAsia="en-US"/>
        </w:rPr>
        <w:t>Como era esperado, as alterações no composto de preço e nos preços das matérias-primas tiveram um efeito negativo líquido, refletindo em particular os ajustes de preço contratuais ao abrigo de cláusulas de indexação baseadas em matérias-primas, e em reposicionamentos controlados de preços.</w:t>
      </w:r>
    </w:p>
    <w:p w14:paraId="0AD221FB" w14:textId="77777777" w:rsidR="00B01F94" w:rsidRPr="0029325C" w:rsidRDefault="00B01F94" w:rsidP="003B14DF">
      <w:pPr>
        <w:tabs>
          <w:tab w:val="left" w:pos="284"/>
        </w:tabs>
        <w:adjustRightInd w:val="0"/>
        <w:snapToGrid w:val="0"/>
        <w:ind w:left="1440"/>
        <w:jc w:val="both"/>
        <w:rPr>
          <w:rFonts w:ascii="Verdana" w:hAnsi="Verdana" w:cs="Arial"/>
          <w:b/>
          <w:bCs/>
          <w:sz w:val="18"/>
          <w:szCs w:val="18"/>
        </w:rPr>
      </w:pPr>
    </w:p>
    <w:p w14:paraId="3A6E4F15" w14:textId="77777777" w:rsidR="00B01F94" w:rsidRPr="008601E8" w:rsidRDefault="00C5001A" w:rsidP="008601E8">
      <w:pPr>
        <w:numPr>
          <w:ilvl w:val="0"/>
          <w:numId w:val="18"/>
        </w:numPr>
        <w:tabs>
          <w:tab w:val="left" w:pos="284"/>
        </w:tabs>
        <w:adjustRightInd w:val="0"/>
        <w:snapToGrid w:val="0"/>
        <w:jc w:val="both"/>
        <w:rPr>
          <w:rFonts w:ascii="Times New Roman" w:eastAsia="Arial Unicode MS" w:hAnsi="Times New Roman"/>
          <w:b/>
          <w:bCs/>
          <w:color w:val="000000"/>
          <w:sz w:val="24"/>
          <w:szCs w:val="24"/>
          <w:u w:color="000000"/>
          <w:lang w:val="es-ES_tradnl" w:eastAsia="en-US"/>
        </w:rPr>
      </w:pPr>
      <w:proofErr w:type="spellStart"/>
      <w:r w:rsidRPr="008601E8">
        <w:rPr>
          <w:rFonts w:ascii="Times New Roman" w:eastAsia="Arial Unicode MS" w:hAnsi="Times New Roman"/>
          <w:b/>
          <w:bCs/>
          <w:color w:val="000000"/>
          <w:sz w:val="24"/>
          <w:szCs w:val="24"/>
          <w:u w:color="000000"/>
          <w:lang w:val="es-ES_tradnl" w:eastAsia="en-US"/>
        </w:rPr>
        <w:t>Uma</w:t>
      </w:r>
      <w:proofErr w:type="spellEnd"/>
      <w:r w:rsidRPr="008601E8">
        <w:rPr>
          <w:rFonts w:ascii="Times New Roman" w:eastAsia="Arial Unicode MS" w:hAnsi="Times New Roman"/>
          <w:b/>
          <w:bCs/>
          <w:color w:val="000000"/>
          <w:sz w:val="24"/>
          <w:szCs w:val="24"/>
          <w:u w:color="000000"/>
          <w:lang w:val="es-ES_tradnl" w:eastAsia="en-US"/>
        </w:rPr>
        <w:t xml:space="preserve"> melhoria de 132 milhões de euros em fluxo de caixa livre, excluindo a aquisição de Blackcircles.com e o investimento numa plantação de seringueira na Indonésia. </w:t>
      </w:r>
    </w:p>
    <w:p w14:paraId="34DCBB9C" w14:textId="77777777" w:rsidR="0029325C" w:rsidRPr="0029325C" w:rsidRDefault="001150A5" w:rsidP="00B01F94">
      <w:pPr>
        <w:tabs>
          <w:tab w:val="left" w:pos="284"/>
        </w:tabs>
        <w:spacing w:after="240"/>
        <w:jc w:val="both"/>
        <w:rPr>
          <w:rFonts w:ascii="Verdana" w:hAnsi="Verdana"/>
          <w:b/>
          <w:sz w:val="18"/>
        </w:rPr>
      </w:pPr>
      <w:r>
        <w:rPr>
          <w:rFonts w:ascii="Verdana" w:hAnsi="Verdana"/>
          <w:b/>
          <w:sz w:val="18"/>
        </w:rPr>
        <w:br w:type="column"/>
      </w:r>
    </w:p>
    <w:p w14:paraId="1316277E" w14:textId="77777777" w:rsidR="00B01F94" w:rsidRPr="008601E8" w:rsidRDefault="00C5001A" w:rsidP="008601E8">
      <w:pPr>
        <w:tabs>
          <w:tab w:val="left" w:pos="360"/>
        </w:tabs>
        <w:spacing w:after="120" w:line="270" w:lineRule="atLeast"/>
        <w:ind w:left="332"/>
        <w:jc w:val="both"/>
        <w:outlineLvl w:val="0"/>
        <w:rPr>
          <w:rFonts w:ascii="Arial" w:eastAsia="Arial Unicode MS" w:hAnsi="Arial" w:cs="Arial"/>
          <w:b/>
          <w:color w:val="000000"/>
          <w:sz w:val="21"/>
          <w:szCs w:val="24"/>
          <w:u w:color="000000"/>
          <w:lang w:val="es-ES_tradnl" w:eastAsia="en-US"/>
        </w:rPr>
      </w:pPr>
      <w:r w:rsidRPr="008601E8">
        <w:rPr>
          <w:rFonts w:ascii="Arial" w:eastAsia="Arial Unicode MS" w:hAnsi="Arial" w:cs="Arial"/>
          <w:b/>
          <w:color w:val="000000"/>
          <w:sz w:val="21"/>
          <w:szCs w:val="24"/>
          <w:u w:color="000000"/>
          <w:lang w:val="es-ES_tradnl" w:eastAsia="en-US"/>
        </w:rPr>
        <w:t xml:space="preserve">Jean-Dominique </w:t>
      </w:r>
      <w:proofErr w:type="spellStart"/>
      <w:r w:rsidRPr="008601E8">
        <w:rPr>
          <w:rFonts w:ascii="Arial" w:eastAsia="Arial Unicode MS" w:hAnsi="Arial" w:cs="Arial"/>
          <w:b/>
          <w:color w:val="000000"/>
          <w:sz w:val="21"/>
          <w:szCs w:val="24"/>
          <w:u w:color="000000"/>
          <w:lang w:val="es-ES_tradnl" w:eastAsia="en-US"/>
        </w:rPr>
        <w:t>Senard</w:t>
      </w:r>
      <w:proofErr w:type="spellEnd"/>
      <w:r w:rsidRPr="008601E8">
        <w:rPr>
          <w:rFonts w:ascii="Arial" w:eastAsia="Arial Unicode MS" w:hAnsi="Arial" w:cs="Arial"/>
          <w:b/>
          <w:color w:val="000000"/>
          <w:sz w:val="21"/>
          <w:szCs w:val="24"/>
          <w:u w:color="000000"/>
          <w:lang w:val="es-ES_tradnl" w:eastAsia="en-US"/>
        </w:rPr>
        <w:t xml:space="preserve">, presidente do conselho de administração, disse: "A Michelin atingiu um forte crescimento na primeira metade do ano, alavancando o seu portfólio mais abrangente de soluções, expandindo o acesso a clientes e capturando a crescente procura nos mercados tradicionais. O sucesso das nossas linhas mais recentes, como a MICHELIN </w:t>
      </w:r>
      <w:proofErr w:type="spellStart"/>
      <w:r w:rsidRPr="008601E8">
        <w:rPr>
          <w:rFonts w:ascii="Arial" w:eastAsia="Arial Unicode MS" w:hAnsi="Arial" w:cs="Arial"/>
          <w:b/>
          <w:color w:val="000000"/>
          <w:sz w:val="21"/>
          <w:szCs w:val="24"/>
          <w:u w:color="000000"/>
          <w:lang w:val="es-ES_tradnl" w:eastAsia="en-US"/>
        </w:rPr>
        <w:t>CrossClimate</w:t>
      </w:r>
      <w:proofErr w:type="spellEnd"/>
      <w:r w:rsidRPr="008601E8">
        <w:rPr>
          <w:rFonts w:ascii="Arial" w:eastAsia="Arial Unicode MS" w:hAnsi="Arial" w:cs="Arial"/>
          <w:b/>
          <w:color w:val="000000"/>
          <w:sz w:val="21"/>
          <w:szCs w:val="24"/>
          <w:u w:color="000000"/>
          <w:lang w:val="es-ES_tradnl" w:eastAsia="en-US"/>
        </w:rPr>
        <w:t xml:space="preserve"> e os novos pneus </w:t>
      </w:r>
      <w:proofErr w:type="spellStart"/>
      <w:r w:rsidRPr="008601E8">
        <w:rPr>
          <w:rFonts w:ascii="Arial" w:eastAsia="Arial Unicode MS" w:hAnsi="Arial" w:cs="Arial"/>
          <w:b/>
          <w:color w:val="000000"/>
          <w:sz w:val="21"/>
          <w:szCs w:val="24"/>
          <w:u w:color="000000"/>
          <w:lang w:val="es-ES_tradnl" w:eastAsia="en-US"/>
        </w:rPr>
        <w:t>BFGoodrich</w:t>
      </w:r>
      <w:proofErr w:type="spellEnd"/>
      <w:r w:rsidRPr="008601E8">
        <w:rPr>
          <w:rFonts w:ascii="Arial" w:eastAsia="Arial Unicode MS" w:hAnsi="Arial" w:cs="Arial"/>
          <w:b/>
          <w:color w:val="000000"/>
          <w:sz w:val="21"/>
          <w:szCs w:val="24"/>
          <w:u w:color="000000"/>
          <w:lang w:val="es-ES_tradnl" w:eastAsia="en-US"/>
        </w:rPr>
        <w:t>, bem como as nossas posições fortalecidas no segmento de equipamento original, confirmam a importância da inovação para o crescimento do Grupo. Combinada com a implementação esperada do plano de competitividade, a Michelin pode confirmar a sua orientação para todo o ano."</w:t>
      </w:r>
    </w:p>
    <w:p w14:paraId="53F5BBC1" w14:textId="77777777" w:rsidR="001150A5" w:rsidRDefault="001150A5" w:rsidP="008601E8">
      <w:pPr>
        <w:tabs>
          <w:tab w:val="left" w:pos="360"/>
        </w:tabs>
        <w:spacing w:after="120" w:line="270" w:lineRule="atLeast"/>
        <w:ind w:left="332"/>
        <w:jc w:val="both"/>
        <w:outlineLvl w:val="0"/>
        <w:rPr>
          <w:rFonts w:ascii="Arial" w:eastAsia="Arial Unicode MS" w:hAnsi="Arial" w:cs="Arial"/>
          <w:b/>
          <w:color w:val="000000"/>
          <w:sz w:val="24"/>
          <w:szCs w:val="24"/>
          <w:u w:color="000000"/>
          <w:lang w:val="es-ES_tradnl" w:eastAsia="en-US"/>
        </w:rPr>
      </w:pPr>
    </w:p>
    <w:p w14:paraId="1530B0AF" w14:textId="77777777" w:rsidR="00B01F94" w:rsidRPr="008601E8" w:rsidRDefault="00C5001A" w:rsidP="008601E8">
      <w:pPr>
        <w:tabs>
          <w:tab w:val="left" w:pos="360"/>
        </w:tabs>
        <w:spacing w:after="120" w:line="270" w:lineRule="atLeast"/>
        <w:ind w:left="332"/>
        <w:jc w:val="both"/>
        <w:outlineLvl w:val="0"/>
        <w:rPr>
          <w:rFonts w:ascii="Arial" w:eastAsia="Arial Unicode MS" w:hAnsi="Arial" w:cs="Arial"/>
          <w:b/>
          <w:color w:val="000000"/>
          <w:sz w:val="24"/>
          <w:szCs w:val="24"/>
          <w:u w:color="000000"/>
          <w:lang w:val="es-ES_tradnl" w:eastAsia="en-US"/>
        </w:rPr>
      </w:pPr>
      <w:proofErr w:type="spellStart"/>
      <w:r w:rsidRPr="008601E8">
        <w:rPr>
          <w:rFonts w:ascii="Arial" w:eastAsia="Arial Unicode MS" w:hAnsi="Arial" w:cs="Arial"/>
          <w:b/>
          <w:color w:val="000000"/>
          <w:sz w:val="24"/>
          <w:szCs w:val="24"/>
          <w:u w:color="000000"/>
          <w:lang w:val="es-ES_tradnl" w:eastAsia="en-US"/>
        </w:rPr>
        <w:t>Perspetivas</w:t>
      </w:r>
      <w:proofErr w:type="spellEnd"/>
      <w:r w:rsidRPr="008601E8">
        <w:rPr>
          <w:rFonts w:ascii="Arial" w:eastAsia="Arial Unicode MS" w:hAnsi="Arial" w:cs="Arial"/>
          <w:b/>
          <w:color w:val="000000"/>
          <w:sz w:val="24"/>
          <w:szCs w:val="24"/>
          <w:u w:color="000000"/>
          <w:lang w:val="es-ES_tradnl" w:eastAsia="en-US"/>
        </w:rPr>
        <w:t xml:space="preserve"> para 2015</w:t>
      </w:r>
    </w:p>
    <w:p w14:paraId="07F6EDB0" w14:textId="77777777" w:rsidR="00B01F94" w:rsidRPr="008601E8" w:rsidRDefault="00C5001A" w:rsidP="008601E8">
      <w:pPr>
        <w:tabs>
          <w:tab w:val="left" w:pos="360"/>
        </w:tabs>
        <w:spacing w:after="120" w:line="270" w:lineRule="atLeast"/>
        <w:ind w:left="332"/>
        <w:jc w:val="both"/>
        <w:outlineLvl w:val="0"/>
        <w:rPr>
          <w:rFonts w:ascii="Arial" w:eastAsia="Arial Unicode MS" w:hAnsi="Arial" w:cs="Arial"/>
          <w:b/>
          <w:color w:val="000000"/>
          <w:sz w:val="21"/>
          <w:szCs w:val="24"/>
          <w:u w:color="000000"/>
          <w:lang w:val="es-ES_tradnl" w:eastAsia="en-US"/>
        </w:rPr>
      </w:pPr>
      <w:r w:rsidRPr="008601E8">
        <w:rPr>
          <w:rFonts w:ascii="Arial" w:eastAsia="Arial Unicode MS" w:hAnsi="Arial" w:cs="Arial"/>
          <w:b/>
          <w:color w:val="000000"/>
          <w:sz w:val="21"/>
          <w:szCs w:val="24"/>
          <w:u w:color="000000"/>
          <w:lang w:val="es-ES_tradnl" w:eastAsia="en-US"/>
        </w:rPr>
        <w:t xml:space="preserve">Dado que se espera a manutenção da tendência de crescimento da procura de pneus em regiões maduras, mas de desafio em mercados novos, o objetivo da Michelin para a segunda metade é prosseguir as tendências de crescimento observadas nos primeiros seis meses do ano. Espera-se que mudanças no composto de preço e nos preços das matérias-primas tenham um efeito negativo líquido sobre os negócios sujeitos a cláusulas contratuais de indexação de matérias-primas e um efeito líquido neutro nos restantes, ao longo de todo o ano. O desenvolvimento sustentável do plano de competitividade ajudará a desviar a inflação de custos ao longo do ano. </w:t>
      </w:r>
    </w:p>
    <w:p w14:paraId="270930B0" w14:textId="77777777" w:rsidR="00B01F94" w:rsidRPr="008601E8" w:rsidRDefault="00C5001A" w:rsidP="008601E8">
      <w:pPr>
        <w:tabs>
          <w:tab w:val="left" w:pos="360"/>
        </w:tabs>
        <w:spacing w:after="120" w:line="270" w:lineRule="atLeast"/>
        <w:ind w:left="332"/>
        <w:jc w:val="both"/>
        <w:outlineLvl w:val="0"/>
        <w:rPr>
          <w:rFonts w:ascii="Arial" w:eastAsia="Arial Unicode MS" w:hAnsi="Arial" w:cs="Arial"/>
          <w:b/>
          <w:color w:val="000000"/>
          <w:sz w:val="21"/>
          <w:szCs w:val="24"/>
          <w:u w:color="000000"/>
          <w:lang w:val="es-ES_tradnl" w:eastAsia="en-US"/>
        </w:rPr>
      </w:pPr>
      <w:r w:rsidRPr="008601E8">
        <w:rPr>
          <w:rFonts w:ascii="Arial" w:eastAsia="Arial Unicode MS" w:hAnsi="Arial" w:cs="Arial"/>
          <w:b/>
          <w:color w:val="000000"/>
          <w:sz w:val="21"/>
          <w:szCs w:val="24"/>
          <w:u w:color="000000"/>
          <w:lang w:val="es-ES_tradnl" w:eastAsia="en-US"/>
        </w:rPr>
        <w:t xml:space="preserve">O Grupo confirma o seu objetivo de fornecer um aumento do resultado operacional antes de resultados não recorrentes, excluindo o efeito monetário, um retorno de capital empregado superior a 11 %, e fluxo estrutural de caixa livre de mais de 700 milhões de euros, ao mesmo tempo que prossegue um programa de despesa de capital que totaliza cerca de 1,8 mil milhões de euros. </w:t>
      </w:r>
    </w:p>
    <w:p w14:paraId="269D88CF" w14:textId="77777777" w:rsidR="00B01F94" w:rsidRPr="0029325C" w:rsidRDefault="00B01F94" w:rsidP="00B01F94">
      <w:pPr>
        <w:autoSpaceDE w:val="0"/>
        <w:autoSpaceDN w:val="0"/>
        <w:adjustRightInd w:val="0"/>
        <w:jc w:val="both"/>
        <w:rPr>
          <w:rFonts w:ascii="Verdana" w:hAnsi="Verdana" w:cs="Arial"/>
          <w:b/>
          <w:bCs/>
        </w:rPr>
      </w:pPr>
    </w:p>
    <w:p w14:paraId="049641DF" w14:textId="77777777" w:rsidR="00B01F94" w:rsidRPr="0029325C" w:rsidRDefault="001150A5" w:rsidP="00B01F94">
      <w:pPr>
        <w:tabs>
          <w:tab w:val="left" w:pos="360"/>
        </w:tabs>
        <w:jc w:val="both"/>
        <w:rPr>
          <w:rFonts w:ascii="Verdana" w:hAnsi="Verdana" w:cs="Arial"/>
          <w:b/>
          <w:bCs/>
        </w:rPr>
      </w:pPr>
      <w:r>
        <w:rPr>
          <w:rFonts w:ascii="Verdana" w:hAnsi="Verdana" w:cs="Arial"/>
          <w:b/>
          <w:bCs/>
        </w:rPr>
        <w:br w:type="column"/>
      </w:r>
    </w:p>
    <w:p w14:paraId="1369C53B" w14:textId="77777777" w:rsidR="00B01F94" w:rsidRPr="0029325C" w:rsidRDefault="00B01F94" w:rsidP="00B01F94">
      <w:pPr>
        <w:tabs>
          <w:tab w:val="left" w:pos="360"/>
        </w:tabs>
        <w:jc w:val="both"/>
        <w:rPr>
          <w:rFonts w:ascii="Verdana" w:hAnsi="Verdana" w:cs="Arial"/>
          <w:b/>
          <w:bCs/>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126"/>
        <w:gridCol w:w="1985"/>
      </w:tblGrid>
      <w:tr w:rsidR="00B01F94" w:rsidRPr="0029325C" w14:paraId="17A1665E" w14:textId="77777777" w:rsidTr="00A15798">
        <w:trPr>
          <w:jc w:val="center"/>
        </w:trPr>
        <w:tc>
          <w:tcPr>
            <w:tcW w:w="3227" w:type="dxa"/>
            <w:shd w:val="clear" w:color="auto" w:fill="E6E6E6"/>
          </w:tcPr>
          <w:p w14:paraId="5BC02B45" w14:textId="77777777" w:rsidR="00B01F94" w:rsidRPr="0029325C" w:rsidRDefault="00B01F94" w:rsidP="00A15798">
            <w:pPr>
              <w:tabs>
                <w:tab w:val="left" w:pos="360"/>
              </w:tabs>
              <w:jc w:val="center"/>
              <w:rPr>
                <w:rFonts w:ascii="Arial" w:hAnsi="Arial" w:cs="Arial"/>
                <w:bCs/>
                <w:smallCaps/>
              </w:rPr>
            </w:pPr>
          </w:p>
          <w:p w14:paraId="7648D0CD" w14:textId="77777777" w:rsidR="00B01F94" w:rsidRPr="0029325C" w:rsidRDefault="00C5001A" w:rsidP="00A15798">
            <w:pPr>
              <w:tabs>
                <w:tab w:val="left" w:pos="360"/>
              </w:tabs>
              <w:jc w:val="center"/>
              <w:rPr>
                <w:rFonts w:ascii="Arial" w:hAnsi="Arial" w:cs="Arial"/>
                <w:smallCaps/>
              </w:rPr>
            </w:pPr>
            <w:r w:rsidRPr="0029325C">
              <w:rPr>
                <w:rFonts w:ascii="Arial" w:hAnsi="Arial"/>
                <w:smallCaps/>
              </w:rPr>
              <w:t>(em milhões de euros)</w:t>
            </w:r>
          </w:p>
        </w:tc>
        <w:tc>
          <w:tcPr>
            <w:tcW w:w="2126" w:type="dxa"/>
            <w:shd w:val="clear" w:color="auto" w:fill="E6E6E6"/>
          </w:tcPr>
          <w:p w14:paraId="627F4766" w14:textId="77777777" w:rsidR="00B01F94" w:rsidRPr="0029325C" w:rsidRDefault="00C5001A" w:rsidP="00A15798">
            <w:pPr>
              <w:tabs>
                <w:tab w:val="left" w:pos="360"/>
              </w:tabs>
              <w:jc w:val="center"/>
              <w:rPr>
                <w:rFonts w:ascii="Verdana" w:hAnsi="Verdana" w:cs="Arial"/>
                <w:bCs/>
                <w:sz w:val="18"/>
                <w:szCs w:val="18"/>
              </w:rPr>
            </w:pPr>
            <w:r w:rsidRPr="0029325C">
              <w:rPr>
                <w:rFonts w:ascii="Verdana" w:hAnsi="Verdana"/>
                <w:sz w:val="18"/>
              </w:rPr>
              <w:t>Primeiro semestre</w:t>
            </w:r>
          </w:p>
          <w:p w14:paraId="47E308DE" w14:textId="77777777" w:rsidR="00B01F94" w:rsidRPr="0029325C" w:rsidRDefault="00C5001A" w:rsidP="00A15798">
            <w:pPr>
              <w:tabs>
                <w:tab w:val="left" w:pos="360"/>
              </w:tabs>
              <w:jc w:val="center"/>
              <w:rPr>
                <w:rFonts w:ascii="Verdana" w:hAnsi="Verdana" w:cs="Arial"/>
                <w:sz w:val="18"/>
                <w:szCs w:val="18"/>
              </w:rPr>
            </w:pPr>
            <w:r w:rsidRPr="0029325C">
              <w:rPr>
                <w:rFonts w:ascii="Verdana" w:hAnsi="Verdana"/>
                <w:sz w:val="18"/>
              </w:rPr>
              <w:t>2015</w:t>
            </w:r>
          </w:p>
        </w:tc>
        <w:tc>
          <w:tcPr>
            <w:tcW w:w="1985" w:type="dxa"/>
            <w:shd w:val="clear" w:color="auto" w:fill="E6E6E6"/>
          </w:tcPr>
          <w:p w14:paraId="6BD80D4E" w14:textId="77777777" w:rsidR="00B01F94" w:rsidRPr="0029325C" w:rsidRDefault="00C5001A" w:rsidP="00A15798">
            <w:pPr>
              <w:tabs>
                <w:tab w:val="left" w:pos="360"/>
              </w:tabs>
              <w:jc w:val="center"/>
              <w:rPr>
                <w:rFonts w:ascii="Verdana" w:hAnsi="Verdana" w:cs="Arial"/>
                <w:bCs/>
                <w:sz w:val="18"/>
                <w:szCs w:val="18"/>
              </w:rPr>
            </w:pPr>
            <w:r w:rsidRPr="0029325C">
              <w:rPr>
                <w:rFonts w:ascii="Verdana" w:hAnsi="Verdana"/>
                <w:sz w:val="18"/>
              </w:rPr>
              <w:t>Primeiro semestre</w:t>
            </w:r>
          </w:p>
          <w:p w14:paraId="5A834F50" w14:textId="77777777" w:rsidR="00B01F94" w:rsidRPr="0029325C" w:rsidRDefault="00C5001A" w:rsidP="00A15798">
            <w:pPr>
              <w:tabs>
                <w:tab w:val="left" w:pos="360"/>
              </w:tabs>
              <w:jc w:val="center"/>
              <w:rPr>
                <w:rFonts w:ascii="Verdana" w:hAnsi="Verdana" w:cs="Arial"/>
                <w:bCs/>
                <w:sz w:val="18"/>
                <w:szCs w:val="18"/>
              </w:rPr>
            </w:pPr>
            <w:r w:rsidRPr="0029325C">
              <w:rPr>
                <w:rFonts w:ascii="Verdana" w:hAnsi="Verdana"/>
                <w:sz w:val="18"/>
              </w:rPr>
              <w:t>2014</w:t>
            </w:r>
          </w:p>
          <w:p w14:paraId="7A869224" w14:textId="77777777" w:rsidR="00B01F94" w:rsidRPr="0029325C" w:rsidRDefault="00C5001A" w:rsidP="00A15798">
            <w:pPr>
              <w:tabs>
                <w:tab w:val="left" w:pos="360"/>
              </w:tabs>
              <w:jc w:val="center"/>
              <w:rPr>
                <w:rFonts w:ascii="Verdana" w:hAnsi="Verdana" w:cs="Arial"/>
                <w:bCs/>
                <w:sz w:val="18"/>
                <w:szCs w:val="18"/>
              </w:rPr>
            </w:pPr>
            <w:r w:rsidRPr="0029325C">
              <w:rPr>
                <w:rFonts w:ascii="Verdana" w:hAnsi="Verdana"/>
                <w:sz w:val="18"/>
              </w:rPr>
              <w:t>comunicado</w:t>
            </w:r>
          </w:p>
        </w:tc>
      </w:tr>
      <w:tr w:rsidR="00B01F94" w:rsidRPr="0029325C" w14:paraId="633C2476" w14:textId="77777777" w:rsidTr="00A15798">
        <w:trPr>
          <w:jc w:val="center"/>
        </w:trPr>
        <w:tc>
          <w:tcPr>
            <w:tcW w:w="3227" w:type="dxa"/>
          </w:tcPr>
          <w:p w14:paraId="25E0DE38" w14:textId="77777777" w:rsidR="00B01F94" w:rsidRPr="0029325C" w:rsidRDefault="00B01F94" w:rsidP="001150A5">
            <w:pPr>
              <w:tabs>
                <w:tab w:val="left" w:pos="360"/>
              </w:tabs>
              <w:rPr>
                <w:rFonts w:ascii="Arial" w:hAnsi="Arial" w:cs="Arial"/>
                <w:bCs/>
                <w:smallCaps/>
              </w:rPr>
            </w:pPr>
          </w:p>
          <w:p w14:paraId="3EB9DB6B" w14:textId="77777777" w:rsidR="00B01F94" w:rsidRPr="0029325C" w:rsidRDefault="00C5001A" w:rsidP="001150A5">
            <w:pPr>
              <w:tabs>
                <w:tab w:val="left" w:pos="360"/>
              </w:tabs>
              <w:rPr>
                <w:rFonts w:ascii="Arial" w:hAnsi="Arial" w:cs="Arial"/>
                <w:smallCaps/>
              </w:rPr>
            </w:pPr>
            <w:r w:rsidRPr="0029325C">
              <w:rPr>
                <w:rFonts w:ascii="Arial" w:hAnsi="Arial"/>
                <w:smallCaps/>
              </w:rPr>
              <w:t>Vendas líquidas</w:t>
            </w:r>
          </w:p>
        </w:tc>
        <w:tc>
          <w:tcPr>
            <w:tcW w:w="2126" w:type="dxa"/>
          </w:tcPr>
          <w:p w14:paraId="7B235FE0" w14:textId="77777777" w:rsidR="00B01F94" w:rsidRPr="0029325C" w:rsidRDefault="00B01F94" w:rsidP="00A15798">
            <w:pPr>
              <w:tabs>
                <w:tab w:val="left" w:pos="360"/>
              </w:tabs>
              <w:jc w:val="center"/>
              <w:rPr>
                <w:rFonts w:ascii="Verdana" w:hAnsi="Verdana" w:cs="Arial"/>
                <w:bCs/>
              </w:rPr>
            </w:pPr>
          </w:p>
          <w:p w14:paraId="17220392"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10 497</w:t>
            </w:r>
          </w:p>
        </w:tc>
        <w:tc>
          <w:tcPr>
            <w:tcW w:w="1985" w:type="dxa"/>
          </w:tcPr>
          <w:p w14:paraId="0EEFC0CC" w14:textId="77777777" w:rsidR="00B01F94" w:rsidRPr="0029325C" w:rsidRDefault="00B01F94" w:rsidP="00A15798">
            <w:pPr>
              <w:tabs>
                <w:tab w:val="left" w:pos="360"/>
              </w:tabs>
              <w:jc w:val="center"/>
              <w:rPr>
                <w:rFonts w:ascii="Verdana" w:hAnsi="Verdana" w:cs="Arial"/>
                <w:bCs/>
              </w:rPr>
            </w:pPr>
          </w:p>
          <w:p w14:paraId="1EC413E6" w14:textId="77777777" w:rsidR="00B01F94" w:rsidRPr="0029325C" w:rsidRDefault="00C5001A" w:rsidP="00A15798">
            <w:pPr>
              <w:tabs>
                <w:tab w:val="left" w:pos="360"/>
              </w:tabs>
              <w:jc w:val="center"/>
              <w:rPr>
                <w:rFonts w:ascii="Verdana" w:hAnsi="Verdana" w:cs="Arial"/>
                <w:bCs/>
              </w:rPr>
            </w:pPr>
            <w:r w:rsidRPr="0029325C">
              <w:rPr>
                <w:rFonts w:ascii="Verdana" w:hAnsi="Verdana"/>
                <w:b/>
              </w:rPr>
              <w:t>9673</w:t>
            </w:r>
          </w:p>
        </w:tc>
      </w:tr>
      <w:tr w:rsidR="00B01F94" w:rsidRPr="0029325C" w14:paraId="56B65F9B" w14:textId="77777777" w:rsidTr="00A15798">
        <w:trPr>
          <w:jc w:val="center"/>
        </w:trPr>
        <w:tc>
          <w:tcPr>
            <w:tcW w:w="3227" w:type="dxa"/>
          </w:tcPr>
          <w:p w14:paraId="154FAEC4" w14:textId="77777777" w:rsidR="00B01F94" w:rsidRPr="0029325C" w:rsidRDefault="00B01F94" w:rsidP="001150A5">
            <w:pPr>
              <w:tabs>
                <w:tab w:val="left" w:pos="360"/>
              </w:tabs>
              <w:rPr>
                <w:rFonts w:ascii="Arial" w:hAnsi="Arial" w:cs="Arial"/>
                <w:bCs/>
                <w:smallCaps/>
              </w:rPr>
            </w:pPr>
          </w:p>
          <w:p w14:paraId="2CF05E42" w14:textId="77777777" w:rsidR="00B01F94" w:rsidRPr="0029325C" w:rsidRDefault="00C5001A" w:rsidP="001150A5">
            <w:pPr>
              <w:tabs>
                <w:tab w:val="left" w:pos="360"/>
              </w:tabs>
              <w:rPr>
                <w:rFonts w:ascii="Arial" w:hAnsi="Arial" w:cs="Arial"/>
                <w:bCs/>
                <w:smallCaps/>
                <w:strike/>
              </w:rPr>
            </w:pPr>
            <w:r w:rsidRPr="0029325C">
              <w:rPr>
                <w:rFonts w:ascii="Arial" w:hAnsi="Arial"/>
                <w:smallCaps/>
              </w:rPr>
              <w:t xml:space="preserve">Resultado operacional </w:t>
            </w:r>
            <w:r w:rsidRPr="0029325C">
              <w:rPr>
                <w:rFonts w:ascii="Arial" w:hAnsi="Arial"/>
                <w:smallCaps/>
                <w:sz w:val="18"/>
              </w:rPr>
              <w:t>antes de itens não recorrentes</w:t>
            </w:r>
          </w:p>
        </w:tc>
        <w:tc>
          <w:tcPr>
            <w:tcW w:w="2126" w:type="dxa"/>
          </w:tcPr>
          <w:p w14:paraId="1C5CE7A4" w14:textId="77777777" w:rsidR="00B01F94" w:rsidRPr="0029325C" w:rsidRDefault="00B01F94" w:rsidP="00A15798">
            <w:pPr>
              <w:tabs>
                <w:tab w:val="left" w:pos="360"/>
              </w:tabs>
              <w:jc w:val="center"/>
              <w:rPr>
                <w:rFonts w:ascii="Verdana" w:hAnsi="Verdana" w:cs="Arial"/>
                <w:bCs/>
              </w:rPr>
            </w:pPr>
          </w:p>
          <w:p w14:paraId="332F3401" w14:textId="77777777" w:rsidR="00B01F94" w:rsidRPr="0029325C" w:rsidRDefault="00B01F94" w:rsidP="00A15798">
            <w:pPr>
              <w:tabs>
                <w:tab w:val="left" w:pos="360"/>
              </w:tabs>
              <w:jc w:val="center"/>
              <w:rPr>
                <w:rFonts w:ascii="Verdana" w:hAnsi="Verdana" w:cs="Arial"/>
                <w:bCs/>
              </w:rPr>
            </w:pPr>
          </w:p>
          <w:p w14:paraId="34EAD165" w14:textId="77777777" w:rsidR="00B01F94" w:rsidRPr="0029325C" w:rsidRDefault="00C5001A" w:rsidP="00A15798">
            <w:pPr>
              <w:tabs>
                <w:tab w:val="left" w:pos="360"/>
              </w:tabs>
              <w:jc w:val="center"/>
              <w:rPr>
                <w:rFonts w:ascii="Verdana" w:hAnsi="Verdana" w:cs="Arial"/>
                <w:bCs/>
                <w:strike/>
              </w:rPr>
            </w:pPr>
            <w:r w:rsidRPr="0029325C">
              <w:rPr>
                <w:rFonts w:ascii="Verdana" w:hAnsi="Verdana"/>
                <w:b/>
              </w:rPr>
              <w:t>1262</w:t>
            </w:r>
          </w:p>
        </w:tc>
        <w:tc>
          <w:tcPr>
            <w:tcW w:w="1985" w:type="dxa"/>
          </w:tcPr>
          <w:p w14:paraId="2F6FF106" w14:textId="77777777" w:rsidR="00B01F94" w:rsidRPr="0029325C" w:rsidRDefault="00B01F94" w:rsidP="00A15798">
            <w:pPr>
              <w:tabs>
                <w:tab w:val="left" w:pos="360"/>
              </w:tabs>
              <w:jc w:val="center"/>
              <w:rPr>
                <w:rFonts w:ascii="Verdana" w:hAnsi="Verdana" w:cs="Arial"/>
                <w:bCs/>
              </w:rPr>
            </w:pPr>
          </w:p>
          <w:p w14:paraId="747E4B25" w14:textId="77777777" w:rsidR="00B01F94" w:rsidRPr="0029325C" w:rsidRDefault="00B01F94" w:rsidP="00A15798">
            <w:pPr>
              <w:tabs>
                <w:tab w:val="left" w:pos="360"/>
              </w:tabs>
              <w:jc w:val="center"/>
              <w:rPr>
                <w:rFonts w:ascii="Verdana" w:hAnsi="Verdana" w:cs="Arial"/>
                <w:b/>
                <w:bCs/>
              </w:rPr>
            </w:pPr>
          </w:p>
          <w:p w14:paraId="2C15ADB9" w14:textId="77777777" w:rsidR="00B01F94" w:rsidRPr="0029325C" w:rsidRDefault="00C5001A" w:rsidP="00A15798">
            <w:pPr>
              <w:tabs>
                <w:tab w:val="left" w:pos="360"/>
              </w:tabs>
              <w:jc w:val="center"/>
              <w:rPr>
                <w:rFonts w:ascii="Verdana" w:hAnsi="Verdana" w:cs="Arial"/>
                <w:bCs/>
              </w:rPr>
            </w:pPr>
            <w:r w:rsidRPr="0029325C">
              <w:rPr>
                <w:rFonts w:ascii="Verdana" w:hAnsi="Verdana"/>
                <w:b/>
              </w:rPr>
              <w:t>1159</w:t>
            </w:r>
          </w:p>
        </w:tc>
      </w:tr>
      <w:tr w:rsidR="00B01F94" w:rsidRPr="0029325C" w14:paraId="5C02C90C" w14:textId="77777777" w:rsidTr="00A15798">
        <w:trPr>
          <w:jc w:val="center"/>
        </w:trPr>
        <w:tc>
          <w:tcPr>
            <w:tcW w:w="3227" w:type="dxa"/>
          </w:tcPr>
          <w:p w14:paraId="2D7EAF80" w14:textId="77777777" w:rsidR="00B01F94" w:rsidRPr="0029325C" w:rsidRDefault="00B01F94" w:rsidP="001150A5">
            <w:pPr>
              <w:tabs>
                <w:tab w:val="left" w:pos="360"/>
              </w:tabs>
              <w:rPr>
                <w:rFonts w:ascii="Arial" w:hAnsi="Arial" w:cs="Arial"/>
                <w:bCs/>
                <w:smallCaps/>
              </w:rPr>
            </w:pPr>
          </w:p>
          <w:p w14:paraId="701F9471" w14:textId="77777777" w:rsidR="00B01F94" w:rsidRPr="0029325C" w:rsidRDefault="00C5001A" w:rsidP="001150A5">
            <w:pPr>
              <w:tabs>
                <w:tab w:val="left" w:pos="360"/>
              </w:tabs>
              <w:rPr>
                <w:rFonts w:ascii="Arial" w:hAnsi="Arial" w:cs="Arial"/>
                <w:bCs/>
                <w:smallCaps/>
                <w:sz w:val="18"/>
              </w:rPr>
            </w:pPr>
            <w:r w:rsidRPr="0029325C">
              <w:rPr>
                <w:rFonts w:ascii="Arial" w:hAnsi="Arial"/>
                <w:smallCaps/>
              </w:rPr>
              <w:t xml:space="preserve">Margem operacional </w:t>
            </w:r>
            <w:r w:rsidRPr="0029325C">
              <w:rPr>
                <w:rFonts w:ascii="Arial" w:hAnsi="Arial"/>
                <w:smallCaps/>
                <w:sz w:val="18"/>
              </w:rPr>
              <w:t>antes de itens não recorrentes</w:t>
            </w:r>
          </w:p>
          <w:p w14:paraId="068EB62E" w14:textId="77777777" w:rsidR="00B01F94" w:rsidRPr="0029325C" w:rsidRDefault="00B01F94" w:rsidP="001150A5">
            <w:pPr>
              <w:tabs>
                <w:tab w:val="left" w:pos="360"/>
              </w:tabs>
              <w:rPr>
                <w:rFonts w:ascii="Arial" w:hAnsi="Arial" w:cs="Arial"/>
                <w:smallCaps/>
              </w:rPr>
            </w:pPr>
          </w:p>
        </w:tc>
        <w:tc>
          <w:tcPr>
            <w:tcW w:w="2126" w:type="dxa"/>
          </w:tcPr>
          <w:p w14:paraId="2BEFB165" w14:textId="77777777" w:rsidR="00B01F94" w:rsidRPr="0029325C" w:rsidRDefault="00B01F94" w:rsidP="00A15798">
            <w:pPr>
              <w:tabs>
                <w:tab w:val="left" w:pos="360"/>
              </w:tabs>
              <w:jc w:val="center"/>
              <w:rPr>
                <w:rFonts w:ascii="Verdana" w:hAnsi="Verdana" w:cs="Arial"/>
                <w:b/>
                <w:bCs/>
              </w:rPr>
            </w:pPr>
          </w:p>
          <w:p w14:paraId="25752963" w14:textId="77777777" w:rsidR="00B01F94" w:rsidRPr="0029325C" w:rsidRDefault="00B01F94" w:rsidP="00A15798">
            <w:pPr>
              <w:tabs>
                <w:tab w:val="left" w:pos="360"/>
              </w:tabs>
              <w:jc w:val="center"/>
              <w:rPr>
                <w:rFonts w:ascii="Verdana" w:hAnsi="Verdana" w:cs="Arial"/>
                <w:b/>
                <w:bCs/>
              </w:rPr>
            </w:pPr>
          </w:p>
          <w:p w14:paraId="1AC18F90"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12 %</w:t>
            </w:r>
          </w:p>
        </w:tc>
        <w:tc>
          <w:tcPr>
            <w:tcW w:w="1985" w:type="dxa"/>
          </w:tcPr>
          <w:p w14:paraId="0EAD3D90" w14:textId="77777777" w:rsidR="00B01F94" w:rsidRPr="0029325C" w:rsidRDefault="00B01F94" w:rsidP="00A15798">
            <w:pPr>
              <w:tabs>
                <w:tab w:val="left" w:pos="360"/>
              </w:tabs>
              <w:jc w:val="center"/>
              <w:rPr>
                <w:rFonts w:ascii="Verdana" w:hAnsi="Verdana" w:cs="Arial"/>
                <w:b/>
                <w:bCs/>
              </w:rPr>
            </w:pPr>
          </w:p>
          <w:p w14:paraId="271F8445" w14:textId="77777777" w:rsidR="00B01F94" w:rsidRPr="0029325C" w:rsidRDefault="00B01F94" w:rsidP="00A15798">
            <w:pPr>
              <w:tabs>
                <w:tab w:val="left" w:pos="360"/>
              </w:tabs>
              <w:jc w:val="center"/>
              <w:rPr>
                <w:rFonts w:ascii="Verdana" w:hAnsi="Verdana" w:cs="Arial"/>
                <w:b/>
                <w:bCs/>
              </w:rPr>
            </w:pPr>
          </w:p>
          <w:p w14:paraId="7F22256D"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12 %</w:t>
            </w:r>
          </w:p>
        </w:tc>
      </w:tr>
      <w:tr w:rsidR="00B01F94" w:rsidRPr="0029325C" w14:paraId="42F4C9CE" w14:textId="77777777" w:rsidTr="00A15798">
        <w:trPr>
          <w:jc w:val="center"/>
        </w:trPr>
        <w:tc>
          <w:tcPr>
            <w:tcW w:w="3227" w:type="dxa"/>
          </w:tcPr>
          <w:p w14:paraId="71E7B456" w14:textId="77777777" w:rsidR="00B01F94" w:rsidRPr="0029325C" w:rsidRDefault="00C5001A" w:rsidP="001150A5">
            <w:pPr>
              <w:tabs>
                <w:tab w:val="left" w:pos="360"/>
              </w:tabs>
              <w:rPr>
                <w:rFonts w:ascii="Arial" w:hAnsi="Arial" w:cs="Arial"/>
                <w:smallCaps/>
              </w:rPr>
            </w:pPr>
            <w:r w:rsidRPr="0029325C">
              <w:rPr>
                <w:rFonts w:ascii="Arial" w:hAnsi="Arial"/>
                <w:smallCaps/>
              </w:rPr>
              <w:t xml:space="preserve">Pneus de carros de passageiros/camiões ligeiros e distribuição relacionada </w:t>
            </w:r>
          </w:p>
        </w:tc>
        <w:tc>
          <w:tcPr>
            <w:tcW w:w="2126" w:type="dxa"/>
          </w:tcPr>
          <w:p w14:paraId="60FE456B" w14:textId="77777777" w:rsidR="00B01F94" w:rsidRPr="0029325C" w:rsidRDefault="00B01F94" w:rsidP="00A15798">
            <w:pPr>
              <w:tabs>
                <w:tab w:val="left" w:pos="360"/>
              </w:tabs>
              <w:jc w:val="center"/>
              <w:rPr>
                <w:rFonts w:ascii="Verdana" w:hAnsi="Verdana" w:cs="Arial"/>
                <w:b/>
                <w:bCs/>
              </w:rPr>
            </w:pPr>
          </w:p>
          <w:p w14:paraId="15BA1595"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10,8 %</w:t>
            </w:r>
          </w:p>
        </w:tc>
        <w:tc>
          <w:tcPr>
            <w:tcW w:w="1985" w:type="dxa"/>
          </w:tcPr>
          <w:p w14:paraId="1EDAA456" w14:textId="77777777" w:rsidR="00B01F94" w:rsidRPr="0029325C" w:rsidRDefault="00B01F94" w:rsidP="00A15798">
            <w:pPr>
              <w:tabs>
                <w:tab w:val="left" w:pos="360"/>
              </w:tabs>
              <w:jc w:val="center"/>
              <w:rPr>
                <w:rFonts w:ascii="Verdana" w:hAnsi="Verdana" w:cs="Arial"/>
                <w:b/>
                <w:bCs/>
              </w:rPr>
            </w:pPr>
          </w:p>
          <w:p w14:paraId="44DF3B5A"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11,4 %</w:t>
            </w:r>
          </w:p>
        </w:tc>
      </w:tr>
      <w:tr w:rsidR="00B01F94" w:rsidRPr="0029325C" w14:paraId="4CF72943" w14:textId="77777777" w:rsidTr="00A15798">
        <w:trPr>
          <w:jc w:val="center"/>
        </w:trPr>
        <w:tc>
          <w:tcPr>
            <w:tcW w:w="3227" w:type="dxa"/>
          </w:tcPr>
          <w:p w14:paraId="43EEC312" w14:textId="77777777" w:rsidR="00B01F94" w:rsidRPr="0029325C" w:rsidRDefault="00C5001A" w:rsidP="001150A5">
            <w:pPr>
              <w:tabs>
                <w:tab w:val="left" w:pos="360"/>
              </w:tabs>
              <w:rPr>
                <w:rFonts w:ascii="Arial" w:hAnsi="Arial" w:cs="Arial"/>
                <w:bCs/>
                <w:smallCaps/>
              </w:rPr>
            </w:pPr>
            <w:r w:rsidRPr="0029325C">
              <w:rPr>
                <w:rFonts w:ascii="Arial" w:hAnsi="Arial"/>
                <w:smallCaps/>
              </w:rPr>
              <w:t xml:space="preserve">Pneus de camiões e </w:t>
            </w:r>
          </w:p>
          <w:p w14:paraId="39BE5E35" w14:textId="77777777" w:rsidR="00B01F94" w:rsidRPr="0029325C" w:rsidRDefault="00C5001A" w:rsidP="001150A5">
            <w:pPr>
              <w:tabs>
                <w:tab w:val="left" w:pos="360"/>
              </w:tabs>
              <w:rPr>
                <w:rFonts w:ascii="Arial" w:hAnsi="Arial" w:cs="Arial"/>
                <w:smallCaps/>
              </w:rPr>
            </w:pPr>
            <w:r w:rsidRPr="0029325C">
              <w:rPr>
                <w:rFonts w:ascii="Arial" w:hAnsi="Arial"/>
                <w:smallCaps/>
              </w:rPr>
              <w:t xml:space="preserve">distribuição relacionada </w:t>
            </w:r>
          </w:p>
        </w:tc>
        <w:tc>
          <w:tcPr>
            <w:tcW w:w="2126" w:type="dxa"/>
          </w:tcPr>
          <w:p w14:paraId="5730FAD5" w14:textId="77777777" w:rsidR="00B01F94" w:rsidRPr="0029325C" w:rsidRDefault="00B01F94" w:rsidP="00A15798">
            <w:pPr>
              <w:tabs>
                <w:tab w:val="left" w:pos="360"/>
              </w:tabs>
              <w:jc w:val="center"/>
              <w:rPr>
                <w:rFonts w:ascii="Verdana" w:hAnsi="Verdana" w:cs="Arial"/>
                <w:b/>
                <w:bCs/>
              </w:rPr>
            </w:pPr>
          </w:p>
          <w:p w14:paraId="0D13A695"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9,6 %</w:t>
            </w:r>
          </w:p>
        </w:tc>
        <w:tc>
          <w:tcPr>
            <w:tcW w:w="1985" w:type="dxa"/>
          </w:tcPr>
          <w:p w14:paraId="45EA5681" w14:textId="77777777" w:rsidR="00B01F94" w:rsidRPr="0029325C" w:rsidRDefault="00B01F94" w:rsidP="00A15798">
            <w:pPr>
              <w:tabs>
                <w:tab w:val="left" w:pos="360"/>
              </w:tabs>
              <w:jc w:val="center"/>
              <w:rPr>
                <w:rFonts w:ascii="Verdana" w:hAnsi="Verdana" w:cs="Arial"/>
                <w:b/>
                <w:bCs/>
              </w:rPr>
            </w:pPr>
          </w:p>
          <w:p w14:paraId="4A056B6E"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7,7 %</w:t>
            </w:r>
          </w:p>
        </w:tc>
      </w:tr>
      <w:tr w:rsidR="00B01F94" w:rsidRPr="0029325C" w14:paraId="0794BF11" w14:textId="77777777" w:rsidTr="00A15798">
        <w:trPr>
          <w:jc w:val="center"/>
        </w:trPr>
        <w:tc>
          <w:tcPr>
            <w:tcW w:w="3227" w:type="dxa"/>
          </w:tcPr>
          <w:p w14:paraId="40F6C210" w14:textId="77777777" w:rsidR="00B01F94" w:rsidRPr="0029325C" w:rsidRDefault="00B01F94" w:rsidP="001150A5">
            <w:pPr>
              <w:tabs>
                <w:tab w:val="left" w:pos="360"/>
              </w:tabs>
              <w:rPr>
                <w:rFonts w:ascii="Arial" w:hAnsi="Arial" w:cs="Arial"/>
                <w:bCs/>
                <w:smallCaps/>
              </w:rPr>
            </w:pPr>
          </w:p>
          <w:p w14:paraId="557FA7AB" w14:textId="77777777" w:rsidR="00B01F94" w:rsidRPr="0029325C" w:rsidRDefault="00C5001A" w:rsidP="001150A5">
            <w:pPr>
              <w:tabs>
                <w:tab w:val="left" w:pos="360"/>
              </w:tabs>
              <w:rPr>
                <w:rFonts w:ascii="Arial" w:hAnsi="Arial" w:cs="Arial"/>
                <w:smallCaps/>
              </w:rPr>
            </w:pPr>
            <w:r w:rsidRPr="0029325C">
              <w:rPr>
                <w:rFonts w:ascii="Arial" w:hAnsi="Arial"/>
                <w:smallCaps/>
              </w:rPr>
              <w:t>Negócios de especialidade</w:t>
            </w:r>
          </w:p>
        </w:tc>
        <w:tc>
          <w:tcPr>
            <w:tcW w:w="2126" w:type="dxa"/>
          </w:tcPr>
          <w:p w14:paraId="1D502C61" w14:textId="77777777" w:rsidR="00B01F94" w:rsidRPr="0029325C" w:rsidRDefault="00B01F94" w:rsidP="00A15798">
            <w:pPr>
              <w:tabs>
                <w:tab w:val="left" w:pos="360"/>
              </w:tabs>
              <w:jc w:val="center"/>
              <w:rPr>
                <w:rFonts w:ascii="Verdana" w:hAnsi="Verdana" w:cs="Arial"/>
                <w:b/>
                <w:bCs/>
              </w:rPr>
            </w:pPr>
          </w:p>
          <w:p w14:paraId="27C3563D"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21,5 %</w:t>
            </w:r>
          </w:p>
        </w:tc>
        <w:tc>
          <w:tcPr>
            <w:tcW w:w="1985" w:type="dxa"/>
          </w:tcPr>
          <w:p w14:paraId="0BD02334" w14:textId="77777777" w:rsidR="00B01F94" w:rsidRPr="0029325C" w:rsidRDefault="00B01F94" w:rsidP="00A15798">
            <w:pPr>
              <w:tabs>
                <w:tab w:val="left" w:pos="360"/>
              </w:tabs>
              <w:jc w:val="center"/>
              <w:rPr>
                <w:rFonts w:ascii="Verdana" w:hAnsi="Verdana" w:cs="Arial"/>
                <w:b/>
                <w:bCs/>
              </w:rPr>
            </w:pPr>
          </w:p>
          <w:p w14:paraId="4AE3287A"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21,8 %</w:t>
            </w:r>
          </w:p>
        </w:tc>
      </w:tr>
      <w:tr w:rsidR="00B01F94" w:rsidRPr="0029325C" w14:paraId="50868F84" w14:textId="77777777" w:rsidTr="00A15798">
        <w:trPr>
          <w:jc w:val="center"/>
        </w:trPr>
        <w:tc>
          <w:tcPr>
            <w:tcW w:w="3227" w:type="dxa"/>
          </w:tcPr>
          <w:p w14:paraId="7072B47B" w14:textId="77777777" w:rsidR="00B01F94" w:rsidRPr="0029325C" w:rsidRDefault="00B01F94" w:rsidP="001150A5">
            <w:pPr>
              <w:tabs>
                <w:tab w:val="left" w:pos="360"/>
              </w:tabs>
              <w:rPr>
                <w:rFonts w:ascii="Arial" w:hAnsi="Arial" w:cs="Arial"/>
                <w:bCs/>
                <w:smallCaps/>
              </w:rPr>
            </w:pPr>
          </w:p>
          <w:p w14:paraId="7B82D38F" w14:textId="77777777" w:rsidR="00B01F94" w:rsidRPr="0029325C" w:rsidRDefault="00C5001A" w:rsidP="001150A5">
            <w:pPr>
              <w:tabs>
                <w:tab w:val="left" w:pos="360"/>
              </w:tabs>
              <w:rPr>
                <w:rFonts w:ascii="Arial" w:hAnsi="Arial" w:cs="Arial"/>
                <w:bCs/>
                <w:smallCaps/>
              </w:rPr>
            </w:pPr>
            <w:r w:rsidRPr="0029325C">
              <w:rPr>
                <w:rFonts w:ascii="Arial" w:hAnsi="Arial"/>
                <w:smallCaps/>
              </w:rPr>
              <w:t xml:space="preserve">Resultado operacional após itens não recorrentes  </w:t>
            </w:r>
          </w:p>
        </w:tc>
        <w:tc>
          <w:tcPr>
            <w:tcW w:w="2126" w:type="dxa"/>
          </w:tcPr>
          <w:p w14:paraId="64FAFEF9" w14:textId="77777777" w:rsidR="00B01F94" w:rsidRPr="0029325C" w:rsidRDefault="00B01F94" w:rsidP="00A15798">
            <w:pPr>
              <w:tabs>
                <w:tab w:val="left" w:pos="360"/>
              </w:tabs>
              <w:jc w:val="center"/>
              <w:rPr>
                <w:rFonts w:ascii="Verdana" w:hAnsi="Verdana" w:cs="Arial"/>
                <w:b/>
                <w:bCs/>
              </w:rPr>
            </w:pPr>
          </w:p>
          <w:p w14:paraId="0C147133"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1245</w:t>
            </w:r>
          </w:p>
        </w:tc>
        <w:tc>
          <w:tcPr>
            <w:tcW w:w="1985" w:type="dxa"/>
          </w:tcPr>
          <w:p w14:paraId="074763BC" w14:textId="77777777" w:rsidR="00B01F94" w:rsidRPr="0029325C" w:rsidRDefault="00B01F94" w:rsidP="00A15798">
            <w:pPr>
              <w:tabs>
                <w:tab w:val="left" w:pos="360"/>
              </w:tabs>
              <w:jc w:val="center"/>
              <w:rPr>
                <w:rFonts w:ascii="Verdana" w:hAnsi="Verdana" w:cs="Arial"/>
                <w:b/>
                <w:bCs/>
              </w:rPr>
            </w:pPr>
          </w:p>
          <w:p w14:paraId="58C9CB3C"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1072</w:t>
            </w:r>
          </w:p>
        </w:tc>
      </w:tr>
      <w:tr w:rsidR="00B01F94" w:rsidRPr="0029325C" w14:paraId="0F2889F5" w14:textId="77777777" w:rsidTr="00A15798">
        <w:trPr>
          <w:jc w:val="center"/>
        </w:trPr>
        <w:tc>
          <w:tcPr>
            <w:tcW w:w="3227" w:type="dxa"/>
          </w:tcPr>
          <w:p w14:paraId="553CA92C" w14:textId="77777777" w:rsidR="00B01F94" w:rsidRPr="0029325C" w:rsidRDefault="00B01F94" w:rsidP="001150A5">
            <w:pPr>
              <w:tabs>
                <w:tab w:val="left" w:pos="360"/>
              </w:tabs>
              <w:rPr>
                <w:rFonts w:ascii="Arial" w:hAnsi="Arial" w:cs="Arial"/>
                <w:bCs/>
                <w:smallCaps/>
              </w:rPr>
            </w:pPr>
          </w:p>
          <w:p w14:paraId="1332DE3F" w14:textId="77777777" w:rsidR="00B01F94" w:rsidRPr="0029325C" w:rsidRDefault="00C5001A" w:rsidP="001150A5">
            <w:pPr>
              <w:tabs>
                <w:tab w:val="left" w:pos="360"/>
              </w:tabs>
              <w:rPr>
                <w:rFonts w:ascii="Arial" w:hAnsi="Arial" w:cs="Arial"/>
                <w:bCs/>
                <w:smallCaps/>
              </w:rPr>
            </w:pPr>
            <w:r w:rsidRPr="0029325C">
              <w:rPr>
                <w:rFonts w:ascii="Arial" w:hAnsi="Arial"/>
                <w:smallCaps/>
              </w:rPr>
              <w:t xml:space="preserve">Lucro líquido </w:t>
            </w:r>
          </w:p>
        </w:tc>
        <w:tc>
          <w:tcPr>
            <w:tcW w:w="2126" w:type="dxa"/>
          </w:tcPr>
          <w:p w14:paraId="2184C186" w14:textId="77777777" w:rsidR="00B01F94" w:rsidRPr="0029325C" w:rsidRDefault="00B01F94" w:rsidP="00A15798">
            <w:pPr>
              <w:tabs>
                <w:tab w:val="left" w:pos="360"/>
              </w:tabs>
              <w:jc w:val="center"/>
              <w:rPr>
                <w:rFonts w:ascii="Verdana" w:hAnsi="Verdana" w:cs="Arial"/>
                <w:b/>
                <w:bCs/>
              </w:rPr>
            </w:pPr>
          </w:p>
          <w:p w14:paraId="7D00F2B7"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707</w:t>
            </w:r>
          </w:p>
        </w:tc>
        <w:tc>
          <w:tcPr>
            <w:tcW w:w="1985" w:type="dxa"/>
          </w:tcPr>
          <w:p w14:paraId="286C49CC" w14:textId="77777777" w:rsidR="00B01F94" w:rsidRPr="0029325C" w:rsidRDefault="00B01F94" w:rsidP="00A15798">
            <w:pPr>
              <w:tabs>
                <w:tab w:val="left" w:pos="360"/>
              </w:tabs>
              <w:jc w:val="center"/>
              <w:rPr>
                <w:rFonts w:ascii="Verdana" w:hAnsi="Verdana" w:cs="Arial"/>
                <w:b/>
                <w:bCs/>
              </w:rPr>
            </w:pPr>
          </w:p>
          <w:p w14:paraId="5D57DF90"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624</w:t>
            </w:r>
          </w:p>
        </w:tc>
      </w:tr>
      <w:tr w:rsidR="00B01F94" w:rsidRPr="0029325C" w14:paraId="72F11426" w14:textId="77777777" w:rsidTr="00A15798">
        <w:trPr>
          <w:jc w:val="center"/>
        </w:trPr>
        <w:tc>
          <w:tcPr>
            <w:tcW w:w="3227" w:type="dxa"/>
          </w:tcPr>
          <w:p w14:paraId="21412C09" w14:textId="77777777" w:rsidR="00B01F94" w:rsidRPr="0029325C" w:rsidRDefault="00B01F94" w:rsidP="001150A5">
            <w:pPr>
              <w:tabs>
                <w:tab w:val="left" w:pos="360"/>
              </w:tabs>
              <w:rPr>
                <w:rFonts w:ascii="Arial" w:hAnsi="Arial" w:cs="Arial"/>
                <w:bCs/>
                <w:smallCaps/>
              </w:rPr>
            </w:pPr>
          </w:p>
          <w:p w14:paraId="5C43194E" w14:textId="77777777" w:rsidR="00B01F94" w:rsidRPr="0029325C" w:rsidRDefault="00C5001A" w:rsidP="001150A5">
            <w:pPr>
              <w:tabs>
                <w:tab w:val="left" w:pos="360"/>
              </w:tabs>
              <w:rPr>
                <w:rFonts w:ascii="Arial" w:hAnsi="Arial" w:cs="Arial"/>
                <w:bCs/>
                <w:smallCaps/>
              </w:rPr>
            </w:pPr>
            <w:r w:rsidRPr="0029325C">
              <w:rPr>
                <w:rFonts w:ascii="Arial" w:hAnsi="Arial"/>
                <w:smallCaps/>
              </w:rPr>
              <w:t xml:space="preserve">Resultados por ação </w:t>
            </w:r>
            <w:r w:rsidRPr="00EB359B">
              <w:rPr>
                <w:rFonts w:ascii="Arial" w:hAnsi="Arial"/>
                <w:smallCaps/>
                <w:sz w:val="18"/>
                <w:szCs w:val="18"/>
              </w:rPr>
              <w:t>(</w:t>
            </w:r>
            <w:r w:rsidRPr="00EB359B">
              <w:rPr>
                <w:sz w:val="18"/>
                <w:szCs w:val="18"/>
              </w:rPr>
              <w:t>em</w:t>
            </w:r>
            <w:r w:rsidRPr="00EB359B">
              <w:rPr>
                <w:rFonts w:ascii="Arial" w:hAnsi="Arial"/>
                <w:smallCaps/>
                <w:sz w:val="18"/>
                <w:szCs w:val="18"/>
              </w:rPr>
              <w:t xml:space="preserve"> €)</w:t>
            </w:r>
            <w:r w:rsidRPr="0029325C">
              <w:rPr>
                <w:rFonts w:ascii="Arial" w:hAnsi="Arial"/>
                <w:smallCaps/>
              </w:rPr>
              <w:t xml:space="preserve"> </w:t>
            </w:r>
          </w:p>
        </w:tc>
        <w:tc>
          <w:tcPr>
            <w:tcW w:w="2126" w:type="dxa"/>
          </w:tcPr>
          <w:p w14:paraId="152E9C7B" w14:textId="77777777" w:rsidR="00B01F94" w:rsidRPr="0029325C" w:rsidRDefault="00B01F94" w:rsidP="00A15798">
            <w:pPr>
              <w:tabs>
                <w:tab w:val="left" w:pos="360"/>
              </w:tabs>
              <w:jc w:val="center"/>
              <w:rPr>
                <w:rFonts w:ascii="Verdana" w:hAnsi="Verdana" w:cs="Arial"/>
                <w:b/>
                <w:bCs/>
              </w:rPr>
            </w:pPr>
          </w:p>
          <w:p w14:paraId="3835D7AD"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3,79</w:t>
            </w:r>
          </w:p>
        </w:tc>
        <w:tc>
          <w:tcPr>
            <w:tcW w:w="1985" w:type="dxa"/>
          </w:tcPr>
          <w:p w14:paraId="049FDC25" w14:textId="77777777" w:rsidR="00B01F94" w:rsidRPr="0029325C" w:rsidRDefault="00B01F94" w:rsidP="00A15798">
            <w:pPr>
              <w:tabs>
                <w:tab w:val="left" w:pos="360"/>
              </w:tabs>
              <w:jc w:val="center"/>
              <w:rPr>
                <w:rFonts w:ascii="Verdana" w:hAnsi="Verdana" w:cs="Arial"/>
                <w:b/>
                <w:bCs/>
              </w:rPr>
            </w:pPr>
          </w:p>
          <w:p w14:paraId="03CD382F"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3,34</w:t>
            </w:r>
          </w:p>
        </w:tc>
      </w:tr>
      <w:tr w:rsidR="00B01F94" w:rsidRPr="0029325C" w14:paraId="38037252" w14:textId="77777777" w:rsidTr="00A15798">
        <w:trPr>
          <w:jc w:val="center"/>
        </w:trPr>
        <w:tc>
          <w:tcPr>
            <w:tcW w:w="3227" w:type="dxa"/>
          </w:tcPr>
          <w:p w14:paraId="259EF509" w14:textId="77777777" w:rsidR="00B01F94" w:rsidRPr="0029325C" w:rsidRDefault="00B01F94" w:rsidP="001150A5">
            <w:pPr>
              <w:tabs>
                <w:tab w:val="left" w:pos="360"/>
              </w:tabs>
              <w:rPr>
                <w:rFonts w:ascii="Arial" w:hAnsi="Arial" w:cs="Arial"/>
                <w:bCs/>
                <w:smallCaps/>
              </w:rPr>
            </w:pPr>
          </w:p>
          <w:p w14:paraId="5E2B1E3A" w14:textId="77777777" w:rsidR="00B01F94" w:rsidRPr="0029325C" w:rsidRDefault="00C5001A" w:rsidP="001150A5">
            <w:pPr>
              <w:tabs>
                <w:tab w:val="left" w:pos="360"/>
              </w:tabs>
              <w:rPr>
                <w:rFonts w:ascii="Arial" w:hAnsi="Arial" w:cs="Arial"/>
                <w:bCs/>
                <w:smallCaps/>
              </w:rPr>
            </w:pPr>
            <w:r w:rsidRPr="0029325C">
              <w:rPr>
                <w:rFonts w:ascii="Arial" w:hAnsi="Arial"/>
                <w:smallCaps/>
              </w:rPr>
              <w:t xml:space="preserve">Despesa de capital </w:t>
            </w:r>
            <w:r w:rsidRPr="00EB359B">
              <w:rPr>
                <w:rFonts w:ascii="Arial" w:hAnsi="Arial"/>
                <w:smallCaps/>
                <w:sz w:val="18"/>
                <w:szCs w:val="18"/>
              </w:rPr>
              <w:t>(</w:t>
            </w:r>
            <w:r w:rsidRPr="00EB359B">
              <w:rPr>
                <w:sz w:val="18"/>
                <w:szCs w:val="18"/>
              </w:rPr>
              <w:t>excluindo aquisições</w:t>
            </w:r>
            <w:r w:rsidRPr="00EB359B">
              <w:rPr>
                <w:rFonts w:ascii="Verdana" w:hAnsi="Verdana"/>
                <w:sz w:val="18"/>
                <w:szCs w:val="18"/>
              </w:rPr>
              <w:t>)</w:t>
            </w:r>
          </w:p>
        </w:tc>
        <w:tc>
          <w:tcPr>
            <w:tcW w:w="2126" w:type="dxa"/>
          </w:tcPr>
          <w:p w14:paraId="37338D9C" w14:textId="77777777" w:rsidR="00B01F94" w:rsidRPr="0029325C" w:rsidRDefault="00B01F94" w:rsidP="00A15798">
            <w:pPr>
              <w:tabs>
                <w:tab w:val="left" w:pos="360"/>
              </w:tabs>
              <w:jc w:val="center"/>
              <w:rPr>
                <w:rFonts w:ascii="Verdana" w:hAnsi="Verdana" w:cs="Arial"/>
                <w:b/>
                <w:bCs/>
              </w:rPr>
            </w:pPr>
          </w:p>
          <w:p w14:paraId="4FCC5AC9"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632</w:t>
            </w:r>
          </w:p>
        </w:tc>
        <w:tc>
          <w:tcPr>
            <w:tcW w:w="1985" w:type="dxa"/>
          </w:tcPr>
          <w:p w14:paraId="6DC3A4F0" w14:textId="77777777" w:rsidR="00B01F94" w:rsidRPr="0029325C" w:rsidRDefault="00B01F94" w:rsidP="00A15798">
            <w:pPr>
              <w:tabs>
                <w:tab w:val="left" w:pos="360"/>
              </w:tabs>
              <w:jc w:val="center"/>
              <w:rPr>
                <w:rFonts w:ascii="Verdana" w:hAnsi="Verdana" w:cs="Arial"/>
                <w:b/>
                <w:bCs/>
              </w:rPr>
            </w:pPr>
          </w:p>
          <w:p w14:paraId="059B75D0"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703</w:t>
            </w:r>
          </w:p>
        </w:tc>
      </w:tr>
      <w:tr w:rsidR="00B01F94" w:rsidRPr="0029325C" w14:paraId="2D6EACC8" w14:textId="77777777" w:rsidTr="00A15798">
        <w:trPr>
          <w:jc w:val="center"/>
        </w:trPr>
        <w:tc>
          <w:tcPr>
            <w:tcW w:w="3227" w:type="dxa"/>
          </w:tcPr>
          <w:p w14:paraId="774591BF" w14:textId="77777777" w:rsidR="00B01F94" w:rsidRPr="0029325C" w:rsidRDefault="00B01F94" w:rsidP="001150A5">
            <w:pPr>
              <w:tabs>
                <w:tab w:val="left" w:pos="360"/>
              </w:tabs>
              <w:rPr>
                <w:rFonts w:ascii="Arial" w:hAnsi="Arial" w:cs="Arial"/>
                <w:bCs/>
                <w:smallCaps/>
              </w:rPr>
            </w:pPr>
          </w:p>
          <w:p w14:paraId="42F5440C" w14:textId="77777777" w:rsidR="00B01F94" w:rsidRPr="0029325C" w:rsidRDefault="00C5001A" w:rsidP="001150A5">
            <w:pPr>
              <w:tabs>
                <w:tab w:val="left" w:pos="360"/>
              </w:tabs>
              <w:rPr>
                <w:rFonts w:ascii="Arial" w:hAnsi="Arial" w:cs="Arial"/>
                <w:bCs/>
                <w:smallCaps/>
              </w:rPr>
            </w:pPr>
            <w:r w:rsidRPr="0029325C">
              <w:rPr>
                <w:rFonts w:ascii="Arial" w:hAnsi="Arial"/>
                <w:smallCaps/>
              </w:rPr>
              <w:t>Dívida líquida</w:t>
            </w:r>
          </w:p>
        </w:tc>
        <w:tc>
          <w:tcPr>
            <w:tcW w:w="2126" w:type="dxa"/>
          </w:tcPr>
          <w:p w14:paraId="56405D58" w14:textId="77777777" w:rsidR="00B01F94" w:rsidRPr="0029325C" w:rsidRDefault="00B01F94" w:rsidP="00A15798">
            <w:pPr>
              <w:tabs>
                <w:tab w:val="left" w:pos="360"/>
              </w:tabs>
              <w:jc w:val="center"/>
              <w:rPr>
                <w:rFonts w:ascii="Verdana" w:hAnsi="Verdana" w:cs="Arial"/>
                <w:b/>
                <w:bCs/>
              </w:rPr>
            </w:pPr>
          </w:p>
          <w:p w14:paraId="7E49E2C4"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1798</w:t>
            </w:r>
          </w:p>
        </w:tc>
        <w:tc>
          <w:tcPr>
            <w:tcW w:w="1985" w:type="dxa"/>
          </w:tcPr>
          <w:p w14:paraId="738D6552" w14:textId="77777777" w:rsidR="00B01F94" w:rsidRPr="0029325C" w:rsidRDefault="00B01F94" w:rsidP="00A15798">
            <w:pPr>
              <w:tabs>
                <w:tab w:val="left" w:pos="360"/>
              </w:tabs>
              <w:jc w:val="center"/>
              <w:rPr>
                <w:rFonts w:ascii="Verdana" w:hAnsi="Verdana" w:cs="Arial"/>
                <w:b/>
                <w:bCs/>
              </w:rPr>
            </w:pPr>
          </w:p>
          <w:p w14:paraId="1274FF31"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892</w:t>
            </w:r>
          </w:p>
        </w:tc>
      </w:tr>
      <w:tr w:rsidR="00B01F94" w:rsidRPr="0029325C" w14:paraId="6112DFC4" w14:textId="77777777" w:rsidTr="00A15798">
        <w:trPr>
          <w:jc w:val="center"/>
        </w:trPr>
        <w:tc>
          <w:tcPr>
            <w:tcW w:w="3227" w:type="dxa"/>
          </w:tcPr>
          <w:p w14:paraId="09E72E0E" w14:textId="77777777" w:rsidR="00B01F94" w:rsidRPr="0029325C" w:rsidRDefault="00B01F94" w:rsidP="00A15798">
            <w:pPr>
              <w:tabs>
                <w:tab w:val="left" w:pos="360"/>
              </w:tabs>
              <w:rPr>
                <w:rFonts w:ascii="Arial" w:hAnsi="Arial" w:cs="Arial"/>
                <w:bCs/>
                <w:smallCaps/>
              </w:rPr>
            </w:pPr>
          </w:p>
          <w:p w14:paraId="04DE87D0" w14:textId="77777777" w:rsidR="00B01F94" w:rsidRPr="0029325C" w:rsidRDefault="00C5001A" w:rsidP="00A15798">
            <w:pPr>
              <w:tabs>
                <w:tab w:val="left" w:pos="360"/>
              </w:tabs>
              <w:rPr>
                <w:rFonts w:ascii="Arial" w:hAnsi="Arial" w:cs="Arial"/>
                <w:bCs/>
                <w:smallCaps/>
              </w:rPr>
            </w:pPr>
            <w:r w:rsidRPr="0029325C">
              <w:rPr>
                <w:rFonts w:ascii="Arial" w:hAnsi="Arial"/>
                <w:smallCaps/>
              </w:rPr>
              <w:t xml:space="preserve">Alavancagem </w:t>
            </w:r>
          </w:p>
        </w:tc>
        <w:tc>
          <w:tcPr>
            <w:tcW w:w="2126" w:type="dxa"/>
          </w:tcPr>
          <w:p w14:paraId="680CD6EE" w14:textId="77777777" w:rsidR="00B01F94" w:rsidRPr="0029325C" w:rsidRDefault="00B01F94" w:rsidP="00A15798">
            <w:pPr>
              <w:tabs>
                <w:tab w:val="left" w:pos="360"/>
              </w:tabs>
              <w:jc w:val="center"/>
              <w:rPr>
                <w:rFonts w:ascii="Verdana" w:hAnsi="Verdana" w:cs="Arial"/>
                <w:b/>
                <w:bCs/>
              </w:rPr>
            </w:pPr>
          </w:p>
          <w:p w14:paraId="4F9E5448"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18 %</w:t>
            </w:r>
          </w:p>
        </w:tc>
        <w:tc>
          <w:tcPr>
            <w:tcW w:w="1985" w:type="dxa"/>
          </w:tcPr>
          <w:p w14:paraId="0814369C" w14:textId="77777777" w:rsidR="00B01F94" w:rsidRPr="0029325C" w:rsidRDefault="00B01F94" w:rsidP="00A15798">
            <w:pPr>
              <w:tabs>
                <w:tab w:val="left" w:pos="360"/>
              </w:tabs>
              <w:jc w:val="center"/>
              <w:rPr>
                <w:rFonts w:ascii="Verdana" w:hAnsi="Verdana" w:cs="Arial"/>
                <w:b/>
                <w:bCs/>
              </w:rPr>
            </w:pPr>
          </w:p>
          <w:p w14:paraId="0A7FBA18"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9 %</w:t>
            </w:r>
          </w:p>
        </w:tc>
      </w:tr>
      <w:tr w:rsidR="00B01F94" w:rsidRPr="0029325C" w14:paraId="665704E4" w14:textId="77777777" w:rsidTr="00A15798">
        <w:trPr>
          <w:jc w:val="center"/>
        </w:trPr>
        <w:tc>
          <w:tcPr>
            <w:tcW w:w="3227" w:type="dxa"/>
          </w:tcPr>
          <w:p w14:paraId="2C1F531F" w14:textId="77777777" w:rsidR="00B01F94" w:rsidRPr="0029325C" w:rsidRDefault="00B01F94" w:rsidP="00A15798">
            <w:pPr>
              <w:tabs>
                <w:tab w:val="left" w:pos="360"/>
              </w:tabs>
              <w:rPr>
                <w:rFonts w:ascii="Arial" w:hAnsi="Arial" w:cs="Arial"/>
                <w:bCs/>
                <w:smallCaps/>
              </w:rPr>
            </w:pPr>
          </w:p>
          <w:p w14:paraId="48C49BD6" w14:textId="77777777" w:rsidR="00B01F94" w:rsidRPr="0029325C" w:rsidRDefault="00C5001A" w:rsidP="00A15798">
            <w:pPr>
              <w:tabs>
                <w:tab w:val="left" w:pos="360"/>
              </w:tabs>
              <w:rPr>
                <w:rFonts w:ascii="Arial" w:hAnsi="Arial" w:cs="Arial"/>
                <w:bCs/>
                <w:smallCaps/>
              </w:rPr>
            </w:pPr>
            <w:r w:rsidRPr="0029325C">
              <w:rPr>
                <w:rFonts w:ascii="Arial" w:hAnsi="Arial"/>
                <w:smallCaps/>
              </w:rPr>
              <w:t xml:space="preserve">Obrigações de benefícios dos empregados </w:t>
            </w:r>
            <w:r w:rsidRPr="0029325C">
              <w:rPr>
                <w:rFonts w:ascii="Arial" w:hAnsi="Arial"/>
                <w:smallCaps/>
                <w:sz w:val="16"/>
              </w:rPr>
              <w:t xml:space="preserve">  </w:t>
            </w:r>
          </w:p>
        </w:tc>
        <w:tc>
          <w:tcPr>
            <w:tcW w:w="2126" w:type="dxa"/>
          </w:tcPr>
          <w:p w14:paraId="399B36D6" w14:textId="77777777" w:rsidR="00B01F94" w:rsidRPr="0029325C" w:rsidRDefault="00B01F94" w:rsidP="00A15798">
            <w:pPr>
              <w:tabs>
                <w:tab w:val="left" w:pos="360"/>
              </w:tabs>
              <w:jc w:val="center"/>
              <w:rPr>
                <w:rFonts w:ascii="Verdana" w:hAnsi="Verdana" w:cs="Arial"/>
                <w:b/>
                <w:bCs/>
              </w:rPr>
            </w:pPr>
          </w:p>
          <w:p w14:paraId="12937E45"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4780</w:t>
            </w:r>
          </w:p>
        </w:tc>
        <w:tc>
          <w:tcPr>
            <w:tcW w:w="1985" w:type="dxa"/>
          </w:tcPr>
          <w:p w14:paraId="3F5FDE54" w14:textId="77777777" w:rsidR="00B01F94" w:rsidRPr="0029325C" w:rsidRDefault="00B01F94" w:rsidP="00A15798">
            <w:pPr>
              <w:tabs>
                <w:tab w:val="left" w:pos="360"/>
              </w:tabs>
              <w:jc w:val="center"/>
              <w:rPr>
                <w:rFonts w:ascii="Verdana" w:hAnsi="Verdana" w:cs="Arial"/>
                <w:b/>
                <w:bCs/>
              </w:rPr>
            </w:pPr>
          </w:p>
          <w:p w14:paraId="5BE11E5F"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4025</w:t>
            </w:r>
          </w:p>
        </w:tc>
      </w:tr>
      <w:tr w:rsidR="00B01F94" w:rsidRPr="0029325C" w14:paraId="093411EB" w14:textId="77777777" w:rsidTr="00A15798">
        <w:trPr>
          <w:jc w:val="center"/>
        </w:trPr>
        <w:tc>
          <w:tcPr>
            <w:tcW w:w="3227" w:type="dxa"/>
          </w:tcPr>
          <w:p w14:paraId="33638BA0" w14:textId="77777777" w:rsidR="00B01F94" w:rsidRPr="0029325C" w:rsidRDefault="00B01F94" w:rsidP="00A15798">
            <w:pPr>
              <w:tabs>
                <w:tab w:val="left" w:pos="360"/>
              </w:tabs>
              <w:rPr>
                <w:rFonts w:ascii="Arial" w:hAnsi="Arial" w:cs="Arial"/>
                <w:bCs/>
                <w:smallCaps/>
              </w:rPr>
            </w:pPr>
          </w:p>
          <w:p w14:paraId="0CF04914" w14:textId="77777777" w:rsidR="00B01F94" w:rsidRPr="0029325C" w:rsidRDefault="00C5001A" w:rsidP="00117819">
            <w:pPr>
              <w:tabs>
                <w:tab w:val="left" w:pos="360"/>
              </w:tabs>
              <w:rPr>
                <w:rFonts w:ascii="Arial" w:hAnsi="Arial" w:cs="Arial"/>
                <w:bCs/>
                <w:smallCaps/>
              </w:rPr>
            </w:pPr>
            <w:r w:rsidRPr="0029325C">
              <w:rPr>
                <w:rFonts w:ascii="Arial" w:hAnsi="Arial"/>
                <w:smallCaps/>
              </w:rPr>
              <w:t>Fluxo de caixa livre</w:t>
            </w:r>
            <w:r w:rsidRPr="0029325C">
              <w:rPr>
                <w:rFonts w:ascii="Arial" w:hAnsi="Arial"/>
                <w:smallCaps/>
                <w:vertAlign w:val="superscript"/>
              </w:rPr>
              <w:t xml:space="preserve">1 </w:t>
            </w:r>
            <w:r w:rsidRPr="00EB359B">
              <w:rPr>
                <w:rFonts w:ascii="Arial" w:hAnsi="Arial"/>
                <w:smallCaps/>
                <w:sz w:val="18"/>
                <w:szCs w:val="18"/>
              </w:rPr>
              <w:t>(</w:t>
            </w:r>
            <w:r w:rsidRPr="00EB359B">
              <w:rPr>
                <w:sz w:val="18"/>
                <w:szCs w:val="18"/>
              </w:rPr>
              <w:t>excluindo aquisições)</w:t>
            </w:r>
          </w:p>
        </w:tc>
        <w:tc>
          <w:tcPr>
            <w:tcW w:w="2126" w:type="dxa"/>
          </w:tcPr>
          <w:p w14:paraId="79303078" w14:textId="77777777" w:rsidR="00B01F94" w:rsidRPr="0029325C" w:rsidRDefault="00B01F94" w:rsidP="00A15798">
            <w:pPr>
              <w:tabs>
                <w:tab w:val="left" w:pos="360"/>
              </w:tabs>
              <w:jc w:val="center"/>
              <w:rPr>
                <w:rFonts w:ascii="Verdana" w:hAnsi="Verdana" w:cs="Arial"/>
                <w:b/>
                <w:bCs/>
              </w:rPr>
            </w:pPr>
          </w:p>
          <w:p w14:paraId="48C0723D"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(100)</w:t>
            </w:r>
          </w:p>
        </w:tc>
        <w:tc>
          <w:tcPr>
            <w:tcW w:w="1985" w:type="dxa"/>
          </w:tcPr>
          <w:p w14:paraId="19EB77BD" w14:textId="77777777" w:rsidR="00B01F94" w:rsidRPr="0029325C" w:rsidRDefault="00B01F94" w:rsidP="00A15798">
            <w:pPr>
              <w:tabs>
                <w:tab w:val="left" w:pos="360"/>
              </w:tabs>
              <w:jc w:val="center"/>
              <w:rPr>
                <w:rFonts w:ascii="Verdana" w:hAnsi="Verdana" w:cs="Arial"/>
                <w:b/>
                <w:bCs/>
              </w:rPr>
            </w:pPr>
          </w:p>
          <w:p w14:paraId="795D3E83"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(232)</w:t>
            </w:r>
          </w:p>
        </w:tc>
      </w:tr>
      <w:tr w:rsidR="00B01F94" w:rsidRPr="0029325C" w14:paraId="7C7EE8DE" w14:textId="77777777" w:rsidTr="00A15798">
        <w:trPr>
          <w:jc w:val="center"/>
        </w:trPr>
        <w:tc>
          <w:tcPr>
            <w:tcW w:w="3227" w:type="dxa"/>
          </w:tcPr>
          <w:p w14:paraId="2DA00E42" w14:textId="77777777" w:rsidR="00B01F94" w:rsidRPr="0029325C" w:rsidRDefault="00B01F94" w:rsidP="00A15798">
            <w:pPr>
              <w:tabs>
                <w:tab w:val="left" w:pos="360"/>
              </w:tabs>
              <w:rPr>
                <w:rFonts w:ascii="Arial" w:hAnsi="Arial" w:cs="Arial"/>
                <w:bCs/>
                <w:smallCaps/>
              </w:rPr>
            </w:pPr>
          </w:p>
          <w:p w14:paraId="704FC20E" w14:textId="77777777" w:rsidR="00B01F94" w:rsidRPr="0029325C" w:rsidRDefault="00C5001A" w:rsidP="00A15798">
            <w:pPr>
              <w:tabs>
                <w:tab w:val="left" w:pos="360"/>
              </w:tabs>
              <w:rPr>
                <w:rFonts w:ascii="Arial" w:hAnsi="Arial" w:cs="Arial"/>
                <w:bCs/>
                <w:smallCaps/>
              </w:rPr>
            </w:pPr>
            <w:r w:rsidRPr="0029325C">
              <w:rPr>
                <w:rFonts w:ascii="Arial" w:hAnsi="Arial"/>
                <w:smallCaps/>
              </w:rPr>
              <w:t>Colaboradores em funções</w:t>
            </w:r>
            <w:r w:rsidRPr="0029325C">
              <w:rPr>
                <w:rFonts w:ascii="Arial" w:hAnsi="Arial"/>
                <w:smallCaps/>
                <w:vertAlign w:val="superscript"/>
              </w:rPr>
              <w:t>2</w:t>
            </w:r>
          </w:p>
        </w:tc>
        <w:tc>
          <w:tcPr>
            <w:tcW w:w="2126" w:type="dxa"/>
          </w:tcPr>
          <w:p w14:paraId="3ED48940" w14:textId="77777777" w:rsidR="00B01F94" w:rsidRPr="0029325C" w:rsidRDefault="00B01F94" w:rsidP="00A15798">
            <w:pPr>
              <w:tabs>
                <w:tab w:val="left" w:pos="360"/>
              </w:tabs>
              <w:jc w:val="center"/>
              <w:rPr>
                <w:rFonts w:ascii="Verdana" w:hAnsi="Verdana" w:cs="Arial"/>
                <w:b/>
                <w:bCs/>
              </w:rPr>
            </w:pPr>
          </w:p>
          <w:p w14:paraId="7AA220F5"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 112 600</w:t>
            </w:r>
          </w:p>
        </w:tc>
        <w:tc>
          <w:tcPr>
            <w:tcW w:w="1985" w:type="dxa"/>
          </w:tcPr>
          <w:p w14:paraId="38D7467F" w14:textId="77777777" w:rsidR="00B01F94" w:rsidRPr="0029325C" w:rsidRDefault="00B01F94" w:rsidP="00A15798">
            <w:pPr>
              <w:tabs>
                <w:tab w:val="left" w:pos="360"/>
              </w:tabs>
              <w:jc w:val="center"/>
              <w:rPr>
                <w:rFonts w:ascii="Verdana" w:hAnsi="Verdana" w:cs="Arial"/>
                <w:b/>
                <w:bCs/>
              </w:rPr>
            </w:pPr>
          </w:p>
          <w:p w14:paraId="35B85AC4" w14:textId="77777777" w:rsidR="00B01F94" w:rsidRPr="0029325C" w:rsidRDefault="00C5001A" w:rsidP="00A15798">
            <w:pPr>
              <w:tabs>
                <w:tab w:val="left" w:pos="360"/>
              </w:tabs>
              <w:jc w:val="center"/>
              <w:rPr>
                <w:rFonts w:ascii="Verdana" w:hAnsi="Verdana" w:cs="Arial"/>
                <w:b/>
                <w:bCs/>
              </w:rPr>
            </w:pPr>
            <w:r w:rsidRPr="0029325C">
              <w:rPr>
                <w:rFonts w:ascii="Verdana" w:hAnsi="Verdana"/>
                <w:b/>
              </w:rPr>
              <w:t>111 700</w:t>
            </w:r>
          </w:p>
        </w:tc>
      </w:tr>
    </w:tbl>
    <w:p w14:paraId="2BB87A6C" w14:textId="77777777" w:rsidR="00EB359B" w:rsidRDefault="00C5001A" w:rsidP="00460A30">
      <w:pPr>
        <w:tabs>
          <w:tab w:val="left" w:pos="360"/>
        </w:tabs>
        <w:ind w:left="360"/>
        <w:jc w:val="both"/>
        <w:rPr>
          <w:rFonts w:ascii="Verdana" w:hAnsi="Verdana"/>
          <w:sz w:val="16"/>
        </w:rPr>
      </w:pPr>
      <w:r w:rsidRPr="0029325C">
        <w:tab/>
      </w:r>
      <w:r w:rsidRPr="0029325C">
        <w:rPr>
          <w:rFonts w:ascii="Arial" w:hAnsi="Arial"/>
          <w:smallCaps/>
          <w:vertAlign w:val="superscript"/>
        </w:rPr>
        <w:t>1</w:t>
      </w:r>
      <w:r w:rsidRPr="0029325C">
        <w:rPr>
          <w:rFonts w:ascii="Verdana" w:hAnsi="Verdana"/>
          <w:sz w:val="16"/>
        </w:rPr>
        <w:t xml:space="preserve">Fluxo de caixa livre: valor líquido de atividades operacionais menos o valor líquido </w:t>
      </w:r>
    </w:p>
    <w:p w14:paraId="5F3D38C1" w14:textId="77777777" w:rsidR="00B01F94" w:rsidRPr="0029325C" w:rsidRDefault="00EB359B" w:rsidP="00EB359B">
      <w:pPr>
        <w:tabs>
          <w:tab w:val="left" w:pos="360"/>
        </w:tabs>
        <w:ind w:left="360"/>
        <w:jc w:val="both"/>
        <w:rPr>
          <w:rFonts w:ascii="Verdana" w:hAnsi="Verdana" w:cs="Arial"/>
          <w:sz w:val="16"/>
          <w:szCs w:val="16"/>
        </w:rPr>
      </w:pPr>
      <w:r>
        <w:rPr>
          <w:rFonts w:ascii="Arial" w:hAnsi="Arial"/>
          <w:smallCaps/>
          <w:vertAlign w:val="superscript"/>
        </w:rPr>
        <w:t xml:space="preserve">               </w:t>
      </w:r>
      <w:r w:rsidR="00C5001A" w:rsidRPr="0029325C">
        <w:rPr>
          <w:rFonts w:ascii="Verdana" w:hAnsi="Verdana"/>
          <w:sz w:val="16"/>
        </w:rPr>
        <w:t>de atividades de investimento</w:t>
      </w:r>
    </w:p>
    <w:p w14:paraId="4AB734CE" w14:textId="77777777" w:rsidR="00B01F94" w:rsidRPr="0029325C" w:rsidRDefault="00C5001A" w:rsidP="00B01F94">
      <w:pPr>
        <w:ind w:firstLine="708"/>
        <w:jc w:val="both"/>
        <w:rPr>
          <w:rFonts w:ascii="Verdana" w:hAnsi="Verdana" w:cs="Arial"/>
          <w:sz w:val="16"/>
          <w:szCs w:val="16"/>
        </w:rPr>
      </w:pPr>
      <w:r w:rsidRPr="0029325C">
        <w:rPr>
          <w:rFonts w:ascii="Arial" w:hAnsi="Arial"/>
          <w:smallCaps/>
          <w:vertAlign w:val="superscript"/>
        </w:rPr>
        <w:t xml:space="preserve">2 </w:t>
      </w:r>
      <w:r w:rsidRPr="0029325C">
        <w:rPr>
          <w:rFonts w:ascii="Verdana" w:hAnsi="Verdana"/>
          <w:sz w:val="16"/>
        </w:rPr>
        <w:t>No final do período</w:t>
      </w:r>
    </w:p>
    <w:p w14:paraId="7171A3DE" w14:textId="77777777" w:rsidR="00B01F94" w:rsidRPr="0029325C" w:rsidRDefault="00B01F94" w:rsidP="00B01F94">
      <w:pPr>
        <w:ind w:left="708"/>
        <w:jc w:val="both"/>
        <w:rPr>
          <w:rFonts w:ascii="Verdana" w:hAnsi="Verdana" w:cs="Arial"/>
          <w:sz w:val="10"/>
          <w:szCs w:val="10"/>
        </w:rPr>
      </w:pPr>
    </w:p>
    <w:p w14:paraId="2FA85E1B" w14:textId="77777777" w:rsidR="00B01F94" w:rsidRPr="0029325C" w:rsidRDefault="00B01F94" w:rsidP="00B01F94">
      <w:pPr>
        <w:tabs>
          <w:tab w:val="left" w:pos="360"/>
        </w:tabs>
        <w:jc w:val="both"/>
        <w:rPr>
          <w:rFonts w:ascii="Verdana" w:hAnsi="Verdana" w:cs="Arial"/>
          <w:b/>
          <w:bCs/>
        </w:rPr>
      </w:pPr>
    </w:p>
    <w:p w14:paraId="692EFF5B" w14:textId="77777777" w:rsidR="00B01F94" w:rsidRPr="0029325C" w:rsidRDefault="00C5001A" w:rsidP="00B01F94">
      <w:pPr>
        <w:jc w:val="both"/>
        <w:rPr>
          <w:rFonts w:ascii="Arial" w:hAnsi="Arial" w:cs="Arial"/>
          <w:bCs/>
        </w:rPr>
      </w:pPr>
      <w:r w:rsidRPr="0029325C">
        <w:br w:type="page"/>
      </w:r>
    </w:p>
    <w:p w14:paraId="4B074630" w14:textId="77777777" w:rsidR="00B01F94" w:rsidRPr="00EB359B" w:rsidRDefault="00C5001A" w:rsidP="00EB359B">
      <w:pPr>
        <w:spacing w:after="240" w:line="360" w:lineRule="exact"/>
        <w:outlineLvl w:val="0"/>
        <w:rPr>
          <w:rFonts w:ascii="Times New Roman" w:eastAsia="Arial Unicode MS" w:hAnsi="Arial Unicode MS"/>
          <w:b/>
          <w:color w:val="000000"/>
          <w:sz w:val="26"/>
          <w:szCs w:val="24"/>
          <w:u w:color="000000"/>
          <w:lang w:val="es-ES_tradnl" w:eastAsia="en-US"/>
        </w:rPr>
      </w:pPr>
      <w:r w:rsidRPr="00EB359B">
        <w:rPr>
          <w:rFonts w:ascii="Times" w:eastAsia="Arial Unicode MS" w:hAnsi="Times"/>
          <w:b/>
          <w:color w:val="333399"/>
          <w:sz w:val="40"/>
          <w:szCs w:val="24"/>
          <w:u w:color="333399"/>
          <w:lang w:val="es-ES_tradnl" w:eastAsia="en-US"/>
        </w:rPr>
        <w:t xml:space="preserve">Análise de mercado </w:t>
      </w:r>
      <w:r w:rsidR="00EB359B">
        <w:rPr>
          <w:rFonts w:ascii="Times" w:eastAsia="Arial Unicode MS" w:hAnsi="Times"/>
          <w:b/>
          <w:color w:val="333399"/>
          <w:sz w:val="40"/>
          <w:szCs w:val="24"/>
          <w:u w:color="333399"/>
          <w:lang w:val="es-ES_tradnl" w:eastAsia="en-US"/>
        </w:rPr>
        <w:br/>
      </w:r>
      <w:proofErr w:type="spellStart"/>
      <w:r w:rsidRPr="00EB359B">
        <w:rPr>
          <w:rFonts w:ascii="Times New Roman" w:eastAsia="Arial Unicode MS" w:hAnsi="Arial Unicode MS"/>
          <w:b/>
          <w:color w:val="000000"/>
          <w:sz w:val="26"/>
          <w:szCs w:val="24"/>
          <w:u w:color="000000"/>
          <w:lang w:val="es-ES_tradnl" w:eastAsia="en-US"/>
        </w:rPr>
        <w:t>Pneus</w:t>
      </w:r>
      <w:proofErr w:type="spellEnd"/>
      <w:r w:rsidRPr="00EB359B">
        <w:rPr>
          <w:rFonts w:ascii="Times New Roman" w:eastAsia="Arial Unicode MS" w:hAnsi="Arial Unicode MS"/>
          <w:b/>
          <w:color w:val="000000"/>
          <w:sz w:val="26"/>
          <w:szCs w:val="24"/>
          <w:u w:color="000000"/>
          <w:lang w:val="es-ES_tradnl" w:eastAsia="en-US"/>
        </w:rPr>
        <w:t xml:space="preserve"> de carros de passageiros/cami</w:t>
      </w:r>
      <w:r w:rsidRPr="00EB359B">
        <w:rPr>
          <w:rFonts w:ascii="Times New Roman" w:eastAsia="Arial Unicode MS" w:hAnsi="Arial Unicode MS"/>
          <w:b/>
          <w:color w:val="000000"/>
          <w:sz w:val="26"/>
          <w:szCs w:val="24"/>
          <w:u w:color="000000"/>
          <w:lang w:val="es-ES_tradnl" w:eastAsia="en-US"/>
        </w:rPr>
        <w:t>õ</w:t>
      </w:r>
      <w:r w:rsidRPr="00EB359B">
        <w:rPr>
          <w:rFonts w:ascii="Times New Roman" w:eastAsia="Arial Unicode MS" w:hAnsi="Arial Unicode MS"/>
          <w:b/>
          <w:color w:val="000000"/>
          <w:sz w:val="26"/>
          <w:szCs w:val="24"/>
          <w:u w:color="000000"/>
          <w:lang w:val="es-ES_tradnl" w:eastAsia="en-US"/>
        </w:rPr>
        <w:t>es ligeiros</w:t>
      </w:r>
    </w:p>
    <w:p w14:paraId="711C6A23" w14:textId="77777777" w:rsidR="00B01F94" w:rsidRPr="0029325C" w:rsidRDefault="00B01F94" w:rsidP="00B01F94">
      <w:pPr>
        <w:tabs>
          <w:tab w:val="left" w:pos="284"/>
        </w:tabs>
        <w:jc w:val="both"/>
        <w:rPr>
          <w:rFonts w:ascii="Verdana" w:hAnsi="Verdana"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1275"/>
        <w:gridCol w:w="1276"/>
        <w:gridCol w:w="1276"/>
        <w:gridCol w:w="1276"/>
        <w:gridCol w:w="1417"/>
      </w:tblGrid>
      <w:tr w:rsidR="00B01F94" w:rsidRPr="0029325C" w14:paraId="7FA245AD" w14:textId="77777777" w:rsidTr="00A15798">
        <w:tc>
          <w:tcPr>
            <w:tcW w:w="2093" w:type="dxa"/>
            <w:shd w:val="clear" w:color="auto" w:fill="E6E6E6"/>
          </w:tcPr>
          <w:p w14:paraId="6A20C496" w14:textId="77777777" w:rsidR="00B01F94" w:rsidRPr="0029325C" w:rsidRDefault="00C5001A" w:rsidP="00A15798">
            <w:pPr>
              <w:tabs>
                <w:tab w:val="left" w:pos="284"/>
              </w:tabs>
              <w:jc w:val="center"/>
              <w:rPr>
                <w:rFonts w:ascii="Arial" w:eastAsia="MS Mincho" w:hAnsi="Arial" w:cs="Arial"/>
                <w:b/>
                <w:snapToGrid w:val="0"/>
                <w:sz w:val="15"/>
                <w:szCs w:val="15"/>
              </w:rPr>
            </w:pPr>
            <w:r w:rsidRPr="0029325C">
              <w:rPr>
                <w:rFonts w:ascii="Arial" w:hAnsi="Arial"/>
                <w:b/>
                <w:sz w:val="15"/>
              </w:rPr>
              <w:t>Primeiro semestre de 2015</w:t>
            </w:r>
          </w:p>
          <w:p w14:paraId="0622A2B6" w14:textId="77777777" w:rsidR="00B01F94" w:rsidRPr="0029325C" w:rsidRDefault="00C5001A" w:rsidP="00A15798">
            <w:pPr>
              <w:tabs>
                <w:tab w:val="left" w:pos="284"/>
              </w:tabs>
              <w:jc w:val="center"/>
              <w:rPr>
                <w:rFonts w:ascii="Arial" w:eastAsia="MS Mincho" w:hAnsi="Arial" w:cs="Arial"/>
                <w:snapToGrid w:val="0"/>
                <w:sz w:val="15"/>
                <w:szCs w:val="15"/>
              </w:rPr>
            </w:pPr>
            <w:r w:rsidRPr="0029325C">
              <w:rPr>
                <w:rFonts w:ascii="Arial" w:hAnsi="Arial"/>
                <w:sz w:val="15"/>
              </w:rPr>
              <w:t>% mudança de ano para ano</w:t>
            </w:r>
          </w:p>
          <w:p w14:paraId="79C8C906" w14:textId="77777777" w:rsidR="00B01F94" w:rsidRPr="0029325C" w:rsidRDefault="00C5001A" w:rsidP="00A15798">
            <w:pPr>
              <w:tabs>
                <w:tab w:val="left" w:pos="284"/>
              </w:tabs>
              <w:jc w:val="center"/>
              <w:rPr>
                <w:rFonts w:ascii="Arial" w:eastAsia="MS Mincho" w:hAnsi="Arial" w:cs="Arial"/>
                <w:snapToGrid w:val="0"/>
                <w:sz w:val="15"/>
                <w:szCs w:val="15"/>
              </w:rPr>
            </w:pPr>
            <w:r w:rsidRPr="0029325C">
              <w:rPr>
                <w:rFonts w:ascii="Arial" w:hAnsi="Arial"/>
                <w:b/>
                <w:sz w:val="18"/>
                <w:vertAlign w:val="superscript"/>
              </w:rPr>
              <w:t>(em número de pneus)</w:t>
            </w:r>
          </w:p>
        </w:tc>
        <w:tc>
          <w:tcPr>
            <w:tcW w:w="1276" w:type="dxa"/>
            <w:shd w:val="clear" w:color="auto" w:fill="E6E6E6"/>
          </w:tcPr>
          <w:p w14:paraId="26D4F221" w14:textId="77777777" w:rsidR="00B01F94" w:rsidRPr="0029325C" w:rsidRDefault="00C5001A" w:rsidP="00A15798">
            <w:pPr>
              <w:tabs>
                <w:tab w:val="left" w:pos="284"/>
              </w:tabs>
              <w:jc w:val="center"/>
              <w:rPr>
                <w:rFonts w:ascii="Arial" w:eastAsia="MS Mincho" w:hAnsi="Arial" w:cs="Arial"/>
                <w:b/>
                <w:bCs/>
                <w:smallCaps/>
                <w:snapToGrid w:val="0"/>
                <w:sz w:val="18"/>
                <w:szCs w:val="18"/>
              </w:rPr>
            </w:pPr>
            <w:r w:rsidRPr="0029325C">
              <w:rPr>
                <w:rFonts w:ascii="Arial" w:hAnsi="Arial"/>
                <w:b/>
                <w:smallCaps/>
                <w:sz w:val="18"/>
              </w:rPr>
              <w:t>Europa*</w:t>
            </w:r>
          </w:p>
        </w:tc>
        <w:tc>
          <w:tcPr>
            <w:tcW w:w="1275" w:type="dxa"/>
            <w:shd w:val="clear" w:color="auto" w:fill="E6E6E6"/>
          </w:tcPr>
          <w:p w14:paraId="525994B5" w14:textId="77777777" w:rsidR="00B01F94" w:rsidRPr="0029325C" w:rsidRDefault="00C5001A" w:rsidP="00A15798">
            <w:pPr>
              <w:tabs>
                <w:tab w:val="left" w:pos="284"/>
              </w:tabs>
              <w:jc w:val="center"/>
              <w:rPr>
                <w:rFonts w:ascii="Arial" w:eastAsia="MS Mincho" w:hAnsi="Arial" w:cs="Arial"/>
                <w:b/>
                <w:smallCaps/>
                <w:snapToGrid w:val="0"/>
                <w:sz w:val="18"/>
                <w:szCs w:val="18"/>
              </w:rPr>
            </w:pPr>
            <w:r w:rsidRPr="0029325C">
              <w:rPr>
                <w:rFonts w:ascii="Arial" w:hAnsi="Arial"/>
                <w:b/>
                <w:smallCaps/>
                <w:sz w:val="18"/>
              </w:rPr>
              <w:t>América do Norte</w:t>
            </w:r>
          </w:p>
        </w:tc>
        <w:tc>
          <w:tcPr>
            <w:tcW w:w="1276" w:type="dxa"/>
            <w:shd w:val="clear" w:color="auto" w:fill="E6E6E6"/>
          </w:tcPr>
          <w:p w14:paraId="51AAD0D9" w14:textId="77777777" w:rsidR="00B01F94" w:rsidRPr="0029325C" w:rsidRDefault="00C5001A" w:rsidP="00A15798">
            <w:pPr>
              <w:tabs>
                <w:tab w:val="left" w:pos="284"/>
              </w:tabs>
              <w:jc w:val="center"/>
              <w:rPr>
                <w:rFonts w:ascii="Arial" w:eastAsia="MS Mincho" w:hAnsi="Arial" w:cs="Arial"/>
                <w:b/>
                <w:bCs/>
                <w:smallCaps/>
                <w:snapToGrid w:val="0"/>
                <w:sz w:val="18"/>
                <w:szCs w:val="18"/>
              </w:rPr>
            </w:pPr>
            <w:r w:rsidRPr="0029325C">
              <w:rPr>
                <w:rFonts w:ascii="Arial" w:hAnsi="Arial"/>
                <w:b/>
                <w:smallCaps/>
                <w:sz w:val="18"/>
              </w:rPr>
              <w:t>Ásia</w:t>
            </w:r>
          </w:p>
          <w:p w14:paraId="211B00A8" w14:textId="77777777" w:rsidR="00B01F94" w:rsidRPr="0029325C" w:rsidRDefault="00C5001A" w:rsidP="00A15798">
            <w:pPr>
              <w:tabs>
                <w:tab w:val="left" w:pos="284"/>
              </w:tabs>
              <w:jc w:val="center"/>
              <w:rPr>
                <w:rFonts w:ascii="Arial" w:eastAsia="MS Mincho" w:hAnsi="Arial" w:cs="Arial"/>
                <w:b/>
                <w:bCs/>
                <w:smallCaps/>
                <w:snapToGrid w:val="0"/>
                <w:sz w:val="18"/>
                <w:szCs w:val="18"/>
              </w:rPr>
            </w:pPr>
            <w:r w:rsidRPr="0029325C">
              <w:rPr>
                <w:rFonts w:ascii="Arial" w:hAnsi="Arial"/>
                <w:b/>
                <w:smallCaps/>
                <w:sz w:val="18"/>
              </w:rPr>
              <w:t>(excluindo a Índia)</w:t>
            </w:r>
          </w:p>
        </w:tc>
        <w:tc>
          <w:tcPr>
            <w:tcW w:w="1276" w:type="dxa"/>
            <w:shd w:val="clear" w:color="auto" w:fill="E6E6E6"/>
          </w:tcPr>
          <w:p w14:paraId="23F4EF1F" w14:textId="77777777" w:rsidR="00B01F94" w:rsidRPr="0029325C" w:rsidRDefault="00C5001A" w:rsidP="00A15798">
            <w:pPr>
              <w:tabs>
                <w:tab w:val="left" w:pos="284"/>
              </w:tabs>
              <w:jc w:val="center"/>
              <w:rPr>
                <w:rFonts w:ascii="Arial" w:eastAsia="MS Mincho" w:hAnsi="Arial" w:cs="Arial"/>
                <w:b/>
                <w:smallCaps/>
                <w:snapToGrid w:val="0"/>
                <w:sz w:val="18"/>
                <w:szCs w:val="18"/>
              </w:rPr>
            </w:pPr>
            <w:r w:rsidRPr="0029325C">
              <w:rPr>
                <w:rFonts w:ascii="Arial" w:hAnsi="Arial"/>
                <w:b/>
                <w:smallCaps/>
                <w:sz w:val="18"/>
              </w:rPr>
              <w:t>América do Sul</w:t>
            </w:r>
          </w:p>
        </w:tc>
        <w:tc>
          <w:tcPr>
            <w:tcW w:w="1276" w:type="dxa"/>
            <w:shd w:val="clear" w:color="auto" w:fill="E6E6E6"/>
          </w:tcPr>
          <w:p w14:paraId="068633AF" w14:textId="77777777" w:rsidR="00B01F94" w:rsidRPr="0029325C" w:rsidRDefault="00C5001A" w:rsidP="00A15798">
            <w:pPr>
              <w:tabs>
                <w:tab w:val="left" w:pos="284"/>
              </w:tabs>
              <w:jc w:val="center"/>
              <w:rPr>
                <w:rFonts w:ascii="Arial" w:eastAsia="MS Mincho" w:hAnsi="Arial" w:cs="Arial"/>
                <w:b/>
                <w:smallCaps/>
                <w:snapToGrid w:val="0"/>
                <w:sz w:val="18"/>
                <w:szCs w:val="18"/>
              </w:rPr>
            </w:pPr>
            <w:r w:rsidRPr="0029325C">
              <w:rPr>
                <w:rFonts w:ascii="Arial" w:hAnsi="Arial"/>
                <w:b/>
                <w:smallCaps/>
                <w:sz w:val="18"/>
              </w:rPr>
              <w:t>África/Índia/Médio Oriente</w:t>
            </w:r>
          </w:p>
        </w:tc>
        <w:tc>
          <w:tcPr>
            <w:tcW w:w="1417" w:type="dxa"/>
            <w:shd w:val="clear" w:color="auto" w:fill="E6E6E6"/>
          </w:tcPr>
          <w:p w14:paraId="6579759F" w14:textId="77777777" w:rsidR="00B01F94" w:rsidRPr="0029325C" w:rsidRDefault="00C5001A" w:rsidP="00A15798">
            <w:pPr>
              <w:tabs>
                <w:tab w:val="left" w:pos="1026"/>
              </w:tabs>
              <w:ind w:right="-108"/>
              <w:jc w:val="center"/>
              <w:rPr>
                <w:rFonts w:ascii="Arial" w:eastAsia="MS Mincho" w:hAnsi="Arial" w:cs="Arial"/>
                <w:b/>
                <w:smallCaps/>
                <w:snapToGrid w:val="0"/>
                <w:sz w:val="18"/>
                <w:szCs w:val="18"/>
              </w:rPr>
            </w:pPr>
            <w:r w:rsidRPr="0029325C">
              <w:rPr>
                <w:rFonts w:ascii="Arial" w:hAnsi="Arial"/>
                <w:b/>
                <w:smallCaps/>
                <w:sz w:val="18"/>
              </w:rPr>
              <w:t>Total</w:t>
            </w:r>
          </w:p>
        </w:tc>
      </w:tr>
      <w:tr w:rsidR="00B01F94" w:rsidRPr="0029325C" w14:paraId="35402770" w14:textId="77777777" w:rsidTr="00A15798">
        <w:tc>
          <w:tcPr>
            <w:tcW w:w="2093" w:type="dxa"/>
          </w:tcPr>
          <w:p w14:paraId="0F57F3CA" w14:textId="77777777" w:rsidR="00B01F94" w:rsidRPr="0029325C" w:rsidRDefault="00B01F94" w:rsidP="00A15798">
            <w:pPr>
              <w:tabs>
                <w:tab w:val="left" w:pos="284"/>
              </w:tabs>
              <w:jc w:val="center"/>
              <w:rPr>
                <w:rFonts w:ascii="Verdana" w:eastAsia="MS Mincho" w:hAnsi="Verdana" w:cs="Arial"/>
                <w:bCs/>
                <w:snapToGrid w:val="0"/>
                <w:sz w:val="18"/>
                <w:szCs w:val="18"/>
              </w:rPr>
            </w:pPr>
          </w:p>
          <w:p w14:paraId="3C303C43" w14:textId="77777777" w:rsidR="00B01F94" w:rsidRPr="0029325C" w:rsidRDefault="00C5001A" w:rsidP="00A15798">
            <w:pPr>
              <w:tabs>
                <w:tab w:val="left" w:pos="284"/>
              </w:tabs>
              <w:jc w:val="center"/>
              <w:rPr>
                <w:rFonts w:ascii="Verdana" w:eastAsia="MS Mincho" w:hAnsi="Verdana" w:cs="Arial"/>
                <w:bCs/>
                <w:snapToGrid w:val="0"/>
                <w:sz w:val="18"/>
                <w:szCs w:val="18"/>
              </w:rPr>
            </w:pPr>
            <w:r w:rsidRPr="0029325C">
              <w:rPr>
                <w:rFonts w:ascii="Verdana" w:hAnsi="Verdana"/>
                <w:sz w:val="18"/>
              </w:rPr>
              <w:t xml:space="preserve">Equipamento original </w:t>
            </w:r>
          </w:p>
          <w:p w14:paraId="2184B2CE" w14:textId="77777777" w:rsidR="00B01F94" w:rsidRPr="0029325C" w:rsidRDefault="00B01F94" w:rsidP="00A15798">
            <w:pPr>
              <w:tabs>
                <w:tab w:val="left" w:pos="284"/>
              </w:tabs>
              <w:jc w:val="center"/>
              <w:rPr>
                <w:rFonts w:ascii="Verdana" w:eastAsia="MS Mincho" w:hAnsi="Verdana" w:cs="Arial"/>
                <w:bCs/>
                <w:snapToGrid w:val="0"/>
                <w:sz w:val="18"/>
                <w:szCs w:val="18"/>
              </w:rPr>
            </w:pPr>
          </w:p>
          <w:p w14:paraId="7ACC41DA" w14:textId="77777777" w:rsidR="00B01F94" w:rsidRPr="0029325C" w:rsidRDefault="00C5001A" w:rsidP="00A15798">
            <w:pPr>
              <w:tabs>
                <w:tab w:val="left" w:pos="284"/>
              </w:tabs>
              <w:jc w:val="center"/>
              <w:rPr>
                <w:rFonts w:ascii="Arial" w:eastAsia="MS Mincho" w:hAnsi="Arial" w:cs="Arial"/>
                <w:bCs/>
                <w:snapToGrid w:val="0"/>
                <w:sz w:val="18"/>
                <w:szCs w:val="18"/>
              </w:rPr>
            </w:pPr>
            <w:r w:rsidRPr="0029325C">
              <w:rPr>
                <w:rFonts w:ascii="Verdana" w:hAnsi="Verdana"/>
                <w:sz w:val="18"/>
              </w:rPr>
              <w:t>Substituição</w:t>
            </w:r>
          </w:p>
        </w:tc>
        <w:tc>
          <w:tcPr>
            <w:tcW w:w="1276" w:type="dxa"/>
          </w:tcPr>
          <w:p w14:paraId="0907512B"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78C19398"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+3 %</w:t>
            </w:r>
          </w:p>
          <w:p w14:paraId="3548182B"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29D3FD78"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+3 %</w:t>
            </w:r>
          </w:p>
          <w:p w14:paraId="44AFA1E3" w14:textId="77777777" w:rsidR="00B01F94" w:rsidRPr="0029325C" w:rsidRDefault="00B01F94" w:rsidP="00A15798">
            <w:pPr>
              <w:tabs>
                <w:tab w:val="left" w:pos="284"/>
              </w:tabs>
              <w:jc w:val="center"/>
              <w:rPr>
                <w:rFonts w:ascii="Verdana" w:eastAsia="MS Mincho" w:hAnsi="Verdana" w:cs="Arial"/>
                <w:b/>
                <w:snapToGrid w:val="0"/>
                <w:sz w:val="18"/>
                <w:szCs w:val="18"/>
              </w:rPr>
            </w:pPr>
          </w:p>
        </w:tc>
        <w:tc>
          <w:tcPr>
            <w:tcW w:w="1275" w:type="dxa"/>
          </w:tcPr>
          <w:p w14:paraId="20E24B45"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246E6CAF"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+3 %</w:t>
            </w:r>
          </w:p>
          <w:p w14:paraId="3B4C4E84"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796CE8BA"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+0 %</w:t>
            </w:r>
          </w:p>
        </w:tc>
        <w:tc>
          <w:tcPr>
            <w:tcW w:w="1276" w:type="dxa"/>
          </w:tcPr>
          <w:p w14:paraId="62293269"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617FD64F"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-1 %</w:t>
            </w:r>
          </w:p>
          <w:p w14:paraId="004D91AF"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3ADA9927"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+3 %</w:t>
            </w:r>
          </w:p>
        </w:tc>
        <w:tc>
          <w:tcPr>
            <w:tcW w:w="1276" w:type="dxa"/>
          </w:tcPr>
          <w:p w14:paraId="6F3237F2"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749931C7"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-14 %</w:t>
            </w:r>
          </w:p>
          <w:p w14:paraId="34178AAB"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062F80D7"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+3 %</w:t>
            </w:r>
          </w:p>
        </w:tc>
        <w:tc>
          <w:tcPr>
            <w:tcW w:w="1276" w:type="dxa"/>
          </w:tcPr>
          <w:p w14:paraId="676E6CDA"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1252E29B"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+4 %</w:t>
            </w:r>
          </w:p>
          <w:p w14:paraId="10CC0E02"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7F4210F4"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+4%</w:t>
            </w:r>
          </w:p>
        </w:tc>
        <w:tc>
          <w:tcPr>
            <w:tcW w:w="1417" w:type="dxa"/>
          </w:tcPr>
          <w:p w14:paraId="2491639E" w14:textId="77777777" w:rsidR="00B01F94" w:rsidRPr="0029325C" w:rsidRDefault="00B01F94" w:rsidP="00A15798">
            <w:pPr>
              <w:tabs>
                <w:tab w:val="left" w:pos="1168"/>
              </w:tabs>
              <w:ind w:right="-108"/>
              <w:jc w:val="center"/>
              <w:rPr>
                <w:rFonts w:ascii="Verdana" w:eastAsia="MS Mincho" w:hAnsi="Verdana" w:cs="Arial"/>
                <w:b/>
                <w:snapToGrid w:val="0"/>
                <w:sz w:val="18"/>
                <w:szCs w:val="18"/>
              </w:rPr>
            </w:pPr>
          </w:p>
          <w:p w14:paraId="78A76B5A" w14:textId="77777777" w:rsidR="00B01F94" w:rsidRPr="0029325C" w:rsidRDefault="00C5001A" w:rsidP="00A15798">
            <w:pPr>
              <w:tabs>
                <w:tab w:val="left" w:pos="1168"/>
              </w:tabs>
              <w:ind w:right="-108"/>
              <w:jc w:val="center"/>
              <w:rPr>
                <w:rFonts w:ascii="Verdana" w:eastAsia="MS Mincho" w:hAnsi="Verdana" w:cs="Arial"/>
                <w:b/>
                <w:snapToGrid w:val="0"/>
                <w:sz w:val="18"/>
                <w:szCs w:val="18"/>
              </w:rPr>
            </w:pPr>
            <w:r w:rsidRPr="0029325C">
              <w:rPr>
                <w:rFonts w:ascii="Verdana" w:hAnsi="Verdana"/>
                <w:b/>
                <w:sz w:val="18"/>
              </w:rPr>
              <w:t>+0 %</w:t>
            </w:r>
          </w:p>
          <w:p w14:paraId="49CE5C6C" w14:textId="77777777" w:rsidR="00B01F94" w:rsidRPr="0029325C" w:rsidRDefault="00B01F94" w:rsidP="00A15798">
            <w:pPr>
              <w:tabs>
                <w:tab w:val="left" w:pos="1168"/>
              </w:tabs>
              <w:ind w:right="-108"/>
              <w:jc w:val="center"/>
              <w:rPr>
                <w:rFonts w:ascii="Verdana" w:eastAsia="MS Mincho" w:hAnsi="Verdana" w:cs="Arial"/>
                <w:b/>
                <w:snapToGrid w:val="0"/>
                <w:sz w:val="18"/>
                <w:szCs w:val="18"/>
              </w:rPr>
            </w:pPr>
          </w:p>
          <w:p w14:paraId="0CBC7779" w14:textId="77777777" w:rsidR="00B01F94" w:rsidRPr="0029325C" w:rsidRDefault="00C5001A" w:rsidP="00A15798">
            <w:pPr>
              <w:tabs>
                <w:tab w:val="left" w:pos="1168"/>
              </w:tabs>
              <w:ind w:right="-108"/>
              <w:jc w:val="center"/>
              <w:rPr>
                <w:rFonts w:ascii="Verdana" w:eastAsia="MS Mincho" w:hAnsi="Verdana" w:cs="Arial"/>
                <w:b/>
                <w:snapToGrid w:val="0"/>
                <w:sz w:val="18"/>
                <w:szCs w:val="18"/>
              </w:rPr>
            </w:pPr>
            <w:r w:rsidRPr="0029325C">
              <w:rPr>
                <w:rFonts w:ascii="Verdana" w:hAnsi="Verdana"/>
                <w:b/>
                <w:sz w:val="18"/>
              </w:rPr>
              <w:t>+2 %</w:t>
            </w:r>
          </w:p>
        </w:tc>
      </w:tr>
    </w:tbl>
    <w:p w14:paraId="7935BC4A" w14:textId="77777777" w:rsidR="00B01F94" w:rsidRPr="0029325C" w:rsidRDefault="00B01F94" w:rsidP="00B01F94">
      <w:pPr>
        <w:pStyle w:val="Prrafodelista"/>
        <w:ind w:left="360"/>
        <w:jc w:val="both"/>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1275"/>
        <w:gridCol w:w="1276"/>
        <w:gridCol w:w="1276"/>
        <w:gridCol w:w="1276"/>
        <w:gridCol w:w="1417"/>
      </w:tblGrid>
      <w:tr w:rsidR="00B01F94" w:rsidRPr="0029325C" w14:paraId="30E1DAC8" w14:textId="77777777" w:rsidTr="00A15798">
        <w:tc>
          <w:tcPr>
            <w:tcW w:w="2093" w:type="dxa"/>
            <w:shd w:val="clear" w:color="auto" w:fill="E6E6E6"/>
          </w:tcPr>
          <w:p w14:paraId="1D856376" w14:textId="77777777" w:rsidR="00B01F94" w:rsidRPr="0029325C" w:rsidRDefault="00C5001A" w:rsidP="00A15798">
            <w:pPr>
              <w:tabs>
                <w:tab w:val="left" w:pos="284"/>
              </w:tabs>
              <w:jc w:val="center"/>
              <w:rPr>
                <w:rFonts w:ascii="Arial" w:eastAsia="MS Mincho" w:hAnsi="Arial" w:cs="Arial"/>
                <w:b/>
                <w:snapToGrid w:val="0"/>
                <w:sz w:val="15"/>
                <w:szCs w:val="15"/>
              </w:rPr>
            </w:pPr>
            <w:r w:rsidRPr="0029325C">
              <w:rPr>
                <w:rFonts w:ascii="Arial" w:hAnsi="Arial"/>
                <w:b/>
                <w:sz w:val="15"/>
              </w:rPr>
              <w:t>Segundo trimestre de 2015</w:t>
            </w:r>
          </w:p>
          <w:p w14:paraId="21457405" w14:textId="77777777" w:rsidR="00B01F94" w:rsidRPr="0029325C" w:rsidRDefault="00C5001A" w:rsidP="00A15798">
            <w:pPr>
              <w:tabs>
                <w:tab w:val="left" w:pos="284"/>
              </w:tabs>
              <w:jc w:val="center"/>
              <w:rPr>
                <w:rFonts w:ascii="Arial" w:eastAsia="MS Mincho" w:hAnsi="Arial" w:cs="Arial"/>
                <w:snapToGrid w:val="0"/>
                <w:sz w:val="15"/>
                <w:szCs w:val="15"/>
              </w:rPr>
            </w:pPr>
            <w:r w:rsidRPr="0029325C">
              <w:rPr>
                <w:rFonts w:ascii="Arial" w:hAnsi="Arial"/>
                <w:sz w:val="15"/>
              </w:rPr>
              <w:t>% mudança de ano para ano</w:t>
            </w:r>
          </w:p>
          <w:p w14:paraId="0080A89B" w14:textId="77777777" w:rsidR="00B01F94" w:rsidRPr="0029325C" w:rsidRDefault="00C5001A" w:rsidP="00A15798">
            <w:pPr>
              <w:tabs>
                <w:tab w:val="left" w:pos="284"/>
              </w:tabs>
              <w:jc w:val="center"/>
              <w:rPr>
                <w:rFonts w:ascii="Arial" w:eastAsia="MS Mincho" w:hAnsi="Arial" w:cs="Arial"/>
                <w:b/>
                <w:snapToGrid w:val="0"/>
                <w:sz w:val="18"/>
                <w:szCs w:val="18"/>
                <w:vertAlign w:val="superscript"/>
              </w:rPr>
            </w:pPr>
            <w:r w:rsidRPr="0029325C">
              <w:rPr>
                <w:rFonts w:ascii="Arial" w:hAnsi="Arial"/>
                <w:b/>
                <w:sz w:val="18"/>
                <w:vertAlign w:val="superscript"/>
              </w:rPr>
              <w:t>(em número de pneus)</w:t>
            </w:r>
          </w:p>
        </w:tc>
        <w:tc>
          <w:tcPr>
            <w:tcW w:w="1276" w:type="dxa"/>
            <w:shd w:val="clear" w:color="auto" w:fill="E6E6E6"/>
          </w:tcPr>
          <w:p w14:paraId="62D0EC0B" w14:textId="77777777" w:rsidR="00B01F94" w:rsidRPr="0029325C" w:rsidRDefault="00C5001A" w:rsidP="00A15798">
            <w:pPr>
              <w:tabs>
                <w:tab w:val="left" w:pos="284"/>
              </w:tabs>
              <w:jc w:val="center"/>
              <w:rPr>
                <w:rFonts w:ascii="Arial" w:eastAsia="MS Mincho" w:hAnsi="Arial" w:cs="Arial"/>
                <w:b/>
                <w:bCs/>
                <w:smallCaps/>
                <w:snapToGrid w:val="0"/>
                <w:sz w:val="18"/>
                <w:szCs w:val="18"/>
              </w:rPr>
            </w:pPr>
            <w:r w:rsidRPr="0029325C">
              <w:rPr>
                <w:rFonts w:ascii="Arial" w:hAnsi="Arial"/>
                <w:b/>
                <w:smallCaps/>
                <w:sz w:val="18"/>
              </w:rPr>
              <w:t>Europa*</w:t>
            </w:r>
          </w:p>
        </w:tc>
        <w:tc>
          <w:tcPr>
            <w:tcW w:w="1275" w:type="dxa"/>
            <w:shd w:val="clear" w:color="auto" w:fill="E6E6E6"/>
          </w:tcPr>
          <w:p w14:paraId="03FC4282" w14:textId="77777777" w:rsidR="00B01F94" w:rsidRPr="0029325C" w:rsidRDefault="00C5001A" w:rsidP="00A15798">
            <w:pPr>
              <w:tabs>
                <w:tab w:val="left" w:pos="284"/>
              </w:tabs>
              <w:jc w:val="center"/>
              <w:rPr>
                <w:rFonts w:ascii="Arial" w:eastAsia="MS Mincho" w:hAnsi="Arial" w:cs="Arial"/>
                <w:b/>
                <w:smallCaps/>
                <w:snapToGrid w:val="0"/>
                <w:sz w:val="18"/>
                <w:szCs w:val="18"/>
              </w:rPr>
            </w:pPr>
            <w:r w:rsidRPr="0029325C">
              <w:rPr>
                <w:rFonts w:ascii="Arial" w:hAnsi="Arial"/>
                <w:b/>
                <w:smallCaps/>
                <w:sz w:val="18"/>
              </w:rPr>
              <w:t>América do Norte</w:t>
            </w:r>
          </w:p>
        </w:tc>
        <w:tc>
          <w:tcPr>
            <w:tcW w:w="1276" w:type="dxa"/>
            <w:shd w:val="clear" w:color="auto" w:fill="E6E6E6"/>
          </w:tcPr>
          <w:p w14:paraId="7F90325D" w14:textId="77777777" w:rsidR="00B01F94" w:rsidRPr="0029325C" w:rsidRDefault="00C5001A" w:rsidP="00A15798">
            <w:pPr>
              <w:tabs>
                <w:tab w:val="left" w:pos="284"/>
              </w:tabs>
              <w:jc w:val="center"/>
              <w:rPr>
                <w:rFonts w:ascii="Arial" w:eastAsia="MS Mincho" w:hAnsi="Arial" w:cs="Arial"/>
                <w:b/>
                <w:bCs/>
                <w:smallCaps/>
                <w:snapToGrid w:val="0"/>
                <w:sz w:val="18"/>
                <w:szCs w:val="18"/>
              </w:rPr>
            </w:pPr>
            <w:r w:rsidRPr="0029325C">
              <w:rPr>
                <w:rFonts w:ascii="Arial" w:hAnsi="Arial"/>
                <w:b/>
                <w:smallCaps/>
                <w:sz w:val="18"/>
              </w:rPr>
              <w:t>Ásia</w:t>
            </w:r>
          </w:p>
          <w:p w14:paraId="59E92261" w14:textId="77777777" w:rsidR="00B01F94" w:rsidRPr="0029325C" w:rsidRDefault="00C5001A" w:rsidP="00A15798">
            <w:pPr>
              <w:tabs>
                <w:tab w:val="left" w:pos="284"/>
              </w:tabs>
              <w:jc w:val="center"/>
              <w:rPr>
                <w:rFonts w:ascii="Arial" w:eastAsia="MS Mincho" w:hAnsi="Arial" w:cs="Arial"/>
                <w:b/>
                <w:bCs/>
                <w:smallCaps/>
                <w:snapToGrid w:val="0"/>
                <w:sz w:val="18"/>
                <w:szCs w:val="18"/>
              </w:rPr>
            </w:pPr>
            <w:r w:rsidRPr="0029325C">
              <w:rPr>
                <w:rFonts w:ascii="Arial" w:hAnsi="Arial"/>
                <w:b/>
                <w:smallCaps/>
                <w:sz w:val="18"/>
              </w:rPr>
              <w:t>(excluindo a Índia)</w:t>
            </w:r>
          </w:p>
        </w:tc>
        <w:tc>
          <w:tcPr>
            <w:tcW w:w="1276" w:type="dxa"/>
            <w:shd w:val="clear" w:color="auto" w:fill="E6E6E6"/>
          </w:tcPr>
          <w:p w14:paraId="5FD8C22C" w14:textId="77777777" w:rsidR="00B01F94" w:rsidRPr="0029325C" w:rsidRDefault="00C5001A" w:rsidP="00A15798">
            <w:pPr>
              <w:tabs>
                <w:tab w:val="left" w:pos="284"/>
              </w:tabs>
              <w:jc w:val="center"/>
              <w:rPr>
                <w:rFonts w:ascii="Arial" w:eastAsia="MS Mincho" w:hAnsi="Arial" w:cs="Arial"/>
                <w:b/>
                <w:smallCaps/>
                <w:snapToGrid w:val="0"/>
                <w:sz w:val="18"/>
                <w:szCs w:val="18"/>
              </w:rPr>
            </w:pPr>
            <w:r w:rsidRPr="0029325C">
              <w:rPr>
                <w:rFonts w:ascii="Arial" w:hAnsi="Arial"/>
                <w:b/>
                <w:smallCaps/>
                <w:sz w:val="18"/>
              </w:rPr>
              <w:t>América do Sul</w:t>
            </w:r>
          </w:p>
        </w:tc>
        <w:tc>
          <w:tcPr>
            <w:tcW w:w="1276" w:type="dxa"/>
            <w:shd w:val="clear" w:color="auto" w:fill="E6E6E6"/>
          </w:tcPr>
          <w:p w14:paraId="199DF125" w14:textId="77777777" w:rsidR="00B01F94" w:rsidRPr="0029325C" w:rsidRDefault="00C5001A" w:rsidP="00A15798">
            <w:pPr>
              <w:tabs>
                <w:tab w:val="left" w:pos="284"/>
              </w:tabs>
              <w:jc w:val="center"/>
              <w:rPr>
                <w:rFonts w:ascii="Arial" w:eastAsia="MS Mincho" w:hAnsi="Arial" w:cs="Arial"/>
                <w:b/>
                <w:smallCaps/>
                <w:snapToGrid w:val="0"/>
                <w:sz w:val="18"/>
                <w:szCs w:val="18"/>
              </w:rPr>
            </w:pPr>
            <w:r w:rsidRPr="0029325C">
              <w:rPr>
                <w:rFonts w:ascii="Arial" w:hAnsi="Arial"/>
                <w:b/>
                <w:smallCaps/>
                <w:sz w:val="18"/>
              </w:rPr>
              <w:t>África/Índia/Médio Oriente</w:t>
            </w:r>
          </w:p>
        </w:tc>
        <w:tc>
          <w:tcPr>
            <w:tcW w:w="1417" w:type="dxa"/>
            <w:shd w:val="clear" w:color="auto" w:fill="E6E6E6"/>
          </w:tcPr>
          <w:p w14:paraId="5B38E624" w14:textId="77777777" w:rsidR="00B01F94" w:rsidRPr="0029325C" w:rsidRDefault="00C5001A" w:rsidP="00A15798">
            <w:pPr>
              <w:tabs>
                <w:tab w:val="left" w:pos="1026"/>
              </w:tabs>
              <w:ind w:right="-108"/>
              <w:jc w:val="center"/>
              <w:rPr>
                <w:rFonts w:ascii="Arial" w:eastAsia="MS Mincho" w:hAnsi="Arial" w:cs="Arial"/>
                <w:b/>
                <w:smallCaps/>
                <w:snapToGrid w:val="0"/>
                <w:sz w:val="18"/>
                <w:szCs w:val="18"/>
              </w:rPr>
            </w:pPr>
            <w:r w:rsidRPr="0029325C">
              <w:rPr>
                <w:rFonts w:ascii="Arial" w:hAnsi="Arial"/>
                <w:b/>
                <w:smallCaps/>
                <w:sz w:val="18"/>
              </w:rPr>
              <w:t>Total</w:t>
            </w:r>
          </w:p>
        </w:tc>
      </w:tr>
      <w:tr w:rsidR="00B01F94" w:rsidRPr="0029325C" w14:paraId="0381BDEF" w14:textId="77777777" w:rsidTr="00A15798">
        <w:tc>
          <w:tcPr>
            <w:tcW w:w="2093" w:type="dxa"/>
          </w:tcPr>
          <w:p w14:paraId="6392ED1E" w14:textId="77777777" w:rsidR="00B01F94" w:rsidRPr="0029325C" w:rsidRDefault="00B01F94" w:rsidP="00A15798">
            <w:pPr>
              <w:tabs>
                <w:tab w:val="left" w:pos="284"/>
              </w:tabs>
              <w:jc w:val="center"/>
              <w:rPr>
                <w:rFonts w:ascii="Verdana" w:eastAsia="MS Mincho" w:hAnsi="Verdana" w:cs="Arial"/>
                <w:bCs/>
                <w:snapToGrid w:val="0"/>
                <w:sz w:val="18"/>
                <w:szCs w:val="18"/>
              </w:rPr>
            </w:pPr>
          </w:p>
          <w:p w14:paraId="169F7629" w14:textId="77777777" w:rsidR="00B01F94" w:rsidRPr="0029325C" w:rsidRDefault="00C5001A" w:rsidP="00A15798">
            <w:pPr>
              <w:tabs>
                <w:tab w:val="left" w:pos="284"/>
              </w:tabs>
              <w:jc w:val="center"/>
              <w:rPr>
                <w:rFonts w:ascii="Verdana" w:eastAsia="MS Mincho" w:hAnsi="Verdana" w:cs="Arial"/>
                <w:bCs/>
                <w:snapToGrid w:val="0"/>
                <w:sz w:val="18"/>
                <w:szCs w:val="18"/>
              </w:rPr>
            </w:pPr>
            <w:r w:rsidRPr="0029325C">
              <w:rPr>
                <w:rFonts w:ascii="Verdana" w:hAnsi="Verdana"/>
                <w:sz w:val="18"/>
              </w:rPr>
              <w:t xml:space="preserve">Equipamento original </w:t>
            </w:r>
          </w:p>
          <w:p w14:paraId="7E84C9B3" w14:textId="77777777" w:rsidR="00B01F94" w:rsidRPr="0029325C" w:rsidRDefault="00B01F94" w:rsidP="00A15798">
            <w:pPr>
              <w:tabs>
                <w:tab w:val="left" w:pos="284"/>
              </w:tabs>
              <w:jc w:val="center"/>
              <w:rPr>
                <w:rFonts w:ascii="Verdana" w:eastAsia="MS Mincho" w:hAnsi="Verdana" w:cs="Arial"/>
                <w:bCs/>
                <w:snapToGrid w:val="0"/>
                <w:sz w:val="18"/>
                <w:szCs w:val="18"/>
              </w:rPr>
            </w:pPr>
          </w:p>
          <w:p w14:paraId="473ACAD1" w14:textId="77777777" w:rsidR="00B01F94" w:rsidRPr="0029325C" w:rsidRDefault="00C5001A" w:rsidP="00A15798">
            <w:pPr>
              <w:tabs>
                <w:tab w:val="left" w:pos="284"/>
              </w:tabs>
              <w:jc w:val="center"/>
              <w:rPr>
                <w:rFonts w:ascii="Arial" w:eastAsia="MS Mincho" w:hAnsi="Arial" w:cs="Arial"/>
                <w:bCs/>
                <w:snapToGrid w:val="0"/>
                <w:sz w:val="18"/>
                <w:szCs w:val="18"/>
              </w:rPr>
            </w:pPr>
            <w:r w:rsidRPr="0029325C">
              <w:rPr>
                <w:rFonts w:ascii="Verdana" w:hAnsi="Verdana"/>
                <w:sz w:val="18"/>
              </w:rPr>
              <w:t>Substituição</w:t>
            </w:r>
          </w:p>
        </w:tc>
        <w:tc>
          <w:tcPr>
            <w:tcW w:w="1276" w:type="dxa"/>
          </w:tcPr>
          <w:p w14:paraId="35839841"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1474D7C6"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+2 %</w:t>
            </w:r>
          </w:p>
          <w:p w14:paraId="61867875"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7EC7FCD0"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+4 %</w:t>
            </w:r>
          </w:p>
          <w:p w14:paraId="593AAF5F" w14:textId="77777777" w:rsidR="00B01F94" w:rsidRPr="0029325C" w:rsidRDefault="00B01F94" w:rsidP="00A15798">
            <w:pPr>
              <w:tabs>
                <w:tab w:val="left" w:pos="284"/>
              </w:tabs>
              <w:jc w:val="center"/>
              <w:rPr>
                <w:rFonts w:ascii="Verdana" w:eastAsia="MS Mincho" w:hAnsi="Verdana" w:cs="Arial"/>
                <w:b/>
                <w:snapToGrid w:val="0"/>
                <w:sz w:val="18"/>
                <w:szCs w:val="18"/>
              </w:rPr>
            </w:pPr>
          </w:p>
        </w:tc>
        <w:tc>
          <w:tcPr>
            <w:tcW w:w="1275" w:type="dxa"/>
          </w:tcPr>
          <w:p w14:paraId="3B66BA6F"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6F0B15E1"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+5 %</w:t>
            </w:r>
          </w:p>
          <w:p w14:paraId="1753459D"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70A248A9"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+5 %</w:t>
            </w:r>
          </w:p>
        </w:tc>
        <w:tc>
          <w:tcPr>
            <w:tcW w:w="1276" w:type="dxa"/>
          </w:tcPr>
          <w:p w14:paraId="1CCA772E"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1E4AD5E3"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-4 %</w:t>
            </w:r>
          </w:p>
          <w:p w14:paraId="37FC2574"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5F35B1A0"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+7 %</w:t>
            </w:r>
          </w:p>
        </w:tc>
        <w:tc>
          <w:tcPr>
            <w:tcW w:w="1276" w:type="dxa"/>
          </w:tcPr>
          <w:p w14:paraId="29EC22D7"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6301522B"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-16 %</w:t>
            </w:r>
          </w:p>
          <w:p w14:paraId="44BA2113"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3393AD7F"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+4 %</w:t>
            </w:r>
          </w:p>
        </w:tc>
        <w:tc>
          <w:tcPr>
            <w:tcW w:w="1276" w:type="dxa"/>
          </w:tcPr>
          <w:p w14:paraId="4373A193"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460A6655"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-1 %</w:t>
            </w:r>
          </w:p>
          <w:p w14:paraId="1804B43B" w14:textId="77777777" w:rsidR="00B01F94" w:rsidRPr="0029325C" w:rsidRDefault="00B01F94" w:rsidP="00A15798">
            <w:pPr>
              <w:tabs>
                <w:tab w:val="left" w:pos="284"/>
              </w:tabs>
              <w:jc w:val="center"/>
              <w:rPr>
                <w:rFonts w:ascii="Verdana" w:eastAsia="MS Mincho" w:hAnsi="Verdana" w:cs="Arial"/>
                <w:b/>
                <w:snapToGrid w:val="0"/>
                <w:sz w:val="18"/>
                <w:szCs w:val="18"/>
              </w:rPr>
            </w:pPr>
          </w:p>
          <w:p w14:paraId="0782FDC0" w14:textId="77777777" w:rsidR="00B01F94" w:rsidRPr="0029325C" w:rsidRDefault="00C5001A" w:rsidP="00A15798">
            <w:pPr>
              <w:tabs>
                <w:tab w:val="left" w:pos="284"/>
              </w:tabs>
              <w:jc w:val="center"/>
              <w:rPr>
                <w:rFonts w:ascii="Verdana" w:eastAsia="MS Mincho" w:hAnsi="Verdana" w:cs="Arial"/>
                <w:b/>
                <w:snapToGrid w:val="0"/>
                <w:sz w:val="18"/>
                <w:szCs w:val="18"/>
              </w:rPr>
            </w:pPr>
            <w:r w:rsidRPr="0029325C">
              <w:rPr>
                <w:rFonts w:ascii="Verdana" w:hAnsi="Verdana"/>
                <w:b/>
                <w:sz w:val="18"/>
              </w:rPr>
              <w:t>+4 %</w:t>
            </w:r>
          </w:p>
        </w:tc>
        <w:tc>
          <w:tcPr>
            <w:tcW w:w="1417" w:type="dxa"/>
          </w:tcPr>
          <w:p w14:paraId="474D58B6" w14:textId="77777777" w:rsidR="00B01F94" w:rsidRPr="0029325C" w:rsidRDefault="00B01F94" w:rsidP="00A15798">
            <w:pPr>
              <w:tabs>
                <w:tab w:val="left" w:pos="1168"/>
              </w:tabs>
              <w:ind w:right="-108"/>
              <w:jc w:val="center"/>
              <w:rPr>
                <w:rFonts w:ascii="Verdana" w:eastAsia="MS Mincho" w:hAnsi="Verdana" w:cs="Arial"/>
                <w:b/>
                <w:snapToGrid w:val="0"/>
                <w:sz w:val="18"/>
                <w:szCs w:val="18"/>
              </w:rPr>
            </w:pPr>
          </w:p>
          <w:p w14:paraId="7D510D2A" w14:textId="77777777" w:rsidR="00B01F94" w:rsidRPr="0029325C" w:rsidRDefault="00C5001A" w:rsidP="00A15798">
            <w:pPr>
              <w:tabs>
                <w:tab w:val="left" w:pos="1168"/>
              </w:tabs>
              <w:ind w:right="-108"/>
              <w:jc w:val="center"/>
              <w:rPr>
                <w:rFonts w:ascii="Verdana" w:eastAsia="MS Mincho" w:hAnsi="Verdana" w:cs="Arial"/>
                <w:b/>
                <w:snapToGrid w:val="0"/>
                <w:sz w:val="18"/>
                <w:szCs w:val="18"/>
              </w:rPr>
            </w:pPr>
            <w:r w:rsidRPr="0029325C">
              <w:rPr>
                <w:rFonts w:ascii="Verdana" w:hAnsi="Verdana"/>
                <w:b/>
                <w:sz w:val="18"/>
              </w:rPr>
              <w:t>-1 %</w:t>
            </w:r>
          </w:p>
          <w:p w14:paraId="2972F64D" w14:textId="77777777" w:rsidR="00B01F94" w:rsidRPr="0029325C" w:rsidRDefault="00B01F94" w:rsidP="00A15798">
            <w:pPr>
              <w:tabs>
                <w:tab w:val="left" w:pos="1168"/>
              </w:tabs>
              <w:ind w:right="-108"/>
              <w:jc w:val="center"/>
              <w:rPr>
                <w:rFonts w:ascii="Verdana" w:eastAsia="MS Mincho" w:hAnsi="Verdana" w:cs="Arial"/>
                <w:b/>
                <w:snapToGrid w:val="0"/>
                <w:sz w:val="18"/>
                <w:szCs w:val="18"/>
              </w:rPr>
            </w:pPr>
          </w:p>
          <w:p w14:paraId="3A5FAD22" w14:textId="77777777" w:rsidR="00B01F94" w:rsidRPr="0029325C" w:rsidRDefault="00C5001A" w:rsidP="00611511">
            <w:pPr>
              <w:tabs>
                <w:tab w:val="left" w:pos="1168"/>
              </w:tabs>
              <w:ind w:right="-108"/>
              <w:jc w:val="center"/>
              <w:rPr>
                <w:rFonts w:ascii="Verdana" w:eastAsia="MS Mincho" w:hAnsi="Verdana" w:cs="Arial"/>
                <w:b/>
                <w:snapToGrid w:val="0"/>
                <w:sz w:val="18"/>
                <w:szCs w:val="18"/>
              </w:rPr>
            </w:pPr>
            <w:r w:rsidRPr="0029325C">
              <w:rPr>
                <w:rFonts w:ascii="Verdana" w:hAnsi="Verdana"/>
                <w:b/>
                <w:sz w:val="18"/>
              </w:rPr>
              <w:t>+5 %</w:t>
            </w:r>
          </w:p>
        </w:tc>
      </w:tr>
    </w:tbl>
    <w:p w14:paraId="23601F5E" w14:textId="77777777" w:rsidR="00B01F94" w:rsidRPr="00D6256A" w:rsidRDefault="00C5001A" w:rsidP="00B01F94">
      <w:pPr>
        <w:tabs>
          <w:tab w:val="left" w:pos="284"/>
        </w:tabs>
        <w:jc w:val="both"/>
        <w:rPr>
          <w:rFonts w:ascii="Arial" w:hAnsi="Arial" w:cs="Arial"/>
          <w:sz w:val="21"/>
          <w:szCs w:val="21"/>
        </w:rPr>
      </w:pPr>
      <w:r w:rsidRPr="00D6256A">
        <w:rPr>
          <w:rFonts w:ascii="Arial" w:hAnsi="Arial" w:cs="Arial"/>
          <w:sz w:val="21"/>
          <w:szCs w:val="21"/>
        </w:rPr>
        <w:t xml:space="preserve">* </w:t>
      </w:r>
      <w:r w:rsidRPr="00D6256A">
        <w:rPr>
          <w:rFonts w:ascii="Arial" w:hAnsi="Arial" w:cs="Arial"/>
          <w:sz w:val="16"/>
          <w:szCs w:val="16"/>
        </w:rPr>
        <w:t>Incluindo a Rússia e a Turquia</w:t>
      </w:r>
    </w:p>
    <w:p w14:paraId="39A00CB3" w14:textId="77777777" w:rsidR="00B01F94" w:rsidRPr="00D6256A" w:rsidRDefault="00B01F94" w:rsidP="00B01F94">
      <w:pPr>
        <w:pStyle w:val="Prrafodelista"/>
        <w:keepNext/>
        <w:tabs>
          <w:tab w:val="left" w:pos="600"/>
        </w:tabs>
        <w:ind w:left="360"/>
        <w:jc w:val="both"/>
        <w:rPr>
          <w:rFonts w:ascii="Arial" w:hAnsi="Arial" w:cs="Arial"/>
          <w:bCs/>
          <w:sz w:val="21"/>
          <w:szCs w:val="21"/>
        </w:rPr>
      </w:pPr>
    </w:p>
    <w:p w14:paraId="4C1407AB" w14:textId="77777777" w:rsidR="00B01F94" w:rsidRPr="00D6256A" w:rsidRDefault="00B01F94" w:rsidP="00B01F94">
      <w:pPr>
        <w:tabs>
          <w:tab w:val="left" w:pos="284"/>
        </w:tabs>
        <w:jc w:val="both"/>
        <w:rPr>
          <w:rFonts w:ascii="Arial" w:hAnsi="Arial" w:cs="Arial"/>
          <w:sz w:val="21"/>
          <w:szCs w:val="21"/>
        </w:rPr>
      </w:pPr>
    </w:p>
    <w:p w14:paraId="37770064" w14:textId="77777777" w:rsidR="00B01F94" w:rsidRPr="00D6256A" w:rsidRDefault="00C5001A" w:rsidP="00D6256A">
      <w:pPr>
        <w:tabs>
          <w:tab w:val="left" w:pos="360"/>
        </w:tabs>
        <w:spacing w:line="270" w:lineRule="atLeast"/>
        <w:jc w:val="both"/>
        <w:outlineLvl w:val="0"/>
        <w:rPr>
          <w:rFonts w:ascii="Arial" w:hAnsi="Arial" w:cs="Arial"/>
          <w:b/>
          <w:bCs/>
          <w:sz w:val="21"/>
          <w:szCs w:val="21"/>
        </w:rPr>
      </w:pPr>
      <w:r w:rsidRPr="00D6256A">
        <w:rPr>
          <w:rFonts w:ascii="Arial" w:hAnsi="Arial" w:cs="Arial"/>
          <w:b/>
          <w:bCs/>
          <w:sz w:val="21"/>
          <w:szCs w:val="21"/>
        </w:rPr>
        <w:t>Equipamento original</w:t>
      </w:r>
    </w:p>
    <w:p w14:paraId="6B56CAED" w14:textId="77777777" w:rsidR="00D6256A" w:rsidRPr="00D6256A" w:rsidRDefault="00D6256A" w:rsidP="00D6256A">
      <w:pPr>
        <w:tabs>
          <w:tab w:val="left" w:pos="360"/>
        </w:tabs>
        <w:spacing w:line="270" w:lineRule="atLeast"/>
        <w:jc w:val="both"/>
        <w:outlineLvl w:val="0"/>
        <w:rPr>
          <w:rFonts w:ascii="Arial" w:hAnsi="Arial" w:cs="Arial"/>
          <w:smallCaps/>
          <w:sz w:val="21"/>
          <w:szCs w:val="21"/>
          <w:u w:val="single"/>
        </w:rPr>
      </w:pPr>
    </w:p>
    <w:p w14:paraId="7BB3D4B0" w14:textId="77777777" w:rsidR="00B01F94" w:rsidRDefault="00C5001A" w:rsidP="00D6256A">
      <w:pPr>
        <w:numPr>
          <w:ilvl w:val="1"/>
          <w:numId w:val="17"/>
        </w:numPr>
        <w:ind w:left="1134" w:hanging="425"/>
        <w:jc w:val="both"/>
        <w:outlineLvl w:val="0"/>
        <w:rPr>
          <w:rFonts w:ascii="Arial" w:hAnsi="Arial" w:cs="Arial"/>
          <w:sz w:val="21"/>
          <w:szCs w:val="21"/>
        </w:rPr>
      </w:pPr>
      <w:r w:rsidRPr="00D6256A">
        <w:rPr>
          <w:rFonts w:ascii="Arial" w:hAnsi="Arial" w:cs="Arial"/>
          <w:sz w:val="21"/>
          <w:szCs w:val="21"/>
        </w:rPr>
        <w:t xml:space="preserve">O mercado europeu de equipamento original teve um crescimento global de 3 % durante o primeiro semestre, refletindo um aumento de 5 % na Europa ocidental, liderado por uma retoma na </w:t>
      </w:r>
      <w:r w:rsidR="00CE3A2A" w:rsidRPr="00D6256A">
        <w:rPr>
          <w:rFonts w:ascii="Arial" w:hAnsi="Arial" w:cs="Arial"/>
          <w:sz w:val="21"/>
          <w:szCs w:val="21"/>
        </w:rPr>
        <w:t>produção</w:t>
      </w:r>
      <w:r w:rsidRPr="00D6256A">
        <w:rPr>
          <w:rFonts w:ascii="Arial" w:hAnsi="Arial" w:cs="Arial"/>
          <w:sz w:val="21"/>
          <w:szCs w:val="21"/>
        </w:rPr>
        <w:t xml:space="preserve"> de fabricantes automóveis e uma queda de 22 % na Europa de leste, num ambiente económico e monetário persistentemente difícil.</w:t>
      </w:r>
    </w:p>
    <w:p w14:paraId="3CF36809" w14:textId="77777777" w:rsidR="00D6256A" w:rsidRPr="00D6256A" w:rsidRDefault="00D6256A" w:rsidP="00D6256A">
      <w:pPr>
        <w:ind w:left="1134"/>
        <w:jc w:val="both"/>
        <w:outlineLvl w:val="0"/>
        <w:rPr>
          <w:rFonts w:ascii="Arial" w:hAnsi="Arial" w:cs="Arial"/>
          <w:sz w:val="21"/>
          <w:szCs w:val="21"/>
        </w:rPr>
      </w:pPr>
    </w:p>
    <w:p w14:paraId="60EB0419" w14:textId="77777777" w:rsidR="00B01F94" w:rsidRDefault="00C5001A" w:rsidP="00B01F94">
      <w:pPr>
        <w:numPr>
          <w:ilvl w:val="1"/>
          <w:numId w:val="3"/>
        </w:numPr>
        <w:spacing w:after="60"/>
        <w:jc w:val="both"/>
        <w:rPr>
          <w:rFonts w:ascii="Arial" w:hAnsi="Arial" w:cs="Arial"/>
          <w:sz w:val="21"/>
          <w:szCs w:val="21"/>
        </w:rPr>
      </w:pPr>
      <w:r w:rsidRPr="00D6256A">
        <w:rPr>
          <w:rFonts w:ascii="Arial" w:hAnsi="Arial" w:cs="Arial"/>
          <w:sz w:val="21"/>
          <w:szCs w:val="21"/>
        </w:rPr>
        <w:t>O mercado norte-americano expandiu</w:t>
      </w:r>
      <w:r w:rsidR="00CE3A2A" w:rsidRPr="00D6256A">
        <w:rPr>
          <w:rFonts w:ascii="Arial" w:hAnsi="Arial" w:cs="Arial"/>
          <w:sz w:val="21"/>
          <w:szCs w:val="21"/>
        </w:rPr>
        <w:t>-se</w:t>
      </w:r>
      <w:r w:rsidRPr="00D6256A">
        <w:rPr>
          <w:rFonts w:ascii="Arial" w:hAnsi="Arial" w:cs="Arial"/>
          <w:sz w:val="21"/>
          <w:szCs w:val="21"/>
        </w:rPr>
        <w:t xml:space="preserve"> 3 % ao long</w:t>
      </w:r>
      <w:r w:rsidR="008239DC" w:rsidRPr="00D6256A">
        <w:rPr>
          <w:rFonts w:ascii="Arial" w:hAnsi="Arial" w:cs="Arial"/>
          <w:sz w:val="21"/>
          <w:szCs w:val="21"/>
        </w:rPr>
        <w:t>o desse período, em linha com a</w:t>
      </w:r>
      <w:r w:rsidRPr="00D6256A">
        <w:rPr>
          <w:rFonts w:ascii="Arial" w:hAnsi="Arial" w:cs="Arial"/>
          <w:sz w:val="21"/>
          <w:szCs w:val="21"/>
        </w:rPr>
        <w:t xml:space="preserve"> crescente procura de veículos, impulsionado pelos baixos preços de combustíveis, pelos termos de financiamento atrativos e pelas campanhas promocionais agressivas.</w:t>
      </w:r>
    </w:p>
    <w:p w14:paraId="33092353" w14:textId="77777777" w:rsidR="00D6256A" w:rsidRPr="00D6256A" w:rsidRDefault="00D6256A" w:rsidP="00D6256A">
      <w:pPr>
        <w:spacing w:after="60"/>
        <w:ind w:left="1080"/>
        <w:jc w:val="both"/>
        <w:rPr>
          <w:rFonts w:ascii="Arial" w:hAnsi="Arial" w:cs="Arial"/>
          <w:sz w:val="21"/>
          <w:szCs w:val="21"/>
        </w:rPr>
      </w:pPr>
    </w:p>
    <w:p w14:paraId="009D04BE" w14:textId="77777777" w:rsidR="00B01F94" w:rsidRDefault="00C5001A" w:rsidP="00B01F94">
      <w:pPr>
        <w:numPr>
          <w:ilvl w:val="1"/>
          <w:numId w:val="3"/>
        </w:numPr>
        <w:spacing w:after="60"/>
        <w:jc w:val="both"/>
        <w:rPr>
          <w:rFonts w:ascii="Arial" w:hAnsi="Arial" w:cs="Arial"/>
          <w:sz w:val="21"/>
          <w:szCs w:val="21"/>
        </w:rPr>
      </w:pPr>
      <w:r w:rsidRPr="00D6256A">
        <w:rPr>
          <w:rFonts w:ascii="Arial" w:hAnsi="Arial" w:cs="Arial"/>
          <w:sz w:val="21"/>
          <w:szCs w:val="21"/>
        </w:rPr>
        <w:t xml:space="preserve">Na Ásia (excluindo a Índia), a procura geral foi praticamente estável ao longo dos primeiros seis meses do ano. Apesar do abrandamento de junho, o mercado chinês terminou o período chegando aos 5 %, com um declínio no segmento de pneus </w:t>
      </w:r>
      <w:r w:rsidRPr="00D6256A">
        <w:rPr>
          <w:rFonts w:ascii="Arial" w:hAnsi="Arial" w:cs="Arial"/>
          <w:i/>
          <w:sz w:val="21"/>
          <w:szCs w:val="21"/>
        </w:rPr>
        <w:t>sedan</w:t>
      </w:r>
      <w:r w:rsidRPr="00D6256A">
        <w:rPr>
          <w:rFonts w:ascii="Arial" w:hAnsi="Arial" w:cs="Arial"/>
          <w:sz w:val="21"/>
          <w:szCs w:val="21"/>
        </w:rPr>
        <w:t xml:space="preserve"> e um crescimento sustentável no segmento dos SUV. Os outros mercados regionais continuaram a prosseguir uma trajetória descendente, perdendo 8 % ao longo do período, primariamente devido à queda da procura na Tailândia, mas também porque o mercado japonês passou novamente às tendências a longo prazo. Por outro lado, o número japonês refletiu a comparação com o primeiro semestre de 2014, quando o crescimento foi elevado pelas vendas antes de um aumento da taxa de IVA.</w:t>
      </w:r>
    </w:p>
    <w:p w14:paraId="22CB9B7B" w14:textId="77777777" w:rsidR="00D6256A" w:rsidRPr="00D6256A" w:rsidRDefault="00D6256A" w:rsidP="00D6256A">
      <w:pPr>
        <w:spacing w:after="60"/>
        <w:ind w:left="1080"/>
        <w:jc w:val="both"/>
        <w:rPr>
          <w:rFonts w:ascii="Arial" w:hAnsi="Arial" w:cs="Arial"/>
          <w:sz w:val="21"/>
          <w:szCs w:val="21"/>
        </w:rPr>
      </w:pPr>
    </w:p>
    <w:p w14:paraId="781888D6" w14:textId="77777777" w:rsidR="00B01F94" w:rsidRPr="00D6256A" w:rsidRDefault="00C5001A" w:rsidP="00B01F94">
      <w:pPr>
        <w:numPr>
          <w:ilvl w:val="1"/>
          <w:numId w:val="3"/>
        </w:numPr>
        <w:spacing w:after="60"/>
        <w:jc w:val="both"/>
        <w:rPr>
          <w:rFonts w:ascii="Arial" w:hAnsi="Arial" w:cs="Arial"/>
          <w:sz w:val="21"/>
          <w:szCs w:val="21"/>
        </w:rPr>
      </w:pPr>
      <w:r w:rsidRPr="00D6256A">
        <w:rPr>
          <w:rFonts w:ascii="Arial" w:hAnsi="Arial" w:cs="Arial"/>
          <w:sz w:val="21"/>
          <w:szCs w:val="21"/>
        </w:rPr>
        <w:t xml:space="preserve">Na América do Sul, o mercado recuou 14 % no primeiro semestre, arrastado pelo forte declínio </w:t>
      </w:r>
      <w:r w:rsidR="00CE3A2A" w:rsidRPr="00D6256A">
        <w:rPr>
          <w:rFonts w:ascii="Arial" w:hAnsi="Arial" w:cs="Arial"/>
          <w:sz w:val="21"/>
          <w:szCs w:val="21"/>
        </w:rPr>
        <w:t>na produção</w:t>
      </w:r>
      <w:r w:rsidRPr="00D6256A">
        <w:rPr>
          <w:rFonts w:ascii="Arial" w:hAnsi="Arial" w:cs="Arial"/>
          <w:sz w:val="21"/>
          <w:szCs w:val="21"/>
        </w:rPr>
        <w:t xml:space="preserve"> de automóveis, num ambiente económico diverso.</w:t>
      </w:r>
    </w:p>
    <w:p w14:paraId="60466633" w14:textId="77777777" w:rsidR="00B01F94" w:rsidRPr="00D6256A" w:rsidRDefault="00B01F94" w:rsidP="00B01F94">
      <w:pPr>
        <w:spacing w:after="60"/>
        <w:jc w:val="both"/>
        <w:rPr>
          <w:rFonts w:ascii="Arial" w:hAnsi="Arial" w:cs="Arial"/>
          <w:smallCaps/>
          <w:sz w:val="21"/>
          <w:szCs w:val="21"/>
          <w:u w:val="single"/>
        </w:rPr>
      </w:pPr>
    </w:p>
    <w:p w14:paraId="07CB9CB4" w14:textId="77777777" w:rsidR="00D6256A" w:rsidRDefault="00D6256A" w:rsidP="00D6256A">
      <w:pPr>
        <w:tabs>
          <w:tab w:val="left" w:pos="360"/>
        </w:tabs>
        <w:spacing w:line="270" w:lineRule="atLeast"/>
        <w:jc w:val="both"/>
        <w:outlineLvl w:val="0"/>
        <w:rPr>
          <w:rFonts w:ascii="Arial" w:hAnsi="Arial" w:cs="Arial"/>
          <w:b/>
          <w:bCs/>
          <w:sz w:val="21"/>
          <w:szCs w:val="21"/>
        </w:rPr>
      </w:pPr>
    </w:p>
    <w:p w14:paraId="294767A1" w14:textId="77777777" w:rsidR="00B01F94" w:rsidRDefault="00C5001A" w:rsidP="00D6256A">
      <w:pPr>
        <w:tabs>
          <w:tab w:val="left" w:pos="360"/>
        </w:tabs>
        <w:spacing w:line="270" w:lineRule="atLeast"/>
        <w:jc w:val="both"/>
        <w:outlineLvl w:val="0"/>
        <w:rPr>
          <w:rFonts w:ascii="Arial" w:hAnsi="Arial" w:cs="Arial"/>
          <w:b/>
          <w:bCs/>
          <w:sz w:val="21"/>
          <w:szCs w:val="21"/>
        </w:rPr>
      </w:pPr>
      <w:r w:rsidRPr="00D6256A">
        <w:rPr>
          <w:rFonts w:ascii="Arial" w:hAnsi="Arial" w:cs="Arial"/>
          <w:b/>
          <w:bCs/>
          <w:sz w:val="21"/>
          <w:szCs w:val="21"/>
        </w:rPr>
        <w:lastRenderedPageBreak/>
        <w:t>Substituição</w:t>
      </w:r>
    </w:p>
    <w:p w14:paraId="335F54D8" w14:textId="77777777" w:rsidR="00D6256A" w:rsidRPr="00D6256A" w:rsidRDefault="00D6256A" w:rsidP="00D6256A">
      <w:pPr>
        <w:tabs>
          <w:tab w:val="left" w:pos="360"/>
        </w:tabs>
        <w:spacing w:line="270" w:lineRule="atLeast"/>
        <w:jc w:val="both"/>
        <w:outlineLvl w:val="0"/>
        <w:rPr>
          <w:rFonts w:ascii="Arial" w:hAnsi="Arial" w:cs="Arial"/>
          <w:b/>
          <w:bCs/>
          <w:sz w:val="21"/>
          <w:szCs w:val="21"/>
        </w:rPr>
      </w:pPr>
    </w:p>
    <w:p w14:paraId="6B46B5A3" w14:textId="77777777" w:rsidR="00B01F94" w:rsidRDefault="00C5001A" w:rsidP="00B01F94">
      <w:pPr>
        <w:numPr>
          <w:ilvl w:val="1"/>
          <w:numId w:val="3"/>
        </w:numPr>
        <w:spacing w:after="60"/>
        <w:jc w:val="both"/>
        <w:rPr>
          <w:rFonts w:ascii="Arial" w:hAnsi="Arial" w:cs="Arial"/>
          <w:sz w:val="21"/>
          <w:szCs w:val="21"/>
        </w:rPr>
      </w:pPr>
      <w:r w:rsidRPr="00D6256A">
        <w:rPr>
          <w:rFonts w:ascii="Arial" w:hAnsi="Arial" w:cs="Arial"/>
          <w:sz w:val="21"/>
          <w:szCs w:val="21"/>
        </w:rPr>
        <w:t>O mercado europeu de pneus de substituição apresentou uma expansão geral de 3 %, face ao ano anterior, já forte. Na Europa Ocidental, as fortes vendas em junho, antes das anunciadas subidas de preços por toda a indústria, incitaram um ganho de 5 % ao longo do primeiro semestre, com declínios no Reino Unido e na Alemanha, e uma recuperação na Turquia e nos países do sul da Europa Central. O mercado da Europa de Leste continuou a contrair, perdendo 6 % devido à situação política e económica da Rússia e da Ucrânia.</w:t>
      </w:r>
    </w:p>
    <w:p w14:paraId="12B31FE2" w14:textId="77777777" w:rsidR="00D6256A" w:rsidRPr="00D6256A" w:rsidRDefault="00D6256A" w:rsidP="00D6256A">
      <w:pPr>
        <w:spacing w:after="60"/>
        <w:ind w:left="1080"/>
        <w:jc w:val="both"/>
        <w:rPr>
          <w:rFonts w:ascii="Arial" w:hAnsi="Arial" w:cs="Arial"/>
          <w:sz w:val="21"/>
          <w:szCs w:val="21"/>
        </w:rPr>
      </w:pPr>
    </w:p>
    <w:p w14:paraId="7CDAE9B4" w14:textId="77777777" w:rsidR="00B01F94" w:rsidRDefault="00C5001A" w:rsidP="00B01F94">
      <w:pPr>
        <w:numPr>
          <w:ilvl w:val="1"/>
          <w:numId w:val="3"/>
        </w:numPr>
        <w:spacing w:after="60"/>
        <w:jc w:val="both"/>
        <w:rPr>
          <w:rFonts w:ascii="Arial" w:hAnsi="Arial" w:cs="Arial"/>
          <w:sz w:val="21"/>
          <w:szCs w:val="21"/>
        </w:rPr>
      </w:pPr>
      <w:r w:rsidRPr="00D6256A">
        <w:rPr>
          <w:rFonts w:ascii="Arial" w:hAnsi="Arial" w:cs="Arial"/>
          <w:sz w:val="21"/>
          <w:szCs w:val="21"/>
        </w:rPr>
        <w:t xml:space="preserve">Na América do Norte, a procura dos EUA tem apresentado uma expansão constante desde o início do ano para pneus vendidos por membros da Associação de Fabricantes de Borracha (até 4 %), enquanto as importações chinesas estabilizaram no segundo trimestre, </w:t>
      </w:r>
      <w:r w:rsidR="008239DC" w:rsidRPr="00D6256A">
        <w:rPr>
          <w:rFonts w:ascii="Arial" w:hAnsi="Arial" w:cs="Arial"/>
          <w:sz w:val="21"/>
          <w:szCs w:val="21"/>
        </w:rPr>
        <w:t xml:space="preserve">quando </w:t>
      </w:r>
      <w:r w:rsidRPr="00D6256A">
        <w:rPr>
          <w:rFonts w:ascii="Arial" w:hAnsi="Arial" w:cs="Arial"/>
          <w:sz w:val="21"/>
          <w:szCs w:val="21"/>
        </w:rPr>
        <w:t xml:space="preserve">os revendedores reduziram o inventário. </w:t>
      </w:r>
    </w:p>
    <w:p w14:paraId="75449EF7" w14:textId="77777777" w:rsidR="00D6256A" w:rsidRPr="00D6256A" w:rsidRDefault="00D6256A" w:rsidP="00D6256A">
      <w:pPr>
        <w:spacing w:after="60"/>
        <w:ind w:left="1080"/>
        <w:jc w:val="both"/>
        <w:rPr>
          <w:rFonts w:ascii="Arial" w:hAnsi="Arial" w:cs="Arial"/>
          <w:sz w:val="21"/>
          <w:szCs w:val="21"/>
        </w:rPr>
      </w:pPr>
    </w:p>
    <w:p w14:paraId="64935E3E" w14:textId="77777777" w:rsidR="00B01F94" w:rsidRDefault="00C5001A" w:rsidP="00B01F94">
      <w:pPr>
        <w:pStyle w:val="Prrafodelista"/>
        <w:numPr>
          <w:ilvl w:val="1"/>
          <w:numId w:val="3"/>
        </w:numPr>
        <w:spacing w:after="60"/>
        <w:jc w:val="both"/>
        <w:rPr>
          <w:rFonts w:ascii="Arial" w:hAnsi="Arial" w:cs="Arial"/>
          <w:sz w:val="21"/>
          <w:szCs w:val="21"/>
        </w:rPr>
      </w:pPr>
      <w:r w:rsidRPr="00D6256A">
        <w:rPr>
          <w:rFonts w:ascii="Arial" w:hAnsi="Arial" w:cs="Arial"/>
          <w:sz w:val="21"/>
          <w:szCs w:val="21"/>
        </w:rPr>
        <w:t>A procura na Ásia (</w:t>
      </w:r>
      <w:r w:rsidR="00CE3A2A" w:rsidRPr="00D6256A">
        <w:rPr>
          <w:rFonts w:ascii="Arial" w:hAnsi="Arial" w:cs="Arial"/>
          <w:sz w:val="21"/>
          <w:szCs w:val="21"/>
        </w:rPr>
        <w:t>excluindo</w:t>
      </w:r>
      <w:r w:rsidRPr="00D6256A">
        <w:rPr>
          <w:rFonts w:ascii="Arial" w:hAnsi="Arial" w:cs="Arial"/>
          <w:sz w:val="21"/>
          <w:szCs w:val="21"/>
        </w:rPr>
        <w:t xml:space="preserve"> a Índia) contraiu ligeiramente, </w:t>
      </w:r>
      <w:r w:rsidR="00CE3A2A" w:rsidRPr="00D6256A">
        <w:rPr>
          <w:rFonts w:ascii="Arial" w:hAnsi="Arial" w:cs="Arial"/>
          <w:sz w:val="21"/>
          <w:szCs w:val="21"/>
        </w:rPr>
        <w:t xml:space="preserve">em geral </w:t>
      </w:r>
      <w:r w:rsidRPr="00D6256A">
        <w:rPr>
          <w:rFonts w:ascii="Arial" w:hAnsi="Arial" w:cs="Arial"/>
          <w:sz w:val="21"/>
          <w:szCs w:val="21"/>
        </w:rPr>
        <w:t>na ordem de 1 %. O mercado chinês gozou de maior dinamismo, ganhando 9 % ao longo do primeiro semestre. Porém, o crescimento</w:t>
      </w:r>
      <w:r w:rsidR="00CE3A2A" w:rsidRPr="00D6256A">
        <w:rPr>
          <w:rFonts w:ascii="Arial" w:hAnsi="Arial" w:cs="Arial"/>
          <w:sz w:val="21"/>
          <w:szCs w:val="21"/>
        </w:rPr>
        <w:t xml:space="preserve"> ano após ano</w:t>
      </w:r>
      <w:r w:rsidRPr="00D6256A">
        <w:rPr>
          <w:rFonts w:ascii="Arial" w:hAnsi="Arial" w:cs="Arial"/>
          <w:sz w:val="21"/>
          <w:szCs w:val="21"/>
        </w:rPr>
        <w:t xml:space="preserve"> foi sendo cada vez mais lento no primeiro trimestre</w:t>
      </w:r>
      <w:r w:rsidR="00CE3A2A" w:rsidRPr="00D6256A">
        <w:rPr>
          <w:rFonts w:ascii="Arial" w:hAnsi="Arial" w:cs="Arial"/>
          <w:sz w:val="21"/>
          <w:szCs w:val="21"/>
        </w:rPr>
        <w:t>, em relação</w:t>
      </w:r>
      <w:r w:rsidRPr="00D6256A">
        <w:rPr>
          <w:rFonts w:ascii="Arial" w:hAnsi="Arial" w:cs="Arial"/>
          <w:sz w:val="21"/>
          <w:szCs w:val="21"/>
        </w:rPr>
        <w:t xml:space="preserve"> </w:t>
      </w:r>
      <w:r w:rsidR="00CE3A2A" w:rsidRPr="00D6256A">
        <w:rPr>
          <w:rFonts w:ascii="Arial" w:hAnsi="Arial" w:cs="Arial"/>
          <w:sz w:val="21"/>
          <w:szCs w:val="21"/>
        </w:rPr>
        <w:t>a</w:t>
      </w:r>
      <w:r w:rsidRPr="00D6256A">
        <w:rPr>
          <w:rFonts w:ascii="Arial" w:hAnsi="Arial" w:cs="Arial"/>
          <w:sz w:val="21"/>
          <w:szCs w:val="21"/>
        </w:rPr>
        <w:t xml:space="preserve">os anos anteriores, começando a 5 % antes da subida de 11 % no segundo trimestre, elevada por comparativos favoráveis do ano anterior, num clima de profunda incerteza, exacerbado pelas atuais condições do mercado bolsista. A procura no resto da região diminuiu uns ainda </w:t>
      </w:r>
      <w:r w:rsidR="00CE3A2A" w:rsidRPr="00D6256A">
        <w:rPr>
          <w:rFonts w:ascii="Arial" w:hAnsi="Arial" w:cs="Arial"/>
          <w:sz w:val="21"/>
          <w:szCs w:val="21"/>
        </w:rPr>
        <w:t xml:space="preserve">uns </w:t>
      </w:r>
      <w:r w:rsidRPr="00D6256A">
        <w:rPr>
          <w:rFonts w:ascii="Arial" w:hAnsi="Arial" w:cs="Arial"/>
          <w:sz w:val="21"/>
          <w:szCs w:val="21"/>
        </w:rPr>
        <w:t xml:space="preserve">limitados 2 %, ainda que os mercados indonésio e </w:t>
      </w:r>
      <w:proofErr w:type="spellStart"/>
      <w:r w:rsidRPr="00D6256A">
        <w:rPr>
          <w:rFonts w:ascii="Arial" w:hAnsi="Arial" w:cs="Arial"/>
          <w:sz w:val="21"/>
          <w:szCs w:val="21"/>
        </w:rPr>
        <w:t>malásio</w:t>
      </w:r>
      <w:proofErr w:type="spellEnd"/>
      <w:r w:rsidRPr="00D6256A">
        <w:rPr>
          <w:rFonts w:ascii="Arial" w:hAnsi="Arial" w:cs="Arial"/>
          <w:sz w:val="21"/>
          <w:szCs w:val="21"/>
        </w:rPr>
        <w:t xml:space="preserve"> se tenham saído melhor. O Japão observou uma contração de 6 % devido à comparação com o primeiro semestre de 2014, que beneficiou de compras realizadas antes do aumento do IVA no dia 1 de abril.</w:t>
      </w:r>
    </w:p>
    <w:p w14:paraId="04935BC0" w14:textId="77777777" w:rsidR="00D6256A" w:rsidRPr="00D6256A" w:rsidRDefault="00D6256A" w:rsidP="00D6256A">
      <w:pPr>
        <w:pStyle w:val="Prrafodelista"/>
        <w:spacing w:after="60"/>
        <w:ind w:left="1080"/>
        <w:jc w:val="both"/>
        <w:rPr>
          <w:rFonts w:ascii="Arial" w:hAnsi="Arial" w:cs="Arial"/>
          <w:sz w:val="21"/>
          <w:szCs w:val="21"/>
        </w:rPr>
      </w:pPr>
    </w:p>
    <w:p w14:paraId="24338575" w14:textId="77777777" w:rsidR="00B01F94" w:rsidRPr="00D6256A" w:rsidRDefault="00C5001A" w:rsidP="00B01F94">
      <w:pPr>
        <w:numPr>
          <w:ilvl w:val="1"/>
          <w:numId w:val="3"/>
        </w:numPr>
        <w:spacing w:after="60"/>
        <w:jc w:val="both"/>
        <w:rPr>
          <w:rFonts w:ascii="Arial" w:hAnsi="Arial" w:cs="Arial"/>
          <w:sz w:val="21"/>
          <w:szCs w:val="21"/>
        </w:rPr>
      </w:pPr>
      <w:r w:rsidRPr="00D6256A">
        <w:rPr>
          <w:rFonts w:ascii="Arial" w:hAnsi="Arial" w:cs="Arial"/>
          <w:sz w:val="21"/>
          <w:szCs w:val="21"/>
        </w:rPr>
        <w:t xml:space="preserve">A procura na América do Sul aumentou 3 % num ambiente económico e político diverso. Os mercados melhoraram na Colômbia, no Chile, na América Central e nas Caraíbas, mas estabilizaram no Brasil, com poucos quilómetros percorridos e menores importações. A procura recuou na Argentina e na Venezuela. </w:t>
      </w:r>
    </w:p>
    <w:p w14:paraId="67938F86" w14:textId="77777777" w:rsidR="00B01F94" w:rsidRPr="00D6256A" w:rsidRDefault="00B01F94" w:rsidP="00B01F94">
      <w:pPr>
        <w:spacing w:after="60"/>
        <w:ind w:left="1080"/>
        <w:jc w:val="both"/>
        <w:rPr>
          <w:rFonts w:ascii="Arial" w:hAnsi="Arial" w:cs="Arial"/>
          <w:sz w:val="21"/>
          <w:szCs w:val="21"/>
        </w:rPr>
      </w:pPr>
    </w:p>
    <w:p w14:paraId="22F60676" w14:textId="77777777" w:rsidR="0029325C" w:rsidRPr="00D6256A" w:rsidRDefault="00D6256A" w:rsidP="00D6256A">
      <w:pPr>
        <w:keepNext/>
        <w:tabs>
          <w:tab w:val="left" w:pos="284"/>
        </w:tabs>
        <w:ind w:left="360"/>
        <w:jc w:val="both"/>
        <w:rPr>
          <w:rFonts w:ascii="Arial" w:hAnsi="Arial" w:cs="Arial"/>
          <w:sz w:val="21"/>
          <w:szCs w:val="21"/>
        </w:rPr>
      </w:pPr>
      <w:proofErr w:type="spellStart"/>
      <w:r w:rsidRPr="00D6256A">
        <w:rPr>
          <w:rFonts w:ascii="Times" w:eastAsia="Arial Unicode MS" w:hAnsi="Times"/>
          <w:b/>
          <w:bCs/>
          <w:color w:val="000000"/>
          <w:sz w:val="26"/>
          <w:szCs w:val="26"/>
          <w:u w:color="000000"/>
          <w:lang w:val="es-ES_tradnl" w:eastAsia="en-US"/>
        </w:rPr>
        <w:t>Pneus</w:t>
      </w:r>
      <w:proofErr w:type="spellEnd"/>
      <w:r w:rsidRPr="00D6256A">
        <w:rPr>
          <w:rFonts w:ascii="Times" w:eastAsia="Arial Unicode MS" w:hAnsi="Times"/>
          <w:b/>
          <w:bCs/>
          <w:color w:val="000000"/>
          <w:sz w:val="26"/>
          <w:szCs w:val="26"/>
          <w:u w:color="000000"/>
          <w:lang w:val="es-ES_tradnl" w:eastAsia="en-US"/>
        </w:rPr>
        <w:t xml:space="preserve"> de </w:t>
      </w:r>
      <w:proofErr w:type="spellStart"/>
      <w:r w:rsidRPr="00D6256A">
        <w:rPr>
          <w:rFonts w:ascii="Times" w:eastAsia="Arial Unicode MS" w:hAnsi="Times"/>
          <w:b/>
          <w:bCs/>
          <w:color w:val="000000"/>
          <w:sz w:val="26"/>
          <w:szCs w:val="26"/>
          <w:u w:color="000000"/>
          <w:lang w:val="es-ES_tradnl" w:eastAsia="en-US"/>
        </w:rPr>
        <w:t>camião</w:t>
      </w:r>
      <w:proofErr w:type="spellEnd"/>
      <w:r w:rsidR="0029325C" w:rsidRPr="00D6256A">
        <w:rPr>
          <w:rFonts w:ascii="Arial" w:hAnsi="Arial" w:cs="Arial"/>
          <w:sz w:val="21"/>
          <w:szCs w:val="21"/>
        </w:rPr>
        <w:t xml:space="preserve"> </w:t>
      </w:r>
      <w:r w:rsidR="0029325C" w:rsidRPr="00026F95">
        <w:rPr>
          <w:rFonts w:ascii="Arial" w:hAnsi="Arial" w:cs="Arial"/>
          <w:sz w:val="18"/>
          <w:szCs w:val="18"/>
        </w:rPr>
        <w:t>(radiais e diagonais)</w:t>
      </w:r>
    </w:p>
    <w:p w14:paraId="53629D3B" w14:textId="77777777" w:rsidR="0029325C" w:rsidRPr="0029325C" w:rsidRDefault="0029325C" w:rsidP="0029325C">
      <w:pPr>
        <w:pStyle w:val="Prrafodelista"/>
        <w:keepNext/>
        <w:tabs>
          <w:tab w:val="left" w:pos="284"/>
        </w:tabs>
        <w:ind w:left="360"/>
        <w:jc w:val="both"/>
        <w:rPr>
          <w:rFonts w:ascii="Verdana" w:hAnsi="Verdana"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1275"/>
        <w:gridCol w:w="1418"/>
        <w:gridCol w:w="1276"/>
        <w:gridCol w:w="1275"/>
        <w:gridCol w:w="1276"/>
      </w:tblGrid>
      <w:tr w:rsidR="0029325C" w:rsidRPr="0029325C" w14:paraId="06785AA5" w14:textId="77777777" w:rsidTr="00E44156">
        <w:tc>
          <w:tcPr>
            <w:tcW w:w="2093" w:type="dxa"/>
            <w:shd w:val="clear" w:color="auto" w:fill="E6E6E6"/>
          </w:tcPr>
          <w:p w14:paraId="0936BB66" w14:textId="77777777" w:rsidR="0029325C" w:rsidRPr="0029325C" w:rsidRDefault="0029325C" w:rsidP="00E44156">
            <w:pPr>
              <w:tabs>
                <w:tab w:val="left" w:pos="284"/>
              </w:tabs>
              <w:jc w:val="center"/>
              <w:rPr>
                <w:rFonts w:ascii="Arial" w:eastAsia="MS Mincho" w:hAnsi="Arial" w:cs="Arial"/>
                <w:b/>
                <w:snapToGrid w:val="0"/>
                <w:sz w:val="15"/>
                <w:szCs w:val="15"/>
              </w:rPr>
            </w:pPr>
            <w:r w:rsidRPr="0029325C">
              <w:rPr>
                <w:rFonts w:ascii="Arial" w:hAnsi="Arial"/>
                <w:b/>
                <w:snapToGrid w:val="0"/>
                <w:sz w:val="15"/>
              </w:rPr>
              <w:t>Primeira metade 2015</w:t>
            </w:r>
          </w:p>
          <w:p w14:paraId="13BFFF2A" w14:textId="77777777" w:rsidR="0029325C" w:rsidRPr="0029325C" w:rsidRDefault="0029325C" w:rsidP="00E44156">
            <w:pPr>
              <w:tabs>
                <w:tab w:val="left" w:pos="284"/>
              </w:tabs>
              <w:jc w:val="center"/>
              <w:rPr>
                <w:rFonts w:ascii="Arial" w:eastAsia="MS Mincho" w:hAnsi="Arial" w:cs="Arial"/>
                <w:snapToGrid w:val="0"/>
                <w:sz w:val="15"/>
                <w:szCs w:val="15"/>
              </w:rPr>
            </w:pPr>
            <w:r w:rsidRPr="0029325C">
              <w:rPr>
                <w:rFonts w:ascii="Arial" w:hAnsi="Arial"/>
                <w:snapToGrid w:val="0"/>
                <w:sz w:val="15"/>
              </w:rPr>
              <w:t>Ano a ano</w:t>
            </w:r>
          </w:p>
          <w:p w14:paraId="47ACB032" w14:textId="77777777" w:rsidR="0029325C" w:rsidRPr="0029325C" w:rsidRDefault="0029325C" w:rsidP="00E44156">
            <w:pPr>
              <w:keepNext/>
              <w:tabs>
                <w:tab w:val="left" w:pos="284"/>
              </w:tabs>
              <w:jc w:val="center"/>
              <w:rPr>
                <w:rFonts w:ascii="Arial" w:eastAsia="MS Mincho" w:hAnsi="Arial" w:cs="Arial"/>
                <w:b/>
                <w:snapToGrid w:val="0"/>
                <w:sz w:val="18"/>
                <w:szCs w:val="18"/>
                <w:vertAlign w:val="superscript"/>
              </w:rPr>
            </w:pPr>
            <w:r w:rsidRPr="0029325C">
              <w:rPr>
                <w:rFonts w:ascii="Arial" w:hAnsi="Arial"/>
                <w:b/>
                <w:snapToGrid w:val="0"/>
                <w:sz w:val="18"/>
                <w:vertAlign w:val="superscript"/>
              </w:rPr>
              <w:t xml:space="preserve"> (em número de pneus)</w:t>
            </w:r>
          </w:p>
        </w:tc>
        <w:tc>
          <w:tcPr>
            <w:tcW w:w="1276" w:type="dxa"/>
            <w:shd w:val="clear" w:color="auto" w:fill="E6E6E6"/>
          </w:tcPr>
          <w:p w14:paraId="46F04202" w14:textId="77777777" w:rsidR="0029325C" w:rsidRPr="0029325C" w:rsidRDefault="0029325C" w:rsidP="00E44156">
            <w:pPr>
              <w:keepNext/>
              <w:tabs>
                <w:tab w:val="left" w:pos="284"/>
              </w:tabs>
              <w:jc w:val="center"/>
              <w:rPr>
                <w:rFonts w:ascii="Arial" w:eastAsia="MS Mincho" w:hAnsi="Arial" w:cs="Arial"/>
                <w:b/>
                <w:bCs/>
                <w:smallCaps/>
                <w:snapToGrid w:val="0"/>
                <w:sz w:val="18"/>
                <w:szCs w:val="18"/>
              </w:rPr>
            </w:pPr>
            <w:r w:rsidRPr="0029325C">
              <w:rPr>
                <w:rFonts w:ascii="Arial" w:hAnsi="Arial"/>
                <w:b/>
                <w:smallCaps/>
                <w:snapToGrid w:val="0"/>
                <w:sz w:val="18"/>
              </w:rPr>
              <w:t>Europa*</w:t>
            </w:r>
          </w:p>
        </w:tc>
        <w:tc>
          <w:tcPr>
            <w:tcW w:w="1275" w:type="dxa"/>
            <w:shd w:val="clear" w:color="auto" w:fill="E6E6E6"/>
          </w:tcPr>
          <w:p w14:paraId="0A212A63" w14:textId="77777777" w:rsidR="0029325C" w:rsidRPr="0029325C" w:rsidRDefault="0029325C" w:rsidP="00E44156">
            <w:pPr>
              <w:keepNext/>
              <w:tabs>
                <w:tab w:val="left" w:pos="284"/>
              </w:tabs>
              <w:jc w:val="center"/>
              <w:rPr>
                <w:rFonts w:ascii="Arial" w:eastAsia="MS Mincho" w:hAnsi="Arial" w:cs="Arial"/>
                <w:b/>
                <w:smallCaps/>
                <w:snapToGrid w:val="0"/>
                <w:sz w:val="18"/>
                <w:szCs w:val="18"/>
              </w:rPr>
            </w:pPr>
            <w:r w:rsidRPr="0029325C">
              <w:rPr>
                <w:rFonts w:ascii="Arial" w:hAnsi="Arial"/>
                <w:b/>
                <w:smallCaps/>
                <w:snapToGrid w:val="0"/>
                <w:sz w:val="18"/>
              </w:rPr>
              <w:t>América do norte</w:t>
            </w:r>
          </w:p>
        </w:tc>
        <w:tc>
          <w:tcPr>
            <w:tcW w:w="1418" w:type="dxa"/>
            <w:shd w:val="clear" w:color="auto" w:fill="E6E6E6"/>
          </w:tcPr>
          <w:p w14:paraId="3563BB68" w14:textId="77777777" w:rsidR="0029325C" w:rsidRPr="0029325C" w:rsidRDefault="0029325C" w:rsidP="00E44156">
            <w:pPr>
              <w:keepNext/>
              <w:tabs>
                <w:tab w:val="left" w:pos="284"/>
              </w:tabs>
              <w:jc w:val="center"/>
              <w:rPr>
                <w:rFonts w:ascii="Arial" w:eastAsia="MS Mincho" w:hAnsi="Arial" w:cs="Arial"/>
                <w:b/>
                <w:bCs/>
                <w:smallCaps/>
                <w:snapToGrid w:val="0"/>
                <w:sz w:val="18"/>
                <w:szCs w:val="18"/>
              </w:rPr>
            </w:pPr>
            <w:r w:rsidRPr="0029325C">
              <w:rPr>
                <w:rFonts w:ascii="Arial" w:hAnsi="Arial"/>
                <w:b/>
                <w:smallCaps/>
                <w:snapToGrid w:val="0"/>
                <w:sz w:val="18"/>
              </w:rPr>
              <w:t>Ásia</w:t>
            </w:r>
          </w:p>
          <w:p w14:paraId="4E195B66" w14:textId="77777777" w:rsidR="0029325C" w:rsidRPr="0029325C" w:rsidRDefault="0029325C" w:rsidP="00E44156">
            <w:pPr>
              <w:keepNext/>
              <w:tabs>
                <w:tab w:val="left" w:pos="284"/>
              </w:tabs>
              <w:jc w:val="center"/>
              <w:rPr>
                <w:rFonts w:ascii="Arial" w:eastAsia="MS Mincho" w:hAnsi="Arial" w:cs="Arial"/>
                <w:b/>
                <w:bCs/>
                <w:smallCaps/>
                <w:snapToGrid w:val="0"/>
                <w:sz w:val="18"/>
                <w:szCs w:val="18"/>
              </w:rPr>
            </w:pPr>
            <w:r w:rsidRPr="0029325C">
              <w:rPr>
                <w:rFonts w:ascii="Arial" w:hAnsi="Arial"/>
                <w:b/>
                <w:smallCaps/>
                <w:snapToGrid w:val="0"/>
                <w:sz w:val="18"/>
              </w:rPr>
              <w:t>(excluindo Índia)</w:t>
            </w:r>
          </w:p>
        </w:tc>
        <w:tc>
          <w:tcPr>
            <w:tcW w:w="1276" w:type="dxa"/>
            <w:shd w:val="clear" w:color="auto" w:fill="E6E6E6"/>
          </w:tcPr>
          <w:p w14:paraId="3DD430FF" w14:textId="77777777" w:rsidR="0029325C" w:rsidRPr="0029325C" w:rsidRDefault="0029325C" w:rsidP="00E44156">
            <w:pPr>
              <w:keepNext/>
              <w:tabs>
                <w:tab w:val="left" w:pos="284"/>
              </w:tabs>
              <w:jc w:val="center"/>
              <w:rPr>
                <w:rFonts w:ascii="Arial" w:eastAsia="MS Mincho" w:hAnsi="Arial" w:cs="Arial"/>
                <w:b/>
                <w:smallCaps/>
                <w:snapToGrid w:val="0"/>
                <w:sz w:val="18"/>
                <w:szCs w:val="18"/>
              </w:rPr>
            </w:pPr>
            <w:r w:rsidRPr="0029325C">
              <w:rPr>
                <w:rFonts w:ascii="Arial" w:hAnsi="Arial"/>
                <w:b/>
                <w:smallCaps/>
                <w:snapToGrid w:val="0"/>
                <w:sz w:val="18"/>
              </w:rPr>
              <w:t xml:space="preserve"> América do sul</w:t>
            </w:r>
          </w:p>
        </w:tc>
        <w:tc>
          <w:tcPr>
            <w:tcW w:w="1275" w:type="dxa"/>
            <w:shd w:val="clear" w:color="auto" w:fill="E6E6E6"/>
          </w:tcPr>
          <w:p w14:paraId="1068716B" w14:textId="77777777" w:rsidR="0029325C" w:rsidRPr="0029325C" w:rsidRDefault="0029325C" w:rsidP="00E44156">
            <w:pPr>
              <w:keepNext/>
              <w:tabs>
                <w:tab w:val="left" w:pos="284"/>
              </w:tabs>
              <w:jc w:val="center"/>
              <w:rPr>
                <w:rFonts w:ascii="Arial" w:eastAsia="MS Mincho" w:hAnsi="Arial" w:cs="Arial"/>
                <w:b/>
                <w:smallCaps/>
                <w:snapToGrid w:val="0"/>
                <w:sz w:val="18"/>
                <w:szCs w:val="18"/>
              </w:rPr>
            </w:pPr>
            <w:r w:rsidRPr="0029325C">
              <w:rPr>
                <w:rFonts w:ascii="Arial" w:hAnsi="Arial"/>
                <w:b/>
                <w:smallCaps/>
                <w:snapToGrid w:val="0"/>
                <w:sz w:val="18"/>
              </w:rPr>
              <w:t>África/Índia/médio oriente</w:t>
            </w:r>
          </w:p>
        </w:tc>
        <w:tc>
          <w:tcPr>
            <w:tcW w:w="1276" w:type="dxa"/>
            <w:shd w:val="clear" w:color="auto" w:fill="E6E6E6"/>
          </w:tcPr>
          <w:p w14:paraId="11D3D3FD" w14:textId="77777777" w:rsidR="0029325C" w:rsidRPr="0029325C" w:rsidRDefault="0029325C" w:rsidP="00E44156">
            <w:pPr>
              <w:keepNext/>
              <w:tabs>
                <w:tab w:val="left" w:pos="1026"/>
              </w:tabs>
              <w:ind w:right="-108"/>
              <w:jc w:val="center"/>
              <w:rPr>
                <w:rFonts w:ascii="Arial" w:eastAsia="MS Mincho" w:hAnsi="Arial" w:cs="Arial"/>
                <w:b/>
                <w:smallCaps/>
                <w:snapToGrid w:val="0"/>
                <w:sz w:val="18"/>
                <w:szCs w:val="18"/>
              </w:rPr>
            </w:pPr>
            <w:r w:rsidRPr="0029325C">
              <w:rPr>
                <w:rFonts w:ascii="Arial" w:hAnsi="Arial"/>
                <w:b/>
                <w:smallCaps/>
                <w:snapToGrid w:val="0"/>
                <w:sz w:val="18"/>
              </w:rPr>
              <w:t>Total</w:t>
            </w:r>
          </w:p>
        </w:tc>
      </w:tr>
      <w:tr w:rsidR="0029325C" w:rsidRPr="0029325C" w14:paraId="465CF568" w14:textId="77777777" w:rsidTr="00E44156">
        <w:tc>
          <w:tcPr>
            <w:tcW w:w="2093" w:type="dxa"/>
          </w:tcPr>
          <w:p w14:paraId="523A153A" w14:textId="77777777" w:rsidR="0029325C" w:rsidRPr="0029325C" w:rsidRDefault="0029325C" w:rsidP="00E44156">
            <w:pPr>
              <w:keepNext/>
              <w:tabs>
                <w:tab w:val="left" w:pos="284"/>
              </w:tabs>
              <w:rPr>
                <w:rFonts w:ascii="Arial" w:eastAsia="MS Mincho" w:hAnsi="Arial" w:cs="Arial"/>
                <w:bCs/>
                <w:smallCaps/>
                <w:snapToGrid w:val="0"/>
                <w:sz w:val="18"/>
                <w:szCs w:val="18"/>
              </w:rPr>
            </w:pPr>
          </w:p>
          <w:p w14:paraId="194D2F22" w14:textId="77777777" w:rsidR="0029325C" w:rsidRPr="0029325C" w:rsidRDefault="0029325C" w:rsidP="00E44156">
            <w:pPr>
              <w:keepNext/>
              <w:tabs>
                <w:tab w:val="left" w:pos="284"/>
              </w:tabs>
              <w:jc w:val="center"/>
              <w:rPr>
                <w:rFonts w:ascii="Verdana" w:eastAsia="MS Mincho" w:hAnsi="Verdana" w:cs="Arial"/>
                <w:bCs/>
                <w:snapToGrid w:val="0"/>
                <w:sz w:val="18"/>
                <w:szCs w:val="18"/>
              </w:rPr>
            </w:pPr>
            <w:r w:rsidRPr="0029325C">
              <w:rPr>
                <w:rFonts w:ascii="Verdana" w:hAnsi="Verdana"/>
                <w:snapToGrid w:val="0"/>
                <w:sz w:val="18"/>
              </w:rPr>
              <w:t xml:space="preserve">Equipamento original  </w:t>
            </w:r>
          </w:p>
          <w:p w14:paraId="4115F5C1" w14:textId="77777777" w:rsidR="0029325C" w:rsidRPr="0029325C" w:rsidRDefault="0029325C" w:rsidP="00E44156">
            <w:pPr>
              <w:keepNext/>
              <w:tabs>
                <w:tab w:val="left" w:pos="284"/>
              </w:tabs>
              <w:jc w:val="center"/>
              <w:rPr>
                <w:rFonts w:ascii="Verdana" w:eastAsia="MS Mincho" w:hAnsi="Verdana" w:cs="Arial"/>
                <w:bCs/>
                <w:snapToGrid w:val="0"/>
                <w:sz w:val="18"/>
                <w:szCs w:val="18"/>
              </w:rPr>
            </w:pPr>
          </w:p>
          <w:p w14:paraId="0281D51E" w14:textId="77777777" w:rsidR="0029325C" w:rsidRPr="0029325C" w:rsidRDefault="0029325C" w:rsidP="00E44156">
            <w:pPr>
              <w:keepNext/>
              <w:tabs>
                <w:tab w:val="left" w:pos="284"/>
              </w:tabs>
              <w:jc w:val="center"/>
              <w:rPr>
                <w:rFonts w:ascii="Verdana" w:eastAsia="MS Mincho" w:hAnsi="Verdana" w:cs="Arial"/>
                <w:bCs/>
                <w:snapToGrid w:val="0"/>
                <w:sz w:val="18"/>
                <w:szCs w:val="18"/>
              </w:rPr>
            </w:pPr>
            <w:r w:rsidRPr="0029325C">
              <w:rPr>
                <w:rFonts w:ascii="Verdana" w:hAnsi="Verdana"/>
                <w:snapToGrid w:val="0"/>
                <w:sz w:val="18"/>
              </w:rPr>
              <w:t xml:space="preserve">Substituição </w:t>
            </w:r>
          </w:p>
          <w:p w14:paraId="49D997DF" w14:textId="77777777" w:rsidR="0029325C" w:rsidRPr="0029325C" w:rsidRDefault="0029325C" w:rsidP="00E44156">
            <w:pPr>
              <w:keepNext/>
              <w:tabs>
                <w:tab w:val="left" w:pos="284"/>
              </w:tabs>
              <w:jc w:val="center"/>
              <w:rPr>
                <w:rFonts w:ascii="Arial" w:eastAsia="MS Mincho" w:hAnsi="Arial" w:cs="Arial"/>
                <w:snapToGrid w:val="0"/>
                <w:sz w:val="18"/>
                <w:szCs w:val="18"/>
              </w:rPr>
            </w:pPr>
          </w:p>
        </w:tc>
        <w:tc>
          <w:tcPr>
            <w:tcW w:w="1276" w:type="dxa"/>
          </w:tcPr>
          <w:p w14:paraId="3BA413CA"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20980BB2"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+4%</w:t>
            </w:r>
          </w:p>
          <w:p w14:paraId="040560F1"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5D64B6A5"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-3%</w:t>
            </w:r>
          </w:p>
        </w:tc>
        <w:tc>
          <w:tcPr>
            <w:tcW w:w="1275" w:type="dxa"/>
          </w:tcPr>
          <w:p w14:paraId="7BBFC183"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066FBC2C"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+17%</w:t>
            </w:r>
          </w:p>
          <w:p w14:paraId="0792A7F3"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2041BF17"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+5%</w:t>
            </w:r>
          </w:p>
        </w:tc>
        <w:tc>
          <w:tcPr>
            <w:tcW w:w="1418" w:type="dxa"/>
          </w:tcPr>
          <w:p w14:paraId="154C9679"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36354D84"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-23%</w:t>
            </w:r>
          </w:p>
          <w:p w14:paraId="35EB8537"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276254AA"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-4%</w:t>
            </w:r>
          </w:p>
        </w:tc>
        <w:tc>
          <w:tcPr>
            <w:tcW w:w="1276" w:type="dxa"/>
          </w:tcPr>
          <w:p w14:paraId="0256D4C1"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582C9F2B"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-42%</w:t>
            </w:r>
          </w:p>
          <w:p w14:paraId="42E31129"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1C1628E4"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-5%</w:t>
            </w:r>
          </w:p>
        </w:tc>
        <w:tc>
          <w:tcPr>
            <w:tcW w:w="1275" w:type="dxa"/>
          </w:tcPr>
          <w:p w14:paraId="192B61E3"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3056F7A4"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+15%</w:t>
            </w:r>
          </w:p>
          <w:p w14:paraId="13670E92" w14:textId="77777777" w:rsidR="0029325C" w:rsidRPr="0029325C" w:rsidRDefault="0029325C" w:rsidP="00E44156">
            <w:pPr>
              <w:keepNext/>
              <w:tabs>
                <w:tab w:val="left" w:pos="284"/>
              </w:tabs>
              <w:jc w:val="center"/>
              <w:rPr>
                <w:rFonts w:ascii="Verdana" w:eastAsia="MS Mincho" w:hAnsi="Verdana" w:cs="Arial"/>
                <w:b/>
                <w:snapToGrid w:val="0"/>
                <w:sz w:val="18"/>
                <w:szCs w:val="18"/>
              </w:rPr>
            </w:pPr>
          </w:p>
          <w:p w14:paraId="73A6AF28" w14:textId="77777777" w:rsidR="0029325C" w:rsidRPr="0029325C" w:rsidRDefault="0029325C" w:rsidP="00E44156">
            <w:pPr>
              <w:keepNext/>
              <w:tabs>
                <w:tab w:val="left" w:pos="284"/>
              </w:tabs>
              <w:jc w:val="center"/>
              <w:rPr>
                <w:rFonts w:ascii="Verdana" w:eastAsia="MS Mincho" w:hAnsi="Verdana" w:cs="Arial"/>
                <w:b/>
                <w:snapToGrid w:val="0"/>
                <w:sz w:val="18"/>
                <w:szCs w:val="18"/>
              </w:rPr>
            </w:pPr>
            <w:r w:rsidRPr="0029325C">
              <w:rPr>
                <w:rFonts w:ascii="Verdana" w:hAnsi="Verdana"/>
                <w:b/>
                <w:snapToGrid w:val="0"/>
                <w:sz w:val="18"/>
              </w:rPr>
              <w:t>+2%</w:t>
            </w:r>
          </w:p>
        </w:tc>
        <w:tc>
          <w:tcPr>
            <w:tcW w:w="1276" w:type="dxa"/>
          </w:tcPr>
          <w:p w14:paraId="5C9A939B" w14:textId="77777777" w:rsidR="0029325C" w:rsidRPr="0029325C" w:rsidRDefault="0029325C" w:rsidP="00E44156">
            <w:pPr>
              <w:keepNext/>
              <w:tabs>
                <w:tab w:val="left" w:pos="1168"/>
              </w:tabs>
              <w:ind w:right="-108"/>
              <w:jc w:val="center"/>
              <w:rPr>
                <w:rFonts w:ascii="Verdana" w:eastAsia="MS Mincho" w:hAnsi="Verdana" w:cs="Arial"/>
                <w:b/>
                <w:snapToGrid w:val="0"/>
                <w:sz w:val="18"/>
                <w:szCs w:val="18"/>
              </w:rPr>
            </w:pPr>
          </w:p>
          <w:p w14:paraId="311D87BD" w14:textId="77777777" w:rsidR="0029325C" w:rsidRPr="0029325C" w:rsidRDefault="0029325C" w:rsidP="00E44156">
            <w:pPr>
              <w:keepNext/>
              <w:tabs>
                <w:tab w:val="left" w:pos="1168"/>
              </w:tabs>
              <w:ind w:right="-108"/>
              <w:jc w:val="center"/>
              <w:rPr>
                <w:rFonts w:ascii="Verdana" w:eastAsia="MS Mincho" w:hAnsi="Verdana" w:cs="Arial"/>
                <w:b/>
                <w:snapToGrid w:val="0"/>
                <w:sz w:val="18"/>
                <w:szCs w:val="18"/>
              </w:rPr>
            </w:pPr>
            <w:r w:rsidRPr="0029325C">
              <w:rPr>
                <w:rFonts w:ascii="Verdana" w:hAnsi="Verdana"/>
                <w:b/>
                <w:snapToGrid w:val="0"/>
                <w:sz w:val="18"/>
              </w:rPr>
              <w:t>-8%</w:t>
            </w:r>
          </w:p>
          <w:p w14:paraId="54ED1CC0" w14:textId="77777777" w:rsidR="0029325C" w:rsidRPr="0029325C" w:rsidRDefault="0029325C" w:rsidP="00E44156">
            <w:pPr>
              <w:keepNext/>
              <w:tabs>
                <w:tab w:val="left" w:pos="1168"/>
              </w:tabs>
              <w:ind w:right="-108"/>
              <w:jc w:val="center"/>
              <w:rPr>
                <w:rFonts w:ascii="Verdana" w:eastAsia="MS Mincho" w:hAnsi="Verdana" w:cs="Arial"/>
                <w:b/>
                <w:snapToGrid w:val="0"/>
                <w:sz w:val="18"/>
                <w:szCs w:val="18"/>
              </w:rPr>
            </w:pPr>
          </w:p>
          <w:p w14:paraId="2774C958" w14:textId="77777777" w:rsidR="0029325C" w:rsidRPr="0029325C" w:rsidRDefault="0029325C" w:rsidP="00E44156">
            <w:pPr>
              <w:keepNext/>
              <w:tabs>
                <w:tab w:val="left" w:pos="1168"/>
              </w:tabs>
              <w:ind w:right="-108"/>
              <w:jc w:val="center"/>
              <w:rPr>
                <w:rFonts w:ascii="Verdana" w:eastAsia="MS Mincho" w:hAnsi="Verdana" w:cs="Arial"/>
                <w:b/>
                <w:snapToGrid w:val="0"/>
                <w:sz w:val="18"/>
                <w:szCs w:val="18"/>
              </w:rPr>
            </w:pPr>
            <w:r w:rsidRPr="0029325C">
              <w:rPr>
                <w:rFonts w:ascii="Verdana" w:hAnsi="Verdana"/>
                <w:b/>
                <w:snapToGrid w:val="0"/>
                <w:sz w:val="18"/>
              </w:rPr>
              <w:t>-2%</w:t>
            </w:r>
          </w:p>
        </w:tc>
      </w:tr>
    </w:tbl>
    <w:p w14:paraId="773F78B6" w14:textId="77777777" w:rsidR="0029325C" w:rsidRPr="0029325C" w:rsidRDefault="0029325C" w:rsidP="0029325C">
      <w:pPr>
        <w:jc w:val="both"/>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295"/>
        <w:gridCol w:w="1294"/>
        <w:gridCol w:w="1348"/>
        <w:gridCol w:w="1276"/>
        <w:gridCol w:w="1275"/>
        <w:gridCol w:w="1276"/>
      </w:tblGrid>
      <w:tr w:rsidR="0029325C" w:rsidRPr="0029325C" w14:paraId="3EA2BE35" w14:textId="77777777" w:rsidTr="00E44156">
        <w:trPr>
          <w:trHeight w:val="603"/>
        </w:trPr>
        <w:tc>
          <w:tcPr>
            <w:tcW w:w="2125" w:type="dxa"/>
            <w:shd w:val="clear" w:color="auto" w:fill="E6E6E6"/>
          </w:tcPr>
          <w:p w14:paraId="5906C777" w14:textId="77777777" w:rsidR="0029325C" w:rsidRPr="0029325C" w:rsidRDefault="0029325C" w:rsidP="00E44156">
            <w:pPr>
              <w:tabs>
                <w:tab w:val="left" w:pos="284"/>
              </w:tabs>
              <w:jc w:val="center"/>
              <w:rPr>
                <w:rFonts w:ascii="Arial" w:eastAsia="MS Mincho" w:hAnsi="Arial" w:cs="Arial"/>
                <w:b/>
                <w:snapToGrid w:val="0"/>
                <w:sz w:val="15"/>
                <w:szCs w:val="15"/>
              </w:rPr>
            </w:pPr>
            <w:r w:rsidRPr="0029325C">
              <w:rPr>
                <w:rFonts w:ascii="Arial" w:hAnsi="Arial"/>
                <w:b/>
                <w:snapToGrid w:val="0"/>
                <w:sz w:val="15"/>
              </w:rPr>
              <w:t>Segundo trimestre 2015</w:t>
            </w:r>
          </w:p>
          <w:p w14:paraId="741F090D" w14:textId="77777777" w:rsidR="0029325C" w:rsidRPr="0029325C" w:rsidRDefault="0029325C" w:rsidP="00E44156">
            <w:pPr>
              <w:tabs>
                <w:tab w:val="left" w:pos="284"/>
              </w:tabs>
              <w:jc w:val="center"/>
              <w:rPr>
                <w:rFonts w:ascii="Arial" w:eastAsia="MS Mincho" w:hAnsi="Arial" w:cs="Arial"/>
                <w:snapToGrid w:val="0"/>
                <w:sz w:val="15"/>
                <w:szCs w:val="15"/>
              </w:rPr>
            </w:pPr>
            <w:r w:rsidRPr="0029325C">
              <w:rPr>
                <w:rFonts w:ascii="Arial" w:hAnsi="Arial"/>
                <w:snapToGrid w:val="0"/>
                <w:sz w:val="15"/>
              </w:rPr>
              <w:t>Ano a ano</w:t>
            </w:r>
          </w:p>
          <w:p w14:paraId="65AB3C58" w14:textId="77777777" w:rsidR="0029325C" w:rsidRPr="0029325C" w:rsidRDefault="0029325C" w:rsidP="00E44156">
            <w:pPr>
              <w:tabs>
                <w:tab w:val="left" w:pos="284"/>
              </w:tabs>
              <w:jc w:val="center"/>
              <w:rPr>
                <w:rFonts w:ascii="Arial" w:eastAsia="MS Mincho" w:hAnsi="Arial" w:cs="Arial"/>
                <w:b/>
                <w:snapToGrid w:val="0"/>
                <w:sz w:val="18"/>
                <w:szCs w:val="18"/>
                <w:vertAlign w:val="superscript"/>
              </w:rPr>
            </w:pPr>
            <w:r w:rsidRPr="0029325C">
              <w:rPr>
                <w:rFonts w:ascii="Arial" w:hAnsi="Arial"/>
                <w:b/>
                <w:snapToGrid w:val="0"/>
                <w:sz w:val="18"/>
                <w:vertAlign w:val="superscript"/>
              </w:rPr>
              <w:t>( em número de pneus)</w:t>
            </w:r>
          </w:p>
        </w:tc>
        <w:tc>
          <w:tcPr>
            <w:tcW w:w="1295" w:type="dxa"/>
            <w:shd w:val="clear" w:color="auto" w:fill="E6E6E6"/>
          </w:tcPr>
          <w:p w14:paraId="7536E949" w14:textId="77777777" w:rsidR="0029325C" w:rsidRPr="0029325C" w:rsidRDefault="0029325C" w:rsidP="00E44156">
            <w:pPr>
              <w:tabs>
                <w:tab w:val="left" w:pos="284"/>
              </w:tabs>
              <w:jc w:val="center"/>
              <w:rPr>
                <w:rFonts w:ascii="Arial" w:eastAsia="MS Mincho" w:hAnsi="Arial" w:cs="Arial"/>
                <w:b/>
                <w:bCs/>
                <w:smallCaps/>
                <w:snapToGrid w:val="0"/>
                <w:sz w:val="18"/>
                <w:szCs w:val="18"/>
              </w:rPr>
            </w:pPr>
            <w:r w:rsidRPr="0029325C">
              <w:rPr>
                <w:rFonts w:ascii="Arial" w:hAnsi="Arial"/>
                <w:b/>
                <w:smallCaps/>
                <w:snapToGrid w:val="0"/>
                <w:sz w:val="18"/>
              </w:rPr>
              <w:t>Europa*</w:t>
            </w:r>
          </w:p>
        </w:tc>
        <w:tc>
          <w:tcPr>
            <w:tcW w:w="1294" w:type="dxa"/>
            <w:shd w:val="clear" w:color="auto" w:fill="E6E6E6"/>
          </w:tcPr>
          <w:p w14:paraId="56A0963F" w14:textId="77777777" w:rsidR="0029325C" w:rsidRPr="0029325C" w:rsidRDefault="0029325C" w:rsidP="00E44156">
            <w:pPr>
              <w:tabs>
                <w:tab w:val="left" w:pos="284"/>
              </w:tabs>
              <w:jc w:val="center"/>
              <w:rPr>
                <w:rFonts w:ascii="Arial" w:eastAsia="MS Mincho" w:hAnsi="Arial" w:cs="Arial"/>
                <w:b/>
                <w:smallCaps/>
                <w:snapToGrid w:val="0"/>
                <w:sz w:val="18"/>
                <w:szCs w:val="18"/>
              </w:rPr>
            </w:pPr>
            <w:r w:rsidRPr="0029325C">
              <w:rPr>
                <w:rFonts w:ascii="Arial" w:hAnsi="Arial"/>
                <w:b/>
                <w:smallCaps/>
                <w:snapToGrid w:val="0"/>
                <w:sz w:val="18"/>
              </w:rPr>
              <w:t>América do norte</w:t>
            </w:r>
          </w:p>
        </w:tc>
        <w:tc>
          <w:tcPr>
            <w:tcW w:w="1348" w:type="dxa"/>
            <w:shd w:val="clear" w:color="auto" w:fill="E6E6E6"/>
          </w:tcPr>
          <w:p w14:paraId="69B0CB1F" w14:textId="77777777" w:rsidR="0029325C" w:rsidRPr="0029325C" w:rsidRDefault="0029325C" w:rsidP="00E44156">
            <w:pPr>
              <w:keepNext/>
              <w:tabs>
                <w:tab w:val="left" w:pos="284"/>
              </w:tabs>
              <w:jc w:val="center"/>
              <w:rPr>
                <w:rFonts w:ascii="Arial" w:eastAsia="MS Mincho" w:hAnsi="Arial" w:cs="Arial"/>
                <w:b/>
                <w:bCs/>
                <w:smallCaps/>
                <w:snapToGrid w:val="0"/>
                <w:sz w:val="18"/>
                <w:szCs w:val="18"/>
              </w:rPr>
            </w:pPr>
            <w:r w:rsidRPr="0029325C">
              <w:rPr>
                <w:rFonts w:ascii="Arial" w:hAnsi="Arial"/>
                <w:b/>
                <w:smallCaps/>
                <w:snapToGrid w:val="0"/>
                <w:sz w:val="18"/>
              </w:rPr>
              <w:t>Ásia</w:t>
            </w:r>
          </w:p>
          <w:p w14:paraId="3E6D551B" w14:textId="77777777" w:rsidR="0029325C" w:rsidRPr="0029325C" w:rsidRDefault="0029325C" w:rsidP="00E44156">
            <w:pPr>
              <w:tabs>
                <w:tab w:val="left" w:pos="284"/>
              </w:tabs>
              <w:jc w:val="center"/>
              <w:rPr>
                <w:rFonts w:ascii="Arial" w:eastAsia="MS Mincho" w:hAnsi="Arial" w:cs="Arial"/>
                <w:b/>
                <w:bCs/>
                <w:smallCaps/>
                <w:snapToGrid w:val="0"/>
                <w:sz w:val="18"/>
                <w:szCs w:val="18"/>
              </w:rPr>
            </w:pPr>
            <w:r w:rsidRPr="0029325C">
              <w:rPr>
                <w:rFonts w:ascii="Arial" w:hAnsi="Arial"/>
                <w:b/>
                <w:smallCaps/>
                <w:snapToGrid w:val="0"/>
                <w:sz w:val="18"/>
              </w:rPr>
              <w:t>(excluindo Índia)</w:t>
            </w:r>
          </w:p>
        </w:tc>
        <w:tc>
          <w:tcPr>
            <w:tcW w:w="1276" w:type="dxa"/>
            <w:shd w:val="clear" w:color="auto" w:fill="E6E6E6"/>
          </w:tcPr>
          <w:p w14:paraId="0366B56B" w14:textId="77777777" w:rsidR="0029325C" w:rsidRPr="0029325C" w:rsidRDefault="0029325C" w:rsidP="00E44156">
            <w:pPr>
              <w:tabs>
                <w:tab w:val="left" w:pos="284"/>
              </w:tabs>
              <w:jc w:val="center"/>
              <w:rPr>
                <w:rFonts w:ascii="Arial" w:eastAsia="MS Mincho" w:hAnsi="Arial" w:cs="Arial"/>
                <w:b/>
                <w:smallCaps/>
                <w:snapToGrid w:val="0"/>
                <w:sz w:val="18"/>
                <w:szCs w:val="18"/>
              </w:rPr>
            </w:pPr>
            <w:r w:rsidRPr="0029325C">
              <w:rPr>
                <w:rFonts w:ascii="Arial" w:hAnsi="Arial"/>
                <w:b/>
                <w:smallCaps/>
                <w:snapToGrid w:val="0"/>
                <w:sz w:val="18"/>
              </w:rPr>
              <w:t>América do sul</w:t>
            </w:r>
          </w:p>
        </w:tc>
        <w:tc>
          <w:tcPr>
            <w:tcW w:w="1275" w:type="dxa"/>
            <w:shd w:val="clear" w:color="auto" w:fill="E6E6E6"/>
          </w:tcPr>
          <w:p w14:paraId="164A7DB9" w14:textId="77777777" w:rsidR="0029325C" w:rsidRPr="0029325C" w:rsidRDefault="0029325C" w:rsidP="00E44156">
            <w:pPr>
              <w:tabs>
                <w:tab w:val="left" w:pos="284"/>
              </w:tabs>
              <w:jc w:val="center"/>
              <w:rPr>
                <w:rFonts w:ascii="Arial" w:eastAsia="MS Mincho" w:hAnsi="Arial" w:cs="Arial"/>
                <w:b/>
                <w:smallCaps/>
                <w:snapToGrid w:val="0"/>
                <w:sz w:val="18"/>
                <w:szCs w:val="18"/>
              </w:rPr>
            </w:pPr>
            <w:r w:rsidRPr="0029325C">
              <w:rPr>
                <w:rFonts w:ascii="Arial" w:hAnsi="Arial"/>
                <w:b/>
                <w:smallCaps/>
                <w:snapToGrid w:val="0"/>
                <w:sz w:val="18"/>
              </w:rPr>
              <w:t>África/Índia/médio oriente</w:t>
            </w:r>
          </w:p>
        </w:tc>
        <w:tc>
          <w:tcPr>
            <w:tcW w:w="1276" w:type="dxa"/>
            <w:shd w:val="clear" w:color="auto" w:fill="E6E6E6"/>
          </w:tcPr>
          <w:p w14:paraId="42C5F05B" w14:textId="77777777" w:rsidR="0029325C" w:rsidRPr="0029325C" w:rsidRDefault="0029325C" w:rsidP="00E44156">
            <w:pPr>
              <w:tabs>
                <w:tab w:val="left" w:pos="1026"/>
              </w:tabs>
              <w:ind w:right="-108"/>
              <w:jc w:val="center"/>
              <w:rPr>
                <w:rFonts w:ascii="Arial" w:eastAsia="MS Mincho" w:hAnsi="Arial" w:cs="Arial"/>
                <w:b/>
                <w:smallCaps/>
                <w:snapToGrid w:val="0"/>
                <w:sz w:val="18"/>
                <w:szCs w:val="18"/>
              </w:rPr>
            </w:pPr>
            <w:r w:rsidRPr="0029325C">
              <w:rPr>
                <w:rFonts w:ascii="Arial" w:hAnsi="Arial"/>
                <w:b/>
                <w:smallCaps/>
                <w:snapToGrid w:val="0"/>
                <w:sz w:val="18"/>
              </w:rPr>
              <w:t>Total</w:t>
            </w:r>
          </w:p>
        </w:tc>
      </w:tr>
      <w:tr w:rsidR="0029325C" w:rsidRPr="0029325C" w14:paraId="60BFF493" w14:textId="77777777" w:rsidTr="00E44156">
        <w:trPr>
          <w:trHeight w:val="1207"/>
        </w:trPr>
        <w:tc>
          <w:tcPr>
            <w:tcW w:w="2125" w:type="dxa"/>
          </w:tcPr>
          <w:p w14:paraId="0467C75B" w14:textId="77777777" w:rsidR="0029325C" w:rsidRPr="0029325C" w:rsidRDefault="0029325C" w:rsidP="00E44156">
            <w:pPr>
              <w:tabs>
                <w:tab w:val="left" w:pos="284"/>
              </w:tabs>
              <w:jc w:val="center"/>
              <w:rPr>
                <w:rFonts w:ascii="Verdana" w:eastAsia="MS Mincho" w:hAnsi="Verdana" w:cs="Arial"/>
                <w:bCs/>
                <w:snapToGrid w:val="0"/>
                <w:sz w:val="18"/>
                <w:szCs w:val="18"/>
              </w:rPr>
            </w:pPr>
          </w:p>
          <w:p w14:paraId="1C57A835" w14:textId="77777777" w:rsidR="0029325C" w:rsidRPr="0029325C" w:rsidRDefault="0029325C" w:rsidP="00E44156">
            <w:pPr>
              <w:keepNext/>
              <w:tabs>
                <w:tab w:val="left" w:pos="284"/>
              </w:tabs>
              <w:jc w:val="center"/>
              <w:rPr>
                <w:rFonts w:ascii="Verdana" w:eastAsia="MS Mincho" w:hAnsi="Verdana" w:cs="Arial"/>
                <w:bCs/>
                <w:snapToGrid w:val="0"/>
                <w:sz w:val="18"/>
                <w:szCs w:val="18"/>
              </w:rPr>
            </w:pPr>
            <w:r w:rsidRPr="0029325C">
              <w:rPr>
                <w:rFonts w:ascii="Verdana" w:hAnsi="Verdana"/>
                <w:snapToGrid w:val="0"/>
                <w:sz w:val="18"/>
              </w:rPr>
              <w:t xml:space="preserve">Equipamento original  </w:t>
            </w:r>
          </w:p>
          <w:p w14:paraId="69DCAAEE" w14:textId="77777777" w:rsidR="0029325C" w:rsidRPr="0029325C" w:rsidRDefault="0029325C" w:rsidP="00E44156">
            <w:pPr>
              <w:tabs>
                <w:tab w:val="left" w:pos="284"/>
              </w:tabs>
              <w:jc w:val="center"/>
              <w:rPr>
                <w:rFonts w:ascii="Verdana" w:eastAsia="MS Mincho" w:hAnsi="Verdana" w:cs="Arial"/>
                <w:bCs/>
                <w:snapToGrid w:val="0"/>
                <w:sz w:val="18"/>
                <w:szCs w:val="18"/>
              </w:rPr>
            </w:pPr>
          </w:p>
          <w:p w14:paraId="519656B5" w14:textId="77777777" w:rsidR="0029325C" w:rsidRPr="0029325C" w:rsidRDefault="0029325C" w:rsidP="00E44156">
            <w:pPr>
              <w:tabs>
                <w:tab w:val="left" w:pos="284"/>
              </w:tabs>
              <w:jc w:val="center"/>
              <w:rPr>
                <w:rFonts w:ascii="Arial" w:eastAsia="MS Mincho" w:hAnsi="Arial" w:cs="Arial"/>
                <w:bCs/>
                <w:snapToGrid w:val="0"/>
                <w:sz w:val="18"/>
                <w:szCs w:val="18"/>
              </w:rPr>
            </w:pPr>
            <w:r w:rsidRPr="0029325C">
              <w:rPr>
                <w:rFonts w:ascii="Verdana" w:hAnsi="Verdana"/>
                <w:snapToGrid w:val="0"/>
                <w:sz w:val="18"/>
              </w:rPr>
              <w:t>Substituição</w:t>
            </w:r>
          </w:p>
        </w:tc>
        <w:tc>
          <w:tcPr>
            <w:tcW w:w="1295" w:type="dxa"/>
          </w:tcPr>
          <w:p w14:paraId="0F894D53"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21682E63"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+7%</w:t>
            </w:r>
          </w:p>
          <w:p w14:paraId="34C85F83"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0604EC60"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-0%</w:t>
            </w:r>
          </w:p>
          <w:p w14:paraId="05ECD2CE" w14:textId="77777777" w:rsidR="0029325C" w:rsidRPr="0029325C" w:rsidRDefault="0029325C" w:rsidP="00E44156">
            <w:pPr>
              <w:tabs>
                <w:tab w:val="left" w:pos="284"/>
              </w:tabs>
              <w:jc w:val="center"/>
              <w:rPr>
                <w:rFonts w:ascii="Verdana" w:eastAsia="MS Mincho" w:hAnsi="Verdana" w:cs="Arial"/>
                <w:b/>
                <w:snapToGrid w:val="0"/>
                <w:sz w:val="18"/>
                <w:szCs w:val="18"/>
              </w:rPr>
            </w:pPr>
          </w:p>
        </w:tc>
        <w:tc>
          <w:tcPr>
            <w:tcW w:w="1294" w:type="dxa"/>
          </w:tcPr>
          <w:p w14:paraId="695FD797"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1CDEA2E2"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+14%</w:t>
            </w:r>
          </w:p>
          <w:p w14:paraId="241B8894"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4F534C63"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+6%</w:t>
            </w:r>
          </w:p>
        </w:tc>
        <w:tc>
          <w:tcPr>
            <w:tcW w:w="1348" w:type="dxa"/>
          </w:tcPr>
          <w:p w14:paraId="49A65BC3"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0E1B33F7"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-22%</w:t>
            </w:r>
          </w:p>
          <w:p w14:paraId="44A54254"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12EE61D1"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-3%</w:t>
            </w:r>
          </w:p>
        </w:tc>
        <w:tc>
          <w:tcPr>
            <w:tcW w:w="1276" w:type="dxa"/>
          </w:tcPr>
          <w:p w14:paraId="5E2B4579"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3D1515CA"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-45%</w:t>
            </w:r>
          </w:p>
          <w:p w14:paraId="6CF1B042"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0F03D7EE"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-7%</w:t>
            </w:r>
          </w:p>
        </w:tc>
        <w:tc>
          <w:tcPr>
            <w:tcW w:w="1275" w:type="dxa"/>
          </w:tcPr>
          <w:p w14:paraId="217F73FE"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3191A965"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+11%</w:t>
            </w:r>
          </w:p>
          <w:p w14:paraId="3C1C6487" w14:textId="77777777" w:rsidR="0029325C" w:rsidRPr="0029325C" w:rsidRDefault="0029325C" w:rsidP="00E44156">
            <w:pPr>
              <w:tabs>
                <w:tab w:val="left" w:pos="284"/>
              </w:tabs>
              <w:jc w:val="center"/>
              <w:rPr>
                <w:rFonts w:ascii="Verdana" w:eastAsia="MS Mincho" w:hAnsi="Verdana" w:cs="Arial"/>
                <w:b/>
                <w:snapToGrid w:val="0"/>
                <w:sz w:val="18"/>
                <w:szCs w:val="18"/>
              </w:rPr>
            </w:pPr>
          </w:p>
          <w:p w14:paraId="28496AE8" w14:textId="77777777" w:rsidR="0029325C" w:rsidRPr="0029325C" w:rsidRDefault="0029325C" w:rsidP="00E44156">
            <w:pPr>
              <w:tabs>
                <w:tab w:val="left" w:pos="284"/>
              </w:tabs>
              <w:jc w:val="center"/>
              <w:rPr>
                <w:rFonts w:ascii="Verdana" w:eastAsia="MS Mincho" w:hAnsi="Verdana" w:cs="Arial"/>
                <w:b/>
                <w:snapToGrid w:val="0"/>
                <w:sz w:val="18"/>
                <w:szCs w:val="18"/>
              </w:rPr>
            </w:pPr>
            <w:r w:rsidRPr="0029325C">
              <w:rPr>
                <w:rFonts w:ascii="Verdana" w:hAnsi="Verdana"/>
                <w:b/>
                <w:snapToGrid w:val="0"/>
                <w:sz w:val="18"/>
              </w:rPr>
              <w:t>+1%</w:t>
            </w:r>
          </w:p>
        </w:tc>
        <w:tc>
          <w:tcPr>
            <w:tcW w:w="1276" w:type="dxa"/>
          </w:tcPr>
          <w:p w14:paraId="23971449" w14:textId="77777777" w:rsidR="0029325C" w:rsidRPr="0029325C" w:rsidRDefault="0029325C" w:rsidP="00E44156">
            <w:pPr>
              <w:tabs>
                <w:tab w:val="left" w:pos="1168"/>
              </w:tabs>
              <w:ind w:right="-108"/>
              <w:jc w:val="center"/>
              <w:rPr>
                <w:rFonts w:ascii="Verdana" w:eastAsia="MS Mincho" w:hAnsi="Verdana" w:cs="Arial"/>
                <w:b/>
                <w:snapToGrid w:val="0"/>
                <w:sz w:val="18"/>
                <w:szCs w:val="18"/>
              </w:rPr>
            </w:pPr>
          </w:p>
          <w:p w14:paraId="75F1EB5D" w14:textId="77777777" w:rsidR="0029325C" w:rsidRPr="0029325C" w:rsidRDefault="0029325C" w:rsidP="00E44156">
            <w:pPr>
              <w:tabs>
                <w:tab w:val="left" w:pos="1168"/>
              </w:tabs>
              <w:ind w:right="-108"/>
              <w:jc w:val="center"/>
              <w:rPr>
                <w:rFonts w:ascii="Verdana" w:eastAsia="MS Mincho" w:hAnsi="Verdana" w:cs="Arial"/>
                <w:b/>
                <w:snapToGrid w:val="0"/>
                <w:sz w:val="18"/>
                <w:szCs w:val="18"/>
              </w:rPr>
            </w:pPr>
            <w:r w:rsidRPr="0029325C">
              <w:rPr>
                <w:rFonts w:ascii="Verdana" w:hAnsi="Verdana"/>
                <w:b/>
                <w:snapToGrid w:val="0"/>
                <w:sz w:val="18"/>
              </w:rPr>
              <w:t>-8%</w:t>
            </w:r>
          </w:p>
          <w:p w14:paraId="5CDF4D7D" w14:textId="77777777" w:rsidR="0029325C" w:rsidRPr="0029325C" w:rsidRDefault="0029325C" w:rsidP="00E44156">
            <w:pPr>
              <w:tabs>
                <w:tab w:val="left" w:pos="1168"/>
              </w:tabs>
              <w:ind w:right="-108"/>
              <w:jc w:val="center"/>
              <w:rPr>
                <w:rFonts w:ascii="Verdana" w:eastAsia="MS Mincho" w:hAnsi="Verdana" w:cs="Arial"/>
                <w:b/>
                <w:snapToGrid w:val="0"/>
                <w:sz w:val="18"/>
                <w:szCs w:val="18"/>
              </w:rPr>
            </w:pPr>
          </w:p>
          <w:p w14:paraId="7DAC943D" w14:textId="77777777" w:rsidR="0029325C" w:rsidRPr="0029325C" w:rsidRDefault="0029325C" w:rsidP="00E44156">
            <w:pPr>
              <w:tabs>
                <w:tab w:val="left" w:pos="1168"/>
              </w:tabs>
              <w:ind w:right="-108"/>
              <w:jc w:val="center"/>
              <w:rPr>
                <w:rFonts w:ascii="Verdana" w:eastAsia="MS Mincho" w:hAnsi="Verdana" w:cs="Arial"/>
                <w:b/>
                <w:snapToGrid w:val="0"/>
                <w:sz w:val="18"/>
                <w:szCs w:val="18"/>
              </w:rPr>
            </w:pPr>
            <w:r w:rsidRPr="0029325C">
              <w:rPr>
                <w:rFonts w:ascii="Verdana" w:hAnsi="Verdana"/>
                <w:b/>
                <w:snapToGrid w:val="0"/>
                <w:sz w:val="18"/>
              </w:rPr>
              <w:t>-1%</w:t>
            </w:r>
          </w:p>
        </w:tc>
      </w:tr>
    </w:tbl>
    <w:p w14:paraId="3F169487" w14:textId="77777777" w:rsidR="0029325C" w:rsidRPr="0029325C" w:rsidRDefault="0029325C" w:rsidP="0029325C">
      <w:pPr>
        <w:keepNext/>
        <w:tabs>
          <w:tab w:val="left" w:pos="284"/>
        </w:tabs>
        <w:jc w:val="both"/>
        <w:rPr>
          <w:rFonts w:ascii="Verdana" w:hAnsi="Verdana" w:cs="Arial"/>
          <w:sz w:val="18"/>
          <w:szCs w:val="18"/>
        </w:rPr>
      </w:pPr>
      <w:r w:rsidRPr="0029325C">
        <w:rPr>
          <w:rFonts w:ascii="Verdana" w:hAnsi="Verdana"/>
          <w:sz w:val="18"/>
        </w:rPr>
        <w:t>* Incluindo Rússia e Turquia</w:t>
      </w:r>
    </w:p>
    <w:p w14:paraId="604CD2D0" w14:textId="77777777" w:rsidR="0029325C" w:rsidRPr="0029325C" w:rsidRDefault="0029325C" w:rsidP="0029325C">
      <w:pPr>
        <w:spacing w:after="60"/>
        <w:jc w:val="both"/>
        <w:rPr>
          <w:rFonts w:ascii="Arial" w:hAnsi="Arial" w:cs="Arial"/>
          <w:smallCaps/>
          <w:u w:val="single"/>
        </w:rPr>
      </w:pPr>
    </w:p>
    <w:p w14:paraId="7E40523F" w14:textId="77777777" w:rsidR="00026F95" w:rsidRDefault="00026F95" w:rsidP="00026F95">
      <w:pPr>
        <w:tabs>
          <w:tab w:val="left" w:pos="360"/>
        </w:tabs>
        <w:spacing w:line="270" w:lineRule="atLeast"/>
        <w:jc w:val="both"/>
        <w:outlineLvl w:val="0"/>
        <w:rPr>
          <w:rFonts w:ascii="Arial" w:hAnsi="Arial" w:cs="Arial"/>
          <w:b/>
          <w:bCs/>
          <w:sz w:val="21"/>
          <w:szCs w:val="21"/>
        </w:rPr>
      </w:pPr>
    </w:p>
    <w:p w14:paraId="04A02F2E" w14:textId="77777777" w:rsidR="0029325C" w:rsidRDefault="00026F95" w:rsidP="00026F95">
      <w:pPr>
        <w:tabs>
          <w:tab w:val="left" w:pos="360"/>
        </w:tabs>
        <w:spacing w:line="270" w:lineRule="atLeast"/>
        <w:jc w:val="both"/>
        <w:outlineLvl w:val="0"/>
        <w:rPr>
          <w:rFonts w:ascii="Arial" w:hAnsi="Arial" w:cs="Arial"/>
          <w:b/>
          <w:bCs/>
          <w:sz w:val="21"/>
          <w:szCs w:val="21"/>
        </w:rPr>
      </w:pPr>
      <w:r>
        <w:rPr>
          <w:rFonts w:ascii="Arial" w:hAnsi="Arial" w:cs="Arial"/>
          <w:b/>
          <w:bCs/>
          <w:sz w:val="21"/>
          <w:szCs w:val="21"/>
        </w:rPr>
        <w:lastRenderedPageBreak/>
        <w:t>E</w:t>
      </w:r>
      <w:r w:rsidR="0029325C" w:rsidRPr="00026F95">
        <w:rPr>
          <w:rFonts w:ascii="Arial" w:hAnsi="Arial" w:cs="Arial"/>
          <w:b/>
          <w:bCs/>
          <w:sz w:val="21"/>
          <w:szCs w:val="21"/>
        </w:rPr>
        <w:t>quipamento original</w:t>
      </w:r>
    </w:p>
    <w:p w14:paraId="103EA798" w14:textId="77777777" w:rsidR="00026F95" w:rsidRPr="00026F95" w:rsidRDefault="00026F95" w:rsidP="00026F95">
      <w:pPr>
        <w:tabs>
          <w:tab w:val="left" w:pos="360"/>
        </w:tabs>
        <w:spacing w:line="270" w:lineRule="atLeast"/>
        <w:jc w:val="both"/>
        <w:outlineLvl w:val="0"/>
        <w:rPr>
          <w:rFonts w:ascii="Arial" w:hAnsi="Arial" w:cs="Arial"/>
          <w:b/>
          <w:bCs/>
          <w:sz w:val="21"/>
          <w:szCs w:val="21"/>
        </w:rPr>
      </w:pPr>
    </w:p>
    <w:p w14:paraId="4EB02851" w14:textId="77777777" w:rsidR="0029325C" w:rsidRDefault="0029325C" w:rsidP="0029325C">
      <w:pPr>
        <w:numPr>
          <w:ilvl w:val="1"/>
          <w:numId w:val="3"/>
        </w:numPr>
        <w:spacing w:after="60"/>
        <w:jc w:val="both"/>
        <w:rPr>
          <w:rFonts w:ascii="Arial" w:hAnsi="Arial" w:cs="Arial"/>
          <w:sz w:val="21"/>
          <w:szCs w:val="21"/>
        </w:rPr>
      </w:pPr>
      <w:r w:rsidRPr="00026F95">
        <w:rPr>
          <w:rFonts w:ascii="Arial" w:hAnsi="Arial" w:cs="Arial"/>
          <w:sz w:val="21"/>
          <w:szCs w:val="21"/>
        </w:rPr>
        <w:t>O mercado europeu cresceu em 4% na primeira metade, impulsionado por uma aceleração de 9% na Europa Ocidental. Contudo, a procura continuou a diminuir na Europa de Leste, onde a instável situação geopolítica e econ</w:t>
      </w:r>
      <w:r w:rsidR="00026F95">
        <w:rPr>
          <w:rFonts w:ascii="Arial" w:hAnsi="Arial" w:cs="Arial"/>
          <w:sz w:val="21"/>
          <w:szCs w:val="21"/>
        </w:rPr>
        <w:t>ómica provocou uma queda de 24%</w:t>
      </w:r>
    </w:p>
    <w:p w14:paraId="57078ACF" w14:textId="77777777" w:rsidR="00026F95" w:rsidRPr="00026F95" w:rsidRDefault="00026F95" w:rsidP="00026F95">
      <w:pPr>
        <w:spacing w:after="60"/>
        <w:ind w:left="1080"/>
        <w:jc w:val="both"/>
        <w:rPr>
          <w:rFonts w:ascii="Arial" w:hAnsi="Arial" w:cs="Arial"/>
          <w:sz w:val="21"/>
          <w:szCs w:val="21"/>
        </w:rPr>
      </w:pPr>
    </w:p>
    <w:p w14:paraId="576509CE" w14:textId="77777777" w:rsidR="0029325C" w:rsidRDefault="0029325C" w:rsidP="0029325C">
      <w:pPr>
        <w:numPr>
          <w:ilvl w:val="1"/>
          <w:numId w:val="3"/>
        </w:numPr>
        <w:spacing w:after="60"/>
        <w:jc w:val="both"/>
        <w:rPr>
          <w:rFonts w:ascii="Arial" w:hAnsi="Arial" w:cs="Arial"/>
          <w:sz w:val="21"/>
          <w:szCs w:val="21"/>
        </w:rPr>
      </w:pPr>
      <w:r w:rsidRPr="00026F95">
        <w:rPr>
          <w:rFonts w:ascii="Arial" w:hAnsi="Arial" w:cs="Arial"/>
          <w:sz w:val="21"/>
          <w:szCs w:val="21"/>
        </w:rPr>
        <w:t>Na América do Norte, o Mercado cresceu 17% durante esse período, enquanto a produção de camiões manteve o seu crescimento numa conjuntura económica favorável.</w:t>
      </w:r>
    </w:p>
    <w:p w14:paraId="5A35FF2C" w14:textId="77777777" w:rsidR="00026F95" w:rsidRPr="00026F95" w:rsidRDefault="00026F95" w:rsidP="00026F95">
      <w:pPr>
        <w:spacing w:after="60"/>
        <w:ind w:left="1080"/>
        <w:jc w:val="both"/>
        <w:rPr>
          <w:rFonts w:ascii="Arial" w:hAnsi="Arial" w:cs="Arial"/>
          <w:sz w:val="21"/>
          <w:szCs w:val="21"/>
        </w:rPr>
      </w:pPr>
    </w:p>
    <w:p w14:paraId="648B24EE" w14:textId="77777777" w:rsidR="0029325C" w:rsidRPr="00026F95" w:rsidRDefault="0029325C" w:rsidP="0029325C">
      <w:pPr>
        <w:numPr>
          <w:ilvl w:val="1"/>
          <w:numId w:val="3"/>
        </w:numPr>
        <w:spacing w:after="60"/>
        <w:jc w:val="both"/>
        <w:rPr>
          <w:rFonts w:ascii="Arial" w:hAnsi="Arial" w:cs="Arial"/>
          <w:smallCaps/>
          <w:sz w:val="21"/>
          <w:szCs w:val="21"/>
          <w:u w:val="single"/>
        </w:rPr>
      </w:pPr>
      <w:r w:rsidRPr="00026F95">
        <w:rPr>
          <w:rFonts w:ascii="Arial" w:hAnsi="Arial" w:cs="Arial"/>
          <w:sz w:val="21"/>
          <w:szCs w:val="21"/>
        </w:rPr>
        <w:t>A procura de pneus radiais e diagonais na Ásia diminuiu um total de 23% (excluindo a Índia). O mercado chinês caiu 25%, refletindo o abrandamento da produção industrial. No resto da região, a procura diminuiu um total de 14%, com quedas acentuadas na Indonésia e Coreia do Sul, parcialmente contrabalançadas por uma retoma na Tailândia, que começou o ano com valores comparativos muito baixos.</w:t>
      </w:r>
    </w:p>
    <w:p w14:paraId="4914B885" w14:textId="77777777" w:rsidR="00026F95" w:rsidRPr="00026F95" w:rsidRDefault="00026F95" w:rsidP="00026F95">
      <w:pPr>
        <w:spacing w:after="60"/>
        <w:ind w:left="1080"/>
        <w:jc w:val="both"/>
        <w:rPr>
          <w:rFonts w:ascii="Arial" w:hAnsi="Arial" w:cs="Arial"/>
          <w:smallCaps/>
          <w:sz w:val="21"/>
          <w:szCs w:val="21"/>
          <w:u w:val="single"/>
        </w:rPr>
      </w:pPr>
    </w:p>
    <w:p w14:paraId="3AF79C09" w14:textId="77777777" w:rsidR="0029325C" w:rsidRPr="00026F95" w:rsidRDefault="0029325C" w:rsidP="0029325C">
      <w:pPr>
        <w:numPr>
          <w:ilvl w:val="1"/>
          <w:numId w:val="3"/>
        </w:numPr>
        <w:spacing w:after="60"/>
        <w:jc w:val="both"/>
        <w:rPr>
          <w:rFonts w:ascii="Arial" w:hAnsi="Arial" w:cs="Arial"/>
          <w:sz w:val="21"/>
          <w:szCs w:val="21"/>
        </w:rPr>
      </w:pPr>
      <w:r w:rsidRPr="00026F95">
        <w:rPr>
          <w:rFonts w:ascii="Arial" w:hAnsi="Arial" w:cs="Arial"/>
          <w:sz w:val="21"/>
          <w:szCs w:val="21"/>
        </w:rPr>
        <w:t>Envolvido numa conjuntura económica muito difícil, o Mercado da América do Sul caiu a pique 42%, arrastado pela queda de 44% no Brasil, onde as condições económicas conduziram ao encerramento maciço da produção de camiões e autocarros e a um colapso nas matrículas.</w:t>
      </w:r>
    </w:p>
    <w:p w14:paraId="4829D751" w14:textId="77777777" w:rsidR="00026F95" w:rsidRPr="00026F95" w:rsidRDefault="00026F95" w:rsidP="0029325C">
      <w:pPr>
        <w:spacing w:after="60"/>
        <w:ind w:left="1080"/>
        <w:jc w:val="both"/>
        <w:rPr>
          <w:rFonts w:ascii="Arial" w:hAnsi="Arial" w:cs="Arial"/>
          <w:smallCaps/>
          <w:sz w:val="21"/>
          <w:szCs w:val="21"/>
          <w:u w:val="single"/>
        </w:rPr>
      </w:pPr>
    </w:p>
    <w:p w14:paraId="0836144C" w14:textId="77777777" w:rsidR="0029325C" w:rsidRDefault="0029325C" w:rsidP="00026F95">
      <w:pPr>
        <w:spacing w:after="60"/>
        <w:jc w:val="both"/>
        <w:rPr>
          <w:rFonts w:ascii="Arial" w:hAnsi="Arial" w:cs="Arial"/>
          <w:b/>
          <w:bCs/>
          <w:sz w:val="21"/>
          <w:szCs w:val="21"/>
        </w:rPr>
      </w:pPr>
      <w:r w:rsidRPr="00026F95">
        <w:rPr>
          <w:rFonts w:ascii="Arial" w:hAnsi="Arial" w:cs="Arial"/>
          <w:b/>
          <w:bCs/>
          <w:sz w:val="21"/>
          <w:szCs w:val="21"/>
        </w:rPr>
        <w:t>Substituição</w:t>
      </w:r>
    </w:p>
    <w:p w14:paraId="1DB5613B" w14:textId="77777777" w:rsidR="00026F95" w:rsidRPr="00026F95" w:rsidRDefault="00026F95" w:rsidP="00026F95">
      <w:pPr>
        <w:spacing w:after="60"/>
        <w:jc w:val="both"/>
        <w:rPr>
          <w:rFonts w:ascii="Arial" w:hAnsi="Arial" w:cs="Arial"/>
          <w:b/>
          <w:bCs/>
          <w:sz w:val="21"/>
          <w:szCs w:val="21"/>
        </w:rPr>
      </w:pPr>
    </w:p>
    <w:p w14:paraId="525FE20F" w14:textId="77777777" w:rsidR="0029325C" w:rsidRDefault="0029325C" w:rsidP="0029325C">
      <w:pPr>
        <w:numPr>
          <w:ilvl w:val="1"/>
          <w:numId w:val="3"/>
        </w:numPr>
        <w:spacing w:after="60"/>
        <w:jc w:val="both"/>
        <w:rPr>
          <w:rFonts w:ascii="Arial" w:hAnsi="Arial" w:cs="Arial"/>
          <w:sz w:val="21"/>
          <w:szCs w:val="21"/>
        </w:rPr>
      </w:pPr>
      <w:r w:rsidRPr="00026F95">
        <w:rPr>
          <w:rFonts w:ascii="Arial" w:hAnsi="Arial" w:cs="Arial"/>
          <w:sz w:val="21"/>
          <w:szCs w:val="21"/>
        </w:rPr>
        <w:t xml:space="preserve">O mercado Europeu diminuiu no geral 3% durante os primeiros seis meses do ano. E a procura aumentou 7% na Europa Ocidental, devido ao aumento de toneladas transportadas/km (que ainda não teve impacto nas taxas de transportes), à queda acentuada no </w:t>
      </w:r>
      <w:proofErr w:type="spellStart"/>
      <w:r w:rsidRPr="00026F95">
        <w:rPr>
          <w:rFonts w:ascii="Arial" w:hAnsi="Arial" w:cs="Arial"/>
          <w:sz w:val="21"/>
          <w:szCs w:val="21"/>
        </w:rPr>
        <w:t>setor</w:t>
      </w:r>
      <w:proofErr w:type="spellEnd"/>
      <w:r w:rsidRPr="00026F95">
        <w:rPr>
          <w:rFonts w:ascii="Arial" w:hAnsi="Arial" w:cs="Arial"/>
          <w:sz w:val="21"/>
          <w:szCs w:val="21"/>
        </w:rPr>
        <w:t xml:space="preserve"> dos pneumáticos recauchutados e, no fim do período, ao anúncio do aumento de preços por parte de determinados fabricantes de pneus. O mercado continuou em queda na Europa de Leste, caindo 24%, devido à difícil situação da Rússia.</w:t>
      </w:r>
    </w:p>
    <w:p w14:paraId="43703A2F" w14:textId="77777777" w:rsidR="00026F95" w:rsidRPr="00026F95" w:rsidRDefault="00026F95" w:rsidP="00026F95">
      <w:pPr>
        <w:spacing w:after="60"/>
        <w:ind w:left="1080"/>
        <w:jc w:val="both"/>
        <w:rPr>
          <w:rFonts w:ascii="Arial" w:hAnsi="Arial" w:cs="Arial"/>
          <w:sz w:val="21"/>
          <w:szCs w:val="21"/>
        </w:rPr>
      </w:pPr>
    </w:p>
    <w:p w14:paraId="4374E3A8" w14:textId="77777777" w:rsidR="0029325C" w:rsidRDefault="0029325C" w:rsidP="0029325C">
      <w:pPr>
        <w:numPr>
          <w:ilvl w:val="1"/>
          <w:numId w:val="3"/>
        </w:numPr>
        <w:spacing w:after="60"/>
        <w:jc w:val="both"/>
        <w:rPr>
          <w:rFonts w:ascii="Arial" w:hAnsi="Arial" w:cs="Arial"/>
          <w:sz w:val="21"/>
          <w:szCs w:val="21"/>
        </w:rPr>
      </w:pPr>
      <w:r w:rsidRPr="00026F95">
        <w:rPr>
          <w:rFonts w:ascii="Arial" w:hAnsi="Arial" w:cs="Arial"/>
          <w:sz w:val="21"/>
          <w:szCs w:val="21"/>
        </w:rPr>
        <w:t>Na América do Norte, o mercado manteve-se forte, crescendo 5% graças à procura sustentada de serviços de transportes numa economia vigorosa.</w:t>
      </w:r>
    </w:p>
    <w:p w14:paraId="764E81EA" w14:textId="77777777" w:rsidR="00026F95" w:rsidRPr="00026F95" w:rsidRDefault="00026F95" w:rsidP="00026F95">
      <w:pPr>
        <w:spacing w:after="60"/>
        <w:ind w:left="1080"/>
        <w:jc w:val="both"/>
        <w:rPr>
          <w:rFonts w:ascii="Arial" w:hAnsi="Arial" w:cs="Arial"/>
          <w:sz w:val="21"/>
          <w:szCs w:val="21"/>
        </w:rPr>
      </w:pPr>
    </w:p>
    <w:p w14:paraId="3CDADEB3" w14:textId="77777777" w:rsidR="0029325C" w:rsidRDefault="0029325C" w:rsidP="0029325C">
      <w:pPr>
        <w:numPr>
          <w:ilvl w:val="1"/>
          <w:numId w:val="3"/>
        </w:numPr>
        <w:spacing w:after="60"/>
        <w:jc w:val="both"/>
        <w:rPr>
          <w:rFonts w:ascii="Arial" w:hAnsi="Arial" w:cs="Arial"/>
          <w:sz w:val="21"/>
          <w:szCs w:val="21"/>
        </w:rPr>
      </w:pPr>
      <w:r w:rsidRPr="00026F95">
        <w:rPr>
          <w:rFonts w:ascii="Arial" w:hAnsi="Arial" w:cs="Arial"/>
          <w:sz w:val="21"/>
          <w:szCs w:val="21"/>
        </w:rPr>
        <w:t>Na Ásia (excluindo a Índia), a procura por pneus radiais e diagonais de substituição desceu 4% durante este período. O mercado chinês retraiu-se 4% e o arrefecimento da economia afetou a procura. Os mercados no resto da região também diminuíram, com especial declínio na Tailândia e no Japão, onde a procura sofreu uma queda acentuada dos valores da primeira metade de 2014 antes do aumento do IVA.</w:t>
      </w:r>
    </w:p>
    <w:p w14:paraId="339E5A10" w14:textId="77777777" w:rsidR="00026F95" w:rsidRPr="00026F95" w:rsidRDefault="00026F95" w:rsidP="00026F95">
      <w:pPr>
        <w:spacing w:after="60"/>
        <w:ind w:left="1080"/>
        <w:jc w:val="both"/>
        <w:rPr>
          <w:rFonts w:ascii="Arial" w:hAnsi="Arial" w:cs="Arial"/>
          <w:sz w:val="21"/>
          <w:szCs w:val="21"/>
        </w:rPr>
      </w:pPr>
    </w:p>
    <w:p w14:paraId="5CF1D3E7" w14:textId="77777777" w:rsidR="0029325C" w:rsidRPr="00026F95" w:rsidRDefault="0029325C" w:rsidP="0029325C">
      <w:pPr>
        <w:numPr>
          <w:ilvl w:val="1"/>
          <w:numId w:val="3"/>
        </w:numPr>
        <w:spacing w:after="60"/>
        <w:jc w:val="both"/>
        <w:rPr>
          <w:rFonts w:ascii="Arial" w:hAnsi="Arial" w:cs="Arial"/>
          <w:sz w:val="21"/>
          <w:szCs w:val="21"/>
        </w:rPr>
      </w:pPr>
      <w:r w:rsidRPr="00026F95">
        <w:rPr>
          <w:rFonts w:ascii="Arial" w:hAnsi="Arial" w:cs="Arial"/>
          <w:sz w:val="21"/>
          <w:szCs w:val="21"/>
        </w:rPr>
        <w:t>O Mercado de substituição radial e diagonal da América do Sul contraiu 5% e a uma maior escala no Brasil, que enfrenta uma conjuntura económica mais adversa.</w:t>
      </w:r>
    </w:p>
    <w:p w14:paraId="445B38AF" w14:textId="77777777" w:rsidR="0029325C" w:rsidRPr="0029325C" w:rsidRDefault="0029325C" w:rsidP="0029325C">
      <w:pPr>
        <w:tabs>
          <w:tab w:val="left" w:pos="284"/>
        </w:tabs>
        <w:jc w:val="both"/>
        <w:rPr>
          <w:rFonts w:ascii="Verdana" w:hAnsi="Verdana" w:cs="Arial"/>
          <w:b/>
          <w:sz w:val="18"/>
          <w:szCs w:val="18"/>
        </w:rPr>
      </w:pPr>
    </w:p>
    <w:p w14:paraId="7A9A5D66" w14:textId="77777777" w:rsidR="00026F95" w:rsidRDefault="0029325C" w:rsidP="00026F95">
      <w:pPr>
        <w:tabs>
          <w:tab w:val="left" w:pos="284"/>
        </w:tabs>
        <w:jc w:val="both"/>
        <w:rPr>
          <w:rFonts w:ascii="Times" w:eastAsia="Arial Unicode MS" w:hAnsi="Times"/>
          <w:b/>
          <w:bCs/>
          <w:color w:val="000000"/>
          <w:sz w:val="26"/>
          <w:szCs w:val="26"/>
          <w:u w:color="000000"/>
          <w:lang w:val="es-ES_tradnl" w:eastAsia="en-US"/>
        </w:rPr>
      </w:pPr>
      <w:r w:rsidRPr="00026F95">
        <w:rPr>
          <w:rFonts w:ascii="Times" w:eastAsia="Arial Unicode MS" w:hAnsi="Times"/>
          <w:b/>
          <w:bCs/>
          <w:color w:val="000000"/>
          <w:sz w:val="26"/>
          <w:szCs w:val="26"/>
          <w:u w:color="000000"/>
          <w:lang w:val="es-ES_tradnl" w:eastAsia="en-US"/>
        </w:rPr>
        <w:t xml:space="preserve"> </w:t>
      </w:r>
    </w:p>
    <w:p w14:paraId="0EFE0B5E" w14:textId="77777777" w:rsidR="0029325C" w:rsidRPr="00026F95" w:rsidRDefault="0029325C" w:rsidP="00026F95">
      <w:pPr>
        <w:tabs>
          <w:tab w:val="left" w:pos="284"/>
        </w:tabs>
        <w:jc w:val="both"/>
        <w:rPr>
          <w:rFonts w:ascii="Times" w:eastAsia="Arial Unicode MS" w:hAnsi="Times"/>
          <w:b/>
          <w:bCs/>
          <w:color w:val="000000"/>
          <w:sz w:val="26"/>
          <w:szCs w:val="26"/>
          <w:u w:color="000000"/>
          <w:lang w:val="es-ES_tradnl" w:eastAsia="en-US"/>
        </w:rPr>
      </w:pPr>
      <w:proofErr w:type="spellStart"/>
      <w:r w:rsidRPr="00026F95">
        <w:rPr>
          <w:rFonts w:ascii="Times" w:eastAsia="Arial Unicode MS" w:hAnsi="Times"/>
          <w:b/>
          <w:bCs/>
          <w:color w:val="000000"/>
          <w:sz w:val="26"/>
          <w:szCs w:val="26"/>
          <w:u w:color="000000"/>
          <w:lang w:val="es-ES_tradnl" w:eastAsia="en-US"/>
        </w:rPr>
        <w:t>Pneus</w:t>
      </w:r>
      <w:proofErr w:type="spellEnd"/>
      <w:r w:rsidRPr="00026F95">
        <w:rPr>
          <w:rFonts w:ascii="Times" w:eastAsia="Arial Unicode MS" w:hAnsi="Times"/>
          <w:b/>
          <w:bCs/>
          <w:color w:val="000000"/>
          <w:sz w:val="26"/>
          <w:szCs w:val="26"/>
          <w:u w:color="000000"/>
          <w:lang w:val="es-ES_tradnl" w:eastAsia="en-US"/>
        </w:rPr>
        <w:t xml:space="preserve"> especiais</w:t>
      </w:r>
    </w:p>
    <w:p w14:paraId="4306CB9F" w14:textId="77777777" w:rsidR="0029325C" w:rsidRPr="0029325C" w:rsidRDefault="0029325C" w:rsidP="0029325C">
      <w:pPr>
        <w:tabs>
          <w:tab w:val="left" w:pos="284"/>
        </w:tabs>
        <w:jc w:val="both"/>
        <w:rPr>
          <w:rFonts w:ascii="Verdana" w:hAnsi="Verdana" w:cs="Arial"/>
          <w:b/>
          <w:sz w:val="24"/>
          <w:szCs w:val="24"/>
        </w:rPr>
      </w:pPr>
    </w:p>
    <w:p w14:paraId="76BE6E9F" w14:textId="77777777" w:rsidR="0029325C" w:rsidRPr="00504801" w:rsidRDefault="00504801" w:rsidP="0029325C">
      <w:pPr>
        <w:numPr>
          <w:ilvl w:val="0"/>
          <w:numId w:val="3"/>
        </w:numPr>
        <w:spacing w:after="60"/>
        <w:jc w:val="both"/>
        <w:rPr>
          <w:rFonts w:ascii="Arial" w:hAnsi="Arial" w:cs="Arial"/>
          <w:sz w:val="21"/>
          <w:szCs w:val="21"/>
        </w:rPr>
      </w:pPr>
      <w:r w:rsidRPr="00504801">
        <w:rPr>
          <w:rFonts w:ascii="Arial" w:hAnsi="Arial" w:cs="Arial"/>
          <w:b/>
          <w:bCs/>
          <w:sz w:val="21"/>
          <w:szCs w:val="21"/>
        </w:rPr>
        <w:t>Engenharia civil</w:t>
      </w:r>
      <w:r w:rsidR="0029325C" w:rsidRPr="00504801">
        <w:rPr>
          <w:rFonts w:ascii="Arial" w:hAnsi="Arial" w:cs="Arial"/>
          <w:b/>
          <w:smallCaps/>
          <w:sz w:val="21"/>
          <w:szCs w:val="21"/>
        </w:rPr>
        <w:t xml:space="preserve">: </w:t>
      </w:r>
      <w:r w:rsidR="0029325C" w:rsidRPr="00504801">
        <w:rPr>
          <w:rFonts w:ascii="Arial" w:hAnsi="Arial" w:cs="Arial"/>
          <w:sz w:val="21"/>
          <w:szCs w:val="21"/>
        </w:rPr>
        <w:t xml:space="preserve">o mercado de pneus para </w:t>
      </w:r>
      <w:r w:rsidR="00C47531" w:rsidRPr="00504801">
        <w:rPr>
          <w:rFonts w:ascii="Arial" w:hAnsi="Arial" w:cs="Arial"/>
          <w:sz w:val="21"/>
          <w:szCs w:val="21"/>
        </w:rPr>
        <w:t>minaria</w:t>
      </w:r>
      <w:r w:rsidR="0029325C" w:rsidRPr="00504801">
        <w:rPr>
          <w:rFonts w:ascii="Arial" w:hAnsi="Arial" w:cs="Arial"/>
          <w:sz w:val="21"/>
          <w:szCs w:val="21"/>
        </w:rPr>
        <w:t xml:space="preserve"> baixou os níveis da primeira metade de 2014, enquanto as companhias de extração continuaram a ajustar os seus inventários de pneus e as operações nalgumas minas foram reduzidas como consequência da diminuição dos preços dos produtos. </w:t>
      </w:r>
    </w:p>
    <w:p w14:paraId="02A6BE21" w14:textId="77777777" w:rsidR="0029325C" w:rsidRPr="00504801" w:rsidRDefault="0029325C" w:rsidP="0029325C">
      <w:pPr>
        <w:spacing w:after="60"/>
        <w:ind w:left="360"/>
        <w:jc w:val="both"/>
        <w:rPr>
          <w:rFonts w:ascii="Arial" w:hAnsi="Arial" w:cs="Arial"/>
          <w:b/>
          <w:smallCaps/>
          <w:sz w:val="21"/>
          <w:szCs w:val="21"/>
        </w:rPr>
      </w:pPr>
      <w:r w:rsidRPr="00504801">
        <w:rPr>
          <w:rFonts w:ascii="Arial" w:hAnsi="Arial" w:cs="Arial"/>
          <w:sz w:val="21"/>
          <w:szCs w:val="21"/>
        </w:rPr>
        <w:lastRenderedPageBreak/>
        <w:t>A procura continuou a crescer em mercados maduros.</w:t>
      </w:r>
    </w:p>
    <w:p w14:paraId="51D8AEE9" w14:textId="77777777" w:rsidR="0029325C" w:rsidRDefault="0029325C" w:rsidP="0029325C">
      <w:pPr>
        <w:spacing w:after="60"/>
        <w:ind w:left="360"/>
        <w:jc w:val="both"/>
        <w:rPr>
          <w:rFonts w:ascii="Arial" w:hAnsi="Arial" w:cs="Arial"/>
          <w:sz w:val="21"/>
          <w:szCs w:val="21"/>
        </w:rPr>
      </w:pPr>
      <w:r w:rsidRPr="00504801">
        <w:rPr>
          <w:rFonts w:ascii="Arial" w:hAnsi="Arial" w:cs="Arial"/>
          <w:sz w:val="21"/>
          <w:szCs w:val="21"/>
        </w:rPr>
        <w:t>A procura por pneus usados em infraestruturas e pedreiras aumentou ligeiramente em mercados maduros, encabeçada pela América do Norte.</w:t>
      </w:r>
    </w:p>
    <w:p w14:paraId="00BAFFF6" w14:textId="77777777" w:rsidR="00504801" w:rsidRPr="00504801" w:rsidRDefault="00504801" w:rsidP="00504801">
      <w:pPr>
        <w:spacing w:after="60"/>
        <w:jc w:val="both"/>
        <w:rPr>
          <w:rFonts w:ascii="Arial" w:hAnsi="Arial" w:cs="Arial"/>
          <w:sz w:val="21"/>
          <w:szCs w:val="21"/>
        </w:rPr>
      </w:pPr>
    </w:p>
    <w:p w14:paraId="20FA2648" w14:textId="77777777" w:rsidR="0029325C" w:rsidRDefault="0029325C" w:rsidP="0029325C">
      <w:pPr>
        <w:numPr>
          <w:ilvl w:val="0"/>
          <w:numId w:val="3"/>
        </w:numPr>
        <w:spacing w:after="60"/>
        <w:jc w:val="both"/>
        <w:rPr>
          <w:rFonts w:ascii="Arial" w:hAnsi="Arial" w:cs="Arial"/>
          <w:sz w:val="21"/>
          <w:szCs w:val="21"/>
        </w:rPr>
      </w:pPr>
      <w:r w:rsidRPr="00504801">
        <w:rPr>
          <w:rFonts w:ascii="Arial" w:hAnsi="Arial" w:cs="Arial"/>
          <w:b/>
          <w:bCs/>
          <w:sz w:val="21"/>
          <w:szCs w:val="21"/>
        </w:rPr>
        <w:t>Pneus agrícolas:</w:t>
      </w:r>
      <w:r w:rsidRPr="00504801">
        <w:rPr>
          <w:rFonts w:ascii="Arial" w:hAnsi="Arial" w:cs="Arial"/>
          <w:b/>
          <w:smallCaps/>
          <w:sz w:val="21"/>
          <w:szCs w:val="21"/>
        </w:rPr>
        <w:t xml:space="preserve"> </w:t>
      </w:r>
      <w:r w:rsidRPr="00504801">
        <w:rPr>
          <w:rFonts w:ascii="Arial" w:hAnsi="Arial" w:cs="Arial"/>
          <w:sz w:val="21"/>
          <w:szCs w:val="21"/>
        </w:rPr>
        <w:t>A procura global refletiu um grande enfraquecimento contínuo em mercados maduros, assim como as consequências na redução dos preços dos produtos agrícolas e a venda extensiva de maquinaria agrícola de substituição nos últimos anos.</w:t>
      </w:r>
    </w:p>
    <w:p w14:paraId="379B6E8D" w14:textId="77777777" w:rsidR="00504801" w:rsidRPr="00504801" w:rsidRDefault="00504801" w:rsidP="00504801">
      <w:pPr>
        <w:spacing w:after="60"/>
        <w:ind w:left="360"/>
        <w:jc w:val="both"/>
        <w:rPr>
          <w:rFonts w:ascii="Arial" w:hAnsi="Arial" w:cs="Arial"/>
          <w:sz w:val="21"/>
          <w:szCs w:val="21"/>
        </w:rPr>
      </w:pPr>
    </w:p>
    <w:p w14:paraId="60ECE6C2" w14:textId="77777777" w:rsidR="0029325C" w:rsidRDefault="0029325C" w:rsidP="0029325C">
      <w:pPr>
        <w:spacing w:after="60"/>
        <w:ind w:left="360"/>
        <w:jc w:val="both"/>
        <w:rPr>
          <w:rFonts w:ascii="Arial" w:hAnsi="Arial" w:cs="Arial"/>
          <w:sz w:val="21"/>
          <w:szCs w:val="21"/>
        </w:rPr>
      </w:pPr>
      <w:r w:rsidRPr="00504801">
        <w:rPr>
          <w:rFonts w:ascii="Arial" w:hAnsi="Arial" w:cs="Arial"/>
          <w:sz w:val="21"/>
          <w:szCs w:val="21"/>
        </w:rPr>
        <w:t>O mercado de substituição recuou ligeiramente na Europa e mais agressivamente na América do Norte devido à diminuição das receitas agrícolas.</w:t>
      </w:r>
    </w:p>
    <w:p w14:paraId="7B5D863A" w14:textId="77777777" w:rsidR="00504801" w:rsidRPr="00504801" w:rsidRDefault="00504801" w:rsidP="00504801">
      <w:pPr>
        <w:spacing w:after="60"/>
        <w:jc w:val="both"/>
        <w:rPr>
          <w:rFonts w:ascii="Arial" w:hAnsi="Arial" w:cs="Arial"/>
          <w:sz w:val="21"/>
          <w:szCs w:val="21"/>
        </w:rPr>
      </w:pPr>
    </w:p>
    <w:p w14:paraId="4DF35289" w14:textId="77777777" w:rsidR="0029325C" w:rsidRDefault="0029325C" w:rsidP="0029325C">
      <w:pPr>
        <w:numPr>
          <w:ilvl w:val="0"/>
          <w:numId w:val="3"/>
        </w:numPr>
        <w:spacing w:after="60"/>
        <w:jc w:val="both"/>
        <w:rPr>
          <w:rFonts w:ascii="Arial" w:hAnsi="Arial" w:cs="Arial"/>
          <w:sz w:val="21"/>
          <w:szCs w:val="21"/>
        </w:rPr>
      </w:pPr>
      <w:r w:rsidRPr="00504801">
        <w:rPr>
          <w:rFonts w:ascii="Arial" w:hAnsi="Arial" w:cs="Arial"/>
          <w:b/>
          <w:bCs/>
          <w:sz w:val="21"/>
          <w:szCs w:val="21"/>
        </w:rPr>
        <w:t>Pneus para motocicletas:</w:t>
      </w:r>
      <w:r w:rsidRPr="00504801">
        <w:rPr>
          <w:rFonts w:ascii="Arial" w:hAnsi="Arial" w:cs="Arial"/>
          <w:b/>
          <w:smallCaps/>
          <w:sz w:val="21"/>
          <w:szCs w:val="21"/>
        </w:rPr>
        <w:t xml:space="preserve"> </w:t>
      </w:r>
      <w:r w:rsidRPr="00504801">
        <w:rPr>
          <w:rFonts w:ascii="Arial" w:hAnsi="Arial" w:cs="Arial"/>
          <w:sz w:val="21"/>
          <w:szCs w:val="21"/>
        </w:rPr>
        <w:t>os mercados de pneus de motocicletas aumentaram em geografias maduras, apoiados pelo otimismo dos concessionários, especialmente na Europa.</w:t>
      </w:r>
    </w:p>
    <w:p w14:paraId="0AB2282A" w14:textId="77777777" w:rsidR="00504801" w:rsidRPr="00504801" w:rsidRDefault="00504801" w:rsidP="00504801">
      <w:pPr>
        <w:spacing w:after="60"/>
        <w:ind w:left="360"/>
        <w:jc w:val="both"/>
        <w:rPr>
          <w:rFonts w:ascii="Arial" w:hAnsi="Arial" w:cs="Arial"/>
          <w:sz w:val="21"/>
          <w:szCs w:val="21"/>
        </w:rPr>
      </w:pPr>
    </w:p>
    <w:p w14:paraId="6FBB974A" w14:textId="77777777" w:rsidR="0029325C" w:rsidRPr="00504801" w:rsidRDefault="0029325C" w:rsidP="0029325C">
      <w:pPr>
        <w:numPr>
          <w:ilvl w:val="0"/>
          <w:numId w:val="3"/>
        </w:numPr>
        <w:spacing w:after="60"/>
        <w:jc w:val="both"/>
        <w:rPr>
          <w:rFonts w:ascii="Arial" w:hAnsi="Arial" w:cs="Arial"/>
          <w:sz w:val="21"/>
          <w:szCs w:val="21"/>
        </w:rPr>
      </w:pPr>
      <w:r w:rsidRPr="00504801">
        <w:rPr>
          <w:rFonts w:ascii="Arial" w:hAnsi="Arial" w:cs="Arial"/>
          <w:b/>
          <w:bCs/>
          <w:sz w:val="21"/>
          <w:szCs w:val="21"/>
        </w:rPr>
        <w:t>Pneus de aviação:</w:t>
      </w:r>
      <w:r w:rsidRPr="00504801">
        <w:rPr>
          <w:rFonts w:ascii="Arial" w:hAnsi="Arial" w:cs="Arial"/>
          <w:b/>
          <w:smallCaps/>
          <w:sz w:val="21"/>
          <w:szCs w:val="21"/>
        </w:rPr>
        <w:t xml:space="preserve"> </w:t>
      </w:r>
      <w:r w:rsidRPr="00504801">
        <w:rPr>
          <w:rFonts w:ascii="Arial" w:hAnsi="Arial" w:cs="Arial"/>
          <w:sz w:val="21"/>
          <w:szCs w:val="21"/>
        </w:rPr>
        <w:t xml:space="preserve">a procura no </w:t>
      </w:r>
      <w:proofErr w:type="spellStart"/>
      <w:r w:rsidRPr="00504801">
        <w:rPr>
          <w:rFonts w:ascii="Arial" w:hAnsi="Arial" w:cs="Arial"/>
          <w:sz w:val="21"/>
          <w:szCs w:val="21"/>
        </w:rPr>
        <w:t>setor</w:t>
      </w:r>
      <w:proofErr w:type="spellEnd"/>
      <w:r w:rsidRPr="00504801">
        <w:rPr>
          <w:rFonts w:ascii="Arial" w:hAnsi="Arial" w:cs="Arial"/>
          <w:sz w:val="21"/>
          <w:szCs w:val="21"/>
        </w:rPr>
        <w:t xml:space="preserve"> de aviação comercial continuou a crescer, impulsionada pelo aumento do fluxo de passageiros.</w:t>
      </w:r>
    </w:p>
    <w:p w14:paraId="0AA7EF64" w14:textId="77777777" w:rsidR="0029325C" w:rsidRPr="00504801" w:rsidRDefault="0029325C" w:rsidP="0029325C">
      <w:pPr>
        <w:tabs>
          <w:tab w:val="left" w:pos="360"/>
        </w:tabs>
        <w:jc w:val="both"/>
        <w:rPr>
          <w:rFonts w:ascii="Arial" w:hAnsi="Arial" w:cs="Arial"/>
          <w:b/>
          <w:bCs/>
          <w:sz w:val="21"/>
          <w:szCs w:val="21"/>
        </w:rPr>
      </w:pPr>
    </w:p>
    <w:p w14:paraId="67978C65" w14:textId="77777777" w:rsidR="0029325C" w:rsidRPr="00504801" w:rsidRDefault="0029325C" w:rsidP="0029325C">
      <w:pPr>
        <w:jc w:val="both"/>
        <w:rPr>
          <w:rFonts w:ascii="Arial" w:hAnsi="Arial" w:cs="Arial"/>
          <w:b/>
          <w:sz w:val="21"/>
          <w:szCs w:val="21"/>
        </w:rPr>
      </w:pPr>
    </w:p>
    <w:p w14:paraId="3BF1D9F4" w14:textId="77777777" w:rsidR="0029325C" w:rsidRPr="0029325C" w:rsidRDefault="0029325C" w:rsidP="0029325C">
      <w:pPr>
        <w:jc w:val="both"/>
        <w:rPr>
          <w:rFonts w:ascii="Verdana" w:hAnsi="Verdana" w:cs="Arial"/>
          <w:b/>
          <w:sz w:val="18"/>
          <w:szCs w:val="18"/>
        </w:rPr>
      </w:pPr>
    </w:p>
    <w:p w14:paraId="4843489F" w14:textId="77777777" w:rsidR="0029325C" w:rsidRPr="00504801" w:rsidRDefault="0029325C" w:rsidP="00504801">
      <w:pPr>
        <w:spacing w:after="240" w:line="360" w:lineRule="exact"/>
        <w:outlineLvl w:val="0"/>
        <w:rPr>
          <w:rFonts w:ascii="Times" w:eastAsia="Arial Unicode MS" w:hAnsi="Times"/>
          <w:b/>
          <w:color w:val="333399"/>
          <w:sz w:val="40"/>
          <w:szCs w:val="24"/>
          <w:u w:color="333399"/>
          <w:lang w:val="es-ES_tradnl" w:eastAsia="en-US"/>
        </w:rPr>
      </w:pPr>
      <w:r w:rsidRPr="00504801">
        <w:rPr>
          <w:rFonts w:ascii="Times" w:eastAsia="Arial Unicode MS" w:hAnsi="Times"/>
          <w:b/>
          <w:color w:val="333399"/>
          <w:sz w:val="40"/>
          <w:szCs w:val="24"/>
          <w:u w:color="333399"/>
          <w:lang w:val="es-ES_tradnl" w:eastAsia="en-US"/>
        </w:rPr>
        <w:t>Vendas líquidas e Resultados</w:t>
      </w:r>
      <w:r w:rsidR="00504801">
        <w:rPr>
          <w:rFonts w:ascii="Times" w:eastAsia="Arial Unicode MS" w:hAnsi="Times"/>
          <w:b/>
          <w:color w:val="333399"/>
          <w:sz w:val="40"/>
          <w:szCs w:val="24"/>
          <w:u w:color="333399"/>
          <w:lang w:val="es-ES_tradnl" w:eastAsia="en-US"/>
        </w:rPr>
        <w:t xml:space="preserve"> </w:t>
      </w:r>
      <w:r w:rsidR="00504801" w:rsidRPr="00504801">
        <w:rPr>
          <w:rFonts w:ascii="Times" w:eastAsia="Arial Unicode MS" w:hAnsi="Times"/>
          <w:b/>
          <w:color w:val="333399"/>
          <w:sz w:val="40"/>
          <w:szCs w:val="24"/>
          <w:u w:color="333399"/>
          <w:lang w:val="es-ES_tradnl" w:eastAsia="en-US"/>
        </w:rPr>
        <w:t>de Michelin</w:t>
      </w:r>
    </w:p>
    <w:p w14:paraId="5845D394" w14:textId="77777777" w:rsidR="0029325C" w:rsidRPr="00504801" w:rsidRDefault="0029325C" w:rsidP="00504801">
      <w:pPr>
        <w:tabs>
          <w:tab w:val="left" w:pos="284"/>
        </w:tabs>
        <w:jc w:val="both"/>
        <w:rPr>
          <w:rFonts w:ascii="Times New Roman" w:eastAsia="Arial Unicode MS" w:hAnsi="Arial Unicode MS"/>
          <w:b/>
          <w:color w:val="000000"/>
          <w:sz w:val="26"/>
          <w:szCs w:val="24"/>
          <w:u w:color="000000"/>
          <w:lang w:val="es-ES_tradnl" w:eastAsia="en-US"/>
        </w:rPr>
      </w:pPr>
      <w:r w:rsidRPr="00504801">
        <w:rPr>
          <w:rFonts w:ascii="Times New Roman" w:eastAsia="Arial Unicode MS" w:hAnsi="Arial Unicode MS"/>
          <w:b/>
          <w:color w:val="000000"/>
          <w:sz w:val="26"/>
          <w:szCs w:val="24"/>
          <w:u w:color="000000"/>
          <w:lang w:val="es-ES_tradnl" w:eastAsia="en-US"/>
        </w:rPr>
        <w:t>Vendas</w:t>
      </w:r>
      <w:r w:rsidRPr="00446F53">
        <w:rPr>
          <w:rFonts w:ascii="Times" w:eastAsia="Arial Unicode MS" w:hAnsi="Times"/>
          <w:b/>
          <w:color w:val="000000"/>
          <w:sz w:val="26"/>
          <w:szCs w:val="24"/>
          <w:u w:color="000000"/>
          <w:lang w:val="es-ES_tradnl" w:eastAsia="en-US"/>
        </w:rPr>
        <w:t xml:space="preserve"> líquidas</w:t>
      </w:r>
    </w:p>
    <w:p w14:paraId="09D2AA1D" w14:textId="77777777" w:rsidR="0029325C" w:rsidRPr="0029325C" w:rsidRDefault="0029325C" w:rsidP="0029325C">
      <w:pPr>
        <w:tabs>
          <w:tab w:val="left" w:pos="284"/>
        </w:tabs>
        <w:jc w:val="both"/>
        <w:rPr>
          <w:rFonts w:ascii="Verdana" w:hAnsi="Verdana" w:cs="Arial"/>
          <w:b/>
          <w:sz w:val="24"/>
          <w:szCs w:val="24"/>
        </w:rPr>
      </w:pPr>
    </w:p>
    <w:p w14:paraId="71D4C9BD" w14:textId="77777777" w:rsidR="0029325C" w:rsidRDefault="0029325C" w:rsidP="0029325C">
      <w:pPr>
        <w:tabs>
          <w:tab w:val="left" w:pos="360"/>
        </w:tabs>
        <w:adjustRightInd w:val="0"/>
        <w:snapToGrid w:val="0"/>
        <w:jc w:val="both"/>
        <w:rPr>
          <w:rFonts w:ascii="Arial" w:hAnsi="Arial" w:cs="Arial"/>
          <w:sz w:val="21"/>
          <w:szCs w:val="21"/>
        </w:rPr>
      </w:pPr>
      <w:r w:rsidRPr="00446F53">
        <w:rPr>
          <w:rFonts w:ascii="Arial" w:hAnsi="Arial" w:cs="Arial"/>
          <w:sz w:val="21"/>
          <w:szCs w:val="21"/>
        </w:rPr>
        <w:t>As vendas líquidas nos primeiros seis meses de 2015 perfizeram um total de €10,497 milhões, representando um aumento de 8,5% comparativamente com o período do ano anterior que foi atribuível ao impacto líquido dos seguintes fatores:</w:t>
      </w:r>
    </w:p>
    <w:p w14:paraId="0B4C4223" w14:textId="77777777" w:rsidR="00446F53" w:rsidRPr="00446F53" w:rsidRDefault="00446F53" w:rsidP="0029325C">
      <w:pPr>
        <w:tabs>
          <w:tab w:val="left" w:pos="360"/>
        </w:tabs>
        <w:adjustRightInd w:val="0"/>
        <w:snapToGrid w:val="0"/>
        <w:jc w:val="both"/>
        <w:rPr>
          <w:rFonts w:ascii="Arial" w:hAnsi="Arial" w:cs="Arial"/>
          <w:sz w:val="21"/>
          <w:szCs w:val="21"/>
        </w:rPr>
      </w:pPr>
    </w:p>
    <w:p w14:paraId="0791F08A" w14:textId="77777777" w:rsidR="0029325C" w:rsidRDefault="0029325C" w:rsidP="0029325C">
      <w:pPr>
        <w:numPr>
          <w:ilvl w:val="0"/>
          <w:numId w:val="3"/>
        </w:numPr>
        <w:spacing w:after="60"/>
        <w:jc w:val="both"/>
        <w:rPr>
          <w:rFonts w:ascii="Arial" w:hAnsi="Arial" w:cs="Arial"/>
          <w:sz w:val="21"/>
          <w:szCs w:val="21"/>
        </w:rPr>
      </w:pPr>
      <w:r w:rsidRPr="00446F53">
        <w:rPr>
          <w:rFonts w:ascii="Arial" w:hAnsi="Arial" w:cs="Arial"/>
          <w:sz w:val="21"/>
          <w:szCs w:val="21"/>
        </w:rPr>
        <w:t>O aumento de 2,4% dos volumes do mercado, impulsionado pela aceleração esperada no crescimento trimestral, pelo desempenho da marca MICHELIN e pela recuperação das outras marcas.</w:t>
      </w:r>
    </w:p>
    <w:p w14:paraId="04C59DFA" w14:textId="77777777" w:rsidR="00446F53" w:rsidRPr="00446F53" w:rsidRDefault="00446F53" w:rsidP="00446F53">
      <w:pPr>
        <w:spacing w:after="60"/>
        <w:ind w:left="360"/>
        <w:jc w:val="both"/>
        <w:rPr>
          <w:rFonts w:ascii="Arial" w:hAnsi="Arial" w:cs="Arial"/>
          <w:sz w:val="21"/>
          <w:szCs w:val="21"/>
        </w:rPr>
      </w:pPr>
    </w:p>
    <w:p w14:paraId="2C4A2A02" w14:textId="77777777" w:rsidR="0029325C" w:rsidRDefault="0029325C" w:rsidP="0029325C">
      <w:pPr>
        <w:numPr>
          <w:ilvl w:val="0"/>
          <w:numId w:val="3"/>
        </w:numPr>
        <w:spacing w:after="60"/>
        <w:jc w:val="both"/>
        <w:rPr>
          <w:rFonts w:ascii="Arial" w:hAnsi="Arial" w:cs="Arial"/>
          <w:sz w:val="21"/>
          <w:szCs w:val="21"/>
        </w:rPr>
      </w:pPr>
      <w:r w:rsidRPr="00446F53">
        <w:rPr>
          <w:rFonts w:ascii="Arial" w:hAnsi="Arial" w:cs="Arial"/>
          <w:sz w:val="21"/>
          <w:szCs w:val="21"/>
        </w:rPr>
        <w:t>A queda de 4,3% no composto de preço decorrente da aplicação das cláusulas de indexação e o reposicionamento controlado dos preços. Contudo, como esperado, este efeito melhorou durante o segundo trimestre.</w:t>
      </w:r>
    </w:p>
    <w:p w14:paraId="343A4C52" w14:textId="77777777" w:rsidR="00446F53" w:rsidRPr="00446F53" w:rsidRDefault="00446F53" w:rsidP="00446F53">
      <w:pPr>
        <w:spacing w:after="60"/>
        <w:ind w:left="360"/>
        <w:jc w:val="both"/>
        <w:rPr>
          <w:rFonts w:ascii="Arial" w:hAnsi="Arial" w:cs="Arial"/>
          <w:sz w:val="21"/>
          <w:szCs w:val="21"/>
        </w:rPr>
      </w:pPr>
    </w:p>
    <w:p w14:paraId="3B8EA51B" w14:textId="77777777" w:rsidR="0029325C" w:rsidRDefault="0029325C" w:rsidP="00446F53">
      <w:pPr>
        <w:numPr>
          <w:ilvl w:val="0"/>
          <w:numId w:val="3"/>
        </w:numPr>
        <w:spacing w:after="60"/>
        <w:jc w:val="both"/>
        <w:rPr>
          <w:rFonts w:ascii="Arial" w:hAnsi="Arial" w:cs="Arial"/>
          <w:sz w:val="21"/>
          <w:szCs w:val="21"/>
        </w:rPr>
      </w:pPr>
      <w:r w:rsidRPr="00446F53">
        <w:rPr>
          <w:rFonts w:ascii="Arial" w:hAnsi="Arial" w:cs="Arial"/>
          <w:sz w:val="21"/>
          <w:szCs w:val="21"/>
        </w:rPr>
        <w:t>Os importantes 10,2% de efeitos favoráveis da moeda, refletindo o declínio do euro contra as principais moedas operacionais do Grupo.</w:t>
      </w:r>
    </w:p>
    <w:p w14:paraId="6A60C2F0" w14:textId="77777777" w:rsidR="00446F53" w:rsidRPr="00446F53" w:rsidRDefault="00446F53" w:rsidP="00446F53">
      <w:pPr>
        <w:spacing w:after="60"/>
        <w:ind w:left="360"/>
        <w:jc w:val="both"/>
        <w:rPr>
          <w:rFonts w:ascii="Arial" w:hAnsi="Arial" w:cs="Arial"/>
          <w:sz w:val="21"/>
          <w:szCs w:val="21"/>
        </w:rPr>
      </w:pPr>
    </w:p>
    <w:p w14:paraId="1D2371FE" w14:textId="77777777" w:rsidR="0029325C" w:rsidRPr="00446F53" w:rsidRDefault="0029325C" w:rsidP="0029325C">
      <w:pPr>
        <w:numPr>
          <w:ilvl w:val="0"/>
          <w:numId w:val="3"/>
        </w:numPr>
        <w:spacing w:after="60"/>
        <w:jc w:val="both"/>
        <w:rPr>
          <w:rFonts w:ascii="Arial" w:hAnsi="Arial" w:cs="Arial"/>
          <w:bCs/>
          <w:sz w:val="21"/>
          <w:szCs w:val="21"/>
        </w:rPr>
      </w:pPr>
      <w:r w:rsidRPr="00446F53">
        <w:rPr>
          <w:rFonts w:ascii="Arial" w:hAnsi="Arial" w:cs="Arial"/>
          <w:sz w:val="21"/>
          <w:szCs w:val="21"/>
        </w:rPr>
        <w:t>O aumento de 0,5% resultante de mudanças no âmbito da consolidação.</w:t>
      </w:r>
    </w:p>
    <w:p w14:paraId="73D8D9F6" w14:textId="77777777" w:rsidR="0029325C" w:rsidRPr="0029325C" w:rsidRDefault="0029325C" w:rsidP="0029325C">
      <w:pPr>
        <w:tabs>
          <w:tab w:val="left" w:pos="360"/>
        </w:tabs>
        <w:jc w:val="both"/>
        <w:rPr>
          <w:rFonts w:ascii="Arial" w:hAnsi="Arial" w:cs="Arial"/>
          <w:b/>
          <w:bCs/>
        </w:rPr>
      </w:pPr>
    </w:p>
    <w:p w14:paraId="612EB783" w14:textId="77777777" w:rsidR="0029325C" w:rsidRPr="00446F53" w:rsidRDefault="0029325C" w:rsidP="00446F53">
      <w:pPr>
        <w:tabs>
          <w:tab w:val="left" w:pos="284"/>
        </w:tabs>
        <w:jc w:val="both"/>
        <w:rPr>
          <w:rFonts w:ascii="Times" w:eastAsia="Arial Unicode MS" w:hAnsi="Times"/>
          <w:b/>
          <w:color w:val="000000"/>
          <w:sz w:val="26"/>
          <w:szCs w:val="24"/>
          <w:u w:color="000000"/>
          <w:lang w:val="es-ES_tradnl" w:eastAsia="en-US"/>
        </w:rPr>
      </w:pPr>
      <w:r w:rsidRPr="00446F53">
        <w:rPr>
          <w:rFonts w:ascii="Times" w:eastAsia="Arial Unicode MS" w:hAnsi="Times"/>
          <w:b/>
          <w:color w:val="000000"/>
          <w:sz w:val="26"/>
          <w:szCs w:val="24"/>
          <w:u w:color="000000"/>
          <w:lang w:val="es-ES_tradnl" w:eastAsia="en-US"/>
        </w:rPr>
        <w:t>Resultados</w:t>
      </w:r>
    </w:p>
    <w:p w14:paraId="58431440" w14:textId="77777777" w:rsidR="0029325C" w:rsidRPr="00446F53" w:rsidRDefault="0029325C" w:rsidP="0029325C">
      <w:pPr>
        <w:spacing w:after="60"/>
        <w:jc w:val="both"/>
        <w:rPr>
          <w:rFonts w:ascii="Arial" w:hAnsi="Arial" w:cs="Arial"/>
          <w:smallCaps/>
          <w:sz w:val="21"/>
          <w:szCs w:val="21"/>
          <w:u w:val="single"/>
        </w:rPr>
      </w:pPr>
    </w:p>
    <w:p w14:paraId="206CB82A" w14:textId="77777777" w:rsidR="0029325C" w:rsidRPr="00446F53" w:rsidRDefault="0029325C" w:rsidP="0029325C">
      <w:pPr>
        <w:spacing w:after="120"/>
        <w:ind w:left="426"/>
        <w:jc w:val="both"/>
        <w:rPr>
          <w:rFonts w:ascii="Arial" w:hAnsi="Arial" w:cs="Arial"/>
          <w:bCs/>
          <w:sz w:val="21"/>
          <w:szCs w:val="21"/>
        </w:rPr>
      </w:pPr>
      <w:r w:rsidRPr="00446F53">
        <w:rPr>
          <w:rFonts w:ascii="Arial" w:hAnsi="Arial" w:cs="Arial"/>
          <w:b/>
          <w:sz w:val="21"/>
          <w:szCs w:val="21"/>
        </w:rPr>
        <w:t>O resultado operacional consolidado antes de itens não recorrentes atingiu os €1,262 milhões</w:t>
      </w:r>
      <w:r w:rsidRPr="00446F53">
        <w:rPr>
          <w:rFonts w:ascii="Arial" w:hAnsi="Arial" w:cs="Arial"/>
          <w:sz w:val="21"/>
          <w:szCs w:val="21"/>
        </w:rPr>
        <w:t xml:space="preserve"> ou 12,0% de vendas líquidas, mais €103 milhões dos €1,159 milhões e 12,0% registados na primeira metade de 2014. Despesas líquidas antes de itens não recorrentes num valor de €17 milhões, correspondentes ao custo contínuo das organizações do Grupo alinhadas com a conjuntura do mercado prevalecente.</w:t>
      </w:r>
    </w:p>
    <w:p w14:paraId="05E1DFBB" w14:textId="77777777" w:rsidR="0029325C" w:rsidRPr="00446F53" w:rsidRDefault="0029325C" w:rsidP="0029325C">
      <w:pPr>
        <w:spacing w:after="120"/>
        <w:ind w:left="426"/>
        <w:jc w:val="both"/>
        <w:rPr>
          <w:rFonts w:ascii="Arial" w:hAnsi="Arial" w:cs="Arial"/>
          <w:bCs/>
          <w:sz w:val="21"/>
          <w:szCs w:val="21"/>
        </w:rPr>
      </w:pPr>
      <w:r w:rsidRPr="00446F53">
        <w:rPr>
          <w:rFonts w:ascii="Arial" w:hAnsi="Arial" w:cs="Arial"/>
          <w:sz w:val="21"/>
          <w:szCs w:val="21"/>
        </w:rPr>
        <w:t xml:space="preserve">Excluindo os €302 milhões de efeito positivo da moeda, o resultado operativo antes de itens não recorrentes reflete fundamentalmente o aumento de €86 milhões no volume de crescimento e os €426 milhões de impacto negativo líquido da gestão ativa no composto de </w:t>
      </w:r>
      <w:r w:rsidRPr="00446F53">
        <w:rPr>
          <w:rFonts w:ascii="Arial" w:hAnsi="Arial" w:cs="Arial"/>
          <w:sz w:val="21"/>
          <w:szCs w:val="21"/>
        </w:rPr>
        <w:lastRenderedPageBreak/>
        <w:t>preços, dados os €228 milhões de ganho decorrentes dos preços baixos da matéria-prima. Reflete igualmente o esperado aumento de €74 milhões nos custos das depreciações e amortizações, e o aumento de €90 milhões nos custos de produção e outras despesas, assim como o ganho de €64 milhões da implantação contínua do plano de competitividade e o anúncio da redução de €49 milhões em custos iniciais.</w:t>
      </w:r>
    </w:p>
    <w:p w14:paraId="4550AC73" w14:textId="77777777" w:rsidR="0029325C" w:rsidRPr="00446F53" w:rsidRDefault="0029325C" w:rsidP="0029325C">
      <w:pPr>
        <w:spacing w:after="120"/>
        <w:ind w:left="426"/>
        <w:jc w:val="both"/>
        <w:rPr>
          <w:rFonts w:ascii="Arial" w:hAnsi="Arial" w:cs="Arial"/>
          <w:sz w:val="21"/>
          <w:szCs w:val="21"/>
        </w:rPr>
      </w:pPr>
      <w:r w:rsidRPr="00446F53">
        <w:rPr>
          <w:rFonts w:ascii="Arial" w:hAnsi="Arial" w:cs="Arial"/>
          <w:b/>
          <w:sz w:val="21"/>
          <w:szCs w:val="21"/>
        </w:rPr>
        <w:t>Em suma, o resultado líquido para o período alcançou os €707 milhões</w:t>
      </w:r>
      <w:r w:rsidRPr="00446F53">
        <w:rPr>
          <w:rFonts w:ascii="Arial" w:hAnsi="Arial" w:cs="Arial"/>
          <w:sz w:val="21"/>
          <w:szCs w:val="21"/>
        </w:rPr>
        <w:t xml:space="preserve">. </w:t>
      </w:r>
    </w:p>
    <w:p w14:paraId="42F4955D" w14:textId="77777777" w:rsidR="0029325C" w:rsidRPr="0029325C" w:rsidRDefault="0029325C" w:rsidP="0029325C">
      <w:pPr>
        <w:tabs>
          <w:tab w:val="left" w:pos="284"/>
        </w:tabs>
        <w:jc w:val="both"/>
        <w:rPr>
          <w:rFonts w:ascii="Verdana" w:hAnsi="Verdana" w:cs="Arial"/>
          <w:b/>
        </w:rPr>
      </w:pPr>
    </w:p>
    <w:p w14:paraId="3C12E59B" w14:textId="77777777" w:rsidR="0029325C" w:rsidRPr="0029325C" w:rsidRDefault="0029325C" w:rsidP="00446F53">
      <w:pPr>
        <w:tabs>
          <w:tab w:val="left" w:pos="284"/>
        </w:tabs>
        <w:jc w:val="both"/>
        <w:rPr>
          <w:rFonts w:ascii="Verdana" w:hAnsi="Verdana" w:cs="Arial"/>
          <w:b/>
        </w:rPr>
      </w:pPr>
      <w:r w:rsidRPr="0029325C">
        <w:rPr>
          <w:rFonts w:ascii="Verdana" w:hAnsi="Verdana"/>
          <w:b/>
        </w:rPr>
        <w:t xml:space="preserve"> </w:t>
      </w:r>
      <w:r w:rsidRPr="00446F53">
        <w:rPr>
          <w:rFonts w:ascii="Times" w:eastAsia="Arial Unicode MS" w:hAnsi="Times"/>
          <w:b/>
          <w:color w:val="000000"/>
          <w:sz w:val="26"/>
          <w:szCs w:val="24"/>
          <w:u w:color="000000"/>
          <w:lang w:val="es-ES_tradnl" w:eastAsia="en-US"/>
        </w:rPr>
        <w:t>Posição financeira líquida</w:t>
      </w:r>
      <w:r w:rsidRPr="0029325C">
        <w:rPr>
          <w:rFonts w:ascii="Arial" w:hAnsi="Arial"/>
          <w:smallCaps/>
          <w:sz w:val="24"/>
        </w:rPr>
        <w:t xml:space="preserve"> </w:t>
      </w:r>
    </w:p>
    <w:p w14:paraId="3BFF3676" w14:textId="77777777" w:rsidR="0029325C" w:rsidRPr="0029325C" w:rsidRDefault="0029325C" w:rsidP="0029325C">
      <w:pPr>
        <w:keepNext/>
        <w:spacing w:after="60"/>
        <w:jc w:val="both"/>
        <w:rPr>
          <w:rFonts w:ascii="Arial" w:hAnsi="Arial" w:cs="Arial"/>
          <w:smallCaps/>
          <w:sz w:val="24"/>
          <w:szCs w:val="24"/>
          <w:u w:val="single"/>
        </w:rPr>
      </w:pPr>
    </w:p>
    <w:p w14:paraId="48D92DD3" w14:textId="77777777" w:rsidR="0029325C" w:rsidRPr="00B071A1" w:rsidRDefault="0029325C" w:rsidP="0029325C">
      <w:pPr>
        <w:keepNext/>
        <w:tabs>
          <w:tab w:val="num" w:pos="1134"/>
        </w:tabs>
        <w:spacing w:after="120"/>
        <w:ind w:left="426"/>
        <w:jc w:val="both"/>
        <w:rPr>
          <w:rFonts w:ascii="Arial" w:hAnsi="Arial" w:cs="Arial"/>
          <w:sz w:val="21"/>
          <w:szCs w:val="21"/>
        </w:rPr>
      </w:pPr>
      <w:r w:rsidRPr="00B071A1">
        <w:rPr>
          <w:rFonts w:ascii="Arial" w:hAnsi="Arial" w:cs="Arial"/>
          <w:b/>
          <w:sz w:val="21"/>
          <w:szCs w:val="21"/>
        </w:rPr>
        <w:t xml:space="preserve">O fluxo de caixa livre terminou na primeira metade com €100 milhões negativos, </w:t>
      </w:r>
      <w:r w:rsidRPr="00B071A1">
        <w:rPr>
          <w:rFonts w:ascii="Arial" w:hAnsi="Arial" w:cs="Arial"/>
          <w:sz w:val="21"/>
          <w:szCs w:val="21"/>
        </w:rPr>
        <w:t xml:space="preserve">antes das aquisições, um aumento de €132 milhões de acordo com o objetivo da totalidade do ano. O Grupo realizou aquisições num valor total de 119 milhões para o período, nomeadamente formando uma parceria com o </w:t>
      </w:r>
      <w:proofErr w:type="spellStart"/>
      <w:r w:rsidRPr="00B071A1">
        <w:rPr>
          <w:rFonts w:ascii="Arial" w:hAnsi="Arial" w:cs="Arial"/>
          <w:sz w:val="21"/>
          <w:szCs w:val="21"/>
        </w:rPr>
        <w:t>Barito</w:t>
      </w:r>
      <w:proofErr w:type="spellEnd"/>
      <w:r w:rsidRPr="00B071A1">
        <w:rPr>
          <w:rFonts w:ascii="Arial" w:hAnsi="Arial" w:cs="Arial"/>
          <w:sz w:val="21"/>
          <w:szCs w:val="21"/>
        </w:rPr>
        <w:t xml:space="preserve"> </w:t>
      </w:r>
      <w:proofErr w:type="spellStart"/>
      <w:r w:rsidRPr="00B071A1">
        <w:rPr>
          <w:rFonts w:ascii="Arial" w:hAnsi="Arial" w:cs="Arial"/>
          <w:sz w:val="21"/>
          <w:szCs w:val="21"/>
        </w:rPr>
        <w:t>Pacific</w:t>
      </w:r>
      <w:proofErr w:type="spellEnd"/>
      <w:r w:rsidRPr="00B071A1">
        <w:rPr>
          <w:rFonts w:ascii="Arial" w:hAnsi="Arial" w:cs="Arial"/>
          <w:sz w:val="21"/>
          <w:szCs w:val="21"/>
        </w:rPr>
        <w:t xml:space="preserve"> </w:t>
      </w:r>
      <w:proofErr w:type="spellStart"/>
      <w:r w:rsidRPr="00B071A1">
        <w:rPr>
          <w:rFonts w:ascii="Arial" w:hAnsi="Arial" w:cs="Arial"/>
          <w:sz w:val="21"/>
          <w:szCs w:val="21"/>
        </w:rPr>
        <w:t>Group</w:t>
      </w:r>
      <w:proofErr w:type="spellEnd"/>
      <w:r w:rsidRPr="00B071A1">
        <w:rPr>
          <w:rFonts w:ascii="Arial" w:hAnsi="Arial" w:cs="Arial"/>
          <w:sz w:val="21"/>
          <w:szCs w:val="21"/>
        </w:rPr>
        <w:t xml:space="preserve"> para produzir borracha natural </w:t>
      </w:r>
      <w:proofErr w:type="spellStart"/>
      <w:r w:rsidRPr="00B071A1">
        <w:rPr>
          <w:rFonts w:ascii="Arial" w:hAnsi="Arial" w:cs="Arial"/>
          <w:sz w:val="21"/>
          <w:szCs w:val="21"/>
        </w:rPr>
        <w:t>ecorresponsável</w:t>
      </w:r>
      <w:proofErr w:type="spellEnd"/>
      <w:r w:rsidRPr="00B071A1">
        <w:rPr>
          <w:rFonts w:ascii="Arial" w:hAnsi="Arial" w:cs="Arial"/>
          <w:sz w:val="21"/>
          <w:szCs w:val="21"/>
        </w:rPr>
        <w:t xml:space="preserve"> na Indonésia, e adquirir todas as ações da Blackcircles.com. Além destas aquisições, a despesa de capital perfez um total de €632 milhões para o período.</w:t>
      </w:r>
    </w:p>
    <w:p w14:paraId="4EBFD324" w14:textId="77777777" w:rsidR="0029325C" w:rsidRPr="00B071A1" w:rsidRDefault="0029325C" w:rsidP="0029325C">
      <w:pPr>
        <w:tabs>
          <w:tab w:val="left" w:pos="9070"/>
        </w:tabs>
        <w:spacing w:after="120"/>
        <w:ind w:left="426" w:hanging="1"/>
        <w:jc w:val="both"/>
        <w:rPr>
          <w:rFonts w:ascii="Arial" w:hAnsi="Arial" w:cs="Arial"/>
          <w:sz w:val="21"/>
          <w:szCs w:val="21"/>
        </w:rPr>
      </w:pPr>
      <w:r w:rsidRPr="00B071A1">
        <w:rPr>
          <w:rFonts w:ascii="Arial" w:hAnsi="Arial" w:cs="Arial"/>
          <w:sz w:val="21"/>
          <w:szCs w:val="21"/>
        </w:rPr>
        <w:t xml:space="preserve">Tendo em conta o fluxo de caixa livre negativo, as aquisições, a recompra de ações próprias e a emissão de obrigações no valor de €600 milhões em frações de 7 anos e de 12 anos, </w:t>
      </w:r>
      <w:r w:rsidRPr="00B071A1">
        <w:rPr>
          <w:rFonts w:ascii="Arial" w:hAnsi="Arial" w:cs="Arial"/>
          <w:b/>
          <w:sz w:val="21"/>
          <w:szCs w:val="21"/>
        </w:rPr>
        <w:t>a alavancagem manteve-se a 18%</w:t>
      </w:r>
      <w:r w:rsidRPr="00B071A1">
        <w:rPr>
          <w:rFonts w:ascii="Arial" w:hAnsi="Arial" w:cs="Arial"/>
          <w:sz w:val="21"/>
          <w:szCs w:val="21"/>
        </w:rPr>
        <w:t xml:space="preserve"> em 30 de junho de 2015, correspondendo a um endividamento líquido de €1,798 milhões, comparando com os 7% e €707  milhões de 31 de dezembro de 2014.</w:t>
      </w:r>
    </w:p>
    <w:p w14:paraId="3013DD9A" w14:textId="77777777" w:rsidR="0029325C" w:rsidRPr="0029325C" w:rsidRDefault="0029325C" w:rsidP="0029325C">
      <w:pPr>
        <w:tabs>
          <w:tab w:val="left" w:pos="284"/>
        </w:tabs>
        <w:jc w:val="both"/>
        <w:rPr>
          <w:rFonts w:ascii="Verdana" w:hAnsi="Verdana" w:cs="Arial"/>
          <w:b/>
        </w:rPr>
      </w:pPr>
    </w:p>
    <w:p w14:paraId="05292867" w14:textId="77777777" w:rsidR="0029325C" w:rsidRPr="00446F53" w:rsidRDefault="0029325C" w:rsidP="00446F53">
      <w:pPr>
        <w:tabs>
          <w:tab w:val="left" w:pos="284"/>
        </w:tabs>
        <w:jc w:val="both"/>
        <w:rPr>
          <w:rFonts w:ascii="Times" w:eastAsia="Arial Unicode MS" w:hAnsi="Times"/>
          <w:b/>
          <w:color w:val="000000"/>
          <w:sz w:val="26"/>
          <w:szCs w:val="24"/>
          <w:u w:color="000000"/>
          <w:lang w:val="es-ES_tradnl" w:eastAsia="en-US"/>
        </w:rPr>
      </w:pPr>
      <w:r w:rsidRPr="00446F53">
        <w:rPr>
          <w:rFonts w:ascii="Times" w:eastAsia="Arial Unicode MS" w:hAnsi="Times"/>
          <w:b/>
          <w:color w:val="000000"/>
          <w:sz w:val="26"/>
          <w:szCs w:val="24"/>
          <w:u w:color="000000"/>
          <w:lang w:val="es-ES_tradnl" w:eastAsia="en-US"/>
        </w:rPr>
        <w:t xml:space="preserve"> Informação do setor</w:t>
      </w:r>
    </w:p>
    <w:p w14:paraId="16FFA786" w14:textId="77777777" w:rsidR="0029325C" w:rsidRPr="0029325C" w:rsidRDefault="0029325C" w:rsidP="0029325C">
      <w:pPr>
        <w:keepNext/>
        <w:spacing w:after="60"/>
        <w:jc w:val="both"/>
        <w:rPr>
          <w:rFonts w:ascii="Arial" w:hAnsi="Arial" w:cs="Arial"/>
          <w:smallCaps/>
          <w:sz w:val="24"/>
          <w:szCs w:val="24"/>
          <w:u w:val="single"/>
        </w:rPr>
      </w:pPr>
    </w:p>
    <w:tbl>
      <w:tblPr>
        <w:tblW w:w="8368" w:type="dxa"/>
        <w:tblInd w:w="708"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668"/>
        <w:gridCol w:w="1080"/>
        <w:gridCol w:w="1080"/>
        <w:gridCol w:w="1060"/>
        <w:gridCol w:w="1080"/>
        <w:gridCol w:w="1200"/>
        <w:gridCol w:w="1200"/>
      </w:tblGrid>
      <w:tr w:rsidR="0029325C" w:rsidRPr="0029325C" w14:paraId="47F801A8" w14:textId="77777777" w:rsidTr="00E44156">
        <w:tc>
          <w:tcPr>
            <w:tcW w:w="1668" w:type="dxa"/>
            <w:tcBorders>
              <w:top w:val="single" w:sz="2" w:space="0" w:color="auto"/>
              <w:bottom w:val="single" w:sz="2" w:space="0" w:color="auto"/>
              <w:right w:val="single" w:sz="2" w:space="0" w:color="auto"/>
            </w:tcBorders>
            <w:shd w:val="clear" w:color="auto" w:fill="E6E6E6"/>
          </w:tcPr>
          <w:p w14:paraId="68CA8AAE" w14:textId="77777777" w:rsidR="0029325C" w:rsidRPr="0029325C" w:rsidRDefault="0029325C" w:rsidP="00E44156">
            <w:pPr>
              <w:keepNext/>
              <w:jc w:val="center"/>
              <w:rPr>
                <w:rFonts w:ascii="Verdana" w:hAnsi="Verdana" w:cs="Arial"/>
                <w:sz w:val="18"/>
                <w:szCs w:val="18"/>
              </w:rPr>
            </w:pPr>
          </w:p>
          <w:p w14:paraId="3D372E98" w14:textId="77777777" w:rsidR="0029325C" w:rsidRPr="0029325C" w:rsidRDefault="0029325C" w:rsidP="00E44156">
            <w:pPr>
              <w:keepNext/>
              <w:jc w:val="center"/>
              <w:rPr>
                <w:rFonts w:ascii="Arial" w:hAnsi="Arial" w:cs="Arial"/>
              </w:rPr>
            </w:pPr>
            <w:r w:rsidRPr="0029325C">
              <w:rPr>
                <w:rFonts w:ascii="Verdana" w:hAnsi="Verdana"/>
                <w:sz w:val="18"/>
              </w:rPr>
              <w:t>em € milhões</w:t>
            </w:r>
          </w:p>
        </w:tc>
        <w:tc>
          <w:tcPr>
            <w:tcW w:w="2160" w:type="dxa"/>
            <w:gridSpan w:val="2"/>
            <w:tcBorders>
              <w:top w:val="single" w:sz="2" w:space="0" w:color="auto"/>
              <w:left w:val="single" w:sz="2" w:space="0" w:color="auto"/>
              <w:bottom w:val="single" w:sz="2" w:space="0" w:color="auto"/>
              <w:right w:val="single" w:sz="2" w:space="0" w:color="auto"/>
            </w:tcBorders>
            <w:shd w:val="clear" w:color="auto" w:fill="E6E6E6"/>
          </w:tcPr>
          <w:p w14:paraId="090360F4" w14:textId="77777777" w:rsidR="0029325C" w:rsidRPr="0029325C" w:rsidRDefault="00B071A1" w:rsidP="00E44156">
            <w:pPr>
              <w:keepNext/>
              <w:spacing w:after="120"/>
              <w:jc w:val="center"/>
              <w:rPr>
                <w:rFonts w:ascii="Arial" w:hAnsi="Arial" w:cs="Arial"/>
                <w:smallCaps/>
                <w:sz w:val="18"/>
                <w:szCs w:val="18"/>
              </w:rPr>
            </w:pPr>
            <w:r>
              <w:rPr>
                <w:rFonts w:ascii="Arial" w:hAnsi="Arial"/>
                <w:smallCaps/>
                <w:sz w:val="18"/>
              </w:rPr>
              <w:br/>
            </w:r>
            <w:r w:rsidR="0029325C" w:rsidRPr="0029325C">
              <w:rPr>
                <w:rFonts w:ascii="Arial" w:hAnsi="Arial"/>
                <w:smallCaps/>
                <w:sz w:val="18"/>
              </w:rPr>
              <w:t>Vendas líquidas</w:t>
            </w:r>
          </w:p>
        </w:tc>
        <w:tc>
          <w:tcPr>
            <w:tcW w:w="2140" w:type="dxa"/>
            <w:gridSpan w:val="2"/>
            <w:tcBorders>
              <w:top w:val="single" w:sz="2" w:space="0" w:color="auto"/>
              <w:left w:val="single" w:sz="2" w:space="0" w:color="auto"/>
              <w:bottom w:val="single" w:sz="2" w:space="0" w:color="auto"/>
              <w:right w:val="single" w:sz="2" w:space="0" w:color="auto"/>
            </w:tcBorders>
            <w:shd w:val="clear" w:color="auto" w:fill="E6E6E6"/>
          </w:tcPr>
          <w:p w14:paraId="61AB1B0C" w14:textId="77777777" w:rsidR="0029325C" w:rsidRPr="0029325C" w:rsidRDefault="0029325C" w:rsidP="00E44156">
            <w:pPr>
              <w:keepNext/>
              <w:spacing w:after="120"/>
              <w:jc w:val="center"/>
              <w:rPr>
                <w:rFonts w:ascii="Arial" w:hAnsi="Arial" w:cs="Arial"/>
                <w:smallCaps/>
                <w:sz w:val="18"/>
                <w:szCs w:val="18"/>
              </w:rPr>
            </w:pPr>
            <w:r w:rsidRPr="0029325C">
              <w:rPr>
                <w:rFonts w:ascii="Arial" w:hAnsi="Arial"/>
                <w:smallCaps/>
                <w:sz w:val="18"/>
              </w:rPr>
              <w:t xml:space="preserve">Resultado operacional antes de itens não recorrentes </w:t>
            </w:r>
          </w:p>
        </w:tc>
        <w:tc>
          <w:tcPr>
            <w:tcW w:w="2400" w:type="dxa"/>
            <w:gridSpan w:val="2"/>
            <w:tcBorders>
              <w:top w:val="single" w:sz="2" w:space="0" w:color="auto"/>
              <w:left w:val="single" w:sz="2" w:space="0" w:color="auto"/>
              <w:bottom w:val="single" w:sz="2" w:space="0" w:color="auto"/>
            </w:tcBorders>
            <w:shd w:val="clear" w:color="auto" w:fill="E6E6E6"/>
          </w:tcPr>
          <w:p w14:paraId="7C399437" w14:textId="77777777" w:rsidR="0029325C" w:rsidRPr="0029325C" w:rsidRDefault="0029325C" w:rsidP="00E44156">
            <w:pPr>
              <w:keepNext/>
              <w:spacing w:after="120"/>
              <w:jc w:val="center"/>
              <w:rPr>
                <w:rFonts w:ascii="Arial" w:hAnsi="Arial" w:cs="Arial"/>
                <w:smallCaps/>
                <w:sz w:val="18"/>
                <w:szCs w:val="18"/>
              </w:rPr>
            </w:pPr>
            <w:r w:rsidRPr="0029325C">
              <w:rPr>
                <w:rFonts w:ascii="Arial" w:hAnsi="Arial"/>
                <w:smallCaps/>
                <w:sz w:val="18"/>
              </w:rPr>
              <w:t>Margem operacional antes de itens não recorrentes</w:t>
            </w:r>
          </w:p>
        </w:tc>
      </w:tr>
      <w:tr w:rsidR="0029325C" w:rsidRPr="0029325C" w14:paraId="42495AC4" w14:textId="77777777" w:rsidTr="00E44156">
        <w:tc>
          <w:tcPr>
            <w:tcW w:w="1668" w:type="dxa"/>
            <w:tcBorders>
              <w:top w:val="single" w:sz="2" w:space="0" w:color="auto"/>
              <w:bottom w:val="single" w:sz="2" w:space="0" w:color="auto"/>
              <w:right w:val="single" w:sz="2" w:space="0" w:color="auto"/>
            </w:tcBorders>
          </w:tcPr>
          <w:p w14:paraId="106477A8" w14:textId="77777777" w:rsidR="0029325C" w:rsidRPr="0029325C" w:rsidRDefault="0029325C" w:rsidP="00E44156">
            <w:pPr>
              <w:keepNext/>
              <w:spacing w:after="120"/>
              <w:jc w:val="both"/>
              <w:rPr>
                <w:rFonts w:ascii="Arial" w:hAnsi="Arial" w:cs="Arial"/>
                <w:b/>
              </w:rPr>
            </w:pPr>
          </w:p>
        </w:tc>
        <w:tc>
          <w:tcPr>
            <w:tcW w:w="1080" w:type="dxa"/>
            <w:tcBorders>
              <w:top w:val="single" w:sz="2" w:space="0" w:color="auto"/>
              <w:left w:val="single" w:sz="2" w:space="0" w:color="auto"/>
              <w:bottom w:val="single" w:sz="2" w:space="0" w:color="auto"/>
              <w:right w:val="single" w:sz="2" w:space="0" w:color="auto"/>
            </w:tcBorders>
          </w:tcPr>
          <w:p w14:paraId="794F118A" w14:textId="77777777" w:rsidR="0029325C" w:rsidRPr="0029325C" w:rsidRDefault="0029325C" w:rsidP="00E44156">
            <w:pPr>
              <w:keepNext/>
              <w:spacing w:after="120"/>
              <w:jc w:val="center"/>
              <w:rPr>
                <w:rFonts w:ascii="Verdana" w:hAnsi="Verdana" w:cs="Arial"/>
                <w:smallCaps/>
                <w:sz w:val="18"/>
                <w:szCs w:val="18"/>
              </w:rPr>
            </w:pPr>
            <w:r w:rsidRPr="0029325C">
              <w:rPr>
                <w:rFonts w:ascii="Verdana" w:hAnsi="Verdana"/>
                <w:smallCaps/>
                <w:sz w:val="18"/>
              </w:rPr>
              <w:t>H1 2015</w:t>
            </w:r>
          </w:p>
        </w:tc>
        <w:tc>
          <w:tcPr>
            <w:tcW w:w="1080" w:type="dxa"/>
            <w:tcBorders>
              <w:top w:val="single" w:sz="2" w:space="0" w:color="auto"/>
              <w:left w:val="single" w:sz="2" w:space="0" w:color="auto"/>
              <w:bottom w:val="single" w:sz="2" w:space="0" w:color="auto"/>
              <w:right w:val="single" w:sz="2" w:space="0" w:color="auto"/>
            </w:tcBorders>
          </w:tcPr>
          <w:p w14:paraId="6960CD19" w14:textId="77777777" w:rsidR="0029325C" w:rsidRPr="0029325C" w:rsidRDefault="0029325C" w:rsidP="00E44156">
            <w:pPr>
              <w:keepNext/>
              <w:spacing w:after="120"/>
              <w:jc w:val="center"/>
              <w:rPr>
                <w:rFonts w:ascii="Verdana" w:hAnsi="Verdana" w:cs="Arial"/>
                <w:smallCaps/>
                <w:sz w:val="18"/>
                <w:szCs w:val="18"/>
              </w:rPr>
            </w:pPr>
            <w:r w:rsidRPr="0029325C">
              <w:rPr>
                <w:rFonts w:ascii="Verdana" w:hAnsi="Verdana"/>
                <w:smallCaps/>
                <w:sz w:val="18"/>
              </w:rPr>
              <w:t>H1 2014</w:t>
            </w:r>
          </w:p>
        </w:tc>
        <w:tc>
          <w:tcPr>
            <w:tcW w:w="1060" w:type="dxa"/>
            <w:tcBorders>
              <w:top w:val="single" w:sz="2" w:space="0" w:color="auto"/>
              <w:left w:val="single" w:sz="2" w:space="0" w:color="auto"/>
              <w:bottom w:val="single" w:sz="2" w:space="0" w:color="auto"/>
              <w:right w:val="single" w:sz="2" w:space="0" w:color="auto"/>
            </w:tcBorders>
          </w:tcPr>
          <w:p w14:paraId="41A91C90" w14:textId="77777777" w:rsidR="0029325C" w:rsidRPr="0029325C" w:rsidRDefault="0029325C" w:rsidP="00E44156">
            <w:pPr>
              <w:keepNext/>
              <w:spacing w:after="120"/>
              <w:jc w:val="center"/>
              <w:rPr>
                <w:rFonts w:ascii="Verdana" w:hAnsi="Verdana" w:cs="Arial"/>
                <w:sz w:val="18"/>
                <w:szCs w:val="18"/>
              </w:rPr>
            </w:pPr>
            <w:r w:rsidRPr="0029325C">
              <w:rPr>
                <w:rFonts w:ascii="Verdana" w:hAnsi="Verdana"/>
                <w:smallCaps/>
                <w:sz w:val="18"/>
              </w:rPr>
              <w:t>H1 2015</w:t>
            </w:r>
          </w:p>
        </w:tc>
        <w:tc>
          <w:tcPr>
            <w:tcW w:w="1080" w:type="dxa"/>
            <w:tcBorders>
              <w:top w:val="single" w:sz="2" w:space="0" w:color="auto"/>
              <w:left w:val="single" w:sz="2" w:space="0" w:color="auto"/>
              <w:bottom w:val="single" w:sz="2" w:space="0" w:color="auto"/>
              <w:right w:val="single" w:sz="2" w:space="0" w:color="auto"/>
            </w:tcBorders>
          </w:tcPr>
          <w:p w14:paraId="0FB98A0C" w14:textId="77777777" w:rsidR="0029325C" w:rsidRPr="0029325C" w:rsidRDefault="0029325C" w:rsidP="00E44156">
            <w:pPr>
              <w:keepNext/>
              <w:spacing w:after="120"/>
              <w:jc w:val="center"/>
              <w:rPr>
                <w:rFonts w:ascii="Verdana" w:hAnsi="Verdana" w:cs="Arial"/>
                <w:sz w:val="18"/>
                <w:szCs w:val="18"/>
              </w:rPr>
            </w:pPr>
            <w:r w:rsidRPr="0029325C">
              <w:rPr>
                <w:rFonts w:ascii="Verdana" w:hAnsi="Verdana"/>
                <w:smallCaps/>
                <w:sz w:val="18"/>
              </w:rPr>
              <w:t>H1 2014</w:t>
            </w:r>
          </w:p>
        </w:tc>
        <w:tc>
          <w:tcPr>
            <w:tcW w:w="1200" w:type="dxa"/>
            <w:tcBorders>
              <w:top w:val="single" w:sz="2" w:space="0" w:color="auto"/>
              <w:left w:val="single" w:sz="2" w:space="0" w:color="auto"/>
              <w:bottom w:val="single" w:sz="2" w:space="0" w:color="auto"/>
              <w:right w:val="single" w:sz="2" w:space="0" w:color="auto"/>
            </w:tcBorders>
          </w:tcPr>
          <w:p w14:paraId="5BF197A5" w14:textId="77777777" w:rsidR="0029325C" w:rsidRPr="0029325C" w:rsidRDefault="0029325C" w:rsidP="00E44156">
            <w:pPr>
              <w:keepNext/>
              <w:spacing w:after="120"/>
              <w:jc w:val="center"/>
              <w:rPr>
                <w:rFonts w:ascii="Verdana" w:hAnsi="Verdana" w:cs="Arial"/>
              </w:rPr>
            </w:pPr>
            <w:r w:rsidRPr="0029325C">
              <w:rPr>
                <w:rFonts w:ascii="Verdana" w:hAnsi="Verdana"/>
                <w:smallCaps/>
                <w:sz w:val="18"/>
              </w:rPr>
              <w:t>H1 2015</w:t>
            </w:r>
          </w:p>
        </w:tc>
        <w:tc>
          <w:tcPr>
            <w:tcW w:w="1200" w:type="dxa"/>
            <w:tcBorders>
              <w:top w:val="single" w:sz="2" w:space="0" w:color="auto"/>
              <w:left w:val="single" w:sz="2" w:space="0" w:color="auto"/>
              <w:bottom w:val="single" w:sz="2" w:space="0" w:color="auto"/>
            </w:tcBorders>
          </w:tcPr>
          <w:p w14:paraId="5E537200" w14:textId="77777777" w:rsidR="0029325C" w:rsidRPr="0029325C" w:rsidRDefault="0029325C" w:rsidP="00E44156">
            <w:pPr>
              <w:keepNext/>
              <w:spacing w:after="120"/>
              <w:jc w:val="center"/>
              <w:rPr>
                <w:rFonts w:ascii="Verdana" w:hAnsi="Verdana" w:cs="Arial"/>
              </w:rPr>
            </w:pPr>
            <w:r w:rsidRPr="0029325C">
              <w:rPr>
                <w:rFonts w:ascii="Verdana" w:hAnsi="Verdana"/>
                <w:smallCaps/>
                <w:sz w:val="18"/>
              </w:rPr>
              <w:t>H1 2014</w:t>
            </w:r>
          </w:p>
        </w:tc>
      </w:tr>
      <w:tr w:rsidR="0029325C" w:rsidRPr="0029325C" w14:paraId="1CBE1882" w14:textId="77777777" w:rsidTr="00E44156">
        <w:tc>
          <w:tcPr>
            <w:tcW w:w="1668" w:type="dxa"/>
            <w:tcBorders>
              <w:top w:val="single" w:sz="2" w:space="0" w:color="auto"/>
              <w:bottom w:val="single" w:sz="2" w:space="0" w:color="auto"/>
              <w:right w:val="single" w:sz="2" w:space="0" w:color="auto"/>
            </w:tcBorders>
          </w:tcPr>
          <w:p w14:paraId="132BF935" w14:textId="77777777" w:rsidR="0029325C" w:rsidRPr="0029325C" w:rsidRDefault="0029325C" w:rsidP="00E44156">
            <w:pPr>
              <w:spacing w:after="120"/>
              <w:rPr>
                <w:rFonts w:ascii="Arial" w:hAnsi="Arial" w:cs="Arial"/>
                <w:smallCaps/>
                <w:sz w:val="18"/>
                <w:szCs w:val="18"/>
              </w:rPr>
            </w:pPr>
            <w:r w:rsidRPr="0029325C">
              <w:rPr>
                <w:rFonts w:ascii="Arial" w:hAnsi="Arial"/>
                <w:smallCaps/>
                <w:sz w:val="18"/>
              </w:rPr>
              <w:t>Pneus de carros de passageiros /camiões ligeiros e distribuição relacionada</w:t>
            </w:r>
          </w:p>
        </w:tc>
        <w:tc>
          <w:tcPr>
            <w:tcW w:w="1080" w:type="dxa"/>
            <w:tcBorders>
              <w:top w:val="single" w:sz="2" w:space="0" w:color="auto"/>
              <w:left w:val="single" w:sz="2" w:space="0" w:color="auto"/>
              <w:bottom w:val="single" w:sz="2" w:space="0" w:color="auto"/>
              <w:right w:val="single" w:sz="2" w:space="0" w:color="auto"/>
            </w:tcBorders>
          </w:tcPr>
          <w:p w14:paraId="19041E3A" w14:textId="77777777" w:rsidR="0029325C" w:rsidRPr="0029325C" w:rsidRDefault="0029325C" w:rsidP="00E44156">
            <w:pPr>
              <w:tabs>
                <w:tab w:val="left" w:pos="360"/>
              </w:tabs>
              <w:jc w:val="center"/>
              <w:rPr>
                <w:rFonts w:ascii="Verdana" w:hAnsi="Verdana" w:cs="Arial"/>
                <w:b/>
                <w:bCs/>
                <w:sz w:val="18"/>
                <w:szCs w:val="18"/>
              </w:rPr>
            </w:pPr>
          </w:p>
          <w:p w14:paraId="4E0864D8" w14:textId="77777777" w:rsidR="0029325C" w:rsidRPr="0029325C" w:rsidRDefault="0029325C" w:rsidP="00E44156">
            <w:pPr>
              <w:tabs>
                <w:tab w:val="left" w:pos="360"/>
              </w:tabs>
              <w:jc w:val="center"/>
              <w:rPr>
                <w:rFonts w:ascii="Verdana" w:hAnsi="Verdana" w:cs="Arial"/>
                <w:b/>
                <w:bCs/>
                <w:sz w:val="18"/>
                <w:szCs w:val="18"/>
              </w:rPr>
            </w:pPr>
          </w:p>
          <w:p w14:paraId="3311A124" w14:textId="77777777" w:rsidR="0029325C" w:rsidRPr="0029325C" w:rsidRDefault="0029325C" w:rsidP="00E44156">
            <w:pPr>
              <w:tabs>
                <w:tab w:val="left" w:pos="360"/>
              </w:tabs>
              <w:jc w:val="center"/>
              <w:rPr>
                <w:rFonts w:ascii="Verdana" w:hAnsi="Verdana" w:cs="Arial"/>
                <w:b/>
                <w:bCs/>
                <w:sz w:val="18"/>
                <w:szCs w:val="18"/>
              </w:rPr>
            </w:pPr>
          </w:p>
          <w:p w14:paraId="465FA06B"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5,860</w:t>
            </w:r>
          </w:p>
        </w:tc>
        <w:tc>
          <w:tcPr>
            <w:tcW w:w="1080" w:type="dxa"/>
            <w:tcBorders>
              <w:top w:val="single" w:sz="2" w:space="0" w:color="auto"/>
              <w:left w:val="single" w:sz="2" w:space="0" w:color="auto"/>
              <w:bottom w:val="single" w:sz="2" w:space="0" w:color="auto"/>
              <w:right w:val="single" w:sz="2" w:space="0" w:color="auto"/>
            </w:tcBorders>
          </w:tcPr>
          <w:p w14:paraId="5D9A0781" w14:textId="77777777" w:rsidR="0029325C" w:rsidRPr="0029325C" w:rsidRDefault="0029325C" w:rsidP="00E44156">
            <w:pPr>
              <w:tabs>
                <w:tab w:val="left" w:pos="360"/>
              </w:tabs>
              <w:jc w:val="center"/>
              <w:rPr>
                <w:rFonts w:ascii="Verdana" w:hAnsi="Verdana" w:cs="Arial"/>
                <w:b/>
                <w:bCs/>
                <w:sz w:val="18"/>
                <w:szCs w:val="18"/>
              </w:rPr>
            </w:pPr>
          </w:p>
          <w:p w14:paraId="791EC982" w14:textId="77777777" w:rsidR="0029325C" w:rsidRPr="0029325C" w:rsidRDefault="0029325C" w:rsidP="00E44156">
            <w:pPr>
              <w:tabs>
                <w:tab w:val="left" w:pos="360"/>
              </w:tabs>
              <w:jc w:val="center"/>
              <w:rPr>
                <w:rFonts w:ascii="Verdana" w:hAnsi="Verdana" w:cs="Arial"/>
                <w:b/>
                <w:bCs/>
                <w:sz w:val="18"/>
                <w:szCs w:val="18"/>
              </w:rPr>
            </w:pPr>
          </w:p>
          <w:p w14:paraId="2D2584C7" w14:textId="77777777" w:rsidR="0029325C" w:rsidRPr="0029325C" w:rsidRDefault="0029325C" w:rsidP="00E44156">
            <w:pPr>
              <w:tabs>
                <w:tab w:val="left" w:pos="360"/>
              </w:tabs>
              <w:jc w:val="center"/>
              <w:rPr>
                <w:rFonts w:ascii="Verdana" w:hAnsi="Verdana" w:cs="Arial"/>
                <w:b/>
                <w:bCs/>
                <w:sz w:val="18"/>
                <w:szCs w:val="18"/>
              </w:rPr>
            </w:pPr>
          </w:p>
          <w:p w14:paraId="13638636"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5,167</w:t>
            </w:r>
          </w:p>
        </w:tc>
        <w:tc>
          <w:tcPr>
            <w:tcW w:w="1060" w:type="dxa"/>
            <w:tcBorders>
              <w:top w:val="single" w:sz="2" w:space="0" w:color="auto"/>
              <w:left w:val="single" w:sz="2" w:space="0" w:color="auto"/>
              <w:bottom w:val="single" w:sz="2" w:space="0" w:color="auto"/>
              <w:right w:val="single" w:sz="2" w:space="0" w:color="auto"/>
            </w:tcBorders>
          </w:tcPr>
          <w:p w14:paraId="6C2076C5" w14:textId="77777777" w:rsidR="0029325C" w:rsidRPr="0029325C" w:rsidRDefault="0029325C" w:rsidP="00E44156">
            <w:pPr>
              <w:jc w:val="center"/>
              <w:rPr>
                <w:rFonts w:ascii="Verdana" w:hAnsi="Verdana" w:cs="Arial"/>
                <w:b/>
                <w:sz w:val="18"/>
                <w:szCs w:val="18"/>
              </w:rPr>
            </w:pPr>
          </w:p>
          <w:p w14:paraId="34794367" w14:textId="77777777" w:rsidR="0029325C" w:rsidRPr="0029325C" w:rsidRDefault="0029325C" w:rsidP="00E44156">
            <w:pPr>
              <w:jc w:val="center"/>
              <w:rPr>
                <w:rFonts w:ascii="Verdana" w:hAnsi="Verdana" w:cs="Arial"/>
                <w:b/>
                <w:sz w:val="18"/>
                <w:szCs w:val="18"/>
              </w:rPr>
            </w:pPr>
          </w:p>
          <w:p w14:paraId="2B1B862F" w14:textId="77777777" w:rsidR="0029325C" w:rsidRPr="0029325C" w:rsidRDefault="0029325C" w:rsidP="00E44156">
            <w:pPr>
              <w:jc w:val="center"/>
              <w:rPr>
                <w:rFonts w:ascii="Verdana" w:hAnsi="Verdana" w:cs="Arial"/>
                <w:b/>
                <w:sz w:val="18"/>
                <w:szCs w:val="18"/>
              </w:rPr>
            </w:pPr>
          </w:p>
          <w:p w14:paraId="59F782A7" w14:textId="77777777" w:rsidR="0029325C" w:rsidRPr="0029325C" w:rsidRDefault="0029325C" w:rsidP="00E44156">
            <w:pPr>
              <w:jc w:val="center"/>
              <w:rPr>
                <w:rFonts w:ascii="Verdana" w:hAnsi="Verdana" w:cs="Arial"/>
                <w:b/>
                <w:sz w:val="18"/>
                <w:szCs w:val="18"/>
              </w:rPr>
            </w:pPr>
            <w:r w:rsidRPr="0029325C">
              <w:rPr>
                <w:rFonts w:ascii="Verdana" w:hAnsi="Verdana"/>
                <w:b/>
                <w:sz w:val="18"/>
              </w:rPr>
              <w:t>632</w:t>
            </w:r>
          </w:p>
        </w:tc>
        <w:tc>
          <w:tcPr>
            <w:tcW w:w="1080" w:type="dxa"/>
            <w:tcBorders>
              <w:top w:val="single" w:sz="2" w:space="0" w:color="auto"/>
              <w:left w:val="single" w:sz="2" w:space="0" w:color="auto"/>
              <w:bottom w:val="single" w:sz="2" w:space="0" w:color="auto"/>
              <w:right w:val="single" w:sz="2" w:space="0" w:color="auto"/>
            </w:tcBorders>
          </w:tcPr>
          <w:p w14:paraId="075C28BF" w14:textId="77777777" w:rsidR="0029325C" w:rsidRPr="0029325C" w:rsidRDefault="0029325C" w:rsidP="00E44156">
            <w:pPr>
              <w:jc w:val="center"/>
              <w:rPr>
                <w:rFonts w:ascii="Verdana" w:hAnsi="Verdana" w:cs="Arial"/>
                <w:b/>
                <w:sz w:val="18"/>
                <w:szCs w:val="18"/>
              </w:rPr>
            </w:pPr>
          </w:p>
          <w:p w14:paraId="7593E653" w14:textId="77777777" w:rsidR="0029325C" w:rsidRPr="0029325C" w:rsidRDefault="0029325C" w:rsidP="00E44156">
            <w:pPr>
              <w:jc w:val="center"/>
              <w:rPr>
                <w:rFonts w:ascii="Verdana" w:hAnsi="Verdana" w:cs="Arial"/>
                <w:b/>
                <w:sz w:val="18"/>
                <w:szCs w:val="18"/>
              </w:rPr>
            </w:pPr>
          </w:p>
          <w:p w14:paraId="45F7EE2C" w14:textId="77777777" w:rsidR="0029325C" w:rsidRPr="0029325C" w:rsidRDefault="0029325C" w:rsidP="00E44156">
            <w:pPr>
              <w:jc w:val="center"/>
              <w:rPr>
                <w:rFonts w:ascii="Verdana" w:hAnsi="Verdana" w:cs="Arial"/>
                <w:b/>
                <w:sz w:val="18"/>
                <w:szCs w:val="18"/>
              </w:rPr>
            </w:pPr>
          </w:p>
          <w:p w14:paraId="5378D6BD" w14:textId="77777777" w:rsidR="0029325C" w:rsidRPr="0029325C" w:rsidRDefault="0029325C" w:rsidP="00E44156">
            <w:pPr>
              <w:jc w:val="center"/>
              <w:rPr>
                <w:rFonts w:ascii="Verdana" w:hAnsi="Verdana" w:cs="Arial"/>
                <w:b/>
                <w:sz w:val="18"/>
                <w:szCs w:val="18"/>
              </w:rPr>
            </w:pPr>
            <w:r w:rsidRPr="0029325C">
              <w:rPr>
                <w:rFonts w:ascii="Verdana" w:hAnsi="Verdana"/>
                <w:b/>
                <w:sz w:val="18"/>
              </w:rPr>
              <w:t>588</w:t>
            </w:r>
          </w:p>
        </w:tc>
        <w:tc>
          <w:tcPr>
            <w:tcW w:w="1200" w:type="dxa"/>
            <w:tcBorders>
              <w:top w:val="single" w:sz="2" w:space="0" w:color="auto"/>
              <w:left w:val="single" w:sz="2" w:space="0" w:color="auto"/>
              <w:bottom w:val="single" w:sz="2" w:space="0" w:color="auto"/>
              <w:right w:val="single" w:sz="2" w:space="0" w:color="auto"/>
            </w:tcBorders>
          </w:tcPr>
          <w:p w14:paraId="5DD2F8CF" w14:textId="77777777" w:rsidR="0029325C" w:rsidRPr="0029325C" w:rsidRDefault="0029325C" w:rsidP="00E44156">
            <w:pPr>
              <w:tabs>
                <w:tab w:val="left" w:pos="360"/>
              </w:tabs>
              <w:jc w:val="center"/>
              <w:rPr>
                <w:rFonts w:ascii="Verdana" w:hAnsi="Verdana" w:cs="Arial"/>
                <w:b/>
                <w:bCs/>
                <w:sz w:val="18"/>
                <w:szCs w:val="18"/>
              </w:rPr>
            </w:pPr>
          </w:p>
          <w:p w14:paraId="01A0097A" w14:textId="77777777" w:rsidR="0029325C" w:rsidRPr="0029325C" w:rsidRDefault="0029325C" w:rsidP="00E44156">
            <w:pPr>
              <w:tabs>
                <w:tab w:val="left" w:pos="360"/>
              </w:tabs>
              <w:jc w:val="center"/>
              <w:rPr>
                <w:rFonts w:ascii="Verdana" w:hAnsi="Verdana" w:cs="Arial"/>
                <w:b/>
                <w:bCs/>
                <w:sz w:val="18"/>
                <w:szCs w:val="18"/>
              </w:rPr>
            </w:pPr>
          </w:p>
          <w:p w14:paraId="73982C7D" w14:textId="77777777" w:rsidR="0029325C" w:rsidRPr="0029325C" w:rsidRDefault="0029325C" w:rsidP="00E44156">
            <w:pPr>
              <w:tabs>
                <w:tab w:val="left" w:pos="360"/>
              </w:tabs>
              <w:jc w:val="center"/>
              <w:rPr>
                <w:rFonts w:ascii="Verdana" w:hAnsi="Verdana" w:cs="Arial"/>
                <w:b/>
                <w:bCs/>
                <w:sz w:val="18"/>
                <w:szCs w:val="18"/>
              </w:rPr>
            </w:pPr>
          </w:p>
          <w:p w14:paraId="2FEFA6D5"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10.8%</w:t>
            </w:r>
          </w:p>
        </w:tc>
        <w:tc>
          <w:tcPr>
            <w:tcW w:w="1200" w:type="dxa"/>
            <w:tcBorders>
              <w:top w:val="single" w:sz="2" w:space="0" w:color="auto"/>
              <w:left w:val="single" w:sz="2" w:space="0" w:color="auto"/>
              <w:bottom w:val="single" w:sz="2" w:space="0" w:color="auto"/>
            </w:tcBorders>
          </w:tcPr>
          <w:p w14:paraId="17DFFC4B" w14:textId="77777777" w:rsidR="0029325C" w:rsidRPr="0029325C" w:rsidRDefault="0029325C" w:rsidP="00E44156">
            <w:pPr>
              <w:tabs>
                <w:tab w:val="left" w:pos="360"/>
              </w:tabs>
              <w:jc w:val="center"/>
              <w:rPr>
                <w:rFonts w:ascii="Verdana" w:hAnsi="Verdana" w:cs="Arial"/>
                <w:b/>
                <w:bCs/>
                <w:sz w:val="18"/>
                <w:szCs w:val="18"/>
              </w:rPr>
            </w:pPr>
          </w:p>
          <w:p w14:paraId="06DE8498" w14:textId="77777777" w:rsidR="0029325C" w:rsidRPr="0029325C" w:rsidRDefault="0029325C" w:rsidP="00E44156">
            <w:pPr>
              <w:tabs>
                <w:tab w:val="left" w:pos="360"/>
              </w:tabs>
              <w:jc w:val="center"/>
              <w:rPr>
                <w:rFonts w:ascii="Verdana" w:hAnsi="Verdana" w:cs="Arial"/>
                <w:b/>
                <w:bCs/>
                <w:sz w:val="18"/>
                <w:szCs w:val="18"/>
              </w:rPr>
            </w:pPr>
          </w:p>
          <w:p w14:paraId="2191694D" w14:textId="77777777" w:rsidR="0029325C" w:rsidRPr="0029325C" w:rsidRDefault="0029325C" w:rsidP="00E44156">
            <w:pPr>
              <w:tabs>
                <w:tab w:val="left" w:pos="360"/>
              </w:tabs>
              <w:jc w:val="center"/>
              <w:rPr>
                <w:rFonts w:ascii="Verdana" w:hAnsi="Verdana" w:cs="Arial"/>
                <w:b/>
                <w:bCs/>
                <w:sz w:val="18"/>
                <w:szCs w:val="18"/>
              </w:rPr>
            </w:pPr>
          </w:p>
          <w:p w14:paraId="62817DA5"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11.4%</w:t>
            </w:r>
          </w:p>
        </w:tc>
      </w:tr>
      <w:tr w:rsidR="0029325C" w:rsidRPr="0029325C" w14:paraId="0B649CFC" w14:textId="77777777" w:rsidTr="00E44156">
        <w:tc>
          <w:tcPr>
            <w:tcW w:w="1668" w:type="dxa"/>
            <w:tcBorders>
              <w:top w:val="single" w:sz="2" w:space="0" w:color="auto"/>
              <w:bottom w:val="single" w:sz="2" w:space="0" w:color="auto"/>
              <w:right w:val="single" w:sz="2" w:space="0" w:color="auto"/>
            </w:tcBorders>
          </w:tcPr>
          <w:p w14:paraId="43BEE67A" w14:textId="77777777" w:rsidR="0029325C" w:rsidRPr="0029325C" w:rsidRDefault="0029325C" w:rsidP="00E44156">
            <w:pPr>
              <w:spacing w:after="120"/>
              <w:rPr>
                <w:rFonts w:ascii="Arial" w:hAnsi="Arial" w:cs="Arial"/>
                <w:smallCaps/>
                <w:sz w:val="18"/>
                <w:szCs w:val="18"/>
              </w:rPr>
            </w:pPr>
            <w:r w:rsidRPr="0029325C">
              <w:rPr>
                <w:rFonts w:ascii="Arial" w:hAnsi="Arial"/>
                <w:smallCaps/>
                <w:sz w:val="18"/>
              </w:rPr>
              <w:t>pneus de camiões e distribuição relacionada</w:t>
            </w:r>
          </w:p>
        </w:tc>
        <w:tc>
          <w:tcPr>
            <w:tcW w:w="1080" w:type="dxa"/>
            <w:tcBorders>
              <w:top w:val="single" w:sz="2" w:space="0" w:color="auto"/>
              <w:left w:val="single" w:sz="2" w:space="0" w:color="auto"/>
              <w:bottom w:val="single" w:sz="2" w:space="0" w:color="auto"/>
              <w:right w:val="single" w:sz="2" w:space="0" w:color="auto"/>
            </w:tcBorders>
          </w:tcPr>
          <w:p w14:paraId="0D9CB974" w14:textId="77777777" w:rsidR="0029325C" w:rsidRPr="0029325C" w:rsidRDefault="0029325C" w:rsidP="00E44156">
            <w:pPr>
              <w:tabs>
                <w:tab w:val="left" w:pos="360"/>
              </w:tabs>
              <w:jc w:val="center"/>
              <w:rPr>
                <w:rFonts w:ascii="Verdana" w:hAnsi="Verdana" w:cs="Arial"/>
                <w:b/>
                <w:bCs/>
                <w:sz w:val="18"/>
                <w:szCs w:val="18"/>
              </w:rPr>
            </w:pPr>
          </w:p>
          <w:p w14:paraId="50835687" w14:textId="77777777" w:rsidR="0029325C" w:rsidRPr="0029325C" w:rsidRDefault="0029325C" w:rsidP="00E44156">
            <w:pPr>
              <w:tabs>
                <w:tab w:val="left" w:pos="360"/>
              </w:tabs>
              <w:jc w:val="center"/>
              <w:rPr>
                <w:rFonts w:ascii="Verdana" w:hAnsi="Verdana" w:cs="Arial"/>
                <w:b/>
                <w:bCs/>
                <w:sz w:val="18"/>
                <w:szCs w:val="18"/>
              </w:rPr>
            </w:pPr>
          </w:p>
          <w:p w14:paraId="599B6C82"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3,068</w:t>
            </w:r>
          </w:p>
        </w:tc>
        <w:tc>
          <w:tcPr>
            <w:tcW w:w="1080" w:type="dxa"/>
            <w:tcBorders>
              <w:top w:val="single" w:sz="2" w:space="0" w:color="auto"/>
              <w:left w:val="single" w:sz="2" w:space="0" w:color="auto"/>
              <w:bottom w:val="single" w:sz="2" w:space="0" w:color="auto"/>
              <w:right w:val="single" w:sz="2" w:space="0" w:color="auto"/>
            </w:tcBorders>
          </w:tcPr>
          <w:p w14:paraId="3A9E8D8B" w14:textId="77777777" w:rsidR="0029325C" w:rsidRPr="0029325C" w:rsidRDefault="0029325C" w:rsidP="00E44156">
            <w:pPr>
              <w:tabs>
                <w:tab w:val="left" w:pos="360"/>
              </w:tabs>
              <w:jc w:val="center"/>
              <w:rPr>
                <w:rFonts w:ascii="Verdana" w:hAnsi="Verdana" w:cs="Arial"/>
                <w:b/>
                <w:bCs/>
                <w:sz w:val="18"/>
                <w:szCs w:val="18"/>
              </w:rPr>
            </w:pPr>
          </w:p>
          <w:p w14:paraId="6FA8F0EC" w14:textId="77777777" w:rsidR="0029325C" w:rsidRPr="0029325C" w:rsidRDefault="0029325C" w:rsidP="00E44156">
            <w:pPr>
              <w:tabs>
                <w:tab w:val="left" w:pos="360"/>
              </w:tabs>
              <w:jc w:val="center"/>
              <w:rPr>
                <w:rFonts w:ascii="Verdana" w:hAnsi="Verdana" w:cs="Arial"/>
                <w:b/>
                <w:bCs/>
                <w:sz w:val="18"/>
                <w:szCs w:val="18"/>
              </w:rPr>
            </w:pPr>
          </w:p>
          <w:p w14:paraId="3F2F8F5C"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2,927</w:t>
            </w:r>
          </w:p>
        </w:tc>
        <w:tc>
          <w:tcPr>
            <w:tcW w:w="1060" w:type="dxa"/>
            <w:tcBorders>
              <w:top w:val="single" w:sz="2" w:space="0" w:color="auto"/>
              <w:left w:val="single" w:sz="2" w:space="0" w:color="auto"/>
              <w:bottom w:val="single" w:sz="2" w:space="0" w:color="auto"/>
              <w:right w:val="single" w:sz="2" w:space="0" w:color="auto"/>
            </w:tcBorders>
          </w:tcPr>
          <w:p w14:paraId="1E9B9F8E" w14:textId="77777777" w:rsidR="0029325C" w:rsidRPr="0029325C" w:rsidRDefault="0029325C" w:rsidP="00E44156">
            <w:pPr>
              <w:jc w:val="center"/>
              <w:rPr>
                <w:rFonts w:ascii="Verdana" w:hAnsi="Verdana" w:cs="Arial"/>
                <w:b/>
                <w:sz w:val="18"/>
                <w:szCs w:val="18"/>
              </w:rPr>
            </w:pPr>
          </w:p>
          <w:p w14:paraId="5344C9F9" w14:textId="77777777" w:rsidR="0029325C" w:rsidRPr="0029325C" w:rsidRDefault="0029325C" w:rsidP="00E44156">
            <w:pPr>
              <w:jc w:val="center"/>
              <w:rPr>
                <w:rFonts w:ascii="Verdana" w:hAnsi="Verdana" w:cs="Arial"/>
                <w:b/>
                <w:sz w:val="18"/>
                <w:szCs w:val="18"/>
              </w:rPr>
            </w:pPr>
          </w:p>
          <w:p w14:paraId="110548ED" w14:textId="77777777" w:rsidR="0029325C" w:rsidRPr="0029325C" w:rsidRDefault="0029325C" w:rsidP="00E44156">
            <w:pPr>
              <w:jc w:val="center"/>
              <w:rPr>
                <w:rFonts w:ascii="Verdana" w:hAnsi="Verdana" w:cs="Arial"/>
                <w:b/>
                <w:sz w:val="18"/>
                <w:szCs w:val="18"/>
              </w:rPr>
            </w:pPr>
            <w:r w:rsidRPr="0029325C">
              <w:rPr>
                <w:rFonts w:ascii="Verdana" w:hAnsi="Verdana"/>
                <w:b/>
                <w:sz w:val="18"/>
              </w:rPr>
              <w:t>293</w:t>
            </w:r>
          </w:p>
        </w:tc>
        <w:tc>
          <w:tcPr>
            <w:tcW w:w="1080" w:type="dxa"/>
            <w:tcBorders>
              <w:top w:val="single" w:sz="2" w:space="0" w:color="auto"/>
              <w:left w:val="single" w:sz="2" w:space="0" w:color="auto"/>
              <w:bottom w:val="single" w:sz="2" w:space="0" w:color="auto"/>
              <w:right w:val="single" w:sz="2" w:space="0" w:color="auto"/>
            </w:tcBorders>
          </w:tcPr>
          <w:p w14:paraId="12CB5C0E" w14:textId="77777777" w:rsidR="0029325C" w:rsidRPr="0029325C" w:rsidRDefault="0029325C" w:rsidP="00E44156">
            <w:pPr>
              <w:jc w:val="center"/>
              <w:rPr>
                <w:rFonts w:ascii="Verdana" w:hAnsi="Verdana" w:cs="Arial"/>
                <w:b/>
                <w:sz w:val="18"/>
                <w:szCs w:val="18"/>
              </w:rPr>
            </w:pPr>
          </w:p>
          <w:p w14:paraId="1E974228" w14:textId="77777777" w:rsidR="0029325C" w:rsidRPr="0029325C" w:rsidRDefault="0029325C" w:rsidP="00E44156">
            <w:pPr>
              <w:jc w:val="center"/>
              <w:rPr>
                <w:rFonts w:ascii="Verdana" w:hAnsi="Verdana" w:cs="Arial"/>
                <w:b/>
                <w:sz w:val="18"/>
                <w:szCs w:val="18"/>
              </w:rPr>
            </w:pPr>
          </w:p>
          <w:p w14:paraId="2BD1AD6F" w14:textId="77777777" w:rsidR="0029325C" w:rsidRPr="0029325C" w:rsidRDefault="0029325C" w:rsidP="00E44156">
            <w:pPr>
              <w:jc w:val="center"/>
              <w:rPr>
                <w:rFonts w:ascii="Verdana" w:hAnsi="Verdana" w:cs="Arial"/>
                <w:b/>
                <w:sz w:val="18"/>
                <w:szCs w:val="18"/>
              </w:rPr>
            </w:pPr>
            <w:r w:rsidRPr="0029325C">
              <w:rPr>
                <w:rFonts w:ascii="Verdana" w:hAnsi="Verdana"/>
                <w:b/>
                <w:sz w:val="18"/>
              </w:rPr>
              <w:t>226</w:t>
            </w:r>
          </w:p>
        </w:tc>
        <w:tc>
          <w:tcPr>
            <w:tcW w:w="1200" w:type="dxa"/>
            <w:tcBorders>
              <w:top w:val="single" w:sz="2" w:space="0" w:color="auto"/>
              <w:left w:val="single" w:sz="2" w:space="0" w:color="auto"/>
              <w:bottom w:val="single" w:sz="2" w:space="0" w:color="auto"/>
              <w:right w:val="single" w:sz="2" w:space="0" w:color="auto"/>
            </w:tcBorders>
          </w:tcPr>
          <w:p w14:paraId="25F737F1" w14:textId="77777777" w:rsidR="0029325C" w:rsidRPr="0029325C" w:rsidRDefault="0029325C" w:rsidP="00E44156">
            <w:pPr>
              <w:tabs>
                <w:tab w:val="left" w:pos="360"/>
              </w:tabs>
              <w:jc w:val="center"/>
              <w:rPr>
                <w:rFonts w:ascii="Verdana" w:hAnsi="Verdana" w:cs="Arial"/>
                <w:b/>
                <w:bCs/>
                <w:sz w:val="18"/>
                <w:szCs w:val="18"/>
              </w:rPr>
            </w:pPr>
          </w:p>
          <w:p w14:paraId="1829F05F" w14:textId="77777777" w:rsidR="0029325C" w:rsidRPr="0029325C" w:rsidRDefault="0029325C" w:rsidP="00E44156">
            <w:pPr>
              <w:tabs>
                <w:tab w:val="left" w:pos="360"/>
              </w:tabs>
              <w:jc w:val="center"/>
              <w:rPr>
                <w:rFonts w:ascii="Verdana" w:hAnsi="Verdana" w:cs="Arial"/>
                <w:b/>
                <w:bCs/>
                <w:sz w:val="18"/>
                <w:szCs w:val="18"/>
              </w:rPr>
            </w:pPr>
          </w:p>
          <w:p w14:paraId="1BF71B7F"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9.6%</w:t>
            </w:r>
          </w:p>
        </w:tc>
        <w:tc>
          <w:tcPr>
            <w:tcW w:w="1200" w:type="dxa"/>
            <w:tcBorders>
              <w:top w:val="single" w:sz="2" w:space="0" w:color="auto"/>
              <w:left w:val="single" w:sz="2" w:space="0" w:color="auto"/>
              <w:bottom w:val="single" w:sz="2" w:space="0" w:color="auto"/>
            </w:tcBorders>
          </w:tcPr>
          <w:p w14:paraId="71E68657" w14:textId="77777777" w:rsidR="0029325C" w:rsidRPr="0029325C" w:rsidRDefault="0029325C" w:rsidP="00E44156">
            <w:pPr>
              <w:tabs>
                <w:tab w:val="left" w:pos="360"/>
              </w:tabs>
              <w:jc w:val="center"/>
              <w:rPr>
                <w:rFonts w:ascii="Verdana" w:hAnsi="Verdana" w:cs="Arial"/>
                <w:b/>
                <w:bCs/>
                <w:sz w:val="18"/>
                <w:szCs w:val="18"/>
              </w:rPr>
            </w:pPr>
          </w:p>
          <w:p w14:paraId="33BCA214" w14:textId="77777777" w:rsidR="0029325C" w:rsidRPr="0029325C" w:rsidRDefault="0029325C" w:rsidP="00E44156">
            <w:pPr>
              <w:tabs>
                <w:tab w:val="left" w:pos="360"/>
              </w:tabs>
              <w:jc w:val="center"/>
              <w:rPr>
                <w:rFonts w:ascii="Verdana" w:hAnsi="Verdana" w:cs="Arial"/>
                <w:b/>
                <w:bCs/>
                <w:sz w:val="18"/>
                <w:szCs w:val="18"/>
              </w:rPr>
            </w:pPr>
          </w:p>
          <w:p w14:paraId="66A2B773"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7.7%</w:t>
            </w:r>
          </w:p>
        </w:tc>
      </w:tr>
      <w:tr w:rsidR="0029325C" w:rsidRPr="0029325C" w14:paraId="5A4E4D28" w14:textId="77777777" w:rsidTr="00E44156">
        <w:tc>
          <w:tcPr>
            <w:tcW w:w="1668" w:type="dxa"/>
            <w:tcBorders>
              <w:top w:val="single" w:sz="2" w:space="0" w:color="auto"/>
              <w:bottom w:val="single" w:sz="2" w:space="0" w:color="auto"/>
              <w:right w:val="single" w:sz="2" w:space="0" w:color="auto"/>
            </w:tcBorders>
          </w:tcPr>
          <w:p w14:paraId="2DE719BC" w14:textId="77777777" w:rsidR="0029325C" w:rsidRPr="0029325C" w:rsidRDefault="0029325C" w:rsidP="00E44156">
            <w:pPr>
              <w:spacing w:after="120"/>
              <w:rPr>
                <w:rFonts w:ascii="Arial" w:hAnsi="Arial" w:cs="Arial"/>
                <w:smallCaps/>
                <w:sz w:val="18"/>
                <w:szCs w:val="18"/>
              </w:rPr>
            </w:pPr>
            <w:r w:rsidRPr="0029325C">
              <w:rPr>
                <w:rFonts w:ascii="Arial" w:hAnsi="Arial"/>
                <w:smallCaps/>
                <w:sz w:val="18"/>
              </w:rPr>
              <w:t>Negócios de especialidade</w:t>
            </w:r>
          </w:p>
        </w:tc>
        <w:tc>
          <w:tcPr>
            <w:tcW w:w="1080" w:type="dxa"/>
            <w:tcBorders>
              <w:top w:val="single" w:sz="2" w:space="0" w:color="auto"/>
              <w:left w:val="single" w:sz="2" w:space="0" w:color="auto"/>
              <w:bottom w:val="single" w:sz="2" w:space="0" w:color="auto"/>
              <w:right w:val="single" w:sz="2" w:space="0" w:color="auto"/>
            </w:tcBorders>
          </w:tcPr>
          <w:p w14:paraId="15D2FEE4" w14:textId="77777777" w:rsidR="0029325C" w:rsidRPr="0029325C" w:rsidRDefault="0029325C" w:rsidP="00E44156">
            <w:pPr>
              <w:tabs>
                <w:tab w:val="left" w:pos="360"/>
              </w:tabs>
              <w:jc w:val="center"/>
              <w:rPr>
                <w:rFonts w:ascii="Verdana" w:hAnsi="Verdana" w:cs="Arial"/>
                <w:b/>
                <w:bCs/>
                <w:sz w:val="18"/>
                <w:szCs w:val="18"/>
              </w:rPr>
            </w:pPr>
          </w:p>
          <w:p w14:paraId="5A893024"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1,569</w:t>
            </w:r>
          </w:p>
        </w:tc>
        <w:tc>
          <w:tcPr>
            <w:tcW w:w="1080" w:type="dxa"/>
            <w:tcBorders>
              <w:top w:val="single" w:sz="2" w:space="0" w:color="auto"/>
              <w:left w:val="single" w:sz="2" w:space="0" w:color="auto"/>
              <w:bottom w:val="single" w:sz="2" w:space="0" w:color="auto"/>
              <w:right w:val="single" w:sz="2" w:space="0" w:color="auto"/>
            </w:tcBorders>
          </w:tcPr>
          <w:p w14:paraId="5C08C193" w14:textId="77777777" w:rsidR="0029325C" w:rsidRPr="0029325C" w:rsidRDefault="0029325C" w:rsidP="00E44156">
            <w:pPr>
              <w:tabs>
                <w:tab w:val="left" w:pos="360"/>
              </w:tabs>
              <w:jc w:val="center"/>
              <w:rPr>
                <w:rFonts w:ascii="Verdana" w:hAnsi="Verdana" w:cs="Arial"/>
                <w:b/>
                <w:bCs/>
                <w:sz w:val="18"/>
                <w:szCs w:val="18"/>
              </w:rPr>
            </w:pPr>
          </w:p>
          <w:p w14:paraId="56F6FED7"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1,579</w:t>
            </w:r>
          </w:p>
        </w:tc>
        <w:tc>
          <w:tcPr>
            <w:tcW w:w="1060" w:type="dxa"/>
            <w:tcBorders>
              <w:top w:val="single" w:sz="2" w:space="0" w:color="auto"/>
              <w:left w:val="single" w:sz="2" w:space="0" w:color="auto"/>
              <w:bottom w:val="single" w:sz="2" w:space="0" w:color="auto"/>
              <w:right w:val="single" w:sz="2" w:space="0" w:color="auto"/>
            </w:tcBorders>
          </w:tcPr>
          <w:p w14:paraId="5C9B6129" w14:textId="77777777" w:rsidR="0029325C" w:rsidRPr="0029325C" w:rsidRDefault="0029325C" w:rsidP="00E44156">
            <w:pPr>
              <w:jc w:val="center"/>
              <w:rPr>
                <w:rFonts w:ascii="Verdana" w:hAnsi="Verdana" w:cs="Arial"/>
                <w:b/>
                <w:sz w:val="18"/>
                <w:szCs w:val="18"/>
              </w:rPr>
            </w:pPr>
          </w:p>
          <w:p w14:paraId="4FEB40AE" w14:textId="77777777" w:rsidR="0029325C" w:rsidRPr="0029325C" w:rsidRDefault="0029325C" w:rsidP="00E44156">
            <w:pPr>
              <w:jc w:val="center"/>
              <w:rPr>
                <w:rFonts w:ascii="Verdana" w:hAnsi="Verdana" w:cs="Arial"/>
                <w:b/>
                <w:sz w:val="18"/>
                <w:szCs w:val="18"/>
              </w:rPr>
            </w:pPr>
            <w:r w:rsidRPr="0029325C">
              <w:rPr>
                <w:rFonts w:ascii="Verdana" w:hAnsi="Verdana"/>
                <w:b/>
                <w:sz w:val="18"/>
              </w:rPr>
              <w:t>337</w:t>
            </w:r>
          </w:p>
        </w:tc>
        <w:tc>
          <w:tcPr>
            <w:tcW w:w="1080" w:type="dxa"/>
            <w:tcBorders>
              <w:top w:val="single" w:sz="2" w:space="0" w:color="auto"/>
              <w:left w:val="single" w:sz="2" w:space="0" w:color="auto"/>
              <w:bottom w:val="single" w:sz="2" w:space="0" w:color="auto"/>
              <w:right w:val="single" w:sz="2" w:space="0" w:color="auto"/>
            </w:tcBorders>
          </w:tcPr>
          <w:p w14:paraId="0F1D2470" w14:textId="77777777" w:rsidR="0029325C" w:rsidRPr="0029325C" w:rsidRDefault="0029325C" w:rsidP="00E44156">
            <w:pPr>
              <w:jc w:val="center"/>
              <w:rPr>
                <w:rFonts w:ascii="Verdana" w:hAnsi="Verdana" w:cs="Arial"/>
                <w:b/>
                <w:sz w:val="18"/>
                <w:szCs w:val="18"/>
              </w:rPr>
            </w:pPr>
          </w:p>
          <w:p w14:paraId="6C0B8C44" w14:textId="77777777" w:rsidR="0029325C" w:rsidRPr="0029325C" w:rsidRDefault="0029325C" w:rsidP="00E44156">
            <w:pPr>
              <w:jc w:val="center"/>
              <w:rPr>
                <w:rFonts w:ascii="Verdana" w:hAnsi="Verdana" w:cs="Arial"/>
                <w:b/>
                <w:sz w:val="18"/>
                <w:szCs w:val="18"/>
              </w:rPr>
            </w:pPr>
            <w:r w:rsidRPr="0029325C">
              <w:rPr>
                <w:rFonts w:ascii="Verdana" w:hAnsi="Verdana"/>
                <w:b/>
                <w:sz w:val="18"/>
              </w:rPr>
              <w:t>345</w:t>
            </w:r>
          </w:p>
        </w:tc>
        <w:tc>
          <w:tcPr>
            <w:tcW w:w="1200" w:type="dxa"/>
            <w:tcBorders>
              <w:top w:val="single" w:sz="2" w:space="0" w:color="auto"/>
              <w:left w:val="single" w:sz="2" w:space="0" w:color="auto"/>
              <w:bottom w:val="single" w:sz="2" w:space="0" w:color="auto"/>
              <w:right w:val="single" w:sz="2" w:space="0" w:color="auto"/>
            </w:tcBorders>
          </w:tcPr>
          <w:p w14:paraId="1210F3A8" w14:textId="77777777" w:rsidR="0029325C" w:rsidRPr="0029325C" w:rsidRDefault="0029325C" w:rsidP="00E44156">
            <w:pPr>
              <w:tabs>
                <w:tab w:val="left" w:pos="360"/>
              </w:tabs>
              <w:jc w:val="center"/>
              <w:rPr>
                <w:rFonts w:ascii="Verdana" w:hAnsi="Verdana" w:cs="Arial"/>
                <w:b/>
                <w:bCs/>
                <w:sz w:val="18"/>
                <w:szCs w:val="18"/>
              </w:rPr>
            </w:pPr>
          </w:p>
          <w:p w14:paraId="2F603DB0"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21.5%</w:t>
            </w:r>
          </w:p>
        </w:tc>
        <w:tc>
          <w:tcPr>
            <w:tcW w:w="1200" w:type="dxa"/>
            <w:tcBorders>
              <w:top w:val="single" w:sz="2" w:space="0" w:color="auto"/>
              <w:left w:val="single" w:sz="2" w:space="0" w:color="auto"/>
              <w:bottom w:val="single" w:sz="2" w:space="0" w:color="auto"/>
            </w:tcBorders>
          </w:tcPr>
          <w:p w14:paraId="1A2B519F" w14:textId="77777777" w:rsidR="0029325C" w:rsidRPr="0029325C" w:rsidRDefault="0029325C" w:rsidP="00E44156">
            <w:pPr>
              <w:tabs>
                <w:tab w:val="left" w:pos="360"/>
              </w:tabs>
              <w:jc w:val="center"/>
              <w:rPr>
                <w:rFonts w:ascii="Verdana" w:hAnsi="Verdana" w:cs="Arial"/>
                <w:b/>
                <w:bCs/>
                <w:sz w:val="18"/>
                <w:szCs w:val="18"/>
              </w:rPr>
            </w:pPr>
          </w:p>
          <w:p w14:paraId="0AE6FB96"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21.8%</w:t>
            </w:r>
          </w:p>
        </w:tc>
      </w:tr>
      <w:tr w:rsidR="0029325C" w:rsidRPr="0029325C" w14:paraId="17B2ADBA" w14:textId="77777777" w:rsidTr="00E44156">
        <w:tc>
          <w:tcPr>
            <w:tcW w:w="1668" w:type="dxa"/>
            <w:tcBorders>
              <w:top w:val="single" w:sz="2" w:space="0" w:color="auto"/>
              <w:bottom w:val="single" w:sz="2" w:space="0" w:color="auto"/>
              <w:right w:val="single" w:sz="2" w:space="0" w:color="auto"/>
            </w:tcBorders>
          </w:tcPr>
          <w:p w14:paraId="08F2E30F" w14:textId="77777777" w:rsidR="0029325C" w:rsidRPr="0029325C" w:rsidRDefault="0029325C" w:rsidP="00E44156">
            <w:pPr>
              <w:jc w:val="both"/>
              <w:rPr>
                <w:rFonts w:ascii="Arial" w:hAnsi="Arial" w:cs="Arial"/>
                <w:smallCaps/>
              </w:rPr>
            </w:pPr>
          </w:p>
          <w:p w14:paraId="68FD5CA9" w14:textId="77777777" w:rsidR="0029325C" w:rsidRPr="0029325C" w:rsidRDefault="0029325C" w:rsidP="00E44156">
            <w:pPr>
              <w:jc w:val="both"/>
              <w:rPr>
                <w:rFonts w:ascii="Arial" w:hAnsi="Arial" w:cs="Arial"/>
                <w:smallCaps/>
              </w:rPr>
            </w:pPr>
            <w:r w:rsidRPr="0029325C">
              <w:rPr>
                <w:rFonts w:ascii="Arial" w:hAnsi="Arial"/>
                <w:smallCaps/>
                <w:sz w:val="18"/>
              </w:rPr>
              <w:t>Grupo</w:t>
            </w:r>
          </w:p>
          <w:p w14:paraId="5AD8B1A9" w14:textId="77777777" w:rsidR="0029325C" w:rsidRPr="0029325C" w:rsidRDefault="0029325C" w:rsidP="00E44156">
            <w:pPr>
              <w:jc w:val="both"/>
              <w:rPr>
                <w:rFonts w:ascii="Arial" w:hAnsi="Arial" w:cs="Arial"/>
                <w:smallCaps/>
                <w:sz w:val="16"/>
                <w:szCs w:val="16"/>
              </w:rPr>
            </w:pPr>
          </w:p>
        </w:tc>
        <w:tc>
          <w:tcPr>
            <w:tcW w:w="1080" w:type="dxa"/>
            <w:tcBorders>
              <w:top w:val="single" w:sz="2" w:space="0" w:color="auto"/>
              <w:left w:val="single" w:sz="2" w:space="0" w:color="auto"/>
              <w:bottom w:val="single" w:sz="2" w:space="0" w:color="auto"/>
              <w:right w:val="single" w:sz="2" w:space="0" w:color="auto"/>
            </w:tcBorders>
          </w:tcPr>
          <w:p w14:paraId="46247A4F" w14:textId="77777777" w:rsidR="0029325C" w:rsidRPr="0029325C" w:rsidRDefault="0029325C" w:rsidP="00E44156">
            <w:pPr>
              <w:tabs>
                <w:tab w:val="left" w:pos="360"/>
              </w:tabs>
              <w:jc w:val="center"/>
              <w:rPr>
                <w:rFonts w:ascii="Verdana" w:hAnsi="Verdana" w:cs="Arial"/>
                <w:b/>
                <w:bCs/>
                <w:sz w:val="18"/>
                <w:szCs w:val="18"/>
              </w:rPr>
            </w:pPr>
          </w:p>
          <w:p w14:paraId="00750158"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10,497</w:t>
            </w:r>
          </w:p>
        </w:tc>
        <w:tc>
          <w:tcPr>
            <w:tcW w:w="1080" w:type="dxa"/>
            <w:tcBorders>
              <w:top w:val="single" w:sz="2" w:space="0" w:color="auto"/>
              <w:left w:val="single" w:sz="2" w:space="0" w:color="auto"/>
              <w:bottom w:val="single" w:sz="2" w:space="0" w:color="auto"/>
              <w:right w:val="single" w:sz="2" w:space="0" w:color="auto"/>
            </w:tcBorders>
          </w:tcPr>
          <w:p w14:paraId="23C13BE0" w14:textId="77777777" w:rsidR="0029325C" w:rsidRPr="0029325C" w:rsidRDefault="0029325C" w:rsidP="00E44156">
            <w:pPr>
              <w:tabs>
                <w:tab w:val="left" w:pos="360"/>
              </w:tabs>
              <w:jc w:val="center"/>
              <w:rPr>
                <w:rFonts w:ascii="Verdana" w:hAnsi="Verdana" w:cs="Arial"/>
                <w:b/>
                <w:bCs/>
                <w:sz w:val="18"/>
                <w:szCs w:val="18"/>
              </w:rPr>
            </w:pPr>
          </w:p>
          <w:p w14:paraId="4722CEFA" w14:textId="77777777" w:rsidR="0029325C" w:rsidRPr="0029325C" w:rsidRDefault="0029325C" w:rsidP="00E44156">
            <w:pPr>
              <w:tabs>
                <w:tab w:val="left" w:pos="360"/>
              </w:tabs>
              <w:jc w:val="center"/>
              <w:rPr>
                <w:rFonts w:ascii="Verdana" w:hAnsi="Verdana" w:cs="Arial"/>
                <w:b/>
                <w:bCs/>
                <w:sz w:val="18"/>
                <w:szCs w:val="18"/>
              </w:rPr>
            </w:pPr>
            <w:r w:rsidRPr="0029325C">
              <w:rPr>
                <w:rFonts w:ascii="Verdana" w:hAnsi="Verdana"/>
                <w:b/>
                <w:sz w:val="18"/>
              </w:rPr>
              <w:t>9,673</w:t>
            </w:r>
          </w:p>
        </w:tc>
        <w:tc>
          <w:tcPr>
            <w:tcW w:w="1060" w:type="dxa"/>
            <w:tcBorders>
              <w:top w:val="single" w:sz="2" w:space="0" w:color="auto"/>
              <w:left w:val="single" w:sz="2" w:space="0" w:color="auto"/>
              <w:bottom w:val="single" w:sz="2" w:space="0" w:color="auto"/>
              <w:right w:val="single" w:sz="2" w:space="0" w:color="auto"/>
            </w:tcBorders>
          </w:tcPr>
          <w:p w14:paraId="1D6B208E" w14:textId="77777777" w:rsidR="0029325C" w:rsidRPr="0029325C" w:rsidRDefault="0029325C" w:rsidP="00E44156">
            <w:pPr>
              <w:jc w:val="center"/>
              <w:rPr>
                <w:rFonts w:ascii="Verdana" w:hAnsi="Verdana" w:cs="Arial"/>
                <w:b/>
                <w:sz w:val="18"/>
                <w:szCs w:val="18"/>
              </w:rPr>
            </w:pPr>
          </w:p>
          <w:p w14:paraId="31CCAD92" w14:textId="77777777" w:rsidR="0029325C" w:rsidRPr="0029325C" w:rsidRDefault="0029325C" w:rsidP="00E44156">
            <w:pPr>
              <w:jc w:val="center"/>
              <w:rPr>
                <w:rFonts w:ascii="Verdana" w:hAnsi="Verdana" w:cs="Arial"/>
                <w:b/>
                <w:sz w:val="18"/>
                <w:szCs w:val="18"/>
              </w:rPr>
            </w:pPr>
            <w:r w:rsidRPr="0029325C">
              <w:rPr>
                <w:rFonts w:ascii="Verdana" w:hAnsi="Verdana"/>
                <w:b/>
                <w:sz w:val="18"/>
              </w:rPr>
              <w:t>1,262</w:t>
            </w:r>
          </w:p>
        </w:tc>
        <w:tc>
          <w:tcPr>
            <w:tcW w:w="1080" w:type="dxa"/>
            <w:tcBorders>
              <w:top w:val="single" w:sz="2" w:space="0" w:color="auto"/>
              <w:left w:val="single" w:sz="2" w:space="0" w:color="auto"/>
              <w:bottom w:val="single" w:sz="2" w:space="0" w:color="auto"/>
              <w:right w:val="single" w:sz="2" w:space="0" w:color="auto"/>
            </w:tcBorders>
          </w:tcPr>
          <w:p w14:paraId="142B868B" w14:textId="77777777" w:rsidR="0029325C" w:rsidRPr="0029325C" w:rsidRDefault="0029325C" w:rsidP="00E44156">
            <w:pPr>
              <w:jc w:val="center"/>
              <w:rPr>
                <w:rFonts w:ascii="Verdana" w:hAnsi="Verdana" w:cs="Arial"/>
                <w:b/>
                <w:sz w:val="18"/>
                <w:szCs w:val="18"/>
              </w:rPr>
            </w:pPr>
          </w:p>
          <w:p w14:paraId="64D5476E" w14:textId="77777777" w:rsidR="0029325C" w:rsidRPr="0029325C" w:rsidRDefault="0029325C" w:rsidP="00E44156">
            <w:pPr>
              <w:jc w:val="center"/>
              <w:rPr>
                <w:rFonts w:ascii="Verdana" w:hAnsi="Verdana" w:cs="Arial"/>
                <w:b/>
                <w:sz w:val="18"/>
                <w:szCs w:val="18"/>
              </w:rPr>
            </w:pPr>
            <w:r w:rsidRPr="0029325C">
              <w:rPr>
                <w:rFonts w:ascii="Verdana" w:hAnsi="Verdana"/>
                <w:b/>
                <w:sz w:val="18"/>
              </w:rPr>
              <w:t>1,159</w:t>
            </w:r>
          </w:p>
        </w:tc>
        <w:tc>
          <w:tcPr>
            <w:tcW w:w="1200" w:type="dxa"/>
            <w:tcBorders>
              <w:top w:val="single" w:sz="2" w:space="0" w:color="auto"/>
              <w:left w:val="single" w:sz="2" w:space="0" w:color="auto"/>
              <w:bottom w:val="single" w:sz="2" w:space="0" w:color="auto"/>
              <w:right w:val="single" w:sz="2" w:space="0" w:color="auto"/>
            </w:tcBorders>
          </w:tcPr>
          <w:p w14:paraId="652224FE" w14:textId="77777777" w:rsidR="0029325C" w:rsidRPr="0029325C" w:rsidRDefault="0029325C" w:rsidP="00E44156">
            <w:pPr>
              <w:jc w:val="center"/>
              <w:rPr>
                <w:rFonts w:ascii="Verdana" w:hAnsi="Verdana" w:cs="Arial"/>
                <w:b/>
                <w:sz w:val="18"/>
                <w:szCs w:val="18"/>
              </w:rPr>
            </w:pPr>
          </w:p>
          <w:p w14:paraId="69F222E6" w14:textId="77777777" w:rsidR="0029325C" w:rsidRPr="0029325C" w:rsidRDefault="0029325C" w:rsidP="00E44156">
            <w:pPr>
              <w:jc w:val="center"/>
              <w:rPr>
                <w:rFonts w:ascii="Verdana" w:hAnsi="Verdana" w:cs="Arial"/>
                <w:b/>
                <w:sz w:val="18"/>
                <w:szCs w:val="18"/>
              </w:rPr>
            </w:pPr>
            <w:r w:rsidRPr="0029325C">
              <w:rPr>
                <w:rFonts w:ascii="Verdana" w:hAnsi="Verdana"/>
                <w:b/>
                <w:sz w:val="18"/>
              </w:rPr>
              <w:t>12.0%</w:t>
            </w:r>
          </w:p>
        </w:tc>
        <w:tc>
          <w:tcPr>
            <w:tcW w:w="1200" w:type="dxa"/>
            <w:tcBorders>
              <w:top w:val="single" w:sz="2" w:space="0" w:color="auto"/>
              <w:left w:val="single" w:sz="2" w:space="0" w:color="auto"/>
              <w:bottom w:val="single" w:sz="2" w:space="0" w:color="auto"/>
            </w:tcBorders>
          </w:tcPr>
          <w:p w14:paraId="0931D0B6" w14:textId="77777777" w:rsidR="0029325C" w:rsidRPr="0029325C" w:rsidRDefault="0029325C" w:rsidP="00E44156">
            <w:pPr>
              <w:jc w:val="center"/>
              <w:rPr>
                <w:rFonts w:ascii="Verdana" w:hAnsi="Verdana" w:cs="Arial"/>
                <w:b/>
                <w:sz w:val="18"/>
                <w:szCs w:val="18"/>
              </w:rPr>
            </w:pPr>
          </w:p>
          <w:p w14:paraId="572092F5" w14:textId="77777777" w:rsidR="0029325C" w:rsidRPr="0029325C" w:rsidRDefault="0029325C" w:rsidP="00E44156">
            <w:pPr>
              <w:jc w:val="center"/>
              <w:rPr>
                <w:rFonts w:ascii="Verdana" w:hAnsi="Verdana" w:cs="Arial"/>
                <w:b/>
                <w:sz w:val="18"/>
                <w:szCs w:val="18"/>
              </w:rPr>
            </w:pPr>
            <w:r w:rsidRPr="0029325C">
              <w:rPr>
                <w:rFonts w:ascii="Verdana" w:hAnsi="Verdana"/>
                <w:b/>
                <w:sz w:val="18"/>
              </w:rPr>
              <w:t>12.0%</w:t>
            </w:r>
          </w:p>
        </w:tc>
      </w:tr>
    </w:tbl>
    <w:p w14:paraId="3CBF818D" w14:textId="77777777" w:rsidR="0029325C" w:rsidRPr="0029325C" w:rsidRDefault="0029325C" w:rsidP="0029325C">
      <w:pPr>
        <w:spacing w:after="60"/>
        <w:jc w:val="both"/>
        <w:rPr>
          <w:rFonts w:ascii="Verdana" w:hAnsi="Verdana" w:cs="Arial"/>
          <w:smallCaps/>
          <w:sz w:val="18"/>
          <w:szCs w:val="18"/>
          <w:u w:val="single"/>
        </w:rPr>
      </w:pPr>
    </w:p>
    <w:p w14:paraId="54C9F4EA" w14:textId="77777777" w:rsidR="0029325C" w:rsidRPr="0029325C" w:rsidRDefault="0029325C" w:rsidP="0029325C">
      <w:pPr>
        <w:spacing w:after="60"/>
        <w:jc w:val="both"/>
        <w:rPr>
          <w:rFonts w:ascii="Verdana" w:hAnsi="Verdana" w:cs="Arial"/>
          <w:smallCaps/>
          <w:sz w:val="18"/>
          <w:szCs w:val="18"/>
          <w:u w:val="single"/>
        </w:rPr>
      </w:pPr>
    </w:p>
    <w:p w14:paraId="62C5A207" w14:textId="77777777" w:rsidR="0029325C" w:rsidRPr="00B071A1" w:rsidRDefault="0029325C" w:rsidP="00B071A1">
      <w:pPr>
        <w:spacing w:after="60"/>
        <w:ind w:left="426"/>
        <w:jc w:val="both"/>
        <w:rPr>
          <w:rFonts w:ascii="Arial" w:hAnsi="Arial" w:cs="Arial"/>
          <w:bCs/>
          <w:sz w:val="21"/>
          <w:szCs w:val="21"/>
          <w:u w:val="single"/>
        </w:rPr>
      </w:pPr>
      <w:r w:rsidRPr="00B071A1">
        <w:rPr>
          <w:rFonts w:ascii="Arial" w:hAnsi="Arial" w:cs="Arial"/>
          <w:b/>
          <w:bCs/>
          <w:sz w:val="21"/>
          <w:szCs w:val="21"/>
        </w:rPr>
        <w:t>Pneus de carros de Passageiros/camiões ligeiros e distribuição relacionada</w:t>
      </w:r>
    </w:p>
    <w:p w14:paraId="54B8CE43" w14:textId="77777777" w:rsidR="0029325C" w:rsidRDefault="0029325C" w:rsidP="0029325C">
      <w:pPr>
        <w:spacing w:after="60"/>
        <w:ind w:left="708" w:right="-2"/>
        <w:jc w:val="both"/>
        <w:rPr>
          <w:rFonts w:ascii="Arial" w:hAnsi="Arial" w:cs="Arial"/>
          <w:sz w:val="21"/>
          <w:szCs w:val="21"/>
        </w:rPr>
      </w:pPr>
      <w:r w:rsidRPr="00B071A1">
        <w:rPr>
          <w:rFonts w:ascii="Arial" w:hAnsi="Arial" w:cs="Arial"/>
          <w:sz w:val="21"/>
          <w:szCs w:val="21"/>
        </w:rPr>
        <w:t xml:space="preserve">As vendas líquidas no </w:t>
      </w:r>
      <w:proofErr w:type="spellStart"/>
      <w:r w:rsidRPr="00B071A1">
        <w:rPr>
          <w:rFonts w:ascii="Arial" w:hAnsi="Arial" w:cs="Arial"/>
          <w:sz w:val="21"/>
          <w:szCs w:val="21"/>
        </w:rPr>
        <w:t>setor</w:t>
      </w:r>
      <w:proofErr w:type="spellEnd"/>
      <w:r w:rsidRPr="00B071A1">
        <w:rPr>
          <w:rFonts w:ascii="Arial" w:hAnsi="Arial" w:cs="Arial"/>
          <w:sz w:val="21"/>
          <w:szCs w:val="21"/>
        </w:rPr>
        <w:t xml:space="preserve"> dos Pneus de Carros de Passageiros e Camiões Ligeiros e Distribuição Relacionada aumentou 13,4% na primeira metade de 2015, passou de €5,860 milhões a €5,167 milhões do ano anterior.</w:t>
      </w:r>
    </w:p>
    <w:p w14:paraId="50CDC1BF" w14:textId="77777777" w:rsidR="00B071A1" w:rsidRPr="00B071A1" w:rsidRDefault="00B071A1" w:rsidP="0029325C">
      <w:pPr>
        <w:spacing w:after="60"/>
        <w:ind w:left="708" w:right="-2"/>
        <w:jc w:val="both"/>
        <w:rPr>
          <w:rFonts w:ascii="Arial" w:hAnsi="Arial" w:cs="Arial"/>
          <w:sz w:val="21"/>
          <w:szCs w:val="21"/>
        </w:rPr>
      </w:pPr>
    </w:p>
    <w:p w14:paraId="008E9B53" w14:textId="77777777" w:rsidR="0029325C" w:rsidRDefault="0029325C" w:rsidP="0029325C">
      <w:pPr>
        <w:spacing w:after="60"/>
        <w:ind w:left="708" w:right="-2"/>
        <w:jc w:val="both"/>
        <w:rPr>
          <w:rFonts w:ascii="Arial" w:hAnsi="Arial" w:cs="Arial"/>
          <w:sz w:val="21"/>
          <w:szCs w:val="21"/>
        </w:rPr>
      </w:pPr>
      <w:r w:rsidRPr="00B071A1">
        <w:rPr>
          <w:rFonts w:ascii="Arial" w:hAnsi="Arial" w:cs="Arial"/>
          <w:sz w:val="21"/>
          <w:szCs w:val="21"/>
        </w:rPr>
        <w:t>Consequentemente, o resultado operacional antes de itens não recorrentes</w:t>
      </w:r>
      <w:r w:rsidRPr="00B071A1">
        <w:rPr>
          <w:rFonts w:ascii="Arial" w:hAnsi="Arial" w:cs="Arial"/>
          <w:smallCaps/>
          <w:sz w:val="21"/>
          <w:szCs w:val="21"/>
        </w:rPr>
        <w:t xml:space="preserve"> </w:t>
      </w:r>
      <w:r w:rsidRPr="00B071A1">
        <w:rPr>
          <w:rFonts w:ascii="Arial" w:hAnsi="Arial" w:cs="Arial"/>
          <w:sz w:val="21"/>
          <w:szCs w:val="21"/>
        </w:rPr>
        <w:t>perfez €632 milhões ou 10,8% de vendas líquidas, comparando com os €588 milhões e 11,4% registados na primeira metade de 2014.</w:t>
      </w:r>
    </w:p>
    <w:p w14:paraId="5F469B03" w14:textId="77777777" w:rsidR="007D0C8E" w:rsidRDefault="007D0C8E" w:rsidP="0029325C">
      <w:pPr>
        <w:spacing w:after="60"/>
        <w:ind w:left="708" w:right="-2"/>
        <w:jc w:val="both"/>
        <w:rPr>
          <w:rFonts w:ascii="Arial" w:hAnsi="Arial" w:cs="Arial"/>
          <w:sz w:val="21"/>
          <w:szCs w:val="21"/>
        </w:rPr>
      </w:pPr>
    </w:p>
    <w:p w14:paraId="79E977F2" w14:textId="77777777" w:rsidR="0029325C" w:rsidRPr="00B071A1" w:rsidRDefault="0029325C" w:rsidP="0029325C">
      <w:pPr>
        <w:spacing w:after="60"/>
        <w:ind w:left="708" w:right="-2"/>
        <w:jc w:val="both"/>
        <w:rPr>
          <w:rFonts w:ascii="Arial" w:hAnsi="Arial" w:cs="Arial"/>
          <w:sz w:val="21"/>
          <w:szCs w:val="21"/>
        </w:rPr>
      </w:pPr>
      <w:r w:rsidRPr="00B071A1">
        <w:rPr>
          <w:rFonts w:ascii="Arial" w:hAnsi="Arial" w:cs="Arial"/>
          <w:sz w:val="21"/>
          <w:szCs w:val="21"/>
        </w:rPr>
        <w:lastRenderedPageBreak/>
        <w:t xml:space="preserve">As tonelagens aumentaram em 7%, ultrapassando rapidamente o mercado, graças ao sucesso do novo MICHELIN </w:t>
      </w:r>
      <w:proofErr w:type="spellStart"/>
      <w:r w:rsidRPr="00B071A1">
        <w:rPr>
          <w:rFonts w:ascii="Arial" w:hAnsi="Arial" w:cs="Arial"/>
          <w:sz w:val="21"/>
          <w:szCs w:val="21"/>
        </w:rPr>
        <w:t>CrossClimate</w:t>
      </w:r>
      <w:proofErr w:type="spellEnd"/>
      <w:r w:rsidRPr="00B071A1">
        <w:rPr>
          <w:rFonts w:ascii="Arial" w:hAnsi="Arial" w:cs="Arial"/>
          <w:sz w:val="21"/>
          <w:szCs w:val="21"/>
        </w:rPr>
        <w:t xml:space="preserve">, MICHELIN </w:t>
      </w:r>
      <w:proofErr w:type="spellStart"/>
      <w:r w:rsidRPr="00B071A1">
        <w:rPr>
          <w:rFonts w:ascii="Arial" w:hAnsi="Arial" w:cs="Arial"/>
          <w:sz w:val="21"/>
          <w:szCs w:val="21"/>
        </w:rPr>
        <w:t>Premier</w:t>
      </w:r>
      <w:proofErr w:type="spellEnd"/>
      <w:r w:rsidRPr="00B071A1">
        <w:rPr>
          <w:rFonts w:ascii="Arial" w:hAnsi="Arial" w:cs="Arial"/>
          <w:sz w:val="21"/>
          <w:szCs w:val="21"/>
        </w:rPr>
        <w:t xml:space="preserve"> </w:t>
      </w:r>
      <w:proofErr w:type="spellStart"/>
      <w:r w:rsidRPr="00B071A1">
        <w:rPr>
          <w:rFonts w:ascii="Arial" w:hAnsi="Arial" w:cs="Arial"/>
          <w:sz w:val="21"/>
          <w:szCs w:val="21"/>
        </w:rPr>
        <w:t>All-Season</w:t>
      </w:r>
      <w:proofErr w:type="spellEnd"/>
      <w:r w:rsidRPr="00B071A1">
        <w:rPr>
          <w:rFonts w:ascii="Arial" w:hAnsi="Arial" w:cs="Arial"/>
          <w:sz w:val="21"/>
          <w:szCs w:val="21"/>
        </w:rPr>
        <w:t xml:space="preserve">, </w:t>
      </w:r>
      <w:proofErr w:type="spellStart"/>
      <w:r w:rsidRPr="00B071A1">
        <w:rPr>
          <w:rFonts w:ascii="Arial" w:hAnsi="Arial" w:cs="Arial"/>
          <w:sz w:val="21"/>
          <w:szCs w:val="21"/>
        </w:rPr>
        <w:t>BFGoodrich</w:t>
      </w:r>
      <w:proofErr w:type="spellEnd"/>
      <w:r w:rsidRPr="00B071A1">
        <w:rPr>
          <w:rFonts w:ascii="Arial" w:hAnsi="Arial" w:cs="Arial"/>
          <w:sz w:val="21"/>
          <w:szCs w:val="21"/>
        </w:rPr>
        <w:t xml:space="preserve"> KO2 e </w:t>
      </w:r>
      <w:proofErr w:type="spellStart"/>
      <w:r w:rsidRPr="00B071A1">
        <w:rPr>
          <w:rFonts w:ascii="Arial" w:hAnsi="Arial" w:cs="Arial"/>
          <w:sz w:val="21"/>
          <w:szCs w:val="21"/>
        </w:rPr>
        <w:t>BFGoodrich</w:t>
      </w:r>
      <w:proofErr w:type="spellEnd"/>
      <w:r w:rsidRPr="00B071A1">
        <w:rPr>
          <w:rFonts w:ascii="Arial" w:hAnsi="Arial" w:cs="Arial"/>
          <w:sz w:val="21"/>
          <w:szCs w:val="21"/>
        </w:rPr>
        <w:t xml:space="preserve"> COMP-2 em mercados de substituição e o ganho de 4% no mercado do </w:t>
      </w:r>
      <w:proofErr w:type="spellStart"/>
      <w:r w:rsidRPr="00B071A1">
        <w:rPr>
          <w:rFonts w:ascii="Arial" w:hAnsi="Arial" w:cs="Arial"/>
          <w:sz w:val="21"/>
          <w:szCs w:val="21"/>
        </w:rPr>
        <w:t>setor</w:t>
      </w:r>
      <w:proofErr w:type="spellEnd"/>
      <w:r w:rsidRPr="00B071A1">
        <w:rPr>
          <w:rFonts w:ascii="Arial" w:hAnsi="Arial" w:cs="Arial"/>
          <w:sz w:val="21"/>
          <w:szCs w:val="21"/>
        </w:rPr>
        <w:t xml:space="preserve"> do equipamento original. As variações de preço refletiram a aplicação das cláusulas de indexação na matéria-prima no </w:t>
      </w:r>
      <w:proofErr w:type="spellStart"/>
      <w:r w:rsidRPr="00B071A1">
        <w:rPr>
          <w:rFonts w:ascii="Arial" w:hAnsi="Arial" w:cs="Arial"/>
          <w:sz w:val="21"/>
          <w:szCs w:val="21"/>
        </w:rPr>
        <w:t>setor</w:t>
      </w:r>
      <w:proofErr w:type="spellEnd"/>
      <w:r w:rsidRPr="00B071A1">
        <w:rPr>
          <w:rFonts w:ascii="Arial" w:hAnsi="Arial" w:cs="Arial"/>
          <w:sz w:val="21"/>
          <w:szCs w:val="21"/>
        </w:rPr>
        <w:t xml:space="preserve"> e de um cenário competitivo cada vez mais agressivo, especialmente na China. O impacto altamente favorável da gama de produtos foi atenuado pela mudança na gama da marca decorrente do grande crescimento das vendas nos </w:t>
      </w:r>
      <w:proofErr w:type="spellStart"/>
      <w:r w:rsidRPr="00B071A1">
        <w:rPr>
          <w:rFonts w:ascii="Arial" w:hAnsi="Arial" w:cs="Arial"/>
          <w:sz w:val="21"/>
          <w:szCs w:val="21"/>
        </w:rPr>
        <w:t>setores</w:t>
      </w:r>
      <w:proofErr w:type="spellEnd"/>
      <w:r w:rsidRPr="00B071A1">
        <w:rPr>
          <w:rFonts w:ascii="Arial" w:hAnsi="Arial" w:cs="Arial"/>
          <w:sz w:val="21"/>
          <w:szCs w:val="21"/>
        </w:rPr>
        <w:t xml:space="preserve"> </w:t>
      </w:r>
      <w:proofErr w:type="spellStart"/>
      <w:r w:rsidRPr="00B071A1">
        <w:rPr>
          <w:rFonts w:ascii="Arial" w:hAnsi="Arial" w:cs="Arial"/>
          <w:sz w:val="21"/>
          <w:szCs w:val="21"/>
        </w:rPr>
        <w:t>Tier</w:t>
      </w:r>
      <w:proofErr w:type="spellEnd"/>
      <w:r w:rsidRPr="00B071A1">
        <w:rPr>
          <w:rFonts w:ascii="Arial" w:hAnsi="Arial" w:cs="Arial"/>
          <w:sz w:val="21"/>
          <w:szCs w:val="21"/>
        </w:rPr>
        <w:t xml:space="preserve"> 2 e </w:t>
      </w:r>
      <w:proofErr w:type="spellStart"/>
      <w:r w:rsidRPr="00B071A1">
        <w:rPr>
          <w:rFonts w:ascii="Arial" w:hAnsi="Arial" w:cs="Arial"/>
          <w:sz w:val="21"/>
          <w:szCs w:val="21"/>
        </w:rPr>
        <w:t>Tier</w:t>
      </w:r>
      <w:proofErr w:type="spellEnd"/>
      <w:r w:rsidRPr="00B071A1">
        <w:rPr>
          <w:rFonts w:ascii="Arial" w:hAnsi="Arial" w:cs="Arial"/>
          <w:sz w:val="21"/>
          <w:szCs w:val="21"/>
        </w:rPr>
        <w:t xml:space="preserve"> 3. Na Europa, o aumento dos preços foi anunciado na segunda metade para contrabalançar o impacto da queda do euro em relação ao dólar nos preços da matéria-prima.</w:t>
      </w:r>
    </w:p>
    <w:p w14:paraId="0CAB72FC" w14:textId="77777777" w:rsidR="0029325C" w:rsidRPr="00B071A1" w:rsidRDefault="0029325C" w:rsidP="0029325C">
      <w:pPr>
        <w:spacing w:after="60"/>
        <w:ind w:left="708" w:right="-2"/>
        <w:jc w:val="both"/>
        <w:rPr>
          <w:rFonts w:ascii="Arial" w:hAnsi="Arial" w:cs="Arial"/>
          <w:sz w:val="21"/>
          <w:szCs w:val="21"/>
        </w:rPr>
      </w:pPr>
    </w:p>
    <w:p w14:paraId="2866D423" w14:textId="77777777" w:rsidR="0029325C" w:rsidRPr="007506B0" w:rsidRDefault="0029325C" w:rsidP="007506B0">
      <w:pPr>
        <w:spacing w:after="60"/>
        <w:ind w:left="426"/>
        <w:jc w:val="both"/>
        <w:rPr>
          <w:rFonts w:ascii="Arial" w:hAnsi="Arial" w:cs="Arial"/>
          <w:b/>
          <w:bCs/>
          <w:sz w:val="21"/>
          <w:szCs w:val="21"/>
        </w:rPr>
      </w:pPr>
      <w:r w:rsidRPr="007506B0">
        <w:rPr>
          <w:rFonts w:ascii="Arial" w:hAnsi="Arial" w:cs="Arial"/>
          <w:b/>
          <w:bCs/>
          <w:sz w:val="21"/>
          <w:szCs w:val="21"/>
        </w:rPr>
        <w:t>Pneus de camiões e distribuição relacionada</w:t>
      </w:r>
    </w:p>
    <w:p w14:paraId="0BE50B19" w14:textId="77777777" w:rsidR="0029325C" w:rsidRPr="00B071A1" w:rsidRDefault="0029325C" w:rsidP="0029325C">
      <w:pPr>
        <w:keepNext/>
        <w:spacing w:after="60"/>
        <w:jc w:val="both"/>
        <w:rPr>
          <w:rFonts w:ascii="Arial" w:hAnsi="Arial" w:cs="Arial"/>
          <w:smallCaps/>
          <w:sz w:val="21"/>
          <w:szCs w:val="21"/>
          <w:u w:val="single"/>
        </w:rPr>
      </w:pPr>
    </w:p>
    <w:p w14:paraId="6CE78363" w14:textId="77777777" w:rsidR="0029325C" w:rsidRDefault="0029325C" w:rsidP="0029325C">
      <w:pPr>
        <w:spacing w:after="60"/>
        <w:ind w:left="709"/>
        <w:jc w:val="both"/>
        <w:rPr>
          <w:rFonts w:ascii="Arial" w:hAnsi="Arial" w:cs="Arial"/>
          <w:sz w:val="21"/>
          <w:szCs w:val="21"/>
        </w:rPr>
      </w:pPr>
      <w:r w:rsidRPr="00B071A1">
        <w:rPr>
          <w:rFonts w:ascii="Arial" w:hAnsi="Arial" w:cs="Arial"/>
          <w:sz w:val="21"/>
          <w:szCs w:val="21"/>
        </w:rPr>
        <w:t xml:space="preserve">As vendas líquidas no </w:t>
      </w:r>
      <w:proofErr w:type="spellStart"/>
      <w:r w:rsidRPr="00B071A1">
        <w:rPr>
          <w:rFonts w:ascii="Arial" w:hAnsi="Arial" w:cs="Arial"/>
          <w:sz w:val="21"/>
          <w:szCs w:val="21"/>
        </w:rPr>
        <w:t>setor</w:t>
      </w:r>
      <w:proofErr w:type="spellEnd"/>
      <w:r w:rsidRPr="00B071A1">
        <w:rPr>
          <w:rFonts w:ascii="Arial" w:hAnsi="Arial" w:cs="Arial"/>
          <w:sz w:val="21"/>
          <w:szCs w:val="21"/>
        </w:rPr>
        <w:t xml:space="preserve"> dos Pneus de Camiões e Distribuição Relacionada mantiveram-se nos</w:t>
      </w:r>
      <w:r w:rsidRPr="00B071A1">
        <w:rPr>
          <w:rFonts w:ascii="Arial" w:hAnsi="Arial" w:cs="Arial"/>
          <w:b/>
          <w:smallCaps/>
          <w:sz w:val="21"/>
          <w:szCs w:val="21"/>
        </w:rPr>
        <w:t xml:space="preserve"> </w:t>
      </w:r>
      <w:r w:rsidRPr="00B071A1">
        <w:rPr>
          <w:rFonts w:ascii="Arial" w:hAnsi="Arial" w:cs="Arial"/>
          <w:sz w:val="21"/>
          <w:szCs w:val="21"/>
        </w:rPr>
        <w:t>€3,068 milhões contra os €2,927 dos primeiros seis meses de 2014.</w:t>
      </w:r>
    </w:p>
    <w:p w14:paraId="130A0127" w14:textId="77777777" w:rsidR="007506B0" w:rsidRPr="00B071A1" w:rsidRDefault="007506B0" w:rsidP="0029325C">
      <w:pPr>
        <w:spacing w:after="60"/>
        <w:ind w:left="709"/>
        <w:jc w:val="both"/>
        <w:rPr>
          <w:rFonts w:ascii="Arial" w:hAnsi="Arial" w:cs="Arial"/>
          <w:sz w:val="21"/>
          <w:szCs w:val="21"/>
        </w:rPr>
      </w:pPr>
    </w:p>
    <w:p w14:paraId="08A86DD8" w14:textId="77777777" w:rsidR="0029325C" w:rsidRDefault="0029325C" w:rsidP="0029325C">
      <w:pPr>
        <w:spacing w:after="60"/>
        <w:ind w:left="709"/>
        <w:jc w:val="both"/>
        <w:rPr>
          <w:rFonts w:ascii="Arial" w:hAnsi="Arial" w:cs="Arial"/>
          <w:sz w:val="21"/>
          <w:szCs w:val="21"/>
        </w:rPr>
      </w:pPr>
      <w:r w:rsidRPr="00B071A1">
        <w:rPr>
          <w:rFonts w:ascii="Arial" w:hAnsi="Arial" w:cs="Arial"/>
          <w:sz w:val="21"/>
          <w:szCs w:val="21"/>
        </w:rPr>
        <w:t>O resultado operacional antes de itens não recorrentes</w:t>
      </w:r>
      <w:r w:rsidRPr="00B071A1">
        <w:rPr>
          <w:rFonts w:ascii="Arial" w:hAnsi="Arial" w:cs="Arial"/>
          <w:smallCaps/>
          <w:sz w:val="21"/>
          <w:szCs w:val="21"/>
        </w:rPr>
        <w:t xml:space="preserve"> </w:t>
      </w:r>
      <w:r w:rsidRPr="00B071A1">
        <w:rPr>
          <w:rFonts w:ascii="Arial" w:hAnsi="Arial" w:cs="Arial"/>
          <w:sz w:val="21"/>
          <w:szCs w:val="21"/>
        </w:rPr>
        <w:t>atingiu os €293 milhões ou 9,6% de vendas líquidas contra os €226 milhões e 7,7% registados no ano anterior.</w:t>
      </w:r>
    </w:p>
    <w:p w14:paraId="01DADEAF" w14:textId="77777777" w:rsidR="007506B0" w:rsidRPr="00B071A1" w:rsidRDefault="007506B0" w:rsidP="0029325C">
      <w:pPr>
        <w:spacing w:after="60"/>
        <w:ind w:left="709"/>
        <w:jc w:val="both"/>
        <w:rPr>
          <w:rFonts w:ascii="Arial" w:hAnsi="Arial" w:cs="Arial"/>
          <w:sz w:val="21"/>
          <w:szCs w:val="21"/>
        </w:rPr>
      </w:pPr>
    </w:p>
    <w:p w14:paraId="408ABB21" w14:textId="77777777" w:rsidR="0029325C" w:rsidRPr="00B071A1" w:rsidRDefault="0029325C" w:rsidP="0029325C">
      <w:pPr>
        <w:spacing w:after="60"/>
        <w:ind w:left="709"/>
        <w:jc w:val="both"/>
        <w:rPr>
          <w:rFonts w:ascii="Arial" w:hAnsi="Arial" w:cs="Arial"/>
          <w:sz w:val="21"/>
          <w:szCs w:val="21"/>
        </w:rPr>
      </w:pPr>
      <w:r w:rsidRPr="00B071A1">
        <w:rPr>
          <w:rFonts w:ascii="Arial" w:hAnsi="Arial" w:cs="Arial"/>
          <w:sz w:val="21"/>
          <w:szCs w:val="21"/>
        </w:rPr>
        <w:t>A melhoria da margem foi principalmente impulsionada por volumes persistentes, que bateram o mercado com apenas uma ligeira diminuição de 1% comparando com os valores elevados do ano anterior. O forte crescimento nas vendas em regiões maduras foi suportado por vendas persistentes de recauchutados num mercado a sofrer um declínio significativo, enquanto as novas linhas intermediárias introduzidas na América do Norte, América do Sul, região de África e Médio Oriente e Sudeste Asiático tiveram um arranque favorável. Uma gestão eficiente do negócio, especialmente nas áreas de posicionamento de preço, fornecimento de mercados em crescimento e controlo de custos também contribuíram para o aumento sustentado na margem de desempenho. Adicionalmente, foram anunciados aumentos de preços na Europa na segunda metade.</w:t>
      </w:r>
    </w:p>
    <w:p w14:paraId="2539BBA7" w14:textId="77777777" w:rsidR="0029325C" w:rsidRPr="00B071A1" w:rsidRDefault="0029325C" w:rsidP="0029325C">
      <w:pPr>
        <w:spacing w:after="60"/>
        <w:ind w:left="709"/>
        <w:jc w:val="both"/>
        <w:rPr>
          <w:rFonts w:ascii="Arial" w:hAnsi="Arial" w:cs="Arial"/>
          <w:smallCaps/>
          <w:sz w:val="21"/>
          <w:szCs w:val="21"/>
          <w:u w:val="single"/>
        </w:rPr>
      </w:pPr>
    </w:p>
    <w:p w14:paraId="32E0C744" w14:textId="77777777" w:rsidR="0029325C" w:rsidRPr="007506B0" w:rsidRDefault="0029325C" w:rsidP="007506B0">
      <w:pPr>
        <w:spacing w:after="60"/>
        <w:ind w:left="426"/>
        <w:jc w:val="both"/>
        <w:rPr>
          <w:rFonts w:ascii="Arial" w:hAnsi="Arial" w:cs="Arial"/>
          <w:b/>
          <w:bCs/>
          <w:sz w:val="21"/>
          <w:szCs w:val="21"/>
        </w:rPr>
      </w:pPr>
      <w:r w:rsidRPr="007506B0">
        <w:rPr>
          <w:rFonts w:ascii="Arial" w:hAnsi="Arial" w:cs="Arial"/>
          <w:b/>
          <w:bCs/>
          <w:sz w:val="21"/>
          <w:szCs w:val="21"/>
        </w:rPr>
        <w:t>Negócios de especialidade</w:t>
      </w:r>
    </w:p>
    <w:p w14:paraId="74494E1F" w14:textId="77777777" w:rsidR="0029325C" w:rsidRPr="00B071A1" w:rsidRDefault="0029325C" w:rsidP="0029325C">
      <w:pPr>
        <w:tabs>
          <w:tab w:val="left" w:pos="360"/>
        </w:tabs>
        <w:ind w:left="360"/>
        <w:jc w:val="both"/>
        <w:rPr>
          <w:rFonts w:ascii="Arial" w:hAnsi="Arial" w:cs="Arial"/>
          <w:b/>
          <w:bCs/>
          <w:smallCaps/>
          <w:sz w:val="21"/>
          <w:szCs w:val="21"/>
        </w:rPr>
      </w:pPr>
    </w:p>
    <w:p w14:paraId="3B46F3F9" w14:textId="77777777" w:rsidR="0029325C" w:rsidRDefault="0029325C" w:rsidP="0029325C">
      <w:pPr>
        <w:spacing w:after="60"/>
        <w:ind w:left="709"/>
        <w:jc w:val="both"/>
        <w:rPr>
          <w:rFonts w:ascii="Arial" w:hAnsi="Arial" w:cs="Arial"/>
          <w:sz w:val="21"/>
          <w:szCs w:val="21"/>
        </w:rPr>
      </w:pPr>
      <w:r w:rsidRPr="00B071A1">
        <w:rPr>
          <w:rFonts w:ascii="Arial" w:hAnsi="Arial" w:cs="Arial"/>
          <w:sz w:val="21"/>
          <w:szCs w:val="21"/>
        </w:rPr>
        <w:t>As vendas líquidas no Negócio de Especialidade mantiveram-se nos €1,569 milhões durante o período, isto é, virtualmente inalteradas quando comparadas com os €1,579 milhões registados no ano anterior.</w:t>
      </w:r>
    </w:p>
    <w:p w14:paraId="2A8E1ADC" w14:textId="77777777" w:rsidR="007506B0" w:rsidRPr="00B071A1" w:rsidRDefault="007506B0" w:rsidP="0029325C">
      <w:pPr>
        <w:spacing w:after="60"/>
        <w:ind w:left="709"/>
        <w:jc w:val="both"/>
        <w:rPr>
          <w:rFonts w:ascii="Arial" w:hAnsi="Arial" w:cs="Arial"/>
          <w:sz w:val="21"/>
          <w:szCs w:val="21"/>
        </w:rPr>
      </w:pPr>
    </w:p>
    <w:p w14:paraId="2C0A62E9" w14:textId="77777777" w:rsidR="0029325C" w:rsidRDefault="0029325C" w:rsidP="0029325C">
      <w:pPr>
        <w:spacing w:after="60"/>
        <w:ind w:left="709"/>
        <w:jc w:val="both"/>
        <w:rPr>
          <w:rFonts w:ascii="Arial" w:hAnsi="Arial" w:cs="Arial"/>
          <w:sz w:val="21"/>
          <w:szCs w:val="21"/>
        </w:rPr>
      </w:pPr>
      <w:r w:rsidRPr="00B071A1">
        <w:rPr>
          <w:rFonts w:ascii="Arial" w:hAnsi="Arial" w:cs="Arial"/>
          <w:sz w:val="21"/>
          <w:szCs w:val="21"/>
        </w:rPr>
        <w:t>O resultado operacional antes de itens não recorrentes</w:t>
      </w:r>
      <w:r w:rsidRPr="00B071A1">
        <w:rPr>
          <w:rFonts w:ascii="Arial" w:hAnsi="Arial" w:cs="Arial"/>
          <w:smallCaps/>
          <w:sz w:val="21"/>
          <w:szCs w:val="21"/>
        </w:rPr>
        <w:t xml:space="preserve"> </w:t>
      </w:r>
      <w:r w:rsidRPr="00B071A1">
        <w:rPr>
          <w:rFonts w:ascii="Arial" w:hAnsi="Arial" w:cs="Arial"/>
          <w:sz w:val="21"/>
          <w:szCs w:val="21"/>
        </w:rPr>
        <w:t>para os negócios de Especialidade manteve-se estruturalmente elevado na primeira metade de 2015, €1,579 milhões de vendas líquidas, comparando com os €345 milhões e 21,8% do mesmo período do ano anterior.</w:t>
      </w:r>
    </w:p>
    <w:p w14:paraId="28A934A1" w14:textId="77777777" w:rsidR="007506B0" w:rsidRPr="00B071A1" w:rsidRDefault="007506B0" w:rsidP="0029325C">
      <w:pPr>
        <w:spacing w:after="60"/>
        <w:ind w:left="709"/>
        <w:jc w:val="both"/>
        <w:rPr>
          <w:rFonts w:ascii="Arial" w:hAnsi="Arial" w:cs="Arial"/>
          <w:sz w:val="21"/>
          <w:szCs w:val="21"/>
        </w:rPr>
      </w:pPr>
    </w:p>
    <w:p w14:paraId="25815B1D" w14:textId="13AF2A12" w:rsidR="0029325C" w:rsidRPr="00B071A1" w:rsidRDefault="0029325C" w:rsidP="0029325C">
      <w:pPr>
        <w:spacing w:after="60"/>
        <w:ind w:left="709"/>
        <w:jc w:val="both"/>
        <w:rPr>
          <w:rFonts w:ascii="Arial" w:hAnsi="Arial" w:cs="Arial"/>
          <w:sz w:val="21"/>
          <w:szCs w:val="21"/>
        </w:rPr>
      </w:pPr>
      <w:r w:rsidRPr="00B071A1">
        <w:rPr>
          <w:rFonts w:ascii="Arial" w:hAnsi="Arial" w:cs="Arial"/>
          <w:sz w:val="21"/>
          <w:szCs w:val="21"/>
        </w:rPr>
        <w:t>Em suma, a queda de 5% nos volumes é ligeiramente melhor do que o mercado, ao mesmo tempo as companhias de mineração continuaram a reduzir o inventário e os mercados de produtos mantiveram níveis baixos. Ao mesmo tempo, as unidades de margem foram esmagadas pelo impacto retardado dos ajustes dos preços ao abrigo das cláusulas</w:t>
      </w:r>
      <w:r w:rsidR="007506B0">
        <w:rPr>
          <w:rFonts w:ascii="Arial" w:hAnsi="Arial" w:cs="Arial"/>
          <w:sz w:val="21"/>
          <w:szCs w:val="21"/>
        </w:rPr>
        <w:t xml:space="preserve"> de indexação da matéria-prima. </w:t>
      </w:r>
      <w:r w:rsidRPr="00B071A1">
        <w:rPr>
          <w:rFonts w:ascii="Arial" w:hAnsi="Arial" w:cs="Arial"/>
          <w:sz w:val="21"/>
          <w:szCs w:val="21"/>
        </w:rPr>
        <w:t>Na segunda metade do trimestre, serão introduzidos aumentos nos pneus agrícolas na Europa.</w:t>
      </w:r>
    </w:p>
    <w:p w14:paraId="6E913289" w14:textId="77777777" w:rsidR="0029325C" w:rsidRPr="00B071A1" w:rsidRDefault="0029325C" w:rsidP="0029325C">
      <w:pPr>
        <w:spacing w:after="60"/>
        <w:ind w:left="709"/>
        <w:jc w:val="both"/>
        <w:rPr>
          <w:rFonts w:ascii="Arial" w:hAnsi="Arial" w:cs="Arial"/>
          <w:sz w:val="21"/>
          <w:szCs w:val="21"/>
        </w:rPr>
      </w:pPr>
    </w:p>
    <w:p w14:paraId="3F4EDAE6" w14:textId="77777777" w:rsidR="0029325C" w:rsidRDefault="0029325C" w:rsidP="0029325C">
      <w:pPr>
        <w:tabs>
          <w:tab w:val="left" w:pos="360"/>
        </w:tabs>
        <w:jc w:val="both"/>
        <w:rPr>
          <w:rFonts w:ascii="Verdana" w:hAnsi="Verdana" w:cs="Arial"/>
          <w:b/>
          <w:bCs/>
          <w:sz w:val="18"/>
          <w:szCs w:val="18"/>
        </w:rPr>
      </w:pPr>
    </w:p>
    <w:p w14:paraId="32B5A080" w14:textId="77777777" w:rsidR="007D0C8E" w:rsidRPr="0029325C" w:rsidRDefault="007D0C8E" w:rsidP="0029325C">
      <w:pPr>
        <w:tabs>
          <w:tab w:val="left" w:pos="360"/>
        </w:tabs>
        <w:jc w:val="both"/>
        <w:rPr>
          <w:rFonts w:ascii="Verdana" w:hAnsi="Verdana" w:cs="Arial"/>
          <w:b/>
          <w:bCs/>
          <w:sz w:val="18"/>
          <w:szCs w:val="18"/>
        </w:rPr>
      </w:pPr>
    </w:p>
    <w:p w14:paraId="4F307A54" w14:textId="77777777" w:rsidR="0029325C" w:rsidRPr="007D0C8E" w:rsidRDefault="0029325C" w:rsidP="007D0C8E">
      <w:pPr>
        <w:spacing w:after="240" w:line="270" w:lineRule="atLeast"/>
        <w:outlineLvl w:val="0"/>
        <w:rPr>
          <w:rFonts w:ascii="Times New Roman" w:hAnsi="Times New Roman"/>
          <w:b/>
          <w:color w:val="333399"/>
          <w:sz w:val="40"/>
          <w:szCs w:val="40"/>
          <w:u w:color="333399"/>
          <w:lang w:val="es-ES_tradnl" w:eastAsia="en-US"/>
        </w:rPr>
      </w:pPr>
      <w:r w:rsidRPr="007D0C8E">
        <w:rPr>
          <w:rFonts w:ascii="Times New Roman" w:hAnsi="Times New Roman"/>
          <w:b/>
          <w:color w:val="333399"/>
          <w:sz w:val="40"/>
          <w:szCs w:val="40"/>
          <w:u w:color="333399"/>
          <w:lang w:val="es-ES_tradnl" w:eastAsia="en-US"/>
        </w:rPr>
        <w:lastRenderedPageBreak/>
        <w:t xml:space="preserve">A </w:t>
      </w:r>
      <w:proofErr w:type="spellStart"/>
      <w:r w:rsidRPr="007D0C8E">
        <w:rPr>
          <w:rFonts w:ascii="Times New Roman" w:hAnsi="Times New Roman"/>
          <w:b/>
          <w:color w:val="333399"/>
          <w:sz w:val="40"/>
          <w:szCs w:val="40"/>
          <w:u w:color="333399"/>
          <w:lang w:val="es-ES_tradnl" w:eastAsia="en-US"/>
        </w:rPr>
        <w:t>Compagnie</w:t>
      </w:r>
      <w:proofErr w:type="spellEnd"/>
      <w:r w:rsidRPr="007D0C8E">
        <w:rPr>
          <w:rFonts w:ascii="Times New Roman" w:hAnsi="Times New Roman"/>
          <w:b/>
          <w:color w:val="333399"/>
          <w:sz w:val="40"/>
          <w:szCs w:val="40"/>
          <w:u w:color="333399"/>
          <w:lang w:val="es-ES_tradnl" w:eastAsia="en-US"/>
        </w:rPr>
        <w:t xml:space="preserve"> </w:t>
      </w:r>
      <w:proofErr w:type="spellStart"/>
      <w:r w:rsidRPr="007D0C8E">
        <w:rPr>
          <w:rFonts w:ascii="Times New Roman" w:hAnsi="Times New Roman"/>
          <w:b/>
          <w:color w:val="333399"/>
          <w:sz w:val="40"/>
          <w:szCs w:val="40"/>
          <w:u w:color="333399"/>
          <w:lang w:val="es-ES_tradnl" w:eastAsia="en-US"/>
        </w:rPr>
        <w:t>Générale</w:t>
      </w:r>
      <w:proofErr w:type="spellEnd"/>
      <w:r w:rsidRPr="007D0C8E">
        <w:rPr>
          <w:rFonts w:ascii="Times New Roman" w:hAnsi="Times New Roman"/>
          <w:b/>
          <w:color w:val="333399"/>
          <w:sz w:val="40"/>
          <w:szCs w:val="40"/>
          <w:u w:color="333399"/>
          <w:lang w:val="es-ES_tradnl" w:eastAsia="en-US"/>
        </w:rPr>
        <w:t xml:space="preserve"> </w:t>
      </w:r>
      <w:proofErr w:type="spellStart"/>
      <w:r w:rsidRPr="007D0C8E">
        <w:rPr>
          <w:rFonts w:ascii="Times New Roman" w:hAnsi="Times New Roman"/>
          <w:b/>
          <w:color w:val="333399"/>
          <w:sz w:val="40"/>
          <w:szCs w:val="40"/>
          <w:u w:color="333399"/>
          <w:lang w:val="es-ES_tradnl" w:eastAsia="en-US"/>
        </w:rPr>
        <w:t>des</w:t>
      </w:r>
      <w:proofErr w:type="spellEnd"/>
      <w:r w:rsidRPr="007D0C8E">
        <w:rPr>
          <w:rFonts w:ascii="Times New Roman" w:hAnsi="Times New Roman"/>
          <w:b/>
          <w:color w:val="333399"/>
          <w:sz w:val="40"/>
          <w:szCs w:val="40"/>
          <w:u w:color="333399"/>
          <w:lang w:val="es-ES_tradnl" w:eastAsia="en-US"/>
        </w:rPr>
        <w:t xml:space="preserve"> </w:t>
      </w:r>
      <w:proofErr w:type="spellStart"/>
      <w:r w:rsidRPr="007D0C8E">
        <w:rPr>
          <w:rFonts w:ascii="Times New Roman" w:hAnsi="Times New Roman"/>
          <w:b/>
          <w:color w:val="333399"/>
          <w:sz w:val="40"/>
          <w:szCs w:val="40"/>
          <w:u w:color="333399"/>
          <w:lang w:val="es-ES_tradnl" w:eastAsia="en-US"/>
        </w:rPr>
        <w:t>Etablissements</w:t>
      </w:r>
      <w:proofErr w:type="spellEnd"/>
      <w:r w:rsidRPr="007D0C8E">
        <w:rPr>
          <w:rFonts w:ascii="Times New Roman" w:hAnsi="Times New Roman"/>
          <w:b/>
          <w:color w:val="333399"/>
          <w:sz w:val="40"/>
          <w:szCs w:val="40"/>
          <w:u w:color="333399"/>
          <w:lang w:val="es-ES_tradnl" w:eastAsia="en-US"/>
        </w:rPr>
        <w:t xml:space="preserve"> Michelin</w:t>
      </w:r>
    </w:p>
    <w:p w14:paraId="36003B68" w14:textId="77777777" w:rsidR="0029325C" w:rsidRPr="007D0C8E" w:rsidRDefault="0029325C" w:rsidP="0029325C">
      <w:pPr>
        <w:tabs>
          <w:tab w:val="left" w:pos="360"/>
        </w:tabs>
        <w:jc w:val="both"/>
        <w:rPr>
          <w:rFonts w:ascii="Arial" w:hAnsi="Arial" w:cs="Arial"/>
          <w:b/>
          <w:bCs/>
          <w:sz w:val="21"/>
          <w:szCs w:val="21"/>
        </w:rPr>
      </w:pPr>
    </w:p>
    <w:p w14:paraId="41F3CC0A" w14:textId="77777777" w:rsidR="0029325C" w:rsidRPr="007D0C8E" w:rsidRDefault="0029325C" w:rsidP="0029325C">
      <w:pPr>
        <w:spacing w:after="120"/>
        <w:jc w:val="both"/>
        <w:rPr>
          <w:rFonts w:ascii="Arial" w:hAnsi="Arial" w:cs="Arial"/>
          <w:sz w:val="21"/>
          <w:szCs w:val="21"/>
        </w:rPr>
      </w:pPr>
      <w:r w:rsidRPr="007D0C8E">
        <w:rPr>
          <w:rFonts w:ascii="Arial" w:hAnsi="Arial" w:cs="Arial"/>
          <w:sz w:val="21"/>
          <w:szCs w:val="21"/>
        </w:rPr>
        <w:t xml:space="preserve">A </w:t>
      </w:r>
      <w:proofErr w:type="spellStart"/>
      <w:r w:rsidRPr="007D0C8E">
        <w:rPr>
          <w:rFonts w:ascii="Arial" w:hAnsi="Arial" w:cs="Arial"/>
          <w:sz w:val="21"/>
          <w:szCs w:val="21"/>
        </w:rPr>
        <w:t>Compagnie</w:t>
      </w:r>
      <w:proofErr w:type="spellEnd"/>
      <w:r w:rsidRPr="007D0C8E">
        <w:rPr>
          <w:rFonts w:ascii="Arial" w:hAnsi="Arial" w:cs="Arial"/>
          <w:sz w:val="21"/>
          <w:szCs w:val="21"/>
        </w:rPr>
        <w:t xml:space="preserve"> </w:t>
      </w:r>
      <w:proofErr w:type="spellStart"/>
      <w:r w:rsidRPr="007D0C8E">
        <w:rPr>
          <w:rFonts w:ascii="Arial" w:hAnsi="Arial" w:cs="Arial"/>
          <w:sz w:val="21"/>
          <w:szCs w:val="21"/>
        </w:rPr>
        <w:t>Générale</w:t>
      </w:r>
      <w:proofErr w:type="spellEnd"/>
      <w:r w:rsidRPr="007D0C8E">
        <w:rPr>
          <w:rFonts w:ascii="Arial" w:hAnsi="Arial" w:cs="Arial"/>
          <w:sz w:val="21"/>
          <w:szCs w:val="21"/>
        </w:rPr>
        <w:t xml:space="preserve"> </w:t>
      </w:r>
      <w:proofErr w:type="spellStart"/>
      <w:r w:rsidRPr="007D0C8E">
        <w:rPr>
          <w:rFonts w:ascii="Arial" w:hAnsi="Arial" w:cs="Arial"/>
          <w:sz w:val="21"/>
          <w:szCs w:val="21"/>
        </w:rPr>
        <w:t>des</w:t>
      </w:r>
      <w:proofErr w:type="spellEnd"/>
      <w:r w:rsidRPr="007D0C8E">
        <w:rPr>
          <w:rFonts w:ascii="Arial" w:hAnsi="Arial" w:cs="Arial"/>
          <w:sz w:val="21"/>
          <w:szCs w:val="21"/>
        </w:rPr>
        <w:t xml:space="preserve"> </w:t>
      </w:r>
      <w:proofErr w:type="spellStart"/>
      <w:r w:rsidRPr="007D0C8E">
        <w:rPr>
          <w:rFonts w:ascii="Arial" w:hAnsi="Arial" w:cs="Arial"/>
          <w:sz w:val="21"/>
          <w:szCs w:val="21"/>
        </w:rPr>
        <w:t>Etablissements</w:t>
      </w:r>
      <w:proofErr w:type="spellEnd"/>
      <w:r w:rsidRPr="007D0C8E">
        <w:rPr>
          <w:rFonts w:ascii="Arial" w:hAnsi="Arial" w:cs="Arial"/>
          <w:sz w:val="21"/>
          <w:szCs w:val="21"/>
        </w:rPr>
        <w:t xml:space="preserve"> Michelin terminou o primeiro ano com um resultado líquido de €541 milhões, comparando com os €540 milhões nos primeiros seis meses de 2014.</w:t>
      </w:r>
    </w:p>
    <w:p w14:paraId="40E76B82" w14:textId="77777777" w:rsidR="0029325C" w:rsidRPr="007D0C8E" w:rsidRDefault="0029325C" w:rsidP="0029325C">
      <w:pPr>
        <w:spacing w:after="120"/>
        <w:jc w:val="both"/>
        <w:rPr>
          <w:rFonts w:ascii="Arial" w:hAnsi="Arial" w:cs="Arial"/>
          <w:sz w:val="21"/>
          <w:szCs w:val="21"/>
        </w:rPr>
      </w:pPr>
      <w:r w:rsidRPr="007D0C8E">
        <w:rPr>
          <w:rFonts w:ascii="Arial" w:hAnsi="Arial" w:cs="Arial"/>
          <w:sz w:val="21"/>
          <w:szCs w:val="21"/>
        </w:rPr>
        <w:t>Os relatórios financeiros foram apresentados ao Conselho Fiscal na reunião de 23 de julho de 2015. Foi realizada uma auditoria e o relatório dos auditores foi emitido em 27 de julho de 2015.</w:t>
      </w:r>
    </w:p>
    <w:p w14:paraId="091425D5" w14:textId="77777777" w:rsidR="0029325C" w:rsidRPr="0029325C" w:rsidRDefault="0029325C" w:rsidP="0029325C">
      <w:pPr>
        <w:rPr>
          <w:rStyle w:val="Enfasis"/>
          <w:rFonts w:ascii="Verdana" w:hAnsi="Verdana"/>
          <w:i w:val="0"/>
        </w:rPr>
      </w:pPr>
      <w:r w:rsidRPr="007D0C8E">
        <w:rPr>
          <w:rFonts w:ascii="Arial" w:hAnsi="Arial" w:cs="Arial"/>
          <w:sz w:val="21"/>
          <w:szCs w:val="21"/>
        </w:rPr>
        <w:br w:type="page"/>
      </w:r>
    </w:p>
    <w:p w14:paraId="64FC1A6B" w14:textId="77777777" w:rsidR="0029325C" w:rsidRPr="007D0C8E" w:rsidRDefault="0029325C" w:rsidP="007D0C8E">
      <w:pPr>
        <w:spacing w:after="240" w:line="360" w:lineRule="exact"/>
        <w:outlineLvl w:val="0"/>
        <w:rPr>
          <w:rFonts w:ascii="Times New Roman" w:eastAsia="Arial Unicode MS" w:hAnsi="Arial Unicode MS"/>
          <w:b/>
          <w:color w:val="333399"/>
          <w:sz w:val="40"/>
          <w:szCs w:val="24"/>
          <w:u w:color="333399"/>
          <w:lang w:val="es-ES_tradnl" w:eastAsia="en-US"/>
        </w:rPr>
      </w:pPr>
      <w:r w:rsidRPr="007D0C8E">
        <w:rPr>
          <w:rFonts w:ascii="Times New Roman" w:eastAsia="Arial Unicode MS" w:hAnsi="Arial Unicode MS"/>
          <w:b/>
          <w:color w:val="333399"/>
          <w:sz w:val="40"/>
          <w:szCs w:val="24"/>
          <w:u w:color="333399"/>
          <w:lang w:val="es-ES_tradnl" w:eastAsia="en-US"/>
        </w:rPr>
        <w:t>Destaques do primeiro semestre de 2015</w:t>
      </w:r>
    </w:p>
    <w:p w14:paraId="0F9F0169" w14:textId="77777777" w:rsidR="0029325C" w:rsidRPr="00E3716D" w:rsidRDefault="0029325C" w:rsidP="0029325C">
      <w:pPr>
        <w:jc w:val="center"/>
        <w:rPr>
          <w:rFonts w:ascii="Arial" w:hAnsi="Arial" w:cs="Arial"/>
          <w:sz w:val="21"/>
          <w:szCs w:val="21"/>
        </w:rPr>
      </w:pPr>
    </w:p>
    <w:p w14:paraId="6205CF77"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A estratégia Michelin Total Performance foi demonstrada durante o Dakar de 2015, com prestações de excelência dos pneus para automóveis MICHELIN Latitude C e MICHELIN D15, dos pneus para motos MICHELIN </w:t>
      </w:r>
      <w:proofErr w:type="spellStart"/>
      <w:r w:rsidRPr="00E3716D">
        <w:rPr>
          <w:rFonts w:ascii="Arial" w:hAnsi="Arial" w:cs="Arial"/>
          <w:b/>
          <w:bCs/>
          <w:sz w:val="21"/>
          <w:szCs w:val="21"/>
        </w:rPr>
        <w:t>Desert</w:t>
      </w:r>
      <w:proofErr w:type="spellEnd"/>
      <w:r w:rsidRPr="00E3716D">
        <w:rPr>
          <w:rFonts w:ascii="Arial" w:hAnsi="Arial" w:cs="Arial"/>
          <w:b/>
          <w:bCs/>
          <w:sz w:val="21"/>
          <w:szCs w:val="21"/>
        </w:rPr>
        <w:t xml:space="preserve"> </w:t>
      </w:r>
      <w:proofErr w:type="spellStart"/>
      <w:r w:rsidRPr="00E3716D">
        <w:rPr>
          <w:rFonts w:ascii="Arial" w:hAnsi="Arial" w:cs="Arial"/>
          <w:b/>
          <w:bCs/>
          <w:sz w:val="21"/>
          <w:szCs w:val="21"/>
        </w:rPr>
        <w:t>Race</w:t>
      </w:r>
      <w:proofErr w:type="spellEnd"/>
      <w:r w:rsidRPr="00E3716D">
        <w:rPr>
          <w:rFonts w:ascii="Arial" w:hAnsi="Arial" w:cs="Arial"/>
          <w:b/>
          <w:bCs/>
          <w:sz w:val="21"/>
          <w:szCs w:val="21"/>
        </w:rPr>
        <w:t xml:space="preserve"> com anéis MICHELIN </w:t>
      </w:r>
      <w:proofErr w:type="spellStart"/>
      <w:r w:rsidRPr="00E3716D">
        <w:rPr>
          <w:rFonts w:ascii="Arial" w:hAnsi="Arial" w:cs="Arial"/>
          <w:b/>
          <w:bCs/>
          <w:sz w:val="21"/>
          <w:szCs w:val="21"/>
        </w:rPr>
        <w:t>Bib</w:t>
      </w:r>
      <w:proofErr w:type="spellEnd"/>
      <w:r w:rsidRPr="00E3716D">
        <w:rPr>
          <w:rFonts w:ascii="Arial" w:hAnsi="Arial" w:cs="Arial"/>
          <w:b/>
          <w:bCs/>
          <w:sz w:val="21"/>
          <w:szCs w:val="21"/>
        </w:rPr>
        <w:t xml:space="preserve"> mousse e dos pneus para camiões MICHELIN XZL+ (21 de janeiro)</w:t>
      </w:r>
    </w:p>
    <w:p w14:paraId="13F4FC86"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A Michelin e a </w:t>
      </w:r>
      <w:proofErr w:type="spellStart"/>
      <w:r w:rsidRPr="00E3716D">
        <w:rPr>
          <w:rFonts w:ascii="Arial" w:hAnsi="Arial" w:cs="Arial"/>
          <w:b/>
          <w:bCs/>
          <w:sz w:val="21"/>
          <w:szCs w:val="21"/>
        </w:rPr>
        <w:t>Air</w:t>
      </w:r>
      <w:proofErr w:type="spellEnd"/>
      <w:r w:rsidRPr="00E3716D">
        <w:rPr>
          <w:rFonts w:ascii="Arial" w:hAnsi="Arial" w:cs="Arial"/>
          <w:b/>
          <w:bCs/>
          <w:sz w:val="21"/>
          <w:szCs w:val="21"/>
        </w:rPr>
        <w:t xml:space="preserve"> Liquide uniram esforços com a SNCF, a Orange e a Total para investirem na </w:t>
      </w:r>
      <w:proofErr w:type="spellStart"/>
      <w:r w:rsidRPr="00E3716D">
        <w:rPr>
          <w:rFonts w:ascii="Arial" w:hAnsi="Arial" w:cs="Arial"/>
          <w:b/>
          <w:bCs/>
          <w:sz w:val="21"/>
          <w:szCs w:val="21"/>
        </w:rPr>
        <w:t>Ecomobility</w:t>
      </w:r>
      <w:proofErr w:type="spellEnd"/>
      <w:r w:rsidRPr="00E3716D">
        <w:rPr>
          <w:rFonts w:ascii="Arial" w:hAnsi="Arial" w:cs="Arial"/>
          <w:b/>
          <w:bCs/>
          <w:sz w:val="21"/>
          <w:szCs w:val="21"/>
        </w:rPr>
        <w:t xml:space="preserve"> Ventures, um fundo de investimento europeu dedicado à inovação na área da mobilidade sustentável (27 de janeiro)</w:t>
      </w:r>
    </w:p>
    <w:p w14:paraId="3888508F"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Na sua busca pelo alto desempenho, a Michelin anunciou planos para o lançamento de novos pneus para motos "</w:t>
      </w:r>
      <w:proofErr w:type="spellStart"/>
      <w:r w:rsidRPr="00E3716D">
        <w:rPr>
          <w:rFonts w:ascii="Arial" w:hAnsi="Arial" w:cs="Arial"/>
          <w:b/>
          <w:bCs/>
          <w:sz w:val="21"/>
          <w:szCs w:val="21"/>
        </w:rPr>
        <w:t>hypersport</w:t>
      </w:r>
      <w:proofErr w:type="spellEnd"/>
      <w:r w:rsidRPr="00E3716D">
        <w:rPr>
          <w:rFonts w:ascii="Arial" w:hAnsi="Arial" w:cs="Arial"/>
          <w:b/>
          <w:bCs/>
          <w:sz w:val="21"/>
          <w:szCs w:val="21"/>
        </w:rPr>
        <w:t>" e "</w:t>
      </w:r>
      <w:proofErr w:type="spellStart"/>
      <w:r w:rsidRPr="00E3716D">
        <w:rPr>
          <w:rFonts w:ascii="Arial" w:hAnsi="Arial" w:cs="Arial"/>
          <w:b/>
          <w:bCs/>
          <w:sz w:val="21"/>
          <w:szCs w:val="21"/>
        </w:rPr>
        <w:t>track</w:t>
      </w:r>
      <w:proofErr w:type="spellEnd"/>
      <w:r w:rsidRPr="00E3716D">
        <w:rPr>
          <w:rFonts w:ascii="Arial" w:hAnsi="Arial" w:cs="Arial"/>
          <w:b/>
          <w:bCs/>
          <w:sz w:val="21"/>
          <w:szCs w:val="21"/>
        </w:rPr>
        <w:t>" em 2015 (11 de fevereiro)</w:t>
      </w:r>
    </w:p>
    <w:p w14:paraId="60875A69"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Na feira SIMA 2015, a Michelin demonstrou a diversidade das suas capacidades de inovação para superar desafios na atual indústria agrícola, em áreas tão distintas como os serviços relacionados e a invenção de novos pneus agrícolas (22-26 de fevereiro) </w:t>
      </w:r>
    </w:p>
    <w:p w14:paraId="43A44D87"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A Michelin </w:t>
      </w:r>
      <w:proofErr w:type="spellStart"/>
      <w:r w:rsidRPr="00E3716D">
        <w:rPr>
          <w:rFonts w:ascii="Arial" w:hAnsi="Arial" w:cs="Arial"/>
          <w:b/>
          <w:bCs/>
          <w:sz w:val="21"/>
          <w:szCs w:val="21"/>
        </w:rPr>
        <w:t>North</w:t>
      </w:r>
      <w:proofErr w:type="spellEnd"/>
      <w:r w:rsidRPr="00E3716D">
        <w:rPr>
          <w:rFonts w:ascii="Arial" w:hAnsi="Arial" w:cs="Arial"/>
          <w:b/>
          <w:bCs/>
          <w:sz w:val="21"/>
          <w:szCs w:val="21"/>
        </w:rPr>
        <w:t xml:space="preserve"> </w:t>
      </w:r>
      <w:proofErr w:type="spellStart"/>
      <w:r w:rsidRPr="00E3716D">
        <w:rPr>
          <w:rFonts w:ascii="Arial" w:hAnsi="Arial" w:cs="Arial"/>
          <w:b/>
          <w:bCs/>
          <w:sz w:val="21"/>
          <w:szCs w:val="21"/>
        </w:rPr>
        <w:t>America</w:t>
      </w:r>
      <w:proofErr w:type="spellEnd"/>
      <w:r w:rsidRPr="00E3716D">
        <w:rPr>
          <w:rFonts w:ascii="Arial" w:hAnsi="Arial" w:cs="Arial"/>
          <w:b/>
          <w:bCs/>
          <w:sz w:val="21"/>
          <w:szCs w:val="21"/>
        </w:rPr>
        <w:t xml:space="preserve"> lançou 16 novos tamanhos do pneu </w:t>
      </w:r>
      <w:proofErr w:type="spellStart"/>
      <w:r w:rsidRPr="00E3716D">
        <w:rPr>
          <w:rFonts w:ascii="Arial" w:hAnsi="Arial" w:cs="Arial"/>
          <w:b/>
          <w:bCs/>
          <w:sz w:val="21"/>
          <w:szCs w:val="21"/>
        </w:rPr>
        <w:t>BFGoodrich</w:t>
      </w:r>
      <w:proofErr w:type="spellEnd"/>
      <w:r w:rsidRPr="00E3716D">
        <w:rPr>
          <w:rFonts w:ascii="Arial" w:hAnsi="Arial" w:cs="Arial"/>
          <w:b/>
          <w:bCs/>
          <w:sz w:val="21"/>
          <w:szCs w:val="21"/>
        </w:rPr>
        <w:t xml:space="preserve"> </w:t>
      </w:r>
      <w:proofErr w:type="spellStart"/>
      <w:r w:rsidRPr="00E3716D">
        <w:rPr>
          <w:rFonts w:ascii="Arial" w:hAnsi="Arial" w:cs="Arial"/>
          <w:b/>
          <w:bCs/>
          <w:sz w:val="21"/>
          <w:szCs w:val="21"/>
        </w:rPr>
        <w:t>All-Terrain</w:t>
      </w:r>
      <w:proofErr w:type="spellEnd"/>
      <w:r w:rsidRPr="00E3716D">
        <w:rPr>
          <w:rFonts w:ascii="Arial" w:hAnsi="Arial" w:cs="Arial"/>
          <w:b/>
          <w:bCs/>
          <w:sz w:val="21"/>
          <w:szCs w:val="21"/>
        </w:rPr>
        <w:t xml:space="preserve"> T/A KO2 (2 de março)</w:t>
      </w:r>
    </w:p>
    <w:p w14:paraId="113F16A7"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A Michelin conquistou os prémios para “Fornecedor do Ano" e “Inovação do Ano" da </w:t>
      </w:r>
      <w:proofErr w:type="spellStart"/>
      <w:r w:rsidRPr="00E3716D">
        <w:rPr>
          <w:rFonts w:ascii="Arial" w:hAnsi="Arial" w:cs="Arial"/>
          <w:b/>
          <w:bCs/>
          <w:sz w:val="21"/>
          <w:szCs w:val="21"/>
        </w:rPr>
        <w:t>Deere</w:t>
      </w:r>
      <w:proofErr w:type="spellEnd"/>
      <w:r w:rsidRPr="00E3716D">
        <w:rPr>
          <w:rFonts w:ascii="Arial" w:hAnsi="Arial" w:cs="Arial"/>
          <w:b/>
          <w:bCs/>
          <w:sz w:val="21"/>
          <w:szCs w:val="21"/>
        </w:rPr>
        <w:t xml:space="preserve"> &amp; </w:t>
      </w:r>
      <w:proofErr w:type="spellStart"/>
      <w:r w:rsidRPr="00E3716D">
        <w:rPr>
          <w:rFonts w:ascii="Arial" w:hAnsi="Arial" w:cs="Arial"/>
          <w:b/>
          <w:bCs/>
          <w:sz w:val="21"/>
          <w:szCs w:val="21"/>
        </w:rPr>
        <w:t>Company</w:t>
      </w:r>
      <w:proofErr w:type="spellEnd"/>
      <w:r w:rsidRPr="00E3716D">
        <w:rPr>
          <w:rFonts w:ascii="Arial" w:hAnsi="Arial" w:cs="Arial"/>
          <w:b/>
          <w:bCs/>
          <w:sz w:val="21"/>
          <w:szCs w:val="21"/>
        </w:rPr>
        <w:t xml:space="preserve"> (10 de março) </w:t>
      </w:r>
    </w:p>
    <w:p w14:paraId="3C54B9A5"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A Michelin lançou a garantia de danos gratuita MICHELIN X</w:t>
      </w:r>
      <w:r w:rsidRPr="00E3716D">
        <w:rPr>
          <w:rFonts w:ascii="Arial" w:hAnsi="Arial" w:cs="Arial"/>
          <w:b/>
          <w:bCs/>
          <w:sz w:val="21"/>
          <w:szCs w:val="21"/>
          <w:vertAlign w:val="superscript"/>
        </w:rPr>
        <w:t>®</w:t>
      </w:r>
      <w:r w:rsidRPr="00E3716D">
        <w:rPr>
          <w:rFonts w:ascii="Arial" w:hAnsi="Arial" w:cs="Arial"/>
          <w:b/>
          <w:bCs/>
          <w:sz w:val="21"/>
          <w:szCs w:val="21"/>
        </w:rPr>
        <w:t xml:space="preserve"> WORKS™ que é gerida e ativada através da Internet para as atividades de fornecimento dos espaços de trabalho dos operadores de camiões na Europa (março) </w:t>
      </w:r>
    </w:p>
    <w:p w14:paraId="1962B288"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A Michelin adquiriu uma participação de 40% na </w:t>
      </w:r>
      <w:proofErr w:type="spellStart"/>
      <w:r w:rsidRPr="00E3716D">
        <w:rPr>
          <w:rFonts w:ascii="Arial" w:hAnsi="Arial" w:cs="Arial"/>
          <w:b/>
          <w:bCs/>
          <w:sz w:val="21"/>
          <w:szCs w:val="21"/>
        </w:rPr>
        <w:t>Allopneus</w:t>
      </w:r>
      <w:proofErr w:type="spellEnd"/>
      <w:r w:rsidRPr="00E3716D">
        <w:rPr>
          <w:rFonts w:ascii="Arial" w:hAnsi="Arial" w:cs="Arial"/>
          <w:b/>
          <w:bCs/>
          <w:sz w:val="21"/>
          <w:szCs w:val="21"/>
        </w:rPr>
        <w:t xml:space="preserve"> SAS por € 60 milhões (14 de abril)</w:t>
      </w:r>
    </w:p>
    <w:p w14:paraId="7A67B8BC"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A Michelin foi eleita “Fornecedor do Ano" pela Boeing (16 de abril)</w:t>
      </w:r>
    </w:p>
    <w:p w14:paraId="78270060"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Um programa de recompra de ações no valor de €750 milhões será implementado ao longo de um período de 18 a 24 meses (22 de abril)</w:t>
      </w:r>
    </w:p>
    <w:p w14:paraId="0B465B4A"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O MICHELIN </w:t>
      </w:r>
      <w:proofErr w:type="spellStart"/>
      <w:r w:rsidRPr="00E3716D">
        <w:rPr>
          <w:rFonts w:ascii="Arial" w:hAnsi="Arial" w:cs="Arial"/>
          <w:b/>
          <w:bCs/>
          <w:sz w:val="21"/>
          <w:szCs w:val="21"/>
        </w:rPr>
        <w:t>CrossClimate</w:t>
      </w:r>
      <w:proofErr w:type="spellEnd"/>
      <w:r w:rsidRPr="00E3716D">
        <w:rPr>
          <w:rFonts w:ascii="Arial" w:hAnsi="Arial" w:cs="Arial"/>
          <w:b/>
          <w:bCs/>
          <w:sz w:val="21"/>
          <w:szCs w:val="21"/>
        </w:rPr>
        <w:t>, o primeiro pneu de verão certificado para uso no inverno, foi introduzido nos mercados europeus (maio)</w:t>
      </w:r>
    </w:p>
    <w:p w14:paraId="2528D577"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A Michelin adquiriu todas as ações em circulação da Blackcircles.com por um valor de £ 50 milhões (6 de maio)</w:t>
      </w:r>
    </w:p>
    <w:p w14:paraId="2A91F6D2"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A Michelin e o </w:t>
      </w:r>
      <w:proofErr w:type="spellStart"/>
      <w:r w:rsidRPr="00E3716D">
        <w:rPr>
          <w:rFonts w:ascii="Arial" w:hAnsi="Arial" w:cs="Arial"/>
          <w:b/>
          <w:bCs/>
          <w:sz w:val="21"/>
          <w:szCs w:val="21"/>
        </w:rPr>
        <w:t>Barito</w:t>
      </w:r>
      <w:proofErr w:type="spellEnd"/>
      <w:r w:rsidRPr="00E3716D">
        <w:rPr>
          <w:rFonts w:ascii="Arial" w:hAnsi="Arial" w:cs="Arial"/>
          <w:b/>
          <w:bCs/>
          <w:sz w:val="21"/>
          <w:szCs w:val="21"/>
        </w:rPr>
        <w:t xml:space="preserve"> </w:t>
      </w:r>
      <w:proofErr w:type="spellStart"/>
      <w:r w:rsidRPr="00E3716D">
        <w:rPr>
          <w:rFonts w:ascii="Arial" w:hAnsi="Arial" w:cs="Arial"/>
          <w:b/>
          <w:bCs/>
          <w:sz w:val="21"/>
          <w:szCs w:val="21"/>
        </w:rPr>
        <w:t>Pacific</w:t>
      </w:r>
      <w:proofErr w:type="spellEnd"/>
      <w:r w:rsidRPr="00E3716D">
        <w:rPr>
          <w:rFonts w:ascii="Arial" w:hAnsi="Arial" w:cs="Arial"/>
          <w:b/>
          <w:bCs/>
          <w:sz w:val="21"/>
          <w:szCs w:val="21"/>
        </w:rPr>
        <w:t xml:space="preserve"> </w:t>
      </w:r>
      <w:proofErr w:type="spellStart"/>
      <w:r w:rsidRPr="00E3716D">
        <w:rPr>
          <w:rFonts w:ascii="Arial" w:hAnsi="Arial" w:cs="Arial"/>
          <w:b/>
          <w:bCs/>
          <w:sz w:val="21"/>
          <w:szCs w:val="21"/>
        </w:rPr>
        <w:t>Group</w:t>
      </w:r>
      <w:proofErr w:type="spellEnd"/>
      <w:r w:rsidRPr="00E3716D">
        <w:rPr>
          <w:rFonts w:ascii="Arial" w:hAnsi="Arial" w:cs="Arial"/>
          <w:b/>
          <w:bCs/>
          <w:sz w:val="21"/>
          <w:szCs w:val="21"/>
        </w:rPr>
        <w:t xml:space="preserve"> criaram uma parceria com vista à produção de uma borracha natural ecologicamente responsável. Ao mesmo tempo, a Michelin uniu esforços com a WWF para promover práticas sustentáveis para a indústria da borracha natural e para realizar diversos projetos direcionados para a proteção e recuperação da fauna e flora nas regiões afetadas (18 de maio)</w:t>
      </w:r>
    </w:p>
    <w:p w14:paraId="3CB69FCB"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A Michelin efetuou, com sucesso, uma emissão obrigacionista constituída por uma parcela de € 300 milhões a 7 anos e uma parcela de € 300 milhões a 12 anos (19 de maio)</w:t>
      </w:r>
    </w:p>
    <w:p w14:paraId="451D0FDA"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A Michelin lançou o MEMS (Michelin </w:t>
      </w:r>
      <w:proofErr w:type="spellStart"/>
      <w:r w:rsidRPr="00E3716D">
        <w:rPr>
          <w:rFonts w:ascii="Arial" w:hAnsi="Arial" w:cs="Arial"/>
          <w:b/>
          <w:bCs/>
          <w:sz w:val="21"/>
          <w:szCs w:val="21"/>
        </w:rPr>
        <w:t>Earthmover</w:t>
      </w:r>
      <w:proofErr w:type="spellEnd"/>
      <w:r w:rsidRPr="00E3716D">
        <w:rPr>
          <w:rFonts w:ascii="Arial" w:hAnsi="Arial" w:cs="Arial"/>
          <w:b/>
          <w:bCs/>
          <w:sz w:val="21"/>
          <w:szCs w:val="21"/>
        </w:rPr>
        <w:t xml:space="preserve"> </w:t>
      </w:r>
      <w:proofErr w:type="spellStart"/>
      <w:r w:rsidRPr="00E3716D">
        <w:rPr>
          <w:rFonts w:ascii="Arial" w:hAnsi="Arial" w:cs="Arial"/>
          <w:b/>
          <w:bCs/>
          <w:sz w:val="21"/>
          <w:szCs w:val="21"/>
        </w:rPr>
        <w:t>Management</w:t>
      </w:r>
      <w:proofErr w:type="spellEnd"/>
      <w:r w:rsidRPr="00E3716D">
        <w:rPr>
          <w:rFonts w:ascii="Arial" w:hAnsi="Arial" w:cs="Arial"/>
          <w:b/>
          <w:bCs/>
          <w:sz w:val="21"/>
          <w:szCs w:val="21"/>
        </w:rPr>
        <w:t xml:space="preserve"> </w:t>
      </w:r>
      <w:proofErr w:type="spellStart"/>
      <w:r w:rsidRPr="00E3716D">
        <w:rPr>
          <w:rFonts w:ascii="Arial" w:hAnsi="Arial" w:cs="Arial"/>
          <w:b/>
          <w:bCs/>
          <w:sz w:val="21"/>
          <w:szCs w:val="21"/>
        </w:rPr>
        <w:t>System</w:t>
      </w:r>
      <w:proofErr w:type="spellEnd"/>
      <w:r w:rsidRPr="00E3716D">
        <w:rPr>
          <w:rFonts w:ascii="Arial" w:hAnsi="Arial" w:cs="Arial"/>
          <w:b/>
          <w:bCs/>
          <w:sz w:val="21"/>
          <w:szCs w:val="21"/>
        </w:rPr>
        <w:t>) Evolution3, um sistema avançado de captação e transmissão de dados relacionados com pneus (15 de junho)</w:t>
      </w:r>
    </w:p>
    <w:p w14:paraId="06F607A0" w14:textId="77777777" w:rsidR="0029325C" w:rsidRPr="00E3716D" w:rsidRDefault="0029325C" w:rsidP="0029325C">
      <w:pPr>
        <w:numPr>
          <w:ilvl w:val="0"/>
          <w:numId w:val="17"/>
        </w:numPr>
        <w:tabs>
          <w:tab w:val="left" w:pos="284"/>
        </w:tabs>
        <w:adjustRightInd w:val="0"/>
        <w:snapToGrid w:val="0"/>
        <w:spacing w:after="120"/>
        <w:jc w:val="both"/>
        <w:rPr>
          <w:rFonts w:ascii="Arial" w:hAnsi="Arial" w:cs="Arial"/>
          <w:b/>
          <w:sz w:val="21"/>
          <w:szCs w:val="21"/>
        </w:rPr>
      </w:pPr>
      <w:r w:rsidRPr="00E3716D">
        <w:rPr>
          <w:rFonts w:ascii="Arial" w:hAnsi="Arial" w:cs="Arial"/>
          <w:b/>
          <w:bCs/>
          <w:sz w:val="21"/>
          <w:szCs w:val="21"/>
        </w:rPr>
        <w:t xml:space="preserve">A Michelin apresentou a sua nova gama de pneus MICHELIN </w:t>
      </w:r>
      <w:proofErr w:type="spellStart"/>
      <w:r w:rsidRPr="00E3716D">
        <w:rPr>
          <w:rFonts w:ascii="Arial" w:hAnsi="Arial" w:cs="Arial"/>
          <w:b/>
          <w:bCs/>
          <w:sz w:val="21"/>
          <w:szCs w:val="21"/>
        </w:rPr>
        <w:t>Air</w:t>
      </w:r>
      <w:proofErr w:type="spellEnd"/>
      <w:r w:rsidRPr="00E3716D">
        <w:rPr>
          <w:rFonts w:ascii="Arial" w:hAnsi="Arial" w:cs="Arial"/>
          <w:b/>
          <w:bCs/>
          <w:sz w:val="21"/>
          <w:szCs w:val="21"/>
        </w:rPr>
        <w:t xml:space="preserve"> X no Festival Aéreo de Paris (15 de junho)</w:t>
      </w:r>
    </w:p>
    <w:p w14:paraId="278F280B" w14:textId="77777777" w:rsidR="0029325C" w:rsidRPr="0029325C" w:rsidRDefault="0029325C" w:rsidP="0029325C">
      <w:pPr>
        <w:tabs>
          <w:tab w:val="left" w:pos="284"/>
        </w:tabs>
        <w:jc w:val="both"/>
        <w:rPr>
          <w:rFonts w:ascii="Verdana" w:hAnsi="Verdana" w:cs="Arial"/>
          <w:b/>
          <w:sz w:val="18"/>
          <w:szCs w:val="18"/>
        </w:rPr>
      </w:pPr>
    </w:p>
    <w:p w14:paraId="39FFFA33" w14:textId="77777777" w:rsidR="0029325C" w:rsidRPr="0029325C" w:rsidRDefault="0029325C" w:rsidP="0029325C">
      <w:pPr>
        <w:tabs>
          <w:tab w:val="left" w:pos="284"/>
        </w:tabs>
        <w:jc w:val="both"/>
        <w:rPr>
          <w:rFonts w:ascii="Verdana" w:hAnsi="Verdana" w:cs="Arial"/>
          <w:b/>
          <w:sz w:val="18"/>
          <w:szCs w:val="18"/>
        </w:rPr>
      </w:pPr>
    </w:p>
    <w:p w14:paraId="2C2E45F4" w14:textId="77777777" w:rsidR="0029325C" w:rsidRPr="00E3716D" w:rsidRDefault="0029325C" w:rsidP="0029325C">
      <w:pPr>
        <w:keepNext/>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E3716D">
        <w:rPr>
          <w:rFonts w:ascii="Arial" w:hAnsi="Arial" w:cs="Arial"/>
          <w:sz w:val="21"/>
          <w:szCs w:val="21"/>
        </w:rPr>
        <w:t>Poderá encontrar uma descrição completa dos destaques do primeiro semestre de 2015</w:t>
      </w:r>
    </w:p>
    <w:p w14:paraId="063E69CD" w14:textId="77777777" w:rsidR="0029325C" w:rsidRPr="00E3716D" w:rsidRDefault="0029325C" w:rsidP="0029325C">
      <w:pPr>
        <w:keepNext/>
        <w:pBdr>
          <w:top w:val="single" w:sz="4" w:space="1" w:color="auto"/>
          <w:left w:val="single" w:sz="4" w:space="4" w:color="auto"/>
          <w:bottom w:val="single" w:sz="4" w:space="1" w:color="auto"/>
          <w:right w:val="single" w:sz="4" w:space="4" w:color="auto"/>
        </w:pBdr>
        <w:jc w:val="center"/>
        <w:rPr>
          <w:rFonts w:ascii="Arial" w:hAnsi="Arial" w:cs="Arial"/>
          <w:sz w:val="21"/>
          <w:szCs w:val="21"/>
          <w:u w:val="single"/>
        </w:rPr>
      </w:pPr>
      <w:r w:rsidRPr="00E3716D">
        <w:rPr>
          <w:rFonts w:ascii="Arial" w:hAnsi="Arial" w:cs="Arial"/>
          <w:sz w:val="21"/>
          <w:szCs w:val="21"/>
        </w:rPr>
        <w:t xml:space="preserve">no website da Michelin: </w:t>
      </w:r>
      <w:hyperlink r:id="rId9">
        <w:r w:rsidRPr="00E3716D">
          <w:rPr>
            <w:rStyle w:val="Hipervnculo"/>
            <w:rFonts w:ascii="Arial" w:hAnsi="Arial" w:cs="Arial"/>
            <w:sz w:val="21"/>
            <w:szCs w:val="21"/>
          </w:rPr>
          <w:t>http://</w:t>
        </w:r>
      </w:hyperlink>
      <w:r w:rsidRPr="00E3716D">
        <w:rPr>
          <w:rStyle w:val="Hipervnculo"/>
          <w:rFonts w:ascii="Arial" w:hAnsi="Arial" w:cs="Arial"/>
          <w:sz w:val="21"/>
          <w:szCs w:val="21"/>
        </w:rPr>
        <w:t>www.michelin.com</w:t>
      </w:r>
    </w:p>
    <w:p w14:paraId="236D8DE1" w14:textId="77777777" w:rsidR="0029325C" w:rsidRPr="00E3716D" w:rsidRDefault="0029325C" w:rsidP="0029325C">
      <w:pPr>
        <w:tabs>
          <w:tab w:val="left" w:pos="360"/>
        </w:tabs>
        <w:jc w:val="both"/>
        <w:rPr>
          <w:rFonts w:ascii="Arial" w:hAnsi="Arial" w:cs="Arial"/>
          <w:b/>
          <w:bCs/>
          <w:smallCaps/>
          <w:sz w:val="21"/>
          <w:szCs w:val="21"/>
        </w:rPr>
      </w:pPr>
    </w:p>
    <w:p w14:paraId="3CE8B141" w14:textId="77777777" w:rsidR="0029325C" w:rsidRPr="00E3716D" w:rsidRDefault="0029325C" w:rsidP="0029325C">
      <w:pPr>
        <w:tabs>
          <w:tab w:val="left" w:pos="360"/>
        </w:tabs>
        <w:jc w:val="both"/>
        <w:rPr>
          <w:rFonts w:ascii="Arial" w:hAnsi="Arial" w:cs="Arial"/>
          <w:b/>
          <w:bCs/>
          <w:smallCaps/>
          <w:sz w:val="21"/>
          <w:szCs w:val="21"/>
        </w:rPr>
      </w:pPr>
      <w:r w:rsidRPr="00E3716D">
        <w:rPr>
          <w:rFonts w:ascii="Arial" w:hAnsi="Arial" w:cs="Arial"/>
          <w:b/>
          <w:bCs/>
          <w:smallCaps/>
          <w:sz w:val="21"/>
          <w:szCs w:val="21"/>
        </w:rPr>
        <w:t>Apresentação e Teleconferência</w:t>
      </w:r>
    </w:p>
    <w:p w14:paraId="45E4CD26" w14:textId="77777777" w:rsidR="0029325C" w:rsidRPr="00E3716D" w:rsidRDefault="0029325C" w:rsidP="0029325C">
      <w:pPr>
        <w:autoSpaceDE w:val="0"/>
        <w:autoSpaceDN w:val="0"/>
        <w:adjustRightInd w:val="0"/>
        <w:jc w:val="both"/>
        <w:rPr>
          <w:rFonts w:ascii="Arial" w:hAnsi="Arial" w:cs="Arial"/>
          <w:sz w:val="21"/>
          <w:szCs w:val="21"/>
        </w:rPr>
      </w:pPr>
      <w:r w:rsidRPr="00E3716D">
        <w:rPr>
          <w:rFonts w:ascii="Arial" w:hAnsi="Arial" w:cs="Arial"/>
          <w:sz w:val="21"/>
          <w:szCs w:val="21"/>
        </w:rPr>
        <w:t>Os resultados do primeiro semestre de 2015 serão analisados em conjunto com analistas e investidores durante uma teleconferência realizada hoje, terça-feira, 28 de julho pelas 11:00h, CEST. A conferência será realizada em inglês, com interpretação simultânea em francês. Caso pretenda participar, marque um dos seguintes números a partir das 10:50h, CEST:</w:t>
      </w:r>
    </w:p>
    <w:p w14:paraId="759F1008" w14:textId="77777777" w:rsidR="0029325C" w:rsidRPr="00E3716D" w:rsidRDefault="0029325C" w:rsidP="0029325C">
      <w:pPr>
        <w:autoSpaceDE w:val="0"/>
        <w:autoSpaceDN w:val="0"/>
        <w:adjustRightInd w:val="0"/>
        <w:jc w:val="both"/>
        <w:rPr>
          <w:rFonts w:ascii="Arial" w:hAnsi="Arial" w:cs="Arial"/>
          <w:sz w:val="21"/>
          <w:szCs w:val="21"/>
        </w:rPr>
      </w:pPr>
    </w:p>
    <w:p w14:paraId="7236EBF4" w14:textId="77777777" w:rsidR="0029325C" w:rsidRPr="00E3716D" w:rsidRDefault="0029325C" w:rsidP="0029325C">
      <w:pPr>
        <w:numPr>
          <w:ilvl w:val="0"/>
          <w:numId w:val="2"/>
        </w:numPr>
        <w:tabs>
          <w:tab w:val="left" w:pos="3828"/>
        </w:tabs>
        <w:autoSpaceDE w:val="0"/>
        <w:autoSpaceDN w:val="0"/>
        <w:adjustRightInd w:val="0"/>
        <w:jc w:val="both"/>
        <w:rPr>
          <w:rFonts w:ascii="Arial" w:hAnsi="Arial" w:cs="Arial"/>
          <w:sz w:val="21"/>
          <w:szCs w:val="21"/>
        </w:rPr>
      </w:pPr>
      <w:r w:rsidRPr="00E3716D">
        <w:rPr>
          <w:rFonts w:ascii="Arial" w:hAnsi="Arial" w:cs="Arial"/>
          <w:sz w:val="21"/>
          <w:szCs w:val="21"/>
        </w:rPr>
        <w:t xml:space="preserve">Em França </w:t>
      </w:r>
      <w:r w:rsidRPr="00E3716D">
        <w:rPr>
          <w:rFonts w:ascii="Arial" w:hAnsi="Arial" w:cs="Arial"/>
          <w:sz w:val="21"/>
          <w:szCs w:val="21"/>
        </w:rPr>
        <w:tab/>
      </w:r>
      <w:r w:rsidRPr="00E3716D">
        <w:rPr>
          <w:rFonts w:ascii="Arial" w:hAnsi="Arial" w:cs="Arial"/>
          <w:sz w:val="21"/>
          <w:szCs w:val="21"/>
        </w:rPr>
        <w:tab/>
        <w:t>01 70 77 09 30 (francês)</w:t>
      </w:r>
    </w:p>
    <w:p w14:paraId="4006E2F5" w14:textId="77777777" w:rsidR="0029325C" w:rsidRPr="00E3716D" w:rsidRDefault="0029325C" w:rsidP="0029325C">
      <w:pPr>
        <w:numPr>
          <w:ilvl w:val="0"/>
          <w:numId w:val="2"/>
        </w:numPr>
        <w:tabs>
          <w:tab w:val="left" w:pos="3828"/>
        </w:tabs>
        <w:autoSpaceDE w:val="0"/>
        <w:autoSpaceDN w:val="0"/>
        <w:adjustRightInd w:val="0"/>
        <w:jc w:val="both"/>
        <w:rPr>
          <w:rFonts w:ascii="Arial" w:hAnsi="Arial" w:cs="Arial"/>
          <w:sz w:val="21"/>
          <w:szCs w:val="21"/>
        </w:rPr>
      </w:pPr>
      <w:r w:rsidRPr="00E3716D">
        <w:rPr>
          <w:rFonts w:ascii="Arial" w:hAnsi="Arial" w:cs="Arial"/>
          <w:sz w:val="21"/>
          <w:szCs w:val="21"/>
        </w:rPr>
        <w:t>Em França</w:t>
      </w:r>
      <w:r w:rsidRPr="00E3716D">
        <w:rPr>
          <w:rFonts w:ascii="Arial" w:hAnsi="Arial" w:cs="Arial"/>
          <w:sz w:val="21"/>
          <w:szCs w:val="21"/>
        </w:rPr>
        <w:tab/>
      </w:r>
      <w:r w:rsidRPr="00E3716D">
        <w:rPr>
          <w:rFonts w:ascii="Arial" w:hAnsi="Arial" w:cs="Arial"/>
          <w:sz w:val="21"/>
          <w:szCs w:val="21"/>
        </w:rPr>
        <w:tab/>
        <w:t>01 70 77 09 41 (inglês)</w:t>
      </w:r>
    </w:p>
    <w:p w14:paraId="633D9975" w14:textId="77777777" w:rsidR="0029325C" w:rsidRPr="00E3716D" w:rsidRDefault="0029325C" w:rsidP="0029325C">
      <w:pPr>
        <w:numPr>
          <w:ilvl w:val="0"/>
          <w:numId w:val="2"/>
        </w:numPr>
        <w:tabs>
          <w:tab w:val="left" w:pos="3828"/>
        </w:tabs>
        <w:autoSpaceDE w:val="0"/>
        <w:autoSpaceDN w:val="0"/>
        <w:adjustRightInd w:val="0"/>
        <w:jc w:val="both"/>
        <w:rPr>
          <w:rFonts w:ascii="Arial" w:hAnsi="Arial" w:cs="Arial"/>
          <w:sz w:val="21"/>
          <w:szCs w:val="21"/>
        </w:rPr>
      </w:pPr>
      <w:r w:rsidRPr="00E3716D">
        <w:rPr>
          <w:rFonts w:ascii="Arial" w:hAnsi="Arial" w:cs="Arial"/>
          <w:sz w:val="21"/>
          <w:szCs w:val="21"/>
        </w:rPr>
        <w:t>No Reino Unido</w:t>
      </w:r>
      <w:r w:rsidRPr="00E3716D">
        <w:rPr>
          <w:rFonts w:ascii="Arial" w:hAnsi="Arial" w:cs="Arial"/>
          <w:sz w:val="21"/>
          <w:szCs w:val="21"/>
        </w:rPr>
        <w:tab/>
      </w:r>
      <w:r w:rsidRPr="00E3716D">
        <w:rPr>
          <w:rFonts w:ascii="Arial" w:hAnsi="Arial" w:cs="Arial"/>
          <w:sz w:val="21"/>
          <w:szCs w:val="21"/>
        </w:rPr>
        <w:tab/>
        <w:t>(0) 207 107 1613 (inglês)</w:t>
      </w:r>
    </w:p>
    <w:p w14:paraId="4D351025" w14:textId="77777777" w:rsidR="0029325C" w:rsidRPr="00E3716D" w:rsidRDefault="0029325C" w:rsidP="0029325C">
      <w:pPr>
        <w:numPr>
          <w:ilvl w:val="0"/>
          <w:numId w:val="2"/>
        </w:numPr>
        <w:tabs>
          <w:tab w:val="left" w:pos="3828"/>
        </w:tabs>
        <w:autoSpaceDE w:val="0"/>
        <w:autoSpaceDN w:val="0"/>
        <w:adjustRightInd w:val="0"/>
        <w:jc w:val="both"/>
        <w:rPr>
          <w:rFonts w:ascii="Arial" w:hAnsi="Arial" w:cs="Arial"/>
          <w:sz w:val="21"/>
          <w:szCs w:val="21"/>
        </w:rPr>
      </w:pPr>
      <w:r w:rsidRPr="00E3716D">
        <w:rPr>
          <w:rFonts w:ascii="Arial" w:hAnsi="Arial" w:cs="Arial"/>
          <w:sz w:val="21"/>
          <w:szCs w:val="21"/>
        </w:rPr>
        <w:t>Na América do Norte</w:t>
      </w:r>
      <w:r w:rsidRPr="00E3716D">
        <w:rPr>
          <w:rFonts w:ascii="Arial" w:hAnsi="Arial" w:cs="Arial"/>
          <w:sz w:val="21"/>
          <w:szCs w:val="21"/>
        </w:rPr>
        <w:tab/>
      </w:r>
      <w:r w:rsidRPr="00E3716D">
        <w:rPr>
          <w:rFonts w:ascii="Arial" w:hAnsi="Arial" w:cs="Arial"/>
          <w:sz w:val="21"/>
          <w:szCs w:val="21"/>
        </w:rPr>
        <w:tab/>
        <w:t>+1 (877) 642 3018 (inglês)</w:t>
      </w:r>
    </w:p>
    <w:p w14:paraId="07B931D6" w14:textId="77777777" w:rsidR="0029325C" w:rsidRPr="00E3716D" w:rsidRDefault="0029325C" w:rsidP="0029325C">
      <w:pPr>
        <w:numPr>
          <w:ilvl w:val="0"/>
          <w:numId w:val="2"/>
        </w:numPr>
        <w:tabs>
          <w:tab w:val="left" w:pos="3828"/>
        </w:tabs>
        <w:autoSpaceDE w:val="0"/>
        <w:autoSpaceDN w:val="0"/>
        <w:adjustRightInd w:val="0"/>
        <w:spacing w:after="60"/>
        <w:jc w:val="both"/>
        <w:rPr>
          <w:rFonts w:ascii="Arial" w:hAnsi="Arial" w:cs="Arial"/>
          <w:sz w:val="21"/>
          <w:szCs w:val="21"/>
        </w:rPr>
      </w:pPr>
      <w:r w:rsidRPr="00E3716D">
        <w:rPr>
          <w:rFonts w:ascii="Arial" w:hAnsi="Arial" w:cs="Arial"/>
          <w:sz w:val="21"/>
          <w:szCs w:val="21"/>
        </w:rPr>
        <w:t>No resto do mundo</w:t>
      </w:r>
      <w:r w:rsidRPr="00E3716D">
        <w:rPr>
          <w:rFonts w:ascii="Arial" w:hAnsi="Arial" w:cs="Arial"/>
          <w:sz w:val="21"/>
          <w:szCs w:val="21"/>
        </w:rPr>
        <w:tab/>
      </w:r>
      <w:r w:rsidRPr="00E3716D">
        <w:rPr>
          <w:rFonts w:ascii="Arial" w:hAnsi="Arial" w:cs="Arial"/>
          <w:sz w:val="21"/>
          <w:szCs w:val="21"/>
        </w:rPr>
        <w:tab/>
        <w:t>+44 (0) 207 107 1613 (inglês)</w:t>
      </w:r>
    </w:p>
    <w:p w14:paraId="66B9A2C6" w14:textId="77777777" w:rsidR="0029325C" w:rsidRPr="00E3716D" w:rsidRDefault="0029325C" w:rsidP="0029325C">
      <w:pPr>
        <w:spacing w:after="60"/>
        <w:jc w:val="both"/>
        <w:rPr>
          <w:rFonts w:ascii="Arial" w:hAnsi="Arial" w:cs="Arial"/>
          <w:sz w:val="21"/>
          <w:szCs w:val="21"/>
        </w:rPr>
      </w:pPr>
      <w:r w:rsidRPr="00E3716D">
        <w:rPr>
          <w:rFonts w:ascii="Arial" w:hAnsi="Arial" w:cs="Arial"/>
          <w:sz w:val="21"/>
          <w:szCs w:val="21"/>
        </w:rPr>
        <w:t xml:space="preserve">A apresentação dos resultados do primeiros semestres de 2015 pode ser consultada em </w:t>
      </w:r>
      <w:r w:rsidRPr="00E3716D">
        <w:rPr>
          <w:rFonts w:ascii="Arial" w:hAnsi="Arial" w:cs="Arial"/>
          <w:sz w:val="21"/>
          <w:szCs w:val="21"/>
          <w:u w:val="single"/>
        </w:rPr>
        <w:t>http://www.michelin.com/eng</w:t>
      </w:r>
      <w:r w:rsidRPr="00E3716D">
        <w:rPr>
          <w:rFonts w:ascii="Arial" w:hAnsi="Arial" w:cs="Arial"/>
          <w:sz w:val="21"/>
          <w:szCs w:val="21"/>
        </w:rPr>
        <w:t>. O website também inclui informações práticas relativas à teleconferência.</w:t>
      </w:r>
    </w:p>
    <w:p w14:paraId="7AA6836E" w14:textId="77777777" w:rsidR="0029325C" w:rsidRPr="00E3716D" w:rsidRDefault="0029325C" w:rsidP="0029325C">
      <w:pPr>
        <w:tabs>
          <w:tab w:val="left" w:pos="360"/>
        </w:tabs>
        <w:jc w:val="both"/>
        <w:rPr>
          <w:rFonts w:ascii="Arial" w:hAnsi="Arial" w:cs="Arial"/>
          <w:b/>
          <w:bCs/>
          <w:sz w:val="21"/>
          <w:szCs w:val="21"/>
          <w:u w:val="single"/>
        </w:rPr>
      </w:pPr>
    </w:p>
    <w:p w14:paraId="610D1CAD" w14:textId="77777777" w:rsidR="0029325C" w:rsidRPr="00E3716D" w:rsidRDefault="0029325C" w:rsidP="0029325C">
      <w:pPr>
        <w:tabs>
          <w:tab w:val="left" w:pos="360"/>
        </w:tabs>
        <w:jc w:val="both"/>
        <w:rPr>
          <w:rFonts w:ascii="Arial" w:hAnsi="Arial" w:cs="Arial"/>
          <w:b/>
          <w:bCs/>
          <w:smallCaps/>
          <w:sz w:val="21"/>
          <w:szCs w:val="21"/>
        </w:rPr>
      </w:pPr>
      <w:r w:rsidRPr="00E3716D">
        <w:rPr>
          <w:rFonts w:ascii="Arial" w:hAnsi="Arial" w:cs="Arial"/>
          <w:b/>
          <w:bCs/>
          <w:smallCaps/>
          <w:sz w:val="21"/>
          <w:szCs w:val="21"/>
        </w:rPr>
        <w:t>Calendário para os Investidores</w:t>
      </w:r>
    </w:p>
    <w:p w14:paraId="4F1213A8" w14:textId="77777777" w:rsidR="0029325C" w:rsidRPr="00E3716D" w:rsidRDefault="0029325C" w:rsidP="0029325C">
      <w:pPr>
        <w:numPr>
          <w:ilvl w:val="0"/>
          <w:numId w:val="4"/>
        </w:numPr>
        <w:tabs>
          <w:tab w:val="left" w:pos="360"/>
        </w:tabs>
        <w:jc w:val="both"/>
        <w:rPr>
          <w:rFonts w:ascii="Arial" w:hAnsi="Arial" w:cs="Arial"/>
          <w:b/>
          <w:sz w:val="21"/>
          <w:szCs w:val="21"/>
        </w:rPr>
      </w:pPr>
      <w:r w:rsidRPr="00E3716D">
        <w:rPr>
          <w:rFonts w:ascii="Arial" w:hAnsi="Arial" w:cs="Arial"/>
          <w:b/>
          <w:bCs/>
          <w:sz w:val="21"/>
          <w:szCs w:val="21"/>
        </w:rPr>
        <w:t>Informação financeira para os nove meses findos a 30 de setembro de 2015:</w:t>
      </w:r>
    </w:p>
    <w:p w14:paraId="0388E2B6" w14:textId="77777777" w:rsidR="0029325C" w:rsidRPr="00E3716D" w:rsidRDefault="0029325C" w:rsidP="0029325C">
      <w:pPr>
        <w:tabs>
          <w:tab w:val="left" w:pos="360"/>
        </w:tabs>
        <w:jc w:val="center"/>
        <w:rPr>
          <w:rFonts w:ascii="Arial" w:hAnsi="Arial" w:cs="Arial"/>
          <w:sz w:val="21"/>
          <w:szCs w:val="21"/>
        </w:rPr>
      </w:pPr>
      <w:r w:rsidRPr="00E3716D">
        <w:rPr>
          <w:rFonts w:ascii="Arial" w:hAnsi="Arial" w:cs="Arial"/>
          <w:sz w:val="21"/>
          <w:szCs w:val="21"/>
        </w:rPr>
        <w:t>Quinta-feira, 22 de outubro de 2015 após o fecho dos mercados.</w:t>
      </w:r>
    </w:p>
    <w:p w14:paraId="356E08F4" w14:textId="77777777" w:rsidR="0029325C" w:rsidRPr="00E3716D" w:rsidRDefault="0029325C" w:rsidP="0029325C">
      <w:pPr>
        <w:numPr>
          <w:ilvl w:val="0"/>
          <w:numId w:val="4"/>
        </w:numPr>
        <w:tabs>
          <w:tab w:val="left" w:pos="360"/>
        </w:tabs>
        <w:jc w:val="both"/>
        <w:rPr>
          <w:rFonts w:ascii="Arial" w:hAnsi="Arial" w:cs="Arial"/>
          <w:b/>
          <w:sz w:val="21"/>
          <w:szCs w:val="21"/>
        </w:rPr>
      </w:pPr>
      <w:r w:rsidRPr="00E3716D">
        <w:rPr>
          <w:rFonts w:ascii="Arial" w:hAnsi="Arial" w:cs="Arial"/>
          <w:b/>
          <w:bCs/>
          <w:sz w:val="21"/>
          <w:szCs w:val="21"/>
        </w:rPr>
        <w:t>Vendas e resultados líquidos de 2015:</w:t>
      </w:r>
    </w:p>
    <w:p w14:paraId="595A5241" w14:textId="77777777" w:rsidR="0029325C" w:rsidRPr="00E3716D" w:rsidRDefault="0029325C" w:rsidP="0029325C">
      <w:pPr>
        <w:tabs>
          <w:tab w:val="left" w:pos="360"/>
        </w:tabs>
        <w:jc w:val="center"/>
        <w:rPr>
          <w:rFonts w:ascii="Arial" w:hAnsi="Arial" w:cs="Arial"/>
          <w:sz w:val="21"/>
          <w:szCs w:val="21"/>
        </w:rPr>
      </w:pPr>
      <w:r w:rsidRPr="00E3716D">
        <w:rPr>
          <w:rFonts w:ascii="Arial" w:hAnsi="Arial" w:cs="Arial"/>
          <w:sz w:val="21"/>
          <w:szCs w:val="21"/>
        </w:rPr>
        <w:t>Terça-feira, 16 de fevereiro de 2016 antes da abertura dos mercados.</w:t>
      </w:r>
    </w:p>
    <w:p w14:paraId="79126ABE" w14:textId="77777777" w:rsidR="0029325C" w:rsidRPr="00E3716D" w:rsidRDefault="0029325C" w:rsidP="0029325C">
      <w:pPr>
        <w:tabs>
          <w:tab w:val="left" w:pos="360"/>
        </w:tabs>
        <w:jc w:val="both"/>
        <w:rPr>
          <w:rFonts w:ascii="Arial" w:hAnsi="Arial" w:cs="Arial"/>
          <w:sz w:val="21"/>
          <w:szCs w:val="21"/>
        </w:rPr>
      </w:pPr>
    </w:p>
    <w:p w14:paraId="5295E0C6" w14:textId="77777777" w:rsidR="0029325C" w:rsidRPr="00E3716D" w:rsidRDefault="0029325C" w:rsidP="0029325C">
      <w:pPr>
        <w:tabs>
          <w:tab w:val="left" w:pos="360"/>
        </w:tabs>
        <w:jc w:val="both"/>
        <w:rPr>
          <w:rFonts w:ascii="Arial" w:hAnsi="Arial" w:cs="Arial"/>
          <w:sz w:val="21"/>
          <w:szCs w:val="21"/>
        </w:rPr>
      </w:pPr>
    </w:p>
    <w:p w14:paraId="5ADCFF8B" w14:textId="77777777" w:rsidR="0029325C" w:rsidRPr="00E3716D" w:rsidRDefault="0029325C" w:rsidP="0029325C">
      <w:pPr>
        <w:autoSpaceDE w:val="0"/>
        <w:autoSpaceDN w:val="0"/>
        <w:adjustRightInd w:val="0"/>
        <w:rPr>
          <w:rFonts w:ascii="Arial" w:hAnsi="Arial" w:cs="Arial"/>
          <w:b/>
          <w:bCs/>
          <w:smallCaps/>
          <w:color w:val="000000"/>
          <w:sz w:val="21"/>
          <w:szCs w:val="21"/>
        </w:rPr>
      </w:pPr>
      <w:r w:rsidRPr="00E3716D">
        <w:rPr>
          <w:rFonts w:ascii="Arial" w:hAnsi="Arial" w:cs="Arial"/>
          <w:b/>
          <w:bCs/>
          <w:smallCaps/>
          <w:color w:val="000000"/>
          <w:sz w:val="21"/>
          <w:szCs w:val="21"/>
        </w:rPr>
        <w:t>Relatório Financeiro Intercalar de 2015</w:t>
      </w:r>
    </w:p>
    <w:p w14:paraId="6B445BBF" w14:textId="77777777" w:rsidR="0029325C" w:rsidRPr="00E3716D" w:rsidRDefault="0029325C" w:rsidP="0029325C">
      <w:pPr>
        <w:autoSpaceDE w:val="0"/>
        <w:autoSpaceDN w:val="0"/>
        <w:adjustRightInd w:val="0"/>
        <w:jc w:val="both"/>
        <w:rPr>
          <w:rStyle w:val="Hipervnculo"/>
          <w:rFonts w:ascii="Arial" w:hAnsi="Arial" w:cs="Arial"/>
          <w:iCs/>
          <w:sz w:val="21"/>
          <w:szCs w:val="21"/>
        </w:rPr>
      </w:pPr>
      <w:r w:rsidRPr="00E3716D">
        <w:rPr>
          <w:rFonts w:ascii="Arial" w:hAnsi="Arial" w:cs="Arial"/>
          <w:color w:val="000000"/>
          <w:sz w:val="21"/>
          <w:szCs w:val="21"/>
        </w:rPr>
        <w:t xml:space="preserve">O relatório financeiro intercalar relativo aos seis meses findos a 30 de junho de 2015 pode ser transferido a partir de: </w:t>
      </w:r>
      <w:hyperlink r:id="rId10">
        <w:r w:rsidRPr="00E3716D">
          <w:rPr>
            <w:rStyle w:val="Hipervnculo"/>
            <w:rFonts w:ascii="Arial" w:hAnsi="Arial" w:cs="Arial"/>
            <w:sz w:val="21"/>
            <w:szCs w:val="21"/>
          </w:rPr>
          <w:t>http://www.michelin.com/eng</w:t>
        </w:r>
      </w:hyperlink>
    </w:p>
    <w:p w14:paraId="3880AFF0" w14:textId="77777777" w:rsidR="0029325C" w:rsidRPr="00E3716D" w:rsidRDefault="0029325C" w:rsidP="0029325C">
      <w:pPr>
        <w:autoSpaceDE w:val="0"/>
        <w:autoSpaceDN w:val="0"/>
        <w:adjustRightInd w:val="0"/>
        <w:jc w:val="both"/>
        <w:rPr>
          <w:rFonts w:ascii="Arial" w:hAnsi="Arial" w:cs="Arial"/>
          <w:color w:val="000000"/>
          <w:sz w:val="21"/>
          <w:szCs w:val="21"/>
        </w:rPr>
      </w:pPr>
      <w:r w:rsidRPr="00E3716D">
        <w:rPr>
          <w:rFonts w:ascii="Arial" w:hAnsi="Arial" w:cs="Arial"/>
          <w:color w:val="000000"/>
          <w:sz w:val="21"/>
          <w:szCs w:val="21"/>
        </w:rPr>
        <w:t xml:space="preserve">Também foi arquivado junto da </w:t>
      </w:r>
      <w:proofErr w:type="spellStart"/>
      <w:r w:rsidRPr="00E3716D">
        <w:rPr>
          <w:rFonts w:ascii="Arial" w:hAnsi="Arial" w:cs="Arial"/>
          <w:color w:val="000000"/>
          <w:sz w:val="21"/>
          <w:szCs w:val="21"/>
        </w:rPr>
        <w:t>Autorité</w:t>
      </w:r>
      <w:proofErr w:type="spellEnd"/>
      <w:r w:rsidRPr="00E3716D">
        <w:rPr>
          <w:rFonts w:ascii="Arial" w:hAnsi="Arial" w:cs="Arial"/>
          <w:color w:val="000000"/>
          <w:sz w:val="21"/>
          <w:szCs w:val="21"/>
        </w:rPr>
        <w:t xml:space="preserve"> </w:t>
      </w:r>
      <w:proofErr w:type="spellStart"/>
      <w:r w:rsidRPr="00E3716D">
        <w:rPr>
          <w:rFonts w:ascii="Arial" w:hAnsi="Arial" w:cs="Arial"/>
          <w:color w:val="000000"/>
          <w:sz w:val="21"/>
          <w:szCs w:val="21"/>
        </w:rPr>
        <w:t>des</w:t>
      </w:r>
      <w:proofErr w:type="spellEnd"/>
      <w:r w:rsidRPr="00E3716D">
        <w:rPr>
          <w:rFonts w:ascii="Arial" w:hAnsi="Arial" w:cs="Arial"/>
          <w:color w:val="000000"/>
          <w:sz w:val="21"/>
          <w:szCs w:val="21"/>
        </w:rPr>
        <w:t xml:space="preserve"> </w:t>
      </w:r>
      <w:proofErr w:type="spellStart"/>
      <w:r w:rsidRPr="00E3716D">
        <w:rPr>
          <w:rFonts w:ascii="Arial" w:hAnsi="Arial" w:cs="Arial"/>
          <w:color w:val="000000"/>
          <w:sz w:val="21"/>
          <w:szCs w:val="21"/>
        </w:rPr>
        <w:t>marchés</w:t>
      </w:r>
      <w:proofErr w:type="spellEnd"/>
      <w:r w:rsidRPr="00E3716D">
        <w:rPr>
          <w:rFonts w:ascii="Arial" w:hAnsi="Arial" w:cs="Arial"/>
          <w:color w:val="000000"/>
          <w:sz w:val="21"/>
          <w:szCs w:val="21"/>
        </w:rPr>
        <w:t xml:space="preserve"> </w:t>
      </w:r>
      <w:proofErr w:type="spellStart"/>
      <w:r w:rsidRPr="00E3716D">
        <w:rPr>
          <w:rFonts w:ascii="Arial" w:hAnsi="Arial" w:cs="Arial"/>
          <w:color w:val="000000"/>
          <w:sz w:val="21"/>
          <w:szCs w:val="21"/>
        </w:rPr>
        <w:t>financiers</w:t>
      </w:r>
      <w:proofErr w:type="spellEnd"/>
      <w:r w:rsidRPr="00E3716D">
        <w:rPr>
          <w:rFonts w:ascii="Arial" w:hAnsi="Arial" w:cs="Arial"/>
          <w:color w:val="000000"/>
          <w:sz w:val="21"/>
          <w:szCs w:val="21"/>
        </w:rPr>
        <w:t xml:space="preserve"> (AMF).</w:t>
      </w:r>
    </w:p>
    <w:p w14:paraId="3BEA6646" w14:textId="77777777" w:rsidR="0029325C" w:rsidRPr="00E3716D" w:rsidRDefault="0029325C" w:rsidP="0029325C">
      <w:pPr>
        <w:autoSpaceDE w:val="0"/>
        <w:autoSpaceDN w:val="0"/>
        <w:adjustRightInd w:val="0"/>
        <w:jc w:val="both"/>
        <w:rPr>
          <w:rFonts w:ascii="Arial" w:hAnsi="Arial" w:cs="Arial"/>
          <w:color w:val="000000"/>
          <w:sz w:val="21"/>
          <w:szCs w:val="21"/>
        </w:rPr>
      </w:pPr>
      <w:r w:rsidRPr="00E3716D">
        <w:rPr>
          <w:rFonts w:ascii="Arial" w:hAnsi="Arial" w:cs="Arial"/>
          <w:color w:val="000000"/>
          <w:sz w:val="21"/>
          <w:szCs w:val="21"/>
        </w:rPr>
        <w:t>Inclui, em particular:</w:t>
      </w:r>
    </w:p>
    <w:p w14:paraId="2A626E56" w14:textId="379D65CE" w:rsidR="0029325C" w:rsidRPr="00E3716D" w:rsidRDefault="0029325C" w:rsidP="0043388C">
      <w:pPr>
        <w:numPr>
          <w:ilvl w:val="0"/>
          <w:numId w:val="22"/>
        </w:numPr>
        <w:autoSpaceDE w:val="0"/>
        <w:autoSpaceDN w:val="0"/>
        <w:adjustRightInd w:val="0"/>
        <w:ind w:left="284" w:hanging="284"/>
        <w:jc w:val="both"/>
        <w:rPr>
          <w:rFonts w:ascii="Arial" w:hAnsi="Arial" w:cs="Arial"/>
          <w:color w:val="000000"/>
          <w:sz w:val="21"/>
          <w:szCs w:val="21"/>
        </w:rPr>
      </w:pPr>
      <w:r w:rsidRPr="00E3716D">
        <w:rPr>
          <w:rFonts w:ascii="Arial" w:hAnsi="Arial" w:cs="Arial"/>
          <w:color w:val="000000"/>
          <w:sz w:val="21"/>
          <w:szCs w:val="21"/>
        </w:rPr>
        <w:t>A revisão operacional relativa aos seis meses findos a 30 de junho de 2015.</w:t>
      </w:r>
    </w:p>
    <w:p w14:paraId="1D2FAA18" w14:textId="54A42146" w:rsidR="0029325C" w:rsidRPr="00E3716D" w:rsidRDefault="0029325C" w:rsidP="0043388C">
      <w:pPr>
        <w:numPr>
          <w:ilvl w:val="0"/>
          <w:numId w:val="22"/>
        </w:numPr>
        <w:autoSpaceDE w:val="0"/>
        <w:autoSpaceDN w:val="0"/>
        <w:adjustRightInd w:val="0"/>
        <w:ind w:left="284" w:hanging="284"/>
        <w:jc w:val="both"/>
        <w:rPr>
          <w:rFonts w:ascii="Arial" w:hAnsi="Arial" w:cs="Arial"/>
          <w:color w:val="000000"/>
          <w:sz w:val="21"/>
          <w:szCs w:val="21"/>
        </w:rPr>
      </w:pPr>
      <w:r w:rsidRPr="00E3716D">
        <w:rPr>
          <w:rFonts w:ascii="Arial" w:hAnsi="Arial" w:cs="Arial"/>
          <w:color w:val="000000"/>
          <w:sz w:val="21"/>
          <w:szCs w:val="21"/>
        </w:rPr>
        <w:t>As demonstrações financeiras consolidadas e notas.</w:t>
      </w:r>
    </w:p>
    <w:p w14:paraId="489D0DD2" w14:textId="2C6A7277" w:rsidR="0029325C" w:rsidRPr="0043388C" w:rsidRDefault="0029325C" w:rsidP="0043388C">
      <w:pPr>
        <w:numPr>
          <w:ilvl w:val="0"/>
          <w:numId w:val="22"/>
        </w:numPr>
        <w:autoSpaceDE w:val="0"/>
        <w:autoSpaceDN w:val="0"/>
        <w:adjustRightInd w:val="0"/>
        <w:ind w:left="284" w:hanging="284"/>
        <w:jc w:val="both"/>
        <w:rPr>
          <w:rFonts w:ascii="Arial" w:hAnsi="Arial" w:cs="Arial"/>
          <w:b/>
          <w:bCs/>
          <w:sz w:val="21"/>
          <w:szCs w:val="21"/>
          <w:u w:val="single"/>
        </w:rPr>
      </w:pPr>
      <w:r w:rsidRPr="00E3716D">
        <w:rPr>
          <w:rFonts w:ascii="Arial" w:hAnsi="Arial" w:cs="Arial"/>
          <w:color w:val="000000"/>
          <w:sz w:val="21"/>
          <w:szCs w:val="21"/>
        </w:rPr>
        <w:t>O relatório do auditor sobre a informação financeira relativa aos seis meses findos a 30 de junho de 2015.</w:t>
      </w:r>
    </w:p>
    <w:p w14:paraId="45A32724" w14:textId="77777777" w:rsidR="0029325C" w:rsidRPr="0029325C" w:rsidRDefault="0029325C" w:rsidP="0029325C">
      <w:pPr>
        <w:keepNext/>
        <w:tabs>
          <w:tab w:val="left" w:pos="360"/>
        </w:tabs>
        <w:jc w:val="center"/>
        <w:rPr>
          <w:rFonts w:ascii="Verdana" w:hAnsi="Verdana" w:cs="Arial"/>
          <w:b/>
          <w:sz w:val="16"/>
          <w:szCs w:val="16"/>
        </w:rPr>
      </w:pPr>
    </w:p>
    <w:p w14:paraId="1F216A12" w14:textId="77777777" w:rsidR="0029325C" w:rsidRPr="0029325C" w:rsidRDefault="0029325C" w:rsidP="0029325C">
      <w:pPr>
        <w:keepNext/>
        <w:tabs>
          <w:tab w:val="left" w:pos="360"/>
        </w:tabs>
        <w:jc w:val="center"/>
        <w:rPr>
          <w:rFonts w:ascii="Verdana" w:hAnsi="Verdana" w:cs="Arial"/>
          <w:b/>
          <w:sz w:val="16"/>
          <w:szCs w:val="16"/>
        </w:rPr>
      </w:pPr>
    </w:p>
    <w:p w14:paraId="5FEEEDC8" w14:textId="77777777" w:rsidR="0029325C" w:rsidRPr="0029325C" w:rsidRDefault="0029325C" w:rsidP="0029325C">
      <w:pPr>
        <w:keepNext/>
        <w:tabs>
          <w:tab w:val="left" w:pos="360"/>
        </w:tabs>
        <w:jc w:val="center"/>
        <w:rPr>
          <w:rFonts w:ascii="Verdana" w:hAnsi="Verdana" w:cs="Arial"/>
          <w:b/>
          <w:sz w:val="16"/>
          <w:szCs w:val="16"/>
        </w:rPr>
      </w:pPr>
    </w:p>
    <w:p w14:paraId="6C25092A" w14:textId="77777777" w:rsidR="0029325C" w:rsidRPr="0029325C" w:rsidRDefault="0029325C" w:rsidP="0029325C">
      <w:pPr>
        <w:keepNext/>
        <w:tabs>
          <w:tab w:val="left" w:pos="360"/>
        </w:tabs>
        <w:jc w:val="center"/>
        <w:rPr>
          <w:rFonts w:ascii="Verdana" w:hAnsi="Verdana" w:cs="Arial"/>
          <w:b/>
          <w:sz w:val="16"/>
          <w:szCs w:val="16"/>
        </w:rPr>
      </w:pPr>
    </w:p>
    <w:p w14:paraId="63DD8598" w14:textId="77777777" w:rsidR="0029325C" w:rsidRPr="00D1761D" w:rsidRDefault="0029325C" w:rsidP="0043388C">
      <w:pPr>
        <w:pStyle w:val="Body1"/>
        <w:rPr>
          <w:rFonts w:ascii="Arial" w:hAnsi="Arial" w:cs="Arial"/>
          <w:b/>
          <w:sz w:val="21"/>
        </w:rPr>
      </w:pPr>
      <w:r w:rsidRPr="00D1761D">
        <w:rPr>
          <w:rFonts w:ascii="Arial" w:hAnsi="Arial" w:cs="Arial"/>
          <w:b/>
          <w:sz w:val="21"/>
        </w:rPr>
        <w:t>EXONERAÇÃO DE RESPONSABILIDADE</w:t>
      </w:r>
    </w:p>
    <w:p w14:paraId="445B0371" w14:textId="77777777" w:rsidR="0029325C" w:rsidRPr="0029325C" w:rsidRDefault="0029325C" w:rsidP="0029325C">
      <w:pPr>
        <w:keepNext/>
        <w:tabs>
          <w:tab w:val="left" w:pos="360"/>
        </w:tabs>
        <w:jc w:val="both"/>
        <w:rPr>
          <w:rFonts w:ascii="Verdana" w:hAnsi="Verdana"/>
          <w:sz w:val="16"/>
          <w:szCs w:val="16"/>
        </w:rPr>
      </w:pPr>
    </w:p>
    <w:p w14:paraId="729FDD1D" w14:textId="77777777" w:rsidR="0029325C" w:rsidRPr="00D1761D" w:rsidRDefault="0029325C" w:rsidP="0043388C">
      <w:pPr>
        <w:pStyle w:val="Body1"/>
        <w:jc w:val="both"/>
        <w:rPr>
          <w:rFonts w:ascii="Arial" w:hAnsi="Arial" w:cs="Arial"/>
          <w:b/>
          <w:i/>
          <w:sz w:val="21"/>
        </w:rPr>
      </w:pPr>
      <w:r w:rsidRPr="00D1761D">
        <w:rPr>
          <w:rFonts w:ascii="Arial" w:hAnsi="Arial" w:cs="Arial"/>
          <w:b/>
          <w:i/>
          <w:sz w:val="21"/>
        </w:rPr>
        <w:t xml:space="preserve">Este comunicado de imprensa não é uma oferta de compra nem uma solicitação para recomendar a compra de ações da Michelin. Para obter informações mais detalhadas sobre a Michelin, consulte os documentos arquivados em França junto da </w:t>
      </w:r>
      <w:proofErr w:type="spellStart"/>
      <w:r w:rsidRPr="00D1761D">
        <w:rPr>
          <w:rFonts w:ascii="Arial" w:hAnsi="Arial" w:cs="Arial"/>
          <w:b/>
          <w:i/>
          <w:sz w:val="21"/>
        </w:rPr>
        <w:t>Autorité</w:t>
      </w:r>
      <w:proofErr w:type="spellEnd"/>
      <w:r w:rsidRPr="00D1761D">
        <w:rPr>
          <w:rFonts w:ascii="Arial" w:hAnsi="Arial" w:cs="Arial"/>
          <w:b/>
          <w:i/>
          <w:sz w:val="21"/>
        </w:rPr>
        <w:t xml:space="preserve"> </w:t>
      </w:r>
      <w:proofErr w:type="spellStart"/>
      <w:r w:rsidRPr="00D1761D">
        <w:rPr>
          <w:rFonts w:ascii="Arial" w:hAnsi="Arial" w:cs="Arial"/>
          <w:b/>
          <w:i/>
          <w:sz w:val="21"/>
        </w:rPr>
        <w:t>des</w:t>
      </w:r>
      <w:proofErr w:type="spellEnd"/>
      <w:r w:rsidRPr="00D1761D">
        <w:rPr>
          <w:rFonts w:ascii="Arial" w:hAnsi="Arial" w:cs="Arial"/>
          <w:b/>
          <w:i/>
          <w:sz w:val="21"/>
        </w:rPr>
        <w:t xml:space="preserve"> </w:t>
      </w:r>
      <w:proofErr w:type="spellStart"/>
      <w:r w:rsidRPr="00D1761D">
        <w:rPr>
          <w:rFonts w:ascii="Arial" w:hAnsi="Arial" w:cs="Arial"/>
          <w:b/>
          <w:i/>
          <w:sz w:val="21"/>
        </w:rPr>
        <w:t>marchés</w:t>
      </w:r>
      <w:proofErr w:type="spellEnd"/>
      <w:r w:rsidRPr="00D1761D">
        <w:rPr>
          <w:rFonts w:ascii="Arial" w:hAnsi="Arial" w:cs="Arial"/>
          <w:b/>
          <w:i/>
          <w:sz w:val="21"/>
        </w:rPr>
        <w:t xml:space="preserve"> </w:t>
      </w:r>
      <w:proofErr w:type="spellStart"/>
      <w:r w:rsidRPr="00D1761D">
        <w:rPr>
          <w:rFonts w:ascii="Arial" w:hAnsi="Arial" w:cs="Arial"/>
          <w:b/>
          <w:i/>
          <w:sz w:val="21"/>
        </w:rPr>
        <w:t>financiers</w:t>
      </w:r>
      <w:proofErr w:type="spellEnd"/>
      <w:r w:rsidRPr="00D1761D">
        <w:rPr>
          <w:rFonts w:ascii="Arial" w:hAnsi="Arial" w:cs="Arial"/>
          <w:b/>
          <w:i/>
          <w:sz w:val="21"/>
        </w:rPr>
        <w:t xml:space="preserve">, que estão igualmente disponíveis no website </w:t>
      </w:r>
      <w:hyperlink r:id="rId11">
        <w:r w:rsidRPr="00D1761D">
          <w:rPr>
            <w:rFonts w:ascii="Arial" w:hAnsi="Arial" w:cs="Arial"/>
            <w:b/>
            <w:i/>
            <w:color w:val="0000FF"/>
            <w:sz w:val="21"/>
          </w:rPr>
          <w:t>www.michelin.com/</w:t>
        </w:r>
        <w:proofErr w:type="spellStart"/>
        <w:r w:rsidRPr="00D1761D">
          <w:rPr>
            <w:rFonts w:ascii="Arial" w:hAnsi="Arial" w:cs="Arial"/>
            <w:b/>
            <w:i/>
            <w:color w:val="0000FF"/>
            <w:sz w:val="21"/>
          </w:rPr>
          <w:t>eng</w:t>
        </w:r>
        <w:proofErr w:type="spellEnd"/>
      </w:hyperlink>
      <w:r w:rsidRPr="00D1761D">
        <w:rPr>
          <w:rFonts w:ascii="Arial" w:hAnsi="Arial" w:cs="Arial"/>
          <w:b/>
          <w:i/>
          <w:color w:val="auto"/>
          <w:sz w:val="21"/>
        </w:rPr>
        <w:t xml:space="preserve">. </w:t>
      </w:r>
      <w:r w:rsidRPr="00D1761D">
        <w:rPr>
          <w:rFonts w:ascii="Arial" w:hAnsi="Arial" w:cs="Arial"/>
          <w:b/>
          <w:i/>
          <w:sz w:val="21"/>
        </w:rPr>
        <w:t xml:space="preserve">              </w:t>
      </w:r>
    </w:p>
    <w:p w14:paraId="79F2A448" w14:textId="6FEA02FF" w:rsidR="00D1761D" w:rsidRDefault="0029325C" w:rsidP="0043388C">
      <w:pPr>
        <w:pStyle w:val="Body1"/>
        <w:jc w:val="both"/>
        <w:rPr>
          <w:rFonts w:ascii="Arial" w:hAnsi="Arial" w:cs="Arial"/>
          <w:b/>
          <w:i/>
          <w:sz w:val="21"/>
        </w:rPr>
      </w:pPr>
      <w:r w:rsidRPr="00D1761D">
        <w:rPr>
          <w:rFonts w:ascii="Arial" w:hAnsi="Arial" w:cs="Arial"/>
          <w:b/>
          <w:i/>
          <w:sz w:val="21"/>
        </w:rPr>
        <w:t xml:space="preserve">Este comunicado de imprensa poderá conter algumas declarações prospetivas. Embora a empresa acredite que estas declarações são baseadas em pressupostos razoáveis no momento da publicação deste documento, estas estão, por natureza, sujeitas a riscos e contingências que possam traduzir-se numa diferença entre os dados reais e as previsões realizadas ou inferidas por tais </w:t>
      </w:r>
      <w:proofErr w:type="spellStart"/>
      <w:r w:rsidRPr="00D1761D">
        <w:rPr>
          <w:rFonts w:ascii="Arial" w:hAnsi="Arial" w:cs="Arial"/>
          <w:b/>
          <w:i/>
          <w:sz w:val="21"/>
        </w:rPr>
        <w:t>declarações</w:t>
      </w:r>
      <w:proofErr w:type="spellEnd"/>
      <w:r w:rsidRPr="00D1761D">
        <w:rPr>
          <w:rFonts w:ascii="Arial" w:hAnsi="Arial" w:cs="Arial"/>
          <w:b/>
          <w:i/>
          <w:sz w:val="21"/>
        </w:rPr>
        <w:t>.</w:t>
      </w:r>
      <w:r w:rsidR="00D1761D">
        <w:rPr>
          <w:rFonts w:ascii="Arial" w:hAnsi="Arial" w:cs="Arial"/>
          <w:b/>
          <w:i/>
          <w:sz w:val="21"/>
        </w:rPr>
        <w:t xml:space="preserve"> </w:t>
      </w:r>
    </w:p>
    <w:p w14:paraId="34000235" w14:textId="77777777" w:rsidR="00D1761D" w:rsidRPr="00D1761D" w:rsidRDefault="00D1761D" w:rsidP="00D1761D">
      <w:pPr>
        <w:autoSpaceDE w:val="0"/>
        <w:autoSpaceDN w:val="0"/>
        <w:adjustRightInd w:val="0"/>
        <w:spacing w:line="240" w:lineRule="atLeast"/>
        <w:jc w:val="both"/>
        <w:rPr>
          <w:rFonts w:ascii="Times" w:eastAsia="Times" w:hAnsi="Times"/>
          <w:i/>
          <w:noProof/>
          <w:sz w:val="24"/>
          <w:szCs w:val="24"/>
          <w:lang w:eastAsia="fr-FR"/>
        </w:rPr>
      </w:pPr>
      <w:r>
        <w:rPr>
          <w:rFonts w:ascii="Arial" w:hAnsi="Arial" w:cs="Arial"/>
          <w:b/>
          <w:i/>
          <w:sz w:val="21"/>
        </w:rPr>
        <w:br w:type="column"/>
      </w:r>
      <w:r w:rsidRPr="00D1761D">
        <w:rPr>
          <w:rFonts w:ascii="Times" w:eastAsia="Times" w:hAnsi="Times"/>
          <w:i/>
          <w:iCs/>
          <w:noProof/>
          <w:sz w:val="24"/>
          <w:szCs w:val="24"/>
          <w:lang w:eastAsia="fr-FR"/>
        </w:rPr>
        <w:lastRenderedPageBreak/>
        <w:t xml:space="preserve">A missão da </w:t>
      </w:r>
      <w:r w:rsidRPr="00D1761D">
        <w:rPr>
          <w:rFonts w:ascii="Times" w:eastAsia="Times" w:hAnsi="Times"/>
          <w:b/>
          <w:bCs/>
          <w:i/>
          <w:iCs/>
          <w:noProof/>
          <w:sz w:val="24"/>
          <w:szCs w:val="24"/>
          <w:lang w:eastAsia="fr-FR"/>
        </w:rPr>
        <w:t>Michelin,</w:t>
      </w:r>
      <w:r w:rsidRPr="00D1761D">
        <w:rPr>
          <w:rFonts w:ascii="Times" w:eastAsia="Times" w:hAnsi="Times"/>
          <w:i/>
          <w:iCs/>
          <w:noProof/>
          <w:sz w:val="24"/>
          <w:szCs w:val="24"/>
          <w:lang w:eastAsia="fr-FR"/>
        </w:rPr>
        <w:t xml:space="preserve"> líder do setor do pneu, é contribuir de maneira sustentável para a mobilidade das pessoas e dos bens. Por esta razão, o Grupo fabrica, comercializa e distribui pneus para todo o tipo de viaturas. A Michelin propõe igualmente serviços digitais inovadores, como a gestão telemática de frotas de viaturas e ferramentas de ajuda à mobilidade. De igual modo, edita guias turísticos, de hotéis e restaurantes, mapas e Atlas de estradas. O Grupo, que tem a sede em Clermont-Ferrand (França), está presente em 170 países, emprega 112.300 pessoas em todo o mundo e tem 68 centros de produção implantados em 17 países diferentes. A Michelin possui um Centro de Tecnologia que se encarrega da investigação e desenvolvimento com implantação na Europa, América do Norte e Ásia. (www.michelin.es).</w:t>
      </w:r>
      <w:r w:rsidRPr="00D1761D">
        <w:rPr>
          <w:rFonts w:ascii="Times" w:eastAsia="Times" w:hAnsi="Times"/>
          <w:noProof/>
          <w:sz w:val="24"/>
          <w:szCs w:val="24"/>
          <w:lang w:eastAsia="fr-FR"/>
        </w:rPr>
        <w:t xml:space="preserve"> </w:t>
      </w:r>
    </w:p>
    <w:p w14:paraId="7F618371" w14:textId="77777777" w:rsidR="00D1761D" w:rsidRPr="00D1761D" w:rsidRDefault="00D1761D" w:rsidP="00D1761D">
      <w:pPr>
        <w:autoSpaceDE w:val="0"/>
        <w:autoSpaceDN w:val="0"/>
        <w:adjustRightInd w:val="0"/>
        <w:spacing w:line="240" w:lineRule="atLeast"/>
        <w:jc w:val="both"/>
        <w:rPr>
          <w:rFonts w:ascii="Arial" w:eastAsia="Times" w:hAnsi="Arial" w:cs="Arial"/>
          <w:noProof/>
          <w:sz w:val="22"/>
          <w:szCs w:val="24"/>
          <w:lang w:eastAsia="fr-FR"/>
        </w:rPr>
      </w:pPr>
    </w:p>
    <w:p w14:paraId="5AFC7E3C" w14:textId="77777777" w:rsidR="00D1761D" w:rsidRPr="00D1761D" w:rsidRDefault="00D1761D" w:rsidP="00D1761D">
      <w:pPr>
        <w:jc w:val="both"/>
        <w:rPr>
          <w:rFonts w:ascii="Times" w:eastAsia="Times" w:hAnsi="Times"/>
          <w:i/>
          <w:noProof/>
          <w:sz w:val="24"/>
          <w:szCs w:val="24"/>
          <w:lang w:eastAsia="fr-FR"/>
        </w:rPr>
      </w:pPr>
    </w:p>
    <w:p w14:paraId="2383AB20" w14:textId="77777777" w:rsidR="00D1761D" w:rsidRPr="00D1761D" w:rsidRDefault="00D1761D" w:rsidP="00D1761D">
      <w:pPr>
        <w:jc w:val="both"/>
        <w:rPr>
          <w:rFonts w:ascii="Times" w:eastAsia="Times" w:hAnsi="Times"/>
          <w:i/>
          <w:noProof/>
          <w:sz w:val="24"/>
          <w:szCs w:val="24"/>
          <w:lang w:eastAsia="fr-FR"/>
        </w:rPr>
      </w:pPr>
    </w:p>
    <w:p w14:paraId="0D48B09D" w14:textId="77777777" w:rsidR="00D1761D" w:rsidRDefault="00D1761D" w:rsidP="00D1761D">
      <w:pPr>
        <w:tabs>
          <w:tab w:val="center" w:pos="4252"/>
          <w:tab w:val="right" w:pos="8504"/>
        </w:tabs>
        <w:outlineLvl w:val="0"/>
        <w:rPr>
          <w:rFonts w:ascii="Arial" w:hAnsi="Arial"/>
          <w:b/>
          <w:bCs/>
          <w:noProof/>
          <w:color w:val="808080"/>
          <w:sz w:val="18"/>
          <w:szCs w:val="18"/>
          <w:lang w:eastAsia="es-ES"/>
        </w:rPr>
      </w:pPr>
    </w:p>
    <w:p w14:paraId="7CCF038B" w14:textId="77777777" w:rsidR="00D1761D" w:rsidRPr="00D1761D" w:rsidRDefault="00D1761D" w:rsidP="00D1761D">
      <w:pPr>
        <w:tabs>
          <w:tab w:val="center" w:pos="4252"/>
          <w:tab w:val="right" w:pos="8504"/>
        </w:tabs>
        <w:outlineLvl w:val="0"/>
        <w:rPr>
          <w:rFonts w:ascii="Arial" w:hAnsi="Arial"/>
          <w:b/>
          <w:bCs/>
          <w:noProof/>
          <w:color w:val="808080"/>
          <w:sz w:val="18"/>
          <w:szCs w:val="18"/>
          <w:lang w:eastAsia="es-ES"/>
        </w:rPr>
      </w:pPr>
      <w:bookmarkStart w:id="0" w:name="_GoBack"/>
      <w:bookmarkEnd w:id="0"/>
    </w:p>
    <w:p w14:paraId="38AC1D2D" w14:textId="77777777" w:rsidR="00D1761D" w:rsidRPr="00D1761D" w:rsidRDefault="00D1761D" w:rsidP="00D1761D">
      <w:pPr>
        <w:tabs>
          <w:tab w:val="center" w:pos="4252"/>
          <w:tab w:val="right" w:pos="8504"/>
        </w:tabs>
        <w:outlineLvl w:val="0"/>
        <w:rPr>
          <w:rFonts w:ascii="Arial" w:hAnsi="Arial"/>
          <w:b/>
          <w:bCs/>
          <w:noProof/>
          <w:color w:val="808080"/>
          <w:sz w:val="18"/>
          <w:szCs w:val="18"/>
          <w:lang w:eastAsia="es-ES"/>
        </w:rPr>
      </w:pPr>
    </w:p>
    <w:p w14:paraId="3DE80C48" w14:textId="77777777" w:rsidR="00D1761D" w:rsidRPr="00D1761D" w:rsidRDefault="00D1761D" w:rsidP="00D1761D">
      <w:pPr>
        <w:tabs>
          <w:tab w:val="center" w:pos="4252"/>
          <w:tab w:val="right" w:pos="8504"/>
        </w:tabs>
        <w:outlineLvl w:val="0"/>
        <w:rPr>
          <w:rFonts w:ascii="Arial" w:hAnsi="Arial"/>
          <w:b/>
          <w:bCs/>
          <w:noProof/>
          <w:color w:val="808080"/>
          <w:sz w:val="18"/>
          <w:szCs w:val="18"/>
          <w:lang w:eastAsia="es-ES"/>
        </w:rPr>
      </w:pPr>
    </w:p>
    <w:p w14:paraId="0A2C0432" w14:textId="77777777" w:rsidR="00D1761D" w:rsidRPr="00D1761D" w:rsidRDefault="00D1761D" w:rsidP="00D1761D">
      <w:pPr>
        <w:tabs>
          <w:tab w:val="center" w:pos="4252"/>
          <w:tab w:val="right" w:pos="8504"/>
        </w:tabs>
        <w:outlineLvl w:val="0"/>
        <w:rPr>
          <w:rFonts w:ascii="Arial" w:hAnsi="Arial"/>
          <w:b/>
          <w:bCs/>
          <w:noProof/>
          <w:color w:val="808080"/>
          <w:sz w:val="18"/>
          <w:szCs w:val="18"/>
          <w:lang w:eastAsia="es-ES"/>
        </w:rPr>
      </w:pPr>
      <w:r w:rsidRPr="00D1761D">
        <w:rPr>
          <w:rFonts w:ascii="Arial" w:hAnsi="Arial"/>
          <w:b/>
          <w:bCs/>
          <w:noProof/>
          <w:color w:val="808080"/>
          <w:sz w:val="18"/>
          <w:szCs w:val="18"/>
          <w:lang w:eastAsia="es-ES"/>
        </w:rPr>
        <w:t>DEPARTAMENTO DE COMUNICAÇÃO</w:t>
      </w:r>
    </w:p>
    <w:p w14:paraId="55A9A411" w14:textId="77777777" w:rsidR="00D1761D" w:rsidRPr="00D1761D" w:rsidRDefault="00D1761D" w:rsidP="00D1761D">
      <w:pPr>
        <w:tabs>
          <w:tab w:val="center" w:pos="4252"/>
          <w:tab w:val="right" w:pos="8504"/>
        </w:tabs>
        <w:outlineLvl w:val="0"/>
        <w:rPr>
          <w:rFonts w:ascii="Arial" w:hAnsi="Arial"/>
          <w:bCs/>
          <w:noProof/>
          <w:color w:val="808080"/>
          <w:sz w:val="18"/>
          <w:szCs w:val="18"/>
          <w:lang w:eastAsia="es-ES"/>
        </w:rPr>
      </w:pPr>
      <w:r w:rsidRPr="00D1761D">
        <w:rPr>
          <w:rFonts w:ascii="Arial" w:hAnsi="Arial"/>
          <w:noProof/>
          <w:color w:val="808080"/>
          <w:sz w:val="18"/>
          <w:szCs w:val="18"/>
          <w:lang w:eastAsia="es-ES"/>
        </w:rPr>
        <w:t>Avda. de Los Encuartes, 19</w:t>
      </w:r>
    </w:p>
    <w:p w14:paraId="6807F8F7" w14:textId="77777777" w:rsidR="00D1761D" w:rsidRPr="00D1761D" w:rsidRDefault="00D1761D" w:rsidP="00D1761D">
      <w:pPr>
        <w:tabs>
          <w:tab w:val="center" w:pos="4252"/>
          <w:tab w:val="right" w:pos="8504"/>
        </w:tabs>
        <w:outlineLvl w:val="0"/>
        <w:rPr>
          <w:rFonts w:ascii="Arial" w:hAnsi="Arial"/>
          <w:bCs/>
          <w:noProof/>
          <w:color w:val="808080"/>
          <w:sz w:val="18"/>
          <w:szCs w:val="18"/>
          <w:lang w:eastAsia="es-ES"/>
        </w:rPr>
      </w:pPr>
      <w:r w:rsidRPr="00D1761D">
        <w:rPr>
          <w:rFonts w:ascii="Arial" w:hAnsi="Arial"/>
          <w:noProof/>
          <w:color w:val="808080"/>
          <w:sz w:val="18"/>
          <w:szCs w:val="18"/>
          <w:lang w:eastAsia="es-ES"/>
        </w:rPr>
        <w:t>28760 Tres Cantos – Madrid – ESPANHA</w:t>
      </w:r>
    </w:p>
    <w:p w14:paraId="14E6FEF0" w14:textId="77777777" w:rsidR="00D1761D" w:rsidRPr="00D1761D" w:rsidRDefault="00D1761D" w:rsidP="00D1761D">
      <w:pPr>
        <w:jc w:val="both"/>
        <w:rPr>
          <w:rFonts w:ascii="Arial" w:eastAsia="Times" w:hAnsi="Arial"/>
          <w:bCs/>
          <w:noProof/>
          <w:color w:val="808080"/>
          <w:sz w:val="18"/>
          <w:szCs w:val="18"/>
          <w:lang w:eastAsia="fr-FR"/>
        </w:rPr>
      </w:pPr>
      <w:r w:rsidRPr="00D1761D">
        <w:rPr>
          <w:rFonts w:ascii="Arial" w:eastAsia="Times" w:hAnsi="Arial"/>
          <w:noProof/>
          <w:color w:val="808080"/>
          <w:sz w:val="18"/>
          <w:szCs w:val="18"/>
          <w:lang w:eastAsia="fr-FR"/>
        </w:rPr>
        <w:t>Tel.: 0034 914 105 167 – Fax: 0034 914 105 293</w:t>
      </w:r>
    </w:p>
    <w:p w14:paraId="6A1F9F0D" w14:textId="77777777" w:rsidR="0029325C" w:rsidRPr="0043388C" w:rsidRDefault="0029325C" w:rsidP="0043388C">
      <w:pPr>
        <w:pStyle w:val="Body1"/>
        <w:jc w:val="both"/>
        <w:rPr>
          <w:rFonts w:ascii="Arial" w:hAnsi="Arial Unicode MS"/>
          <w:b/>
          <w:i/>
          <w:sz w:val="21"/>
        </w:rPr>
      </w:pPr>
    </w:p>
    <w:sectPr w:rsidR="0029325C" w:rsidRPr="0043388C" w:rsidSect="00866296">
      <w:headerReference w:type="even" r:id="rId12"/>
      <w:footerReference w:type="default" r:id="rId13"/>
      <w:pgSz w:w="11906" w:h="16838"/>
      <w:pgMar w:top="1418" w:right="1418" w:bottom="1701" w:left="1418" w:header="720" w:footer="13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0F142" w14:textId="77777777" w:rsidR="0043388C" w:rsidRDefault="0043388C">
      <w:r>
        <w:separator/>
      </w:r>
    </w:p>
  </w:endnote>
  <w:endnote w:type="continuationSeparator" w:id="0">
    <w:p w14:paraId="207476AC" w14:textId="77777777" w:rsidR="0043388C" w:rsidRDefault="0043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Utopia">
    <w:charset w:val="00"/>
    <w:family w:val="auto"/>
    <w:pitch w:val="variable"/>
    <w:sig w:usb0="00000003" w:usb1="00000000" w:usb2="00000000" w:usb3="00000000" w:csb0="00000001" w:csb1="00000000"/>
  </w:font>
  <w:font w:name="Frutiger 55 Roman">
    <w:altName w:val="Arial Narrow"/>
    <w:charset w:val="00"/>
    <w:family w:val="swiss"/>
    <w:pitch w:val="variable"/>
    <w:sig w:usb0="8000002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utiger 45 Light">
    <w:altName w:val="Corbel"/>
    <w:charset w:val="00"/>
    <w:family w:val="swiss"/>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BBDD02" w14:textId="77777777" w:rsidR="0043388C" w:rsidRDefault="0043388C" w:rsidP="00866296">
    <w:pPr>
      <w:pStyle w:val="Piedepgina"/>
      <w:ind w:left="-1418" w:right="140"/>
    </w:pPr>
    <w:r>
      <w:rPr>
        <w:noProof/>
        <w:lang w:val="es-ES" w:eastAsia="es-ES"/>
      </w:rPr>
      <w:pict w14:anchorId="1ADEF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2049" type="#_x0000_t75" alt="Description: 12309_RVB_sur_fond_clair" style="position:absolute;left:0;text-align:left;margin-left:301.85pt;margin-top:-16.3pt;width:217.95pt;height:82.2pt;z-index:-251657728;visibility:visible" wrapcoords="2301 2945 2449 12371 2598 15513 2672 16298 10763 16691 11060 16691 14252 16691 15662 16298 15588 15513 17963 15513 19076 14531 19151 6873 18557 6676 5567 6087 4528 2945 2301 2945">
          <v:imagedata r:id="rId1" o:title=""/>
          <w10:wrap type="tight"/>
        </v:shape>
      </w:pict>
    </w:r>
    <w:r>
      <w:rPr>
        <w:noProof/>
        <w:lang w:val="es-ES" w:eastAsia="es-ES"/>
      </w:rPr>
      <w:pict w14:anchorId="76C381AB">
        <v:shapetype id="_x0000_t202" coordsize="21600,21600" o:spt="202" path="m0,0l0,21600,21600,21600,21600,0xe">
          <v:stroke joinstyle="miter"/>
          <v:path gradientshapeok="t" o:connecttype="rect"/>
        </v:shapetype>
        <v:shape id="Text Box 9" o:spid="_x0000_s2050" type="#_x0000_t202" style="position:absolute;left:0;text-align:left;margin-left:191.6pt;margin-top:46.2pt;width:56.05pt;height: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P4ggIAAA4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" stroked="f">
          <v:textbox>
            <w:txbxContent>
              <w:p w14:paraId="08D54885" w14:textId="77777777" w:rsidR="0043388C" w:rsidRPr="00127162" w:rsidRDefault="0043388C" w:rsidP="00866296">
                <w:pPr>
                  <w:rPr>
                    <w:rFonts w:ascii="Arial" w:hAnsi="Arial" w:cs="Arial"/>
                  </w:rPr>
                </w:pPr>
                <w:r>
                  <w:rPr>
                    <w:rFonts w:ascii="Arial" w:hAnsi="Arial"/>
                  </w:rPr>
                  <w:fldChar w:fldCharType="begin"/>
                </w:r>
                <w:r>
                  <w:rPr>
                    <w:rFonts w:ascii="Arial" w:hAnsi="Arial"/>
                  </w:rPr>
                  <w:instrText xml:space="preserve"> PAGE  \* Arabic  \* MERGEFORMAT </w:instrText>
                </w:r>
                <w:r>
                  <w:rPr>
                    <w:rFonts w:ascii="Arial" w:hAnsi="Arial"/>
                  </w:rPr>
                  <w:fldChar w:fldCharType="separate"/>
                </w:r>
                <w:r w:rsidR="00D1761D">
                  <w:rPr>
                    <w:rFonts w:ascii="Arial" w:hAnsi="Arial"/>
                    <w:noProof/>
                  </w:rPr>
                  <w:t>13</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NUMPAGES  \* Arabic  \* MERGEFORMAT </w:instrText>
                </w:r>
                <w:r>
                  <w:rPr>
                    <w:rFonts w:ascii="Arial" w:hAnsi="Arial"/>
                  </w:rPr>
                  <w:fldChar w:fldCharType="separate"/>
                </w:r>
                <w:r w:rsidR="00D1761D">
                  <w:rPr>
                    <w:rFonts w:ascii="Arial" w:hAnsi="Arial"/>
                    <w:noProof/>
                  </w:rPr>
                  <w:t>13</w:t>
                </w:r>
                <w:r>
                  <w:rPr>
                    <w:rFonts w:ascii="Arial" w:hAnsi="Arial"/>
                  </w:rPr>
                  <w:fldChar w:fldCharType="end"/>
                </w:r>
              </w:p>
            </w:txbxContent>
          </v:textbox>
        </v:shape>
      </w:pict>
    </w:r>
    <w:r>
      <w:rPr>
        <w:noProof/>
        <w:lang w:val="es-ES" w:eastAsia="es-ES"/>
      </w:rPr>
      <w:pict w14:anchorId="45527EBF">
        <v:line id="Line 7" o:spid="_x0000_s2051" style="position:absolute;left:0;text-align:left;z-index:251656704;visibility:visible;mso-wrap-distance-top:-1emu;mso-wrap-distance-bottom:-1emu" from="-88.1pt,34.75pt" to="296.6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" strokecolor="yellow" strokeweight="2.25p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55D02" w14:textId="77777777" w:rsidR="0043388C" w:rsidRDefault="0043388C">
      <w:r>
        <w:separator/>
      </w:r>
    </w:p>
  </w:footnote>
  <w:footnote w:type="continuationSeparator" w:id="0">
    <w:p w14:paraId="4F78FD05" w14:textId="77777777" w:rsidR="0043388C" w:rsidRDefault="004338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C3BB18" w14:textId="77777777" w:rsidR="0043388C" w:rsidRDefault="0043388C">
    <w:pPr>
      <w:pStyle w:val="Encabezado"/>
    </w:pPr>
    <w:r>
      <w:rPr>
        <w:b/>
      </w:rPr>
      <w:t>Revista de imprensa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6D"/>
    <w:multiLevelType w:val="hybridMultilevel"/>
    <w:tmpl w:val="80D03DF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2B20760"/>
    <w:multiLevelType w:val="hybridMultilevel"/>
    <w:tmpl w:val="E1E0F0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AD26DE"/>
    <w:multiLevelType w:val="hybridMultilevel"/>
    <w:tmpl w:val="8340B5BC"/>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
    <w:nsid w:val="09F24272"/>
    <w:multiLevelType w:val="hybridMultilevel"/>
    <w:tmpl w:val="60A86774"/>
    <w:lvl w:ilvl="0" w:tplc="FFFFFFFF">
      <w:start w:val="2"/>
      <w:numFmt w:val="bullet"/>
      <w:lvlText w:val=""/>
      <w:lvlJc w:val="left"/>
      <w:pPr>
        <w:ind w:left="1068" w:hanging="360"/>
      </w:pPr>
      <w:rPr>
        <w:rFonts w:ascii="Symbol" w:eastAsia="Times New Roman"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nsid w:val="0FD166C4"/>
    <w:multiLevelType w:val="hybridMultilevel"/>
    <w:tmpl w:val="4706073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55501ED"/>
    <w:multiLevelType w:val="hybridMultilevel"/>
    <w:tmpl w:val="D49CE8FA"/>
    <w:lvl w:ilvl="0" w:tplc="FFFFFFFF">
      <w:start w:val="2014"/>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1A4632"/>
    <w:multiLevelType w:val="hybridMultilevel"/>
    <w:tmpl w:val="588EA5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D513EF7"/>
    <w:multiLevelType w:val="hybridMultilevel"/>
    <w:tmpl w:val="6E82E6FE"/>
    <w:lvl w:ilvl="0" w:tplc="2E748D94">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4B545B3"/>
    <w:multiLevelType w:val="multilevel"/>
    <w:tmpl w:val="5AC8440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46C64DAD"/>
    <w:multiLevelType w:val="hybridMultilevel"/>
    <w:tmpl w:val="7BDAC0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DD93FD6"/>
    <w:multiLevelType w:val="hybridMultilevel"/>
    <w:tmpl w:val="615696F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numFmt w:val="bullet"/>
      <w:lvlText w:val="•"/>
      <w:lvlJc w:val="left"/>
      <w:pPr>
        <w:ind w:left="2520" w:hanging="360"/>
      </w:pPr>
      <w:rPr>
        <w:rFonts w:ascii="Verdana" w:eastAsia="Times New Roman" w:hAnsi="Verdana"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53E822BE"/>
    <w:multiLevelType w:val="hybridMultilevel"/>
    <w:tmpl w:val="1DE2CA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8C5591"/>
    <w:multiLevelType w:val="hybridMultilevel"/>
    <w:tmpl w:val="DFC4FDD6"/>
    <w:lvl w:ilvl="0" w:tplc="FFFFFFFF">
      <w:start w:val="1"/>
      <w:numFmt w:val="bullet"/>
      <w:lvlText w:val="-"/>
      <w:lvlJc w:val="left"/>
      <w:pPr>
        <w:ind w:left="720" w:hanging="360"/>
      </w:pPr>
      <w:rPr>
        <w:rFonts w:ascii="Verdana" w:eastAsia="Times New Roman" w:hAnsi="Verdana" w:hint="default"/>
        <w:b/>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D443378"/>
    <w:multiLevelType w:val="hybridMultilevel"/>
    <w:tmpl w:val="855825FA"/>
    <w:lvl w:ilvl="0" w:tplc="156C0DA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9E1330"/>
    <w:multiLevelType w:val="hybridMultilevel"/>
    <w:tmpl w:val="B9ACB33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9AB59B2"/>
    <w:multiLevelType w:val="hybridMultilevel"/>
    <w:tmpl w:val="AC888BD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nsid w:val="7C9C4FE2"/>
    <w:multiLevelType w:val="hybridMultilevel"/>
    <w:tmpl w:val="770EF1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DD52932"/>
    <w:multiLevelType w:val="hybridMultilevel"/>
    <w:tmpl w:val="55704128"/>
    <w:lvl w:ilvl="0" w:tplc="FFFFFFFF">
      <w:start w:val="1"/>
      <w:numFmt w:val="bullet"/>
      <w:pStyle w:val="Bulletpoint"/>
      <w:lvlText w:val=""/>
      <w:lvlJc w:val="left"/>
      <w:pPr>
        <w:tabs>
          <w:tab w:val="num" w:pos="284"/>
        </w:tabs>
      </w:pPr>
      <w:rPr>
        <w:rFonts w:ascii="Wingdings" w:hAnsi="Wingdings" w:hint="default"/>
        <w:color w:val="33339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0"/>
  </w:num>
  <w:num w:numId="4">
    <w:abstractNumId w:val="0"/>
  </w:num>
  <w:num w:numId="5">
    <w:abstractNumId w:val="6"/>
  </w:num>
  <w:num w:numId="6">
    <w:abstractNumId w:val="1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5"/>
  </w:num>
  <w:num w:numId="15">
    <w:abstractNumId w:val="3"/>
  </w:num>
  <w:num w:numId="16">
    <w:abstractNumId w:val="9"/>
  </w:num>
  <w:num w:numId="17">
    <w:abstractNumId w:val="4"/>
  </w:num>
  <w:num w:numId="18">
    <w:abstractNumId w:val="7"/>
  </w:num>
  <w:num w:numId="19">
    <w:abstractNumId w:val="1"/>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543"/>
    <w:rsid w:val="00026F95"/>
    <w:rsid w:val="00101E6A"/>
    <w:rsid w:val="001150A5"/>
    <w:rsid w:val="00117819"/>
    <w:rsid w:val="00127162"/>
    <w:rsid w:val="001B73F3"/>
    <w:rsid w:val="001F362D"/>
    <w:rsid w:val="00202320"/>
    <w:rsid w:val="00290543"/>
    <w:rsid w:val="0029325C"/>
    <w:rsid w:val="00394F80"/>
    <w:rsid w:val="003B14DF"/>
    <w:rsid w:val="003D547E"/>
    <w:rsid w:val="0043388C"/>
    <w:rsid w:val="00446F53"/>
    <w:rsid w:val="00460A30"/>
    <w:rsid w:val="00470A49"/>
    <w:rsid w:val="004D6F2C"/>
    <w:rsid w:val="004E3A8D"/>
    <w:rsid w:val="00504801"/>
    <w:rsid w:val="00611511"/>
    <w:rsid w:val="007506B0"/>
    <w:rsid w:val="007D0C8E"/>
    <w:rsid w:val="008239DC"/>
    <w:rsid w:val="008601E8"/>
    <w:rsid w:val="008607D8"/>
    <w:rsid w:val="00866296"/>
    <w:rsid w:val="009131B9"/>
    <w:rsid w:val="00944E06"/>
    <w:rsid w:val="00A15798"/>
    <w:rsid w:val="00AC577E"/>
    <w:rsid w:val="00B01F94"/>
    <w:rsid w:val="00B071A1"/>
    <w:rsid w:val="00B465C2"/>
    <w:rsid w:val="00B92773"/>
    <w:rsid w:val="00C15A36"/>
    <w:rsid w:val="00C47531"/>
    <w:rsid w:val="00C5001A"/>
    <w:rsid w:val="00CE3A2A"/>
    <w:rsid w:val="00D1761D"/>
    <w:rsid w:val="00D6256A"/>
    <w:rsid w:val="00D62B05"/>
    <w:rsid w:val="00E13B15"/>
    <w:rsid w:val="00E3716D"/>
    <w:rsid w:val="00E44156"/>
    <w:rsid w:val="00EB359B"/>
    <w:rsid w:val="00F15F8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D0874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topia" w:hAnsi="Utopia" w:cs="Times New Roman"/>
      <w:lang w:val="pt-PT" w:eastAsia="pt-PT"/>
    </w:rPr>
  </w:style>
  <w:style w:type="paragraph" w:styleId="Ttulo1">
    <w:name w:val="heading 1"/>
    <w:basedOn w:val="Normal"/>
    <w:next w:val="Normal"/>
    <w:link w:val="Ttulo1Car"/>
    <w:uiPriority w:val="9"/>
    <w:qFormat/>
    <w:pPr>
      <w:keepNext/>
      <w:jc w:val="center"/>
      <w:outlineLvl w:val="0"/>
    </w:pPr>
    <w:rPr>
      <w:rFonts w:ascii="Frutiger 55 Roman" w:hAnsi="Frutiger 55 Roman"/>
      <w:sz w:val="32"/>
    </w:rPr>
  </w:style>
  <w:style w:type="paragraph" w:styleId="Ttulo2">
    <w:name w:val="heading 2"/>
    <w:basedOn w:val="Normal"/>
    <w:next w:val="Normal"/>
    <w:link w:val="Ttulo2Car"/>
    <w:uiPriority w:val="9"/>
    <w:qFormat/>
    <w:pPr>
      <w:keepNext/>
      <w:jc w:val="center"/>
      <w:outlineLvl w:val="1"/>
    </w:pPr>
    <w:rPr>
      <w:rFonts w:ascii="Frutiger 55 Roman" w:hAnsi="Frutiger 55 Roman"/>
      <w:i/>
      <w:sz w:val="24"/>
    </w:rPr>
  </w:style>
  <w:style w:type="paragraph" w:styleId="Ttulo3">
    <w:name w:val="heading 3"/>
    <w:basedOn w:val="Normal"/>
    <w:next w:val="Normal"/>
    <w:link w:val="Ttulo3Car"/>
    <w:uiPriority w:val="9"/>
    <w:qFormat/>
    <w:pPr>
      <w:keepNext/>
      <w:spacing w:before="240" w:after="60"/>
      <w:outlineLvl w:val="2"/>
    </w:pPr>
    <w:rPr>
      <w:rFonts w:ascii="Frutiger 55 Roman" w:hAnsi="Frutiger 55 Roman"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Frutiger 55 Roman" w:hAnsi="Frutiger 55 Roman" w:cs="Times New Roman"/>
      <w:sz w:val="32"/>
      <w:lang w:val="pt-PT" w:eastAsia="pt-PT"/>
    </w:rPr>
  </w:style>
  <w:style w:type="character" w:customStyle="1" w:styleId="Ttulo2Car">
    <w:name w:val="Título 2 Car"/>
    <w:basedOn w:val="Fuentedeprrafopredeter"/>
    <w:link w:val="Ttulo2"/>
    <w:uiPriority w:val="9"/>
    <w:locked/>
    <w:rPr>
      <w:rFonts w:ascii="Frutiger 55 Roman" w:hAnsi="Frutiger 55 Roman" w:cs="Times New Roman"/>
      <w:i/>
      <w:sz w:val="24"/>
      <w:lang w:val="pt-PT" w:eastAsia="pt-PT"/>
    </w:rPr>
  </w:style>
  <w:style w:type="character" w:customStyle="1" w:styleId="Ttulo3Car">
    <w:name w:val="Título 3 Car"/>
    <w:basedOn w:val="Fuentedeprrafopredeter"/>
    <w:link w:val="Ttulo3"/>
    <w:uiPriority w:val="9"/>
    <w:locked/>
    <w:rPr>
      <w:rFonts w:ascii="Frutiger 55 Roman" w:hAnsi="Frutiger 55 Roman" w:cs="Times New Roman"/>
      <w:b/>
      <w:sz w:val="26"/>
      <w:lang w:val="pt-PT" w:eastAsia="pt-PT"/>
    </w:rPr>
  </w:style>
  <w:style w:type="paragraph" w:styleId="Encabezado">
    <w:name w:val="header"/>
    <w:basedOn w:val="Normal"/>
    <w:link w:val="EncabezadoCar"/>
    <w:uiPriority w:val="99"/>
    <w:pPr>
      <w:tabs>
        <w:tab w:val="center" w:pos="4536"/>
        <w:tab w:val="right" w:pos="9072"/>
      </w:tabs>
    </w:pPr>
  </w:style>
  <w:style w:type="character" w:customStyle="1" w:styleId="EncabezadoCar">
    <w:name w:val="Encabezado Car"/>
    <w:basedOn w:val="Fuentedeprrafopredeter"/>
    <w:link w:val="Encabezado"/>
    <w:uiPriority w:val="99"/>
    <w:locked/>
    <w:rPr>
      <w:rFonts w:ascii="Utopia" w:hAnsi="Utopia" w:cs="Times New Roman"/>
      <w:sz w:val="20"/>
      <w:lang w:val="pt-PT" w:eastAsia="pt-PT"/>
    </w:rPr>
  </w:style>
  <w:style w:type="paragraph" w:styleId="Piedepgina">
    <w:name w:val="footer"/>
    <w:basedOn w:val="Normal"/>
    <w:link w:val="PiedepginaCar"/>
    <w:uiPriority w:val="99"/>
    <w:pPr>
      <w:tabs>
        <w:tab w:val="center" w:pos="4536"/>
        <w:tab w:val="right" w:pos="9072"/>
      </w:tabs>
    </w:pPr>
  </w:style>
  <w:style w:type="character" w:customStyle="1" w:styleId="PiedepginaCar">
    <w:name w:val="Pie de página Car"/>
    <w:basedOn w:val="Fuentedeprrafopredeter"/>
    <w:link w:val="Piedepgina"/>
    <w:uiPriority w:val="99"/>
    <w:locked/>
    <w:rPr>
      <w:rFonts w:ascii="Utopia" w:hAnsi="Utopia" w:cs="Times New Roman"/>
      <w:sz w:val="20"/>
      <w:lang w:val="pt-PT" w:eastAsia="pt-PT"/>
    </w:rPr>
  </w:style>
  <w:style w:type="character" w:styleId="Hipervnculo">
    <w:name w:val="Hyperlink"/>
    <w:basedOn w:val="Fuentedeprrafopredeter"/>
    <w:uiPriority w:val="99"/>
    <w:rPr>
      <w:rFonts w:cs="Times New Roman"/>
      <w:color w:val="0000FF"/>
      <w:u w:val="single"/>
      <w:lang w:val="pt-PT" w:eastAsia="pt-PT"/>
    </w:rPr>
  </w:style>
  <w:style w:type="character" w:styleId="Enfasis">
    <w:name w:val="Emphasis"/>
    <w:basedOn w:val="Fuentedeprrafopredeter"/>
    <w:uiPriority w:val="20"/>
    <w:qFormat/>
    <w:rPr>
      <w:rFonts w:cs="Times New Roman"/>
      <w:i/>
      <w:lang w:val="pt-PT" w:eastAsia="pt-PT"/>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imes New Roman"/>
      <w:sz w:val="16"/>
      <w:lang w:val="pt-PT" w:eastAsia="pt-PT"/>
    </w:rPr>
  </w:style>
  <w:style w:type="paragraph" w:styleId="Textodecuerpo3">
    <w:name w:val="Body Text 3"/>
    <w:basedOn w:val="Normal"/>
    <w:link w:val="Textodecuerpo3Car"/>
    <w:uiPriority w:val="99"/>
    <w:pPr>
      <w:suppressAutoHyphens/>
      <w:spacing w:after="120"/>
      <w:jc w:val="both"/>
    </w:pPr>
    <w:rPr>
      <w:rFonts w:ascii="Frutiger 45 Light" w:eastAsia="MS Mincho" w:hAnsi="Frutiger 45 Light" w:cs="Frutiger 45 Light"/>
      <w:b/>
      <w:bCs/>
      <w:sz w:val="24"/>
      <w:szCs w:val="24"/>
      <w:u w:val="single"/>
    </w:rPr>
  </w:style>
  <w:style w:type="character" w:customStyle="1" w:styleId="Textodecuerpo3Car">
    <w:name w:val="Texto de cuerpo 3 Car"/>
    <w:basedOn w:val="Fuentedeprrafopredeter"/>
    <w:link w:val="Textodecuerpo3"/>
    <w:uiPriority w:val="99"/>
    <w:locked/>
    <w:rPr>
      <w:rFonts w:ascii="Frutiger 45 Light" w:eastAsia="MS Mincho" w:hAnsi="Frutiger 45 Light" w:cs="Times New Roman"/>
      <w:b/>
      <w:sz w:val="24"/>
      <w:u w:val="single"/>
      <w:lang w:val="pt-PT" w:eastAsia="pt-PT"/>
    </w:rPr>
  </w:style>
  <w:style w:type="table" w:styleId="Tablaconcuadrcula">
    <w:name w:val="Table Grid"/>
    <w:basedOn w:val="Tablanormal"/>
    <w:uiPriority w:val="39"/>
    <w:rPr>
      <w:rFonts w:ascii="Times New Roman" w:eastAsia="MS Mincho" w:hAnsi="Times New Roman" w:cs="Times New Roman"/>
      <w:lang w:val="pt-P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Pr>
      <w:rFonts w:eastAsia="MS Mincho" w:cs="Utopia"/>
    </w:rPr>
  </w:style>
  <w:style w:type="character" w:customStyle="1" w:styleId="TextonotapieCar">
    <w:name w:val="Texto nota pie Car"/>
    <w:basedOn w:val="Fuentedeprrafopredeter"/>
    <w:link w:val="Textonotapie"/>
    <w:uiPriority w:val="99"/>
    <w:semiHidden/>
    <w:locked/>
    <w:rPr>
      <w:rFonts w:ascii="Utopia" w:eastAsia="MS Mincho" w:hAnsi="Utopia" w:cs="Times New Roman"/>
      <w:lang w:val="pt-PT" w:eastAsia="pt-PT"/>
    </w:rPr>
  </w:style>
  <w:style w:type="character" w:styleId="Refdenotaalpie">
    <w:name w:val="footnote reference"/>
    <w:basedOn w:val="Fuentedeprrafopredeter"/>
    <w:uiPriority w:val="99"/>
    <w:semiHidden/>
    <w:rPr>
      <w:rFonts w:cs="Times New Roman"/>
      <w:vertAlign w:val="superscript"/>
      <w:lang w:val="pt-PT" w:eastAsia="pt-PT"/>
    </w:rPr>
  </w:style>
  <w:style w:type="character" w:customStyle="1" w:styleId="tw4winMark">
    <w:name w:val="tw4winMark"/>
    <w:rPr>
      <w:rFonts w:ascii="Courier New" w:hAnsi="Courier New"/>
      <w:vanish/>
      <w:color w:val="800080"/>
      <w:sz w:val="24"/>
      <w:vertAlign w:val="subscript"/>
      <w:lang w:val="pt-PT" w:eastAsia="pt-PT"/>
    </w:rPr>
  </w:style>
  <w:style w:type="character" w:customStyle="1" w:styleId="tw4winError">
    <w:name w:val="tw4winError"/>
    <w:rPr>
      <w:rFonts w:ascii="Courier New" w:hAnsi="Courier New"/>
      <w:color w:val="00FF00"/>
      <w:sz w:val="40"/>
      <w:lang w:val="pt-PT" w:eastAsia="pt-PT"/>
    </w:rPr>
  </w:style>
  <w:style w:type="character" w:customStyle="1" w:styleId="tw4winTerm">
    <w:name w:val="tw4winTerm"/>
    <w:rPr>
      <w:color w:val="0000FF"/>
      <w:lang w:val="pt-PT" w:eastAsia="pt-PT"/>
    </w:rPr>
  </w:style>
  <w:style w:type="character" w:customStyle="1" w:styleId="tw4winPopup">
    <w:name w:val="tw4winPopup"/>
    <w:rPr>
      <w:rFonts w:ascii="Courier New" w:hAnsi="Courier New"/>
      <w:noProof/>
      <w:color w:val="008000"/>
      <w:lang w:val="pt-PT" w:eastAsia="pt-PT"/>
    </w:rPr>
  </w:style>
  <w:style w:type="character" w:customStyle="1" w:styleId="tw4winJump">
    <w:name w:val="tw4winJump"/>
    <w:rPr>
      <w:rFonts w:ascii="Courier New" w:hAnsi="Courier New"/>
      <w:noProof/>
      <w:color w:val="008080"/>
      <w:lang w:val="pt-PT" w:eastAsia="pt-PT"/>
    </w:rPr>
  </w:style>
  <w:style w:type="character" w:customStyle="1" w:styleId="tw4winExternal">
    <w:name w:val="tw4winExternal"/>
    <w:rPr>
      <w:rFonts w:ascii="Courier New" w:hAnsi="Courier New"/>
      <w:noProof/>
      <w:color w:val="808080"/>
      <w:lang w:val="pt-PT" w:eastAsia="pt-PT"/>
    </w:rPr>
  </w:style>
  <w:style w:type="character" w:customStyle="1" w:styleId="tw4winInternal">
    <w:name w:val="tw4winInternal"/>
    <w:rPr>
      <w:rFonts w:ascii="Courier New" w:hAnsi="Courier New"/>
      <w:noProof/>
      <w:color w:val="FF0000"/>
      <w:lang w:val="pt-PT" w:eastAsia="pt-PT"/>
    </w:rPr>
  </w:style>
  <w:style w:type="character" w:customStyle="1" w:styleId="DONOTTRANSLATE">
    <w:name w:val="DO_NOT_TRANSLATE"/>
    <w:rPr>
      <w:rFonts w:ascii="Courier New" w:hAnsi="Courier New"/>
      <w:noProof/>
      <w:color w:val="800000"/>
      <w:lang w:val="pt-PT" w:eastAsia="pt-PT"/>
    </w:rPr>
  </w:style>
  <w:style w:type="character" w:styleId="Nmerodepgina">
    <w:name w:val="page number"/>
    <w:basedOn w:val="Fuentedeprrafopredeter"/>
    <w:uiPriority w:val="99"/>
    <w:rPr>
      <w:rFonts w:cs="Times New Roman"/>
    </w:rPr>
  </w:style>
  <w:style w:type="paragraph" w:styleId="Textosinformato">
    <w:name w:val="Plain Text"/>
    <w:basedOn w:val="Normal"/>
    <w:link w:val="TextosinformatoCar"/>
    <w:uiPriority w:val="99"/>
    <w:rPr>
      <w:rFonts w:ascii="Courier New" w:hAnsi="Courier New" w:cs="Courier New"/>
    </w:rPr>
  </w:style>
  <w:style w:type="character" w:customStyle="1" w:styleId="TextosinformatoCar">
    <w:name w:val="Texto sin formato Car"/>
    <w:basedOn w:val="Fuentedeprrafopredeter"/>
    <w:link w:val="Textosinformato"/>
    <w:uiPriority w:val="99"/>
    <w:locked/>
    <w:rPr>
      <w:rFonts w:ascii="Courier New" w:hAnsi="Courier New" w:cs="Times New Roman"/>
      <w:lang w:val="pt-PT" w:eastAsia="pt-PT"/>
    </w:rPr>
  </w:style>
  <w:style w:type="paragraph" w:customStyle="1" w:styleId="CarCarCarCarCarCarCarCarCar">
    <w:name w:val="Car Car Car Car Car Car Car Car Car"/>
    <w:basedOn w:val="Normal"/>
    <w:pPr>
      <w:spacing w:after="160" w:line="240" w:lineRule="exact"/>
    </w:pPr>
    <w:rPr>
      <w:rFonts w:ascii="Times New Roman" w:hAnsi="Times New Roman"/>
    </w:rPr>
  </w:style>
  <w:style w:type="paragraph" w:styleId="Textodecuerpo">
    <w:name w:val="Body Text"/>
    <w:basedOn w:val="Normal"/>
    <w:link w:val="TextodecuerpoCar"/>
    <w:uiPriority w:val="99"/>
    <w:pPr>
      <w:spacing w:after="120"/>
    </w:pPr>
    <w:rPr>
      <w:rFonts w:ascii="Arial" w:hAnsi="Arial"/>
      <w:szCs w:val="24"/>
    </w:rPr>
  </w:style>
  <w:style w:type="character" w:customStyle="1" w:styleId="TextodecuerpoCar">
    <w:name w:val="Texto de cuerpo Car"/>
    <w:basedOn w:val="Fuentedeprrafopredeter"/>
    <w:link w:val="Textodecuerpo"/>
    <w:uiPriority w:val="99"/>
    <w:locked/>
    <w:rPr>
      <w:rFonts w:ascii="Arial" w:hAnsi="Arial" w:cs="Times New Roman"/>
      <w:sz w:val="24"/>
      <w:lang w:val="pt-PT" w:eastAsia="pt-PT"/>
    </w:rPr>
  </w:style>
  <w:style w:type="paragraph" w:customStyle="1" w:styleId="corpsdetexte">
    <w:name w:val="corps de texte"/>
    <w:basedOn w:val="Normal"/>
    <w:link w:val="corpsdetexteCar"/>
    <w:pPr>
      <w:ind w:right="7510"/>
      <w:jc w:val="both"/>
    </w:pPr>
    <w:rPr>
      <w:rFonts w:ascii="Arial" w:hAnsi="Arial"/>
      <w:sz w:val="18"/>
      <w:szCs w:val="18"/>
    </w:rPr>
  </w:style>
  <w:style w:type="character" w:customStyle="1" w:styleId="corpsdetexteCar">
    <w:name w:val="corps de texte Car"/>
    <w:link w:val="corpsdetexte"/>
    <w:locked/>
    <w:rPr>
      <w:rFonts w:ascii="Arial" w:hAnsi="Arial"/>
      <w:sz w:val="18"/>
      <w:lang w:val="pt-PT" w:eastAsia="pt-PT"/>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customStyle="1" w:styleId="1">
    <w:name w:val="1"/>
    <w:basedOn w:val="Normal"/>
    <w:pPr>
      <w:spacing w:after="160" w:line="240" w:lineRule="exact"/>
    </w:pPr>
    <w:rPr>
      <w:rFonts w:ascii="Times New Roman" w:hAnsi="Times New Roman"/>
    </w:rPr>
  </w:style>
  <w:style w:type="paragraph" w:customStyle="1" w:styleId="Note">
    <w:name w:val="Note"/>
    <w:basedOn w:val="Textodecuerpo"/>
    <w:pPr>
      <w:spacing w:before="60" w:after="0"/>
      <w:ind w:right="4649"/>
      <w:jc w:val="both"/>
    </w:pPr>
    <w:rPr>
      <w:rFonts w:cs="Verdana"/>
      <w:i/>
      <w:sz w:val="16"/>
      <w:szCs w:val="16"/>
    </w:rPr>
  </w:style>
  <w:style w:type="paragraph" w:customStyle="1" w:styleId="Bulletpoint">
    <w:name w:val="Bullet point"/>
    <w:basedOn w:val="Textodecuerpo"/>
    <w:link w:val="BulletpointCar"/>
    <w:pPr>
      <w:numPr>
        <w:numId w:val="6"/>
      </w:numPr>
      <w:spacing w:after="60"/>
      <w:ind w:right="4649"/>
      <w:jc w:val="both"/>
    </w:pPr>
    <w:rPr>
      <w:rFonts w:cs="Verdana"/>
      <w:sz w:val="18"/>
      <w:szCs w:val="18"/>
    </w:rPr>
  </w:style>
  <w:style w:type="character" w:customStyle="1" w:styleId="BulletpointCar">
    <w:name w:val="Bullet point Car"/>
    <w:link w:val="Bulletpoint"/>
    <w:locked/>
    <w:rPr>
      <w:rFonts w:ascii="Arial" w:hAnsi="Arial"/>
      <w:sz w:val="18"/>
      <w:lang w:val="pt-PT" w:eastAsia="pt-PT"/>
    </w:rPr>
  </w:style>
  <w:style w:type="paragraph" w:customStyle="1" w:styleId="Titreinfo">
    <w:name w:val="Titre info"/>
    <w:basedOn w:val="Textodecuerpo"/>
    <w:next w:val="Textodecuerpo"/>
    <w:pPr>
      <w:keepNext/>
      <w:spacing w:after="60"/>
      <w:ind w:right="4649"/>
      <w:jc w:val="both"/>
    </w:pPr>
    <w:rPr>
      <w:rFonts w:cs="Verdana"/>
      <w:b/>
      <w:color w:val="333399"/>
      <w:sz w:val="18"/>
      <w:szCs w:val="18"/>
    </w:rPr>
  </w:style>
  <w:style w:type="paragraph" w:customStyle="1" w:styleId="Titre4">
    <w:name w:val="Titre4"/>
    <w:basedOn w:val="Normal"/>
    <w:next w:val="Textodecuerpo"/>
    <w:pPr>
      <w:keepNext/>
      <w:spacing w:before="240" w:after="120"/>
      <w:ind w:right="4649"/>
    </w:pPr>
    <w:rPr>
      <w:rFonts w:ascii="Arial" w:hAnsi="Arial"/>
      <w:b/>
      <w:bCs/>
      <w:color w:val="333399"/>
      <w:sz w:val="22"/>
    </w:rPr>
  </w:style>
  <w:style w:type="character" w:styleId="Hipervnculovisitado">
    <w:name w:val="FollowedHyperlink"/>
    <w:basedOn w:val="Fuentedeprrafopredeter"/>
    <w:uiPriority w:val="99"/>
    <w:rPr>
      <w:rFonts w:cs="Times New Roman"/>
      <w:color w:val="800080"/>
      <w:u w:val="single"/>
      <w:lang w:val="pt-PT" w:eastAsia="pt-PT"/>
    </w:rPr>
  </w:style>
  <w:style w:type="paragraph" w:customStyle="1" w:styleId="CarChar">
    <w:name w:val="Car Char"/>
    <w:basedOn w:val="Normal"/>
    <w:pPr>
      <w:spacing w:after="160" w:line="240" w:lineRule="exact"/>
    </w:pPr>
    <w:rPr>
      <w:rFonts w:ascii="Times New Roman" w:hAnsi="Times New Roman"/>
    </w:rPr>
  </w:style>
  <w:style w:type="character" w:customStyle="1" w:styleId="summarynews1">
    <w:name w:val="summary_news1"/>
    <w:rPr>
      <w:rFonts w:ascii="Arial" w:hAnsi="Arial"/>
      <w:color w:val="666666"/>
      <w:sz w:val="21"/>
      <w:lang w:val="pt-PT" w:eastAsia="pt-PT"/>
    </w:rPr>
  </w:style>
  <w:style w:type="character" w:styleId="Refdecomentario">
    <w:name w:val="annotation reference"/>
    <w:basedOn w:val="Fuentedeprrafopredeter"/>
    <w:uiPriority w:val="99"/>
    <w:semiHidden/>
    <w:unhideWhenUsed/>
    <w:rPr>
      <w:rFonts w:cs="Times New Roman"/>
      <w:sz w:val="16"/>
      <w:lang w:val="pt-PT" w:eastAsia="pt-PT"/>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locked/>
    <w:rPr>
      <w:rFonts w:ascii="Utopia" w:hAnsi="Utopia" w:cs="Times New Roman"/>
      <w:lang w:val="pt-PT" w:eastAsia="pt-PT"/>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locked/>
    <w:rPr>
      <w:rFonts w:ascii="Utopia" w:hAnsi="Utopia" w:cs="Times New Roman"/>
      <w:b/>
      <w:lang w:val="pt-PT" w:eastAsia="pt-PT"/>
    </w:rPr>
  </w:style>
  <w:style w:type="paragraph" w:styleId="Revisin">
    <w:name w:val="Revision"/>
    <w:hidden/>
    <w:uiPriority w:val="99"/>
    <w:semiHidden/>
    <w:rPr>
      <w:rFonts w:ascii="Utopia" w:hAnsi="Utopia" w:cs="Times New Roman"/>
      <w:lang w:val="pt-PT" w:eastAsia="pt-PT"/>
    </w:rPr>
  </w:style>
  <w:style w:type="paragraph" w:customStyle="1" w:styleId="Body1">
    <w:name w:val="Body 1"/>
    <w:rsid w:val="00AC577E"/>
    <w:pPr>
      <w:outlineLvl w:val="0"/>
    </w:pPr>
    <w:rPr>
      <w:rFonts w:ascii="Times New Roman" w:eastAsia="Arial Unicode MS" w:hAnsi="Times New Roman" w:cs="Times New Roman"/>
      <w:color w:val="000000"/>
      <w:sz w:val="24"/>
      <w:szCs w:val="24"/>
      <w:u w:color="000000"/>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www.michelin.com/e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com/eng" TargetMode="External"/><Relationship Id="rId10" Type="http://schemas.openxmlformats.org/officeDocument/2006/relationships/hyperlink" Target="http://www.michelin.com/e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B336-0EE3-0540-9549-33AC7D20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3960</Words>
  <Characters>21780</Characters>
  <Application>Microsoft Macintosh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PricewaterhouseCoopers</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FR064591</dc:creator>
  <cp:keywords/>
  <dc:description/>
  <cp:lastModifiedBy>Julio</cp:lastModifiedBy>
  <cp:revision>4</cp:revision>
  <cp:lastPrinted>2015-07-27T15:57:00Z</cp:lastPrinted>
  <dcterms:created xsi:type="dcterms:W3CDTF">2015-07-28T14:23:00Z</dcterms:created>
  <dcterms:modified xsi:type="dcterms:W3CDTF">2015-07-28T14:55:00Z</dcterms:modified>
</cp:coreProperties>
</file>