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61D17" w14:textId="552E4880" w:rsidR="00700DFB" w:rsidRPr="0033327A" w:rsidRDefault="009F7ED2">
      <w:pPr>
        <w:pStyle w:val="Cuerpo"/>
        <w:keepNext/>
        <w:spacing w:after="230"/>
        <w:jc w:val="right"/>
        <w:outlineLvl w:val="0"/>
        <w:rPr>
          <w:b/>
          <w:bCs/>
          <w:color w:val="808080"/>
          <w:u w:color="808080"/>
        </w:rPr>
      </w:pPr>
      <w:bookmarkStart w:id="0" w:name="_GoBack"/>
      <w:bookmarkEnd w:id="0"/>
      <w:r w:rsidRPr="0033327A">
        <w:rPr>
          <w:b/>
          <w:bCs/>
          <w:color w:val="808080"/>
          <w:u w:color="808080"/>
        </w:rPr>
        <w:t>INFORMACIÓN DE PRENSA</w:t>
      </w:r>
      <w:r w:rsidRPr="0033327A">
        <w:rPr>
          <w:b/>
          <w:bCs/>
          <w:color w:val="808080"/>
          <w:u w:color="808080"/>
        </w:rPr>
        <w:br/>
      </w:r>
      <w:r w:rsidR="00865F8A" w:rsidRPr="0033327A">
        <w:rPr>
          <w:color w:val="808080"/>
          <w:u w:color="808080"/>
        </w:rPr>
        <w:fldChar w:fldCharType="begin"/>
      </w:r>
      <w:r w:rsidR="00865F8A" w:rsidRPr="0033327A">
        <w:rPr>
          <w:color w:val="808080"/>
          <w:u w:color="808080"/>
        </w:rPr>
        <w:instrText xml:space="preserve"> TIME \@ "d/M/yyyy" </w:instrText>
      </w:r>
      <w:r w:rsidR="00865F8A" w:rsidRPr="0033327A">
        <w:rPr>
          <w:color w:val="808080"/>
          <w:u w:color="808080"/>
        </w:rPr>
        <w:fldChar w:fldCharType="separate"/>
      </w:r>
      <w:r w:rsidR="00812181">
        <w:rPr>
          <w:noProof/>
          <w:color w:val="808080"/>
          <w:u w:color="808080"/>
        </w:rPr>
        <w:t>17/2/2016</w:t>
      </w:r>
      <w:r w:rsidR="00865F8A" w:rsidRPr="0033327A">
        <w:rPr>
          <w:color w:val="808080"/>
          <w:u w:color="808080"/>
        </w:rPr>
        <w:fldChar w:fldCharType="end"/>
      </w:r>
    </w:p>
    <w:p w14:paraId="07D6F4D1" w14:textId="77777777" w:rsidR="00700DFB" w:rsidRPr="0033327A" w:rsidRDefault="00700DFB">
      <w:pPr>
        <w:pStyle w:val="TITULARMICHELIN"/>
        <w:spacing w:after="230"/>
        <w:rPr>
          <w:rFonts w:ascii="Arial" w:eastAsia="Arial" w:hAnsi="Arial" w:cs="Arial"/>
        </w:rPr>
      </w:pPr>
    </w:p>
    <w:p w14:paraId="5C7ABA42" w14:textId="41D49BBB" w:rsidR="00700DFB" w:rsidRPr="0033327A" w:rsidRDefault="009F7ED2">
      <w:pPr>
        <w:pStyle w:val="Cuerpo"/>
        <w:spacing w:after="120" w:line="360" w:lineRule="exact"/>
        <w:rPr>
          <w:b/>
          <w:bCs/>
          <w:color w:val="365F91"/>
          <w:sz w:val="28"/>
          <w:szCs w:val="28"/>
          <w:u w:color="365F91"/>
        </w:rPr>
      </w:pPr>
      <w:r w:rsidRPr="0033327A">
        <w:rPr>
          <w:b/>
          <w:bCs/>
          <w:color w:val="333399"/>
          <w:sz w:val="40"/>
          <w:szCs w:val="40"/>
          <w:u w:color="333399"/>
        </w:rPr>
        <w:t xml:space="preserve">Resultados financieros del Grupo Michelin </w:t>
      </w:r>
      <w:r w:rsidRPr="0033327A">
        <w:rPr>
          <w:b/>
          <w:bCs/>
          <w:color w:val="333399"/>
          <w:sz w:val="40"/>
          <w:szCs w:val="40"/>
          <w:u w:color="333399"/>
        </w:rPr>
        <w:br/>
      </w:r>
      <w:r w:rsidRPr="0033327A">
        <w:rPr>
          <w:b/>
          <w:bCs/>
          <w:color w:val="365F91"/>
          <w:sz w:val="28"/>
          <w:szCs w:val="28"/>
          <w:u w:color="365F91"/>
        </w:rPr>
        <w:t>Información financiera correspondiente al 31 de diciembre de 201</w:t>
      </w:r>
      <w:r w:rsidR="00D46DF5" w:rsidRPr="0033327A">
        <w:rPr>
          <w:b/>
          <w:bCs/>
          <w:color w:val="365F91"/>
          <w:sz w:val="28"/>
          <w:szCs w:val="28"/>
          <w:u w:color="365F91"/>
        </w:rPr>
        <w:t>5</w:t>
      </w:r>
    </w:p>
    <w:p w14:paraId="6B4868FD" w14:textId="77777777" w:rsidR="00700DFB" w:rsidRPr="0033327A" w:rsidRDefault="00700DFB">
      <w:pPr>
        <w:pStyle w:val="Cuerpo"/>
        <w:jc w:val="center"/>
        <w:rPr>
          <w:rFonts w:ascii="Verdana" w:eastAsia="Verdana" w:hAnsi="Verdana" w:cs="Verdana"/>
          <w:b/>
          <w:bCs/>
          <w:sz w:val="18"/>
          <w:szCs w:val="18"/>
        </w:rPr>
      </w:pPr>
    </w:p>
    <w:p w14:paraId="4942EF78" w14:textId="288357B9" w:rsidR="00C51627" w:rsidRPr="0033327A" w:rsidRDefault="00D46DF5" w:rsidP="006E473D">
      <w:pPr>
        <w:pStyle w:val="Cuerpo"/>
        <w:pBdr>
          <w:top w:val="single" w:sz="4" w:space="0" w:color="000000"/>
          <w:left w:val="single" w:sz="4" w:space="0" w:color="000000"/>
          <w:bottom w:val="single" w:sz="4" w:space="0" w:color="000000"/>
          <w:right w:val="single" w:sz="4" w:space="0" w:color="000000"/>
        </w:pBdr>
        <w:jc w:val="center"/>
        <w:rPr>
          <w:rFonts w:ascii="Arial" w:hAnsi="Arial"/>
          <w:b/>
          <w:bCs/>
          <w:sz w:val="22"/>
          <w:szCs w:val="22"/>
        </w:rPr>
      </w:pPr>
      <w:r w:rsidRPr="0033327A">
        <w:rPr>
          <w:rFonts w:ascii="Arial" w:hAnsi="Arial"/>
          <w:b/>
          <w:bCs/>
          <w:sz w:val="22"/>
          <w:szCs w:val="22"/>
          <w:u w:val="single"/>
        </w:rPr>
        <w:t>2015</w:t>
      </w:r>
      <w:r w:rsidR="009F7ED2" w:rsidRPr="0033327A">
        <w:rPr>
          <w:rFonts w:ascii="Arial" w:hAnsi="Arial"/>
          <w:b/>
          <w:bCs/>
          <w:sz w:val="22"/>
          <w:szCs w:val="22"/>
        </w:rPr>
        <w:t xml:space="preserve">: </w:t>
      </w:r>
      <w:r w:rsidR="00C51627" w:rsidRPr="0033327A">
        <w:rPr>
          <w:rFonts w:ascii="Arial" w:hAnsi="Arial"/>
          <w:b/>
          <w:bCs/>
          <w:sz w:val="22"/>
          <w:szCs w:val="22"/>
        </w:rPr>
        <w:t>F</w:t>
      </w:r>
      <w:r w:rsidR="0056077B" w:rsidRPr="0033327A">
        <w:rPr>
          <w:rFonts w:ascii="Arial" w:hAnsi="Arial"/>
          <w:b/>
          <w:bCs/>
          <w:sz w:val="22"/>
          <w:szCs w:val="22"/>
        </w:rPr>
        <w:t xml:space="preserve">uerte generación de </w:t>
      </w:r>
      <w:r w:rsidR="0056077B" w:rsidRPr="0033327A">
        <w:rPr>
          <w:rFonts w:ascii="Arial" w:hAnsi="Arial"/>
          <w:b/>
          <w:bCs/>
          <w:i/>
          <w:sz w:val="22"/>
          <w:szCs w:val="22"/>
        </w:rPr>
        <w:t>c</w:t>
      </w:r>
      <w:r w:rsidR="00C51627" w:rsidRPr="0033327A">
        <w:rPr>
          <w:rFonts w:ascii="Arial" w:hAnsi="Arial"/>
          <w:b/>
          <w:bCs/>
          <w:i/>
          <w:sz w:val="22"/>
          <w:szCs w:val="22"/>
        </w:rPr>
        <w:t xml:space="preserve">ash flow </w:t>
      </w:r>
      <w:r w:rsidR="00C51627" w:rsidRPr="0033327A">
        <w:rPr>
          <w:rFonts w:ascii="Arial" w:hAnsi="Arial"/>
          <w:b/>
          <w:bCs/>
          <w:sz w:val="22"/>
          <w:szCs w:val="22"/>
        </w:rPr>
        <w:t xml:space="preserve">libre </w:t>
      </w:r>
      <w:r w:rsidR="0056077B" w:rsidRPr="0033327A">
        <w:rPr>
          <w:rFonts w:ascii="Arial" w:hAnsi="Arial"/>
          <w:b/>
          <w:bCs/>
          <w:sz w:val="22"/>
          <w:szCs w:val="22"/>
        </w:rPr>
        <w:t xml:space="preserve">antes de adquisiciones, </w:t>
      </w:r>
      <w:r w:rsidR="0056077B" w:rsidRPr="0033327A">
        <w:rPr>
          <w:rFonts w:ascii="Arial" w:hAnsi="Arial"/>
          <w:b/>
          <w:bCs/>
          <w:sz w:val="22"/>
          <w:szCs w:val="22"/>
        </w:rPr>
        <w:br/>
      </w:r>
      <w:r w:rsidR="003B7432" w:rsidRPr="0033327A">
        <w:rPr>
          <w:rFonts w:ascii="Arial" w:hAnsi="Arial"/>
          <w:b/>
          <w:bCs/>
          <w:sz w:val="22"/>
          <w:szCs w:val="22"/>
        </w:rPr>
        <w:t>de</w:t>
      </w:r>
      <w:r w:rsidR="0056077B" w:rsidRPr="0033327A">
        <w:rPr>
          <w:rFonts w:ascii="Arial" w:hAnsi="Arial"/>
          <w:b/>
          <w:bCs/>
          <w:sz w:val="22"/>
          <w:szCs w:val="22"/>
        </w:rPr>
        <w:t xml:space="preserve"> 965 mill</w:t>
      </w:r>
      <w:r w:rsidR="00C51627" w:rsidRPr="0033327A">
        <w:rPr>
          <w:rFonts w:ascii="Arial" w:hAnsi="Arial"/>
          <w:b/>
          <w:bCs/>
          <w:sz w:val="22"/>
          <w:szCs w:val="22"/>
        </w:rPr>
        <w:t>on</w:t>
      </w:r>
      <w:r w:rsidR="0056077B" w:rsidRPr="0033327A">
        <w:rPr>
          <w:rFonts w:ascii="Arial" w:hAnsi="Arial"/>
          <w:b/>
          <w:bCs/>
          <w:sz w:val="22"/>
          <w:szCs w:val="22"/>
        </w:rPr>
        <w:t>es de euros</w:t>
      </w:r>
      <w:r w:rsidR="003B7432" w:rsidRPr="0033327A">
        <w:rPr>
          <w:rFonts w:ascii="Arial" w:hAnsi="Arial"/>
          <w:b/>
          <w:bCs/>
          <w:sz w:val="22"/>
          <w:szCs w:val="22"/>
        </w:rPr>
        <w:t>.</w:t>
      </w:r>
      <w:r w:rsidR="00C51627" w:rsidRPr="0033327A">
        <w:rPr>
          <w:rFonts w:ascii="MingLiU" w:eastAsia="MingLiU" w:hAnsi="MingLiU" w:cs="MingLiU"/>
          <w:b/>
          <w:bCs/>
          <w:sz w:val="22"/>
          <w:szCs w:val="22"/>
        </w:rPr>
        <w:br/>
      </w:r>
      <w:r w:rsidR="00C51627" w:rsidRPr="0033327A">
        <w:rPr>
          <w:rFonts w:ascii="Arial" w:hAnsi="Arial"/>
          <w:b/>
          <w:bCs/>
          <w:sz w:val="22"/>
          <w:szCs w:val="22"/>
        </w:rPr>
        <w:t>Volume</w:t>
      </w:r>
      <w:r w:rsidR="005E405B" w:rsidRPr="0033327A">
        <w:rPr>
          <w:rFonts w:ascii="Arial" w:hAnsi="Arial"/>
          <w:b/>
          <w:bCs/>
          <w:sz w:val="22"/>
          <w:szCs w:val="22"/>
        </w:rPr>
        <w:t>n</w:t>
      </w:r>
      <w:r w:rsidR="00C51627" w:rsidRPr="0033327A">
        <w:rPr>
          <w:rFonts w:ascii="Arial" w:hAnsi="Arial"/>
          <w:b/>
          <w:bCs/>
          <w:sz w:val="22"/>
          <w:szCs w:val="22"/>
        </w:rPr>
        <w:t xml:space="preserve"> en </w:t>
      </w:r>
      <w:r w:rsidR="005E405B" w:rsidRPr="0033327A">
        <w:rPr>
          <w:rFonts w:ascii="Arial" w:hAnsi="Arial"/>
          <w:b/>
          <w:bCs/>
          <w:sz w:val="22"/>
          <w:szCs w:val="22"/>
        </w:rPr>
        <w:t xml:space="preserve">crecimiento del </w:t>
      </w:r>
      <w:r w:rsidR="00C51627" w:rsidRPr="0033327A">
        <w:rPr>
          <w:rFonts w:ascii="Arial" w:hAnsi="Arial"/>
          <w:b/>
          <w:bCs/>
          <w:sz w:val="22"/>
          <w:szCs w:val="22"/>
        </w:rPr>
        <w:t xml:space="preserve">3,2 %, </w:t>
      </w:r>
      <w:r w:rsidR="005E405B" w:rsidRPr="0033327A">
        <w:rPr>
          <w:rFonts w:ascii="Arial" w:hAnsi="Arial"/>
          <w:b/>
          <w:bCs/>
          <w:sz w:val="22"/>
          <w:szCs w:val="22"/>
        </w:rPr>
        <w:t>superior a los mercados</w:t>
      </w:r>
      <w:r w:rsidR="00C51627" w:rsidRPr="0033327A">
        <w:rPr>
          <w:rFonts w:ascii="Arial" w:hAnsi="Arial"/>
          <w:b/>
          <w:bCs/>
          <w:sz w:val="22"/>
          <w:szCs w:val="22"/>
        </w:rPr>
        <w:t xml:space="preserve">, </w:t>
      </w:r>
      <w:r w:rsidR="00C51627" w:rsidRPr="0033327A">
        <w:rPr>
          <w:rFonts w:ascii="MingLiU" w:eastAsia="MingLiU" w:hAnsi="MingLiU" w:cs="MingLiU"/>
          <w:b/>
          <w:bCs/>
          <w:sz w:val="22"/>
          <w:szCs w:val="22"/>
        </w:rPr>
        <w:br/>
      </w:r>
      <w:r w:rsidR="005E405B" w:rsidRPr="0033327A">
        <w:rPr>
          <w:rFonts w:ascii="Arial" w:hAnsi="Arial"/>
          <w:b/>
          <w:bCs/>
          <w:sz w:val="22"/>
          <w:szCs w:val="22"/>
        </w:rPr>
        <w:t>Resultado operativo antes de elementos no recurrentes de 2.</w:t>
      </w:r>
      <w:r w:rsidR="00C51627" w:rsidRPr="0033327A">
        <w:rPr>
          <w:rFonts w:ascii="Arial" w:hAnsi="Arial"/>
          <w:b/>
          <w:bCs/>
          <w:sz w:val="22"/>
          <w:szCs w:val="22"/>
        </w:rPr>
        <w:t xml:space="preserve">577 </w:t>
      </w:r>
      <w:r w:rsidR="003B7432" w:rsidRPr="0033327A">
        <w:rPr>
          <w:rFonts w:ascii="Arial" w:hAnsi="Arial"/>
          <w:b/>
          <w:bCs/>
          <w:sz w:val="22"/>
          <w:szCs w:val="22"/>
        </w:rPr>
        <w:t>millones de euros y</w:t>
      </w:r>
      <w:r w:rsidR="00C51627" w:rsidRPr="0033327A">
        <w:rPr>
          <w:rFonts w:ascii="Arial" w:hAnsi="Arial"/>
          <w:b/>
          <w:bCs/>
          <w:sz w:val="22"/>
          <w:szCs w:val="22"/>
        </w:rPr>
        <w:t xml:space="preserve"> 12,2 % </w:t>
      </w:r>
      <w:r w:rsidR="003B7432" w:rsidRPr="0033327A">
        <w:rPr>
          <w:rFonts w:ascii="Arial" w:hAnsi="Arial"/>
          <w:b/>
          <w:bCs/>
          <w:sz w:val="22"/>
          <w:szCs w:val="22"/>
        </w:rPr>
        <w:t xml:space="preserve">de las ventas netas, en incremento de </w:t>
      </w:r>
      <w:r w:rsidR="00E4679C" w:rsidRPr="0033327A">
        <w:rPr>
          <w:rFonts w:ascii="Arial" w:hAnsi="Arial"/>
          <w:b/>
          <w:bCs/>
          <w:sz w:val="22"/>
          <w:szCs w:val="22"/>
        </w:rPr>
        <w:t>407 mill</w:t>
      </w:r>
      <w:r w:rsidR="00C51627" w:rsidRPr="0033327A">
        <w:rPr>
          <w:rFonts w:ascii="Arial" w:hAnsi="Arial"/>
          <w:b/>
          <w:bCs/>
          <w:sz w:val="22"/>
          <w:szCs w:val="22"/>
        </w:rPr>
        <w:t>on</w:t>
      </w:r>
      <w:r w:rsidR="00E4679C" w:rsidRPr="0033327A">
        <w:rPr>
          <w:rFonts w:ascii="Arial" w:hAnsi="Arial"/>
          <w:b/>
          <w:bCs/>
          <w:sz w:val="22"/>
          <w:szCs w:val="22"/>
        </w:rPr>
        <w:t>es de euros</w:t>
      </w:r>
      <w:r w:rsidR="00C51627" w:rsidRPr="0033327A">
        <w:rPr>
          <w:rFonts w:ascii="Arial" w:hAnsi="Arial"/>
          <w:b/>
          <w:bCs/>
          <w:sz w:val="22"/>
          <w:szCs w:val="22"/>
        </w:rPr>
        <w:t>.</w:t>
      </w:r>
    </w:p>
    <w:p w14:paraId="71CAB7C6" w14:textId="77777777" w:rsidR="00C51627" w:rsidRPr="0033327A" w:rsidRDefault="00C51627" w:rsidP="00C51627">
      <w:pPr>
        <w:pStyle w:val="Cuerpo"/>
        <w:pBdr>
          <w:top w:val="single" w:sz="4" w:space="0" w:color="000000"/>
          <w:left w:val="single" w:sz="4" w:space="0" w:color="000000"/>
          <w:bottom w:val="single" w:sz="4" w:space="0" w:color="000000"/>
          <w:right w:val="single" w:sz="4" w:space="0" w:color="000000"/>
        </w:pBdr>
        <w:rPr>
          <w:rFonts w:ascii="Arial" w:hAnsi="Arial"/>
          <w:b/>
          <w:bCs/>
          <w:sz w:val="22"/>
          <w:szCs w:val="22"/>
        </w:rPr>
      </w:pPr>
    </w:p>
    <w:p w14:paraId="5664168D" w14:textId="076EBEE1" w:rsidR="00700DFB" w:rsidRPr="0033327A" w:rsidRDefault="00C51627" w:rsidP="007F134F">
      <w:pPr>
        <w:pStyle w:val="Cuerpo"/>
        <w:pBdr>
          <w:top w:val="single" w:sz="4" w:space="0" w:color="000000"/>
          <w:left w:val="single" w:sz="4" w:space="0" w:color="000000"/>
          <w:bottom w:val="single" w:sz="4" w:space="0" w:color="000000"/>
          <w:right w:val="single" w:sz="4" w:space="0" w:color="000000"/>
        </w:pBdr>
        <w:spacing w:after="120"/>
        <w:jc w:val="center"/>
        <w:rPr>
          <w:rFonts w:ascii="Arial" w:hAnsi="Arial"/>
          <w:b/>
          <w:bCs/>
          <w:sz w:val="22"/>
          <w:szCs w:val="22"/>
        </w:rPr>
      </w:pPr>
      <w:r w:rsidRPr="0033327A">
        <w:rPr>
          <w:rFonts w:ascii="Arial" w:hAnsi="Arial"/>
          <w:b/>
          <w:bCs/>
          <w:sz w:val="22"/>
          <w:szCs w:val="22"/>
          <w:u w:val="single"/>
        </w:rPr>
        <w:t>2016</w:t>
      </w:r>
      <w:r w:rsidRPr="0033327A">
        <w:rPr>
          <w:rFonts w:ascii="Arial" w:hAnsi="Arial"/>
          <w:b/>
          <w:bCs/>
          <w:sz w:val="22"/>
          <w:szCs w:val="22"/>
        </w:rPr>
        <w:t xml:space="preserve">: </w:t>
      </w:r>
      <w:r w:rsidR="00E4679C" w:rsidRPr="0033327A">
        <w:rPr>
          <w:rFonts w:ascii="Arial" w:hAnsi="Arial"/>
          <w:b/>
          <w:bCs/>
          <w:sz w:val="22"/>
          <w:szCs w:val="22"/>
        </w:rPr>
        <w:t xml:space="preserve">Continuará el crecimiento de los volúmenes </w:t>
      </w:r>
      <w:r w:rsidR="007F134F" w:rsidRPr="0033327A">
        <w:rPr>
          <w:rFonts w:ascii="Arial" w:hAnsi="Arial"/>
          <w:b/>
          <w:bCs/>
          <w:sz w:val="22"/>
          <w:szCs w:val="22"/>
        </w:rPr>
        <w:br/>
        <w:t xml:space="preserve">Resultado operativo antes de elementos no recurrentes al alza, </w:t>
      </w:r>
      <w:r w:rsidR="00E71316" w:rsidRPr="0033327A">
        <w:rPr>
          <w:rFonts w:ascii="Arial" w:hAnsi="Arial"/>
          <w:b/>
          <w:bCs/>
          <w:sz w:val="22"/>
          <w:szCs w:val="22"/>
        </w:rPr>
        <w:br/>
      </w:r>
      <w:r w:rsidR="007F134F" w:rsidRPr="0033327A">
        <w:rPr>
          <w:rFonts w:ascii="Arial" w:hAnsi="Arial"/>
          <w:b/>
          <w:bCs/>
          <w:sz w:val="22"/>
          <w:szCs w:val="22"/>
        </w:rPr>
        <w:t>exceptuando el efecto del cambio</w:t>
      </w:r>
      <w:r w:rsidR="009F7ED2" w:rsidRPr="0033327A">
        <w:rPr>
          <w:rFonts w:ascii="Arial" w:hAnsi="Arial"/>
          <w:b/>
          <w:bCs/>
          <w:sz w:val="22"/>
          <w:szCs w:val="22"/>
        </w:rPr>
        <w:t>.</w:t>
      </w:r>
    </w:p>
    <w:p w14:paraId="58C20F17" w14:textId="77777777" w:rsidR="00700DFB" w:rsidRPr="0033327A" w:rsidRDefault="00700DFB">
      <w:pPr>
        <w:pStyle w:val="Cuerpo"/>
        <w:spacing w:after="120" w:line="240" w:lineRule="atLeast"/>
        <w:rPr>
          <w:b/>
          <w:bCs/>
          <w:i/>
          <w:iCs/>
          <w:sz w:val="25"/>
          <w:szCs w:val="25"/>
        </w:rPr>
      </w:pPr>
    </w:p>
    <w:p w14:paraId="27C9C677" w14:textId="714C7A8F" w:rsidR="00700DFB" w:rsidRPr="0033327A" w:rsidRDefault="007F134F" w:rsidP="00D5131A">
      <w:pPr>
        <w:pStyle w:val="Cuerpo"/>
        <w:numPr>
          <w:ilvl w:val="0"/>
          <w:numId w:val="1"/>
        </w:numPr>
        <w:tabs>
          <w:tab w:val="left" w:pos="360"/>
        </w:tabs>
        <w:spacing w:after="120" w:line="240" w:lineRule="atLeast"/>
        <w:ind w:left="346" w:hanging="346"/>
        <w:rPr>
          <w:rFonts w:ascii="Times New Roman" w:eastAsia="Times New Roman" w:hAnsi="Times New Roman" w:cs="Times New Roman"/>
          <w:b/>
          <w:bCs/>
          <w:i/>
          <w:iCs/>
        </w:rPr>
      </w:pPr>
      <w:r w:rsidRPr="0033327A">
        <w:rPr>
          <w:b/>
          <w:bCs/>
          <w:i/>
          <w:iCs/>
          <w:sz w:val="25"/>
          <w:szCs w:val="25"/>
        </w:rPr>
        <w:t>Volumen en crecimiento del 3,2 %, superior a los mercados</w:t>
      </w:r>
      <w:r w:rsidR="00285415" w:rsidRPr="0033327A">
        <w:rPr>
          <w:b/>
          <w:bCs/>
          <w:i/>
          <w:iCs/>
          <w:sz w:val="25"/>
          <w:szCs w:val="25"/>
        </w:rPr>
        <w:t xml:space="preserve"> para todas las actividades, especialmente en Turismo Camioneta </w:t>
      </w:r>
      <w:r w:rsidR="006E473D" w:rsidRPr="0033327A">
        <w:rPr>
          <w:b/>
          <w:bCs/>
          <w:i/>
          <w:iCs/>
          <w:sz w:val="25"/>
          <w:szCs w:val="25"/>
        </w:rPr>
        <w:t>(+</w:t>
      </w:r>
      <w:r w:rsidR="00285415" w:rsidRPr="0033327A">
        <w:rPr>
          <w:b/>
          <w:bCs/>
          <w:i/>
          <w:iCs/>
          <w:sz w:val="25"/>
          <w:szCs w:val="25"/>
        </w:rPr>
        <w:t xml:space="preserve"> </w:t>
      </w:r>
      <w:r w:rsidR="006E473D" w:rsidRPr="0033327A">
        <w:rPr>
          <w:b/>
          <w:bCs/>
          <w:i/>
          <w:iCs/>
          <w:sz w:val="25"/>
          <w:szCs w:val="25"/>
        </w:rPr>
        <w:t>6,7</w:t>
      </w:r>
      <w:r w:rsidR="00285415" w:rsidRPr="0033327A">
        <w:rPr>
          <w:b/>
          <w:bCs/>
          <w:i/>
          <w:iCs/>
          <w:sz w:val="25"/>
          <w:szCs w:val="25"/>
        </w:rPr>
        <w:t xml:space="preserve"> </w:t>
      </w:r>
      <w:r w:rsidR="006E473D" w:rsidRPr="0033327A">
        <w:rPr>
          <w:b/>
          <w:bCs/>
          <w:i/>
          <w:iCs/>
          <w:sz w:val="25"/>
          <w:szCs w:val="25"/>
        </w:rPr>
        <w:t>%)</w:t>
      </w:r>
      <w:r w:rsidR="009F7ED2" w:rsidRPr="0033327A">
        <w:rPr>
          <w:b/>
          <w:bCs/>
          <w:i/>
          <w:iCs/>
          <w:sz w:val="25"/>
          <w:szCs w:val="25"/>
        </w:rPr>
        <w:t>.</w:t>
      </w:r>
    </w:p>
    <w:p w14:paraId="02CF864C" w14:textId="355F0D86" w:rsidR="00700DFB" w:rsidRPr="004961B0" w:rsidRDefault="006523F5" w:rsidP="00BD06E7">
      <w:pPr>
        <w:pStyle w:val="Cuerpo"/>
        <w:numPr>
          <w:ilvl w:val="0"/>
          <w:numId w:val="14"/>
        </w:numPr>
        <w:spacing w:after="120" w:line="240" w:lineRule="atLeast"/>
        <w:ind w:left="851"/>
        <w:rPr>
          <w:rFonts w:ascii="Times New Roman" w:eastAsia="Times New Roman" w:hAnsi="Times New Roman" w:cs="Times New Roman"/>
          <w:b/>
          <w:bCs/>
          <w:i/>
          <w:iCs/>
        </w:rPr>
      </w:pPr>
      <w:r w:rsidRPr="0033327A">
        <w:rPr>
          <w:b/>
          <w:bCs/>
          <w:i/>
          <w:iCs/>
          <w:sz w:val="25"/>
          <w:szCs w:val="25"/>
        </w:rPr>
        <w:t>Crecimiento en el cu</w:t>
      </w:r>
      <w:r w:rsidR="00B5678C" w:rsidRPr="0033327A">
        <w:rPr>
          <w:b/>
          <w:bCs/>
          <w:i/>
          <w:iCs/>
          <w:sz w:val="25"/>
          <w:szCs w:val="25"/>
        </w:rPr>
        <w:t xml:space="preserve">atro </w:t>
      </w:r>
      <w:r w:rsidR="006E473D" w:rsidRPr="0033327A">
        <w:rPr>
          <w:b/>
          <w:bCs/>
          <w:i/>
          <w:iCs/>
          <w:sz w:val="25"/>
          <w:szCs w:val="25"/>
        </w:rPr>
        <w:t>trimestre de</w:t>
      </w:r>
      <w:r w:rsidR="00B5678C" w:rsidRPr="0033327A">
        <w:rPr>
          <w:b/>
          <w:bCs/>
          <w:i/>
          <w:iCs/>
          <w:sz w:val="25"/>
          <w:szCs w:val="25"/>
        </w:rPr>
        <w:t>l</w:t>
      </w:r>
      <w:r w:rsidR="006E473D" w:rsidRPr="0033327A">
        <w:rPr>
          <w:b/>
          <w:bCs/>
          <w:i/>
          <w:iCs/>
          <w:sz w:val="25"/>
          <w:szCs w:val="25"/>
        </w:rPr>
        <w:t xml:space="preserve"> 4,2  % p</w:t>
      </w:r>
      <w:r w:rsidR="0053319D">
        <w:rPr>
          <w:b/>
          <w:bCs/>
          <w:i/>
          <w:iCs/>
          <w:sz w:val="25"/>
          <w:szCs w:val="25"/>
        </w:rPr>
        <w:t xml:space="preserve">ara el </w:t>
      </w:r>
      <w:r w:rsidR="00B5678C" w:rsidRPr="0033327A">
        <w:rPr>
          <w:b/>
          <w:bCs/>
          <w:i/>
          <w:iCs/>
          <w:sz w:val="25"/>
          <w:szCs w:val="25"/>
        </w:rPr>
        <w:t xml:space="preserve">Grupo </w:t>
      </w:r>
      <w:r w:rsidR="00B5678C" w:rsidRPr="004961B0">
        <w:rPr>
          <w:b/>
          <w:bCs/>
          <w:i/>
          <w:iCs/>
          <w:sz w:val="25"/>
          <w:szCs w:val="25"/>
        </w:rPr>
        <w:t>y del</w:t>
      </w:r>
      <w:r w:rsidR="006E473D" w:rsidRPr="004961B0">
        <w:rPr>
          <w:b/>
          <w:bCs/>
          <w:i/>
          <w:iCs/>
          <w:sz w:val="25"/>
          <w:szCs w:val="25"/>
        </w:rPr>
        <w:t xml:space="preserve"> 8,7 % </w:t>
      </w:r>
      <w:r w:rsidR="004961B0">
        <w:rPr>
          <w:b/>
          <w:bCs/>
          <w:i/>
          <w:iCs/>
          <w:sz w:val="25"/>
          <w:szCs w:val="25"/>
        </w:rPr>
        <w:br/>
      </w:r>
      <w:r w:rsidR="00B5678C" w:rsidRPr="004961B0">
        <w:rPr>
          <w:b/>
          <w:bCs/>
          <w:i/>
          <w:iCs/>
          <w:sz w:val="25"/>
          <w:szCs w:val="25"/>
        </w:rPr>
        <w:t>en Turismo Camioneta</w:t>
      </w:r>
      <w:r w:rsidR="009F7ED2" w:rsidRPr="004961B0">
        <w:rPr>
          <w:b/>
          <w:bCs/>
          <w:i/>
          <w:iCs/>
          <w:sz w:val="25"/>
          <w:szCs w:val="25"/>
        </w:rPr>
        <w:t>.</w:t>
      </w:r>
    </w:p>
    <w:p w14:paraId="648B35C7" w14:textId="36FA07D7" w:rsidR="00E47DE3" w:rsidRPr="0033327A" w:rsidRDefault="00674357" w:rsidP="00E47DE3">
      <w:pPr>
        <w:pStyle w:val="Cuerpo"/>
        <w:numPr>
          <w:ilvl w:val="0"/>
          <w:numId w:val="1"/>
        </w:numPr>
        <w:tabs>
          <w:tab w:val="left" w:pos="360"/>
        </w:tabs>
        <w:spacing w:after="120" w:line="240" w:lineRule="atLeast"/>
        <w:ind w:left="346" w:hanging="346"/>
        <w:rPr>
          <w:b/>
          <w:bCs/>
          <w:i/>
          <w:iCs/>
          <w:sz w:val="25"/>
          <w:szCs w:val="25"/>
        </w:rPr>
      </w:pPr>
      <w:r w:rsidRPr="0033327A">
        <w:rPr>
          <w:b/>
          <w:bCs/>
          <w:i/>
          <w:iCs/>
          <w:sz w:val="25"/>
          <w:szCs w:val="25"/>
        </w:rPr>
        <w:t>Fuerte generación de cash flow libre</w:t>
      </w:r>
      <w:r w:rsidR="00A654DE" w:rsidRPr="0033327A">
        <w:rPr>
          <w:b/>
          <w:bCs/>
          <w:i/>
          <w:iCs/>
          <w:sz w:val="25"/>
          <w:szCs w:val="25"/>
        </w:rPr>
        <w:t xml:space="preserve"> </w:t>
      </w:r>
      <w:r w:rsidRPr="0033327A">
        <w:rPr>
          <w:b/>
          <w:bCs/>
          <w:i/>
          <w:iCs/>
          <w:sz w:val="25"/>
          <w:szCs w:val="25"/>
        </w:rPr>
        <w:t>de 965 millones de euros</w:t>
      </w:r>
      <w:r w:rsidR="00A654DE" w:rsidRPr="0033327A">
        <w:rPr>
          <w:b/>
          <w:bCs/>
          <w:i/>
          <w:iCs/>
          <w:sz w:val="25"/>
          <w:szCs w:val="25"/>
        </w:rPr>
        <w:t>,</w:t>
      </w:r>
      <w:r w:rsidR="00E47DE3" w:rsidRPr="0033327A">
        <w:rPr>
          <w:b/>
          <w:bCs/>
          <w:i/>
          <w:iCs/>
          <w:sz w:val="25"/>
          <w:szCs w:val="25"/>
        </w:rPr>
        <w:t xml:space="preserve"> </w:t>
      </w:r>
      <w:r w:rsidR="00A654DE" w:rsidRPr="0033327A">
        <w:rPr>
          <w:b/>
          <w:bCs/>
          <w:i/>
          <w:iCs/>
          <w:sz w:val="25"/>
          <w:szCs w:val="25"/>
        </w:rPr>
        <w:t>exceptuando adquisiciones</w:t>
      </w:r>
      <w:r w:rsidR="00E47DE3" w:rsidRPr="0033327A">
        <w:rPr>
          <w:b/>
          <w:bCs/>
          <w:i/>
          <w:iCs/>
          <w:sz w:val="25"/>
          <w:szCs w:val="25"/>
        </w:rPr>
        <w:t xml:space="preserve"> (312 millon</w:t>
      </w:r>
      <w:r w:rsidR="00A654DE" w:rsidRPr="0033327A">
        <w:rPr>
          <w:b/>
          <w:bCs/>
          <w:i/>
          <w:iCs/>
          <w:sz w:val="25"/>
          <w:szCs w:val="25"/>
        </w:rPr>
        <w:t>e</w:t>
      </w:r>
      <w:r w:rsidR="00E47DE3" w:rsidRPr="0033327A">
        <w:rPr>
          <w:b/>
          <w:bCs/>
          <w:i/>
          <w:iCs/>
          <w:sz w:val="25"/>
          <w:szCs w:val="25"/>
        </w:rPr>
        <w:t xml:space="preserve">s </w:t>
      </w:r>
      <w:r w:rsidR="00A654DE" w:rsidRPr="0033327A">
        <w:rPr>
          <w:b/>
          <w:bCs/>
          <w:i/>
          <w:iCs/>
          <w:sz w:val="25"/>
          <w:szCs w:val="25"/>
        </w:rPr>
        <w:t>de euros</w:t>
      </w:r>
      <w:r w:rsidR="00E47DE3" w:rsidRPr="0033327A">
        <w:rPr>
          <w:b/>
          <w:bCs/>
          <w:i/>
          <w:iCs/>
          <w:sz w:val="25"/>
          <w:szCs w:val="25"/>
        </w:rPr>
        <w:t xml:space="preserve">), </w:t>
      </w:r>
      <w:r w:rsidR="00A654DE" w:rsidRPr="0033327A">
        <w:rPr>
          <w:b/>
          <w:bCs/>
          <w:i/>
          <w:iCs/>
          <w:sz w:val="25"/>
          <w:szCs w:val="25"/>
        </w:rPr>
        <w:t>teniendo en cuenta inversiones de</w:t>
      </w:r>
      <w:r w:rsidR="00E47DE3" w:rsidRPr="0033327A">
        <w:rPr>
          <w:b/>
          <w:bCs/>
          <w:i/>
          <w:iCs/>
          <w:sz w:val="25"/>
          <w:szCs w:val="25"/>
        </w:rPr>
        <w:t xml:space="preserve"> 1</w:t>
      </w:r>
      <w:r w:rsidR="00A654DE" w:rsidRPr="0033327A">
        <w:rPr>
          <w:b/>
          <w:bCs/>
          <w:i/>
          <w:iCs/>
          <w:sz w:val="25"/>
          <w:szCs w:val="25"/>
        </w:rPr>
        <w:t>.</w:t>
      </w:r>
      <w:r w:rsidR="00E47DE3" w:rsidRPr="0033327A">
        <w:rPr>
          <w:b/>
          <w:bCs/>
          <w:i/>
          <w:iCs/>
          <w:sz w:val="25"/>
          <w:szCs w:val="25"/>
        </w:rPr>
        <w:t xml:space="preserve">804 </w:t>
      </w:r>
      <w:r w:rsidR="00A654DE" w:rsidRPr="0033327A">
        <w:rPr>
          <w:b/>
          <w:bCs/>
          <w:i/>
          <w:iCs/>
          <w:sz w:val="25"/>
          <w:szCs w:val="25"/>
        </w:rPr>
        <w:t xml:space="preserve">millones de euros </w:t>
      </w:r>
      <w:r w:rsidR="000B59B7" w:rsidRPr="0033327A">
        <w:rPr>
          <w:b/>
          <w:bCs/>
          <w:i/>
          <w:iCs/>
          <w:sz w:val="25"/>
          <w:szCs w:val="25"/>
        </w:rPr>
        <w:t xml:space="preserve">en retroceso en relación a las </w:t>
      </w:r>
      <w:r w:rsidR="00E47DE3" w:rsidRPr="0033327A">
        <w:rPr>
          <w:b/>
          <w:bCs/>
          <w:i/>
          <w:iCs/>
          <w:sz w:val="25"/>
          <w:szCs w:val="25"/>
        </w:rPr>
        <w:t>de 2014.</w:t>
      </w:r>
    </w:p>
    <w:p w14:paraId="4B9B1272" w14:textId="27923289" w:rsidR="00E47DE3" w:rsidRPr="0033327A" w:rsidRDefault="00E47DE3" w:rsidP="00E47DE3">
      <w:pPr>
        <w:pStyle w:val="Cuerpo"/>
        <w:numPr>
          <w:ilvl w:val="0"/>
          <w:numId w:val="1"/>
        </w:numPr>
        <w:tabs>
          <w:tab w:val="left" w:pos="360"/>
        </w:tabs>
        <w:spacing w:after="120" w:line="240" w:lineRule="atLeast"/>
        <w:ind w:left="346" w:hanging="346"/>
        <w:rPr>
          <w:b/>
          <w:bCs/>
          <w:i/>
          <w:iCs/>
          <w:sz w:val="25"/>
          <w:szCs w:val="25"/>
        </w:rPr>
      </w:pPr>
      <w:r w:rsidRPr="0033327A">
        <w:rPr>
          <w:b/>
          <w:bCs/>
          <w:i/>
          <w:iCs/>
          <w:sz w:val="25"/>
          <w:szCs w:val="25"/>
        </w:rPr>
        <w:t>Marg</w:t>
      </w:r>
      <w:r w:rsidR="000B59B7" w:rsidRPr="0033327A">
        <w:rPr>
          <w:b/>
          <w:bCs/>
          <w:i/>
          <w:iCs/>
          <w:sz w:val="25"/>
          <w:szCs w:val="25"/>
        </w:rPr>
        <w:t>en</w:t>
      </w:r>
      <w:r w:rsidRPr="0033327A">
        <w:rPr>
          <w:b/>
          <w:bCs/>
          <w:i/>
          <w:iCs/>
          <w:sz w:val="25"/>
          <w:szCs w:val="25"/>
        </w:rPr>
        <w:t xml:space="preserve"> </w:t>
      </w:r>
      <w:r w:rsidR="000B59B7" w:rsidRPr="0033327A">
        <w:rPr>
          <w:b/>
          <w:bCs/>
          <w:i/>
          <w:iCs/>
          <w:sz w:val="25"/>
          <w:szCs w:val="25"/>
        </w:rPr>
        <w:t xml:space="preserve">operativo en progresión significativa, gracias a un muy buen segundo semestre </w:t>
      </w:r>
      <w:r w:rsidRPr="0033327A">
        <w:rPr>
          <w:b/>
          <w:bCs/>
          <w:i/>
          <w:iCs/>
          <w:sz w:val="25"/>
          <w:szCs w:val="25"/>
        </w:rPr>
        <w:t xml:space="preserve">(12,3 %) </w:t>
      </w:r>
      <w:r w:rsidR="000B59B7" w:rsidRPr="0033327A">
        <w:rPr>
          <w:b/>
          <w:bCs/>
          <w:i/>
          <w:iCs/>
          <w:sz w:val="25"/>
          <w:szCs w:val="25"/>
        </w:rPr>
        <w:t>en particula</w:t>
      </w:r>
      <w:r w:rsidRPr="0033327A">
        <w:rPr>
          <w:b/>
          <w:bCs/>
          <w:i/>
          <w:iCs/>
          <w:sz w:val="25"/>
          <w:szCs w:val="25"/>
        </w:rPr>
        <w:t>r</w:t>
      </w:r>
      <w:r w:rsidR="000B59B7" w:rsidRPr="0033327A">
        <w:rPr>
          <w:b/>
          <w:bCs/>
          <w:i/>
          <w:iCs/>
          <w:sz w:val="25"/>
          <w:szCs w:val="25"/>
        </w:rPr>
        <w:t xml:space="preserve"> po</w:t>
      </w:r>
      <w:r w:rsidRPr="0033327A">
        <w:rPr>
          <w:b/>
          <w:bCs/>
          <w:i/>
          <w:iCs/>
          <w:sz w:val="25"/>
          <w:szCs w:val="25"/>
        </w:rPr>
        <w:t>r:</w:t>
      </w:r>
    </w:p>
    <w:p w14:paraId="69B250F1" w14:textId="7FA85C9A" w:rsidR="00E47DE3" w:rsidRPr="0033327A" w:rsidRDefault="00E47DE3" w:rsidP="00BD06E7">
      <w:pPr>
        <w:pStyle w:val="Cuerpo"/>
        <w:numPr>
          <w:ilvl w:val="0"/>
          <w:numId w:val="14"/>
        </w:numPr>
        <w:spacing w:after="120" w:line="240" w:lineRule="atLeast"/>
        <w:ind w:left="851"/>
        <w:rPr>
          <w:b/>
          <w:bCs/>
          <w:i/>
          <w:iCs/>
          <w:sz w:val="25"/>
          <w:szCs w:val="25"/>
        </w:rPr>
      </w:pPr>
      <w:r w:rsidRPr="0033327A">
        <w:rPr>
          <w:b/>
          <w:bCs/>
          <w:i/>
          <w:iCs/>
          <w:sz w:val="25"/>
          <w:szCs w:val="25"/>
        </w:rPr>
        <w:t>Segment</w:t>
      </w:r>
      <w:r w:rsidR="00510945" w:rsidRPr="0033327A">
        <w:rPr>
          <w:b/>
          <w:bCs/>
          <w:i/>
          <w:iCs/>
          <w:sz w:val="25"/>
          <w:szCs w:val="25"/>
        </w:rPr>
        <w:t>o</w:t>
      </w:r>
      <w:r w:rsidRPr="0033327A">
        <w:rPr>
          <w:b/>
          <w:bCs/>
          <w:i/>
          <w:iCs/>
          <w:sz w:val="25"/>
          <w:szCs w:val="25"/>
        </w:rPr>
        <w:t xml:space="preserve"> </w:t>
      </w:r>
      <w:r w:rsidR="00510945" w:rsidRPr="0033327A">
        <w:rPr>
          <w:b/>
          <w:bCs/>
          <w:i/>
          <w:iCs/>
          <w:sz w:val="25"/>
          <w:szCs w:val="25"/>
        </w:rPr>
        <w:t>Turismo Camioneta</w:t>
      </w:r>
      <w:r w:rsidRPr="0033327A">
        <w:rPr>
          <w:b/>
          <w:bCs/>
          <w:i/>
          <w:iCs/>
          <w:sz w:val="25"/>
          <w:szCs w:val="25"/>
        </w:rPr>
        <w:t xml:space="preserve">: 12,2%, </w:t>
      </w:r>
      <w:r w:rsidR="00510945" w:rsidRPr="0033327A">
        <w:rPr>
          <w:b/>
          <w:bCs/>
          <w:i/>
          <w:iCs/>
          <w:sz w:val="25"/>
          <w:szCs w:val="25"/>
        </w:rPr>
        <w:t>un aumento</w:t>
      </w:r>
      <w:r w:rsidRPr="0033327A">
        <w:rPr>
          <w:b/>
          <w:bCs/>
          <w:i/>
          <w:iCs/>
          <w:sz w:val="25"/>
          <w:szCs w:val="25"/>
        </w:rPr>
        <w:t xml:space="preserve"> de 2,6 </w:t>
      </w:r>
      <w:r w:rsidR="00510945" w:rsidRPr="0033327A">
        <w:rPr>
          <w:b/>
          <w:bCs/>
          <w:i/>
          <w:iCs/>
          <w:sz w:val="25"/>
          <w:szCs w:val="25"/>
        </w:rPr>
        <w:t>puntos</w:t>
      </w:r>
      <w:r w:rsidRPr="0033327A">
        <w:rPr>
          <w:b/>
          <w:bCs/>
          <w:i/>
          <w:iCs/>
          <w:sz w:val="25"/>
          <w:szCs w:val="25"/>
        </w:rPr>
        <w:t xml:space="preserve"> </w:t>
      </w:r>
      <w:r w:rsidR="00510945" w:rsidRPr="0033327A">
        <w:rPr>
          <w:b/>
          <w:bCs/>
          <w:i/>
          <w:iCs/>
          <w:sz w:val="25"/>
          <w:szCs w:val="25"/>
        </w:rPr>
        <w:t xml:space="preserve">en relación con el segundo </w:t>
      </w:r>
      <w:r w:rsidRPr="0033327A">
        <w:rPr>
          <w:b/>
          <w:bCs/>
          <w:i/>
          <w:iCs/>
          <w:sz w:val="25"/>
          <w:szCs w:val="25"/>
        </w:rPr>
        <w:t xml:space="preserve">semestre </w:t>
      </w:r>
      <w:r w:rsidR="00510945" w:rsidRPr="0033327A">
        <w:rPr>
          <w:b/>
          <w:bCs/>
          <w:i/>
          <w:iCs/>
          <w:sz w:val="25"/>
          <w:szCs w:val="25"/>
        </w:rPr>
        <w:t xml:space="preserve">de </w:t>
      </w:r>
      <w:r w:rsidRPr="0033327A">
        <w:rPr>
          <w:b/>
          <w:bCs/>
          <w:i/>
          <w:iCs/>
          <w:sz w:val="25"/>
          <w:szCs w:val="25"/>
        </w:rPr>
        <w:t>2014</w:t>
      </w:r>
      <w:r w:rsidR="00510945" w:rsidRPr="0033327A">
        <w:rPr>
          <w:b/>
          <w:bCs/>
          <w:i/>
          <w:iCs/>
          <w:sz w:val="25"/>
          <w:szCs w:val="25"/>
        </w:rPr>
        <w:t>.</w:t>
      </w:r>
    </w:p>
    <w:p w14:paraId="78D81ACB" w14:textId="48ACA61F" w:rsidR="00E47DE3" w:rsidRPr="0033327A" w:rsidRDefault="00E47DE3" w:rsidP="00BD06E7">
      <w:pPr>
        <w:pStyle w:val="Cuerpo"/>
        <w:numPr>
          <w:ilvl w:val="0"/>
          <w:numId w:val="14"/>
        </w:numPr>
        <w:spacing w:after="120" w:line="240" w:lineRule="atLeast"/>
        <w:ind w:left="851"/>
        <w:rPr>
          <w:b/>
          <w:bCs/>
          <w:i/>
          <w:iCs/>
          <w:sz w:val="25"/>
          <w:szCs w:val="25"/>
        </w:rPr>
      </w:pPr>
      <w:r w:rsidRPr="0033327A">
        <w:rPr>
          <w:b/>
          <w:bCs/>
          <w:i/>
          <w:iCs/>
          <w:sz w:val="25"/>
          <w:szCs w:val="25"/>
        </w:rPr>
        <w:t>Segment</w:t>
      </w:r>
      <w:r w:rsidR="00510945" w:rsidRPr="0033327A">
        <w:rPr>
          <w:b/>
          <w:bCs/>
          <w:i/>
          <w:iCs/>
          <w:sz w:val="25"/>
          <w:szCs w:val="25"/>
        </w:rPr>
        <w:t>o</w:t>
      </w:r>
      <w:r w:rsidRPr="0033327A">
        <w:rPr>
          <w:b/>
          <w:bCs/>
          <w:i/>
          <w:iCs/>
          <w:sz w:val="25"/>
          <w:szCs w:val="25"/>
        </w:rPr>
        <w:t xml:space="preserve"> </w:t>
      </w:r>
      <w:r w:rsidR="00510945" w:rsidRPr="0033327A">
        <w:rPr>
          <w:b/>
          <w:bCs/>
          <w:i/>
          <w:iCs/>
          <w:sz w:val="25"/>
          <w:szCs w:val="25"/>
        </w:rPr>
        <w:t>Camión</w:t>
      </w:r>
      <w:r w:rsidRPr="0033327A">
        <w:rPr>
          <w:b/>
          <w:bCs/>
          <w:i/>
          <w:iCs/>
          <w:sz w:val="25"/>
          <w:szCs w:val="25"/>
        </w:rPr>
        <w:t xml:space="preserve">: 11,1 %, </w:t>
      </w:r>
      <w:r w:rsidR="00510945" w:rsidRPr="0033327A">
        <w:rPr>
          <w:b/>
          <w:bCs/>
          <w:i/>
          <w:iCs/>
          <w:sz w:val="25"/>
          <w:szCs w:val="25"/>
        </w:rPr>
        <w:t xml:space="preserve">un crecimiento de </w:t>
      </w:r>
      <w:r w:rsidRPr="0033327A">
        <w:rPr>
          <w:b/>
          <w:bCs/>
          <w:i/>
          <w:iCs/>
          <w:sz w:val="25"/>
          <w:szCs w:val="25"/>
        </w:rPr>
        <w:t xml:space="preserve">2,6 </w:t>
      </w:r>
      <w:r w:rsidR="00510945" w:rsidRPr="0033327A">
        <w:rPr>
          <w:b/>
          <w:bCs/>
          <w:i/>
          <w:iCs/>
          <w:sz w:val="25"/>
          <w:szCs w:val="25"/>
        </w:rPr>
        <w:t>puntos</w:t>
      </w:r>
      <w:r w:rsidRPr="0033327A">
        <w:rPr>
          <w:b/>
          <w:bCs/>
          <w:i/>
          <w:iCs/>
          <w:sz w:val="25"/>
          <w:szCs w:val="25"/>
        </w:rPr>
        <w:t xml:space="preserve"> </w:t>
      </w:r>
      <w:r w:rsidR="00510945" w:rsidRPr="0033327A">
        <w:rPr>
          <w:b/>
          <w:bCs/>
          <w:i/>
          <w:iCs/>
          <w:sz w:val="25"/>
          <w:szCs w:val="25"/>
        </w:rPr>
        <w:t>en relación con el segundo semestre de 2014.</w:t>
      </w:r>
    </w:p>
    <w:p w14:paraId="1588D782" w14:textId="2F400839" w:rsidR="00E47DE3" w:rsidRPr="0033327A" w:rsidRDefault="00E47DE3" w:rsidP="00BD06E7">
      <w:pPr>
        <w:pStyle w:val="Cuerpo"/>
        <w:numPr>
          <w:ilvl w:val="0"/>
          <w:numId w:val="14"/>
        </w:numPr>
        <w:spacing w:after="120" w:line="240" w:lineRule="atLeast"/>
        <w:ind w:left="851"/>
        <w:rPr>
          <w:b/>
          <w:bCs/>
          <w:i/>
          <w:iCs/>
          <w:sz w:val="25"/>
          <w:szCs w:val="25"/>
        </w:rPr>
      </w:pPr>
      <w:r w:rsidRPr="0033327A">
        <w:rPr>
          <w:b/>
          <w:bCs/>
          <w:i/>
          <w:iCs/>
          <w:sz w:val="25"/>
          <w:szCs w:val="25"/>
        </w:rPr>
        <w:t>B</w:t>
      </w:r>
      <w:r w:rsidR="00250397" w:rsidRPr="0033327A">
        <w:rPr>
          <w:b/>
          <w:bCs/>
          <w:i/>
          <w:iCs/>
          <w:sz w:val="25"/>
          <w:szCs w:val="25"/>
        </w:rPr>
        <w:t>uena resistencia del segmento de Especialidades</w:t>
      </w:r>
      <w:r w:rsidRPr="0033327A">
        <w:rPr>
          <w:b/>
          <w:bCs/>
          <w:i/>
          <w:iCs/>
          <w:sz w:val="25"/>
          <w:szCs w:val="25"/>
        </w:rPr>
        <w:t xml:space="preserve">: 18,6 % </w:t>
      </w:r>
      <w:r w:rsidR="00250397" w:rsidRPr="0033327A">
        <w:rPr>
          <w:b/>
          <w:bCs/>
          <w:i/>
          <w:iCs/>
          <w:sz w:val="25"/>
          <w:szCs w:val="25"/>
        </w:rPr>
        <w:t>en el año.</w:t>
      </w:r>
    </w:p>
    <w:p w14:paraId="27774A6C" w14:textId="347C9327" w:rsidR="008514D7" w:rsidRPr="0033327A" w:rsidRDefault="00250397" w:rsidP="00BD06E7">
      <w:pPr>
        <w:pStyle w:val="Cuerpo"/>
        <w:numPr>
          <w:ilvl w:val="0"/>
          <w:numId w:val="14"/>
        </w:numPr>
        <w:spacing w:after="120" w:line="240" w:lineRule="atLeast"/>
        <w:ind w:left="851"/>
        <w:rPr>
          <w:b/>
          <w:bCs/>
          <w:i/>
          <w:iCs/>
          <w:sz w:val="25"/>
          <w:szCs w:val="25"/>
        </w:rPr>
      </w:pPr>
      <w:r w:rsidRPr="0033327A">
        <w:rPr>
          <w:b/>
          <w:bCs/>
          <w:i/>
          <w:iCs/>
          <w:sz w:val="25"/>
          <w:szCs w:val="25"/>
        </w:rPr>
        <w:t xml:space="preserve">Efecto mix de precios/materias primas positivo en </w:t>
      </w:r>
      <w:r w:rsidR="008514D7" w:rsidRPr="0033327A">
        <w:rPr>
          <w:b/>
          <w:bCs/>
          <w:i/>
          <w:iCs/>
          <w:sz w:val="25"/>
          <w:szCs w:val="25"/>
        </w:rPr>
        <w:t>105 millon</w:t>
      </w:r>
      <w:r w:rsidR="00053D7B" w:rsidRPr="0033327A">
        <w:rPr>
          <w:b/>
          <w:bCs/>
          <w:i/>
          <w:iCs/>
          <w:sz w:val="25"/>
          <w:szCs w:val="25"/>
        </w:rPr>
        <w:t>e</w:t>
      </w:r>
      <w:r w:rsidR="008514D7" w:rsidRPr="0033327A">
        <w:rPr>
          <w:b/>
          <w:bCs/>
          <w:i/>
          <w:iCs/>
          <w:sz w:val="25"/>
          <w:szCs w:val="25"/>
        </w:rPr>
        <w:t xml:space="preserve">s </w:t>
      </w:r>
      <w:r w:rsidR="00053D7B" w:rsidRPr="0033327A">
        <w:rPr>
          <w:b/>
          <w:bCs/>
          <w:i/>
          <w:iCs/>
          <w:sz w:val="25"/>
          <w:szCs w:val="25"/>
        </w:rPr>
        <w:t>de euros en el segundo semestre, como se esperaba</w:t>
      </w:r>
      <w:r w:rsidR="008514D7" w:rsidRPr="0033327A">
        <w:rPr>
          <w:b/>
          <w:bCs/>
          <w:i/>
          <w:iCs/>
          <w:sz w:val="25"/>
          <w:szCs w:val="25"/>
        </w:rPr>
        <w:t>.</w:t>
      </w:r>
    </w:p>
    <w:p w14:paraId="6410ADF8" w14:textId="77777777" w:rsidR="0049355D" w:rsidRPr="0033327A" w:rsidRDefault="0049355D" w:rsidP="0049355D">
      <w:pPr>
        <w:pStyle w:val="Cuerpo"/>
        <w:numPr>
          <w:ilvl w:val="0"/>
          <w:numId w:val="1"/>
        </w:numPr>
        <w:tabs>
          <w:tab w:val="left" w:pos="360"/>
        </w:tabs>
        <w:spacing w:after="120" w:line="240" w:lineRule="atLeast"/>
        <w:ind w:left="346" w:hanging="346"/>
        <w:rPr>
          <w:b/>
          <w:bCs/>
          <w:i/>
          <w:iCs/>
          <w:sz w:val="25"/>
          <w:szCs w:val="25"/>
        </w:rPr>
      </w:pPr>
      <w:r w:rsidRPr="0033327A">
        <w:rPr>
          <w:b/>
          <w:bCs/>
          <w:i/>
          <w:iCs/>
          <w:sz w:val="25"/>
          <w:szCs w:val="25"/>
        </w:rPr>
        <w:t>El plan de competitividad (efecto favorable de 261 millones de euros) permite de nuevo asumir la inflación de los costes de producción y los gastos generales.</w:t>
      </w:r>
    </w:p>
    <w:p w14:paraId="2D5A8864" w14:textId="04533DA2" w:rsidR="0049355D" w:rsidRPr="0033327A" w:rsidRDefault="0049355D" w:rsidP="003761A5">
      <w:pPr>
        <w:pStyle w:val="Cuerpo"/>
        <w:numPr>
          <w:ilvl w:val="0"/>
          <w:numId w:val="1"/>
        </w:numPr>
        <w:tabs>
          <w:tab w:val="left" w:pos="360"/>
        </w:tabs>
        <w:spacing w:after="120" w:line="240" w:lineRule="atLeast"/>
        <w:ind w:left="346" w:hanging="346"/>
        <w:rPr>
          <w:b/>
          <w:bCs/>
          <w:i/>
          <w:iCs/>
          <w:sz w:val="25"/>
          <w:szCs w:val="25"/>
        </w:rPr>
      </w:pPr>
      <w:r w:rsidRPr="0033327A">
        <w:rPr>
          <w:b/>
          <w:bCs/>
          <w:i/>
          <w:iCs/>
          <w:sz w:val="25"/>
          <w:szCs w:val="25"/>
        </w:rPr>
        <w:t>Lanza</w:t>
      </w:r>
      <w:r w:rsidR="003761A5" w:rsidRPr="0033327A">
        <w:rPr>
          <w:b/>
          <w:bCs/>
          <w:i/>
          <w:iCs/>
          <w:sz w:val="25"/>
          <w:szCs w:val="25"/>
        </w:rPr>
        <w:t>m</w:t>
      </w:r>
      <w:r w:rsidRPr="0033327A">
        <w:rPr>
          <w:b/>
          <w:bCs/>
          <w:i/>
          <w:iCs/>
          <w:sz w:val="25"/>
          <w:szCs w:val="25"/>
        </w:rPr>
        <w:t>i</w:t>
      </w:r>
      <w:r w:rsidR="003761A5" w:rsidRPr="0033327A">
        <w:rPr>
          <w:b/>
          <w:bCs/>
          <w:i/>
          <w:iCs/>
          <w:sz w:val="25"/>
          <w:szCs w:val="25"/>
        </w:rPr>
        <w:t>ent</w:t>
      </w:r>
      <w:r w:rsidRPr="0033327A">
        <w:rPr>
          <w:b/>
          <w:bCs/>
          <w:i/>
          <w:iCs/>
          <w:sz w:val="25"/>
          <w:szCs w:val="25"/>
        </w:rPr>
        <w:t>o</w:t>
      </w:r>
      <w:r w:rsidR="003761A5" w:rsidRPr="0033327A">
        <w:rPr>
          <w:b/>
          <w:bCs/>
          <w:i/>
          <w:iCs/>
          <w:sz w:val="25"/>
          <w:szCs w:val="25"/>
        </w:rPr>
        <w:t xml:space="preserve"> en</w:t>
      </w:r>
      <w:r w:rsidRPr="0033327A">
        <w:rPr>
          <w:b/>
          <w:bCs/>
          <w:i/>
          <w:iCs/>
          <w:sz w:val="25"/>
          <w:szCs w:val="25"/>
        </w:rPr>
        <w:t xml:space="preserve"> enero de 2016 de una nueva fase del programa de </w:t>
      </w:r>
      <w:r w:rsidR="004F19EA" w:rsidRPr="0033327A">
        <w:rPr>
          <w:b/>
          <w:bCs/>
          <w:i/>
          <w:iCs/>
          <w:sz w:val="25"/>
          <w:szCs w:val="25"/>
        </w:rPr>
        <w:t>re</w:t>
      </w:r>
      <w:r w:rsidRPr="0033327A">
        <w:rPr>
          <w:b/>
          <w:bCs/>
          <w:i/>
          <w:iCs/>
          <w:sz w:val="25"/>
          <w:szCs w:val="25"/>
        </w:rPr>
        <w:t xml:space="preserve">compra de acciones, tras la </w:t>
      </w:r>
      <w:r w:rsidR="004F19EA" w:rsidRPr="0033327A">
        <w:rPr>
          <w:b/>
          <w:bCs/>
          <w:i/>
          <w:iCs/>
          <w:sz w:val="25"/>
          <w:szCs w:val="25"/>
        </w:rPr>
        <w:t>re</w:t>
      </w:r>
      <w:r w:rsidRPr="0033327A">
        <w:rPr>
          <w:b/>
          <w:bCs/>
          <w:i/>
          <w:iCs/>
          <w:sz w:val="25"/>
          <w:szCs w:val="25"/>
        </w:rPr>
        <w:t xml:space="preserve">compra y anulación </w:t>
      </w:r>
      <w:r w:rsidR="004F19EA" w:rsidRPr="0033327A">
        <w:rPr>
          <w:b/>
          <w:bCs/>
          <w:i/>
          <w:iCs/>
          <w:sz w:val="25"/>
          <w:szCs w:val="25"/>
        </w:rPr>
        <w:t>en</w:t>
      </w:r>
      <w:r w:rsidRPr="0033327A">
        <w:rPr>
          <w:b/>
          <w:bCs/>
          <w:i/>
          <w:iCs/>
          <w:sz w:val="25"/>
          <w:szCs w:val="25"/>
        </w:rPr>
        <w:t xml:space="preserve"> 2</w:t>
      </w:r>
      <w:r w:rsidR="003A523A" w:rsidRPr="0033327A">
        <w:rPr>
          <w:b/>
          <w:bCs/>
          <w:i/>
          <w:iCs/>
          <w:sz w:val="25"/>
          <w:szCs w:val="25"/>
        </w:rPr>
        <w:t>01</w:t>
      </w:r>
      <w:r w:rsidRPr="0033327A">
        <w:rPr>
          <w:b/>
          <w:bCs/>
          <w:i/>
          <w:iCs/>
          <w:sz w:val="25"/>
          <w:szCs w:val="25"/>
        </w:rPr>
        <w:t>5 de acciones Michelin por un montante de 451 millones de euros, es decir, un 2,7 % del capital.</w:t>
      </w:r>
      <w:r w:rsidR="003761A5" w:rsidRPr="0033327A">
        <w:rPr>
          <w:b/>
          <w:bCs/>
          <w:i/>
          <w:iCs/>
          <w:sz w:val="25"/>
          <w:szCs w:val="25"/>
        </w:rPr>
        <w:t xml:space="preserve"> </w:t>
      </w:r>
    </w:p>
    <w:p w14:paraId="7774544C" w14:textId="49EB0CE2" w:rsidR="00700DFB" w:rsidRPr="0033327A" w:rsidRDefault="009F7ED2" w:rsidP="00BD06E7">
      <w:pPr>
        <w:pStyle w:val="Cuerpo"/>
        <w:numPr>
          <w:ilvl w:val="0"/>
          <w:numId w:val="3"/>
        </w:numPr>
        <w:tabs>
          <w:tab w:val="left" w:pos="360"/>
        </w:tabs>
        <w:spacing w:after="120" w:line="240" w:lineRule="atLeast"/>
        <w:ind w:left="346" w:hanging="346"/>
        <w:rPr>
          <w:rFonts w:ascii="Times New Roman" w:eastAsia="Times New Roman" w:hAnsi="Times New Roman" w:cs="Times New Roman"/>
          <w:b/>
          <w:bCs/>
          <w:i/>
          <w:iCs/>
        </w:rPr>
      </w:pPr>
      <w:r w:rsidRPr="0033327A">
        <w:rPr>
          <w:b/>
          <w:bCs/>
          <w:i/>
          <w:iCs/>
          <w:sz w:val="25"/>
          <w:szCs w:val="25"/>
        </w:rPr>
        <w:t>Propuesta de un dividendo de 2,</w:t>
      </w:r>
      <w:r w:rsidR="00ED0592" w:rsidRPr="0033327A">
        <w:rPr>
          <w:b/>
          <w:bCs/>
          <w:i/>
          <w:iCs/>
          <w:sz w:val="25"/>
          <w:szCs w:val="25"/>
        </w:rPr>
        <w:t>85</w:t>
      </w:r>
      <w:r w:rsidRPr="0033327A">
        <w:rPr>
          <w:b/>
          <w:bCs/>
          <w:i/>
          <w:iCs/>
          <w:sz w:val="25"/>
          <w:szCs w:val="25"/>
        </w:rPr>
        <w:t xml:space="preserve"> euros por acción,</w:t>
      </w:r>
      <w:r w:rsidR="00ED0592" w:rsidRPr="0033327A">
        <w:rPr>
          <w:b/>
          <w:bCs/>
          <w:i/>
          <w:iCs/>
          <w:sz w:val="25"/>
          <w:szCs w:val="25"/>
        </w:rPr>
        <w:t xml:space="preserve"> es decir</w:t>
      </w:r>
      <w:r w:rsidR="00DE7CFA" w:rsidRPr="0033327A">
        <w:rPr>
          <w:b/>
          <w:bCs/>
          <w:i/>
          <w:iCs/>
          <w:sz w:val="25"/>
          <w:szCs w:val="25"/>
        </w:rPr>
        <w:t>,</w:t>
      </w:r>
      <w:r w:rsidR="00ED0592" w:rsidRPr="0033327A">
        <w:rPr>
          <w:b/>
          <w:bCs/>
          <w:i/>
          <w:iCs/>
          <w:sz w:val="25"/>
          <w:szCs w:val="25"/>
        </w:rPr>
        <w:t xml:space="preserve"> de una tasa de distribución del 37 %</w:t>
      </w:r>
      <w:r w:rsidR="00DE7CFA" w:rsidRPr="0033327A">
        <w:rPr>
          <w:b/>
          <w:bCs/>
          <w:i/>
          <w:iCs/>
          <w:sz w:val="25"/>
          <w:szCs w:val="25"/>
        </w:rPr>
        <w:t xml:space="preserve">, que refleja la confianza en el futuro del Grupo, que se someterá </w:t>
      </w:r>
      <w:r w:rsidRPr="0033327A">
        <w:rPr>
          <w:b/>
          <w:bCs/>
          <w:i/>
          <w:iCs/>
          <w:sz w:val="25"/>
          <w:szCs w:val="25"/>
        </w:rPr>
        <w:t xml:space="preserve">a la aprobación de la Asamblea General de Accionistas del </w:t>
      </w:r>
      <w:r w:rsidR="009D7A1E" w:rsidRPr="0033327A">
        <w:rPr>
          <w:b/>
          <w:bCs/>
          <w:i/>
          <w:iCs/>
          <w:sz w:val="25"/>
          <w:szCs w:val="25"/>
        </w:rPr>
        <w:t>13</w:t>
      </w:r>
      <w:r w:rsidRPr="0033327A">
        <w:rPr>
          <w:b/>
          <w:bCs/>
          <w:i/>
          <w:iCs/>
          <w:sz w:val="25"/>
          <w:szCs w:val="25"/>
        </w:rPr>
        <w:t xml:space="preserve"> de mayo de 201</w:t>
      </w:r>
      <w:r w:rsidR="009D7A1E" w:rsidRPr="0033327A">
        <w:rPr>
          <w:b/>
          <w:bCs/>
          <w:i/>
          <w:iCs/>
          <w:sz w:val="25"/>
          <w:szCs w:val="25"/>
        </w:rPr>
        <w:t>6</w:t>
      </w:r>
      <w:r w:rsidRPr="0033327A">
        <w:rPr>
          <w:b/>
          <w:bCs/>
          <w:i/>
          <w:iCs/>
          <w:sz w:val="25"/>
          <w:szCs w:val="25"/>
        </w:rPr>
        <w:t>.</w:t>
      </w:r>
    </w:p>
    <w:p w14:paraId="44D2D7EE" w14:textId="77777777" w:rsidR="00700DFB" w:rsidRPr="0033327A" w:rsidRDefault="00700DFB">
      <w:pPr>
        <w:pStyle w:val="Cuerpo"/>
        <w:spacing w:after="120" w:line="240" w:lineRule="atLeast"/>
        <w:jc w:val="both"/>
        <w:rPr>
          <w:rFonts w:ascii="Arial" w:eastAsia="Arial" w:hAnsi="Arial" w:cs="Arial"/>
          <w:b/>
          <w:bCs/>
          <w:sz w:val="21"/>
          <w:szCs w:val="21"/>
        </w:rPr>
      </w:pPr>
    </w:p>
    <w:p w14:paraId="380295D8" w14:textId="6EA3F0A4" w:rsidR="00753154" w:rsidRPr="0033327A" w:rsidRDefault="009F7ED2" w:rsidP="00753154">
      <w:pPr>
        <w:pStyle w:val="Cuerpo"/>
        <w:spacing w:after="120" w:line="240" w:lineRule="atLeast"/>
        <w:jc w:val="both"/>
        <w:rPr>
          <w:b/>
          <w:bCs/>
          <w:i/>
          <w:iCs/>
          <w:sz w:val="25"/>
          <w:szCs w:val="25"/>
        </w:rPr>
      </w:pPr>
      <w:r w:rsidRPr="0033327A">
        <w:rPr>
          <w:b/>
          <w:bCs/>
          <w:i/>
          <w:iCs/>
          <w:sz w:val="25"/>
          <w:szCs w:val="25"/>
        </w:rPr>
        <w:t xml:space="preserve">Jean-Dominique Senard, presidente del Grupo Michelin, ha declarado: </w:t>
      </w:r>
      <w:r w:rsidR="00C9463D" w:rsidRPr="0033327A">
        <w:rPr>
          <w:b/>
          <w:bCs/>
          <w:i/>
          <w:iCs/>
          <w:sz w:val="25"/>
          <w:szCs w:val="25"/>
        </w:rPr>
        <w:t xml:space="preserve">‘‘En 2015, </w:t>
      </w:r>
      <w:r w:rsidR="00753154" w:rsidRPr="0033327A">
        <w:rPr>
          <w:b/>
          <w:bCs/>
          <w:i/>
          <w:iCs/>
          <w:sz w:val="25"/>
          <w:szCs w:val="25"/>
        </w:rPr>
        <w:t xml:space="preserve">hemos logrado </w:t>
      </w:r>
      <w:r w:rsidR="00A70F65" w:rsidRPr="0033327A">
        <w:rPr>
          <w:b/>
          <w:bCs/>
          <w:i/>
          <w:iCs/>
          <w:sz w:val="25"/>
          <w:szCs w:val="25"/>
        </w:rPr>
        <w:t>el desafío del</w:t>
      </w:r>
      <w:r w:rsidR="00753154" w:rsidRPr="0033327A">
        <w:rPr>
          <w:b/>
          <w:bCs/>
          <w:i/>
          <w:iCs/>
          <w:sz w:val="25"/>
          <w:szCs w:val="25"/>
        </w:rPr>
        <w:t xml:space="preserve"> crecimiento rentable, superior a</w:t>
      </w:r>
      <w:r w:rsidR="00417243">
        <w:rPr>
          <w:b/>
          <w:bCs/>
          <w:i/>
          <w:iCs/>
          <w:sz w:val="25"/>
          <w:szCs w:val="25"/>
        </w:rPr>
        <w:t>l</w:t>
      </w:r>
      <w:r w:rsidR="00753154" w:rsidRPr="0033327A">
        <w:rPr>
          <w:b/>
          <w:bCs/>
          <w:i/>
          <w:iCs/>
          <w:sz w:val="25"/>
          <w:szCs w:val="25"/>
        </w:rPr>
        <w:t xml:space="preserve"> de</w:t>
      </w:r>
      <w:r w:rsidR="00B40E2D" w:rsidRPr="0033327A">
        <w:rPr>
          <w:b/>
          <w:bCs/>
          <w:i/>
          <w:iCs/>
          <w:sz w:val="25"/>
          <w:szCs w:val="25"/>
        </w:rPr>
        <w:t xml:space="preserve"> </w:t>
      </w:r>
      <w:r w:rsidR="00753154" w:rsidRPr="0033327A">
        <w:rPr>
          <w:b/>
          <w:bCs/>
          <w:i/>
          <w:iCs/>
          <w:sz w:val="25"/>
          <w:szCs w:val="25"/>
        </w:rPr>
        <w:t>l</w:t>
      </w:r>
      <w:r w:rsidR="00B40E2D" w:rsidRPr="0033327A">
        <w:rPr>
          <w:b/>
          <w:bCs/>
          <w:i/>
          <w:iCs/>
          <w:sz w:val="25"/>
          <w:szCs w:val="25"/>
        </w:rPr>
        <w:t>os</w:t>
      </w:r>
      <w:r w:rsidR="00753154" w:rsidRPr="0033327A">
        <w:rPr>
          <w:b/>
          <w:bCs/>
          <w:i/>
          <w:iCs/>
          <w:sz w:val="25"/>
          <w:szCs w:val="25"/>
        </w:rPr>
        <w:t xml:space="preserve"> mercado</w:t>
      </w:r>
      <w:r w:rsidR="00B40E2D" w:rsidRPr="0033327A">
        <w:rPr>
          <w:b/>
          <w:bCs/>
          <w:i/>
          <w:iCs/>
          <w:sz w:val="25"/>
          <w:szCs w:val="25"/>
        </w:rPr>
        <w:t>s,</w:t>
      </w:r>
      <w:r w:rsidR="00753154" w:rsidRPr="0033327A">
        <w:rPr>
          <w:b/>
          <w:bCs/>
          <w:i/>
          <w:iCs/>
          <w:sz w:val="25"/>
          <w:szCs w:val="25"/>
        </w:rPr>
        <w:t xml:space="preserve"> y </w:t>
      </w:r>
      <w:r w:rsidR="006A529A" w:rsidRPr="0033327A">
        <w:rPr>
          <w:b/>
          <w:bCs/>
          <w:i/>
          <w:iCs/>
          <w:sz w:val="25"/>
          <w:szCs w:val="25"/>
        </w:rPr>
        <w:t>ganado</w:t>
      </w:r>
      <w:r w:rsidR="00753154" w:rsidRPr="0033327A">
        <w:rPr>
          <w:b/>
          <w:bCs/>
          <w:i/>
          <w:iCs/>
          <w:sz w:val="25"/>
          <w:szCs w:val="25"/>
        </w:rPr>
        <w:t xml:space="preserve"> cuota de mercado en todas nuestras actividades, gracias a la calidad de la oferta del Grupo</w:t>
      </w:r>
      <w:r w:rsidR="006A529A" w:rsidRPr="0033327A">
        <w:rPr>
          <w:b/>
          <w:bCs/>
          <w:i/>
          <w:iCs/>
          <w:sz w:val="25"/>
          <w:szCs w:val="25"/>
        </w:rPr>
        <w:t>.</w:t>
      </w:r>
      <w:r w:rsidR="00A70F65" w:rsidRPr="0033327A">
        <w:rPr>
          <w:b/>
          <w:bCs/>
          <w:i/>
          <w:iCs/>
          <w:sz w:val="25"/>
          <w:szCs w:val="25"/>
        </w:rPr>
        <w:t xml:space="preserve"> Nuestro crecimiento y nuestra rentabilidad han progresado significativamente. Para </w:t>
      </w:r>
      <w:r w:rsidR="00316DAC" w:rsidRPr="0033327A">
        <w:rPr>
          <w:b/>
          <w:bCs/>
          <w:i/>
          <w:iCs/>
          <w:sz w:val="25"/>
          <w:szCs w:val="25"/>
        </w:rPr>
        <w:t xml:space="preserve">el año </w:t>
      </w:r>
      <w:r w:rsidR="00A70F65" w:rsidRPr="0033327A">
        <w:rPr>
          <w:b/>
          <w:bCs/>
          <w:i/>
          <w:iCs/>
          <w:sz w:val="25"/>
          <w:szCs w:val="25"/>
        </w:rPr>
        <w:t>2016 y poster</w:t>
      </w:r>
      <w:r w:rsidR="00316DAC" w:rsidRPr="0033327A">
        <w:rPr>
          <w:b/>
          <w:bCs/>
          <w:i/>
          <w:iCs/>
          <w:sz w:val="25"/>
          <w:szCs w:val="25"/>
        </w:rPr>
        <w:t>iores</w:t>
      </w:r>
      <w:r w:rsidR="00A70F65" w:rsidRPr="0033327A">
        <w:rPr>
          <w:b/>
          <w:bCs/>
          <w:i/>
          <w:iCs/>
          <w:sz w:val="25"/>
          <w:szCs w:val="25"/>
        </w:rPr>
        <w:t xml:space="preserve">, </w:t>
      </w:r>
      <w:r w:rsidR="00316DAC" w:rsidRPr="0033327A">
        <w:rPr>
          <w:b/>
          <w:bCs/>
          <w:i/>
          <w:iCs/>
          <w:sz w:val="25"/>
          <w:szCs w:val="25"/>
        </w:rPr>
        <w:t xml:space="preserve">trataremos de incrementar </w:t>
      </w:r>
      <w:r w:rsidR="00A70F65" w:rsidRPr="0033327A">
        <w:rPr>
          <w:b/>
          <w:bCs/>
          <w:i/>
          <w:iCs/>
          <w:sz w:val="25"/>
          <w:szCs w:val="25"/>
        </w:rPr>
        <w:t>nuestros esfuerzos en cuatro campo</w:t>
      </w:r>
      <w:r w:rsidR="00316DAC" w:rsidRPr="0033327A">
        <w:rPr>
          <w:b/>
          <w:bCs/>
          <w:i/>
          <w:iCs/>
          <w:sz w:val="25"/>
          <w:szCs w:val="25"/>
        </w:rPr>
        <w:t xml:space="preserve">s: la calidad del servicio a nuestros clientes, la simplificación de nuestros modos de funcionamiento, el desarrollo de nuestra oferta digital y </w:t>
      </w:r>
      <w:r w:rsidR="00EB7862" w:rsidRPr="0033327A">
        <w:rPr>
          <w:b/>
          <w:bCs/>
          <w:i/>
          <w:iCs/>
          <w:sz w:val="25"/>
          <w:szCs w:val="25"/>
        </w:rPr>
        <w:t>la responsabili</w:t>
      </w:r>
      <w:r w:rsidR="00417243">
        <w:rPr>
          <w:b/>
          <w:bCs/>
          <w:i/>
          <w:iCs/>
          <w:sz w:val="25"/>
          <w:szCs w:val="25"/>
        </w:rPr>
        <w:t>zación</w:t>
      </w:r>
      <w:r w:rsidR="00EB7862" w:rsidRPr="0033327A">
        <w:rPr>
          <w:b/>
          <w:bCs/>
          <w:i/>
          <w:iCs/>
          <w:sz w:val="25"/>
          <w:szCs w:val="25"/>
        </w:rPr>
        <w:t xml:space="preserve"> de nuestros equipos. </w:t>
      </w:r>
      <w:r w:rsidR="00560FF1" w:rsidRPr="00F85E3F">
        <w:rPr>
          <w:b/>
          <w:bCs/>
          <w:i/>
          <w:iCs/>
          <w:sz w:val="25"/>
          <w:szCs w:val="25"/>
        </w:rPr>
        <w:t>Con</w:t>
      </w:r>
      <w:r w:rsidR="00EB7862" w:rsidRPr="00F85E3F">
        <w:rPr>
          <w:b/>
          <w:bCs/>
          <w:i/>
          <w:iCs/>
          <w:sz w:val="25"/>
          <w:szCs w:val="25"/>
        </w:rPr>
        <w:t xml:space="preserve"> </w:t>
      </w:r>
      <w:r w:rsidR="00ED786F" w:rsidRPr="00F85E3F">
        <w:rPr>
          <w:b/>
          <w:bCs/>
          <w:i/>
          <w:iCs/>
          <w:sz w:val="25"/>
          <w:szCs w:val="25"/>
        </w:rPr>
        <w:t>estas bases</w:t>
      </w:r>
      <w:r w:rsidR="00560FF1" w:rsidRPr="00F85E3F">
        <w:rPr>
          <w:b/>
          <w:bCs/>
          <w:i/>
          <w:iCs/>
          <w:sz w:val="25"/>
          <w:szCs w:val="25"/>
        </w:rPr>
        <w:t xml:space="preserve"> reforzad</w:t>
      </w:r>
      <w:r w:rsidR="00ED786F" w:rsidRPr="00F85E3F">
        <w:rPr>
          <w:b/>
          <w:bCs/>
          <w:i/>
          <w:iCs/>
          <w:sz w:val="25"/>
          <w:szCs w:val="25"/>
        </w:rPr>
        <w:t>a</w:t>
      </w:r>
      <w:r w:rsidR="00560FF1" w:rsidRPr="00F85E3F">
        <w:rPr>
          <w:b/>
          <w:bCs/>
          <w:i/>
          <w:iCs/>
          <w:sz w:val="25"/>
          <w:szCs w:val="25"/>
        </w:rPr>
        <w:t>s</w:t>
      </w:r>
      <w:r w:rsidR="00EB7862" w:rsidRPr="00F85E3F">
        <w:rPr>
          <w:b/>
          <w:bCs/>
          <w:i/>
          <w:iCs/>
          <w:sz w:val="25"/>
          <w:szCs w:val="25"/>
        </w:rPr>
        <w:t>, el Grupo est</w:t>
      </w:r>
      <w:r w:rsidR="00560FF1" w:rsidRPr="00F85E3F">
        <w:rPr>
          <w:b/>
          <w:bCs/>
          <w:i/>
          <w:iCs/>
          <w:sz w:val="25"/>
          <w:szCs w:val="25"/>
        </w:rPr>
        <w:t>á</w:t>
      </w:r>
      <w:r w:rsidR="00EB7862" w:rsidRPr="00F85E3F">
        <w:rPr>
          <w:b/>
          <w:bCs/>
          <w:i/>
          <w:iCs/>
          <w:sz w:val="25"/>
          <w:szCs w:val="25"/>
        </w:rPr>
        <w:t xml:space="preserve"> en la buena </w:t>
      </w:r>
      <w:r w:rsidR="00560FF1" w:rsidRPr="00F85E3F">
        <w:rPr>
          <w:b/>
          <w:bCs/>
          <w:i/>
          <w:iCs/>
          <w:sz w:val="25"/>
          <w:szCs w:val="25"/>
        </w:rPr>
        <w:t>senda</w:t>
      </w:r>
      <w:r w:rsidR="00EB7862" w:rsidRPr="0033327A">
        <w:rPr>
          <w:b/>
          <w:bCs/>
          <w:i/>
          <w:iCs/>
          <w:sz w:val="25"/>
          <w:szCs w:val="25"/>
        </w:rPr>
        <w:t>”.</w:t>
      </w:r>
    </w:p>
    <w:p w14:paraId="4D45F4BA" w14:textId="77777777" w:rsidR="00700DFB" w:rsidRPr="0033327A" w:rsidRDefault="00700DFB">
      <w:pPr>
        <w:pStyle w:val="Cuerpo"/>
        <w:spacing w:after="120" w:line="240" w:lineRule="atLeast"/>
        <w:jc w:val="both"/>
        <w:rPr>
          <w:b/>
          <w:bCs/>
          <w:i/>
          <w:iCs/>
          <w:sz w:val="25"/>
          <w:szCs w:val="25"/>
        </w:rPr>
      </w:pPr>
    </w:p>
    <w:p w14:paraId="0FCA74B7" w14:textId="6C522714" w:rsidR="00700DFB" w:rsidRPr="0033327A" w:rsidRDefault="009F7ED2">
      <w:pPr>
        <w:pStyle w:val="Cuerpo"/>
        <w:spacing w:after="240" w:line="270" w:lineRule="atLeast"/>
        <w:jc w:val="both"/>
        <w:rPr>
          <w:rFonts w:ascii="Arial" w:eastAsia="Arial" w:hAnsi="Arial" w:cs="Arial"/>
          <w:b/>
          <w:bCs/>
          <w:sz w:val="28"/>
          <w:szCs w:val="28"/>
        </w:rPr>
      </w:pPr>
      <w:r w:rsidRPr="0033327A">
        <w:rPr>
          <w:rFonts w:ascii="Arial"/>
          <w:b/>
          <w:bCs/>
          <w:sz w:val="28"/>
          <w:szCs w:val="28"/>
        </w:rPr>
        <w:t>Perspectivas para 201</w:t>
      </w:r>
      <w:r w:rsidR="00D46DF5" w:rsidRPr="0033327A">
        <w:rPr>
          <w:rFonts w:ascii="Arial"/>
          <w:b/>
          <w:bCs/>
          <w:sz w:val="28"/>
          <w:szCs w:val="28"/>
        </w:rPr>
        <w:t>6</w:t>
      </w:r>
    </w:p>
    <w:p w14:paraId="68440067" w14:textId="2253AA75" w:rsidR="0033327A" w:rsidRPr="0033327A" w:rsidRDefault="00C9463D" w:rsidP="00C9463D">
      <w:pPr>
        <w:pStyle w:val="TextoMichelin"/>
        <w:rPr>
          <w:rFonts w:hAnsi="Arial"/>
          <w:b/>
          <w:bCs/>
        </w:rPr>
      </w:pPr>
      <w:r w:rsidRPr="0033327A">
        <w:rPr>
          <w:rFonts w:hAnsi="Arial"/>
          <w:b/>
          <w:bCs/>
        </w:rPr>
        <w:t xml:space="preserve">En 2016, </w:t>
      </w:r>
      <w:r w:rsidR="0033327A" w:rsidRPr="0033327A">
        <w:rPr>
          <w:rFonts w:hAnsi="Arial"/>
          <w:b/>
          <w:bCs/>
        </w:rPr>
        <w:t>la demanda de neumáticos de Turismo Camioneta y Camión debería continuar</w:t>
      </w:r>
      <w:r w:rsidRPr="0033327A">
        <w:rPr>
          <w:rFonts w:hAnsi="Arial"/>
          <w:b/>
          <w:bCs/>
        </w:rPr>
        <w:t xml:space="preserve"> bien </w:t>
      </w:r>
      <w:r w:rsidR="0033327A" w:rsidRPr="0033327A">
        <w:rPr>
          <w:rFonts w:hAnsi="Arial"/>
          <w:b/>
          <w:bCs/>
        </w:rPr>
        <w:t>orientada en los mercados maduros y mantener las tendencias observadas en 2015</w:t>
      </w:r>
      <w:r w:rsidR="00EB2D07">
        <w:rPr>
          <w:rFonts w:hAnsi="Arial"/>
          <w:b/>
          <w:bCs/>
        </w:rPr>
        <w:t xml:space="preserve"> en los nuevos mercados</w:t>
      </w:r>
      <w:r w:rsidR="0033327A" w:rsidRPr="0033327A">
        <w:rPr>
          <w:rFonts w:hAnsi="Arial"/>
          <w:b/>
          <w:bCs/>
        </w:rPr>
        <w:t>.</w:t>
      </w:r>
      <w:r w:rsidR="00EB2D07">
        <w:rPr>
          <w:rFonts w:hAnsi="Arial"/>
          <w:b/>
          <w:bCs/>
        </w:rPr>
        <w:t xml:space="preserve"> La demanda de neumáticos de Especialidades</w:t>
      </w:r>
      <w:r w:rsidR="004E23DB">
        <w:rPr>
          <w:rFonts w:hAnsi="Arial"/>
          <w:b/>
          <w:bCs/>
        </w:rPr>
        <w:t xml:space="preserve"> debería </w:t>
      </w:r>
      <w:r w:rsidR="003E4DEA">
        <w:rPr>
          <w:rFonts w:hAnsi="Arial"/>
          <w:b/>
          <w:bCs/>
        </w:rPr>
        <w:t>notar</w:t>
      </w:r>
      <w:r w:rsidR="004E23DB">
        <w:rPr>
          <w:rFonts w:hAnsi="Arial"/>
          <w:b/>
          <w:bCs/>
        </w:rPr>
        <w:t xml:space="preserve"> aún la influencia de la </w:t>
      </w:r>
      <w:r w:rsidR="00417243">
        <w:rPr>
          <w:rFonts w:hAnsi="Arial"/>
          <w:b/>
          <w:bCs/>
        </w:rPr>
        <w:t xml:space="preserve">reducción </w:t>
      </w:r>
      <w:r w:rsidR="004E23DB">
        <w:rPr>
          <w:rFonts w:hAnsi="Arial"/>
          <w:b/>
          <w:bCs/>
        </w:rPr>
        <w:t xml:space="preserve">de stocks de las compañías mineras. </w:t>
      </w:r>
    </w:p>
    <w:p w14:paraId="7CEEAF3F" w14:textId="19548E39" w:rsidR="003E4DEA" w:rsidRPr="0033327A" w:rsidRDefault="003E4DEA" w:rsidP="00C9463D">
      <w:pPr>
        <w:pStyle w:val="TextoMichelin"/>
        <w:rPr>
          <w:rFonts w:hAnsi="Arial"/>
          <w:b/>
          <w:bCs/>
        </w:rPr>
      </w:pPr>
      <w:r w:rsidRPr="0033327A">
        <w:rPr>
          <w:rFonts w:hAnsi="Arial"/>
          <w:b/>
          <w:bCs/>
        </w:rPr>
        <w:t>En esta coyuntura, Michelin tiene como objetivo</w:t>
      </w:r>
      <w:r>
        <w:rPr>
          <w:rFonts w:hAnsi="Arial"/>
          <w:b/>
          <w:bCs/>
        </w:rPr>
        <w:t xml:space="preserve"> en 2016</w:t>
      </w:r>
      <w:r w:rsidRPr="0033327A">
        <w:rPr>
          <w:rFonts w:hAnsi="Arial"/>
          <w:b/>
          <w:bCs/>
        </w:rPr>
        <w:t xml:space="preserve"> un crecimiento de los volúmenes</w:t>
      </w:r>
      <w:r w:rsidR="008C2BC6">
        <w:rPr>
          <w:rFonts w:hAnsi="Arial"/>
          <w:b/>
          <w:bCs/>
        </w:rPr>
        <w:t xml:space="preserve"> al menos</w:t>
      </w:r>
      <w:r w:rsidRPr="0033327A">
        <w:rPr>
          <w:rFonts w:hAnsi="Arial"/>
          <w:b/>
          <w:bCs/>
        </w:rPr>
        <w:t xml:space="preserve"> en línea con la evolución mundial de los mercados</w:t>
      </w:r>
      <w:r>
        <w:rPr>
          <w:rFonts w:hAnsi="Arial"/>
          <w:b/>
          <w:bCs/>
        </w:rPr>
        <w:t>,</w:t>
      </w:r>
      <w:r w:rsidR="008C2BC6">
        <w:rPr>
          <w:rFonts w:hAnsi="Arial"/>
          <w:b/>
          <w:bCs/>
        </w:rPr>
        <w:t xml:space="preserve"> </w:t>
      </w:r>
      <w:r w:rsidRPr="0033327A">
        <w:rPr>
          <w:rFonts w:hAnsi="Arial"/>
          <w:b/>
          <w:bCs/>
        </w:rPr>
        <w:t xml:space="preserve">un resultado operativo antes de elementos no recurrentes en crecimiento </w:t>
      </w:r>
      <w:r w:rsidR="008C2BC6">
        <w:rPr>
          <w:rFonts w:hAnsi="Arial"/>
          <w:b/>
          <w:bCs/>
        </w:rPr>
        <w:t xml:space="preserve">exceptuando </w:t>
      </w:r>
      <w:r w:rsidRPr="0033327A">
        <w:rPr>
          <w:rFonts w:hAnsi="Arial"/>
          <w:b/>
          <w:bCs/>
        </w:rPr>
        <w:t xml:space="preserve">el efecto del </w:t>
      </w:r>
      <w:r w:rsidR="008C2BC6">
        <w:rPr>
          <w:rFonts w:hAnsi="Arial"/>
          <w:b/>
          <w:bCs/>
        </w:rPr>
        <w:t xml:space="preserve">cambio </w:t>
      </w:r>
      <w:r w:rsidRPr="0033327A">
        <w:rPr>
          <w:rFonts w:hAnsi="Arial"/>
          <w:b/>
          <w:bCs/>
        </w:rPr>
        <w:t xml:space="preserve">y la generación de un </w:t>
      </w:r>
      <w:r w:rsidRPr="0033327A">
        <w:rPr>
          <w:rFonts w:hAnsi="Arial"/>
          <w:b/>
          <w:bCs/>
          <w:i/>
        </w:rPr>
        <w:t>cash flow</w:t>
      </w:r>
      <w:r w:rsidRPr="0033327A">
        <w:rPr>
          <w:rFonts w:hAnsi="Arial"/>
          <w:b/>
          <w:bCs/>
        </w:rPr>
        <w:t xml:space="preserve"> libre estructural </w:t>
      </w:r>
      <w:r w:rsidR="000F08D6">
        <w:rPr>
          <w:rFonts w:hAnsi="Arial"/>
          <w:b/>
          <w:bCs/>
        </w:rPr>
        <w:t>superior a</w:t>
      </w:r>
      <w:r w:rsidRPr="0033327A">
        <w:rPr>
          <w:rFonts w:hAnsi="Arial"/>
          <w:b/>
          <w:bCs/>
        </w:rPr>
        <w:t xml:space="preserve"> </w:t>
      </w:r>
      <w:r w:rsidR="000F08D6">
        <w:rPr>
          <w:rFonts w:hAnsi="Arial"/>
          <w:b/>
          <w:bCs/>
        </w:rPr>
        <w:t>8</w:t>
      </w:r>
      <w:r w:rsidRPr="0033327A">
        <w:rPr>
          <w:rFonts w:hAnsi="Arial"/>
          <w:b/>
          <w:bCs/>
        </w:rPr>
        <w:t>00 millones de euros.</w:t>
      </w:r>
    </w:p>
    <w:p w14:paraId="2FEA515E" w14:textId="7EBF0D1D" w:rsidR="00C9463D" w:rsidRPr="0033327A" w:rsidRDefault="000F08D6" w:rsidP="007961AD">
      <w:pPr>
        <w:pStyle w:val="TextoMichelin"/>
        <w:rPr>
          <w:rFonts w:hAnsi="Arial"/>
          <w:b/>
          <w:bCs/>
        </w:rPr>
      </w:pPr>
      <w:r>
        <w:rPr>
          <w:rFonts w:hAnsi="Arial"/>
          <w:b/>
          <w:bCs/>
        </w:rPr>
        <w:t>En el horizonte</w:t>
      </w:r>
      <w:r w:rsidR="00C9463D" w:rsidRPr="0033327A">
        <w:rPr>
          <w:rFonts w:hAnsi="Arial"/>
          <w:b/>
          <w:bCs/>
        </w:rPr>
        <w:t xml:space="preserve"> 2016-2020, </w:t>
      </w:r>
      <w:r>
        <w:rPr>
          <w:rFonts w:hAnsi="Arial"/>
          <w:b/>
          <w:bCs/>
        </w:rPr>
        <w:t xml:space="preserve">el Grupo se ha fijado objetivos </w:t>
      </w:r>
      <w:r w:rsidR="007961AD">
        <w:rPr>
          <w:rFonts w:hAnsi="Arial"/>
          <w:b/>
          <w:bCs/>
        </w:rPr>
        <w:t>ambiciosos</w:t>
      </w:r>
      <w:r>
        <w:rPr>
          <w:rFonts w:hAnsi="Arial"/>
          <w:b/>
          <w:bCs/>
        </w:rPr>
        <w:t xml:space="preserve"> de margen operativo antes de elementos no recurrentes de entre el 11 % y el 15 % para el segmento de</w:t>
      </w:r>
      <w:r w:rsidRPr="000F08D6">
        <w:rPr>
          <w:rFonts w:hAnsi="Arial"/>
          <w:b/>
          <w:bCs/>
        </w:rPr>
        <w:t xml:space="preserve"> </w:t>
      </w:r>
      <w:r w:rsidRPr="0033327A">
        <w:rPr>
          <w:rFonts w:hAnsi="Arial"/>
          <w:b/>
          <w:bCs/>
        </w:rPr>
        <w:t>Turismo Camioneta</w:t>
      </w:r>
      <w:r w:rsidR="007961AD">
        <w:rPr>
          <w:rFonts w:hAnsi="Arial"/>
          <w:b/>
          <w:bCs/>
        </w:rPr>
        <w:t xml:space="preserve">, de entre el </w:t>
      </w:r>
      <w:r w:rsidR="00C9463D" w:rsidRPr="0033327A">
        <w:rPr>
          <w:rFonts w:hAnsi="Arial"/>
          <w:b/>
          <w:bCs/>
        </w:rPr>
        <w:t xml:space="preserve">9 % </w:t>
      </w:r>
      <w:r w:rsidR="007961AD">
        <w:rPr>
          <w:rFonts w:hAnsi="Arial"/>
          <w:b/>
          <w:bCs/>
        </w:rPr>
        <w:t>y el</w:t>
      </w:r>
      <w:r w:rsidR="00C9463D" w:rsidRPr="0033327A">
        <w:rPr>
          <w:rFonts w:hAnsi="Arial"/>
          <w:b/>
          <w:bCs/>
        </w:rPr>
        <w:t xml:space="preserve"> 13 % </w:t>
      </w:r>
      <w:r w:rsidR="007961AD">
        <w:rPr>
          <w:rFonts w:hAnsi="Arial"/>
          <w:b/>
          <w:bCs/>
        </w:rPr>
        <w:t xml:space="preserve">para el segmento de Camión y de entre el </w:t>
      </w:r>
      <w:r w:rsidR="00C9463D" w:rsidRPr="0033327A">
        <w:rPr>
          <w:rFonts w:hAnsi="Arial"/>
          <w:b/>
          <w:bCs/>
        </w:rPr>
        <w:t xml:space="preserve">17 % </w:t>
      </w:r>
      <w:r w:rsidR="007961AD">
        <w:rPr>
          <w:rFonts w:hAnsi="Arial"/>
          <w:b/>
          <w:bCs/>
        </w:rPr>
        <w:t>y el</w:t>
      </w:r>
      <w:r w:rsidR="00C9463D" w:rsidRPr="0033327A">
        <w:rPr>
          <w:rFonts w:hAnsi="Arial"/>
          <w:b/>
          <w:bCs/>
        </w:rPr>
        <w:t xml:space="preserve"> 24 % </w:t>
      </w:r>
      <w:r w:rsidR="007961AD">
        <w:rPr>
          <w:rFonts w:hAnsi="Arial"/>
          <w:b/>
          <w:bCs/>
        </w:rPr>
        <w:t>para el segmento de Especialidades</w:t>
      </w:r>
      <w:r w:rsidR="00C9463D" w:rsidRPr="0033327A">
        <w:rPr>
          <w:rFonts w:hAnsi="Arial"/>
          <w:b/>
          <w:bCs/>
        </w:rPr>
        <w:t>.</w:t>
      </w:r>
    </w:p>
    <w:p w14:paraId="7B879242" w14:textId="77777777" w:rsidR="00C9463D" w:rsidRPr="0033327A" w:rsidRDefault="00C9463D" w:rsidP="00C9463D">
      <w:pPr>
        <w:pStyle w:val="TextoMichelin"/>
        <w:rPr>
          <w:rFonts w:hAnsi="Arial"/>
          <w:b/>
          <w:bCs/>
        </w:rPr>
      </w:pPr>
    </w:p>
    <w:p w14:paraId="58900D4F" w14:textId="13D86584" w:rsidR="00700DFB" w:rsidRPr="0033327A" w:rsidRDefault="00700DFB">
      <w:pPr>
        <w:pStyle w:val="TextoMichelin"/>
        <w:rPr>
          <w:rFonts w:hAnsi="Arial"/>
          <w:b/>
          <w:bCs/>
        </w:rPr>
      </w:pPr>
    </w:p>
    <w:p w14:paraId="295B85B7" w14:textId="77777777" w:rsidR="00700DFB" w:rsidRPr="0033327A" w:rsidRDefault="00700DFB">
      <w:pPr>
        <w:pStyle w:val="TextoMichelin"/>
        <w:rPr>
          <w:b/>
          <w:bCs/>
        </w:rPr>
      </w:pPr>
    </w:p>
    <w:p w14:paraId="3725742E" w14:textId="77777777" w:rsidR="00700DFB" w:rsidRPr="0033327A" w:rsidRDefault="00700DFB">
      <w:pPr>
        <w:pStyle w:val="TextoMichelin"/>
        <w:rPr>
          <w:b/>
          <w:bCs/>
        </w:rPr>
      </w:pPr>
    </w:p>
    <w:p w14:paraId="32E6D31E" w14:textId="77777777" w:rsidR="00700DFB" w:rsidRPr="0033327A" w:rsidRDefault="00700DFB">
      <w:pPr>
        <w:pStyle w:val="TextoMichelin"/>
        <w:rPr>
          <w:b/>
          <w:bCs/>
        </w:rPr>
      </w:pPr>
    </w:p>
    <w:p w14:paraId="5C3DE789" w14:textId="77777777" w:rsidR="00700DFB" w:rsidRDefault="00700DFB">
      <w:pPr>
        <w:pStyle w:val="TextoMichelin"/>
        <w:rPr>
          <w:b/>
          <w:bCs/>
        </w:rPr>
      </w:pPr>
    </w:p>
    <w:p w14:paraId="2C079CD4" w14:textId="77777777" w:rsidR="00DF34E3" w:rsidRDefault="00DF34E3">
      <w:pPr>
        <w:pStyle w:val="TextoMichelin"/>
        <w:rPr>
          <w:b/>
          <w:bCs/>
        </w:rPr>
      </w:pPr>
    </w:p>
    <w:p w14:paraId="3B18294A" w14:textId="77777777" w:rsidR="00DF34E3" w:rsidRPr="0033327A" w:rsidRDefault="00DF34E3">
      <w:pPr>
        <w:pStyle w:val="TextoMichelin"/>
        <w:rPr>
          <w:b/>
          <w:bCs/>
        </w:rPr>
      </w:pPr>
    </w:p>
    <w:p w14:paraId="4DE8511B" w14:textId="77777777" w:rsidR="00700DFB" w:rsidRPr="0033327A" w:rsidRDefault="00700DFB">
      <w:pPr>
        <w:pStyle w:val="TextoMichelin"/>
        <w:rPr>
          <w:b/>
          <w:bCs/>
        </w:rPr>
      </w:pPr>
    </w:p>
    <w:p w14:paraId="647C4695" w14:textId="77777777" w:rsidR="00700DFB" w:rsidRPr="0033327A" w:rsidRDefault="00700DFB">
      <w:pPr>
        <w:pStyle w:val="TextoMichelin"/>
        <w:rPr>
          <w:b/>
          <w:bCs/>
        </w:rPr>
      </w:pPr>
    </w:p>
    <w:p w14:paraId="3E1CA9CB" w14:textId="77777777" w:rsidR="00AC69EC" w:rsidRPr="0033327A" w:rsidRDefault="00AC69EC">
      <w:pPr>
        <w:pStyle w:val="TextoMichelin"/>
        <w:jc w:val="left"/>
        <w:rPr>
          <w:sz w:val="20"/>
          <w:szCs w:val="20"/>
        </w:rPr>
        <w:sectPr w:rsidR="00AC69EC" w:rsidRPr="0033327A">
          <w:headerReference w:type="default" r:id="rId7"/>
          <w:footerReference w:type="default" r:id="rId8"/>
          <w:footnotePr>
            <w:numFmt w:val="chicago"/>
          </w:footnotePr>
          <w:pgSz w:w="11900" w:h="16840"/>
          <w:pgMar w:top="1417" w:right="1701" w:bottom="1417" w:left="1701" w:header="708" w:footer="396" w:gutter="0"/>
          <w:cols w:space="720"/>
        </w:sectPr>
      </w:pP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2126"/>
        <w:gridCol w:w="2284"/>
      </w:tblGrid>
      <w:tr w:rsidR="00A07724" w:rsidRPr="0033327A" w14:paraId="64850721" w14:textId="77777777" w:rsidTr="00DC4EE0">
        <w:trPr>
          <w:trHeight w:val="410"/>
          <w:jc w:val="center"/>
        </w:trPr>
        <w:tc>
          <w:tcPr>
            <w:tcW w:w="4082" w:type="dxa"/>
            <w:tcBorders>
              <w:bottom w:val="single" w:sz="4" w:space="0" w:color="auto"/>
            </w:tcBorders>
            <w:shd w:val="clear" w:color="auto" w:fill="D9D9D9" w:themeFill="background1" w:themeFillShade="D9"/>
          </w:tcPr>
          <w:p w14:paraId="0D1A329F" w14:textId="48F74EBE" w:rsidR="00EE595C" w:rsidRPr="0033327A" w:rsidRDefault="00EE595C" w:rsidP="00EA1A0D">
            <w:pPr>
              <w:pStyle w:val="Cuerpo"/>
              <w:tabs>
                <w:tab w:val="left" w:pos="360"/>
              </w:tabs>
              <w:spacing w:after="240" w:line="270" w:lineRule="atLeast"/>
              <w:jc w:val="center"/>
              <w:rPr>
                <w:rFonts w:ascii="Arial" w:hAnsi="Arial"/>
                <w:sz w:val="20"/>
                <w:szCs w:val="20"/>
              </w:rPr>
            </w:pPr>
            <w:r w:rsidRPr="0033327A">
              <w:rPr>
                <w:rFonts w:ascii="Arial" w:hAnsi="Arial"/>
                <w:sz w:val="20"/>
                <w:szCs w:val="20"/>
              </w:rPr>
              <w:lastRenderedPageBreak/>
              <w:t>(EN MILLONES DE EUROS)</w:t>
            </w:r>
          </w:p>
        </w:tc>
        <w:tc>
          <w:tcPr>
            <w:tcW w:w="2126" w:type="dxa"/>
            <w:tcBorders>
              <w:bottom w:val="single" w:sz="4" w:space="0" w:color="auto"/>
            </w:tcBorders>
            <w:shd w:val="clear" w:color="auto" w:fill="D9D9D9" w:themeFill="background1" w:themeFillShade="D9"/>
          </w:tcPr>
          <w:p w14:paraId="53F6EAC7" w14:textId="77777777" w:rsidR="00EE595C" w:rsidRPr="0033327A" w:rsidRDefault="00EE595C" w:rsidP="00EA1A0D">
            <w:pPr>
              <w:pStyle w:val="Cuerpo"/>
              <w:tabs>
                <w:tab w:val="left" w:pos="360"/>
              </w:tabs>
              <w:spacing w:after="240" w:line="270" w:lineRule="atLeast"/>
              <w:jc w:val="center"/>
              <w:rPr>
                <w:rFonts w:ascii="Arial" w:hAnsi="Arial"/>
                <w:sz w:val="20"/>
                <w:szCs w:val="20"/>
              </w:rPr>
            </w:pPr>
            <w:r w:rsidRPr="0033327A">
              <w:rPr>
                <w:rFonts w:ascii="Arial" w:hAnsi="Arial"/>
                <w:sz w:val="20"/>
                <w:szCs w:val="20"/>
              </w:rPr>
              <w:t>2015</w:t>
            </w:r>
          </w:p>
        </w:tc>
        <w:tc>
          <w:tcPr>
            <w:tcW w:w="2284" w:type="dxa"/>
            <w:tcBorders>
              <w:bottom w:val="single" w:sz="4" w:space="0" w:color="auto"/>
            </w:tcBorders>
            <w:shd w:val="clear" w:color="auto" w:fill="D9D9D9" w:themeFill="background1" w:themeFillShade="D9"/>
          </w:tcPr>
          <w:p w14:paraId="1CC59F82" w14:textId="77777777" w:rsidR="00EE595C" w:rsidRPr="0033327A" w:rsidRDefault="00EE595C" w:rsidP="00EA1A0D">
            <w:pPr>
              <w:pStyle w:val="Cuerpo"/>
              <w:tabs>
                <w:tab w:val="left" w:pos="360"/>
              </w:tabs>
              <w:spacing w:after="240" w:line="270" w:lineRule="atLeast"/>
              <w:jc w:val="center"/>
              <w:rPr>
                <w:rFonts w:ascii="Arial" w:hAnsi="Arial"/>
                <w:sz w:val="20"/>
                <w:szCs w:val="20"/>
              </w:rPr>
            </w:pPr>
            <w:r w:rsidRPr="0033327A">
              <w:rPr>
                <w:rFonts w:ascii="Arial" w:hAnsi="Arial"/>
                <w:sz w:val="20"/>
                <w:szCs w:val="20"/>
              </w:rPr>
              <w:t>2014</w:t>
            </w:r>
          </w:p>
        </w:tc>
      </w:tr>
      <w:tr w:rsidR="008921B1" w:rsidRPr="0033327A" w14:paraId="1FE97C65" w14:textId="77777777" w:rsidTr="00AB465B">
        <w:trPr>
          <w:jc w:val="center"/>
        </w:trPr>
        <w:tc>
          <w:tcPr>
            <w:tcW w:w="4082" w:type="dxa"/>
          </w:tcPr>
          <w:p w14:paraId="473B4BAC" w14:textId="4920D601" w:rsidR="008921B1" w:rsidRPr="0033327A" w:rsidRDefault="008921B1" w:rsidP="00FE4391">
            <w:pPr>
              <w:pStyle w:val="TextoMichelin"/>
              <w:jc w:val="left"/>
              <w:rPr>
                <w:rFonts w:eastAsia="Times New Roman" w:hAnsi="Arial" w:cs="Arial"/>
                <w:bCs/>
                <w:smallCaps/>
                <w:color w:val="auto"/>
                <w:sz w:val="20"/>
                <w:szCs w:val="20"/>
                <w:bdr w:val="none" w:sz="0" w:space="0" w:color="auto"/>
                <w:lang w:eastAsia="fr-FR"/>
              </w:rPr>
            </w:pPr>
            <w:r w:rsidRPr="0033327A">
              <w:rPr>
                <w:rFonts w:eastAsia="Times New Roman" w:hAnsi="Arial" w:cs="Arial"/>
                <w:bCs/>
                <w:smallCaps/>
                <w:color w:val="auto"/>
                <w:sz w:val="20"/>
                <w:szCs w:val="20"/>
                <w:bdr w:val="none" w:sz="0" w:space="0" w:color="auto"/>
                <w:lang w:eastAsia="fr-FR"/>
              </w:rPr>
              <w:t>Ventas netas</w:t>
            </w:r>
          </w:p>
        </w:tc>
        <w:tc>
          <w:tcPr>
            <w:tcW w:w="2126" w:type="dxa"/>
          </w:tcPr>
          <w:p w14:paraId="48D2CD44" w14:textId="7712C87E" w:rsidR="008921B1" w:rsidRPr="0033327A" w:rsidRDefault="008921B1" w:rsidP="00EA1A0D">
            <w:pPr>
              <w:tabs>
                <w:tab w:val="left" w:pos="360"/>
              </w:tabs>
              <w:spacing w:after="240" w:line="270" w:lineRule="atLeast"/>
              <w:jc w:val="center"/>
              <w:rPr>
                <w:rFonts w:ascii="Arial" w:eastAsia="Times" w:hAnsi="Arial" w:cs="Arial"/>
                <w:b/>
                <w:bCs/>
                <w:color w:val="000000"/>
                <w:sz w:val="20"/>
                <w:szCs w:val="20"/>
                <w:u w:color="000000"/>
                <w:lang w:eastAsia="es-ES"/>
              </w:rPr>
            </w:pPr>
            <w:r w:rsidRPr="0033327A">
              <w:rPr>
                <w:rFonts w:ascii="Arial" w:hAnsi="Arial" w:cs="Arial"/>
                <w:b/>
                <w:bCs/>
                <w:sz w:val="20"/>
                <w:szCs w:val="20"/>
              </w:rPr>
              <w:t>21</w:t>
            </w:r>
            <w:r w:rsidR="00EB5C87" w:rsidRPr="0033327A">
              <w:rPr>
                <w:rFonts w:ascii="Arial" w:hAnsi="Arial" w:cs="Arial"/>
                <w:b/>
                <w:bCs/>
                <w:sz w:val="20"/>
                <w:szCs w:val="20"/>
              </w:rPr>
              <w:t>.</w:t>
            </w:r>
            <w:r w:rsidRPr="0033327A">
              <w:rPr>
                <w:rFonts w:ascii="Arial" w:hAnsi="Arial" w:cs="Arial"/>
                <w:b/>
                <w:bCs/>
                <w:sz w:val="20"/>
                <w:szCs w:val="20"/>
              </w:rPr>
              <w:t>199</w:t>
            </w:r>
          </w:p>
        </w:tc>
        <w:tc>
          <w:tcPr>
            <w:tcW w:w="2284" w:type="dxa"/>
          </w:tcPr>
          <w:p w14:paraId="5A1983FE" w14:textId="423E2878" w:rsidR="008921B1" w:rsidRPr="0033327A" w:rsidRDefault="008921B1" w:rsidP="00EA1A0D">
            <w:pPr>
              <w:tabs>
                <w:tab w:val="left" w:pos="360"/>
              </w:tabs>
              <w:spacing w:after="240" w:line="270" w:lineRule="atLeast"/>
              <w:jc w:val="center"/>
              <w:rPr>
                <w:rFonts w:ascii="Arial" w:eastAsia="Times" w:hAnsi="Arial" w:cs="Arial"/>
                <w:b/>
                <w:bCs/>
                <w:color w:val="000000"/>
                <w:sz w:val="20"/>
                <w:szCs w:val="20"/>
                <w:u w:color="000000"/>
                <w:lang w:eastAsia="es-ES"/>
              </w:rPr>
            </w:pPr>
            <w:r w:rsidRPr="0033327A">
              <w:rPr>
                <w:rFonts w:ascii="Arial" w:hAnsi="Arial" w:cs="Arial"/>
                <w:b/>
                <w:bCs/>
                <w:sz w:val="20"/>
                <w:szCs w:val="20"/>
              </w:rPr>
              <w:t>19</w:t>
            </w:r>
            <w:r w:rsidR="00EB5C87" w:rsidRPr="0033327A">
              <w:rPr>
                <w:rFonts w:ascii="Arial" w:hAnsi="Arial" w:cs="Arial"/>
                <w:b/>
                <w:bCs/>
                <w:sz w:val="20"/>
                <w:szCs w:val="20"/>
              </w:rPr>
              <w:t>.</w:t>
            </w:r>
            <w:r w:rsidRPr="0033327A">
              <w:rPr>
                <w:rFonts w:ascii="Arial" w:hAnsi="Arial" w:cs="Arial"/>
                <w:b/>
                <w:bCs/>
                <w:sz w:val="20"/>
                <w:szCs w:val="20"/>
              </w:rPr>
              <w:t>553</w:t>
            </w:r>
          </w:p>
        </w:tc>
      </w:tr>
      <w:tr w:rsidR="008921B1" w:rsidRPr="0033327A" w14:paraId="31B1BAD0" w14:textId="77777777" w:rsidTr="00AB465B">
        <w:trPr>
          <w:jc w:val="center"/>
        </w:trPr>
        <w:tc>
          <w:tcPr>
            <w:tcW w:w="4082" w:type="dxa"/>
          </w:tcPr>
          <w:p w14:paraId="749E83EE" w14:textId="310F117E" w:rsidR="008921B1" w:rsidRPr="0033327A" w:rsidRDefault="008921B1" w:rsidP="00FE4391">
            <w:pPr>
              <w:pStyle w:val="TextoMichelin"/>
              <w:jc w:val="left"/>
              <w:rPr>
                <w:rFonts w:eastAsia="Times New Roman" w:hAnsi="Arial" w:cs="Arial"/>
                <w:bCs/>
                <w:smallCaps/>
                <w:color w:val="auto"/>
                <w:sz w:val="20"/>
                <w:szCs w:val="20"/>
                <w:bdr w:val="none" w:sz="0" w:space="0" w:color="auto"/>
                <w:lang w:eastAsia="fr-FR"/>
              </w:rPr>
            </w:pPr>
            <w:r w:rsidRPr="0033327A">
              <w:rPr>
                <w:rFonts w:eastAsia="Times New Roman" w:hAnsi="Arial" w:cs="Arial"/>
                <w:bCs/>
                <w:smallCaps/>
                <w:color w:val="auto"/>
                <w:sz w:val="20"/>
                <w:szCs w:val="20"/>
                <w:bdr w:val="none" w:sz="0" w:space="0" w:color="auto"/>
                <w:lang w:eastAsia="fr-FR"/>
              </w:rPr>
              <w:t>Resultado operativo antes de elementos no recurrentes</w:t>
            </w:r>
          </w:p>
        </w:tc>
        <w:tc>
          <w:tcPr>
            <w:tcW w:w="2126" w:type="dxa"/>
          </w:tcPr>
          <w:p w14:paraId="439602B0" w14:textId="77777777" w:rsidR="008921B1" w:rsidRPr="0033327A" w:rsidRDefault="008921B1" w:rsidP="0097284C">
            <w:pPr>
              <w:tabs>
                <w:tab w:val="left" w:pos="360"/>
              </w:tabs>
              <w:jc w:val="center"/>
              <w:rPr>
                <w:rFonts w:ascii="Arial" w:hAnsi="Arial" w:cs="Arial"/>
                <w:bCs/>
                <w:sz w:val="20"/>
                <w:szCs w:val="20"/>
              </w:rPr>
            </w:pPr>
          </w:p>
          <w:p w14:paraId="064DAA56" w14:textId="44787D33" w:rsidR="008921B1" w:rsidRPr="0033327A" w:rsidRDefault="008921B1" w:rsidP="00EB5C87">
            <w:pPr>
              <w:tabs>
                <w:tab w:val="left" w:pos="360"/>
              </w:tabs>
              <w:jc w:val="center"/>
              <w:rPr>
                <w:rFonts w:ascii="Arial" w:eastAsia="Times" w:hAnsi="Arial" w:cs="Arial"/>
                <w:b/>
                <w:bCs/>
                <w:color w:val="000000"/>
                <w:sz w:val="20"/>
                <w:szCs w:val="20"/>
                <w:u w:color="000000"/>
                <w:lang w:eastAsia="es-ES"/>
              </w:rPr>
            </w:pPr>
            <w:r w:rsidRPr="0033327A">
              <w:rPr>
                <w:rFonts w:ascii="Arial" w:hAnsi="Arial" w:cs="Arial"/>
                <w:b/>
                <w:bCs/>
                <w:sz w:val="20"/>
                <w:szCs w:val="20"/>
              </w:rPr>
              <w:t>2</w:t>
            </w:r>
            <w:r w:rsidR="00EB5C87" w:rsidRPr="0033327A">
              <w:rPr>
                <w:rFonts w:ascii="Arial" w:hAnsi="Arial" w:cs="Arial"/>
                <w:b/>
                <w:bCs/>
                <w:sz w:val="20"/>
                <w:szCs w:val="20"/>
              </w:rPr>
              <w:t>.</w:t>
            </w:r>
            <w:r w:rsidRPr="0033327A">
              <w:rPr>
                <w:rFonts w:ascii="Arial" w:hAnsi="Arial" w:cs="Arial"/>
                <w:b/>
                <w:bCs/>
                <w:sz w:val="20"/>
                <w:szCs w:val="20"/>
              </w:rPr>
              <w:t>577</w:t>
            </w:r>
          </w:p>
        </w:tc>
        <w:tc>
          <w:tcPr>
            <w:tcW w:w="2284" w:type="dxa"/>
          </w:tcPr>
          <w:p w14:paraId="0A3D8B06" w14:textId="77777777" w:rsidR="008921B1" w:rsidRPr="0033327A" w:rsidRDefault="008921B1" w:rsidP="0097284C">
            <w:pPr>
              <w:tabs>
                <w:tab w:val="left" w:pos="360"/>
              </w:tabs>
              <w:jc w:val="center"/>
              <w:rPr>
                <w:rFonts w:ascii="Arial" w:hAnsi="Arial" w:cs="Arial"/>
                <w:bCs/>
                <w:sz w:val="20"/>
                <w:szCs w:val="20"/>
              </w:rPr>
            </w:pPr>
          </w:p>
          <w:p w14:paraId="61707126" w14:textId="749FC447" w:rsidR="008921B1" w:rsidRPr="0033327A" w:rsidRDefault="008921B1" w:rsidP="00EB5C87">
            <w:pPr>
              <w:tabs>
                <w:tab w:val="left" w:pos="360"/>
              </w:tabs>
              <w:jc w:val="center"/>
              <w:rPr>
                <w:rFonts w:ascii="Arial" w:eastAsia="Times" w:hAnsi="Arial" w:cs="Arial"/>
                <w:b/>
                <w:bCs/>
                <w:color w:val="000000"/>
                <w:sz w:val="20"/>
                <w:szCs w:val="20"/>
                <w:u w:color="000000"/>
                <w:lang w:eastAsia="es-ES"/>
              </w:rPr>
            </w:pPr>
            <w:r w:rsidRPr="0033327A">
              <w:rPr>
                <w:rFonts w:ascii="Arial" w:hAnsi="Arial" w:cs="Arial"/>
                <w:b/>
                <w:bCs/>
                <w:sz w:val="20"/>
                <w:szCs w:val="20"/>
              </w:rPr>
              <w:t>2</w:t>
            </w:r>
            <w:r w:rsidR="00EB5C87" w:rsidRPr="0033327A">
              <w:rPr>
                <w:rFonts w:ascii="Arial" w:hAnsi="Arial" w:cs="Arial"/>
                <w:b/>
                <w:bCs/>
                <w:sz w:val="20"/>
                <w:szCs w:val="20"/>
              </w:rPr>
              <w:t>.</w:t>
            </w:r>
            <w:r w:rsidRPr="0033327A">
              <w:rPr>
                <w:rFonts w:ascii="Arial" w:hAnsi="Arial" w:cs="Arial"/>
                <w:b/>
                <w:bCs/>
                <w:sz w:val="20"/>
                <w:szCs w:val="20"/>
              </w:rPr>
              <w:t>170</w:t>
            </w:r>
          </w:p>
        </w:tc>
      </w:tr>
      <w:tr w:rsidR="008921B1" w:rsidRPr="0033327A" w14:paraId="0F357460" w14:textId="77777777" w:rsidTr="00AB465B">
        <w:trPr>
          <w:jc w:val="center"/>
        </w:trPr>
        <w:tc>
          <w:tcPr>
            <w:tcW w:w="4082" w:type="dxa"/>
            <w:tcBorders>
              <w:top w:val="single" w:sz="4" w:space="0" w:color="auto"/>
              <w:left w:val="single" w:sz="4" w:space="0" w:color="auto"/>
              <w:bottom w:val="single" w:sz="4" w:space="0" w:color="auto"/>
              <w:right w:val="single" w:sz="4" w:space="0" w:color="auto"/>
            </w:tcBorders>
          </w:tcPr>
          <w:p w14:paraId="017ED592" w14:textId="7DB4ED61" w:rsidR="008921B1" w:rsidRPr="0033327A" w:rsidRDefault="008921B1" w:rsidP="00FE4391">
            <w:pPr>
              <w:pStyle w:val="TextoMichelin"/>
              <w:jc w:val="left"/>
              <w:rPr>
                <w:rFonts w:eastAsia="Times New Roman" w:hAnsi="Arial" w:cs="Arial"/>
                <w:bCs/>
                <w:smallCaps/>
                <w:color w:val="auto"/>
                <w:sz w:val="20"/>
                <w:szCs w:val="20"/>
                <w:bdr w:val="none" w:sz="0" w:space="0" w:color="auto"/>
                <w:lang w:eastAsia="fr-FR"/>
              </w:rPr>
            </w:pPr>
            <w:r w:rsidRPr="0033327A">
              <w:rPr>
                <w:rFonts w:eastAsia="Times New Roman" w:hAnsi="Arial" w:cs="Arial"/>
                <w:bCs/>
                <w:smallCaps/>
                <w:color w:val="auto"/>
                <w:sz w:val="20"/>
                <w:szCs w:val="20"/>
                <w:bdr w:val="none" w:sz="0" w:space="0" w:color="auto"/>
                <w:lang w:eastAsia="fr-FR"/>
              </w:rPr>
              <w:t>Margen operativo antes de elementos no recurrentes</w:t>
            </w:r>
          </w:p>
        </w:tc>
        <w:tc>
          <w:tcPr>
            <w:tcW w:w="2126" w:type="dxa"/>
            <w:tcBorders>
              <w:top w:val="single" w:sz="4" w:space="0" w:color="auto"/>
              <w:left w:val="single" w:sz="4" w:space="0" w:color="auto"/>
              <w:bottom w:val="single" w:sz="4" w:space="0" w:color="auto"/>
              <w:right w:val="single" w:sz="4" w:space="0" w:color="auto"/>
            </w:tcBorders>
          </w:tcPr>
          <w:p w14:paraId="3D58219C" w14:textId="77777777" w:rsidR="008921B1" w:rsidRPr="0033327A" w:rsidRDefault="008921B1" w:rsidP="0097284C">
            <w:pPr>
              <w:tabs>
                <w:tab w:val="left" w:pos="360"/>
              </w:tabs>
              <w:jc w:val="center"/>
              <w:rPr>
                <w:rFonts w:ascii="Arial" w:hAnsi="Arial" w:cs="Arial"/>
                <w:b/>
                <w:bCs/>
                <w:sz w:val="20"/>
                <w:szCs w:val="20"/>
              </w:rPr>
            </w:pPr>
          </w:p>
          <w:p w14:paraId="662CAAB5" w14:textId="3135311C" w:rsidR="008921B1" w:rsidRPr="0033327A" w:rsidRDefault="008921B1" w:rsidP="00035D4D">
            <w:pPr>
              <w:tabs>
                <w:tab w:val="left" w:pos="360"/>
              </w:tabs>
              <w:jc w:val="center"/>
              <w:rPr>
                <w:rFonts w:ascii="Arial" w:eastAsia="Times" w:hAnsi="Arial" w:cs="Arial"/>
                <w:b/>
                <w:bCs/>
                <w:color w:val="000000"/>
                <w:sz w:val="20"/>
                <w:szCs w:val="20"/>
                <w:u w:color="000000"/>
                <w:lang w:eastAsia="es-ES"/>
              </w:rPr>
            </w:pPr>
            <w:r w:rsidRPr="0033327A">
              <w:rPr>
                <w:rFonts w:ascii="Arial" w:hAnsi="Arial" w:cs="Arial"/>
                <w:b/>
                <w:bCs/>
                <w:sz w:val="20"/>
                <w:szCs w:val="20"/>
              </w:rPr>
              <w:t>12,2 %</w:t>
            </w:r>
          </w:p>
        </w:tc>
        <w:tc>
          <w:tcPr>
            <w:tcW w:w="2284" w:type="dxa"/>
            <w:tcBorders>
              <w:top w:val="single" w:sz="4" w:space="0" w:color="auto"/>
              <w:left w:val="single" w:sz="4" w:space="0" w:color="auto"/>
              <w:bottom w:val="single" w:sz="4" w:space="0" w:color="auto"/>
              <w:right w:val="single" w:sz="4" w:space="0" w:color="auto"/>
            </w:tcBorders>
          </w:tcPr>
          <w:p w14:paraId="6B3CC4B2" w14:textId="77777777" w:rsidR="008921B1" w:rsidRPr="0033327A" w:rsidRDefault="008921B1" w:rsidP="0097284C">
            <w:pPr>
              <w:tabs>
                <w:tab w:val="left" w:pos="360"/>
              </w:tabs>
              <w:jc w:val="center"/>
              <w:rPr>
                <w:rFonts w:ascii="Arial" w:hAnsi="Arial" w:cs="Arial"/>
                <w:b/>
                <w:bCs/>
                <w:sz w:val="20"/>
                <w:szCs w:val="20"/>
              </w:rPr>
            </w:pPr>
          </w:p>
          <w:p w14:paraId="7891DF6E" w14:textId="2589CD6B" w:rsidR="008921B1" w:rsidRPr="0033327A" w:rsidRDefault="008921B1" w:rsidP="00035D4D">
            <w:pPr>
              <w:tabs>
                <w:tab w:val="left" w:pos="360"/>
              </w:tabs>
              <w:jc w:val="center"/>
              <w:rPr>
                <w:rFonts w:ascii="Arial" w:eastAsia="Times" w:hAnsi="Arial" w:cs="Arial"/>
                <w:b/>
                <w:bCs/>
                <w:color w:val="000000"/>
                <w:sz w:val="20"/>
                <w:szCs w:val="20"/>
                <w:u w:color="000000"/>
                <w:lang w:eastAsia="es-ES"/>
              </w:rPr>
            </w:pPr>
            <w:r w:rsidRPr="0033327A">
              <w:rPr>
                <w:rFonts w:ascii="Arial" w:hAnsi="Arial" w:cs="Arial"/>
                <w:b/>
                <w:bCs/>
                <w:sz w:val="20"/>
                <w:szCs w:val="20"/>
              </w:rPr>
              <w:t>11,1 %</w:t>
            </w:r>
          </w:p>
        </w:tc>
      </w:tr>
      <w:tr w:rsidR="008921B1" w:rsidRPr="0033327A" w14:paraId="442C806E" w14:textId="77777777" w:rsidTr="00AB465B">
        <w:trPr>
          <w:jc w:val="center"/>
        </w:trPr>
        <w:tc>
          <w:tcPr>
            <w:tcW w:w="4082" w:type="dxa"/>
          </w:tcPr>
          <w:p w14:paraId="7074B677" w14:textId="20B2BADF" w:rsidR="008921B1" w:rsidRPr="0033327A" w:rsidRDefault="008921B1" w:rsidP="00FE4391">
            <w:pPr>
              <w:pStyle w:val="TextoMichelin"/>
              <w:jc w:val="left"/>
              <w:rPr>
                <w:rFonts w:eastAsia="Times New Roman" w:hAnsi="Arial" w:cs="Arial"/>
                <w:bCs/>
                <w:smallCaps/>
                <w:color w:val="auto"/>
                <w:sz w:val="20"/>
                <w:szCs w:val="20"/>
                <w:bdr w:val="none" w:sz="0" w:space="0" w:color="auto"/>
                <w:lang w:eastAsia="fr-FR"/>
              </w:rPr>
            </w:pPr>
            <w:r w:rsidRPr="0033327A">
              <w:rPr>
                <w:rFonts w:eastAsia="Times New Roman" w:hAnsi="Arial" w:cs="Arial"/>
                <w:bCs/>
                <w:smallCaps/>
                <w:color w:val="auto"/>
                <w:sz w:val="20"/>
                <w:szCs w:val="20"/>
                <w:bdr w:val="none" w:sz="0" w:space="0" w:color="auto"/>
                <w:lang w:eastAsia="fr-FR"/>
              </w:rPr>
              <w:t xml:space="preserve">Turismo, camioneta y distribución asociada </w:t>
            </w:r>
          </w:p>
        </w:tc>
        <w:tc>
          <w:tcPr>
            <w:tcW w:w="2126" w:type="dxa"/>
          </w:tcPr>
          <w:p w14:paraId="62A9B5BC" w14:textId="77777777" w:rsidR="008921B1" w:rsidRPr="0033327A" w:rsidRDefault="008921B1" w:rsidP="0097284C">
            <w:pPr>
              <w:tabs>
                <w:tab w:val="left" w:pos="360"/>
              </w:tabs>
              <w:jc w:val="center"/>
              <w:rPr>
                <w:rFonts w:ascii="Arial" w:hAnsi="Arial" w:cs="Arial"/>
                <w:b/>
                <w:bCs/>
                <w:sz w:val="20"/>
                <w:szCs w:val="20"/>
              </w:rPr>
            </w:pPr>
          </w:p>
          <w:p w14:paraId="20EF9B9A" w14:textId="23ADC677" w:rsidR="008921B1" w:rsidRPr="0033327A" w:rsidRDefault="008921B1" w:rsidP="00035D4D">
            <w:pPr>
              <w:tabs>
                <w:tab w:val="left" w:pos="360"/>
              </w:tabs>
              <w:jc w:val="center"/>
              <w:rPr>
                <w:rFonts w:ascii="Arial" w:eastAsia="Times" w:hAnsi="Arial" w:cs="Arial"/>
                <w:b/>
                <w:bCs/>
                <w:color w:val="000000"/>
                <w:sz w:val="20"/>
                <w:szCs w:val="20"/>
                <w:u w:color="000000"/>
                <w:lang w:eastAsia="es-ES"/>
              </w:rPr>
            </w:pPr>
            <w:r w:rsidRPr="0033327A">
              <w:rPr>
                <w:rFonts w:ascii="Arial" w:hAnsi="Arial" w:cs="Arial"/>
                <w:b/>
                <w:bCs/>
                <w:sz w:val="20"/>
                <w:szCs w:val="20"/>
              </w:rPr>
              <w:t>11,5 %</w:t>
            </w:r>
          </w:p>
        </w:tc>
        <w:tc>
          <w:tcPr>
            <w:tcW w:w="2284" w:type="dxa"/>
          </w:tcPr>
          <w:p w14:paraId="06EE0558" w14:textId="77777777" w:rsidR="008921B1" w:rsidRPr="0033327A" w:rsidRDefault="008921B1" w:rsidP="0097284C">
            <w:pPr>
              <w:tabs>
                <w:tab w:val="left" w:pos="360"/>
              </w:tabs>
              <w:jc w:val="center"/>
              <w:rPr>
                <w:rFonts w:ascii="Arial" w:hAnsi="Arial" w:cs="Arial"/>
                <w:b/>
                <w:bCs/>
                <w:sz w:val="20"/>
                <w:szCs w:val="20"/>
              </w:rPr>
            </w:pPr>
          </w:p>
          <w:p w14:paraId="0B046F3F" w14:textId="744FA575" w:rsidR="008921B1" w:rsidRPr="0033327A" w:rsidRDefault="008921B1" w:rsidP="00035D4D">
            <w:pPr>
              <w:tabs>
                <w:tab w:val="left" w:pos="360"/>
              </w:tabs>
              <w:jc w:val="center"/>
              <w:rPr>
                <w:rFonts w:ascii="Arial" w:eastAsia="Times" w:hAnsi="Arial" w:cs="Arial"/>
                <w:b/>
                <w:bCs/>
                <w:color w:val="000000"/>
                <w:sz w:val="20"/>
                <w:szCs w:val="20"/>
                <w:u w:color="000000"/>
                <w:lang w:eastAsia="es-ES"/>
              </w:rPr>
            </w:pPr>
            <w:r w:rsidRPr="0033327A">
              <w:rPr>
                <w:rFonts w:ascii="Arial" w:hAnsi="Arial" w:cs="Arial"/>
                <w:b/>
                <w:bCs/>
                <w:sz w:val="20"/>
                <w:szCs w:val="20"/>
              </w:rPr>
              <w:t>10,5 %</w:t>
            </w:r>
          </w:p>
        </w:tc>
      </w:tr>
      <w:tr w:rsidR="008921B1" w:rsidRPr="0033327A" w14:paraId="45961578" w14:textId="77777777" w:rsidTr="00AB465B">
        <w:trPr>
          <w:jc w:val="center"/>
        </w:trPr>
        <w:tc>
          <w:tcPr>
            <w:tcW w:w="4082" w:type="dxa"/>
          </w:tcPr>
          <w:p w14:paraId="2F88FAAA" w14:textId="3DA3676A" w:rsidR="008921B1" w:rsidRPr="0033327A" w:rsidRDefault="008921B1" w:rsidP="00FE4391">
            <w:pPr>
              <w:pStyle w:val="TextoMichelin"/>
              <w:jc w:val="left"/>
              <w:rPr>
                <w:rFonts w:eastAsia="Times New Roman" w:hAnsi="Arial" w:cs="Arial"/>
                <w:bCs/>
                <w:smallCaps/>
                <w:color w:val="auto"/>
                <w:sz w:val="20"/>
                <w:szCs w:val="20"/>
                <w:bdr w:val="none" w:sz="0" w:space="0" w:color="auto"/>
                <w:lang w:eastAsia="fr-FR"/>
              </w:rPr>
            </w:pPr>
            <w:r w:rsidRPr="0033327A">
              <w:rPr>
                <w:rFonts w:eastAsia="Times New Roman" w:hAnsi="Arial" w:cs="Arial"/>
                <w:bCs/>
                <w:smallCaps/>
                <w:color w:val="auto"/>
                <w:sz w:val="20"/>
                <w:szCs w:val="20"/>
                <w:bdr w:val="none" w:sz="0" w:space="0" w:color="auto"/>
                <w:lang w:eastAsia="fr-FR"/>
              </w:rPr>
              <w:t xml:space="preserve">Camión y distribución asociada </w:t>
            </w:r>
          </w:p>
        </w:tc>
        <w:tc>
          <w:tcPr>
            <w:tcW w:w="2126" w:type="dxa"/>
          </w:tcPr>
          <w:p w14:paraId="20D3B804" w14:textId="5F11E903" w:rsidR="008921B1" w:rsidRPr="0033327A" w:rsidRDefault="008921B1"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10,4 %</w:t>
            </w:r>
          </w:p>
        </w:tc>
        <w:tc>
          <w:tcPr>
            <w:tcW w:w="2284" w:type="dxa"/>
          </w:tcPr>
          <w:p w14:paraId="47DEB36C" w14:textId="467DD73A" w:rsidR="008921B1" w:rsidRPr="0033327A" w:rsidRDefault="008921B1"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8,1 %</w:t>
            </w:r>
          </w:p>
        </w:tc>
      </w:tr>
      <w:tr w:rsidR="008921B1" w:rsidRPr="0033327A" w14:paraId="11BC162C" w14:textId="77777777" w:rsidTr="00AB465B">
        <w:trPr>
          <w:trHeight w:val="530"/>
          <w:jc w:val="center"/>
        </w:trPr>
        <w:tc>
          <w:tcPr>
            <w:tcW w:w="4082" w:type="dxa"/>
          </w:tcPr>
          <w:p w14:paraId="7FC9F291" w14:textId="16625A31" w:rsidR="008921B1" w:rsidRPr="0033327A" w:rsidRDefault="008921B1" w:rsidP="00FE4391">
            <w:pPr>
              <w:pStyle w:val="TextoMichelin"/>
              <w:jc w:val="left"/>
              <w:rPr>
                <w:rFonts w:eastAsia="Times New Roman" w:hAnsi="Arial" w:cs="Arial"/>
                <w:bCs/>
                <w:smallCaps/>
                <w:color w:val="auto"/>
                <w:sz w:val="20"/>
                <w:szCs w:val="20"/>
                <w:bdr w:val="none" w:sz="0" w:space="0" w:color="auto"/>
                <w:lang w:eastAsia="fr-FR"/>
              </w:rPr>
            </w:pPr>
            <w:r w:rsidRPr="0033327A">
              <w:rPr>
                <w:rFonts w:eastAsia="Times New Roman" w:hAnsi="Arial" w:cs="Arial"/>
                <w:bCs/>
                <w:smallCaps/>
                <w:color w:val="auto"/>
                <w:sz w:val="20"/>
                <w:szCs w:val="20"/>
                <w:bdr w:val="none" w:sz="0" w:space="0" w:color="auto"/>
                <w:lang w:eastAsia="fr-FR"/>
              </w:rPr>
              <w:t>Actividades de especialidades</w:t>
            </w:r>
          </w:p>
        </w:tc>
        <w:tc>
          <w:tcPr>
            <w:tcW w:w="2126" w:type="dxa"/>
          </w:tcPr>
          <w:p w14:paraId="19C39BF0" w14:textId="56FABB1A" w:rsidR="008921B1" w:rsidRPr="0033327A" w:rsidRDefault="008921B1"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18,6 %</w:t>
            </w:r>
          </w:p>
        </w:tc>
        <w:tc>
          <w:tcPr>
            <w:tcW w:w="2284" w:type="dxa"/>
          </w:tcPr>
          <w:p w14:paraId="7D6473D1" w14:textId="6C92FECA" w:rsidR="008921B1" w:rsidRPr="0033327A" w:rsidRDefault="008921B1"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19,3 %</w:t>
            </w:r>
          </w:p>
        </w:tc>
      </w:tr>
      <w:tr w:rsidR="00B36908" w:rsidRPr="0033327A" w14:paraId="67F2FF83" w14:textId="77777777" w:rsidTr="00AB465B">
        <w:trPr>
          <w:jc w:val="center"/>
        </w:trPr>
        <w:tc>
          <w:tcPr>
            <w:tcW w:w="4082" w:type="dxa"/>
            <w:tcBorders>
              <w:top w:val="single" w:sz="4" w:space="0" w:color="auto"/>
              <w:left w:val="single" w:sz="4" w:space="0" w:color="auto"/>
              <w:bottom w:val="single" w:sz="4" w:space="0" w:color="auto"/>
              <w:right w:val="single" w:sz="4" w:space="0" w:color="auto"/>
            </w:tcBorders>
          </w:tcPr>
          <w:p w14:paraId="543E50C6" w14:textId="70414085" w:rsidR="00B36908" w:rsidRPr="0033327A" w:rsidRDefault="00B36908" w:rsidP="00FE4391">
            <w:pPr>
              <w:pStyle w:val="TextoMichelin"/>
              <w:jc w:val="left"/>
              <w:rPr>
                <w:rFonts w:eastAsia="Times New Roman" w:hAnsi="Arial" w:cs="Arial"/>
                <w:bCs/>
                <w:smallCaps/>
                <w:color w:val="auto"/>
                <w:sz w:val="20"/>
                <w:szCs w:val="20"/>
                <w:bdr w:val="none" w:sz="0" w:space="0" w:color="auto"/>
                <w:lang w:eastAsia="fr-FR"/>
              </w:rPr>
            </w:pPr>
            <w:r w:rsidRPr="0033327A">
              <w:rPr>
                <w:rFonts w:eastAsia="Times New Roman" w:hAnsi="Arial" w:cs="Arial"/>
                <w:bCs/>
                <w:smallCaps/>
                <w:color w:val="auto"/>
                <w:sz w:val="20"/>
                <w:szCs w:val="20"/>
                <w:bdr w:val="none" w:sz="0" w:space="0" w:color="auto"/>
                <w:lang w:eastAsia="fr-FR"/>
              </w:rPr>
              <w:t>Elementos no recurrentes</w:t>
            </w:r>
          </w:p>
        </w:tc>
        <w:tc>
          <w:tcPr>
            <w:tcW w:w="2126" w:type="dxa"/>
            <w:tcBorders>
              <w:top w:val="single" w:sz="4" w:space="0" w:color="auto"/>
              <w:left w:val="single" w:sz="4" w:space="0" w:color="auto"/>
              <w:bottom w:val="single" w:sz="4" w:space="0" w:color="auto"/>
              <w:right w:val="single" w:sz="4" w:space="0" w:color="auto"/>
            </w:tcBorders>
          </w:tcPr>
          <w:p w14:paraId="75AD95D7" w14:textId="4B854888" w:rsidR="00B36908" w:rsidRPr="0033327A" w:rsidRDefault="00B36908"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- 370</w:t>
            </w:r>
          </w:p>
        </w:tc>
        <w:tc>
          <w:tcPr>
            <w:tcW w:w="2284" w:type="dxa"/>
            <w:tcBorders>
              <w:top w:val="single" w:sz="4" w:space="0" w:color="auto"/>
              <w:left w:val="single" w:sz="4" w:space="0" w:color="auto"/>
              <w:bottom w:val="single" w:sz="4" w:space="0" w:color="auto"/>
              <w:right w:val="single" w:sz="4" w:space="0" w:color="auto"/>
            </w:tcBorders>
          </w:tcPr>
          <w:p w14:paraId="1F5A581C" w14:textId="4FAF6E70" w:rsidR="00B36908" w:rsidRPr="0033327A" w:rsidRDefault="00B36908"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- 179</w:t>
            </w:r>
          </w:p>
        </w:tc>
      </w:tr>
      <w:tr w:rsidR="00DC15A6" w:rsidRPr="0033327A" w14:paraId="6BCEBB62" w14:textId="77777777" w:rsidTr="00AB465B">
        <w:trPr>
          <w:trHeight w:val="795"/>
          <w:jc w:val="center"/>
        </w:trPr>
        <w:tc>
          <w:tcPr>
            <w:tcW w:w="4082" w:type="dxa"/>
            <w:tcBorders>
              <w:top w:val="single" w:sz="4" w:space="0" w:color="auto"/>
              <w:left w:val="single" w:sz="4" w:space="0" w:color="auto"/>
              <w:bottom w:val="single" w:sz="4" w:space="0" w:color="auto"/>
              <w:right w:val="single" w:sz="4" w:space="0" w:color="auto"/>
            </w:tcBorders>
          </w:tcPr>
          <w:p w14:paraId="03FCA536" w14:textId="43C29AE6" w:rsidR="00DC15A6" w:rsidRPr="0033327A" w:rsidRDefault="00DC15A6" w:rsidP="00FE4391">
            <w:pPr>
              <w:pStyle w:val="TextoMichelin"/>
              <w:jc w:val="left"/>
              <w:rPr>
                <w:rFonts w:eastAsia="Times New Roman" w:hAnsi="Arial" w:cs="Arial"/>
                <w:bCs/>
                <w:smallCaps/>
                <w:color w:val="auto"/>
                <w:sz w:val="20"/>
                <w:szCs w:val="20"/>
                <w:bdr w:val="none" w:sz="0" w:space="0" w:color="auto"/>
                <w:lang w:eastAsia="fr-FR"/>
              </w:rPr>
            </w:pPr>
            <w:r w:rsidRPr="0033327A">
              <w:rPr>
                <w:rFonts w:eastAsia="Times New Roman" w:hAnsi="Arial" w:cs="Arial"/>
                <w:bCs/>
                <w:smallCaps/>
                <w:color w:val="auto"/>
                <w:sz w:val="20"/>
                <w:szCs w:val="20"/>
                <w:bdr w:val="none" w:sz="0" w:space="0" w:color="auto"/>
                <w:lang w:eastAsia="fr-FR"/>
              </w:rPr>
              <w:t>Resultado operativo tras elementos no recurrentes</w:t>
            </w:r>
          </w:p>
        </w:tc>
        <w:tc>
          <w:tcPr>
            <w:tcW w:w="2126" w:type="dxa"/>
            <w:tcBorders>
              <w:top w:val="single" w:sz="4" w:space="0" w:color="auto"/>
              <w:left w:val="single" w:sz="4" w:space="0" w:color="auto"/>
              <w:bottom w:val="single" w:sz="4" w:space="0" w:color="auto"/>
              <w:right w:val="single" w:sz="4" w:space="0" w:color="auto"/>
            </w:tcBorders>
          </w:tcPr>
          <w:p w14:paraId="4AB22D99" w14:textId="6BDA19F8" w:rsidR="00DC15A6" w:rsidRPr="0033327A" w:rsidRDefault="00DC15A6"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2.207</w:t>
            </w:r>
          </w:p>
        </w:tc>
        <w:tc>
          <w:tcPr>
            <w:tcW w:w="2284" w:type="dxa"/>
            <w:tcBorders>
              <w:top w:val="single" w:sz="4" w:space="0" w:color="auto"/>
              <w:left w:val="single" w:sz="4" w:space="0" w:color="auto"/>
              <w:bottom w:val="single" w:sz="4" w:space="0" w:color="auto"/>
              <w:right w:val="single" w:sz="4" w:space="0" w:color="auto"/>
            </w:tcBorders>
          </w:tcPr>
          <w:p w14:paraId="08F2F5DC" w14:textId="29232778" w:rsidR="00DC15A6" w:rsidRPr="0033327A" w:rsidRDefault="00DC15A6"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1.991</w:t>
            </w:r>
          </w:p>
        </w:tc>
      </w:tr>
      <w:tr w:rsidR="008921B1" w:rsidRPr="0033327A" w14:paraId="3DC44193" w14:textId="77777777" w:rsidTr="00AB465B">
        <w:trPr>
          <w:jc w:val="center"/>
        </w:trPr>
        <w:tc>
          <w:tcPr>
            <w:tcW w:w="4082" w:type="dxa"/>
            <w:tcBorders>
              <w:top w:val="single" w:sz="4" w:space="0" w:color="auto"/>
              <w:left w:val="single" w:sz="4" w:space="0" w:color="auto"/>
              <w:bottom w:val="single" w:sz="4" w:space="0" w:color="auto"/>
              <w:right w:val="single" w:sz="4" w:space="0" w:color="auto"/>
            </w:tcBorders>
          </w:tcPr>
          <w:p w14:paraId="557DF13E" w14:textId="49618DBF" w:rsidR="008921B1" w:rsidRPr="0033327A" w:rsidRDefault="008921B1" w:rsidP="00FE4391">
            <w:pPr>
              <w:pStyle w:val="TextoMichelin"/>
              <w:jc w:val="left"/>
              <w:rPr>
                <w:rFonts w:eastAsia="Times New Roman" w:hAnsi="Arial" w:cs="Arial"/>
                <w:bCs/>
                <w:smallCaps/>
                <w:color w:val="auto"/>
                <w:sz w:val="20"/>
                <w:szCs w:val="20"/>
                <w:bdr w:val="none" w:sz="0" w:space="0" w:color="auto"/>
                <w:lang w:eastAsia="fr-FR"/>
              </w:rPr>
            </w:pPr>
            <w:r w:rsidRPr="0033327A">
              <w:rPr>
                <w:rFonts w:eastAsia="Times New Roman" w:hAnsi="Arial" w:cs="Arial"/>
                <w:bCs/>
                <w:smallCaps/>
                <w:color w:val="auto"/>
                <w:sz w:val="20"/>
                <w:szCs w:val="20"/>
                <w:bdr w:val="none" w:sz="0" w:space="0" w:color="auto"/>
                <w:lang w:eastAsia="fr-FR"/>
              </w:rPr>
              <w:t xml:space="preserve">Resultado neto </w:t>
            </w:r>
          </w:p>
        </w:tc>
        <w:tc>
          <w:tcPr>
            <w:tcW w:w="2126" w:type="dxa"/>
            <w:tcBorders>
              <w:top w:val="single" w:sz="4" w:space="0" w:color="auto"/>
              <w:left w:val="single" w:sz="4" w:space="0" w:color="auto"/>
              <w:bottom w:val="single" w:sz="4" w:space="0" w:color="auto"/>
              <w:right w:val="single" w:sz="4" w:space="0" w:color="auto"/>
            </w:tcBorders>
          </w:tcPr>
          <w:p w14:paraId="25640D6D" w14:textId="29F8C540" w:rsidR="008921B1" w:rsidRPr="0033327A" w:rsidRDefault="00DC15A6"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1.163</w:t>
            </w:r>
          </w:p>
        </w:tc>
        <w:tc>
          <w:tcPr>
            <w:tcW w:w="2284" w:type="dxa"/>
            <w:tcBorders>
              <w:top w:val="single" w:sz="4" w:space="0" w:color="auto"/>
              <w:left w:val="single" w:sz="4" w:space="0" w:color="auto"/>
              <w:bottom w:val="single" w:sz="4" w:space="0" w:color="auto"/>
              <w:right w:val="single" w:sz="4" w:space="0" w:color="auto"/>
            </w:tcBorders>
          </w:tcPr>
          <w:p w14:paraId="30D6DC0A" w14:textId="5C824367" w:rsidR="008921B1" w:rsidRPr="0033327A" w:rsidRDefault="008921B1" w:rsidP="00A43811">
            <w:pPr>
              <w:pStyle w:val="Prrafodelista"/>
              <w:tabs>
                <w:tab w:val="left" w:pos="360"/>
              </w:tabs>
              <w:spacing w:after="240" w:line="270" w:lineRule="atLeast"/>
              <w:rPr>
                <w:rFonts w:ascii="Arial" w:eastAsia="Arial Unicode MS" w:hAnsi="Arial" w:cs="Arial"/>
                <w:b/>
                <w:bCs/>
                <w:bdr w:val="nil"/>
                <w:lang w:val="es-ES_tradnl" w:eastAsia="en-US"/>
              </w:rPr>
            </w:pPr>
            <w:r w:rsidRPr="0033327A">
              <w:rPr>
                <w:rFonts w:ascii="Arial" w:eastAsia="Arial Unicode MS" w:hAnsi="Arial" w:cs="Arial"/>
                <w:b/>
                <w:bCs/>
                <w:bdr w:val="nil"/>
                <w:lang w:val="es-ES_tradnl" w:eastAsia="en-US"/>
              </w:rPr>
              <w:t>1</w:t>
            </w:r>
            <w:r w:rsidR="00EB5C87" w:rsidRPr="0033327A">
              <w:rPr>
                <w:rFonts w:ascii="Arial" w:eastAsia="Arial Unicode MS" w:hAnsi="Arial" w:cs="Arial"/>
                <w:b/>
                <w:bCs/>
                <w:bdr w:val="nil"/>
                <w:lang w:val="es-ES_tradnl" w:eastAsia="en-US"/>
              </w:rPr>
              <w:t>.</w:t>
            </w:r>
            <w:r w:rsidR="00DC15A6" w:rsidRPr="0033327A">
              <w:rPr>
                <w:rFonts w:ascii="Arial" w:eastAsia="Arial Unicode MS" w:hAnsi="Arial" w:cs="Arial"/>
                <w:b/>
                <w:bCs/>
                <w:bdr w:val="nil"/>
                <w:lang w:val="es-ES_tradnl" w:eastAsia="en-US"/>
              </w:rPr>
              <w:t>031</w:t>
            </w:r>
          </w:p>
        </w:tc>
      </w:tr>
      <w:tr w:rsidR="00F80DDB" w:rsidRPr="0033327A" w14:paraId="086FFC37" w14:textId="77777777" w:rsidTr="00AB465B">
        <w:trPr>
          <w:jc w:val="center"/>
        </w:trPr>
        <w:tc>
          <w:tcPr>
            <w:tcW w:w="4082" w:type="dxa"/>
            <w:tcBorders>
              <w:top w:val="single" w:sz="4" w:space="0" w:color="auto"/>
              <w:left w:val="single" w:sz="4" w:space="0" w:color="auto"/>
              <w:bottom w:val="single" w:sz="4" w:space="0" w:color="auto"/>
              <w:right w:val="single" w:sz="4" w:space="0" w:color="auto"/>
            </w:tcBorders>
          </w:tcPr>
          <w:p w14:paraId="1DCCC787" w14:textId="6DFB5A94" w:rsidR="00F80DDB" w:rsidRPr="0033327A" w:rsidRDefault="00F80DDB" w:rsidP="00F80DDB">
            <w:pPr>
              <w:pStyle w:val="TextoMichelin"/>
              <w:jc w:val="left"/>
              <w:rPr>
                <w:rFonts w:eastAsia="Times New Roman" w:hAnsi="Arial" w:cs="Arial"/>
                <w:bCs/>
                <w:smallCaps/>
                <w:color w:val="auto"/>
                <w:sz w:val="20"/>
                <w:szCs w:val="20"/>
                <w:bdr w:val="none" w:sz="0" w:space="0" w:color="auto"/>
                <w:lang w:eastAsia="fr-FR"/>
              </w:rPr>
            </w:pPr>
            <w:r w:rsidRPr="0033327A">
              <w:rPr>
                <w:rFonts w:eastAsia="Times New Roman" w:hAnsi="Arial" w:cs="Arial"/>
                <w:bCs/>
                <w:smallCaps/>
                <w:color w:val="auto"/>
                <w:sz w:val="20"/>
                <w:szCs w:val="20"/>
                <w:bdr w:val="none" w:sz="0" w:space="0" w:color="auto"/>
                <w:lang w:eastAsia="fr-FR"/>
              </w:rPr>
              <w:t>EBITDA antes de elementos no recurrentes</w:t>
            </w:r>
          </w:p>
        </w:tc>
        <w:tc>
          <w:tcPr>
            <w:tcW w:w="2126" w:type="dxa"/>
            <w:tcBorders>
              <w:top w:val="single" w:sz="4" w:space="0" w:color="auto"/>
              <w:left w:val="single" w:sz="4" w:space="0" w:color="auto"/>
              <w:bottom w:val="single" w:sz="4" w:space="0" w:color="auto"/>
              <w:right w:val="single" w:sz="4" w:space="0" w:color="auto"/>
            </w:tcBorders>
          </w:tcPr>
          <w:p w14:paraId="1777FB07" w14:textId="77777777" w:rsidR="00F80DDB" w:rsidRPr="0033327A" w:rsidRDefault="00F80DDB" w:rsidP="0097284C">
            <w:pPr>
              <w:tabs>
                <w:tab w:val="left" w:pos="360"/>
              </w:tabs>
              <w:jc w:val="center"/>
              <w:rPr>
                <w:rFonts w:ascii="Arial" w:hAnsi="Arial" w:cs="Arial"/>
                <w:b/>
                <w:bCs/>
                <w:sz w:val="20"/>
                <w:szCs w:val="20"/>
              </w:rPr>
            </w:pPr>
          </w:p>
          <w:p w14:paraId="540F43DC" w14:textId="48D9A83C" w:rsidR="00F80DDB" w:rsidRPr="0033327A" w:rsidRDefault="00F80DDB" w:rsidP="00EB5C87">
            <w:pPr>
              <w:tabs>
                <w:tab w:val="left" w:pos="360"/>
              </w:tabs>
              <w:jc w:val="center"/>
              <w:rPr>
                <w:rFonts w:ascii="Arial" w:hAnsi="Arial" w:cs="Arial"/>
                <w:b/>
                <w:bCs/>
                <w:sz w:val="20"/>
                <w:szCs w:val="20"/>
              </w:rPr>
            </w:pPr>
            <w:r w:rsidRPr="0033327A">
              <w:rPr>
                <w:rFonts w:ascii="Arial" w:hAnsi="Arial" w:cs="Arial"/>
                <w:b/>
                <w:bCs/>
                <w:sz w:val="20"/>
                <w:szCs w:val="20"/>
              </w:rPr>
              <w:t>3</w:t>
            </w:r>
            <w:r w:rsidR="00EB5C87" w:rsidRPr="0033327A">
              <w:rPr>
                <w:rFonts w:ascii="Arial" w:hAnsi="Arial" w:cs="Arial"/>
                <w:b/>
                <w:bCs/>
                <w:sz w:val="20"/>
                <w:szCs w:val="20"/>
              </w:rPr>
              <w:t>.</w:t>
            </w:r>
            <w:r w:rsidRPr="0033327A">
              <w:rPr>
                <w:rFonts w:ascii="Arial" w:hAnsi="Arial" w:cs="Arial"/>
                <w:b/>
                <w:bCs/>
                <w:sz w:val="20"/>
                <w:szCs w:val="20"/>
              </w:rPr>
              <w:t>934</w:t>
            </w:r>
          </w:p>
        </w:tc>
        <w:tc>
          <w:tcPr>
            <w:tcW w:w="2284" w:type="dxa"/>
            <w:tcBorders>
              <w:top w:val="single" w:sz="4" w:space="0" w:color="auto"/>
              <w:left w:val="single" w:sz="4" w:space="0" w:color="auto"/>
              <w:bottom w:val="single" w:sz="4" w:space="0" w:color="auto"/>
              <w:right w:val="single" w:sz="4" w:space="0" w:color="auto"/>
            </w:tcBorders>
          </w:tcPr>
          <w:p w14:paraId="42F5031F" w14:textId="77777777" w:rsidR="00F80DDB" w:rsidRPr="0033327A" w:rsidRDefault="00F80DDB" w:rsidP="0097284C">
            <w:pPr>
              <w:tabs>
                <w:tab w:val="left" w:pos="360"/>
              </w:tabs>
              <w:jc w:val="center"/>
              <w:rPr>
                <w:rFonts w:ascii="Arial" w:hAnsi="Arial" w:cs="Arial"/>
                <w:b/>
                <w:bCs/>
                <w:sz w:val="20"/>
                <w:szCs w:val="20"/>
              </w:rPr>
            </w:pPr>
          </w:p>
          <w:p w14:paraId="68AB2324" w14:textId="6E07A992" w:rsidR="00F80DDB" w:rsidRPr="0033327A" w:rsidRDefault="00F80DDB" w:rsidP="00EB5C87">
            <w:pPr>
              <w:tabs>
                <w:tab w:val="left" w:pos="360"/>
              </w:tabs>
              <w:jc w:val="center"/>
              <w:rPr>
                <w:rFonts w:ascii="Arial" w:hAnsi="Arial" w:cs="Arial"/>
                <w:b/>
                <w:bCs/>
                <w:sz w:val="20"/>
                <w:szCs w:val="20"/>
              </w:rPr>
            </w:pPr>
            <w:r w:rsidRPr="0033327A">
              <w:rPr>
                <w:rFonts w:ascii="Arial" w:hAnsi="Arial" w:cs="Arial"/>
                <w:b/>
                <w:bCs/>
                <w:sz w:val="20"/>
                <w:szCs w:val="20"/>
              </w:rPr>
              <w:t>3</w:t>
            </w:r>
            <w:r w:rsidR="00EB5C87" w:rsidRPr="0033327A">
              <w:rPr>
                <w:rFonts w:ascii="Arial" w:hAnsi="Arial" w:cs="Arial"/>
                <w:b/>
                <w:bCs/>
                <w:sz w:val="20"/>
                <w:szCs w:val="20"/>
              </w:rPr>
              <w:t>.</w:t>
            </w:r>
            <w:r w:rsidRPr="0033327A">
              <w:rPr>
                <w:rFonts w:ascii="Arial" w:hAnsi="Arial" w:cs="Arial"/>
                <w:b/>
                <w:bCs/>
                <w:sz w:val="20"/>
                <w:szCs w:val="20"/>
              </w:rPr>
              <w:t>286</w:t>
            </w:r>
          </w:p>
        </w:tc>
      </w:tr>
      <w:tr w:rsidR="00EB5C87" w:rsidRPr="0033327A" w14:paraId="5AD0D725" w14:textId="77777777" w:rsidTr="00AB465B">
        <w:trPr>
          <w:jc w:val="center"/>
        </w:trPr>
        <w:tc>
          <w:tcPr>
            <w:tcW w:w="4082" w:type="dxa"/>
            <w:tcBorders>
              <w:top w:val="single" w:sz="4" w:space="0" w:color="auto"/>
              <w:left w:val="single" w:sz="4" w:space="0" w:color="auto"/>
              <w:bottom w:val="single" w:sz="4" w:space="0" w:color="auto"/>
              <w:right w:val="single" w:sz="4" w:space="0" w:color="auto"/>
            </w:tcBorders>
          </w:tcPr>
          <w:p w14:paraId="0832EB91" w14:textId="79093301" w:rsidR="00EB5C87" w:rsidRPr="0033327A" w:rsidRDefault="00EB5C87" w:rsidP="00FE4391">
            <w:pPr>
              <w:pStyle w:val="TextoMichelin"/>
              <w:jc w:val="left"/>
              <w:rPr>
                <w:rFonts w:eastAsia="Times New Roman" w:hAnsi="Arial" w:cs="Arial"/>
                <w:bCs/>
                <w:smallCaps/>
                <w:color w:val="auto"/>
                <w:sz w:val="20"/>
                <w:szCs w:val="20"/>
                <w:bdr w:val="none" w:sz="0" w:space="0" w:color="auto"/>
                <w:lang w:eastAsia="fr-FR"/>
              </w:rPr>
            </w:pPr>
            <w:r w:rsidRPr="0033327A">
              <w:rPr>
                <w:rFonts w:eastAsia="Times New Roman" w:hAnsi="Arial" w:cs="Arial"/>
                <w:bCs/>
                <w:smallCaps/>
                <w:color w:val="auto"/>
                <w:sz w:val="20"/>
                <w:szCs w:val="20"/>
                <w:bdr w:val="none" w:sz="0" w:space="0" w:color="auto"/>
                <w:lang w:eastAsia="fr-FR"/>
              </w:rPr>
              <w:t>Inversiones</w:t>
            </w:r>
          </w:p>
        </w:tc>
        <w:tc>
          <w:tcPr>
            <w:tcW w:w="2126" w:type="dxa"/>
            <w:tcBorders>
              <w:top w:val="single" w:sz="4" w:space="0" w:color="auto"/>
              <w:left w:val="single" w:sz="4" w:space="0" w:color="auto"/>
              <w:bottom w:val="single" w:sz="4" w:space="0" w:color="auto"/>
              <w:right w:val="single" w:sz="4" w:space="0" w:color="auto"/>
            </w:tcBorders>
          </w:tcPr>
          <w:p w14:paraId="7078F64B" w14:textId="05513B65" w:rsidR="00EB5C87" w:rsidRPr="0033327A" w:rsidRDefault="00EB5C87"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1</w:t>
            </w:r>
            <w:r w:rsidR="00210886" w:rsidRPr="0033327A">
              <w:rPr>
                <w:rFonts w:ascii="Arial" w:hAnsi="Arial" w:cs="Arial"/>
                <w:b/>
                <w:bCs/>
                <w:sz w:val="20"/>
                <w:szCs w:val="20"/>
              </w:rPr>
              <w:t>.</w:t>
            </w:r>
            <w:r w:rsidRPr="0033327A">
              <w:rPr>
                <w:rFonts w:ascii="Arial" w:hAnsi="Arial" w:cs="Arial"/>
                <w:b/>
                <w:bCs/>
                <w:sz w:val="20"/>
                <w:szCs w:val="20"/>
              </w:rPr>
              <w:t>804</w:t>
            </w:r>
          </w:p>
        </w:tc>
        <w:tc>
          <w:tcPr>
            <w:tcW w:w="2284" w:type="dxa"/>
            <w:tcBorders>
              <w:top w:val="single" w:sz="4" w:space="0" w:color="auto"/>
              <w:left w:val="single" w:sz="4" w:space="0" w:color="auto"/>
              <w:bottom w:val="single" w:sz="4" w:space="0" w:color="auto"/>
              <w:right w:val="single" w:sz="4" w:space="0" w:color="auto"/>
            </w:tcBorders>
          </w:tcPr>
          <w:p w14:paraId="3016192E" w14:textId="3F110264" w:rsidR="00EB5C87" w:rsidRPr="0033327A" w:rsidRDefault="00EB5C87"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1</w:t>
            </w:r>
            <w:r w:rsidR="00210886" w:rsidRPr="0033327A">
              <w:rPr>
                <w:rFonts w:ascii="Arial" w:hAnsi="Arial" w:cs="Arial"/>
                <w:b/>
                <w:bCs/>
                <w:sz w:val="20"/>
                <w:szCs w:val="20"/>
              </w:rPr>
              <w:t>.</w:t>
            </w:r>
            <w:r w:rsidRPr="0033327A">
              <w:rPr>
                <w:rFonts w:ascii="Arial" w:hAnsi="Arial" w:cs="Arial"/>
                <w:b/>
                <w:bCs/>
                <w:sz w:val="20"/>
                <w:szCs w:val="20"/>
              </w:rPr>
              <w:t>883</w:t>
            </w:r>
          </w:p>
        </w:tc>
      </w:tr>
      <w:tr w:rsidR="00EB5C87" w:rsidRPr="0033327A" w14:paraId="2CD03719" w14:textId="77777777" w:rsidTr="00AB465B">
        <w:trPr>
          <w:trHeight w:val="529"/>
          <w:jc w:val="center"/>
        </w:trPr>
        <w:tc>
          <w:tcPr>
            <w:tcW w:w="4082" w:type="dxa"/>
            <w:tcBorders>
              <w:top w:val="single" w:sz="4" w:space="0" w:color="auto"/>
              <w:left w:val="single" w:sz="4" w:space="0" w:color="auto"/>
              <w:bottom w:val="single" w:sz="4" w:space="0" w:color="auto"/>
              <w:right w:val="single" w:sz="4" w:space="0" w:color="auto"/>
            </w:tcBorders>
          </w:tcPr>
          <w:p w14:paraId="14609A56" w14:textId="40315F15" w:rsidR="00EB5C87" w:rsidRPr="0033327A" w:rsidRDefault="00EB5C87" w:rsidP="00FE4391">
            <w:pPr>
              <w:pStyle w:val="TextoMichelin"/>
              <w:jc w:val="left"/>
              <w:rPr>
                <w:rFonts w:eastAsia="Times New Roman" w:hAnsi="Arial" w:cs="Arial"/>
                <w:bCs/>
                <w:smallCaps/>
                <w:color w:val="auto"/>
                <w:sz w:val="20"/>
                <w:szCs w:val="20"/>
                <w:bdr w:val="none" w:sz="0" w:space="0" w:color="auto"/>
                <w:lang w:eastAsia="fr-FR"/>
              </w:rPr>
            </w:pPr>
            <w:r w:rsidRPr="0033327A">
              <w:rPr>
                <w:rFonts w:eastAsia="Times New Roman" w:hAnsi="Arial" w:cs="Arial"/>
                <w:bCs/>
                <w:smallCaps/>
                <w:color w:val="auto"/>
                <w:sz w:val="20"/>
                <w:szCs w:val="20"/>
                <w:bdr w:val="none" w:sz="0" w:space="0" w:color="auto"/>
                <w:lang w:eastAsia="fr-FR"/>
              </w:rPr>
              <w:t>Endeudamiento neto</w:t>
            </w:r>
          </w:p>
        </w:tc>
        <w:tc>
          <w:tcPr>
            <w:tcW w:w="2126" w:type="dxa"/>
            <w:tcBorders>
              <w:top w:val="single" w:sz="4" w:space="0" w:color="auto"/>
              <w:left w:val="single" w:sz="4" w:space="0" w:color="auto"/>
              <w:bottom w:val="single" w:sz="4" w:space="0" w:color="auto"/>
              <w:right w:val="single" w:sz="4" w:space="0" w:color="auto"/>
            </w:tcBorders>
          </w:tcPr>
          <w:p w14:paraId="78372185" w14:textId="250B0757" w:rsidR="00EB5C87" w:rsidRPr="0033327A" w:rsidRDefault="00EB5C87"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1</w:t>
            </w:r>
            <w:r w:rsidR="00210886" w:rsidRPr="0033327A">
              <w:rPr>
                <w:rFonts w:ascii="Arial" w:hAnsi="Arial" w:cs="Arial"/>
                <w:b/>
                <w:bCs/>
                <w:sz w:val="20"/>
                <w:szCs w:val="20"/>
              </w:rPr>
              <w:t>.</w:t>
            </w:r>
            <w:r w:rsidRPr="0033327A">
              <w:rPr>
                <w:rFonts w:ascii="Arial" w:hAnsi="Arial" w:cs="Arial"/>
                <w:b/>
                <w:bCs/>
                <w:sz w:val="20"/>
                <w:szCs w:val="20"/>
              </w:rPr>
              <w:t>008</w:t>
            </w:r>
          </w:p>
        </w:tc>
        <w:tc>
          <w:tcPr>
            <w:tcW w:w="2284" w:type="dxa"/>
            <w:tcBorders>
              <w:top w:val="single" w:sz="4" w:space="0" w:color="auto"/>
              <w:left w:val="single" w:sz="4" w:space="0" w:color="auto"/>
              <w:bottom w:val="single" w:sz="4" w:space="0" w:color="auto"/>
              <w:right w:val="single" w:sz="4" w:space="0" w:color="auto"/>
            </w:tcBorders>
          </w:tcPr>
          <w:p w14:paraId="0E3F4895" w14:textId="4CD3DEF9" w:rsidR="00EB5C87" w:rsidRPr="0033327A" w:rsidRDefault="00EB5C87"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707</w:t>
            </w:r>
          </w:p>
        </w:tc>
      </w:tr>
      <w:tr w:rsidR="00EB5C87" w:rsidRPr="0033327A" w14:paraId="3854766F" w14:textId="77777777" w:rsidTr="00AB465B">
        <w:trPr>
          <w:jc w:val="center"/>
        </w:trPr>
        <w:tc>
          <w:tcPr>
            <w:tcW w:w="4082" w:type="dxa"/>
            <w:tcBorders>
              <w:top w:val="single" w:sz="4" w:space="0" w:color="auto"/>
              <w:left w:val="single" w:sz="4" w:space="0" w:color="auto"/>
              <w:bottom w:val="single" w:sz="4" w:space="0" w:color="auto"/>
              <w:right w:val="single" w:sz="4" w:space="0" w:color="auto"/>
            </w:tcBorders>
          </w:tcPr>
          <w:p w14:paraId="5795B9A3" w14:textId="0CCB6EF5" w:rsidR="00EB5C87" w:rsidRPr="0033327A" w:rsidRDefault="00EB5C87" w:rsidP="00FE4391">
            <w:pPr>
              <w:pStyle w:val="TextoMichelin"/>
              <w:jc w:val="left"/>
              <w:rPr>
                <w:rFonts w:eastAsia="Times New Roman" w:hAnsi="Arial" w:cs="Arial"/>
                <w:bCs/>
                <w:smallCaps/>
                <w:color w:val="auto"/>
                <w:sz w:val="20"/>
                <w:szCs w:val="20"/>
                <w:bdr w:val="none" w:sz="0" w:space="0" w:color="auto"/>
                <w:lang w:eastAsia="fr-FR"/>
              </w:rPr>
            </w:pPr>
            <w:r w:rsidRPr="0033327A">
              <w:rPr>
                <w:rFonts w:eastAsia="Times New Roman" w:hAnsi="Arial" w:cs="Arial"/>
                <w:bCs/>
                <w:smallCaps/>
                <w:color w:val="auto"/>
                <w:sz w:val="20"/>
                <w:szCs w:val="20"/>
                <w:bdr w:val="none" w:sz="0" w:space="0" w:color="auto"/>
                <w:lang w:eastAsia="fr-FR"/>
              </w:rPr>
              <w:t>Porcentaje de endeudamiento neto</w:t>
            </w:r>
          </w:p>
        </w:tc>
        <w:tc>
          <w:tcPr>
            <w:tcW w:w="2126" w:type="dxa"/>
            <w:tcBorders>
              <w:top w:val="single" w:sz="4" w:space="0" w:color="auto"/>
              <w:left w:val="single" w:sz="4" w:space="0" w:color="auto"/>
              <w:bottom w:val="single" w:sz="4" w:space="0" w:color="auto"/>
              <w:right w:val="single" w:sz="4" w:space="0" w:color="auto"/>
            </w:tcBorders>
          </w:tcPr>
          <w:p w14:paraId="5926AA24" w14:textId="3E048881" w:rsidR="00EB5C87" w:rsidRPr="0033327A" w:rsidRDefault="00EB5C87"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11 %</w:t>
            </w:r>
          </w:p>
        </w:tc>
        <w:tc>
          <w:tcPr>
            <w:tcW w:w="2284" w:type="dxa"/>
            <w:tcBorders>
              <w:top w:val="single" w:sz="4" w:space="0" w:color="auto"/>
              <w:left w:val="single" w:sz="4" w:space="0" w:color="auto"/>
              <w:bottom w:val="single" w:sz="4" w:space="0" w:color="auto"/>
              <w:right w:val="single" w:sz="4" w:space="0" w:color="auto"/>
            </w:tcBorders>
          </w:tcPr>
          <w:p w14:paraId="0677ADD5" w14:textId="640A01DF" w:rsidR="00EB5C87" w:rsidRPr="0033327A" w:rsidRDefault="00EB5C87"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7 %</w:t>
            </w:r>
          </w:p>
        </w:tc>
      </w:tr>
      <w:tr w:rsidR="00EB5C87" w:rsidRPr="0033327A" w14:paraId="7B7D1208" w14:textId="77777777" w:rsidTr="00AB465B">
        <w:trPr>
          <w:jc w:val="center"/>
        </w:trPr>
        <w:tc>
          <w:tcPr>
            <w:tcW w:w="4082" w:type="dxa"/>
            <w:tcBorders>
              <w:top w:val="single" w:sz="4" w:space="0" w:color="auto"/>
              <w:left w:val="single" w:sz="4" w:space="0" w:color="auto"/>
              <w:bottom w:val="single" w:sz="4" w:space="0" w:color="auto"/>
              <w:right w:val="single" w:sz="4" w:space="0" w:color="auto"/>
            </w:tcBorders>
          </w:tcPr>
          <w:p w14:paraId="70CE7AE6" w14:textId="1E8D6E11" w:rsidR="00EB5C87" w:rsidRPr="0033327A" w:rsidRDefault="00EB5C87" w:rsidP="00FE4391">
            <w:pPr>
              <w:pStyle w:val="TextoMichelin"/>
              <w:jc w:val="left"/>
              <w:rPr>
                <w:rFonts w:eastAsia="Times New Roman" w:hAnsi="Arial" w:cs="Arial"/>
                <w:bCs/>
                <w:smallCaps/>
                <w:color w:val="auto"/>
                <w:sz w:val="20"/>
                <w:szCs w:val="20"/>
                <w:bdr w:val="none" w:sz="0" w:space="0" w:color="auto"/>
                <w:lang w:eastAsia="fr-FR"/>
              </w:rPr>
            </w:pPr>
            <w:r w:rsidRPr="0033327A">
              <w:rPr>
                <w:rFonts w:eastAsia="Times New Roman" w:hAnsi="Arial" w:cs="Arial"/>
                <w:bCs/>
                <w:smallCaps/>
                <w:color w:val="auto"/>
                <w:sz w:val="20"/>
                <w:szCs w:val="20"/>
                <w:bdr w:val="none" w:sz="0" w:space="0" w:color="auto"/>
                <w:lang w:eastAsia="fr-FR"/>
              </w:rPr>
              <w:t xml:space="preserve">Deuda social  </w:t>
            </w:r>
          </w:p>
        </w:tc>
        <w:tc>
          <w:tcPr>
            <w:tcW w:w="2126" w:type="dxa"/>
            <w:tcBorders>
              <w:top w:val="single" w:sz="4" w:space="0" w:color="auto"/>
              <w:left w:val="single" w:sz="4" w:space="0" w:color="auto"/>
              <w:bottom w:val="single" w:sz="4" w:space="0" w:color="auto"/>
              <w:right w:val="single" w:sz="4" w:space="0" w:color="auto"/>
            </w:tcBorders>
          </w:tcPr>
          <w:p w14:paraId="0C73498F" w14:textId="3BF71503" w:rsidR="00EB5C87" w:rsidRPr="0033327A" w:rsidRDefault="00EB5C87"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4</w:t>
            </w:r>
            <w:r w:rsidR="00210886" w:rsidRPr="0033327A">
              <w:rPr>
                <w:rFonts w:ascii="Arial" w:hAnsi="Arial" w:cs="Arial"/>
                <w:b/>
                <w:bCs/>
                <w:sz w:val="20"/>
                <w:szCs w:val="20"/>
              </w:rPr>
              <w:t>.</w:t>
            </w:r>
            <w:r w:rsidRPr="0033327A">
              <w:rPr>
                <w:rFonts w:ascii="Arial" w:hAnsi="Arial" w:cs="Arial"/>
                <w:b/>
                <w:bCs/>
                <w:sz w:val="20"/>
                <w:szCs w:val="20"/>
              </w:rPr>
              <w:t>888</w:t>
            </w:r>
          </w:p>
        </w:tc>
        <w:tc>
          <w:tcPr>
            <w:tcW w:w="2284" w:type="dxa"/>
            <w:tcBorders>
              <w:top w:val="single" w:sz="4" w:space="0" w:color="auto"/>
              <w:left w:val="single" w:sz="4" w:space="0" w:color="auto"/>
              <w:bottom w:val="single" w:sz="4" w:space="0" w:color="auto"/>
              <w:right w:val="single" w:sz="4" w:space="0" w:color="auto"/>
            </w:tcBorders>
          </w:tcPr>
          <w:p w14:paraId="61F7D396" w14:textId="12017E51" w:rsidR="00EB5C87" w:rsidRPr="0033327A" w:rsidRDefault="00EB5C87"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4</w:t>
            </w:r>
            <w:r w:rsidR="00210886" w:rsidRPr="0033327A">
              <w:rPr>
                <w:rFonts w:ascii="Arial" w:hAnsi="Arial" w:cs="Arial"/>
                <w:b/>
                <w:bCs/>
                <w:sz w:val="20"/>
                <w:szCs w:val="20"/>
              </w:rPr>
              <w:t>.</w:t>
            </w:r>
            <w:r w:rsidRPr="0033327A">
              <w:rPr>
                <w:rFonts w:ascii="Arial" w:hAnsi="Arial" w:cs="Arial"/>
                <w:b/>
                <w:bCs/>
                <w:sz w:val="20"/>
                <w:szCs w:val="20"/>
              </w:rPr>
              <w:t>612</w:t>
            </w:r>
          </w:p>
        </w:tc>
      </w:tr>
      <w:tr w:rsidR="00EB5C87" w:rsidRPr="0033327A" w14:paraId="627A5EE0" w14:textId="77777777" w:rsidTr="00AB465B">
        <w:trPr>
          <w:jc w:val="center"/>
        </w:trPr>
        <w:tc>
          <w:tcPr>
            <w:tcW w:w="4082" w:type="dxa"/>
            <w:tcBorders>
              <w:top w:val="single" w:sz="4" w:space="0" w:color="auto"/>
              <w:left w:val="single" w:sz="4" w:space="0" w:color="auto"/>
              <w:bottom w:val="single" w:sz="4" w:space="0" w:color="auto"/>
              <w:right w:val="single" w:sz="4" w:space="0" w:color="auto"/>
            </w:tcBorders>
          </w:tcPr>
          <w:p w14:paraId="4345F88F" w14:textId="6F98D796" w:rsidR="00EB5C87" w:rsidRPr="0033327A" w:rsidRDefault="00EB5C87" w:rsidP="009634EB">
            <w:pPr>
              <w:pStyle w:val="TextoMichelin"/>
              <w:jc w:val="left"/>
              <w:rPr>
                <w:sz w:val="20"/>
                <w:szCs w:val="20"/>
              </w:rPr>
            </w:pPr>
            <w:r w:rsidRPr="0033327A">
              <w:rPr>
                <w:rFonts w:eastAsia="Times New Roman" w:hAnsi="Arial" w:cs="Arial"/>
                <w:bCs/>
                <w:smallCaps/>
                <w:color w:val="auto"/>
                <w:sz w:val="20"/>
                <w:szCs w:val="20"/>
                <w:bdr w:val="none" w:sz="0" w:space="0" w:color="auto"/>
                <w:lang w:eastAsia="fr-FR"/>
              </w:rPr>
              <w:t>Cash flow libre</w:t>
            </w:r>
            <w:r w:rsidRPr="0033327A">
              <w:rPr>
                <w:rStyle w:val="Refdenotaalpie"/>
                <w:sz w:val="20"/>
                <w:szCs w:val="20"/>
              </w:rPr>
              <w:footnoteReference w:id="1"/>
            </w:r>
            <w:r w:rsidR="005A74CF" w:rsidRPr="0033327A">
              <w:rPr>
                <w:rFonts w:eastAsia="Times New Roman" w:hAnsi="Arial" w:cs="Arial"/>
                <w:bCs/>
                <w:smallCaps/>
                <w:color w:val="auto"/>
                <w:sz w:val="20"/>
                <w:szCs w:val="20"/>
                <w:bdr w:val="none" w:sz="0" w:space="0" w:color="auto"/>
                <w:lang w:eastAsia="fr-FR"/>
              </w:rPr>
              <w:t xml:space="preserve"> excepto cesiones y adquisiciones</w:t>
            </w:r>
          </w:p>
        </w:tc>
        <w:tc>
          <w:tcPr>
            <w:tcW w:w="2126" w:type="dxa"/>
            <w:tcBorders>
              <w:top w:val="single" w:sz="4" w:space="0" w:color="auto"/>
              <w:left w:val="single" w:sz="4" w:space="0" w:color="auto"/>
              <w:bottom w:val="single" w:sz="4" w:space="0" w:color="auto"/>
              <w:right w:val="single" w:sz="4" w:space="0" w:color="auto"/>
            </w:tcBorders>
          </w:tcPr>
          <w:p w14:paraId="0E4204CB" w14:textId="57A7EBA0" w:rsidR="00EB5C87" w:rsidRPr="0033327A" w:rsidRDefault="00EB5C87"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965</w:t>
            </w:r>
          </w:p>
        </w:tc>
        <w:tc>
          <w:tcPr>
            <w:tcW w:w="2284" w:type="dxa"/>
            <w:tcBorders>
              <w:top w:val="single" w:sz="4" w:space="0" w:color="auto"/>
              <w:left w:val="single" w:sz="4" w:space="0" w:color="auto"/>
              <w:bottom w:val="single" w:sz="4" w:space="0" w:color="auto"/>
              <w:right w:val="single" w:sz="4" w:space="0" w:color="auto"/>
            </w:tcBorders>
          </w:tcPr>
          <w:p w14:paraId="4A98C996" w14:textId="0C4888D6" w:rsidR="00EB5C87" w:rsidRPr="0033327A" w:rsidRDefault="00EB5C87"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722</w:t>
            </w:r>
          </w:p>
        </w:tc>
      </w:tr>
      <w:tr w:rsidR="00EB5C87" w:rsidRPr="0033327A" w14:paraId="2992B8B1" w14:textId="77777777" w:rsidTr="00AB465B">
        <w:trPr>
          <w:jc w:val="center"/>
        </w:trPr>
        <w:tc>
          <w:tcPr>
            <w:tcW w:w="4082" w:type="dxa"/>
            <w:tcBorders>
              <w:top w:val="single" w:sz="4" w:space="0" w:color="auto"/>
              <w:left w:val="single" w:sz="4" w:space="0" w:color="auto"/>
              <w:bottom w:val="single" w:sz="4" w:space="0" w:color="auto"/>
              <w:right w:val="single" w:sz="4" w:space="0" w:color="auto"/>
            </w:tcBorders>
          </w:tcPr>
          <w:p w14:paraId="2B9E0D86" w14:textId="23CDE6CC" w:rsidR="00EB5C87" w:rsidRPr="0033327A" w:rsidRDefault="00EB5C87" w:rsidP="009634EB">
            <w:pPr>
              <w:pStyle w:val="TextoMichelin"/>
              <w:jc w:val="left"/>
              <w:rPr>
                <w:sz w:val="20"/>
                <w:szCs w:val="20"/>
              </w:rPr>
            </w:pPr>
            <w:r w:rsidRPr="0033327A">
              <w:rPr>
                <w:rFonts w:eastAsia="Times New Roman" w:hAnsi="Arial" w:cs="Arial"/>
                <w:bCs/>
                <w:smallCaps/>
                <w:color w:val="auto"/>
                <w:sz w:val="20"/>
                <w:szCs w:val="20"/>
                <w:bdr w:val="none" w:sz="0" w:space="0" w:color="auto"/>
                <w:lang w:eastAsia="fr-FR"/>
              </w:rPr>
              <w:t>Roce</w:t>
            </w:r>
          </w:p>
        </w:tc>
        <w:tc>
          <w:tcPr>
            <w:tcW w:w="2126" w:type="dxa"/>
            <w:tcBorders>
              <w:top w:val="single" w:sz="4" w:space="0" w:color="auto"/>
              <w:left w:val="single" w:sz="4" w:space="0" w:color="auto"/>
              <w:bottom w:val="single" w:sz="4" w:space="0" w:color="auto"/>
              <w:right w:val="single" w:sz="4" w:space="0" w:color="auto"/>
            </w:tcBorders>
          </w:tcPr>
          <w:p w14:paraId="77C6B165" w14:textId="5A30C9E1" w:rsidR="00EB5C87" w:rsidRPr="0033327A" w:rsidRDefault="00EB5C87"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12,2 %</w:t>
            </w:r>
          </w:p>
        </w:tc>
        <w:tc>
          <w:tcPr>
            <w:tcW w:w="2284" w:type="dxa"/>
            <w:tcBorders>
              <w:top w:val="single" w:sz="4" w:space="0" w:color="auto"/>
              <w:left w:val="single" w:sz="4" w:space="0" w:color="auto"/>
              <w:bottom w:val="single" w:sz="4" w:space="0" w:color="auto"/>
              <w:right w:val="single" w:sz="4" w:space="0" w:color="auto"/>
            </w:tcBorders>
          </w:tcPr>
          <w:p w14:paraId="6B835CF9" w14:textId="3E9B1A30" w:rsidR="00EB5C87" w:rsidRPr="0033327A" w:rsidRDefault="00EB5C87"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11,1 %</w:t>
            </w:r>
          </w:p>
        </w:tc>
      </w:tr>
      <w:tr w:rsidR="00EB5C87" w:rsidRPr="0033327A" w14:paraId="69DE3064" w14:textId="77777777" w:rsidTr="00AB465B">
        <w:trPr>
          <w:jc w:val="center"/>
        </w:trPr>
        <w:tc>
          <w:tcPr>
            <w:tcW w:w="4082" w:type="dxa"/>
            <w:tcBorders>
              <w:top w:val="single" w:sz="4" w:space="0" w:color="auto"/>
              <w:left w:val="single" w:sz="4" w:space="0" w:color="auto"/>
              <w:bottom w:val="single" w:sz="4" w:space="0" w:color="auto"/>
              <w:right w:val="single" w:sz="4" w:space="0" w:color="auto"/>
            </w:tcBorders>
          </w:tcPr>
          <w:p w14:paraId="09DC461B" w14:textId="2D1BD3E3" w:rsidR="00EB5C87" w:rsidRPr="0033327A" w:rsidRDefault="00EB5C87" w:rsidP="00A07724">
            <w:pPr>
              <w:pStyle w:val="TextoMichelin"/>
              <w:jc w:val="left"/>
              <w:rPr>
                <w:sz w:val="20"/>
                <w:szCs w:val="20"/>
              </w:rPr>
            </w:pPr>
            <w:r w:rsidRPr="0033327A">
              <w:rPr>
                <w:rFonts w:eastAsia="Times New Roman" w:hAnsi="Arial" w:cs="Arial"/>
                <w:bCs/>
                <w:smallCaps/>
                <w:color w:val="auto"/>
                <w:sz w:val="20"/>
                <w:szCs w:val="20"/>
                <w:bdr w:val="none" w:sz="0" w:space="0" w:color="auto"/>
                <w:lang w:eastAsia="fr-FR"/>
              </w:rPr>
              <w:t>Empleados</w:t>
            </w:r>
            <w:r w:rsidRPr="0033327A">
              <w:rPr>
                <w:rStyle w:val="Refdenotaalpie"/>
                <w:sz w:val="20"/>
                <w:szCs w:val="20"/>
              </w:rPr>
              <w:footnoteReference w:id="2"/>
            </w:r>
          </w:p>
        </w:tc>
        <w:tc>
          <w:tcPr>
            <w:tcW w:w="2126" w:type="dxa"/>
            <w:tcBorders>
              <w:top w:val="single" w:sz="4" w:space="0" w:color="auto"/>
              <w:left w:val="single" w:sz="4" w:space="0" w:color="auto"/>
              <w:bottom w:val="single" w:sz="4" w:space="0" w:color="auto"/>
              <w:right w:val="single" w:sz="4" w:space="0" w:color="auto"/>
            </w:tcBorders>
          </w:tcPr>
          <w:p w14:paraId="03FA1D44" w14:textId="65B492DA" w:rsidR="00EB5C87" w:rsidRPr="0033327A" w:rsidRDefault="00EB5C87"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 111</w:t>
            </w:r>
            <w:r w:rsidR="00210886" w:rsidRPr="0033327A">
              <w:rPr>
                <w:rFonts w:ascii="Arial" w:hAnsi="Arial" w:cs="Arial"/>
                <w:b/>
                <w:bCs/>
                <w:sz w:val="20"/>
                <w:szCs w:val="20"/>
              </w:rPr>
              <w:t>.</w:t>
            </w:r>
            <w:r w:rsidRPr="0033327A">
              <w:rPr>
                <w:rFonts w:ascii="Arial" w:hAnsi="Arial" w:cs="Arial"/>
                <w:b/>
                <w:bCs/>
                <w:sz w:val="20"/>
                <w:szCs w:val="20"/>
              </w:rPr>
              <w:t>700</w:t>
            </w:r>
          </w:p>
        </w:tc>
        <w:tc>
          <w:tcPr>
            <w:tcW w:w="2284" w:type="dxa"/>
            <w:tcBorders>
              <w:top w:val="single" w:sz="4" w:space="0" w:color="auto"/>
              <w:left w:val="single" w:sz="4" w:space="0" w:color="auto"/>
              <w:bottom w:val="single" w:sz="4" w:space="0" w:color="auto"/>
              <w:right w:val="single" w:sz="4" w:space="0" w:color="auto"/>
            </w:tcBorders>
          </w:tcPr>
          <w:p w14:paraId="405722C8" w14:textId="1A1B97A3" w:rsidR="00EB5C87" w:rsidRPr="0033327A" w:rsidRDefault="00EB5C87"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 112</w:t>
            </w:r>
            <w:r w:rsidR="00210886" w:rsidRPr="0033327A">
              <w:rPr>
                <w:rFonts w:ascii="Arial" w:hAnsi="Arial" w:cs="Arial"/>
                <w:b/>
                <w:bCs/>
                <w:sz w:val="20"/>
                <w:szCs w:val="20"/>
              </w:rPr>
              <w:t>.</w:t>
            </w:r>
            <w:r w:rsidRPr="0033327A">
              <w:rPr>
                <w:rFonts w:ascii="Arial" w:hAnsi="Arial" w:cs="Arial"/>
                <w:b/>
                <w:bCs/>
                <w:sz w:val="20"/>
                <w:szCs w:val="20"/>
              </w:rPr>
              <w:t>300</w:t>
            </w:r>
          </w:p>
        </w:tc>
      </w:tr>
      <w:tr w:rsidR="00EB5C87" w:rsidRPr="0033327A" w14:paraId="6E943BD3" w14:textId="77777777" w:rsidTr="00AB465B">
        <w:trPr>
          <w:jc w:val="center"/>
        </w:trPr>
        <w:tc>
          <w:tcPr>
            <w:tcW w:w="4082" w:type="dxa"/>
            <w:tcBorders>
              <w:top w:val="single" w:sz="4" w:space="0" w:color="auto"/>
              <w:left w:val="single" w:sz="4" w:space="0" w:color="auto"/>
              <w:bottom w:val="single" w:sz="4" w:space="0" w:color="auto"/>
              <w:right w:val="single" w:sz="4" w:space="0" w:color="auto"/>
            </w:tcBorders>
          </w:tcPr>
          <w:p w14:paraId="102DC1E8" w14:textId="6607453D" w:rsidR="00EB5C87" w:rsidRPr="0033327A" w:rsidRDefault="00EB5C87" w:rsidP="0067614D">
            <w:pPr>
              <w:pStyle w:val="TextoMichelin"/>
              <w:jc w:val="left"/>
              <w:rPr>
                <w:sz w:val="20"/>
                <w:szCs w:val="20"/>
              </w:rPr>
            </w:pPr>
            <w:r w:rsidRPr="0033327A">
              <w:rPr>
                <w:rFonts w:eastAsia="Times New Roman" w:hAnsi="Arial" w:cs="Arial"/>
                <w:bCs/>
                <w:smallCaps/>
                <w:color w:val="auto"/>
                <w:sz w:val="20"/>
                <w:szCs w:val="20"/>
                <w:bdr w:val="none" w:sz="0" w:space="0" w:color="auto"/>
                <w:lang w:eastAsia="fr-FR"/>
              </w:rPr>
              <w:t>Resultado neto por acción</w:t>
            </w:r>
          </w:p>
        </w:tc>
        <w:tc>
          <w:tcPr>
            <w:tcW w:w="2126" w:type="dxa"/>
            <w:tcBorders>
              <w:top w:val="single" w:sz="4" w:space="0" w:color="auto"/>
              <w:left w:val="single" w:sz="4" w:space="0" w:color="auto"/>
              <w:bottom w:val="single" w:sz="4" w:space="0" w:color="auto"/>
              <w:right w:val="single" w:sz="4" w:space="0" w:color="auto"/>
            </w:tcBorders>
          </w:tcPr>
          <w:p w14:paraId="02A97A93" w14:textId="37678035" w:rsidR="00EB5C87" w:rsidRPr="0033327A" w:rsidRDefault="00EB5C87"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6,28 €</w:t>
            </w:r>
          </w:p>
        </w:tc>
        <w:tc>
          <w:tcPr>
            <w:tcW w:w="2284" w:type="dxa"/>
            <w:tcBorders>
              <w:top w:val="single" w:sz="4" w:space="0" w:color="auto"/>
              <w:left w:val="single" w:sz="4" w:space="0" w:color="auto"/>
              <w:bottom w:val="single" w:sz="4" w:space="0" w:color="auto"/>
              <w:right w:val="single" w:sz="4" w:space="0" w:color="auto"/>
            </w:tcBorders>
          </w:tcPr>
          <w:p w14:paraId="58DE98AE" w14:textId="4953BD08" w:rsidR="00EB5C87" w:rsidRPr="0033327A" w:rsidRDefault="00EB5C87"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5,52 €</w:t>
            </w:r>
          </w:p>
        </w:tc>
      </w:tr>
      <w:tr w:rsidR="00EB5C87" w:rsidRPr="0033327A" w14:paraId="727018E8" w14:textId="77777777" w:rsidTr="00AB465B">
        <w:trPr>
          <w:trHeight w:val="488"/>
          <w:jc w:val="center"/>
        </w:trPr>
        <w:tc>
          <w:tcPr>
            <w:tcW w:w="4082" w:type="dxa"/>
            <w:tcBorders>
              <w:top w:val="single" w:sz="4" w:space="0" w:color="auto"/>
              <w:left w:val="single" w:sz="4" w:space="0" w:color="auto"/>
              <w:bottom w:val="single" w:sz="4" w:space="0" w:color="auto"/>
              <w:right w:val="single" w:sz="4" w:space="0" w:color="auto"/>
            </w:tcBorders>
          </w:tcPr>
          <w:p w14:paraId="60D0FBFE" w14:textId="280723CE" w:rsidR="00EB5C87" w:rsidRPr="0033327A" w:rsidRDefault="00EB5C87" w:rsidP="00A07724">
            <w:pPr>
              <w:pStyle w:val="TextoMichelin"/>
              <w:jc w:val="left"/>
              <w:rPr>
                <w:sz w:val="20"/>
                <w:szCs w:val="20"/>
              </w:rPr>
            </w:pPr>
            <w:r w:rsidRPr="0033327A">
              <w:rPr>
                <w:rFonts w:eastAsia="Times New Roman" w:hAnsi="Arial" w:cs="Arial"/>
                <w:bCs/>
                <w:smallCaps/>
                <w:color w:val="auto"/>
                <w:sz w:val="20"/>
                <w:szCs w:val="20"/>
                <w:bdr w:val="none" w:sz="0" w:space="0" w:color="auto"/>
                <w:lang w:eastAsia="fr-FR"/>
              </w:rPr>
              <w:t>Dividendo por acción</w:t>
            </w:r>
            <w:r w:rsidRPr="0033327A">
              <w:rPr>
                <w:rStyle w:val="Refdenotaalpie"/>
                <w:sz w:val="20"/>
                <w:szCs w:val="20"/>
              </w:rPr>
              <w:footnoteReference w:id="3"/>
            </w:r>
            <w:r w:rsidRPr="0033327A">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14:paraId="1DDB5D45" w14:textId="7B391B3F" w:rsidR="00EB5C87" w:rsidRPr="0033327A" w:rsidRDefault="00EB5C87"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2,85 €</w:t>
            </w:r>
          </w:p>
        </w:tc>
        <w:tc>
          <w:tcPr>
            <w:tcW w:w="2284" w:type="dxa"/>
            <w:tcBorders>
              <w:top w:val="single" w:sz="4" w:space="0" w:color="auto"/>
              <w:left w:val="single" w:sz="4" w:space="0" w:color="auto"/>
              <w:bottom w:val="single" w:sz="4" w:space="0" w:color="auto"/>
              <w:right w:val="single" w:sz="4" w:space="0" w:color="auto"/>
            </w:tcBorders>
          </w:tcPr>
          <w:p w14:paraId="280C1436" w14:textId="2FEA78AD" w:rsidR="00EB5C87" w:rsidRPr="0033327A" w:rsidRDefault="00EB5C87" w:rsidP="00A43811">
            <w:pPr>
              <w:tabs>
                <w:tab w:val="left" w:pos="360"/>
              </w:tabs>
              <w:spacing w:after="240" w:line="270" w:lineRule="atLeast"/>
              <w:jc w:val="center"/>
              <w:rPr>
                <w:rFonts w:ascii="Arial" w:hAnsi="Arial" w:cs="Arial"/>
                <w:b/>
                <w:bCs/>
                <w:sz w:val="20"/>
                <w:szCs w:val="20"/>
              </w:rPr>
            </w:pPr>
            <w:r w:rsidRPr="0033327A">
              <w:rPr>
                <w:rFonts w:ascii="Arial" w:hAnsi="Arial" w:cs="Arial"/>
                <w:b/>
                <w:bCs/>
                <w:sz w:val="20"/>
                <w:szCs w:val="20"/>
              </w:rPr>
              <w:t>2,50 €</w:t>
            </w:r>
          </w:p>
        </w:tc>
      </w:tr>
    </w:tbl>
    <w:p w14:paraId="7794E862" w14:textId="77777777" w:rsidR="00035D4D" w:rsidRPr="0033327A" w:rsidRDefault="00035D4D">
      <w:pPr>
        <w:pStyle w:val="TextoMichelin"/>
        <w:rPr>
          <w:rFonts w:ascii="Times" w:eastAsia="Times" w:hAnsi="Times" w:cs="Times"/>
          <w:b/>
          <w:bCs/>
          <w:color w:val="333399"/>
          <w:sz w:val="40"/>
          <w:szCs w:val="40"/>
          <w:u w:color="333399"/>
        </w:rPr>
      </w:pPr>
    </w:p>
    <w:p w14:paraId="14099874" w14:textId="26A3F4CF" w:rsidR="00700DFB" w:rsidRPr="0033327A" w:rsidRDefault="00035D4D">
      <w:pPr>
        <w:pStyle w:val="TextoMichelin"/>
        <w:rPr>
          <w:rFonts w:ascii="Times" w:eastAsia="Times" w:hAnsi="Times" w:cs="Times"/>
          <w:b/>
          <w:bCs/>
          <w:color w:val="333399"/>
          <w:sz w:val="40"/>
          <w:szCs w:val="40"/>
          <w:u w:color="333399"/>
        </w:rPr>
      </w:pPr>
      <w:r w:rsidRPr="0033327A">
        <w:rPr>
          <w:rFonts w:ascii="Times" w:eastAsia="Times" w:hAnsi="Times" w:cs="Times"/>
          <w:b/>
          <w:bCs/>
          <w:color w:val="333399"/>
          <w:sz w:val="40"/>
          <w:szCs w:val="40"/>
          <w:u w:color="333399"/>
        </w:rPr>
        <w:br w:type="column"/>
      </w:r>
      <w:r w:rsidR="009F7ED2" w:rsidRPr="0033327A">
        <w:rPr>
          <w:rFonts w:ascii="Times" w:eastAsia="Times" w:hAnsi="Times" w:cs="Times"/>
          <w:b/>
          <w:bCs/>
          <w:color w:val="333399"/>
          <w:sz w:val="40"/>
          <w:szCs w:val="40"/>
          <w:u w:color="333399"/>
        </w:rPr>
        <w:lastRenderedPageBreak/>
        <w:t xml:space="preserve">Evolución del mercado de neumáticos </w:t>
      </w:r>
    </w:p>
    <w:tbl>
      <w:tblPr>
        <w:tblpPr w:leftFromText="141" w:rightFromText="141" w:vertAnchor="text" w:horzAnchor="page" w:tblpX="1090" w:tblpY="58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34"/>
        <w:gridCol w:w="1134"/>
        <w:gridCol w:w="992"/>
        <w:gridCol w:w="1134"/>
        <w:gridCol w:w="1134"/>
        <w:gridCol w:w="1559"/>
        <w:gridCol w:w="992"/>
      </w:tblGrid>
      <w:tr w:rsidR="00671A12" w:rsidRPr="0033327A" w14:paraId="1510DA28" w14:textId="77777777" w:rsidTr="00671A12">
        <w:trPr>
          <w:trHeight w:val="890"/>
        </w:trPr>
        <w:tc>
          <w:tcPr>
            <w:tcW w:w="2235" w:type="dxa"/>
            <w:shd w:val="clear" w:color="auto" w:fill="E6E6E6"/>
          </w:tcPr>
          <w:p w14:paraId="7FAC7279" w14:textId="77777777" w:rsidR="00671A12" w:rsidRPr="0033327A" w:rsidRDefault="00671A12" w:rsidP="00671A12">
            <w:pPr>
              <w:pStyle w:val="LadilloMichelinDossier"/>
              <w:spacing w:before="0" w:after="0"/>
              <w:rPr>
                <w:b w:val="0"/>
                <w:bCs w:val="0"/>
                <w:sz w:val="20"/>
                <w:lang w:bidi="es-ES_tradnl"/>
              </w:rPr>
            </w:pPr>
            <w:r w:rsidRPr="0033327A">
              <w:rPr>
                <w:rFonts w:ascii="Arial" w:hAnsi="Arial"/>
                <w:b w:val="0"/>
                <w:bCs w:val="0"/>
                <w:sz w:val="20"/>
                <w:lang w:bidi="es-ES_tradnl"/>
              </w:rPr>
              <w:t>2015/2014</w:t>
            </w:r>
            <w:r w:rsidRPr="0033327A">
              <w:rPr>
                <w:rFonts w:ascii="Arial" w:hAnsi="Arial"/>
                <w:b w:val="0"/>
                <w:bCs w:val="0"/>
                <w:sz w:val="20"/>
                <w:lang w:bidi="es-ES_tradnl"/>
              </w:rPr>
              <w:br/>
            </w:r>
            <w:r w:rsidRPr="0033327A">
              <w:rPr>
                <w:rFonts w:ascii="Arial" w:hAnsi="Arial"/>
                <w:b w:val="0"/>
                <w:bCs w:val="0"/>
                <w:sz w:val="18"/>
                <w:lang w:bidi="es-ES_tradnl"/>
              </w:rPr>
              <w:t>(número de neumáticos)</w:t>
            </w:r>
          </w:p>
        </w:tc>
        <w:tc>
          <w:tcPr>
            <w:tcW w:w="1134" w:type="dxa"/>
            <w:shd w:val="clear" w:color="auto" w:fill="E6E6E6"/>
          </w:tcPr>
          <w:p w14:paraId="15B09B86" w14:textId="77777777" w:rsidR="00671A12" w:rsidRPr="0033327A" w:rsidRDefault="00671A12" w:rsidP="00671A12">
            <w:pPr>
              <w:pStyle w:val="LadilloMichelinDossier"/>
              <w:spacing w:before="0" w:after="0"/>
              <w:rPr>
                <w:b w:val="0"/>
                <w:bCs w:val="0"/>
                <w:sz w:val="20"/>
                <w:lang w:bidi="es-ES_tradnl"/>
              </w:rPr>
            </w:pPr>
            <w:r w:rsidRPr="0033327A">
              <w:rPr>
                <w:rFonts w:ascii="Arial" w:hAnsi="Arial"/>
                <w:b w:val="0"/>
                <w:bCs w:val="0"/>
                <w:sz w:val="20"/>
                <w:lang w:bidi="es-ES_tradnl"/>
              </w:rPr>
              <w:t>Europa con Rusia y CEI</w:t>
            </w:r>
            <w:r w:rsidRPr="0033327A">
              <w:rPr>
                <w:rStyle w:val="Refdenotaalpie"/>
                <w:rFonts w:ascii="Arial" w:hAnsi="Arial"/>
                <w:b w:val="0"/>
                <w:bCs w:val="0"/>
                <w:sz w:val="32"/>
                <w:lang w:bidi="es-ES_tradnl"/>
              </w:rPr>
              <w:footnoteReference w:customMarkFollows="1" w:id="4"/>
              <w:sym w:font="Symbol" w:char="F02A"/>
            </w:r>
          </w:p>
        </w:tc>
        <w:tc>
          <w:tcPr>
            <w:tcW w:w="1134" w:type="dxa"/>
            <w:shd w:val="clear" w:color="auto" w:fill="E6E6E6"/>
          </w:tcPr>
          <w:p w14:paraId="334B180E" w14:textId="77777777" w:rsidR="00671A12" w:rsidRPr="0033327A" w:rsidRDefault="00671A12" w:rsidP="00671A12">
            <w:pPr>
              <w:tabs>
                <w:tab w:val="left" w:pos="284"/>
              </w:tabs>
              <w:rPr>
                <w:rFonts w:ascii="Arial" w:eastAsia="Times" w:hAnsi="Arial" w:cs="Times"/>
                <w:color w:val="000000"/>
                <w:sz w:val="20"/>
                <w:szCs w:val="26"/>
                <w:u w:color="000000"/>
                <w:lang w:eastAsia="es-ES" w:bidi="es-ES_tradnl"/>
              </w:rPr>
            </w:pPr>
            <w:r w:rsidRPr="0033327A">
              <w:rPr>
                <w:rFonts w:ascii="Arial" w:eastAsia="Times" w:hAnsi="Arial" w:cs="Times"/>
                <w:color w:val="000000"/>
                <w:sz w:val="20"/>
                <w:szCs w:val="26"/>
                <w:u w:color="000000"/>
                <w:lang w:eastAsia="es-ES" w:bidi="es-ES_tradnl"/>
              </w:rPr>
              <w:t>Europa</w:t>
            </w:r>
          </w:p>
          <w:p w14:paraId="62E6A9A6" w14:textId="77777777" w:rsidR="00671A12" w:rsidRPr="0033327A" w:rsidRDefault="00671A12" w:rsidP="00671A12">
            <w:pPr>
              <w:pStyle w:val="LadilloMichelinDossier"/>
              <w:spacing w:before="0" w:after="0"/>
              <w:rPr>
                <w:rFonts w:ascii="Arial" w:hAnsi="Arial"/>
                <w:b w:val="0"/>
                <w:bCs w:val="0"/>
                <w:sz w:val="20"/>
                <w:lang w:bidi="es-ES_tradnl"/>
              </w:rPr>
            </w:pPr>
            <w:r w:rsidRPr="0033327A">
              <w:rPr>
                <w:rFonts w:ascii="Arial" w:hAnsi="Arial"/>
                <w:b w:val="0"/>
                <w:bCs w:val="0"/>
                <w:sz w:val="20"/>
                <w:lang w:bidi="es-ES_tradnl"/>
              </w:rPr>
              <w:t xml:space="preserve">sin Rusia </w:t>
            </w:r>
            <w:r w:rsidRPr="0033327A">
              <w:rPr>
                <w:rFonts w:ascii="Arial" w:hAnsi="Arial"/>
                <w:b w:val="0"/>
                <w:bCs w:val="0"/>
                <w:sz w:val="20"/>
                <w:lang w:bidi="es-ES_tradnl"/>
              </w:rPr>
              <w:br/>
              <w:t>ni CEI*</w:t>
            </w:r>
          </w:p>
        </w:tc>
        <w:tc>
          <w:tcPr>
            <w:tcW w:w="992" w:type="dxa"/>
            <w:shd w:val="clear" w:color="auto" w:fill="E6E6E6"/>
          </w:tcPr>
          <w:p w14:paraId="460739F8" w14:textId="77777777" w:rsidR="00671A12" w:rsidRPr="0033327A" w:rsidRDefault="00671A12" w:rsidP="00671A12">
            <w:pPr>
              <w:pStyle w:val="LadilloMichelinDossier"/>
              <w:spacing w:before="0" w:after="0"/>
              <w:rPr>
                <w:b w:val="0"/>
                <w:bCs w:val="0"/>
                <w:sz w:val="20"/>
                <w:lang w:bidi="es-ES_tradnl"/>
              </w:rPr>
            </w:pPr>
            <w:r w:rsidRPr="0033327A">
              <w:rPr>
                <w:rFonts w:ascii="Arial" w:hAnsi="Arial"/>
                <w:b w:val="0"/>
                <w:bCs w:val="0"/>
                <w:sz w:val="20"/>
                <w:lang w:bidi="es-ES_tradnl"/>
              </w:rPr>
              <w:t xml:space="preserve">América </w:t>
            </w:r>
            <w:r w:rsidRPr="0033327A">
              <w:rPr>
                <w:rFonts w:ascii="Arial" w:hAnsi="Arial"/>
                <w:b w:val="0"/>
                <w:bCs w:val="0"/>
                <w:sz w:val="20"/>
                <w:lang w:bidi="es-ES_tradnl"/>
              </w:rPr>
              <w:br/>
              <w:t>del Norte</w:t>
            </w:r>
          </w:p>
        </w:tc>
        <w:tc>
          <w:tcPr>
            <w:tcW w:w="1134" w:type="dxa"/>
            <w:shd w:val="clear" w:color="auto" w:fill="E6E6E6"/>
          </w:tcPr>
          <w:p w14:paraId="1E47B1D1" w14:textId="77777777" w:rsidR="00671A12" w:rsidRPr="0033327A" w:rsidRDefault="00671A12" w:rsidP="00671A12">
            <w:pPr>
              <w:pStyle w:val="LadilloMichelinDossier"/>
              <w:spacing w:before="0" w:after="0"/>
              <w:rPr>
                <w:rFonts w:ascii="Arial" w:hAnsi="Arial"/>
                <w:b w:val="0"/>
                <w:bCs w:val="0"/>
                <w:sz w:val="20"/>
                <w:lang w:bidi="es-ES_tradnl"/>
              </w:rPr>
            </w:pPr>
            <w:r w:rsidRPr="0033327A">
              <w:rPr>
                <w:rFonts w:ascii="Arial" w:hAnsi="Arial"/>
                <w:b w:val="0"/>
                <w:bCs w:val="0"/>
                <w:sz w:val="20"/>
                <w:lang w:bidi="es-ES_tradnl"/>
              </w:rPr>
              <w:t>Asia</w:t>
            </w:r>
          </w:p>
          <w:p w14:paraId="3F7D66C8" w14:textId="77777777" w:rsidR="00671A12" w:rsidRPr="0033327A" w:rsidRDefault="00671A12" w:rsidP="00671A12">
            <w:pPr>
              <w:pStyle w:val="LadilloMichelinDossier"/>
              <w:spacing w:before="0" w:after="0"/>
              <w:rPr>
                <w:b w:val="0"/>
                <w:bCs w:val="0"/>
                <w:sz w:val="20"/>
                <w:lang w:bidi="es-ES_tradnl"/>
              </w:rPr>
            </w:pPr>
            <w:r w:rsidRPr="0033327A">
              <w:rPr>
                <w:rFonts w:ascii="Arial" w:hAnsi="Arial"/>
                <w:b w:val="0"/>
                <w:bCs w:val="0"/>
                <w:sz w:val="20"/>
                <w:lang w:bidi="es-ES_tradnl"/>
              </w:rPr>
              <w:t>(sin India)</w:t>
            </w:r>
          </w:p>
        </w:tc>
        <w:tc>
          <w:tcPr>
            <w:tcW w:w="1134" w:type="dxa"/>
            <w:shd w:val="clear" w:color="auto" w:fill="E6E6E6"/>
          </w:tcPr>
          <w:p w14:paraId="48DCE7EA" w14:textId="77777777" w:rsidR="00671A12" w:rsidRPr="0033327A" w:rsidRDefault="00671A12" w:rsidP="00671A12">
            <w:pPr>
              <w:pStyle w:val="LadilloMichelinDossier"/>
              <w:spacing w:before="0" w:after="0"/>
              <w:rPr>
                <w:b w:val="0"/>
                <w:bCs w:val="0"/>
                <w:sz w:val="20"/>
                <w:lang w:bidi="es-ES_tradnl"/>
              </w:rPr>
            </w:pPr>
            <w:r w:rsidRPr="0033327A">
              <w:rPr>
                <w:rFonts w:ascii="Arial" w:hAnsi="Arial"/>
                <w:b w:val="0"/>
                <w:bCs w:val="0"/>
                <w:sz w:val="20"/>
                <w:lang w:bidi="es-ES_tradnl"/>
              </w:rPr>
              <w:t xml:space="preserve">América </w:t>
            </w:r>
            <w:r w:rsidRPr="0033327A">
              <w:rPr>
                <w:rFonts w:ascii="Arial" w:hAnsi="Arial"/>
                <w:b w:val="0"/>
                <w:bCs w:val="0"/>
                <w:sz w:val="20"/>
                <w:lang w:bidi="es-ES_tradnl"/>
              </w:rPr>
              <w:br/>
              <w:t>del Sur</w:t>
            </w:r>
          </w:p>
        </w:tc>
        <w:tc>
          <w:tcPr>
            <w:tcW w:w="1559" w:type="dxa"/>
            <w:shd w:val="clear" w:color="auto" w:fill="E6E6E6"/>
          </w:tcPr>
          <w:p w14:paraId="5DB9CD01" w14:textId="77777777" w:rsidR="00671A12" w:rsidRPr="0033327A" w:rsidRDefault="00671A12" w:rsidP="00671A12">
            <w:pPr>
              <w:pStyle w:val="LadilloMichelinDossier"/>
              <w:spacing w:before="0" w:after="0"/>
              <w:rPr>
                <w:b w:val="0"/>
                <w:bCs w:val="0"/>
                <w:sz w:val="20"/>
                <w:lang w:bidi="es-ES_tradnl"/>
              </w:rPr>
            </w:pPr>
            <w:r w:rsidRPr="0033327A">
              <w:rPr>
                <w:rFonts w:ascii="Arial" w:hAnsi="Arial"/>
                <w:b w:val="0"/>
                <w:bCs w:val="0"/>
                <w:sz w:val="20"/>
                <w:lang w:bidi="es-ES_tradnl"/>
              </w:rPr>
              <w:t>África/India/</w:t>
            </w:r>
            <w:r w:rsidRPr="0033327A">
              <w:rPr>
                <w:rFonts w:ascii="Arial" w:hAnsi="Arial"/>
                <w:b w:val="0"/>
                <w:bCs w:val="0"/>
                <w:sz w:val="20"/>
                <w:lang w:bidi="es-ES_tradnl"/>
              </w:rPr>
              <w:br/>
              <w:t>Oriente Medio</w:t>
            </w:r>
          </w:p>
        </w:tc>
        <w:tc>
          <w:tcPr>
            <w:tcW w:w="992" w:type="dxa"/>
            <w:shd w:val="clear" w:color="auto" w:fill="E6E6E6"/>
          </w:tcPr>
          <w:p w14:paraId="3BFA86C4" w14:textId="77777777" w:rsidR="00671A12" w:rsidRPr="0033327A" w:rsidRDefault="00671A12" w:rsidP="00671A12">
            <w:pPr>
              <w:pStyle w:val="LadilloMichelinDossier"/>
              <w:spacing w:before="0" w:after="0"/>
              <w:rPr>
                <w:b w:val="0"/>
                <w:bCs w:val="0"/>
                <w:sz w:val="20"/>
                <w:lang w:bidi="es-ES_tradnl"/>
              </w:rPr>
            </w:pPr>
            <w:r w:rsidRPr="0033327A">
              <w:rPr>
                <w:rFonts w:ascii="Arial" w:hAnsi="Arial"/>
                <w:b w:val="0"/>
                <w:bCs w:val="0"/>
                <w:sz w:val="20"/>
                <w:lang w:bidi="es-ES_tradnl"/>
              </w:rPr>
              <w:t>Total</w:t>
            </w:r>
          </w:p>
        </w:tc>
      </w:tr>
      <w:tr w:rsidR="00671A12" w:rsidRPr="0033327A" w14:paraId="1708C592" w14:textId="77777777" w:rsidTr="003B4039">
        <w:trPr>
          <w:trHeight w:val="1212"/>
        </w:trPr>
        <w:tc>
          <w:tcPr>
            <w:tcW w:w="2235" w:type="dxa"/>
          </w:tcPr>
          <w:p w14:paraId="428DF8EA" w14:textId="77777777" w:rsidR="00671A12" w:rsidRPr="0033327A" w:rsidRDefault="00671A12" w:rsidP="00671A12">
            <w:pPr>
              <w:pStyle w:val="LadilloMichelinDossier"/>
              <w:spacing w:before="0" w:after="0"/>
              <w:jc w:val="both"/>
              <w:rPr>
                <w:rFonts w:ascii="Arial" w:hAnsi="Arial"/>
                <w:b w:val="0"/>
                <w:bCs w:val="0"/>
                <w:sz w:val="20"/>
                <w:lang w:bidi="es-ES_tradnl"/>
              </w:rPr>
            </w:pPr>
          </w:p>
          <w:p w14:paraId="5B92EE51" w14:textId="77777777" w:rsidR="00671A12" w:rsidRPr="0033327A" w:rsidRDefault="00671A12" w:rsidP="00671A12">
            <w:pPr>
              <w:pStyle w:val="LadilloMichelinDossier"/>
              <w:spacing w:before="0" w:after="0"/>
              <w:jc w:val="both"/>
              <w:rPr>
                <w:rFonts w:ascii="Arial" w:hAnsi="Arial"/>
                <w:b w:val="0"/>
                <w:bCs w:val="0"/>
                <w:sz w:val="20"/>
                <w:lang w:bidi="es-ES_tradnl"/>
              </w:rPr>
            </w:pPr>
            <w:r w:rsidRPr="0033327A">
              <w:rPr>
                <w:rFonts w:ascii="Arial" w:hAnsi="Arial"/>
                <w:b w:val="0"/>
                <w:bCs w:val="0"/>
                <w:sz w:val="20"/>
                <w:lang w:bidi="es-ES_tradnl"/>
              </w:rPr>
              <w:t>Primera monta</w:t>
            </w:r>
          </w:p>
          <w:p w14:paraId="2ECD73F1" w14:textId="77777777" w:rsidR="00671A12" w:rsidRPr="0033327A" w:rsidRDefault="00671A12" w:rsidP="00671A12">
            <w:pPr>
              <w:pStyle w:val="LadilloMichelinDossier"/>
              <w:spacing w:before="0" w:after="0"/>
              <w:jc w:val="both"/>
              <w:rPr>
                <w:rFonts w:ascii="Arial" w:hAnsi="Arial"/>
                <w:b w:val="0"/>
                <w:bCs w:val="0"/>
                <w:sz w:val="20"/>
                <w:lang w:bidi="es-ES_tradnl"/>
              </w:rPr>
            </w:pPr>
          </w:p>
          <w:p w14:paraId="1AE5A837" w14:textId="77777777" w:rsidR="00671A12" w:rsidRPr="0033327A" w:rsidRDefault="00671A12" w:rsidP="00671A12">
            <w:pPr>
              <w:pStyle w:val="LadilloMichelinDossier"/>
              <w:spacing w:before="0" w:after="0"/>
              <w:jc w:val="both"/>
              <w:rPr>
                <w:b w:val="0"/>
                <w:bCs w:val="0"/>
                <w:sz w:val="20"/>
                <w:lang w:bidi="es-ES_tradnl"/>
              </w:rPr>
            </w:pPr>
            <w:r w:rsidRPr="0033327A">
              <w:rPr>
                <w:rFonts w:ascii="Arial" w:hAnsi="Arial"/>
                <w:b w:val="0"/>
                <w:bCs w:val="0"/>
                <w:sz w:val="20"/>
                <w:lang w:bidi="es-ES_tradnl"/>
              </w:rPr>
              <w:t>Reemplazo</w:t>
            </w:r>
          </w:p>
        </w:tc>
        <w:tc>
          <w:tcPr>
            <w:tcW w:w="1134" w:type="dxa"/>
          </w:tcPr>
          <w:p w14:paraId="7772FA47" w14:textId="77777777" w:rsidR="00671A12" w:rsidRPr="0033327A" w:rsidRDefault="00671A12" w:rsidP="00671A12">
            <w:pPr>
              <w:tabs>
                <w:tab w:val="left" w:pos="284"/>
              </w:tabs>
              <w:jc w:val="center"/>
              <w:rPr>
                <w:rFonts w:ascii="Arial" w:eastAsia="MS Mincho" w:hAnsi="Arial" w:cs="Arial"/>
                <w:b/>
                <w:strike/>
                <w:snapToGrid w:val="0"/>
                <w:sz w:val="20"/>
                <w:szCs w:val="20"/>
              </w:rPr>
            </w:pPr>
          </w:p>
          <w:p w14:paraId="10F86DC2" w14:textId="77777777" w:rsidR="00671A12" w:rsidRPr="0033327A" w:rsidRDefault="00671A12" w:rsidP="00671A12">
            <w:pPr>
              <w:tabs>
                <w:tab w:val="left" w:pos="284"/>
              </w:tabs>
              <w:jc w:val="center"/>
              <w:rPr>
                <w:rFonts w:ascii="Arial" w:eastAsia="MS Mincho" w:hAnsi="Arial" w:cs="Arial"/>
                <w:b/>
                <w:snapToGrid w:val="0"/>
                <w:sz w:val="20"/>
                <w:szCs w:val="20"/>
              </w:rPr>
            </w:pPr>
            <w:r w:rsidRPr="0033327A">
              <w:rPr>
                <w:rFonts w:ascii="Arial" w:eastAsia="MS Mincho" w:hAnsi="Arial" w:cs="Arial"/>
                <w:b/>
                <w:snapToGrid w:val="0"/>
                <w:sz w:val="20"/>
                <w:szCs w:val="20"/>
              </w:rPr>
              <w:t>+ 4 %</w:t>
            </w:r>
          </w:p>
          <w:p w14:paraId="2597579C" w14:textId="77777777" w:rsidR="00671A12" w:rsidRPr="0033327A" w:rsidRDefault="00671A12" w:rsidP="00671A12">
            <w:pPr>
              <w:tabs>
                <w:tab w:val="left" w:pos="284"/>
              </w:tabs>
              <w:jc w:val="center"/>
              <w:rPr>
                <w:rFonts w:ascii="Arial" w:eastAsia="MS Mincho" w:hAnsi="Arial" w:cs="Arial"/>
                <w:b/>
                <w:snapToGrid w:val="0"/>
                <w:sz w:val="20"/>
                <w:szCs w:val="20"/>
              </w:rPr>
            </w:pPr>
          </w:p>
          <w:p w14:paraId="3A08D4FD" w14:textId="77777777" w:rsidR="00671A12" w:rsidRPr="0033327A" w:rsidRDefault="00671A12" w:rsidP="00671A12">
            <w:pPr>
              <w:tabs>
                <w:tab w:val="left" w:pos="284"/>
              </w:tabs>
              <w:jc w:val="center"/>
              <w:rPr>
                <w:rFonts w:ascii="Arial" w:eastAsia="MS Mincho" w:hAnsi="Arial" w:cs="Arial"/>
                <w:b/>
                <w:snapToGrid w:val="0"/>
                <w:sz w:val="20"/>
                <w:szCs w:val="20"/>
              </w:rPr>
            </w:pPr>
            <w:r w:rsidRPr="0033327A">
              <w:rPr>
                <w:rFonts w:ascii="Arial" w:eastAsia="MS Mincho" w:hAnsi="Arial" w:cs="Arial"/>
                <w:b/>
                <w:snapToGrid w:val="0"/>
                <w:sz w:val="20"/>
                <w:szCs w:val="20"/>
              </w:rPr>
              <w:t>+ 3 %</w:t>
            </w:r>
          </w:p>
          <w:p w14:paraId="7FDFB52A" w14:textId="77777777" w:rsidR="00671A12" w:rsidRPr="0033327A" w:rsidRDefault="00671A12" w:rsidP="00671A12">
            <w:pPr>
              <w:tabs>
                <w:tab w:val="left" w:pos="284"/>
              </w:tabs>
              <w:spacing w:line="270" w:lineRule="atLeast"/>
              <w:jc w:val="center"/>
              <w:rPr>
                <w:rFonts w:ascii="Arial" w:eastAsia="MS Mincho" w:hAnsi="Arial" w:cs="Arial"/>
                <w:b/>
                <w:snapToGrid w:val="0"/>
                <w:sz w:val="20"/>
                <w:szCs w:val="20"/>
              </w:rPr>
            </w:pPr>
          </w:p>
        </w:tc>
        <w:tc>
          <w:tcPr>
            <w:tcW w:w="1134" w:type="dxa"/>
          </w:tcPr>
          <w:p w14:paraId="4436027F" w14:textId="77777777" w:rsidR="00671A12" w:rsidRPr="0033327A" w:rsidRDefault="00671A12" w:rsidP="00671A12">
            <w:pPr>
              <w:tabs>
                <w:tab w:val="left" w:pos="284"/>
              </w:tabs>
              <w:jc w:val="center"/>
              <w:rPr>
                <w:rFonts w:ascii="Verdana" w:eastAsia="MS Mincho" w:hAnsi="Verdana" w:cs="Arial"/>
                <w:b/>
                <w:strike/>
                <w:snapToGrid w:val="0"/>
                <w:sz w:val="18"/>
                <w:szCs w:val="18"/>
              </w:rPr>
            </w:pPr>
          </w:p>
          <w:p w14:paraId="670A8DE3" w14:textId="77777777" w:rsidR="00671A12" w:rsidRPr="0033327A" w:rsidRDefault="00671A12" w:rsidP="00671A12">
            <w:pPr>
              <w:tabs>
                <w:tab w:val="left" w:pos="284"/>
              </w:tabs>
              <w:jc w:val="center"/>
              <w:rPr>
                <w:rFonts w:ascii="Verdana" w:eastAsia="MS Mincho" w:hAnsi="Verdana" w:cs="Arial"/>
                <w:b/>
                <w:snapToGrid w:val="0"/>
                <w:sz w:val="18"/>
                <w:szCs w:val="18"/>
              </w:rPr>
            </w:pPr>
            <w:r w:rsidRPr="0033327A">
              <w:rPr>
                <w:rFonts w:ascii="Verdana" w:eastAsia="MS Mincho" w:hAnsi="Verdana" w:cs="Arial"/>
                <w:b/>
                <w:snapToGrid w:val="0"/>
                <w:sz w:val="18"/>
                <w:szCs w:val="18"/>
              </w:rPr>
              <w:t>+ 7 %</w:t>
            </w:r>
          </w:p>
          <w:p w14:paraId="1AF22FCF" w14:textId="77777777" w:rsidR="00671A12" w:rsidRPr="0033327A" w:rsidRDefault="00671A12" w:rsidP="00671A12">
            <w:pPr>
              <w:tabs>
                <w:tab w:val="left" w:pos="284"/>
              </w:tabs>
              <w:jc w:val="center"/>
              <w:rPr>
                <w:rFonts w:ascii="Verdana" w:eastAsia="MS Mincho" w:hAnsi="Verdana" w:cs="Arial"/>
                <w:b/>
                <w:snapToGrid w:val="0"/>
                <w:sz w:val="18"/>
                <w:szCs w:val="18"/>
              </w:rPr>
            </w:pPr>
          </w:p>
          <w:p w14:paraId="5820D2B8" w14:textId="77777777" w:rsidR="00671A12" w:rsidRPr="0033327A" w:rsidRDefault="00671A12" w:rsidP="00671A12">
            <w:pPr>
              <w:tabs>
                <w:tab w:val="left" w:pos="284"/>
              </w:tabs>
              <w:jc w:val="center"/>
              <w:rPr>
                <w:rFonts w:ascii="Arial" w:eastAsia="MS Mincho" w:hAnsi="Arial" w:cs="Arial"/>
                <w:b/>
                <w:strike/>
                <w:snapToGrid w:val="0"/>
                <w:sz w:val="20"/>
                <w:szCs w:val="20"/>
              </w:rPr>
            </w:pPr>
            <w:r w:rsidRPr="0033327A">
              <w:rPr>
                <w:rFonts w:ascii="Verdana" w:eastAsia="MS Mincho" w:hAnsi="Verdana" w:cs="Arial"/>
                <w:b/>
                <w:snapToGrid w:val="0"/>
                <w:sz w:val="18"/>
                <w:szCs w:val="18"/>
              </w:rPr>
              <w:t>+ 6 %</w:t>
            </w:r>
          </w:p>
        </w:tc>
        <w:tc>
          <w:tcPr>
            <w:tcW w:w="992" w:type="dxa"/>
          </w:tcPr>
          <w:p w14:paraId="7E40B15C" w14:textId="77777777" w:rsidR="00671A12" w:rsidRPr="0033327A" w:rsidRDefault="00671A12" w:rsidP="00671A12">
            <w:pPr>
              <w:tabs>
                <w:tab w:val="left" w:pos="284"/>
              </w:tabs>
              <w:jc w:val="center"/>
              <w:rPr>
                <w:rFonts w:ascii="Arial" w:eastAsia="MS Mincho" w:hAnsi="Arial" w:cs="Arial"/>
                <w:b/>
                <w:strike/>
                <w:snapToGrid w:val="0"/>
                <w:sz w:val="20"/>
                <w:szCs w:val="20"/>
              </w:rPr>
            </w:pPr>
          </w:p>
          <w:p w14:paraId="12E1126E" w14:textId="77777777" w:rsidR="00671A12" w:rsidRPr="0033327A" w:rsidRDefault="00671A12" w:rsidP="00671A12">
            <w:pPr>
              <w:tabs>
                <w:tab w:val="left" w:pos="284"/>
              </w:tabs>
              <w:jc w:val="center"/>
              <w:rPr>
                <w:rFonts w:ascii="Arial" w:eastAsia="MS Mincho" w:hAnsi="Arial" w:cs="Arial"/>
                <w:b/>
                <w:snapToGrid w:val="0"/>
                <w:sz w:val="20"/>
                <w:szCs w:val="20"/>
              </w:rPr>
            </w:pPr>
            <w:r w:rsidRPr="0033327A">
              <w:rPr>
                <w:rFonts w:ascii="Arial" w:eastAsia="MS Mincho" w:hAnsi="Arial" w:cs="Arial"/>
                <w:b/>
                <w:snapToGrid w:val="0"/>
                <w:sz w:val="20"/>
                <w:szCs w:val="20"/>
              </w:rPr>
              <w:t>+ 7 %</w:t>
            </w:r>
          </w:p>
          <w:p w14:paraId="5F8CD11D" w14:textId="77777777" w:rsidR="00671A12" w:rsidRPr="0033327A" w:rsidRDefault="00671A12" w:rsidP="00671A12">
            <w:pPr>
              <w:tabs>
                <w:tab w:val="left" w:pos="284"/>
              </w:tabs>
              <w:jc w:val="center"/>
              <w:rPr>
                <w:rFonts w:ascii="Arial" w:eastAsia="MS Mincho" w:hAnsi="Arial" w:cs="Arial"/>
                <w:b/>
                <w:snapToGrid w:val="0"/>
                <w:sz w:val="20"/>
                <w:szCs w:val="20"/>
              </w:rPr>
            </w:pPr>
          </w:p>
          <w:p w14:paraId="383F267E" w14:textId="77777777" w:rsidR="00671A12" w:rsidRPr="0033327A" w:rsidRDefault="00671A12" w:rsidP="00671A12">
            <w:pPr>
              <w:tabs>
                <w:tab w:val="left" w:pos="284"/>
              </w:tabs>
              <w:spacing w:line="270" w:lineRule="atLeast"/>
              <w:jc w:val="center"/>
              <w:rPr>
                <w:rFonts w:ascii="Arial" w:eastAsia="MS Mincho" w:hAnsi="Arial" w:cs="Arial"/>
                <w:b/>
                <w:snapToGrid w:val="0"/>
                <w:sz w:val="20"/>
                <w:szCs w:val="20"/>
              </w:rPr>
            </w:pPr>
            <w:r w:rsidRPr="0033327A">
              <w:rPr>
                <w:rFonts w:ascii="Arial" w:eastAsia="MS Mincho" w:hAnsi="Arial" w:cs="Arial"/>
                <w:b/>
                <w:snapToGrid w:val="0"/>
                <w:sz w:val="20"/>
                <w:szCs w:val="20"/>
              </w:rPr>
              <w:t>+ 6 %</w:t>
            </w:r>
          </w:p>
        </w:tc>
        <w:tc>
          <w:tcPr>
            <w:tcW w:w="1134" w:type="dxa"/>
          </w:tcPr>
          <w:p w14:paraId="69B48B42" w14:textId="77777777" w:rsidR="00671A12" w:rsidRPr="0033327A" w:rsidRDefault="00671A12" w:rsidP="00671A12">
            <w:pPr>
              <w:tabs>
                <w:tab w:val="left" w:pos="284"/>
              </w:tabs>
              <w:jc w:val="center"/>
              <w:rPr>
                <w:rFonts w:ascii="Arial" w:eastAsia="MS Mincho" w:hAnsi="Arial" w:cs="Arial"/>
                <w:b/>
                <w:strike/>
                <w:snapToGrid w:val="0"/>
                <w:sz w:val="20"/>
                <w:szCs w:val="20"/>
              </w:rPr>
            </w:pPr>
          </w:p>
          <w:p w14:paraId="4E4F5ADC" w14:textId="77777777" w:rsidR="00671A12" w:rsidRPr="0033327A" w:rsidRDefault="00671A12" w:rsidP="00671A12">
            <w:pPr>
              <w:tabs>
                <w:tab w:val="left" w:pos="284"/>
              </w:tabs>
              <w:jc w:val="center"/>
              <w:rPr>
                <w:rFonts w:ascii="Arial" w:eastAsia="MS Mincho" w:hAnsi="Arial" w:cs="Arial"/>
                <w:b/>
                <w:snapToGrid w:val="0"/>
                <w:sz w:val="20"/>
                <w:szCs w:val="20"/>
              </w:rPr>
            </w:pPr>
            <w:r w:rsidRPr="0033327A">
              <w:rPr>
                <w:rFonts w:ascii="Arial" w:eastAsia="MS Mincho" w:hAnsi="Arial" w:cs="Arial"/>
                <w:b/>
                <w:snapToGrid w:val="0"/>
                <w:sz w:val="20"/>
                <w:szCs w:val="20"/>
              </w:rPr>
              <w:t>+ 4 %</w:t>
            </w:r>
          </w:p>
          <w:p w14:paraId="555D9BBD" w14:textId="77777777" w:rsidR="00671A12" w:rsidRPr="0033327A" w:rsidRDefault="00671A12" w:rsidP="00671A12">
            <w:pPr>
              <w:tabs>
                <w:tab w:val="left" w:pos="284"/>
              </w:tabs>
              <w:jc w:val="center"/>
              <w:rPr>
                <w:rFonts w:ascii="Arial" w:eastAsia="MS Mincho" w:hAnsi="Arial" w:cs="Arial"/>
                <w:b/>
                <w:snapToGrid w:val="0"/>
                <w:sz w:val="20"/>
                <w:szCs w:val="20"/>
              </w:rPr>
            </w:pPr>
          </w:p>
          <w:p w14:paraId="032C7822" w14:textId="77777777" w:rsidR="00671A12" w:rsidRPr="0033327A" w:rsidRDefault="00671A12" w:rsidP="00671A12">
            <w:pPr>
              <w:tabs>
                <w:tab w:val="left" w:pos="284"/>
              </w:tabs>
              <w:spacing w:line="270" w:lineRule="atLeast"/>
              <w:jc w:val="center"/>
              <w:rPr>
                <w:rFonts w:ascii="Arial" w:eastAsia="MS Mincho" w:hAnsi="Arial" w:cs="Arial"/>
                <w:b/>
                <w:snapToGrid w:val="0"/>
                <w:sz w:val="20"/>
                <w:szCs w:val="20"/>
              </w:rPr>
            </w:pPr>
            <w:r w:rsidRPr="0033327A">
              <w:rPr>
                <w:rFonts w:ascii="Arial" w:eastAsia="MS Mincho" w:hAnsi="Arial" w:cs="Arial"/>
                <w:b/>
                <w:snapToGrid w:val="0"/>
                <w:sz w:val="20"/>
                <w:szCs w:val="20"/>
              </w:rPr>
              <w:t>+ 1 %</w:t>
            </w:r>
          </w:p>
        </w:tc>
        <w:tc>
          <w:tcPr>
            <w:tcW w:w="1134" w:type="dxa"/>
          </w:tcPr>
          <w:p w14:paraId="5C0954FD" w14:textId="77777777" w:rsidR="00671A12" w:rsidRPr="0033327A" w:rsidRDefault="00671A12" w:rsidP="00671A12">
            <w:pPr>
              <w:tabs>
                <w:tab w:val="left" w:pos="284"/>
              </w:tabs>
              <w:jc w:val="center"/>
              <w:rPr>
                <w:rFonts w:ascii="Arial" w:eastAsia="MS Mincho" w:hAnsi="Arial" w:cs="Arial"/>
                <w:b/>
                <w:strike/>
                <w:snapToGrid w:val="0"/>
                <w:sz w:val="20"/>
                <w:szCs w:val="20"/>
              </w:rPr>
            </w:pPr>
          </w:p>
          <w:p w14:paraId="6D0E674B" w14:textId="77777777" w:rsidR="00671A12" w:rsidRPr="0033327A" w:rsidRDefault="00671A12" w:rsidP="00671A12">
            <w:pPr>
              <w:tabs>
                <w:tab w:val="left" w:pos="284"/>
              </w:tabs>
              <w:jc w:val="center"/>
              <w:rPr>
                <w:rFonts w:ascii="Arial" w:eastAsia="MS Mincho" w:hAnsi="Arial" w:cs="Arial"/>
                <w:b/>
                <w:snapToGrid w:val="0"/>
                <w:sz w:val="20"/>
                <w:szCs w:val="20"/>
              </w:rPr>
            </w:pPr>
            <w:r w:rsidRPr="0033327A">
              <w:rPr>
                <w:rFonts w:ascii="Arial" w:eastAsia="MS Mincho" w:hAnsi="Arial" w:cs="Arial"/>
                <w:b/>
                <w:snapToGrid w:val="0"/>
                <w:sz w:val="20"/>
                <w:szCs w:val="20"/>
              </w:rPr>
              <w:t>+ 1 %</w:t>
            </w:r>
          </w:p>
          <w:p w14:paraId="5C9DA2FA" w14:textId="77777777" w:rsidR="00671A12" w:rsidRPr="0033327A" w:rsidRDefault="00671A12" w:rsidP="00671A12">
            <w:pPr>
              <w:tabs>
                <w:tab w:val="left" w:pos="284"/>
              </w:tabs>
              <w:jc w:val="center"/>
              <w:rPr>
                <w:rFonts w:ascii="Arial" w:eastAsia="MS Mincho" w:hAnsi="Arial" w:cs="Arial"/>
                <w:b/>
                <w:snapToGrid w:val="0"/>
                <w:sz w:val="20"/>
                <w:szCs w:val="20"/>
              </w:rPr>
            </w:pPr>
          </w:p>
          <w:p w14:paraId="26823F0B" w14:textId="77777777" w:rsidR="00671A12" w:rsidRPr="0033327A" w:rsidRDefault="00671A12" w:rsidP="00671A12">
            <w:pPr>
              <w:tabs>
                <w:tab w:val="left" w:pos="284"/>
              </w:tabs>
              <w:spacing w:line="270" w:lineRule="atLeast"/>
              <w:jc w:val="center"/>
              <w:rPr>
                <w:rFonts w:ascii="Arial" w:eastAsia="MS Mincho" w:hAnsi="Arial" w:cs="Arial"/>
                <w:b/>
                <w:snapToGrid w:val="0"/>
                <w:sz w:val="20"/>
                <w:szCs w:val="20"/>
              </w:rPr>
            </w:pPr>
            <w:r w:rsidRPr="0033327A">
              <w:rPr>
                <w:rFonts w:ascii="Arial" w:eastAsia="MS Mincho" w:hAnsi="Arial" w:cs="Arial"/>
                <w:b/>
                <w:snapToGrid w:val="0"/>
                <w:sz w:val="20"/>
                <w:szCs w:val="20"/>
              </w:rPr>
              <w:t>+ 3 %</w:t>
            </w:r>
          </w:p>
        </w:tc>
        <w:tc>
          <w:tcPr>
            <w:tcW w:w="1559" w:type="dxa"/>
          </w:tcPr>
          <w:p w14:paraId="6DB943E3" w14:textId="77777777" w:rsidR="00671A12" w:rsidRPr="0033327A" w:rsidRDefault="00671A12" w:rsidP="00671A12">
            <w:pPr>
              <w:tabs>
                <w:tab w:val="left" w:pos="284"/>
              </w:tabs>
              <w:jc w:val="center"/>
              <w:rPr>
                <w:rFonts w:ascii="Arial" w:eastAsia="MS Mincho" w:hAnsi="Arial" w:cs="Arial"/>
                <w:b/>
                <w:strike/>
                <w:snapToGrid w:val="0"/>
                <w:sz w:val="20"/>
                <w:szCs w:val="20"/>
                <w:highlight w:val="yellow"/>
              </w:rPr>
            </w:pPr>
          </w:p>
          <w:p w14:paraId="776E52D3" w14:textId="77777777" w:rsidR="00671A12" w:rsidRPr="0033327A" w:rsidRDefault="00671A12" w:rsidP="00671A12">
            <w:pPr>
              <w:tabs>
                <w:tab w:val="left" w:pos="284"/>
              </w:tabs>
              <w:jc w:val="center"/>
              <w:rPr>
                <w:rFonts w:ascii="Arial" w:eastAsia="MS Mincho" w:hAnsi="Arial" w:cs="Arial"/>
                <w:b/>
                <w:snapToGrid w:val="0"/>
                <w:sz w:val="20"/>
                <w:szCs w:val="20"/>
              </w:rPr>
            </w:pPr>
            <w:r w:rsidRPr="0033327A">
              <w:rPr>
                <w:rFonts w:ascii="Arial" w:eastAsia="MS Mincho" w:hAnsi="Arial" w:cs="Arial"/>
                <w:b/>
                <w:snapToGrid w:val="0"/>
                <w:sz w:val="20"/>
                <w:szCs w:val="20"/>
              </w:rPr>
              <w:t>- 19 %</w:t>
            </w:r>
          </w:p>
          <w:p w14:paraId="5E6C5020" w14:textId="77777777" w:rsidR="00671A12" w:rsidRPr="0033327A" w:rsidRDefault="00671A12" w:rsidP="00671A12">
            <w:pPr>
              <w:tabs>
                <w:tab w:val="left" w:pos="284"/>
              </w:tabs>
              <w:jc w:val="center"/>
              <w:rPr>
                <w:rFonts w:ascii="Arial" w:eastAsia="MS Mincho" w:hAnsi="Arial" w:cs="Arial"/>
                <w:b/>
                <w:snapToGrid w:val="0"/>
                <w:sz w:val="20"/>
                <w:szCs w:val="20"/>
              </w:rPr>
            </w:pPr>
          </w:p>
          <w:p w14:paraId="7C4AD5FB" w14:textId="77777777" w:rsidR="00671A12" w:rsidRPr="0033327A" w:rsidRDefault="00671A12" w:rsidP="00671A12">
            <w:pPr>
              <w:tabs>
                <w:tab w:val="left" w:pos="284"/>
              </w:tabs>
              <w:spacing w:line="270" w:lineRule="atLeast"/>
              <w:jc w:val="center"/>
              <w:rPr>
                <w:rFonts w:ascii="Arial" w:eastAsia="MS Mincho" w:hAnsi="Arial" w:cs="Arial"/>
                <w:b/>
                <w:snapToGrid w:val="0"/>
                <w:sz w:val="20"/>
                <w:szCs w:val="20"/>
              </w:rPr>
            </w:pPr>
            <w:r w:rsidRPr="0033327A">
              <w:rPr>
                <w:rFonts w:ascii="Arial" w:eastAsia="MS Mincho" w:hAnsi="Arial" w:cs="Arial"/>
                <w:b/>
                <w:snapToGrid w:val="0"/>
                <w:sz w:val="20"/>
                <w:szCs w:val="20"/>
              </w:rPr>
              <w:t>+ 1 %</w:t>
            </w:r>
          </w:p>
        </w:tc>
        <w:tc>
          <w:tcPr>
            <w:tcW w:w="992" w:type="dxa"/>
          </w:tcPr>
          <w:p w14:paraId="5DFFEFC6" w14:textId="77777777" w:rsidR="00671A12" w:rsidRPr="0033327A" w:rsidRDefault="00671A12" w:rsidP="00671A12">
            <w:pPr>
              <w:tabs>
                <w:tab w:val="left" w:pos="284"/>
              </w:tabs>
              <w:jc w:val="center"/>
              <w:rPr>
                <w:rFonts w:ascii="Arial" w:eastAsia="MS Mincho" w:hAnsi="Arial" w:cs="Arial"/>
                <w:b/>
                <w:strike/>
                <w:snapToGrid w:val="0"/>
                <w:sz w:val="20"/>
                <w:szCs w:val="20"/>
                <w:highlight w:val="yellow"/>
              </w:rPr>
            </w:pPr>
          </w:p>
          <w:p w14:paraId="3E9E66DB" w14:textId="38C59982" w:rsidR="00671A12" w:rsidRPr="0033327A" w:rsidRDefault="00042AF7" w:rsidP="00671A12">
            <w:pPr>
              <w:tabs>
                <w:tab w:val="left" w:pos="284"/>
              </w:tabs>
              <w:jc w:val="center"/>
              <w:rPr>
                <w:rFonts w:ascii="Arial" w:eastAsia="MS Mincho" w:hAnsi="Arial" w:cs="Arial"/>
                <w:b/>
                <w:snapToGrid w:val="0"/>
                <w:sz w:val="20"/>
                <w:szCs w:val="20"/>
              </w:rPr>
            </w:pPr>
            <w:r>
              <w:rPr>
                <w:rFonts w:ascii="Arial" w:eastAsia="MS Mincho" w:hAnsi="Arial" w:cs="Arial"/>
                <w:b/>
                <w:snapToGrid w:val="0"/>
                <w:sz w:val="20"/>
                <w:szCs w:val="20"/>
              </w:rPr>
              <w:t xml:space="preserve">  </w:t>
            </w:r>
            <w:r w:rsidR="00671A12" w:rsidRPr="0033327A">
              <w:rPr>
                <w:rFonts w:ascii="Arial" w:eastAsia="MS Mincho" w:hAnsi="Arial" w:cs="Arial"/>
                <w:b/>
                <w:snapToGrid w:val="0"/>
                <w:sz w:val="20"/>
                <w:szCs w:val="20"/>
              </w:rPr>
              <w:t>+ 8 %</w:t>
            </w:r>
          </w:p>
          <w:p w14:paraId="5DDCB6EC" w14:textId="77777777" w:rsidR="00671A12" w:rsidRPr="0033327A" w:rsidRDefault="00671A12" w:rsidP="00671A12">
            <w:pPr>
              <w:tabs>
                <w:tab w:val="left" w:pos="284"/>
              </w:tabs>
              <w:jc w:val="center"/>
              <w:rPr>
                <w:rFonts w:ascii="Arial" w:eastAsia="MS Mincho" w:hAnsi="Arial" w:cs="Arial"/>
                <w:b/>
                <w:snapToGrid w:val="0"/>
                <w:sz w:val="20"/>
                <w:szCs w:val="20"/>
              </w:rPr>
            </w:pPr>
          </w:p>
          <w:p w14:paraId="776273FE" w14:textId="77777777" w:rsidR="00671A12" w:rsidRPr="0033327A" w:rsidRDefault="00671A12" w:rsidP="00671A12">
            <w:pPr>
              <w:tabs>
                <w:tab w:val="left" w:pos="1168"/>
              </w:tabs>
              <w:spacing w:line="270" w:lineRule="atLeast"/>
              <w:ind w:right="-108"/>
              <w:jc w:val="center"/>
              <w:rPr>
                <w:rFonts w:ascii="Arial" w:eastAsia="MS Mincho" w:hAnsi="Arial" w:cs="Arial"/>
                <w:b/>
                <w:snapToGrid w:val="0"/>
                <w:sz w:val="20"/>
                <w:szCs w:val="20"/>
              </w:rPr>
            </w:pPr>
            <w:r w:rsidRPr="0033327A">
              <w:rPr>
                <w:rFonts w:ascii="Arial" w:eastAsia="MS Mincho" w:hAnsi="Arial" w:cs="Arial"/>
                <w:b/>
                <w:snapToGrid w:val="0"/>
                <w:sz w:val="20"/>
                <w:szCs w:val="20"/>
              </w:rPr>
              <w:t>+ 5 %</w:t>
            </w:r>
          </w:p>
        </w:tc>
      </w:tr>
    </w:tbl>
    <w:p w14:paraId="16A418CA" w14:textId="2523F1CC" w:rsidR="00671A12" w:rsidRPr="0033327A" w:rsidRDefault="00671A12">
      <w:pPr>
        <w:pStyle w:val="TextoMichelin"/>
        <w:rPr>
          <w:rFonts w:ascii="Times" w:eastAsia="Times" w:hAnsi="Times" w:cs="Times"/>
          <w:b/>
          <w:bCs/>
          <w:color w:val="333399"/>
          <w:sz w:val="40"/>
          <w:szCs w:val="40"/>
          <w:u w:color="333399"/>
        </w:rPr>
      </w:pPr>
      <w:r w:rsidRPr="0033327A">
        <w:rPr>
          <w:b/>
          <w:bCs/>
          <w:sz w:val="26"/>
          <w:szCs w:val="26"/>
        </w:rPr>
        <w:t xml:space="preserve"> Turismo y camioneta</w:t>
      </w:r>
    </w:p>
    <w:p w14:paraId="28DE8ACF" w14:textId="1B30A18D" w:rsidR="00700DFB" w:rsidRPr="0033327A" w:rsidRDefault="006310B1" w:rsidP="003C3B27">
      <w:pPr>
        <w:pStyle w:val="Cuerpo"/>
        <w:tabs>
          <w:tab w:val="left" w:pos="1520"/>
        </w:tabs>
        <w:spacing w:before="120" w:after="120" w:line="270" w:lineRule="atLeast"/>
        <w:rPr>
          <w:rFonts w:ascii="Arial" w:eastAsia="Arial" w:hAnsi="Arial" w:cs="Arial"/>
          <w:sz w:val="16"/>
          <w:szCs w:val="16"/>
        </w:rPr>
      </w:pPr>
      <w:r w:rsidRPr="0033327A">
        <w:rPr>
          <w:b/>
          <w:bCs/>
          <w:sz w:val="26"/>
          <w:szCs w:val="26"/>
        </w:rPr>
        <w:t xml:space="preserve"> </w:t>
      </w:r>
      <w:r w:rsidR="00671A12" w:rsidRPr="0033327A">
        <w:rPr>
          <w:b/>
          <w:bCs/>
          <w:sz w:val="26"/>
          <w:szCs w:val="26"/>
        </w:rPr>
        <w:tab/>
      </w:r>
    </w:p>
    <w:tbl>
      <w:tblPr>
        <w:tblpPr w:leftFromText="141" w:rightFromText="141" w:vertAnchor="text" w:horzAnchor="page" w:tblpX="1074" w:tblpY="190"/>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1"/>
        <w:gridCol w:w="1146"/>
        <w:gridCol w:w="1146"/>
        <w:gridCol w:w="978"/>
        <w:gridCol w:w="1142"/>
        <w:gridCol w:w="1136"/>
        <w:gridCol w:w="1551"/>
        <w:gridCol w:w="1002"/>
      </w:tblGrid>
      <w:tr w:rsidR="00B13BBC" w:rsidRPr="0033327A" w14:paraId="31EA665E" w14:textId="77777777" w:rsidTr="003C3B27">
        <w:trPr>
          <w:trHeight w:val="890"/>
        </w:trPr>
        <w:tc>
          <w:tcPr>
            <w:tcW w:w="2251" w:type="dxa"/>
            <w:shd w:val="clear" w:color="auto" w:fill="E6E6E6"/>
          </w:tcPr>
          <w:p w14:paraId="3CB206EF" w14:textId="77777777" w:rsidR="002D4471" w:rsidRPr="0033327A" w:rsidRDefault="002D4471" w:rsidP="003C3B27">
            <w:pPr>
              <w:pStyle w:val="LadilloMichelinDossier"/>
              <w:spacing w:before="0" w:after="0"/>
              <w:rPr>
                <w:rFonts w:ascii="Arial" w:hAnsi="Arial"/>
                <w:b w:val="0"/>
                <w:bCs w:val="0"/>
                <w:sz w:val="20"/>
                <w:lang w:bidi="es-ES_tradnl"/>
              </w:rPr>
            </w:pPr>
            <w:r w:rsidRPr="0033327A">
              <w:rPr>
                <w:rFonts w:ascii="Arial" w:hAnsi="Arial"/>
                <w:b w:val="0"/>
                <w:bCs w:val="0"/>
                <w:sz w:val="20"/>
                <w:lang w:bidi="es-ES_tradnl"/>
              </w:rPr>
              <w:t>Cuarto trimestre</w:t>
            </w:r>
          </w:p>
          <w:p w14:paraId="14C0D645" w14:textId="5B0A1377" w:rsidR="002D4471" w:rsidRPr="0033327A" w:rsidRDefault="003C3B27" w:rsidP="003C3B27">
            <w:pPr>
              <w:pStyle w:val="LadilloMichelinDossier"/>
              <w:spacing w:before="0" w:after="0"/>
              <w:rPr>
                <w:b w:val="0"/>
                <w:bCs w:val="0"/>
                <w:sz w:val="20"/>
                <w:lang w:bidi="es-ES_tradnl"/>
              </w:rPr>
            </w:pPr>
            <w:r w:rsidRPr="0033327A">
              <w:rPr>
                <w:rFonts w:ascii="Arial" w:hAnsi="Arial"/>
                <w:b w:val="0"/>
                <w:bCs w:val="0"/>
                <w:sz w:val="20"/>
                <w:lang w:bidi="es-ES_tradnl"/>
              </w:rPr>
              <w:t>2015/2014</w:t>
            </w:r>
            <w:r w:rsidR="002D4471" w:rsidRPr="0033327A">
              <w:rPr>
                <w:rFonts w:ascii="Arial" w:hAnsi="Arial"/>
                <w:b w:val="0"/>
                <w:bCs w:val="0"/>
                <w:sz w:val="20"/>
                <w:lang w:bidi="es-ES_tradnl"/>
              </w:rPr>
              <w:br/>
            </w:r>
            <w:r w:rsidR="002D4471" w:rsidRPr="0033327A">
              <w:rPr>
                <w:rFonts w:ascii="Arial" w:hAnsi="Arial"/>
                <w:b w:val="0"/>
                <w:bCs w:val="0"/>
                <w:sz w:val="18"/>
                <w:lang w:bidi="es-ES_tradnl"/>
              </w:rPr>
              <w:t>(número de neumáticos)</w:t>
            </w:r>
          </w:p>
        </w:tc>
        <w:tc>
          <w:tcPr>
            <w:tcW w:w="1146" w:type="dxa"/>
            <w:shd w:val="clear" w:color="auto" w:fill="E6E6E6"/>
          </w:tcPr>
          <w:p w14:paraId="44E8C791" w14:textId="77777777" w:rsidR="002D4471" w:rsidRPr="0033327A" w:rsidRDefault="002D4471" w:rsidP="003C3B27">
            <w:pPr>
              <w:pStyle w:val="LadilloMichelinDossier"/>
              <w:spacing w:before="0" w:after="0"/>
              <w:rPr>
                <w:b w:val="0"/>
                <w:bCs w:val="0"/>
                <w:sz w:val="20"/>
                <w:lang w:bidi="es-ES_tradnl"/>
              </w:rPr>
            </w:pPr>
            <w:r w:rsidRPr="0033327A">
              <w:rPr>
                <w:rFonts w:ascii="Arial" w:hAnsi="Arial"/>
                <w:b w:val="0"/>
                <w:bCs w:val="0"/>
                <w:sz w:val="20"/>
                <w:lang w:bidi="es-ES_tradnl"/>
              </w:rPr>
              <w:t>Europa con Rusia y CEI</w:t>
            </w:r>
            <w:r w:rsidRPr="0033327A">
              <w:rPr>
                <w:rStyle w:val="Refdenotaalpie"/>
                <w:rFonts w:ascii="Arial" w:hAnsi="Arial"/>
                <w:b w:val="0"/>
                <w:bCs w:val="0"/>
                <w:sz w:val="32"/>
                <w:lang w:bidi="es-ES_tradnl"/>
              </w:rPr>
              <w:footnoteReference w:customMarkFollows="1" w:id="5"/>
              <w:sym w:font="Symbol" w:char="F02A"/>
            </w:r>
          </w:p>
        </w:tc>
        <w:tc>
          <w:tcPr>
            <w:tcW w:w="1146" w:type="dxa"/>
            <w:shd w:val="clear" w:color="auto" w:fill="E6E6E6"/>
          </w:tcPr>
          <w:p w14:paraId="313CEFDA" w14:textId="77777777" w:rsidR="002D4471" w:rsidRPr="0033327A" w:rsidRDefault="002D4471" w:rsidP="003C3B27">
            <w:pPr>
              <w:tabs>
                <w:tab w:val="left" w:pos="284"/>
              </w:tabs>
              <w:rPr>
                <w:rFonts w:ascii="Arial" w:eastAsia="Times" w:hAnsi="Arial" w:cs="Times"/>
                <w:color w:val="000000"/>
                <w:sz w:val="20"/>
                <w:szCs w:val="26"/>
                <w:u w:color="000000"/>
                <w:lang w:eastAsia="es-ES" w:bidi="es-ES_tradnl"/>
              </w:rPr>
            </w:pPr>
            <w:r w:rsidRPr="0033327A">
              <w:rPr>
                <w:rFonts w:ascii="Arial" w:eastAsia="Times" w:hAnsi="Arial" w:cs="Times"/>
                <w:color w:val="000000"/>
                <w:sz w:val="20"/>
                <w:szCs w:val="26"/>
                <w:u w:color="000000"/>
                <w:lang w:eastAsia="es-ES" w:bidi="es-ES_tradnl"/>
              </w:rPr>
              <w:t>Europa</w:t>
            </w:r>
          </w:p>
          <w:p w14:paraId="09CA4070" w14:textId="77777777" w:rsidR="002D4471" w:rsidRPr="0033327A" w:rsidRDefault="002D4471" w:rsidP="003C3B27">
            <w:pPr>
              <w:pStyle w:val="LadilloMichelinDossier"/>
              <w:spacing w:before="0" w:after="0"/>
              <w:rPr>
                <w:rFonts w:ascii="Arial" w:hAnsi="Arial"/>
                <w:b w:val="0"/>
                <w:bCs w:val="0"/>
                <w:sz w:val="20"/>
                <w:lang w:bidi="es-ES_tradnl"/>
              </w:rPr>
            </w:pPr>
            <w:r w:rsidRPr="0033327A">
              <w:rPr>
                <w:rFonts w:ascii="Arial" w:hAnsi="Arial"/>
                <w:b w:val="0"/>
                <w:bCs w:val="0"/>
                <w:sz w:val="20"/>
                <w:lang w:bidi="es-ES_tradnl"/>
              </w:rPr>
              <w:t xml:space="preserve">sin Rusia </w:t>
            </w:r>
            <w:r w:rsidRPr="0033327A">
              <w:rPr>
                <w:rFonts w:ascii="Arial" w:hAnsi="Arial"/>
                <w:b w:val="0"/>
                <w:bCs w:val="0"/>
                <w:sz w:val="20"/>
                <w:lang w:bidi="es-ES_tradnl"/>
              </w:rPr>
              <w:br/>
              <w:t>ni CEI*</w:t>
            </w:r>
          </w:p>
        </w:tc>
        <w:tc>
          <w:tcPr>
            <w:tcW w:w="978" w:type="dxa"/>
            <w:shd w:val="clear" w:color="auto" w:fill="E6E6E6"/>
          </w:tcPr>
          <w:p w14:paraId="2F16ABAE" w14:textId="77777777" w:rsidR="002D4471" w:rsidRPr="0033327A" w:rsidRDefault="002D4471" w:rsidP="003C3B27">
            <w:pPr>
              <w:pStyle w:val="LadilloMichelinDossier"/>
              <w:spacing w:before="0" w:after="0"/>
              <w:rPr>
                <w:b w:val="0"/>
                <w:bCs w:val="0"/>
                <w:sz w:val="20"/>
                <w:lang w:bidi="es-ES_tradnl"/>
              </w:rPr>
            </w:pPr>
            <w:r w:rsidRPr="0033327A">
              <w:rPr>
                <w:rFonts w:ascii="Arial" w:hAnsi="Arial"/>
                <w:b w:val="0"/>
                <w:bCs w:val="0"/>
                <w:sz w:val="20"/>
                <w:lang w:bidi="es-ES_tradnl"/>
              </w:rPr>
              <w:t xml:space="preserve">América </w:t>
            </w:r>
            <w:r w:rsidRPr="0033327A">
              <w:rPr>
                <w:rFonts w:ascii="Arial" w:hAnsi="Arial"/>
                <w:b w:val="0"/>
                <w:bCs w:val="0"/>
                <w:sz w:val="20"/>
                <w:lang w:bidi="es-ES_tradnl"/>
              </w:rPr>
              <w:br/>
              <w:t>del Norte</w:t>
            </w:r>
          </w:p>
        </w:tc>
        <w:tc>
          <w:tcPr>
            <w:tcW w:w="1142" w:type="dxa"/>
            <w:shd w:val="clear" w:color="auto" w:fill="E6E6E6"/>
          </w:tcPr>
          <w:p w14:paraId="13C50562" w14:textId="77777777" w:rsidR="002D4471" w:rsidRPr="0033327A" w:rsidRDefault="002D4471" w:rsidP="003C3B27">
            <w:pPr>
              <w:pStyle w:val="LadilloMichelinDossier"/>
              <w:spacing w:before="0" w:after="0"/>
              <w:rPr>
                <w:rFonts w:ascii="Arial" w:hAnsi="Arial"/>
                <w:b w:val="0"/>
                <w:bCs w:val="0"/>
                <w:sz w:val="20"/>
                <w:lang w:bidi="es-ES_tradnl"/>
              </w:rPr>
            </w:pPr>
            <w:r w:rsidRPr="0033327A">
              <w:rPr>
                <w:rFonts w:ascii="Arial" w:hAnsi="Arial"/>
                <w:b w:val="0"/>
                <w:bCs w:val="0"/>
                <w:sz w:val="20"/>
                <w:lang w:bidi="es-ES_tradnl"/>
              </w:rPr>
              <w:t>Asia</w:t>
            </w:r>
          </w:p>
          <w:p w14:paraId="086C4BE9" w14:textId="77777777" w:rsidR="002D4471" w:rsidRPr="0033327A" w:rsidRDefault="002D4471" w:rsidP="003C3B27">
            <w:pPr>
              <w:pStyle w:val="LadilloMichelinDossier"/>
              <w:spacing w:before="0" w:after="0"/>
              <w:rPr>
                <w:b w:val="0"/>
                <w:bCs w:val="0"/>
                <w:sz w:val="20"/>
                <w:lang w:bidi="es-ES_tradnl"/>
              </w:rPr>
            </w:pPr>
            <w:r w:rsidRPr="0033327A">
              <w:rPr>
                <w:rFonts w:ascii="Arial" w:hAnsi="Arial"/>
                <w:b w:val="0"/>
                <w:bCs w:val="0"/>
                <w:sz w:val="20"/>
                <w:lang w:bidi="es-ES_tradnl"/>
              </w:rPr>
              <w:t>(sin India)</w:t>
            </w:r>
          </w:p>
        </w:tc>
        <w:tc>
          <w:tcPr>
            <w:tcW w:w="1136" w:type="dxa"/>
            <w:shd w:val="clear" w:color="auto" w:fill="E6E6E6"/>
          </w:tcPr>
          <w:p w14:paraId="3DA8CBD0" w14:textId="77777777" w:rsidR="002D4471" w:rsidRPr="0033327A" w:rsidRDefault="002D4471" w:rsidP="003C3B27">
            <w:pPr>
              <w:pStyle w:val="LadilloMichelinDossier"/>
              <w:spacing w:before="0" w:after="0"/>
              <w:rPr>
                <w:b w:val="0"/>
                <w:bCs w:val="0"/>
                <w:sz w:val="20"/>
                <w:lang w:bidi="es-ES_tradnl"/>
              </w:rPr>
            </w:pPr>
            <w:r w:rsidRPr="0033327A">
              <w:rPr>
                <w:rFonts w:ascii="Arial" w:hAnsi="Arial"/>
                <w:b w:val="0"/>
                <w:bCs w:val="0"/>
                <w:sz w:val="20"/>
                <w:lang w:bidi="es-ES_tradnl"/>
              </w:rPr>
              <w:t xml:space="preserve">América </w:t>
            </w:r>
            <w:r w:rsidRPr="0033327A">
              <w:rPr>
                <w:rFonts w:ascii="Arial" w:hAnsi="Arial"/>
                <w:b w:val="0"/>
                <w:bCs w:val="0"/>
                <w:sz w:val="20"/>
                <w:lang w:bidi="es-ES_tradnl"/>
              </w:rPr>
              <w:br/>
              <w:t>del Sur</w:t>
            </w:r>
          </w:p>
        </w:tc>
        <w:tc>
          <w:tcPr>
            <w:tcW w:w="1551" w:type="dxa"/>
            <w:shd w:val="clear" w:color="auto" w:fill="E6E6E6"/>
          </w:tcPr>
          <w:p w14:paraId="0F9FBDD0" w14:textId="77777777" w:rsidR="002D4471" w:rsidRPr="0033327A" w:rsidRDefault="002D4471" w:rsidP="003C3B27">
            <w:pPr>
              <w:pStyle w:val="LadilloMichelinDossier"/>
              <w:spacing w:before="0" w:after="0"/>
              <w:rPr>
                <w:b w:val="0"/>
                <w:bCs w:val="0"/>
                <w:sz w:val="20"/>
                <w:lang w:bidi="es-ES_tradnl"/>
              </w:rPr>
            </w:pPr>
            <w:r w:rsidRPr="0033327A">
              <w:rPr>
                <w:rFonts w:ascii="Arial" w:hAnsi="Arial"/>
                <w:b w:val="0"/>
                <w:bCs w:val="0"/>
                <w:sz w:val="20"/>
                <w:lang w:bidi="es-ES_tradnl"/>
              </w:rPr>
              <w:t>África/India/Oriente Medio</w:t>
            </w:r>
          </w:p>
        </w:tc>
        <w:tc>
          <w:tcPr>
            <w:tcW w:w="1002" w:type="dxa"/>
            <w:shd w:val="clear" w:color="auto" w:fill="E6E6E6"/>
          </w:tcPr>
          <w:p w14:paraId="7E418078" w14:textId="77777777" w:rsidR="002D4471" w:rsidRPr="0033327A" w:rsidRDefault="002D4471" w:rsidP="003C3B27">
            <w:pPr>
              <w:pStyle w:val="LadilloMichelinDossier"/>
              <w:spacing w:before="0" w:after="0"/>
              <w:rPr>
                <w:b w:val="0"/>
                <w:bCs w:val="0"/>
                <w:sz w:val="20"/>
                <w:lang w:bidi="es-ES_tradnl"/>
              </w:rPr>
            </w:pPr>
            <w:r w:rsidRPr="0033327A">
              <w:rPr>
                <w:rFonts w:ascii="Arial" w:hAnsi="Arial"/>
                <w:b w:val="0"/>
                <w:bCs w:val="0"/>
                <w:sz w:val="20"/>
                <w:lang w:bidi="es-ES_tradnl"/>
              </w:rPr>
              <w:t>Total</w:t>
            </w:r>
          </w:p>
        </w:tc>
      </w:tr>
      <w:tr w:rsidR="00C13636" w:rsidRPr="0033327A" w14:paraId="7A814288" w14:textId="77777777" w:rsidTr="003C3B27">
        <w:trPr>
          <w:trHeight w:val="1271"/>
        </w:trPr>
        <w:tc>
          <w:tcPr>
            <w:tcW w:w="2251" w:type="dxa"/>
          </w:tcPr>
          <w:p w14:paraId="0865F7D9" w14:textId="77777777" w:rsidR="00C13636" w:rsidRPr="0033327A" w:rsidRDefault="00C13636" w:rsidP="003C3B27">
            <w:pPr>
              <w:pStyle w:val="LadilloMichelinDossier"/>
              <w:spacing w:before="0" w:after="0"/>
              <w:jc w:val="both"/>
              <w:rPr>
                <w:rFonts w:ascii="Arial" w:hAnsi="Arial"/>
                <w:b w:val="0"/>
                <w:bCs w:val="0"/>
                <w:sz w:val="20"/>
                <w:lang w:bidi="es-ES_tradnl"/>
              </w:rPr>
            </w:pPr>
            <w:r w:rsidRPr="0033327A">
              <w:rPr>
                <w:rFonts w:ascii="Arial" w:hAnsi="Arial"/>
                <w:b w:val="0"/>
                <w:bCs w:val="0"/>
                <w:sz w:val="20"/>
                <w:lang w:bidi="es-ES_tradnl"/>
              </w:rPr>
              <w:br/>
              <w:t>Primera monta</w:t>
            </w:r>
          </w:p>
          <w:p w14:paraId="4AE1EF30" w14:textId="77777777" w:rsidR="00C13636" w:rsidRPr="0033327A" w:rsidRDefault="00C13636" w:rsidP="003C3B27">
            <w:pPr>
              <w:pStyle w:val="LadilloMichelinDossier"/>
              <w:spacing w:before="0" w:after="0"/>
              <w:jc w:val="both"/>
              <w:rPr>
                <w:rFonts w:ascii="Arial" w:hAnsi="Arial"/>
                <w:b w:val="0"/>
                <w:bCs w:val="0"/>
                <w:sz w:val="20"/>
                <w:lang w:bidi="es-ES_tradnl"/>
              </w:rPr>
            </w:pPr>
            <w:r w:rsidRPr="0033327A">
              <w:rPr>
                <w:rFonts w:ascii="Arial" w:hAnsi="Arial"/>
                <w:b w:val="0"/>
                <w:bCs w:val="0"/>
                <w:sz w:val="20"/>
                <w:lang w:bidi="es-ES_tradnl"/>
              </w:rPr>
              <w:t xml:space="preserve">     </w:t>
            </w:r>
          </w:p>
          <w:p w14:paraId="58A1D67C" w14:textId="77777777" w:rsidR="00C13636" w:rsidRPr="0033327A" w:rsidRDefault="00C13636" w:rsidP="003C3B27">
            <w:pPr>
              <w:pStyle w:val="LadilloMichelinDossier"/>
              <w:spacing w:before="0" w:after="0"/>
              <w:jc w:val="both"/>
              <w:rPr>
                <w:b w:val="0"/>
                <w:bCs w:val="0"/>
                <w:sz w:val="20"/>
                <w:lang w:bidi="es-ES_tradnl"/>
              </w:rPr>
            </w:pPr>
            <w:r w:rsidRPr="0033327A">
              <w:rPr>
                <w:rFonts w:ascii="Arial" w:hAnsi="Arial"/>
                <w:b w:val="0"/>
                <w:bCs w:val="0"/>
                <w:sz w:val="20"/>
                <w:lang w:bidi="es-ES_tradnl"/>
              </w:rPr>
              <w:t>Reemplazo</w:t>
            </w:r>
          </w:p>
        </w:tc>
        <w:tc>
          <w:tcPr>
            <w:tcW w:w="1146" w:type="dxa"/>
          </w:tcPr>
          <w:p w14:paraId="2E91F50C" w14:textId="77777777" w:rsidR="00C13636" w:rsidRPr="0033327A" w:rsidRDefault="00C13636" w:rsidP="003C3B27">
            <w:pPr>
              <w:tabs>
                <w:tab w:val="left" w:pos="284"/>
              </w:tabs>
              <w:jc w:val="center"/>
              <w:rPr>
                <w:rFonts w:ascii="Arial" w:eastAsia="MS Mincho" w:hAnsi="Arial" w:cs="Arial"/>
                <w:b/>
                <w:snapToGrid w:val="0"/>
                <w:sz w:val="20"/>
                <w:szCs w:val="20"/>
              </w:rPr>
            </w:pPr>
          </w:p>
          <w:p w14:paraId="3072A09B" w14:textId="77777777" w:rsidR="00C13636" w:rsidRPr="0033327A" w:rsidRDefault="00C13636" w:rsidP="003C3B27">
            <w:pPr>
              <w:tabs>
                <w:tab w:val="left" w:pos="284"/>
              </w:tabs>
              <w:jc w:val="center"/>
              <w:rPr>
                <w:rFonts w:ascii="Arial" w:eastAsia="MS Mincho" w:hAnsi="Arial" w:cs="Arial"/>
                <w:b/>
                <w:snapToGrid w:val="0"/>
                <w:sz w:val="20"/>
                <w:szCs w:val="20"/>
              </w:rPr>
            </w:pPr>
            <w:r w:rsidRPr="0033327A">
              <w:rPr>
                <w:rFonts w:ascii="Arial" w:eastAsia="MS Mincho" w:hAnsi="Arial" w:cs="Arial"/>
                <w:b/>
                <w:snapToGrid w:val="0"/>
                <w:sz w:val="20"/>
                <w:szCs w:val="20"/>
              </w:rPr>
              <w:t>+ 6 %</w:t>
            </w:r>
          </w:p>
          <w:p w14:paraId="38882C95" w14:textId="77777777" w:rsidR="00C13636" w:rsidRPr="0033327A" w:rsidRDefault="00C13636" w:rsidP="003C3B27">
            <w:pPr>
              <w:tabs>
                <w:tab w:val="left" w:pos="284"/>
              </w:tabs>
              <w:jc w:val="center"/>
              <w:rPr>
                <w:rFonts w:ascii="Arial" w:eastAsia="MS Mincho" w:hAnsi="Arial" w:cs="Arial"/>
                <w:b/>
                <w:snapToGrid w:val="0"/>
                <w:sz w:val="20"/>
                <w:szCs w:val="20"/>
              </w:rPr>
            </w:pPr>
          </w:p>
          <w:p w14:paraId="5B231489" w14:textId="77777777" w:rsidR="00C13636" w:rsidRPr="0033327A" w:rsidRDefault="00C13636" w:rsidP="003C3B27">
            <w:pPr>
              <w:tabs>
                <w:tab w:val="left" w:pos="284"/>
              </w:tabs>
              <w:jc w:val="center"/>
              <w:rPr>
                <w:rFonts w:ascii="Arial" w:eastAsia="MS Mincho" w:hAnsi="Arial" w:cs="Arial"/>
                <w:b/>
                <w:snapToGrid w:val="0"/>
                <w:sz w:val="20"/>
                <w:szCs w:val="20"/>
              </w:rPr>
            </w:pPr>
            <w:r w:rsidRPr="0033327A">
              <w:rPr>
                <w:rFonts w:ascii="Arial" w:eastAsia="MS Mincho" w:hAnsi="Arial" w:cs="Arial"/>
                <w:b/>
                <w:snapToGrid w:val="0"/>
                <w:sz w:val="20"/>
                <w:szCs w:val="20"/>
              </w:rPr>
              <w:t>+ 10 %</w:t>
            </w:r>
          </w:p>
          <w:p w14:paraId="7C29B276" w14:textId="77777777" w:rsidR="00C13636" w:rsidRPr="0033327A" w:rsidRDefault="00C13636" w:rsidP="003C3B27">
            <w:pPr>
              <w:tabs>
                <w:tab w:val="left" w:pos="284"/>
              </w:tabs>
              <w:spacing w:line="270" w:lineRule="atLeast"/>
              <w:jc w:val="center"/>
              <w:rPr>
                <w:rFonts w:ascii="Arial" w:eastAsia="MS Mincho" w:hAnsi="Arial" w:cs="Arial"/>
                <w:b/>
                <w:snapToGrid w:val="0"/>
                <w:sz w:val="20"/>
                <w:szCs w:val="20"/>
              </w:rPr>
            </w:pPr>
          </w:p>
        </w:tc>
        <w:tc>
          <w:tcPr>
            <w:tcW w:w="1146" w:type="dxa"/>
          </w:tcPr>
          <w:p w14:paraId="4FCA4BDD" w14:textId="77777777" w:rsidR="00C13636" w:rsidRPr="0033327A" w:rsidRDefault="00C13636" w:rsidP="003C3B27">
            <w:pPr>
              <w:tabs>
                <w:tab w:val="left" w:pos="284"/>
              </w:tabs>
              <w:jc w:val="center"/>
              <w:rPr>
                <w:rFonts w:ascii="Arial" w:eastAsia="MS Mincho" w:hAnsi="Arial" w:cs="Arial"/>
                <w:b/>
                <w:snapToGrid w:val="0"/>
                <w:sz w:val="20"/>
                <w:szCs w:val="20"/>
              </w:rPr>
            </w:pPr>
          </w:p>
          <w:p w14:paraId="1ECD3388" w14:textId="77777777" w:rsidR="00C13636" w:rsidRPr="0033327A" w:rsidRDefault="00C13636" w:rsidP="003C3B27">
            <w:pPr>
              <w:tabs>
                <w:tab w:val="left" w:pos="284"/>
              </w:tabs>
              <w:jc w:val="center"/>
              <w:rPr>
                <w:rFonts w:ascii="Arial" w:eastAsia="MS Mincho" w:hAnsi="Arial" w:cs="Arial"/>
                <w:b/>
                <w:snapToGrid w:val="0"/>
                <w:sz w:val="20"/>
                <w:szCs w:val="20"/>
              </w:rPr>
            </w:pPr>
            <w:r w:rsidRPr="0033327A">
              <w:rPr>
                <w:rFonts w:ascii="Arial" w:eastAsia="MS Mincho" w:hAnsi="Arial" w:cs="Arial"/>
                <w:b/>
                <w:snapToGrid w:val="0"/>
                <w:sz w:val="20"/>
                <w:szCs w:val="20"/>
              </w:rPr>
              <w:t>+ 8 %</w:t>
            </w:r>
          </w:p>
          <w:p w14:paraId="413E9E81" w14:textId="77777777" w:rsidR="00C13636" w:rsidRPr="0033327A" w:rsidRDefault="00C13636" w:rsidP="003C3B27">
            <w:pPr>
              <w:tabs>
                <w:tab w:val="left" w:pos="284"/>
              </w:tabs>
              <w:jc w:val="center"/>
              <w:rPr>
                <w:rFonts w:ascii="Arial" w:eastAsia="MS Mincho" w:hAnsi="Arial" w:cs="Arial"/>
                <w:b/>
                <w:snapToGrid w:val="0"/>
                <w:sz w:val="20"/>
                <w:szCs w:val="20"/>
              </w:rPr>
            </w:pPr>
          </w:p>
          <w:p w14:paraId="1A539A40" w14:textId="77777777" w:rsidR="00C13636" w:rsidRPr="0033327A" w:rsidRDefault="00C13636" w:rsidP="003C3B27">
            <w:pPr>
              <w:tabs>
                <w:tab w:val="left" w:pos="284"/>
              </w:tabs>
              <w:jc w:val="center"/>
              <w:rPr>
                <w:rFonts w:ascii="Arial" w:eastAsia="MS Mincho" w:hAnsi="Arial" w:cs="Arial"/>
                <w:b/>
                <w:snapToGrid w:val="0"/>
                <w:sz w:val="20"/>
                <w:szCs w:val="20"/>
              </w:rPr>
            </w:pPr>
            <w:r w:rsidRPr="0033327A">
              <w:rPr>
                <w:rFonts w:ascii="Arial" w:eastAsia="MS Mincho" w:hAnsi="Arial" w:cs="Arial"/>
                <w:b/>
                <w:snapToGrid w:val="0"/>
                <w:sz w:val="20"/>
                <w:szCs w:val="20"/>
              </w:rPr>
              <w:t>+ 14 %</w:t>
            </w:r>
          </w:p>
          <w:p w14:paraId="0602FE33" w14:textId="6BD7C5C0" w:rsidR="00C13636" w:rsidRPr="0033327A" w:rsidRDefault="00C13636" w:rsidP="003C3B27">
            <w:pPr>
              <w:tabs>
                <w:tab w:val="left" w:pos="284"/>
              </w:tabs>
              <w:jc w:val="center"/>
              <w:rPr>
                <w:rFonts w:ascii="Arial" w:eastAsia="MS Mincho" w:hAnsi="Arial" w:cs="Arial"/>
                <w:b/>
                <w:snapToGrid w:val="0"/>
                <w:sz w:val="20"/>
                <w:szCs w:val="20"/>
              </w:rPr>
            </w:pPr>
          </w:p>
        </w:tc>
        <w:tc>
          <w:tcPr>
            <w:tcW w:w="978" w:type="dxa"/>
          </w:tcPr>
          <w:p w14:paraId="1451457F" w14:textId="77777777" w:rsidR="00C13636" w:rsidRPr="0033327A" w:rsidRDefault="00C13636" w:rsidP="003C3B27">
            <w:pPr>
              <w:tabs>
                <w:tab w:val="left" w:pos="284"/>
              </w:tabs>
              <w:jc w:val="center"/>
              <w:rPr>
                <w:rFonts w:ascii="Arial" w:eastAsia="MS Mincho" w:hAnsi="Arial" w:cs="Arial"/>
                <w:b/>
                <w:snapToGrid w:val="0"/>
                <w:sz w:val="20"/>
                <w:szCs w:val="20"/>
              </w:rPr>
            </w:pPr>
          </w:p>
          <w:p w14:paraId="0CE3CE1D" w14:textId="77777777" w:rsidR="00C13636" w:rsidRPr="0033327A" w:rsidRDefault="00C13636" w:rsidP="003C3B27">
            <w:pPr>
              <w:tabs>
                <w:tab w:val="left" w:pos="284"/>
              </w:tabs>
              <w:jc w:val="center"/>
              <w:rPr>
                <w:rFonts w:ascii="Arial" w:eastAsia="MS Mincho" w:hAnsi="Arial" w:cs="Arial"/>
                <w:b/>
                <w:snapToGrid w:val="0"/>
                <w:sz w:val="20"/>
                <w:szCs w:val="20"/>
              </w:rPr>
            </w:pPr>
            <w:r w:rsidRPr="0033327A">
              <w:rPr>
                <w:rFonts w:ascii="Arial" w:eastAsia="MS Mincho" w:hAnsi="Arial" w:cs="Arial"/>
                <w:b/>
                <w:snapToGrid w:val="0"/>
                <w:sz w:val="20"/>
                <w:szCs w:val="20"/>
              </w:rPr>
              <w:t>+ 3 %</w:t>
            </w:r>
          </w:p>
          <w:p w14:paraId="1A66F220" w14:textId="77777777" w:rsidR="00C13636" w:rsidRPr="0033327A" w:rsidRDefault="00C13636" w:rsidP="003C3B27">
            <w:pPr>
              <w:tabs>
                <w:tab w:val="left" w:pos="284"/>
              </w:tabs>
              <w:jc w:val="center"/>
              <w:rPr>
                <w:rFonts w:ascii="Arial" w:eastAsia="MS Mincho" w:hAnsi="Arial" w:cs="Arial"/>
                <w:b/>
                <w:snapToGrid w:val="0"/>
                <w:sz w:val="20"/>
                <w:szCs w:val="20"/>
              </w:rPr>
            </w:pPr>
          </w:p>
          <w:p w14:paraId="12BDEA59" w14:textId="7A6362F4" w:rsidR="00C13636" w:rsidRPr="0033327A" w:rsidRDefault="00C13636" w:rsidP="003C3B27">
            <w:pPr>
              <w:tabs>
                <w:tab w:val="left" w:pos="284"/>
              </w:tabs>
              <w:spacing w:line="270" w:lineRule="atLeast"/>
              <w:jc w:val="center"/>
              <w:rPr>
                <w:rFonts w:ascii="Arial" w:eastAsia="MS Mincho" w:hAnsi="Arial" w:cs="Arial"/>
                <w:b/>
                <w:snapToGrid w:val="0"/>
                <w:sz w:val="20"/>
                <w:szCs w:val="20"/>
              </w:rPr>
            </w:pPr>
            <w:r w:rsidRPr="0033327A">
              <w:rPr>
                <w:rFonts w:ascii="Arial" w:eastAsia="MS Mincho" w:hAnsi="Arial" w:cs="Arial"/>
                <w:b/>
                <w:snapToGrid w:val="0"/>
                <w:sz w:val="20"/>
                <w:szCs w:val="20"/>
              </w:rPr>
              <w:t>+ 3 %</w:t>
            </w:r>
          </w:p>
        </w:tc>
        <w:tc>
          <w:tcPr>
            <w:tcW w:w="1142" w:type="dxa"/>
          </w:tcPr>
          <w:p w14:paraId="6C525940" w14:textId="77777777" w:rsidR="00C13636" w:rsidRPr="0033327A" w:rsidRDefault="00C13636" w:rsidP="003C3B27">
            <w:pPr>
              <w:tabs>
                <w:tab w:val="left" w:pos="284"/>
              </w:tabs>
              <w:jc w:val="center"/>
              <w:rPr>
                <w:rFonts w:ascii="Arial" w:eastAsia="MS Mincho" w:hAnsi="Arial" w:cs="Arial"/>
                <w:b/>
                <w:snapToGrid w:val="0"/>
                <w:sz w:val="20"/>
                <w:szCs w:val="20"/>
              </w:rPr>
            </w:pPr>
          </w:p>
          <w:p w14:paraId="2E36E87C" w14:textId="77777777" w:rsidR="00C13636" w:rsidRPr="0033327A" w:rsidRDefault="00C13636" w:rsidP="003C3B27">
            <w:pPr>
              <w:tabs>
                <w:tab w:val="left" w:pos="284"/>
              </w:tabs>
              <w:jc w:val="center"/>
              <w:rPr>
                <w:rFonts w:ascii="Arial" w:eastAsia="MS Mincho" w:hAnsi="Arial" w:cs="Arial"/>
                <w:b/>
                <w:snapToGrid w:val="0"/>
                <w:sz w:val="20"/>
                <w:szCs w:val="20"/>
              </w:rPr>
            </w:pPr>
            <w:r w:rsidRPr="0033327A">
              <w:rPr>
                <w:rFonts w:ascii="Arial" w:eastAsia="MS Mincho" w:hAnsi="Arial" w:cs="Arial"/>
                <w:b/>
                <w:snapToGrid w:val="0"/>
                <w:sz w:val="20"/>
                <w:szCs w:val="20"/>
              </w:rPr>
              <w:t>+ 9 %</w:t>
            </w:r>
          </w:p>
          <w:p w14:paraId="0B8196D2" w14:textId="77777777" w:rsidR="00C13636" w:rsidRPr="0033327A" w:rsidRDefault="00C13636" w:rsidP="003C3B27">
            <w:pPr>
              <w:tabs>
                <w:tab w:val="left" w:pos="284"/>
              </w:tabs>
              <w:jc w:val="center"/>
              <w:rPr>
                <w:rFonts w:ascii="Arial" w:eastAsia="MS Mincho" w:hAnsi="Arial" w:cs="Arial"/>
                <w:b/>
                <w:snapToGrid w:val="0"/>
                <w:sz w:val="20"/>
                <w:szCs w:val="20"/>
              </w:rPr>
            </w:pPr>
          </w:p>
          <w:p w14:paraId="6CF8AD18" w14:textId="0583AB7E" w:rsidR="00C13636" w:rsidRPr="0033327A" w:rsidRDefault="00C13636" w:rsidP="003C3B27">
            <w:pPr>
              <w:tabs>
                <w:tab w:val="left" w:pos="284"/>
              </w:tabs>
              <w:spacing w:line="270" w:lineRule="atLeast"/>
              <w:jc w:val="center"/>
              <w:rPr>
                <w:rFonts w:ascii="Arial" w:eastAsia="MS Mincho" w:hAnsi="Arial" w:cs="Arial"/>
                <w:b/>
                <w:snapToGrid w:val="0"/>
                <w:sz w:val="20"/>
                <w:szCs w:val="20"/>
              </w:rPr>
            </w:pPr>
            <w:r w:rsidRPr="0033327A">
              <w:rPr>
                <w:rFonts w:ascii="Arial" w:eastAsia="MS Mincho" w:hAnsi="Arial" w:cs="Arial"/>
                <w:b/>
                <w:snapToGrid w:val="0"/>
                <w:sz w:val="20"/>
                <w:szCs w:val="20"/>
              </w:rPr>
              <w:t>+ 1 %</w:t>
            </w:r>
          </w:p>
        </w:tc>
        <w:tc>
          <w:tcPr>
            <w:tcW w:w="1136" w:type="dxa"/>
          </w:tcPr>
          <w:p w14:paraId="441A0F40" w14:textId="77777777" w:rsidR="00C13636" w:rsidRPr="0033327A" w:rsidRDefault="00C13636" w:rsidP="003C3B27">
            <w:pPr>
              <w:tabs>
                <w:tab w:val="left" w:pos="284"/>
              </w:tabs>
              <w:jc w:val="center"/>
              <w:rPr>
                <w:rFonts w:ascii="Arial" w:eastAsia="MS Mincho" w:hAnsi="Arial" w:cs="Arial"/>
                <w:b/>
                <w:snapToGrid w:val="0"/>
                <w:sz w:val="20"/>
                <w:szCs w:val="20"/>
              </w:rPr>
            </w:pPr>
          </w:p>
          <w:p w14:paraId="36C7E118" w14:textId="77777777" w:rsidR="00C13636" w:rsidRPr="0033327A" w:rsidRDefault="00C13636" w:rsidP="003C3B27">
            <w:pPr>
              <w:tabs>
                <w:tab w:val="left" w:pos="284"/>
              </w:tabs>
              <w:jc w:val="center"/>
              <w:rPr>
                <w:rFonts w:ascii="Arial" w:eastAsia="MS Mincho" w:hAnsi="Arial" w:cs="Arial"/>
                <w:b/>
                <w:snapToGrid w:val="0"/>
                <w:sz w:val="20"/>
                <w:szCs w:val="20"/>
              </w:rPr>
            </w:pPr>
            <w:r w:rsidRPr="0033327A">
              <w:rPr>
                <w:rFonts w:ascii="Arial" w:eastAsia="MS Mincho" w:hAnsi="Arial" w:cs="Arial"/>
                <w:b/>
                <w:snapToGrid w:val="0"/>
                <w:sz w:val="20"/>
                <w:szCs w:val="20"/>
              </w:rPr>
              <w:t>- 25 %</w:t>
            </w:r>
          </w:p>
          <w:p w14:paraId="2D131D34" w14:textId="77777777" w:rsidR="00C13636" w:rsidRPr="0033327A" w:rsidRDefault="00C13636" w:rsidP="003C3B27">
            <w:pPr>
              <w:tabs>
                <w:tab w:val="left" w:pos="284"/>
              </w:tabs>
              <w:jc w:val="center"/>
              <w:rPr>
                <w:rFonts w:ascii="Arial" w:eastAsia="MS Mincho" w:hAnsi="Arial" w:cs="Arial"/>
                <w:b/>
                <w:snapToGrid w:val="0"/>
                <w:sz w:val="20"/>
                <w:szCs w:val="20"/>
              </w:rPr>
            </w:pPr>
          </w:p>
          <w:p w14:paraId="489C7C98" w14:textId="5154124E" w:rsidR="00C13636" w:rsidRPr="0033327A" w:rsidRDefault="00C13636" w:rsidP="003C3B27">
            <w:pPr>
              <w:tabs>
                <w:tab w:val="left" w:pos="284"/>
              </w:tabs>
              <w:spacing w:line="270" w:lineRule="atLeast"/>
              <w:jc w:val="center"/>
              <w:rPr>
                <w:rFonts w:ascii="Arial" w:eastAsia="MS Mincho" w:hAnsi="Arial" w:cs="Arial"/>
                <w:b/>
                <w:snapToGrid w:val="0"/>
                <w:sz w:val="20"/>
                <w:szCs w:val="20"/>
              </w:rPr>
            </w:pPr>
            <w:r w:rsidRPr="0033327A">
              <w:rPr>
                <w:rFonts w:ascii="Arial" w:eastAsia="MS Mincho" w:hAnsi="Arial" w:cs="Arial"/>
                <w:b/>
                <w:snapToGrid w:val="0"/>
                <w:sz w:val="20"/>
                <w:szCs w:val="20"/>
              </w:rPr>
              <w:t>- 1 %</w:t>
            </w:r>
          </w:p>
        </w:tc>
        <w:tc>
          <w:tcPr>
            <w:tcW w:w="1551" w:type="dxa"/>
          </w:tcPr>
          <w:p w14:paraId="73891FB6" w14:textId="77777777" w:rsidR="00C13636" w:rsidRPr="0033327A" w:rsidRDefault="00C13636" w:rsidP="003C3B27">
            <w:pPr>
              <w:tabs>
                <w:tab w:val="left" w:pos="284"/>
              </w:tabs>
              <w:jc w:val="center"/>
              <w:rPr>
                <w:rFonts w:ascii="Arial" w:eastAsia="MS Mincho" w:hAnsi="Arial" w:cs="Arial"/>
                <w:b/>
                <w:snapToGrid w:val="0"/>
                <w:sz w:val="20"/>
                <w:szCs w:val="20"/>
              </w:rPr>
            </w:pPr>
          </w:p>
          <w:p w14:paraId="6E928E0A" w14:textId="77777777" w:rsidR="00C13636" w:rsidRPr="0033327A" w:rsidRDefault="00C13636" w:rsidP="003C3B27">
            <w:pPr>
              <w:tabs>
                <w:tab w:val="left" w:pos="284"/>
              </w:tabs>
              <w:jc w:val="center"/>
              <w:rPr>
                <w:rFonts w:ascii="Arial" w:eastAsia="MS Mincho" w:hAnsi="Arial" w:cs="Arial"/>
                <w:b/>
                <w:snapToGrid w:val="0"/>
                <w:sz w:val="20"/>
                <w:szCs w:val="20"/>
              </w:rPr>
            </w:pPr>
            <w:r w:rsidRPr="0033327A">
              <w:rPr>
                <w:rFonts w:ascii="Arial" w:eastAsia="MS Mincho" w:hAnsi="Arial" w:cs="Arial"/>
                <w:b/>
                <w:snapToGrid w:val="0"/>
                <w:sz w:val="20"/>
                <w:szCs w:val="20"/>
              </w:rPr>
              <w:t>+ 15 %</w:t>
            </w:r>
          </w:p>
          <w:p w14:paraId="075FF878" w14:textId="77777777" w:rsidR="00C13636" w:rsidRPr="0033327A" w:rsidRDefault="00C13636" w:rsidP="003C3B27">
            <w:pPr>
              <w:tabs>
                <w:tab w:val="left" w:pos="284"/>
              </w:tabs>
              <w:jc w:val="center"/>
              <w:rPr>
                <w:rFonts w:ascii="Arial" w:eastAsia="MS Mincho" w:hAnsi="Arial" w:cs="Arial"/>
                <w:b/>
                <w:snapToGrid w:val="0"/>
                <w:sz w:val="20"/>
                <w:szCs w:val="20"/>
              </w:rPr>
            </w:pPr>
          </w:p>
          <w:p w14:paraId="41D98B24" w14:textId="07CBB730" w:rsidR="00C13636" w:rsidRPr="0033327A" w:rsidRDefault="00C13636" w:rsidP="003C3B27">
            <w:pPr>
              <w:tabs>
                <w:tab w:val="left" w:pos="284"/>
              </w:tabs>
              <w:spacing w:line="270" w:lineRule="atLeast"/>
              <w:jc w:val="center"/>
              <w:rPr>
                <w:rFonts w:ascii="Arial" w:eastAsia="MS Mincho" w:hAnsi="Arial" w:cs="Arial"/>
                <w:b/>
                <w:snapToGrid w:val="0"/>
                <w:sz w:val="20"/>
                <w:szCs w:val="20"/>
              </w:rPr>
            </w:pPr>
            <w:r w:rsidRPr="0033327A">
              <w:rPr>
                <w:rFonts w:ascii="Arial" w:eastAsia="MS Mincho" w:hAnsi="Arial" w:cs="Arial"/>
                <w:b/>
                <w:snapToGrid w:val="0"/>
                <w:sz w:val="20"/>
                <w:szCs w:val="20"/>
              </w:rPr>
              <w:t>+ 5 %</w:t>
            </w:r>
          </w:p>
        </w:tc>
        <w:tc>
          <w:tcPr>
            <w:tcW w:w="1002" w:type="dxa"/>
          </w:tcPr>
          <w:p w14:paraId="74EA732F" w14:textId="77777777" w:rsidR="00C13636" w:rsidRPr="0033327A" w:rsidRDefault="00C13636" w:rsidP="003C3B27">
            <w:pPr>
              <w:tabs>
                <w:tab w:val="left" w:pos="1168"/>
              </w:tabs>
              <w:ind w:right="-108"/>
              <w:jc w:val="center"/>
              <w:rPr>
                <w:rFonts w:ascii="Arial" w:eastAsia="MS Mincho" w:hAnsi="Arial" w:cs="Arial"/>
                <w:b/>
                <w:snapToGrid w:val="0"/>
                <w:sz w:val="20"/>
                <w:szCs w:val="20"/>
              </w:rPr>
            </w:pPr>
          </w:p>
          <w:p w14:paraId="6151C3F7" w14:textId="77777777" w:rsidR="00C13636" w:rsidRPr="0033327A" w:rsidRDefault="00C13636" w:rsidP="003C3B27">
            <w:pPr>
              <w:tabs>
                <w:tab w:val="left" w:pos="1168"/>
              </w:tabs>
              <w:ind w:right="-108"/>
              <w:jc w:val="center"/>
              <w:rPr>
                <w:rFonts w:ascii="Arial" w:eastAsia="MS Mincho" w:hAnsi="Arial" w:cs="Arial"/>
                <w:b/>
                <w:snapToGrid w:val="0"/>
                <w:sz w:val="20"/>
                <w:szCs w:val="20"/>
              </w:rPr>
            </w:pPr>
            <w:r w:rsidRPr="0033327A">
              <w:rPr>
                <w:rFonts w:ascii="Arial" w:eastAsia="MS Mincho" w:hAnsi="Arial" w:cs="Arial"/>
                <w:b/>
                <w:snapToGrid w:val="0"/>
                <w:sz w:val="20"/>
                <w:szCs w:val="20"/>
              </w:rPr>
              <w:t>+ 6 %</w:t>
            </w:r>
          </w:p>
          <w:p w14:paraId="18D7B82B" w14:textId="77777777" w:rsidR="00C13636" w:rsidRPr="0033327A" w:rsidRDefault="00C13636" w:rsidP="003C3B27">
            <w:pPr>
              <w:tabs>
                <w:tab w:val="left" w:pos="1168"/>
              </w:tabs>
              <w:ind w:right="-108"/>
              <w:jc w:val="center"/>
              <w:rPr>
                <w:rFonts w:ascii="Arial" w:eastAsia="MS Mincho" w:hAnsi="Arial" w:cs="Arial"/>
                <w:b/>
                <w:snapToGrid w:val="0"/>
                <w:sz w:val="20"/>
                <w:szCs w:val="20"/>
              </w:rPr>
            </w:pPr>
          </w:p>
          <w:p w14:paraId="13533768" w14:textId="26C11081" w:rsidR="00C13636" w:rsidRPr="0033327A" w:rsidRDefault="00C13636" w:rsidP="003C3B27">
            <w:pPr>
              <w:tabs>
                <w:tab w:val="left" w:pos="1168"/>
              </w:tabs>
              <w:spacing w:line="270" w:lineRule="atLeast"/>
              <w:ind w:right="-108"/>
              <w:jc w:val="center"/>
              <w:rPr>
                <w:rFonts w:ascii="Arial" w:eastAsia="MS Mincho" w:hAnsi="Arial" w:cs="Arial"/>
                <w:b/>
                <w:snapToGrid w:val="0"/>
                <w:sz w:val="20"/>
                <w:szCs w:val="20"/>
              </w:rPr>
            </w:pPr>
            <w:r w:rsidRPr="0033327A">
              <w:rPr>
                <w:rFonts w:ascii="Arial" w:eastAsia="MS Mincho" w:hAnsi="Arial" w:cs="Arial"/>
                <w:b/>
                <w:snapToGrid w:val="0"/>
                <w:sz w:val="20"/>
                <w:szCs w:val="20"/>
              </w:rPr>
              <w:t>+ 4 %</w:t>
            </w:r>
          </w:p>
        </w:tc>
      </w:tr>
    </w:tbl>
    <w:p w14:paraId="356D0155" w14:textId="77777777" w:rsidR="00700DFB" w:rsidRPr="0033327A" w:rsidRDefault="00700DFB">
      <w:pPr>
        <w:pStyle w:val="Cuerpo"/>
        <w:widowControl w:val="0"/>
        <w:ind w:left="284"/>
        <w:jc w:val="both"/>
        <w:rPr>
          <w:rFonts w:ascii="Arial" w:eastAsia="Arial" w:hAnsi="Arial" w:cs="Arial"/>
        </w:rPr>
      </w:pPr>
    </w:p>
    <w:p w14:paraId="7C0897AE" w14:textId="77777777" w:rsidR="00700DFB" w:rsidRPr="0033327A" w:rsidRDefault="009F7ED2" w:rsidP="00BD06E7">
      <w:pPr>
        <w:pStyle w:val="Cuerpo"/>
        <w:numPr>
          <w:ilvl w:val="0"/>
          <w:numId w:val="4"/>
        </w:numPr>
        <w:tabs>
          <w:tab w:val="clear" w:pos="360"/>
          <w:tab w:val="num" w:pos="411"/>
        </w:tabs>
        <w:spacing w:before="480" w:after="240" w:line="270" w:lineRule="atLeast"/>
        <w:ind w:left="411" w:hanging="411"/>
        <w:jc w:val="both"/>
        <w:rPr>
          <w:rFonts w:ascii="Arial" w:eastAsia="Arial" w:hAnsi="Arial" w:cs="Arial"/>
          <w:b/>
          <w:bCs/>
        </w:rPr>
      </w:pPr>
      <w:r w:rsidRPr="0033327A">
        <w:rPr>
          <w:rFonts w:ascii="Arial"/>
          <w:b/>
          <w:bCs/>
          <w:sz w:val="21"/>
          <w:szCs w:val="21"/>
        </w:rPr>
        <w:t>Primeros Equipos</w:t>
      </w:r>
    </w:p>
    <w:p w14:paraId="74219AB8" w14:textId="23A0B495" w:rsidR="00AB465B" w:rsidRPr="00BF49F0" w:rsidRDefault="00AB465B"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bdr w:val="none" w:sz="0" w:space="0" w:color="auto"/>
          <w:lang w:eastAsia="fr-FR"/>
        </w:rPr>
      </w:pPr>
      <w:r w:rsidRPr="00BF49F0">
        <w:rPr>
          <w:rFonts w:eastAsia="Times" w:hAnsi="Arial"/>
          <w:bdr w:val="none" w:sz="0" w:space="0" w:color="auto"/>
          <w:lang w:eastAsia="fr-FR"/>
        </w:rPr>
        <w:t>En Europa, la demanda</w:t>
      </w:r>
      <w:r w:rsidR="00C95138">
        <w:rPr>
          <w:rFonts w:eastAsia="Times" w:hAnsi="Arial"/>
          <w:bdr w:val="none" w:sz="0" w:space="0" w:color="auto"/>
          <w:lang w:eastAsia="fr-FR"/>
        </w:rPr>
        <w:t xml:space="preserve"> creció globalmente el</w:t>
      </w:r>
      <w:r w:rsidRPr="00BF49F0">
        <w:rPr>
          <w:rFonts w:eastAsia="Times" w:hAnsi="Arial"/>
          <w:bdr w:val="none" w:sz="0" w:space="0" w:color="auto"/>
          <w:lang w:eastAsia="fr-FR"/>
        </w:rPr>
        <w:t xml:space="preserve"> </w:t>
      </w:r>
      <w:r w:rsidR="00BF0D23" w:rsidRPr="00BF49F0">
        <w:rPr>
          <w:rFonts w:eastAsia="Times" w:hAnsi="Arial"/>
          <w:bdr w:val="none" w:sz="0" w:space="0" w:color="auto"/>
          <w:lang w:eastAsia="fr-FR"/>
        </w:rPr>
        <w:t>4</w:t>
      </w:r>
      <w:r w:rsidRPr="00BF49F0">
        <w:rPr>
          <w:rFonts w:eastAsia="Times" w:hAnsi="Arial"/>
          <w:bdr w:val="none" w:sz="0" w:space="0" w:color="auto"/>
          <w:lang w:eastAsia="fr-FR"/>
        </w:rPr>
        <w:t> %</w:t>
      </w:r>
      <w:r w:rsidR="00BF0D23" w:rsidRPr="00BF49F0">
        <w:rPr>
          <w:rFonts w:eastAsia="Times" w:hAnsi="Arial"/>
          <w:bdr w:val="none" w:sz="0" w:space="0" w:color="auto"/>
          <w:lang w:eastAsia="fr-FR"/>
        </w:rPr>
        <w:t xml:space="preserve"> </w:t>
      </w:r>
      <w:r w:rsidRPr="00BF49F0">
        <w:rPr>
          <w:rFonts w:eastAsia="Times" w:hAnsi="Arial"/>
          <w:bdr w:val="none" w:sz="0" w:space="0" w:color="auto"/>
          <w:lang w:eastAsia="fr-FR"/>
        </w:rPr>
        <w:t>, combina</w:t>
      </w:r>
      <w:r w:rsidR="00C95138">
        <w:rPr>
          <w:rFonts w:eastAsia="Times" w:hAnsi="Arial"/>
          <w:bdr w:val="none" w:sz="0" w:space="0" w:color="auto"/>
          <w:lang w:eastAsia="fr-FR"/>
        </w:rPr>
        <w:t>ndo</w:t>
      </w:r>
      <w:r w:rsidRPr="00BF49F0">
        <w:rPr>
          <w:rFonts w:eastAsia="Times" w:hAnsi="Arial"/>
          <w:bdr w:val="none" w:sz="0" w:space="0" w:color="auto"/>
          <w:lang w:eastAsia="fr-FR"/>
        </w:rPr>
        <w:t xml:space="preserve"> un </w:t>
      </w:r>
      <w:r w:rsidR="00BF0D23" w:rsidRPr="00BF49F0">
        <w:rPr>
          <w:rFonts w:eastAsia="Times" w:hAnsi="Arial"/>
          <w:bdr w:val="none" w:sz="0" w:space="0" w:color="auto"/>
          <w:lang w:eastAsia="fr-FR"/>
        </w:rPr>
        <w:t xml:space="preserve">fuerte </w:t>
      </w:r>
      <w:r w:rsidRPr="00BF49F0">
        <w:rPr>
          <w:rFonts w:eastAsia="Times" w:hAnsi="Arial"/>
          <w:bdr w:val="none" w:sz="0" w:space="0" w:color="auto"/>
          <w:lang w:eastAsia="fr-FR"/>
        </w:rPr>
        <w:t xml:space="preserve">aumento del </w:t>
      </w:r>
      <w:r w:rsidR="00BF0D23" w:rsidRPr="00BF49F0">
        <w:rPr>
          <w:rFonts w:eastAsia="Times" w:hAnsi="Arial"/>
          <w:bdr w:val="none" w:sz="0" w:space="0" w:color="auto"/>
          <w:lang w:eastAsia="fr-FR"/>
        </w:rPr>
        <w:t>7</w:t>
      </w:r>
      <w:r w:rsidRPr="00BF49F0">
        <w:rPr>
          <w:rFonts w:eastAsia="Times" w:hAnsi="Arial"/>
          <w:bdr w:val="none" w:sz="0" w:space="0" w:color="auto"/>
          <w:lang w:eastAsia="fr-FR"/>
        </w:rPr>
        <w:t xml:space="preserve"> % en Europa Occidental y un retroceso del </w:t>
      </w:r>
      <w:r w:rsidR="00BF0D23" w:rsidRPr="00BF49F0">
        <w:rPr>
          <w:rFonts w:eastAsia="Times" w:hAnsi="Arial"/>
          <w:bdr w:val="none" w:sz="0" w:space="0" w:color="auto"/>
          <w:lang w:eastAsia="fr-FR"/>
        </w:rPr>
        <w:t>24</w:t>
      </w:r>
      <w:r w:rsidRPr="00BF49F0">
        <w:rPr>
          <w:rFonts w:eastAsia="Times" w:hAnsi="Arial"/>
          <w:bdr w:val="none" w:sz="0" w:space="0" w:color="auto"/>
          <w:lang w:eastAsia="fr-FR"/>
        </w:rPr>
        <w:t xml:space="preserve"> % (-</w:t>
      </w:r>
      <w:r w:rsidR="00DF34E3">
        <w:rPr>
          <w:rFonts w:eastAsia="Times" w:hAnsi="Arial"/>
          <w:bdr w:val="none" w:sz="0" w:space="0" w:color="auto"/>
          <w:lang w:eastAsia="fr-FR"/>
        </w:rPr>
        <w:t xml:space="preserve"> </w:t>
      </w:r>
      <w:r w:rsidRPr="00BF49F0">
        <w:rPr>
          <w:rFonts w:eastAsia="Times" w:hAnsi="Arial"/>
          <w:bdr w:val="none" w:sz="0" w:space="0" w:color="auto"/>
          <w:lang w:eastAsia="fr-FR"/>
        </w:rPr>
        <w:t>25 % en el cuarto trimestre) en Europa del Este en un difícil contexto</w:t>
      </w:r>
      <w:r w:rsidR="00BF49F0" w:rsidRPr="00BF49F0">
        <w:rPr>
          <w:rFonts w:eastAsia="Times" w:hAnsi="Arial"/>
          <w:bdr w:val="none" w:sz="0" w:space="0" w:color="auto"/>
          <w:lang w:eastAsia="fr-FR"/>
        </w:rPr>
        <w:t xml:space="preserve"> económico</w:t>
      </w:r>
      <w:r w:rsidRPr="00BF49F0">
        <w:rPr>
          <w:rFonts w:eastAsia="Times" w:hAnsi="Arial"/>
          <w:bdr w:val="none" w:sz="0" w:space="0" w:color="auto"/>
          <w:lang w:eastAsia="fr-FR"/>
        </w:rPr>
        <w:t>.</w:t>
      </w:r>
    </w:p>
    <w:p w14:paraId="195850D1" w14:textId="673C6AB4" w:rsidR="00BF49F0" w:rsidRDefault="00BF49F0"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bdr w:val="none" w:sz="0" w:space="0" w:color="auto"/>
          <w:lang w:eastAsia="fr-FR"/>
        </w:rPr>
      </w:pPr>
      <w:r w:rsidRPr="00BF49F0">
        <w:rPr>
          <w:rFonts w:eastAsia="Times" w:hAnsi="Arial"/>
          <w:bdr w:val="none" w:sz="0" w:space="0" w:color="auto"/>
          <w:lang w:eastAsia="fr-FR"/>
        </w:rPr>
        <w:t xml:space="preserve">En América del Norte, el mercado, </w:t>
      </w:r>
      <w:r w:rsidR="00BB64B7">
        <w:rPr>
          <w:rFonts w:eastAsia="Times" w:hAnsi="Arial"/>
          <w:bdr w:val="none" w:sz="0" w:space="0" w:color="auto"/>
          <w:lang w:eastAsia="fr-FR"/>
        </w:rPr>
        <w:t>progresa</w:t>
      </w:r>
      <w:r w:rsidRPr="00BF49F0">
        <w:rPr>
          <w:rFonts w:eastAsia="Times" w:hAnsi="Arial"/>
          <w:bdr w:val="none" w:sz="0" w:space="0" w:color="auto"/>
          <w:lang w:eastAsia="fr-FR"/>
        </w:rPr>
        <w:t xml:space="preserve"> un </w:t>
      </w:r>
      <w:r w:rsidR="00BB64B7">
        <w:rPr>
          <w:rFonts w:eastAsia="Times" w:hAnsi="Arial"/>
          <w:bdr w:val="none" w:sz="0" w:space="0" w:color="auto"/>
          <w:lang w:eastAsia="fr-FR"/>
        </w:rPr>
        <w:t>4</w:t>
      </w:r>
      <w:r w:rsidRPr="00BF49F0">
        <w:rPr>
          <w:rFonts w:eastAsia="Times" w:hAnsi="Arial"/>
          <w:bdr w:val="none" w:sz="0" w:space="0" w:color="auto"/>
          <w:lang w:eastAsia="fr-FR"/>
        </w:rPr>
        <w:t xml:space="preserve"> % en el año, sostenido por la demanda de vehículos</w:t>
      </w:r>
      <w:r w:rsidR="001675EE">
        <w:rPr>
          <w:rFonts w:eastAsia="Times" w:hAnsi="Arial"/>
          <w:bdr w:val="none" w:sz="0" w:space="0" w:color="auto"/>
          <w:lang w:eastAsia="fr-FR"/>
        </w:rPr>
        <w:t>, el bajo precio de los carburantes y</w:t>
      </w:r>
      <w:r w:rsidRPr="00BF49F0">
        <w:rPr>
          <w:rFonts w:eastAsia="Times" w:hAnsi="Arial"/>
          <w:bdr w:val="none" w:sz="0" w:space="0" w:color="auto"/>
          <w:lang w:eastAsia="fr-FR"/>
        </w:rPr>
        <w:t xml:space="preserve"> una coyuntura económica favorable. </w:t>
      </w:r>
    </w:p>
    <w:p w14:paraId="1C3B0FB8" w14:textId="13D66C89" w:rsidR="00092DA3" w:rsidRPr="00EC443A" w:rsidRDefault="001675EE"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cs="Times New Roman"/>
          <w:color w:val="auto"/>
          <w:szCs w:val="24"/>
          <w:bdr w:val="none" w:sz="0" w:space="0" w:color="auto"/>
          <w:lang w:eastAsia="fr-FR"/>
        </w:rPr>
      </w:pPr>
      <w:r w:rsidRPr="00EC443A">
        <w:rPr>
          <w:rFonts w:eastAsia="Times" w:hAnsi="Arial"/>
          <w:bdr w:val="none" w:sz="0" w:space="0" w:color="auto"/>
          <w:lang w:eastAsia="fr-FR"/>
        </w:rPr>
        <w:t xml:space="preserve">En Asia (sin incluir India), la demanda experimenta un crecimiento global del 1 % hasta finales de diciembre. En China, el mercado continúa en crecimiento anual (+ </w:t>
      </w:r>
      <w:r w:rsidR="00F01185" w:rsidRPr="00EC443A">
        <w:rPr>
          <w:rFonts w:eastAsia="Times" w:hAnsi="Arial"/>
          <w:bdr w:val="none" w:sz="0" w:space="0" w:color="auto"/>
          <w:lang w:eastAsia="fr-FR"/>
        </w:rPr>
        <w:t>5</w:t>
      </w:r>
      <w:r w:rsidRPr="00EC443A">
        <w:rPr>
          <w:rFonts w:eastAsia="Times" w:hAnsi="Arial"/>
          <w:bdr w:val="none" w:sz="0" w:space="0" w:color="auto"/>
          <w:lang w:eastAsia="fr-FR"/>
        </w:rPr>
        <w:t xml:space="preserve"> %), </w:t>
      </w:r>
      <w:r w:rsidR="00F01185" w:rsidRPr="00EC443A">
        <w:rPr>
          <w:rFonts w:eastAsia="Times" w:hAnsi="Arial"/>
          <w:bdr w:val="none" w:sz="0" w:space="0" w:color="auto"/>
          <w:lang w:eastAsia="fr-FR"/>
        </w:rPr>
        <w:t xml:space="preserve">inferior al 9 % de 2014, gracias al repunte de las ventas de pequeños vehículos </w:t>
      </w:r>
      <w:r w:rsidR="00223560" w:rsidRPr="00EC443A">
        <w:rPr>
          <w:rFonts w:eastAsia="Times" w:hAnsi="Arial"/>
          <w:bdr w:val="none" w:sz="0" w:space="0" w:color="auto"/>
          <w:lang w:eastAsia="fr-FR"/>
        </w:rPr>
        <w:t xml:space="preserve">sostenidas por las </w:t>
      </w:r>
      <w:r w:rsidR="00EC443A" w:rsidRPr="00EC443A">
        <w:rPr>
          <w:rFonts w:eastAsia="Times" w:hAnsi="Arial"/>
          <w:bdr w:val="none" w:sz="0" w:space="0" w:color="auto"/>
          <w:lang w:eastAsia="fr-FR"/>
        </w:rPr>
        <w:t xml:space="preserve">ayudas gubernamentales y por el éxito de los modelos SUV. El resto de mercados de la zona, dependientes de las exportaciones mundiales, </w:t>
      </w:r>
      <w:r w:rsidR="00DD166A">
        <w:rPr>
          <w:rFonts w:eastAsia="Times" w:hAnsi="Arial"/>
          <w:bdr w:val="none" w:sz="0" w:space="0" w:color="auto"/>
          <w:lang w:eastAsia="fr-FR"/>
        </w:rPr>
        <w:t xml:space="preserve">cae </w:t>
      </w:r>
      <w:r w:rsidR="00EC443A" w:rsidRPr="00EC443A">
        <w:rPr>
          <w:rFonts w:eastAsia="Times" w:hAnsi="Arial"/>
          <w:bdr w:val="none" w:sz="0" w:space="0" w:color="auto"/>
          <w:lang w:eastAsia="fr-FR"/>
        </w:rPr>
        <w:t xml:space="preserve">un </w:t>
      </w:r>
      <w:r w:rsidR="00092DA3" w:rsidRPr="00EC443A">
        <w:rPr>
          <w:rFonts w:eastAsia="Times" w:hAnsi="Arial" w:cs="Times New Roman"/>
          <w:color w:val="auto"/>
          <w:szCs w:val="24"/>
          <w:bdr w:val="none" w:sz="0" w:space="0" w:color="auto"/>
          <w:lang w:eastAsia="fr-FR"/>
        </w:rPr>
        <w:t xml:space="preserve">5 %. </w:t>
      </w:r>
    </w:p>
    <w:p w14:paraId="69EFFA74" w14:textId="7EB57886" w:rsidR="00700DFB" w:rsidRDefault="009F7ED2"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cs="Times New Roman"/>
          <w:color w:val="auto"/>
          <w:szCs w:val="24"/>
          <w:bdr w:val="none" w:sz="0" w:space="0" w:color="auto"/>
          <w:lang w:eastAsia="fr-FR"/>
        </w:rPr>
      </w:pPr>
      <w:r w:rsidRPr="0033327A">
        <w:rPr>
          <w:rFonts w:eastAsia="Times" w:hAnsi="Arial" w:cs="Times New Roman"/>
          <w:color w:val="auto"/>
          <w:szCs w:val="24"/>
          <w:bdr w:val="none" w:sz="0" w:space="0" w:color="auto"/>
          <w:lang w:eastAsia="fr-FR"/>
        </w:rPr>
        <w:t xml:space="preserve">En Sudamérica, la demanda </w:t>
      </w:r>
      <w:r w:rsidR="00DD166A" w:rsidRPr="0033327A">
        <w:rPr>
          <w:rFonts w:eastAsia="Times" w:hAnsi="Arial" w:cs="Times New Roman"/>
          <w:color w:val="auto"/>
          <w:szCs w:val="24"/>
          <w:bdr w:val="none" w:sz="0" w:space="0" w:color="auto"/>
          <w:lang w:eastAsia="fr-FR"/>
        </w:rPr>
        <w:t xml:space="preserve">baja </w:t>
      </w:r>
      <w:r w:rsidR="00C95138">
        <w:rPr>
          <w:rFonts w:eastAsia="Times" w:hAnsi="Arial" w:cs="Times New Roman"/>
          <w:color w:val="auto"/>
          <w:szCs w:val="24"/>
          <w:bdr w:val="none" w:sz="0" w:space="0" w:color="auto"/>
          <w:lang w:eastAsia="fr-FR"/>
        </w:rPr>
        <w:t>un</w:t>
      </w:r>
      <w:r w:rsidR="00C95138" w:rsidRPr="0033327A">
        <w:rPr>
          <w:rFonts w:eastAsia="Times" w:hAnsi="Arial" w:cs="Times New Roman"/>
          <w:color w:val="auto"/>
          <w:szCs w:val="24"/>
          <w:bdr w:val="none" w:sz="0" w:space="0" w:color="auto"/>
          <w:lang w:eastAsia="fr-FR"/>
        </w:rPr>
        <w:t xml:space="preserve"> 1</w:t>
      </w:r>
      <w:r w:rsidR="00C95138">
        <w:rPr>
          <w:rFonts w:eastAsia="Times" w:hAnsi="Arial" w:cs="Times New Roman"/>
          <w:color w:val="auto"/>
          <w:szCs w:val="24"/>
          <w:bdr w:val="none" w:sz="0" w:space="0" w:color="auto"/>
          <w:lang w:eastAsia="fr-FR"/>
        </w:rPr>
        <w:t>9</w:t>
      </w:r>
      <w:r w:rsidR="00C95138" w:rsidRPr="0033327A">
        <w:rPr>
          <w:rFonts w:eastAsia="Times" w:hAnsi="Arial" w:cs="Times New Roman"/>
          <w:color w:val="auto"/>
          <w:szCs w:val="24"/>
          <w:bdr w:val="none" w:sz="0" w:space="0" w:color="auto"/>
          <w:lang w:eastAsia="fr-FR"/>
        </w:rPr>
        <w:t xml:space="preserve"> %</w:t>
      </w:r>
      <w:r w:rsidR="00C95138">
        <w:rPr>
          <w:rFonts w:eastAsia="Times" w:hAnsi="Arial" w:cs="Times New Roman"/>
          <w:color w:val="auto"/>
          <w:szCs w:val="24"/>
          <w:bdr w:val="none" w:sz="0" w:space="0" w:color="auto"/>
          <w:lang w:eastAsia="fr-FR"/>
        </w:rPr>
        <w:t xml:space="preserve"> en línea con el retroceso de la producción de automóviles, en un contexto económico</w:t>
      </w:r>
      <w:r w:rsidR="00DD166A">
        <w:rPr>
          <w:rFonts w:eastAsia="Times" w:hAnsi="Arial" w:cs="Times New Roman"/>
          <w:color w:val="auto"/>
          <w:szCs w:val="24"/>
          <w:bdr w:val="none" w:sz="0" w:space="0" w:color="auto"/>
          <w:lang w:eastAsia="fr-FR"/>
        </w:rPr>
        <w:t xml:space="preserve"> de crisis</w:t>
      </w:r>
      <w:r w:rsidR="00C95138">
        <w:rPr>
          <w:rFonts w:eastAsia="Times" w:hAnsi="Arial" w:cs="Times New Roman"/>
          <w:color w:val="auto"/>
          <w:szCs w:val="24"/>
          <w:bdr w:val="none" w:sz="0" w:space="0" w:color="auto"/>
          <w:lang w:eastAsia="fr-FR"/>
        </w:rPr>
        <w:t xml:space="preserve"> en</w:t>
      </w:r>
      <w:r w:rsidR="00DD166A">
        <w:rPr>
          <w:rFonts w:eastAsia="Times" w:hAnsi="Arial" w:cs="Times New Roman"/>
          <w:color w:val="auto"/>
          <w:szCs w:val="24"/>
          <w:bdr w:val="none" w:sz="0" w:space="0" w:color="auto"/>
          <w:lang w:eastAsia="fr-FR"/>
        </w:rPr>
        <w:t xml:space="preserve"> </w:t>
      </w:r>
      <w:r w:rsidRPr="0033327A">
        <w:rPr>
          <w:rFonts w:eastAsia="Times" w:hAnsi="Arial" w:cs="Times New Roman"/>
          <w:color w:val="auto"/>
          <w:szCs w:val="24"/>
          <w:bdr w:val="none" w:sz="0" w:space="0" w:color="auto"/>
          <w:lang w:eastAsia="fr-FR"/>
        </w:rPr>
        <w:t>Brasil y Argentina.</w:t>
      </w:r>
    </w:p>
    <w:p w14:paraId="361706FF" w14:textId="77777777" w:rsidR="003B4039" w:rsidRPr="0033327A" w:rsidRDefault="003B4039" w:rsidP="003B4039">
      <w:pPr>
        <w:pStyle w:val="TextoMichelin"/>
        <w:pBdr>
          <w:top w:val="none" w:sz="0" w:space="0" w:color="auto"/>
          <w:left w:val="none" w:sz="0" w:space="0" w:color="auto"/>
          <w:bottom w:val="none" w:sz="0" w:space="0" w:color="auto"/>
          <w:right w:val="none" w:sz="0" w:space="0" w:color="auto"/>
          <w:between w:val="none" w:sz="0" w:space="0" w:color="auto"/>
          <w:bar w:val="none" w:sz="0" w:color="auto"/>
        </w:pBdr>
        <w:rPr>
          <w:rFonts w:eastAsia="Times" w:hAnsi="Arial" w:cs="Times New Roman"/>
          <w:color w:val="auto"/>
          <w:szCs w:val="24"/>
          <w:bdr w:val="none" w:sz="0" w:space="0" w:color="auto"/>
          <w:lang w:eastAsia="fr-FR"/>
        </w:rPr>
      </w:pPr>
    </w:p>
    <w:p w14:paraId="366813D3" w14:textId="77777777" w:rsidR="00700DFB" w:rsidRPr="0033327A" w:rsidRDefault="009F7ED2" w:rsidP="00BD06E7">
      <w:pPr>
        <w:pStyle w:val="Cuerpo"/>
        <w:numPr>
          <w:ilvl w:val="0"/>
          <w:numId w:val="5"/>
        </w:numPr>
        <w:tabs>
          <w:tab w:val="clear" w:pos="360"/>
          <w:tab w:val="num" w:pos="411"/>
        </w:tabs>
        <w:spacing w:before="480" w:after="240" w:line="270" w:lineRule="atLeast"/>
        <w:ind w:left="411" w:hanging="411"/>
        <w:jc w:val="both"/>
        <w:rPr>
          <w:rFonts w:ascii="Arial" w:eastAsia="Arial" w:hAnsi="Arial" w:cs="Arial"/>
          <w:b/>
          <w:bCs/>
        </w:rPr>
      </w:pPr>
      <w:r w:rsidRPr="0033327A">
        <w:rPr>
          <w:rFonts w:ascii="Arial"/>
          <w:b/>
          <w:bCs/>
          <w:sz w:val="21"/>
          <w:szCs w:val="21"/>
        </w:rPr>
        <w:lastRenderedPageBreak/>
        <w:t>Reemplazo</w:t>
      </w:r>
    </w:p>
    <w:p w14:paraId="6580FEAB" w14:textId="59DC61F2" w:rsidR="00651B65" w:rsidRPr="00C95138" w:rsidRDefault="009F7ED2" w:rsidP="0060674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bdr w:val="none" w:sz="0" w:space="0" w:color="auto"/>
          <w:lang w:eastAsia="fr-FR"/>
        </w:rPr>
      </w:pPr>
      <w:r w:rsidRPr="00C97619">
        <w:rPr>
          <w:rFonts w:eastAsia="Times" w:hAnsi="Arial"/>
          <w:bdr w:val="none" w:sz="0" w:space="0" w:color="auto"/>
          <w:lang w:eastAsia="fr-FR"/>
        </w:rPr>
        <w:t xml:space="preserve">En Europa, el mercado </w:t>
      </w:r>
      <w:r w:rsidR="00E32A29" w:rsidRPr="00C97619">
        <w:rPr>
          <w:rFonts w:eastAsia="Times" w:hAnsi="Arial"/>
          <w:bdr w:val="none" w:sz="0" w:space="0" w:color="auto"/>
          <w:lang w:eastAsia="fr-FR"/>
        </w:rPr>
        <w:t>crece</w:t>
      </w:r>
      <w:r w:rsidRPr="00C97619">
        <w:rPr>
          <w:rFonts w:eastAsia="Times" w:hAnsi="Arial"/>
          <w:bdr w:val="none" w:sz="0" w:space="0" w:color="auto"/>
          <w:lang w:eastAsia="fr-FR"/>
        </w:rPr>
        <w:t xml:space="preserve"> </w:t>
      </w:r>
      <w:r w:rsidR="00E32A29" w:rsidRPr="00C97619">
        <w:rPr>
          <w:rFonts w:eastAsia="Times" w:hAnsi="Arial"/>
          <w:bdr w:val="none" w:sz="0" w:space="0" w:color="auto"/>
          <w:lang w:eastAsia="fr-FR"/>
        </w:rPr>
        <w:t>globalmente un</w:t>
      </w:r>
      <w:r w:rsidRPr="00C97619">
        <w:rPr>
          <w:rFonts w:eastAsia="Times" w:hAnsi="Arial"/>
          <w:bdr w:val="none" w:sz="0" w:space="0" w:color="auto"/>
          <w:lang w:eastAsia="fr-FR"/>
        </w:rPr>
        <w:t> </w:t>
      </w:r>
      <w:r w:rsidR="00E32A29" w:rsidRPr="00C97619">
        <w:rPr>
          <w:rFonts w:eastAsia="Times" w:hAnsi="Arial"/>
          <w:bdr w:val="none" w:sz="0" w:space="0" w:color="auto"/>
          <w:lang w:eastAsia="fr-FR"/>
        </w:rPr>
        <w:t>3</w:t>
      </w:r>
      <w:r w:rsidRPr="00C97619">
        <w:rPr>
          <w:rFonts w:eastAsia="Times" w:hAnsi="Arial"/>
          <w:bdr w:val="none" w:sz="0" w:space="0" w:color="auto"/>
          <w:lang w:eastAsia="fr-FR"/>
        </w:rPr>
        <w:t xml:space="preserve"> % hasta finales de diciembre. La demanda en Europa Occidental aumenta un </w:t>
      </w:r>
      <w:r w:rsidR="00E32A29" w:rsidRPr="00C97619">
        <w:rPr>
          <w:rFonts w:eastAsia="Times" w:hAnsi="Arial"/>
          <w:bdr w:val="none" w:sz="0" w:space="0" w:color="auto"/>
          <w:lang w:eastAsia="fr-FR"/>
        </w:rPr>
        <w:t>6</w:t>
      </w:r>
      <w:r w:rsidRPr="00C97619">
        <w:rPr>
          <w:rFonts w:eastAsia="Times" w:hAnsi="Arial"/>
          <w:bdr w:val="none" w:sz="0" w:space="0" w:color="auto"/>
          <w:lang w:eastAsia="fr-FR"/>
        </w:rPr>
        <w:t xml:space="preserve"> % </w:t>
      </w:r>
      <w:r w:rsidR="00E32A29" w:rsidRPr="00C97619">
        <w:rPr>
          <w:rFonts w:eastAsia="Times" w:hAnsi="Arial"/>
          <w:bdr w:val="none" w:sz="0" w:space="0" w:color="auto"/>
          <w:lang w:eastAsia="fr-FR"/>
        </w:rPr>
        <w:t>y refleja el dinamismo del segmento de neumáticos de verano, la demanda sostenida de</w:t>
      </w:r>
      <w:r w:rsidR="00DA30FA" w:rsidRPr="00C97619">
        <w:rPr>
          <w:rFonts w:eastAsia="Times" w:hAnsi="Arial"/>
          <w:bdr w:val="none" w:sz="0" w:space="0" w:color="auto"/>
          <w:lang w:eastAsia="fr-FR"/>
        </w:rPr>
        <w:t xml:space="preserve"> neumáticos de gama básica, </w:t>
      </w:r>
      <w:r w:rsidR="00C95138">
        <w:rPr>
          <w:rFonts w:eastAsia="Times" w:hAnsi="Arial"/>
          <w:bdr w:val="none" w:sz="0" w:space="0" w:color="auto"/>
          <w:lang w:eastAsia="fr-FR"/>
        </w:rPr>
        <w:t>así como</w:t>
      </w:r>
      <w:r w:rsidR="00654864" w:rsidRPr="00C97619">
        <w:rPr>
          <w:rFonts w:eastAsia="Times" w:hAnsi="Arial"/>
          <w:bdr w:val="none" w:sz="0" w:space="0" w:color="auto"/>
          <w:lang w:eastAsia="fr-FR"/>
        </w:rPr>
        <w:t xml:space="preserve"> los volúmenes de las exportaciones de los distribuidores fuera de la zona euro.</w:t>
      </w:r>
      <w:r w:rsidR="00C06DE6" w:rsidRPr="00C97619">
        <w:rPr>
          <w:rFonts w:eastAsia="Times" w:hAnsi="Arial"/>
          <w:bdr w:val="none" w:sz="0" w:space="0" w:color="auto"/>
          <w:lang w:eastAsia="fr-FR"/>
        </w:rPr>
        <w:t xml:space="preserve"> Las ve</w:t>
      </w:r>
      <w:r w:rsidR="00764F26" w:rsidRPr="00C97619">
        <w:rPr>
          <w:rFonts w:eastAsia="Times" w:hAnsi="Arial"/>
          <w:bdr w:val="none" w:sz="0" w:space="0" w:color="auto"/>
          <w:lang w:eastAsia="fr-FR"/>
        </w:rPr>
        <w:t>ntas sell in</w:t>
      </w:r>
      <w:r w:rsidR="006C0AB9" w:rsidRPr="00C97619">
        <w:rPr>
          <w:rFonts w:eastAsia="Times" w:hAnsi="Arial"/>
          <w:bdr w:val="none" w:sz="0" w:space="0" w:color="auto"/>
          <w:lang w:eastAsia="fr-FR"/>
        </w:rPr>
        <w:t xml:space="preserve"> en neumáticos de invierno caen un 1 %. En Europa del Este</w:t>
      </w:r>
      <w:r w:rsidR="003F1786" w:rsidRPr="00C97619">
        <w:rPr>
          <w:rFonts w:eastAsia="Times" w:hAnsi="Arial"/>
          <w:bdr w:val="none" w:sz="0" w:space="0" w:color="auto"/>
          <w:lang w:eastAsia="fr-FR"/>
        </w:rPr>
        <w:t xml:space="preserve">, en un contexto económico siempre difícil, la demanda continúa su bajada </w:t>
      </w:r>
      <w:r w:rsidR="00651B65" w:rsidRPr="00752071">
        <w:rPr>
          <w:rFonts w:eastAsia="Times" w:hAnsi="Arial"/>
          <w:bdr w:val="none" w:sz="0" w:space="0" w:color="auto"/>
          <w:lang w:eastAsia="fr-FR"/>
        </w:rPr>
        <w:t>(- 7 %).</w:t>
      </w:r>
    </w:p>
    <w:p w14:paraId="6480D810" w14:textId="040C8ABC" w:rsidR="00452D30" w:rsidRPr="00452D30" w:rsidRDefault="009F7ED2"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bdr w:val="none" w:sz="0" w:space="0" w:color="auto"/>
          <w:lang w:eastAsia="fr-FR"/>
        </w:rPr>
      </w:pPr>
      <w:r w:rsidRPr="00C97619">
        <w:rPr>
          <w:rFonts w:eastAsia="Times" w:hAnsi="Arial"/>
          <w:bdr w:val="none" w:sz="0" w:space="0" w:color="auto"/>
          <w:lang w:eastAsia="fr-FR"/>
        </w:rPr>
        <w:t xml:space="preserve">En América del Norte, </w:t>
      </w:r>
      <w:r w:rsidR="00752071" w:rsidRPr="00C97619">
        <w:rPr>
          <w:rFonts w:eastAsia="Times" w:hAnsi="Arial"/>
          <w:bdr w:val="none" w:sz="0" w:space="0" w:color="auto"/>
          <w:lang w:eastAsia="fr-FR"/>
        </w:rPr>
        <w:t>la demanda, en</w:t>
      </w:r>
      <w:r w:rsidRPr="00C97619">
        <w:rPr>
          <w:rFonts w:eastAsia="Times" w:hAnsi="Arial"/>
          <w:bdr w:val="none" w:sz="0" w:space="0" w:color="auto"/>
          <w:lang w:eastAsia="fr-FR"/>
        </w:rPr>
        <w:t xml:space="preserve"> aument</w:t>
      </w:r>
      <w:r w:rsidR="00752071" w:rsidRPr="00C97619">
        <w:rPr>
          <w:rFonts w:eastAsia="Times" w:hAnsi="Arial"/>
          <w:bdr w:val="none" w:sz="0" w:space="0" w:color="auto"/>
          <w:lang w:eastAsia="fr-FR"/>
        </w:rPr>
        <w:t>o del</w:t>
      </w:r>
      <w:r w:rsidRPr="00C97619">
        <w:rPr>
          <w:rFonts w:eastAsia="Times" w:hAnsi="Arial"/>
          <w:bdr w:val="none" w:sz="0" w:space="0" w:color="auto"/>
          <w:lang w:eastAsia="fr-FR"/>
        </w:rPr>
        <w:t xml:space="preserve"> </w:t>
      </w:r>
      <w:r w:rsidR="00752071" w:rsidRPr="00C97619">
        <w:rPr>
          <w:rFonts w:eastAsia="Times" w:hAnsi="Arial"/>
          <w:bdr w:val="none" w:sz="0" w:space="0" w:color="auto"/>
          <w:lang w:eastAsia="fr-FR"/>
        </w:rPr>
        <w:t xml:space="preserve">1 </w:t>
      </w:r>
      <w:r w:rsidRPr="00C97619">
        <w:rPr>
          <w:rFonts w:eastAsia="Times" w:hAnsi="Arial"/>
          <w:bdr w:val="none" w:sz="0" w:space="0" w:color="auto"/>
          <w:lang w:eastAsia="fr-FR"/>
        </w:rPr>
        <w:t xml:space="preserve">% </w:t>
      </w:r>
      <w:r w:rsidR="00752071" w:rsidRPr="00C97619">
        <w:rPr>
          <w:rFonts w:eastAsia="Times" w:hAnsi="Arial"/>
          <w:bdr w:val="none" w:sz="0" w:space="0" w:color="auto"/>
          <w:lang w:eastAsia="fr-FR"/>
        </w:rPr>
        <w:t>en el conjunto de la zona</w:t>
      </w:r>
      <w:r w:rsidRPr="00C97619">
        <w:rPr>
          <w:rFonts w:eastAsia="Times" w:hAnsi="Arial"/>
          <w:bdr w:val="none" w:sz="0" w:space="0" w:color="auto"/>
          <w:lang w:eastAsia="fr-FR"/>
        </w:rPr>
        <w:t xml:space="preserve">, </w:t>
      </w:r>
      <w:r w:rsidR="00A64902" w:rsidRPr="00C97619">
        <w:rPr>
          <w:rFonts w:eastAsia="Times" w:hAnsi="Arial"/>
          <w:bdr w:val="none" w:sz="0" w:space="0" w:color="auto"/>
          <w:lang w:eastAsia="fr-FR"/>
        </w:rPr>
        <w:t>es prácticamente estable en los Estados Unidos y Canadá, mientras que el mercado mexicano progresa fuertemente</w:t>
      </w:r>
      <w:r w:rsidR="008326CA" w:rsidRPr="00C97619">
        <w:rPr>
          <w:rFonts w:eastAsia="Times" w:hAnsi="Arial"/>
          <w:bdr w:val="none" w:sz="0" w:space="0" w:color="auto"/>
          <w:lang w:eastAsia="fr-FR"/>
        </w:rPr>
        <w:t xml:space="preserve">. Las ventas de neumáticos de los grupos miembros de la Asociación de Fabricantes progresan un 5 %, en un contexto favorable de costes de carburantes y de distancias recorridas, mientras </w:t>
      </w:r>
      <w:r w:rsidR="00452D30" w:rsidRPr="00C97619">
        <w:rPr>
          <w:rFonts w:eastAsia="Times" w:hAnsi="Arial"/>
          <w:bdr w:val="none" w:sz="0" w:space="0" w:color="auto"/>
          <w:lang w:eastAsia="fr-FR"/>
        </w:rPr>
        <w:t>que</w:t>
      </w:r>
      <w:r w:rsidR="008326CA" w:rsidRPr="00C97619">
        <w:rPr>
          <w:rFonts w:eastAsia="Times" w:hAnsi="Arial"/>
          <w:bdr w:val="none" w:sz="0" w:space="0" w:color="auto"/>
          <w:lang w:eastAsia="fr-FR"/>
        </w:rPr>
        <w:t xml:space="preserve"> los neumáticos de importación bajan un 14 % con </w:t>
      </w:r>
      <w:r w:rsidR="00452D30" w:rsidRPr="00C97619">
        <w:rPr>
          <w:rFonts w:eastAsia="Times" w:hAnsi="Arial"/>
          <w:bdr w:val="none" w:sz="0" w:space="0" w:color="auto"/>
          <w:lang w:eastAsia="fr-FR"/>
        </w:rPr>
        <w:t xml:space="preserve">la liquidación de los excedentes </w:t>
      </w:r>
      <w:r w:rsidR="006C505E" w:rsidRPr="00C97619">
        <w:rPr>
          <w:rFonts w:eastAsia="Times" w:hAnsi="Arial"/>
          <w:bdr w:val="none" w:sz="0" w:space="0" w:color="auto"/>
          <w:lang w:eastAsia="fr-FR"/>
        </w:rPr>
        <w:t xml:space="preserve">de los stocks </w:t>
      </w:r>
      <w:r w:rsidR="00452D30" w:rsidRPr="00C97619">
        <w:rPr>
          <w:rFonts w:eastAsia="Times" w:hAnsi="Arial"/>
          <w:bdr w:val="none" w:sz="0" w:space="0" w:color="auto"/>
          <w:lang w:eastAsia="fr-FR"/>
        </w:rPr>
        <w:t xml:space="preserve">que la distribución </w:t>
      </w:r>
      <w:r w:rsidR="006C505E" w:rsidRPr="00C97619">
        <w:rPr>
          <w:rFonts w:eastAsia="Times" w:hAnsi="Arial"/>
          <w:bdr w:val="none" w:sz="0" w:space="0" w:color="auto"/>
          <w:lang w:eastAsia="fr-FR"/>
        </w:rPr>
        <w:t>había acumulado</w:t>
      </w:r>
      <w:r w:rsidR="00452D30" w:rsidRPr="00C97619">
        <w:rPr>
          <w:rFonts w:eastAsia="Times" w:hAnsi="Arial"/>
          <w:bdr w:val="none" w:sz="0" w:space="0" w:color="auto"/>
          <w:lang w:eastAsia="fr-FR"/>
        </w:rPr>
        <w:t xml:space="preserve"> antes de la </w:t>
      </w:r>
      <w:r w:rsidR="008974D6" w:rsidRPr="00C97619">
        <w:rPr>
          <w:rFonts w:eastAsia="Times" w:hAnsi="Arial"/>
          <w:bdr w:val="none" w:sz="0" w:space="0" w:color="auto"/>
          <w:lang w:eastAsia="fr-FR"/>
        </w:rPr>
        <w:t>entrada en vigor</w:t>
      </w:r>
      <w:r w:rsidR="00452D30" w:rsidRPr="00C97619">
        <w:rPr>
          <w:rFonts w:eastAsia="Times" w:hAnsi="Arial"/>
          <w:bdr w:val="none" w:sz="0" w:space="0" w:color="auto"/>
          <w:lang w:eastAsia="fr-FR"/>
        </w:rPr>
        <w:t xml:space="preserve"> de los aranceles a los neumáticos chinos</w:t>
      </w:r>
      <w:r w:rsidR="008974D6" w:rsidRPr="00C97619">
        <w:rPr>
          <w:rFonts w:eastAsia="Times" w:hAnsi="Arial"/>
          <w:bdr w:val="none" w:sz="0" w:space="0" w:color="auto"/>
          <w:lang w:eastAsia="fr-FR"/>
        </w:rPr>
        <w:t>.</w:t>
      </w:r>
    </w:p>
    <w:p w14:paraId="17EF6515" w14:textId="67AC6782" w:rsidR="008974D6" w:rsidRPr="008974D6" w:rsidRDefault="009F7ED2"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bdr w:val="none" w:sz="0" w:space="0" w:color="auto"/>
          <w:lang w:eastAsia="fr-FR"/>
        </w:rPr>
      </w:pPr>
      <w:r w:rsidRPr="00C97619">
        <w:rPr>
          <w:rFonts w:eastAsia="Times" w:hAnsi="Arial"/>
          <w:bdr w:val="none" w:sz="0" w:space="0" w:color="auto"/>
          <w:lang w:eastAsia="fr-FR"/>
        </w:rPr>
        <w:t>En Asia (sin incluir India</w:t>
      </w:r>
      <w:r w:rsidR="008974D6" w:rsidRPr="00C97619">
        <w:rPr>
          <w:rFonts w:eastAsia="Times" w:hAnsi="Arial"/>
          <w:bdr w:val="none" w:sz="0" w:space="0" w:color="auto"/>
          <w:lang w:eastAsia="fr-FR"/>
        </w:rPr>
        <w:t>), los mercados progresa</w:t>
      </w:r>
      <w:r w:rsidR="001A770A">
        <w:rPr>
          <w:rFonts w:eastAsia="Times" w:hAnsi="Arial"/>
          <w:bdr w:val="none" w:sz="0" w:space="0" w:color="auto"/>
          <w:lang w:eastAsia="fr-FR"/>
        </w:rPr>
        <w:t>n</w:t>
      </w:r>
      <w:r w:rsidR="008974D6" w:rsidRPr="00C97619">
        <w:rPr>
          <w:rFonts w:eastAsia="Times" w:hAnsi="Arial"/>
          <w:bdr w:val="none" w:sz="0" w:space="0" w:color="auto"/>
          <w:lang w:eastAsia="fr-FR"/>
        </w:rPr>
        <w:t xml:space="preserve"> </w:t>
      </w:r>
      <w:r w:rsidRPr="00C97619">
        <w:rPr>
          <w:rFonts w:eastAsia="Times" w:hAnsi="Arial"/>
          <w:bdr w:val="none" w:sz="0" w:space="0" w:color="auto"/>
          <w:lang w:eastAsia="fr-FR"/>
        </w:rPr>
        <w:t>un 4 %</w:t>
      </w:r>
      <w:r w:rsidR="008974D6" w:rsidRPr="00C97619">
        <w:rPr>
          <w:rFonts w:eastAsia="Times" w:hAnsi="Arial"/>
          <w:bdr w:val="none" w:sz="0" w:space="0" w:color="auto"/>
          <w:lang w:eastAsia="fr-FR"/>
        </w:rPr>
        <w:t xml:space="preserve">, </w:t>
      </w:r>
      <w:r w:rsidR="00C95138" w:rsidRPr="00C97619">
        <w:rPr>
          <w:rFonts w:eastAsia="Times" w:hAnsi="Arial"/>
          <w:bdr w:val="none" w:sz="0" w:space="0" w:color="auto"/>
          <w:lang w:eastAsia="fr-FR"/>
        </w:rPr>
        <w:t>espolead</w:t>
      </w:r>
      <w:r w:rsidR="00C95138">
        <w:rPr>
          <w:rFonts w:eastAsia="Times" w:hAnsi="Arial"/>
          <w:bdr w:val="none" w:sz="0" w:space="0" w:color="auto"/>
          <w:lang w:eastAsia="fr-FR"/>
        </w:rPr>
        <w:t>os</w:t>
      </w:r>
      <w:r w:rsidR="00C95138" w:rsidRPr="00C97619">
        <w:rPr>
          <w:rFonts w:eastAsia="Times" w:hAnsi="Arial"/>
          <w:bdr w:val="none" w:sz="0" w:space="0" w:color="auto"/>
          <w:lang w:eastAsia="fr-FR"/>
        </w:rPr>
        <w:t xml:space="preserve"> </w:t>
      </w:r>
      <w:r w:rsidR="008974D6" w:rsidRPr="00C97619">
        <w:rPr>
          <w:rFonts w:eastAsia="Times" w:hAnsi="Arial"/>
          <w:bdr w:val="none" w:sz="0" w:space="0" w:color="auto"/>
          <w:lang w:eastAsia="fr-FR"/>
        </w:rPr>
        <w:t>por</w:t>
      </w:r>
      <w:r w:rsidRPr="00C97619">
        <w:rPr>
          <w:rFonts w:eastAsia="Times" w:hAnsi="Arial"/>
          <w:bdr w:val="none" w:sz="0" w:space="0" w:color="auto"/>
          <w:lang w:eastAsia="fr-FR"/>
        </w:rPr>
        <w:t xml:space="preserve"> </w:t>
      </w:r>
      <w:r w:rsidR="008974D6" w:rsidRPr="00C97619">
        <w:rPr>
          <w:rFonts w:eastAsia="Times" w:hAnsi="Arial"/>
          <w:bdr w:val="none" w:sz="0" w:space="0" w:color="auto"/>
          <w:lang w:eastAsia="fr-FR"/>
        </w:rPr>
        <w:t>un mercado chino siempre dinámico</w:t>
      </w:r>
      <w:r w:rsidR="00485081" w:rsidRPr="00C97619">
        <w:rPr>
          <w:rFonts w:eastAsia="Times" w:hAnsi="Arial"/>
          <w:bdr w:val="none" w:sz="0" w:space="0" w:color="auto"/>
          <w:lang w:eastAsia="fr-FR"/>
        </w:rPr>
        <w:t xml:space="preserve"> (+</w:t>
      </w:r>
      <w:r w:rsidRPr="00C97619">
        <w:rPr>
          <w:rFonts w:eastAsia="Times" w:hAnsi="Arial"/>
          <w:bdr w:val="none" w:sz="0" w:space="0" w:color="auto"/>
          <w:lang w:eastAsia="fr-FR"/>
        </w:rPr>
        <w:t xml:space="preserve"> 8 %</w:t>
      </w:r>
      <w:r w:rsidR="00485081" w:rsidRPr="00C97619">
        <w:rPr>
          <w:rFonts w:eastAsia="Times" w:hAnsi="Arial"/>
          <w:bdr w:val="none" w:sz="0" w:space="0" w:color="auto"/>
          <w:lang w:eastAsia="fr-FR"/>
        </w:rPr>
        <w:t>).</w:t>
      </w:r>
      <w:r w:rsidRPr="00C97619">
        <w:rPr>
          <w:rFonts w:eastAsia="Times" w:hAnsi="Arial"/>
          <w:bdr w:val="none" w:sz="0" w:space="0" w:color="auto"/>
          <w:lang w:eastAsia="fr-FR"/>
        </w:rPr>
        <w:t xml:space="preserve"> </w:t>
      </w:r>
      <w:r w:rsidR="00EF3B12" w:rsidRPr="00C97619">
        <w:rPr>
          <w:rFonts w:eastAsia="Times" w:hAnsi="Arial"/>
          <w:bdr w:val="none" w:sz="0" w:space="0" w:color="auto"/>
          <w:lang w:eastAsia="fr-FR"/>
        </w:rPr>
        <w:t xml:space="preserve">La evolución </w:t>
      </w:r>
      <w:r w:rsidR="000C5EEC">
        <w:rPr>
          <w:rFonts w:eastAsia="Times" w:hAnsi="Arial"/>
          <w:bdr w:val="none" w:sz="0" w:space="0" w:color="auto"/>
          <w:lang w:eastAsia="fr-FR"/>
        </w:rPr>
        <w:t>en el resto de la zona continúa</w:t>
      </w:r>
      <w:r w:rsidR="00EF3B12" w:rsidRPr="00C97619">
        <w:rPr>
          <w:rFonts w:eastAsia="Times" w:hAnsi="Arial"/>
          <w:bdr w:val="none" w:sz="0" w:space="0" w:color="auto"/>
          <w:lang w:eastAsia="fr-FR"/>
        </w:rPr>
        <w:t xml:space="preserve"> </w:t>
      </w:r>
      <w:r w:rsidR="00C95138">
        <w:rPr>
          <w:rFonts w:eastAsia="Times" w:hAnsi="Arial"/>
          <w:bdr w:val="none" w:sz="0" w:space="0" w:color="auto"/>
          <w:lang w:eastAsia="fr-FR"/>
        </w:rPr>
        <w:t>débil</w:t>
      </w:r>
      <w:r w:rsidR="00C95138" w:rsidRPr="00C97619">
        <w:rPr>
          <w:rFonts w:eastAsia="Times" w:hAnsi="Arial"/>
          <w:bdr w:val="none" w:sz="0" w:space="0" w:color="auto"/>
          <w:lang w:eastAsia="fr-FR"/>
        </w:rPr>
        <w:t xml:space="preserve"> </w:t>
      </w:r>
      <w:r w:rsidR="00EF3B12" w:rsidRPr="00C97619">
        <w:rPr>
          <w:rFonts w:eastAsia="Times" w:hAnsi="Arial"/>
          <w:bdr w:val="none" w:sz="0" w:space="0" w:color="auto"/>
          <w:lang w:eastAsia="fr-FR"/>
        </w:rPr>
        <w:t>(- 1 %)</w:t>
      </w:r>
      <w:r w:rsidR="00F120CB" w:rsidRPr="00C97619">
        <w:rPr>
          <w:rFonts w:eastAsia="Times" w:hAnsi="Arial"/>
          <w:bdr w:val="none" w:sz="0" w:space="0" w:color="auto"/>
          <w:lang w:eastAsia="fr-FR"/>
        </w:rPr>
        <w:t xml:space="preserve"> con un </w:t>
      </w:r>
      <w:r w:rsidRPr="00C97619">
        <w:rPr>
          <w:rFonts w:eastAsia="Times" w:hAnsi="Arial"/>
          <w:bdr w:val="none" w:sz="0" w:space="0" w:color="auto"/>
          <w:lang w:eastAsia="fr-FR"/>
        </w:rPr>
        <w:t xml:space="preserve">mercado japonés </w:t>
      </w:r>
      <w:r w:rsidR="00F120CB" w:rsidRPr="00C97619">
        <w:rPr>
          <w:rFonts w:eastAsia="Times" w:hAnsi="Arial"/>
          <w:bdr w:val="none" w:sz="0" w:space="0" w:color="auto"/>
          <w:lang w:eastAsia="fr-FR"/>
        </w:rPr>
        <w:t xml:space="preserve">en caída del 4 </w:t>
      </w:r>
      <w:r w:rsidRPr="00C97619">
        <w:rPr>
          <w:rFonts w:eastAsia="Times" w:hAnsi="Arial"/>
          <w:bdr w:val="none" w:sz="0" w:space="0" w:color="auto"/>
          <w:lang w:eastAsia="fr-FR"/>
        </w:rPr>
        <w:t xml:space="preserve">% </w:t>
      </w:r>
      <w:r w:rsidR="00F120CB" w:rsidRPr="00C97619">
        <w:rPr>
          <w:rFonts w:eastAsia="Times" w:hAnsi="Arial"/>
          <w:bdr w:val="none" w:sz="0" w:space="0" w:color="auto"/>
          <w:lang w:eastAsia="fr-FR"/>
        </w:rPr>
        <w:t>y los mercados de</w:t>
      </w:r>
      <w:r w:rsidRPr="00C97619">
        <w:rPr>
          <w:rFonts w:eastAsia="Times" w:hAnsi="Arial"/>
          <w:bdr w:val="none" w:sz="0" w:space="0" w:color="auto"/>
          <w:lang w:eastAsia="fr-FR"/>
        </w:rPr>
        <w:t xml:space="preserve"> Indonesia y </w:t>
      </w:r>
      <w:r w:rsidR="00F120CB" w:rsidRPr="00C97619">
        <w:rPr>
          <w:rFonts w:eastAsia="Times" w:hAnsi="Arial"/>
          <w:bdr w:val="none" w:sz="0" w:space="0" w:color="auto"/>
          <w:lang w:eastAsia="fr-FR"/>
        </w:rPr>
        <w:t>Tailandia bien orientados</w:t>
      </w:r>
      <w:r w:rsidRPr="00C97619">
        <w:rPr>
          <w:rFonts w:eastAsia="Times" w:hAnsi="Arial"/>
          <w:bdr w:val="none" w:sz="0" w:space="0" w:color="auto"/>
          <w:lang w:eastAsia="fr-FR"/>
        </w:rPr>
        <w:t>.</w:t>
      </w:r>
      <w:r w:rsidR="008974D6" w:rsidRPr="00C97619">
        <w:rPr>
          <w:rFonts w:eastAsia="Times" w:hAnsi="Arial"/>
          <w:bdr w:val="none" w:sz="0" w:space="0" w:color="auto"/>
          <w:lang w:eastAsia="fr-FR"/>
        </w:rPr>
        <w:t xml:space="preserve"> </w:t>
      </w:r>
    </w:p>
    <w:p w14:paraId="1ADC48D8" w14:textId="77777777" w:rsidR="006C6F6C" w:rsidRDefault="009F7ED2"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bdr w:val="none" w:sz="0" w:space="0" w:color="auto"/>
          <w:lang w:eastAsia="fr-FR"/>
        </w:rPr>
      </w:pPr>
      <w:r w:rsidRPr="00C97619">
        <w:rPr>
          <w:rFonts w:eastAsia="Times" w:hAnsi="Arial"/>
          <w:bdr w:val="none" w:sz="0" w:space="0" w:color="auto"/>
          <w:lang w:eastAsia="fr-FR"/>
        </w:rPr>
        <w:t xml:space="preserve">En Sudamérica, la demanda aumenta un </w:t>
      </w:r>
      <w:r w:rsidR="006C6F6C" w:rsidRPr="00C97619">
        <w:rPr>
          <w:rFonts w:eastAsia="Times" w:hAnsi="Arial"/>
          <w:bdr w:val="none" w:sz="0" w:space="0" w:color="auto"/>
          <w:lang w:eastAsia="fr-FR"/>
        </w:rPr>
        <w:t>1</w:t>
      </w:r>
      <w:r w:rsidRPr="00C97619">
        <w:rPr>
          <w:rFonts w:eastAsia="Times" w:hAnsi="Arial"/>
          <w:bdr w:val="none" w:sz="0" w:space="0" w:color="auto"/>
          <w:lang w:eastAsia="fr-FR"/>
        </w:rPr>
        <w:t xml:space="preserve"> %, </w:t>
      </w:r>
      <w:r w:rsidR="006C6F6C" w:rsidRPr="00C97619">
        <w:rPr>
          <w:rFonts w:eastAsia="Times" w:hAnsi="Arial"/>
          <w:bdr w:val="none" w:sz="0" w:space="0" w:color="auto"/>
          <w:lang w:eastAsia="fr-FR"/>
        </w:rPr>
        <w:t xml:space="preserve">en un contexto económico y político heterogéneo. El mercado brasileño aumenta un </w:t>
      </w:r>
      <w:r w:rsidR="00F120CB" w:rsidRPr="00F120CB">
        <w:rPr>
          <w:rFonts w:eastAsia="Times" w:hAnsi="Arial"/>
          <w:bdr w:val="none" w:sz="0" w:space="0" w:color="auto"/>
          <w:lang w:eastAsia="fr-FR"/>
        </w:rPr>
        <w:t xml:space="preserve">3 % </w:t>
      </w:r>
      <w:r w:rsidR="006C6F6C">
        <w:rPr>
          <w:rFonts w:eastAsia="Times" w:hAnsi="Arial"/>
          <w:bdr w:val="none" w:sz="0" w:space="0" w:color="auto"/>
          <w:lang w:eastAsia="fr-FR"/>
        </w:rPr>
        <w:t>con una caída de las importaciones, los mercados de la costa pacífica están bien orientados y la demanda disminuye en Argentina y Venezuela.</w:t>
      </w:r>
    </w:p>
    <w:p w14:paraId="454547E5" w14:textId="0E8EAAEB" w:rsidR="00047721" w:rsidRPr="00805092" w:rsidRDefault="003B4039" w:rsidP="00047721">
      <w:pPr>
        <w:pStyle w:val="TextoMichelin"/>
        <w:spacing w:after="0"/>
        <w:rPr>
          <w:rFonts w:eastAsia="Times" w:hAnsi="Arial" w:cs="Arial"/>
          <w:sz w:val="26"/>
          <w:szCs w:val="26"/>
          <w:bdr w:val="none" w:sz="0" w:space="0" w:color="auto"/>
          <w:lang w:eastAsia="fr-FR"/>
        </w:rPr>
      </w:pPr>
      <w:r>
        <w:rPr>
          <w:rFonts w:hAnsi="Arial" w:cs="Arial"/>
          <w:b/>
          <w:bCs/>
          <w:sz w:val="26"/>
          <w:szCs w:val="26"/>
        </w:rPr>
        <w:br w:type="column"/>
      </w:r>
      <w:r w:rsidR="009F7ED2" w:rsidRPr="00805092">
        <w:rPr>
          <w:rFonts w:hAnsi="Arial" w:cs="Arial"/>
          <w:b/>
          <w:bCs/>
          <w:sz w:val="26"/>
          <w:szCs w:val="26"/>
        </w:rPr>
        <w:lastRenderedPageBreak/>
        <w:t>Cami</w:t>
      </w:r>
      <w:r w:rsidR="009F7ED2" w:rsidRPr="00805092">
        <w:rPr>
          <w:rFonts w:eastAsia="Calibri" w:hAnsi="Arial" w:cs="Arial"/>
          <w:b/>
          <w:bCs/>
          <w:sz w:val="26"/>
          <w:szCs w:val="26"/>
        </w:rPr>
        <w:t>ón</w:t>
      </w:r>
    </w:p>
    <w:tbl>
      <w:tblPr>
        <w:tblpPr w:leftFromText="141" w:rightFromText="141" w:vertAnchor="text" w:horzAnchor="page" w:tblpX="1090" w:tblpY="45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34"/>
        <w:gridCol w:w="1134"/>
        <w:gridCol w:w="992"/>
        <w:gridCol w:w="1134"/>
        <w:gridCol w:w="1134"/>
        <w:gridCol w:w="1559"/>
        <w:gridCol w:w="992"/>
      </w:tblGrid>
      <w:tr w:rsidR="00047721" w:rsidRPr="0033327A" w14:paraId="1A71F756" w14:textId="77777777" w:rsidTr="00047721">
        <w:trPr>
          <w:trHeight w:val="890"/>
        </w:trPr>
        <w:tc>
          <w:tcPr>
            <w:tcW w:w="2235" w:type="dxa"/>
            <w:shd w:val="clear" w:color="auto" w:fill="E6E6E6"/>
          </w:tcPr>
          <w:p w14:paraId="0DE3F8A8" w14:textId="77777777" w:rsidR="00047721" w:rsidRPr="0033327A" w:rsidRDefault="00047721" w:rsidP="00047721">
            <w:pPr>
              <w:pStyle w:val="LadilloMichelinDossier"/>
              <w:spacing w:before="0" w:after="0"/>
              <w:rPr>
                <w:b w:val="0"/>
                <w:bCs w:val="0"/>
                <w:sz w:val="20"/>
                <w:lang w:bidi="es-ES_tradnl"/>
              </w:rPr>
            </w:pPr>
            <w:r w:rsidRPr="0033327A">
              <w:rPr>
                <w:rFonts w:ascii="Arial" w:hAnsi="Arial"/>
                <w:b w:val="0"/>
                <w:bCs w:val="0"/>
                <w:sz w:val="20"/>
                <w:lang w:bidi="es-ES_tradnl"/>
              </w:rPr>
              <w:t>2015/2014</w:t>
            </w:r>
            <w:r w:rsidRPr="0033327A">
              <w:rPr>
                <w:rFonts w:ascii="Arial" w:hAnsi="Arial"/>
                <w:b w:val="0"/>
                <w:bCs w:val="0"/>
                <w:sz w:val="20"/>
                <w:lang w:bidi="es-ES_tradnl"/>
              </w:rPr>
              <w:br/>
            </w:r>
            <w:r w:rsidRPr="0033327A">
              <w:rPr>
                <w:rFonts w:ascii="Arial" w:hAnsi="Arial"/>
                <w:b w:val="0"/>
                <w:bCs w:val="0"/>
                <w:sz w:val="18"/>
                <w:lang w:bidi="es-ES_tradnl"/>
              </w:rPr>
              <w:t>(número de neumáticos)</w:t>
            </w:r>
          </w:p>
        </w:tc>
        <w:tc>
          <w:tcPr>
            <w:tcW w:w="1134" w:type="dxa"/>
            <w:shd w:val="clear" w:color="auto" w:fill="E6E6E6"/>
          </w:tcPr>
          <w:p w14:paraId="7DC6FE0C" w14:textId="77777777" w:rsidR="00047721" w:rsidRPr="0033327A" w:rsidRDefault="00047721" w:rsidP="00047721">
            <w:pPr>
              <w:pStyle w:val="LadilloMichelinDossier"/>
              <w:spacing w:before="0" w:after="0"/>
              <w:rPr>
                <w:b w:val="0"/>
                <w:bCs w:val="0"/>
                <w:sz w:val="20"/>
                <w:lang w:bidi="es-ES_tradnl"/>
              </w:rPr>
            </w:pPr>
            <w:r w:rsidRPr="0033327A">
              <w:rPr>
                <w:rFonts w:ascii="Arial" w:hAnsi="Arial"/>
                <w:b w:val="0"/>
                <w:bCs w:val="0"/>
                <w:sz w:val="20"/>
                <w:lang w:bidi="es-ES_tradnl"/>
              </w:rPr>
              <w:t>Europa con Rusia y CEI</w:t>
            </w:r>
            <w:r w:rsidRPr="0033327A">
              <w:rPr>
                <w:rStyle w:val="Refdenotaalpie"/>
                <w:rFonts w:ascii="Arial" w:hAnsi="Arial"/>
                <w:b w:val="0"/>
                <w:bCs w:val="0"/>
                <w:sz w:val="32"/>
                <w:lang w:bidi="es-ES_tradnl"/>
              </w:rPr>
              <w:footnoteReference w:customMarkFollows="1" w:id="6"/>
              <w:sym w:font="Symbol" w:char="F02A"/>
            </w:r>
          </w:p>
        </w:tc>
        <w:tc>
          <w:tcPr>
            <w:tcW w:w="1134" w:type="dxa"/>
            <w:shd w:val="clear" w:color="auto" w:fill="E6E6E6"/>
          </w:tcPr>
          <w:p w14:paraId="560D1B54" w14:textId="77777777" w:rsidR="00047721" w:rsidRPr="0033327A" w:rsidRDefault="00047721" w:rsidP="00047721">
            <w:pPr>
              <w:tabs>
                <w:tab w:val="left" w:pos="284"/>
              </w:tabs>
              <w:rPr>
                <w:rFonts w:ascii="Arial" w:eastAsia="Times" w:hAnsi="Arial" w:cs="Times"/>
                <w:color w:val="000000"/>
                <w:sz w:val="20"/>
                <w:szCs w:val="26"/>
                <w:u w:color="000000"/>
                <w:lang w:eastAsia="es-ES" w:bidi="es-ES_tradnl"/>
              </w:rPr>
            </w:pPr>
            <w:r w:rsidRPr="0033327A">
              <w:rPr>
                <w:rFonts w:ascii="Arial" w:eastAsia="Times" w:hAnsi="Arial" w:cs="Times"/>
                <w:color w:val="000000"/>
                <w:sz w:val="20"/>
                <w:szCs w:val="26"/>
                <w:u w:color="000000"/>
                <w:lang w:eastAsia="es-ES" w:bidi="es-ES_tradnl"/>
              </w:rPr>
              <w:t>Europa</w:t>
            </w:r>
          </w:p>
          <w:p w14:paraId="4FDE40DA" w14:textId="77777777" w:rsidR="00047721" w:rsidRPr="0033327A" w:rsidRDefault="00047721" w:rsidP="00047721">
            <w:pPr>
              <w:pStyle w:val="LadilloMichelinDossier"/>
              <w:spacing w:before="0" w:after="0"/>
              <w:rPr>
                <w:rFonts w:ascii="Arial" w:hAnsi="Arial"/>
                <w:b w:val="0"/>
                <w:bCs w:val="0"/>
                <w:sz w:val="20"/>
                <w:lang w:bidi="es-ES_tradnl"/>
              </w:rPr>
            </w:pPr>
            <w:r w:rsidRPr="0033327A">
              <w:rPr>
                <w:rFonts w:ascii="Arial" w:hAnsi="Arial"/>
                <w:b w:val="0"/>
                <w:bCs w:val="0"/>
                <w:sz w:val="20"/>
                <w:lang w:bidi="es-ES_tradnl"/>
              </w:rPr>
              <w:t xml:space="preserve">sin Rusia </w:t>
            </w:r>
            <w:r w:rsidRPr="0033327A">
              <w:rPr>
                <w:rFonts w:ascii="Arial" w:hAnsi="Arial"/>
                <w:b w:val="0"/>
                <w:bCs w:val="0"/>
                <w:sz w:val="20"/>
                <w:lang w:bidi="es-ES_tradnl"/>
              </w:rPr>
              <w:br/>
              <w:t>ni CEI*</w:t>
            </w:r>
          </w:p>
        </w:tc>
        <w:tc>
          <w:tcPr>
            <w:tcW w:w="992" w:type="dxa"/>
            <w:shd w:val="clear" w:color="auto" w:fill="E6E6E6"/>
          </w:tcPr>
          <w:p w14:paraId="1C6AD525" w14:textId="77777777" w:rsidR="00047721" w:rsidRPr="0033327A" w:rsidRDefault="00047721" w:rsidP="00047721">
            <w:pPr>
              <w:pStyle w:val="LadilloMichelinDossier"/>
              <w:spacing w:before="0" w:after="0"/>
              <w:rPr>
                <w:b w:val="0"/>
                <w:bCs w:val="0"/>
                <w:sz w:val="20"/>
                <w:lang w:bidi="es-ES_tradnl"/>
              </w:rPr>
            </w:pPr>
            <w:r w:rsidRPr="0033327A">
              <w:rPr>
                <w:rFonts w:ascii="Arial" w:hAnsi="Arial"/>
                <w:b w:val="0"/>
                <w:bCs w:val="0"/>
                <w:sz w:val="20"/>
                <w:lang w:bidi="es-ES_tradnl"/>
              </w:rPr>
              <w:t xml:space="preserve">América </w:t>
            </w:r>
            <w:r w:rsidRPr="0033327A">
              <w:rPr>
                <w:rFonts w:ascii="MingLiU" w:eastAsia="MingLiU" w:hAnsi="MingLiU" w:cs="MingLiU"/>
                <w:b w:val="0"/>
                <w:bCs w:val="0"/>
                <w:sz w:val="20"/>
                <w:lang w:bidi="es-ES_tradnl"/>
              </w:rPr>
              <w:br/>
            </w:r>
            <w:r w:rsidRPr="0033327A">
              <w:rPr>
                <w:rFonts w:ascii="Arial" w:hAnsi="Arial"/>
                <w:b w:val="0"/>
                <w:bCs w:val="0"/>
                <w:sz w:val="20"/>
                <w:lang w:bidi="es-ES_tradnl"/>
              </w:rPr>
              <w:t>del Norte</w:t>
            </w:r>
          </w:p>
        </w:tc>
        <w:tc>
          <w:tcPr>
            <w:tcW w:w="1134" w:type="dxa"/>
            <w:shd w:val="clear" w:color="auto" w:fill="E6E6E6"/>
          </w:tcPr>
          <w:p w14:paraId="497FC023" w14:textId="77777777" w:rsidR="00047721" w:rsidRPr="0033327A" w:rsidRDefault="00047721" w:rsidP="00047721">
            <w:pPr>
              <w:pStyle w:val="LadilloMichelinDossier"/>
              <w:spacing w:before="0" w:after="0"/>
              <w:rPr>
                <w:rFonts w:ascii="Arial" w:hAnsi="Arial"/>
                <w:b w:val="0"/>
                <w:bCs w:val="0"/>
                <w:sz w:val="20"/>
                <w:lang w:bidi="es-ES_tradnl"/>
              </w:rPr>
            </w:pPr>
            <w:r w:rsidRPr="0033327A">
              <w:rPr>
                <w:rFonts w:ascii="Arial" w:hAnsi="Arial"/>
                <w:b w:val="0"/>
                <w:bCs w:val="0"/>
                <w:sz w:val="20"/>
                <w:lang w:bidi="es-ES_tradnl"/>
              </w:rPr>
              <w:t>Asia</w:t>
            </w:r>
          </w:p>
          <w:p w14:paraId="44FAD46F" w14:textId="77777777" w:rsidR="00047721" w:rsidRPr="0033327A" w:rsidRDefault="00047721" w:rsidP="00047721">
            <w:pPr>
              <w:pStyle w:val="LadilloMichelinDossier"/>
              <w:spacing w:before="0" w:after="0"/>
              <w:rPr>
                <w:b w:val="0"/>
                <w:bCs w:val="0"/>
                <w:sz w:val="20"/>
                <w:lang w:bidi="es-ES_tradnl"/>
              </w:rPr>
            </w:pPr>
            <w:r w:rsidRPr="0033327A">
              <w:rPr>
                <w:rFonts w:ascii="Arial" w:hAnsi="Arial"/>
                <w:b w:val="0"/>
                <w:bCs w:val="0"/>
                <w:sz w:val="20"/>
                <w:lang w:bidi="es-ES_tradnl"/>
              </w:rPr>
              <w:t>(sin India)</w:t>
            </w:r>
          </w:p>
        </w:tc>
        <w:tc>
          <w:tcPr>
            <w:tcW w:w="1134" w:type="dxa"/>
            <w:shd w:val="clear" w:color="auto" w:fill="E6E6E6"/>
          </w:tcPr>
          <w:p w14:paraId="65B4785E" w14:textId="77777777" w:rsidR="00047721" w:rsidRPr="0033327A" w:rsidRDefault="00047721" w:rsidP="00047721">
            <w:pPr>
              <w:pStyle w:val="LadilloMichelinDossier"/>
              <w:spacing w:before="0" w:after="0"/>
              <w:rPr>
                <w:b w:val="0"/>
                <w:bCs w:val="0"/>
                <w:sz w:val="20"/>
                <w:lang w:bidi="es-ES_tradnl"/>
              </w:rPr>
            </w:pPr>
            <w:r w:rsidRPr="0033327A">
              <w:rPr>
                <w:rFonts w:ascii="Arial" w:hAnsi="Arial"/>
                <w:b w:val="0"/>
                <w:bCs w:val="0"/>
                <w:sz w:val="20"/>
                <w:lang w:bidi="es-ES_tradnl"/>
              </w:rPr>
              <w:t xml:space="preserve">América </w:t>
            </w:r>
            <w:r w:rsidRPr="0033327A">
              <w:rPr>
                <w:rFonts w:ascii="MingLiU" w:eastAsia="MingLiU" w:hAnsi="MingLiU" w:cs="MingLiU"/>
                <w:b w:val="0"/>
                <w:bCs w:val="0"/>
                <w:sz w:val="20"/>
                <w:lang w:bidi="es-ES_tradnl"/>
              </w:rPr>
              <w:br/>
            </w:r>
            <w:r w:rsidRPr="0033327A">
              <w:rPr>
                <w:rFonts w:ascii="Arial" w:hAnsi="Arial"/>
                <w:b w:val="0"/>
                <w:bCs w:val="0"/>
                <w:sz w:val="20"/>
                <w:lang w:bidi="es-ES_tradnl"/>
              </w:rPr>
              <w:t>del Sur</w:t>
            </w:r>
          </w:p>
        </w:tc>
        <w:tc>
          <w:tcPr>
            <w:tcW w:w="1559" w:type="dxa"/>
            <w:shd w:val="clear" w:color="auto" w:fill="E6E6E6"/>
          </w:tcPr>
          <w:p w14:paraId="577AAA61" w14:textId="77777777" w:rsidR="00047721" w:rsidRPr="0033327A" w:rsidRDefault="00047721" w:rsidP="00047721">
            <w:pPr>
              <w:pStyle w:val="LadilloMichelinDossier"/>
              <w:spacing w:before="0" w:after="0"/>
              <w:rPr>
                <w:b w:val="0"/>
                <w:bCs w:val="0"/>
                <w:sz w:val="20"/>
                <w:lang w:bidi="es-ES_tradnl"/>
              </w:rPr>
            </w:pPr>
            <w:r w:rsidRPr="0033327A">
              <w:rPr>
                <w:rFonts w:ascii="Arial" w:hAnsi="Arial"/>
                <w:b w:val="0"/>
                <w:bCs w:val="0"/>
                <w:sz w:val="20"/>
                <w:lang w:bidi="es-ES_tradnl"/>
              </w:rPr>
              <w:t>África/India/</w:t>
            </w:r>
            <w:r w:rsidRPr="0033327A">
              <w:rPr>
                <w:rFonts w:ascii="MingLiU" w:eastAsia="MingLiU" w:hAnsi="MingLiU" w:cs="MingLiU"/>
                <w:b w:val="0"/>
                <w:bCs w:val="0"/>
                <w:sz w:val="20"/>
                <w:lang w:bidi="es-ES_tradnl"/>
              </w:rPr>
              <w:br/>
            </w:r>
            <w:r w:rsidRPr="0033327A">
              <w:rPr>
                <w:rFonts w:ascii="Arial" w:hAnsi="Arial"/>
                <w:b w:val="0"/>
                <w:bCs w:val="0"/>
                <w:sz w:val="20"/>
                <w:lang w:bidi="es-ES_tradnl"/>
              </w:rPr>
              <w:t>Oriente Medio</w:t>
            </w:r>
          </w:p>
        </w:tc>
        <w:tc>
          <w:tcPr>
            <w:tcW w:w="992" w:type="dxa"/>
            <w:shd w:val="clear" w:color="auto" w:fill="E6E6E6"/>
          </w:tcPr>
          <w:p w14:paraId="17E72B39" w14:textId="77777777" w:rsidR="00047721" w:rsidRPr="0033327A" w:rsidRDefault="00047721" w:rsidP="00047721">
            <w:pPr>
              <w:pStyle w:val="LadilloMichelinDossier"/>
              <w:spacing w:before="0" w:after="0"/>
              <w:rPr>
                <w:b w:val="0"/>
                <w:bCs w:val="0"/>
                <w:sz w:val="20"/>
                <w:lang w:bidi="es-ES_tradnl"/>
              </w:rPr>
            </w:pPr>
            <w:r w:rsidRPr="0033327A">
              <w:rPr>
                <w:rFonts w:ascii="Arial" w:hAnsi="Arial"/>
                <w:b w:val="0"/>
                <w:bCs w:val="0"/>
                <w:sz w:val="20"/>
                <w:lang w:bidi="es-ES_tradnl"/>
              </w:rPr>
              <w:t>Total</w:t>
            </w:r>
          </w:p>
        </w:tc>
      </w:tr>
      <w:tr w:rsidR="000C17A5" w:rsidRPr="0033327A" w14:paraId="44B046D9" w14:textId="77777777" w:rsidTr="003B4039">
        <w:trPr>
          <w:trHeight w:val="1179"/>
        </w:trPr>
        <w:tc>
          <w:tcPr>
            <w:tcW w:w="2235" w:type="dxa"/>
          </w:tcPr>
          <w:p w14:paraId="212A589D" w14:textId="77777777" w:rsidR="000C17A5" w:rsidRPr="0033327A" w:rsidRDefault="000C17A5" w:rsidP="00047721">
            <w:pPr>
              <w:pStyle w:val="LadilloMichelinDossier"/>
              <w:spacing w:before="0" w:after="0"/>
              <w:jc w:val="both"/>
              <w:rPr>
                <w:rFonts w:ascii="Arial" w:hAnsi="Arial"/>
                <w:b w:val="0"/>
                <w:bCs w:val="0"/>
                <w:sz w:val="20"/>
                <w:lang w:bidi="es-ES_tradnl"/>
              </w:rPr>
            </w:pPr>
          </w:p>
          <w:p w14:paraId="7096459D" w14:textId="77777777" w:rsidR="000C17A5" w:rsidRPr="0033327A" w:rsidRDefault="000C17A5" w:rsidP="00047721">
            <w:pPr>
              <w:pStyle w:val="LadilloMichelinDossier"/>
              <w:spacing w:before="0" w:after="0"/>
              <w:jc w:val="both"/>
              <w:rPr>
                <w:rFonts w:ascii="Arial" w:hAnsi="Arial"/>
                <w:b w:val="0"/>
                <w:bCs w:val="0"/>
                <w:sz w:val="20"/>
                <w:lang w:bidi="es-ES_tradnl"/>
              </w:rPr>
            </w:pPr>
            <w:r w:rsidRPr="0033327A">
              <w:rPr>
                <w:rFonts w:ascii="Arial" w:hAnsi="Arial"/>
                <w:b w:val="0"/>
                <w:bCs w:val="0"/>
                <w:sz w:val="20"/>
                <w:lang w:bidi="es-ES_tradnl"/>
              </w:rPr>
              <w:t>Primera monta</w:t>
            </w:r>
          </w:p>
          <w:p w14:paraId="4FF99C48" w14:textId="77777777" w:rsidR="000C17A5" w:rsidRPr="0033327A" w:rsidRDefault="000C17A5" w:rsidP="00047721">
            <w:pPr>
              <w:pStyle w:val="LadilloMichelinDossier"/>
              <w:spacing w:before="0" w:after="0"/>
              <w:jc w:val="both"/>
              <w:rPr>
                <w:rFonts w:ascii="Arial" w:hAnsi="Arial"/>
                <w:b w:val="0"/>
                <w:bCs w:val="0"/>
                <w:sz w:val="20"/>
                <w:lang w:bidi="es-ES_tradnl"/>
              </w:rPr>
            </w:pPr>
          </w:p>
          <w:p w14:paraId="35ED66ED" w14:textId="77777777" w:rsidR="000C17A5" w:rsidRPr="0033327A" w:rsidRDefault="000C17A5" w:rsidP="00047721">
            <w:pPr>
              <w:pStyle w:val="LadilloMichelinDossier"/>
              <w:spacing w:before="0" w:after="0"/>
              <w:jc w:val="both"/>
              <w:rPr>
                <w:b w:val="0"/>
                <w:bCs w:val="0"/>
                <w:sz w:val="20"/>
                <w:lang w:bidi="es-ES_tradnl"/>
              </w:rPr>
            </w:pPr>
            <w:r w:rsidRPr="0033327A">
              <w:rPr>
                <w:rFonts w:ascii="Arial" w:hAnsi="Arial"/>
                <w:b w:val="0"/>
                <w:bCs w:val="0"/>
                <w:sz w:val="20"/>
                <w:lang w:bidi="es-ES_tradnl"/>
              </w:rPr>
              <w:t>Reemplazo</w:t>
            </w:r>
          </w:p>
        </w:tc>
        <w:tc>
          <w:tcPr>
            <w:tcW w:w="1134" w:type="dxa"/>
          </w:tcPr>
          <w:p w14:paraId="38B1AE85" w14:textId="77777777" w:rsidR="000C17A5" w:rsidRPr="000C17A5" w:rsidRDefault="000C17A5" w:rsidP="00B00899">
            <w:pPr>
              <w:tabs>
                <w:tab w:val="left" w:pos="284"/>
              </w:tabs>
              <w:jc w:val="center"/>
              <w:rPr>
                <w:rFonts w:ascii="Arial" w:hAnsi="Arial" w:cs="Arial"/>
                <w:b/>
                <w:strike/>
                <w:sz w:val="20"/>
                <w:szCs w:val="20"/>
              </w:rPr>
            </w:pPr>
          </w:p>
          <w:p w14:paraId="1380F1A5" w14:textId="77777777" w:rsidR="000C17A5" w:rsidRPr="000C17A5" w:rsidRDefault="000C17A5" w:rsidP="00B00899">
            <w:pPr>
              <w:tabs>
                <w:tab w:val="left" w:pos="284"/>
              </w:tabs>
              <w:jc w:val="center"/>
              <w:rPr>
                <w:rFonts w:ascii="Arial" w:eastAsia="MS Mincho" w:hAnsi="Arial" w:cs="Arial"/>
                <w:b/>
                <w:snapToGrid w:val="0"/>
                <w:sz w:val="20"/>
                <w:szCs w:val="20"/>
              </w:rPr>
            </w:pPr>
            <w:r w:rsidRPr="000C17A5">
              <w:rPr>
                <w:rFonts w:ascii="Arial" w:eastAsia="MS Mincho" w:hAnsi="Arial" w:cs="Arial"/>
                <w:b/>
                <w:snapToGrid w:val="0"/>
                <w:sz w:val="20"/>
                <w:szCs w:val="20"/>
              </w:rPr>
              <w:t>+ 7 %</w:t>
            </w:r>
          </w:p>
          <w:p w14:paraId="54C30BCD" w14:textId="77777777" w:rsidR="000C17A5" w:rsidRPr="000C17A5" w:rsidRDefault="000C17A5" w:rsidP="00B00899">
            <w:pPr>
              <w:tabs>
                <w:tab w:val="left" w:pos="284"/>
              </w:tabs>
              <w:jc w:val="center"/>
              <w:rPr>
                <w:rFonts w:ascii="Arial" w:eastAsia="MS Mincho" w:hAnsi="Arial" w:cs="Arial"/>
                <w:b/>
                <w:snapToGrid w:val="0"/>
                <w:sz w:val="20"/>
                <w:szCs w:val="20"/>
              </w:rPr>
            </w:pPr>
          </w:p>
          <w:p w14:paraId="59A88E8A" w14:textId="77777777" w:rsidR="000C17A5" w:rsidRPr="000C17A5" w:rsidRDefault="000C17A5" w:rsidP="00B00899">
            <w:pPr>
              <w:tabs>
                <w:tab w:val="left" w:pos="284"/>
              </w:tabs>
              <w:jc w:val="center"/>
              <w:rPr>
                <w:rFonts w:ascii="Arial" w:eastAsia="MS Mincho" w:hAnsi="Arial" w:cs="Arial"/>
                <w:b/>
                <w:snapToGrid w:val="0"/>
                <w:sz w:val="20"/>
                <w:szCs w:val="20"/>
              </w:rPr>
            </w:pPr>
            <w:r w:rsidRPr="000C17A5">
              <w:rPr>
                <w:rFonts w:ascii="Arial" w:eastAsia="MS Mincho" w:hAnsi="Arial" w:cs="Arial"/>
                <w:b/>
                <w:snapToGrid w:val="0"/>
                <w:sz w:val="20"/>
                <w:szCs w:val="20"/>
              </w:rPr>
              <w:t>+ 1 %</w:t>
            </w:r>
          </w:p>
          <w:p w14:paraId="27A2AB58" w14:textId="77777777" w:rsidR="000C17A5" w:rsidRPr="000C17A5" w:rsidRDefault="000C17A5" w:rsidP="00047721">
            <w:pPr>
              <w:tabs>
                <w:tab w:val="left" w:pos="284"/>
              </w:tabs>
              <w:spacing w:line="270" w:lineRule="atLeast"/>
              <w:jc w:val="center"/>
              <w:rPr>
                <w:rFonts w:ascii="Arial" w:eastAsia="MS Mincho" w:hAnsi="Arial" w:cs="Arial"/>
                <w:b/>
                <w:snapToGrid w:val="0"/>
                <w:sz w:val="20"/>
                <w:szCs w:val="20"/>
              </w:rPr>
            </w:pPr>
          </w:p>
        </w:tc>
        <w:tc>
          <w:tcPr>
            <w:tcW w:w="1134" w:type="dxa"/>
          </w:tcPr>
          <w:p w14:paraId="38F966BC" w14:textId="77777777" w:rsidR="000C17A5" w:rsidRPr="000C17A5" w:rsidRDefault="000C17A5" w:rsidP="00B00899">
            <w:pPr>
              <w:tabs>
                <w:tab w:val="left" w:pos="284"/>
              </w:tabs>
              <w:jc w:val="center"/>
              <w:rPr>
                <w:rFonts w:ascii="Arial" w:hAnsi="Arial" w:cs="Arial"/>
                <w:b/>
                <w:sz w:val="20"/>
                <w:szCs w:val="20"/>
              </w:rPr>
            </w:pPr>
          </w:p>
          <w:p w14:paraId="52E6FAA9" w14:textId="77777777" w:rsidR="000C17A5" w:rsidRPr="000C17A5" w:rsidRDefault="000C17A5" w:rsidP="00B00899">
            <w:pPr>
              <w:tabs>
                <w:tab w:val="left" w:pos="284"/>
              </w:tabs>
              <w:jc w:val="center"/>
              <w:rPr>
                <w:rFonts w:ascii="Arial" w:hAnsi="Arial" w:cs="Arial"/>
                <w:b/>
                <w:sz w:val="20"/>
                <w:szCs w:val="20"/>
              </w:rPr>
            </w:pPr>
            <w:r w:rsidRPr="000C17A5">
              <w:rPr>
                <w:rFonts w:ascii="Arial" w:hAnsi="Arial" w:cs="Arial"/>
                <w:b/>
                <w:sz w:val="20"/>
                <w:szCs w:val="20"/>
              </w:rPr>
              <w:t>+ 11 %</w:t>
            </w:r>
          </w:p>
          <w:p w14:paraId="022B005D" w14:textId="77777777" w:rsidR="000C17A5" w:rsidRPr="000C17A5" w:rsidRDefault="000C17A5" w:rsidP="00B00899">
            <w:pPr>
              <w:tabs>
                <w:tab w:val="left" w:pos="284"/>
              </w:tabs>
              <w:jc w:val="center"/>
              <w:rPr>
                <w:rFonts w:ascii="Arial" w:hAnsi="Arial" w:cs="Arial"/>
                <w:b/>
                <w:sz w:val="20"/>
                <w:szCs w:val="20"/>
              </w:rPr>
            </w:pPr>
          </w:p>
          <w:p w14:paraId="7BCE4604" w14:textId="46B99087" w:rsidR="000C17A5" w:rsidRPr="000C17A5" w:rsidRDefault="000C17A5" w:rsidP="00047721">
            <w:pPr>
              <w:tabs>
                <w:tab w:val="left" w:pos="284"/>
              </w:tabs>
              <w:jc w:val="center"/>
              <w:rPr>
                <w:rFonts w:ascii="Arial" w:eastAsia="MS Mincho" w:hAnsi="Arial" w:cs="Arial"/>
                <w:b/>
                <w:strike/>
                <w:snapToGrid w:val="0"/>
                <w:sz w:val="20"/>
                <w:szCs w:val="20"/>
              </w:rPr>
            </w:pPr>
            <w:r w:rsidRPr="000C17A5">
              <w:rPr>
                <w:rFonts w:ascii="Arial" w:hAnsi="Arial" w:cs="Arial"/>
                <w:b/>
                <w:sz w:val="20"/>
                <w:szCs w:val="20"/>
              </w:rPr>
              <w:t>+ 7 %</w:t>
            </w:r>
          </w:p>
        </w:tc>
        <w:tc>
          <w:tcPr>
            <w:tcW w:w="992" w:type="dxa"/>
          </w:tcPr>
          <w:p w14:paraId="5857E1D1" w14:textId="77777777" w:rsidR="000C17A5" w:rsidRPr="000C17A5" w:rsidRDefault="000C17A5" w:rsidP="00B00899">
            <w:pPr>
              <w:tabs>
                <w:tab w:val="left" w:pos="284"/>
              </w:tabs>
              <w:jc w:val="center"/>
              <w:rPr>
                <w:rFonts w:ascii="Arial" w:hAnsi="Arial" w:cs="Arial"/>
                <w:b/>
                <w:sz w:val="20"/>
                <w:szCs w:val="20"/>
              </w:rPr>
            </w:pPr>
          </w:p>
          <w:p w14:paraId="3E7EE984" w14:textId="77777777" w:rsidR="000C17A5" w:rsidRPr="000C17A5" w:rsidRDefault="000C17A5" w:rsidP="00B00899">
            <w:pPr>
              <w:tabs>
                <w:tab w:val="left" w:pos="284"/>
              </w:tabs>
              <w:jc w:val="center"/>
              <w:rPr>
                <w:rFonts w:ascii="Arial" w:hAnsi="Arial" w:cs="Arial"/>
                <w:b/>
                <w:sz w:val="20"/>
                <w:szCs w:val="20"/>
              </w:rPr>
            </w:pPr>
            <w:r w:rsidRPr="000C17A5">
              <w:rPr>
                <w:rFonts w:ascii="Arial" w:hAnsi="Arial" w:cs="Arial"/>
                <w:b/>
                <w:sz w:val="20"/>
                <w:szCs w:val="20"/>
              </w:rPr>
              <w:t>+ 7 %</w:t>
            </w:r>
          </w:p>
          <w:p w14:paraId="25D13795" w14:textId="77777777" w:rsidR="000C17A5" w:rsidRPr="000C17A5" w:rsidRDefault="000C17A5" w:rsidP="00B00899">
            <w:pPr>
              <w:tabs>
                <w:tab w:val="left" w:pos="284"/>
              </w:tabs>
              <w:jc w:val="center"/>
              <w:rPr>
                <w:rFonts w:ascii="Arial" w:hAnsi="Arial" w:cs="Arial"/>
                <w:b/>
                <w:sz w:val="20"/>
                <w:szCs w:val="20"/>
              </w:rPr>
            </w:pPr>
          </w:p>
          <w:p w14:paraId="20654144" w14:textId="664E25AB" w:rsidR="000C17A5" w:rsidRPr="000C17A5" w:rsidRDefault="000C17A5" w:rsidP="00047721">
            <w:pPr>
              <w:tabs>
                <w:tab w:val="left" w:pos="284"/>
              </w:tabs>
              <w:spacing w:line="270" w:lineRule="atLeast"/>
              <w:jc w:val="center"/>
              <w:rPr>
                <w:rFonts w:ascii="Arial" w:eastAsia="MS Mincho" w:hAnsi="Arial" w:cs="Arial"/>
                <w:b/>
                <w:snapToGrid w:val="0"/>
                <w:sz w:val="20"/>
                <w:szCs w:val="20"/>
              </w:rPr>
            </w:pPr>
            <w:r w:rsidRPr="000C17A5">
              <w:rPr>
                <w:rFonts w:ascii="Arial" w:hAnsi="Arial" w:cs="Arial"/>
                <w:b/>
                <w:sz w:val="20"/>
                <w:szCs w:val="20"/>
              </w:rPr>
              <w:t>+ 4 %</w:t>
            </w:r>
          </w:p>
        </w:tc>
        <w:tc>
          <w:tcPr>
            <w:tcW w:w="1134" w:type="dxa"/>
          </w:tcPr>
          <w:p w14:paraId="525F9C67" w14:textId="77777777" w:rsidR="000C17A5" w:rsidRPr="000C17A5" w:rsidRDefault="000C17A5" w:rsidP="00B00899">
            <w:pPr>
              <w:tabs>
                <w:tab w:val="left" w:pos="284"/>
              </w:tabs>
              <w:jc w:val="center"/>
              <w:rPr>
                <w:rFonts w:ascii="Arial" w:hAnsi="Arial" w:cs="Arial"/>
                <w:b/>
                <w:strike/>
                <w:sz w:val="20"/>
                <w:szCs w:val="20"/>
              </w:rPr>
            </w:pPr>
          </w:p>
          <w:p w14:paraId="38FFFF86" w14:textId="77777777" w:rsidR="000C17A5" w:rsidRPr="000C17A5" w:rsidRDefault="000C17A5" w:rsidP="00B00899">
            <w:pPr>
              <w:tabs>
                <w:tab w:val="left" w:pos="284"/>
              </w:tabs>
              <w:jc w:val="center"/>
              <w:rPr>
                <w:rFonts w:ascii="Arial" w:hAnsi="Arial" w:cs="Arial"/>
                <w:b/>
                <w:sz w:val="20"/>
                <w:szCs w:val="20"/>
              </w:rPr>
            </w:pPr>
            <w:r w:rsidRPr="000C17A5">
              <w:rPr>
                <w:rFonts w:ascii="Arial" w:hAnsi="Arial" w:cs="Arial"/>
                <w:b/>
                <w:sz w:val="20"/>
                <w:szCs w:val="20"/>
              </w:rPr>
              <w:t>- 19 %</w:t>
            </w:r>
          </w:p>
          <w:p w14:paraId="4FFA84EE" w14:textId="77777777" w:rsidR="000C17A5" w:rsidRPr="000C17A5" w:rsidRDefault="000C17A5" w:rsidP="00B00899">
            <w:pPr>
              <w:tabs>
                <w:tab w:val="left" w:pos="284"/>
              </w:tabs>
              <w:jc w:val="center"/>
              <w:rPr>
                <w:rFonts w:ascii="Arial" w:hAnsi="Arial" w:cs="Arial"/>
                <w:b/>
                <w:sz w:val="20"/>
                <w:szCs w:val="20"/>
              </w:rPr>
            </w:pPr>
          </w:p>
          <w:p w14:paraId="51215064" w14:textId="58CA82B7" w:rsidR="000C17A5" w:rsidRPr="000C17A5" w:rsidRDefault="000C17A5" w:rsidP="00047721">
            <w:pPr>
              <w:tabs>
                <w:tab w:val="left" w:pos="284"/>
              </w:tabs>
              <w:spacing w:line="270" w:lineRule="atLeast"/>
              <w:jc w:val="center"/>
              <w:rPr>
                <w:rFonts w:ascii="Arial" w:eastAsia="MS Mincho" w:hAnsi="Arial" w:cs="Arial"/>
                <w:b/>
                <w:snapToGrid w:val="0"/>
                <w:sz w:val="20"/>
                <w:szCs w:val="20"/>
              </w:rPr>
            </w:pPr>
            <w:r w:rsidRPr="000C17A5">
              <w:rPr>
                <w:rFonts w:ascii="Arial" w:hAnsi="Arial" w:cs="Arial"/>
                <w:b/>
                <w:sz w:val="20"/>
                <w:szCs w:val="20"/>
              </w:rPr>
              <w:t>- 3 %</w:t>
            </w:r>
          </w:p>
        </w:tc>
        <w:tc>
          <w:tcPr>
            <w:tcW w:w="1134" w:type="dxa"/>
          </w:tcPr>
          <w:p w14:paraId="2A4C5922" w14:textId="77777777" w:rsidR="000C17A5" w:rsidRPr="000C17A5" w:rsidRDefault="000C17A5" w:rsidP="00B00899">
            <w:pPr>
              <w:tabs>
                <w:tab w:val="left" w:pos="284"/>
              </w:tabs>
              <w:jc w:val="center"/>
              <w:rPr>
                <w:rFonts w:ascii="Arial" w:hAnsi="Arial" w:cs="Arial"/>
                <w:b/>
                <w:strike/>
                <w:sz w:val="20"/>
                <w:szCs w:val="20"/>
              </w:rPr>
            </w:pPr>
          </w:p>
          <w:p w14:paraId="4E04494A" w14:textId="77777777" w:rsidR="000C17A5" w:rsidRPr="000C17A5" w:rsidRDefault="000C17A5" w:rsidP="00B00899">
            <w:pPr>
              <w:tabs>
                <w:tab w:val="left" w:pos="284"/>
              </w:tabs>
              <w:jc w:val="center"/>
              <w:rPr>
                <w:rFonts w:ascii="Arial" w:hAnsi="Arial" w:cs="Arial"/>
                <w:b/>
                <w:sz w:val="20"/>
                <w:szCs w:val="20"/>
              </w:rPr>
            </w:pPr>
            <w:r w:rsidRPr="000C17A5">
              <w:rPr>
                <w:rFonts w:ascii="Arial" w:hAnsi="Arial" w:cs="Arial"/>
                <w:b/>
                <w:sz w:val="20"/>
                <w:szCs w:val="20"/>
              </w:rPr>
              <w:t>- 48 %</w:t>
            </w:r>
          </w:p>
          <w:p w14:paraId="157C70DB" w14:textId="77777777" w:rsidR="000C17A5" w:rsidRPr="000C17A5" w:rsidRDefault="000C17A5" w:rsidP="00B00899">
            <w:pPr>
              <w:tabs>
                <w:tab w:val="left" w:pos="284"/>
              </w:tabs>
              <w:jc w:val="center"/>
              <w:rPr>
                <w:rFonts w:ascii="Arial" w:hAnsi="Arial" w:cs="Arial"/>
                <w:b/>
                <w:sz w:val="20"/>
                <w:szCs w:val="20"/>
              </w:rPr>
            </w:pPr>
          </w:p>
          <w:p w14:paraId="38691831" w14:textId="62023449" w:rsidR="000C17A5" w:rsidRPr="000C17A5" w:rsidRDefault="000C17A5" w:rsidP="00047721">
            <w:pPr>
              <w:tabs>
                <w:tab w:val="left" w:pos="284"/>
              </w:tabs>
              <w:spacing w:line="270" w:lineRule="atLeast"/>
              <w:jc w:val="center"/>
              <w:rPr>
                <w:rFonts w:ascii="Arial" w:eastAsia="MS Mincho" w:hAnsi="Arial" w:cs="Arial"/>
                <w:b/>
                <w:snapToGrid w:val="0"/>
                <w:sz w:val="20"/>
                <w:szCs w:val="20"/>
              </w:rPr>
            </w:pPr>
            <w:r w:rsidRPr="000C17A5">
              <w:rPr>
                <w:rFonts w:ascii="Arial" w:hAnsi="Arial" w:cs="Arial"/>
                <w:b/>
                <w:sz w:val="20"/>
                <w:szCs w:val="20"/>
              </w:rPr>
              <w:t>- 8 %</w:t>
            </w:r>
          </w:p>
        </w:tc>
        <w:tc>
          <w:tcPr>
            <w:tcW w:w="1559" w:type="dxa"/>
          </w:tcPr>
          <w:p w14:paraId="5AAEB308" w14:textId="77777777" w:rsidR="000C17A5" w:rsidRPr="000C17A5" w:rsidRDefault="000C17A5" w:rsidP="00B00899">
            <w:pPr>
              <w:tabs>
                <w:tab w:val="left" w:pos="284"/>
              </w:tabs>
              <w:jc w:val="center"/>
              <w:rPr>
                <w:rFonts w:ascii="Arial" w:hAnsi="Arial" w:cs="Arial"/>
                <w:b/>
                <w:strike/>
                <w:sz w:val="20"/>
                <w:szCs w:val="20"/>
              </w:rPr>
            </w:pPr>
          </w:p>
          <w:p w14:paraId="7B172ABF" w14:textId="77777777" w:rsidR="000C17A5" w:rsidRPr="000C17A5" w:rsidRDefault="000C17A5" w:rsidP="00B00899">
            <w:pPr>
              <w:tabs>
                <w:tab w:val="left" w:pos="284"/>
              </w:tabs>
              <w:jc w:val="center"/>
              <w:rPr>
                <w:rFonts w:ascii="Arial" w:hAnsi="Arial" w:cs="Arial"/>
                <w:b/>
                <w:sz w:val="20"/>
                <w:szCs w:val="20"/>
              </w:rPr>
            </w:pPr>
            <w:r w:rsidRPr="000C17A5">
              <w:rPr>
                <w:rFonts w:ascii="Arial" w:hAnsi="Arial" w:cs="Arial"/>
                <w:b/>
                <w:sz w:val="20"/>
                <w:szCs w:val="20"/>
              </w:rPr>
              <w:t>+ 16 %</w:t>
            </w:r>
          </w:p>
          <w:p w14:paraId="42CFD05B" w14:textId="77777777" w:rsidR="000C17A5" w:rsidRPr="000C17A5" w:rsidRDefault="000C17A5" w:rsidP="00B00899">
            <w:pPr>
              <w:tabs>
                <w:tab w:val="left" w:pos="284"/>
              </w:tabs>
              <w:jc w:val="center"/>
              <w:rPr>
                <w:rFonts w:ascii="Arial" w:hAnsi="Arial" w:cs="Arial"/>
                <w:b/>
                <w:sz w:val="20"/>
                <w:szCs w:val="20"/>
              </w:rPr>
            </w:pPr>
          </w:p>
          <w:p w14:paraId="7153B17A" w14:textId="39790D59" w:rsidR="000C17A5" w:rsidRPr="000C17A5" w:rsidRDefault="000C17A5" w:rsidP="00047721">
            <w:pPr>
              <w:tabs>
                <w:tab w:val="left" w:pos="284"/>
              </w:tabs>
              <w:spacing w:line="270" w:lineRule="atLeast"/>
              <w:jc w:val="center"/>
              <w:rPr>
                <w:rFonts w:ascii="Arial" w:eastAsia="MS Mincho" w:hAnsi="Arial" w:cs="Arial"/>
                <w:b/>
                <w:snapToGrid w:val="0"/>
                <w:sz w:val="20"/>
                <w:szCs w:val="20"/>
              </w:rPr>
            </w:pPr>
            <w:r w:rsidRPr="000C17A5">
              <w:rPr>
                <w:rFonts w:ascii="Arial" w:hAnsi="Arial" w:cs="Arial"/>
                <w:b/>
                <w:sz w:val="20"/>
                <w:szCs w:val="20"/>
              </w:rPr>
              <w:t>+ 1 %</w:t>
            </w:r>
          </w:p>
        </w:tc>
        <w:tc>
          <w:tcPr>
            <w:tcW w:w="992" w:type="dxa"/>
          </w:tcPr>
          <w:p w14:paraId="07A5F6CF" w14:textId="77777777" w:rsidR="000C17A5" w:rsidRPr="000C17A5" w:rsidRDefault="000C17A5" w:rsidP="00B00899">
            <w:pPr>
              <w:tabs>
                <w:tab w:val="left" w:pos="1168"/>
              </w:tabs>
              <w:ind w:right="-108"/>
              <w:jc w:val="center"/>
              <w:rPr>
                <w:rFonts w:ascii="Arial" w:hAnsi="Arial" w:cs="Arial"/>
                <w:b/>
                <w:strike/>
                <w:sz w:val="20"/>
                <w:szCs w:val="20"/>
              </w:rPr>
            </w:pPr>
          </w:p>
          <w:p w14:paraId="04FA0D63" w14:textId="77777777" w:rsidR="000C17A5" w:rsidRPr="000C17A5" w:rsidRDefault="000C17A5" w:rsidP="00B00899">
            <w:pPr>
              <w:tabs>
                <w:tab w:val="left" w:pos="1168"/>
              </w:tabs>
              <w:ind w:right="-108"/>
              <w:jc w:val="center"/>
              <w:rPr>
                <w:rFonts w:ascii="Arial" w:hAnsi="Arial" w:cs="Arial"/>
                <w:b/>
                <w:sz w:val="20"/>
                <w:szCs w:val="20"/>
              </w:rPr>
            </w:pPr>
            <w:r w:rsidRPr="000C17A5">
              <w:rPr>
                <w:rFonts w:ascii="Arial" w:hAnsi="Arial" w:cs="Arial"/>
                <w:b/>
                <w:sz w:val="20"/>
                <w:szCs w:val="20"/>
              </w:rPr>
              <w:t>- 7 %</w:t>
            </w:r>
          </w:p>
          <w:p w14:paraId="07E04C8F" w14:textId="77777777" w:rsidR="000C17A5" w:rsidRPr="000C17A5" w:rsidRDefault="000C17A5" w:rsidP="00B00899">
            <w:pPr>
              <w:tabs>
                <w:tab w:val="left" w:pos="1168"/>
              </w:tabs>
              <w:ind w:right="-108"/>
              <w:jc w:val="center"/>
              <w:rPr>
                <w:rFonts w:ascii="Arial" w:hAnsi="Arial" w:cs="Arial"/>
                <w:b/>
                <w:sz w:val="20"/>
                <w:szCs w:val="20"/>
              </w:rPr>
            </w:pPr>
          </w:p>
          <w:p w14:paraId="063F47C0" w14:textId="42E5C944" w:rsidR="000C17A5" w:rsidRPr="000C17A5" w:rsidRDefault="000C17A5" w:rsidP="00047721">
            <w:pPr>
              <w:tabs>
                <w:tab w:val="left" w:pos="1168"/>
              </w:tabs>
              <w:spacing w:line="270" w:lineRule="atLeast"/>
              <w:ind w:right="-108"/>
              <w:jc w:val="center"/>
              <w:rPr>
                <w:rFonts w:ascii="Arial" w:eastAsia="MS Mincho" w:hAnsi="Arial" w:cs="Arial"/>
                <w:b/>
                <w:snapToGrid w:val="0"/>
                <w:sz w:val="20"/>
                <w:szCs w:val="20"/>
              </w:rPr>
            </w:pPr>
            <w:r w:rsidRPr="000C17A5">
              <w:rPr>
                <w:rFonts w:ascii="Arial" w:hAnsi="Arial" w:cs="Arial"/>
                <w:b/>
                <w:sz w:val="20"/>
                <w:szCs w:val="20"/>
              </w:rPr>
              <w:t>- 1 %</w:t>
            </w:r>
          </w:p>
        </w:tc>
      </w:tr>
    </w:tbl>
    <w:p w14:paraId="06DB8814" w14:textId="77777777" w:rsidR="00700DFB" w:rsidRPr="0097284C" w:rsidRDefault="00700DFB">
      <w:pPr>
        <w:pStyle w:val="Cuerpo"/>
        <w:widowControl w:val="0"/>
        <w:spacing w:before="480" w:after="120" w:line="270" w:lineRule="atLeast"/>
        <w:rPr>
          <w:b/>
          <w:bCs/>
          <w:sz w:val="10"/>
          <w:szCs w:val="10"/>
        </w:rPr>
      </w:pPr>
    </w:p>
    <w:tbl>
      <w:tblPr>
        <w:tblpPr w:leftFromText="141" w:rightFromText="141" w:vertAnchor="text" w:horzAnchor="page" w:tblpX="1074" w:tblpY="190"/>
        <w:tblW w:w="10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1"/>
        <w:gridCol w:w="1146"/>
        <w:gridCol w:w="1146"/>
        <w:gridCol w:w="978"/>
        <w:gridCol w:w="1142"/>
        <w:gridCol w:w="1136"/>
        <w:gridCol w:w="1551"/>
        <w:gridCol w:w="1002"/>
      </w:tblGrid>
      <w:tr w:rsidR="0097284C" w:rsidRPr="0033327A" w14:paraId="37B79E86" w14:textId="77777777" w:rsidTr="0097284C">
        <w:trPr>
          <w:trHeight w:val="890"/>
        </w:trPr>
        <w:tc>
          <w:tcPr>
            <w:tcW w:w="2251" w:type="dxa"/>
            <w:shd w:val="clear" w:color="auto" w:fill="E6E6E6"/>
          </w:tcPr>
          <w:p w14:paraId="2D860323" w14:textId="77777777" w:rsidR="0097284C" w:rsidRPr="0033327A" w:rsidRDefault="0097284C" w:rsidP="0097284C">
            <w:pPr>
              <w:pStyle w:val="LadilloMichelinDossier"/>
              <w:spacing w:before="0" w:after="0"/>
              <w:rPr>
                <w:rFonts w:ascii="Arial" w:hAnsi="Arial"/>
                <w:b w:val="0"/>
                <w:bCs w:val="0"/>
                <w:sz w:val="20"/>
                <w:lang w:bidi="es-ES_tradnl"/>
              </w:rPr>
            </w:pPr>
            <w:r w:rsidRPr="0033327A">
              <w:rPr>
                <w:rFonts w:ascii="Arial" w:hAnsi="Arial"/>
                <w:b w:val="0"/>
                <w:bCs w:val="0"/>
                <w:sz w:val="20"/>
                <w:lang w:bidi="es-ES_tradnl"/>
              </w:rPr>
              <w:t>Cuarto trimestre</w:t>
            </w:r>
          </w:p>
          <w:p w14:paraId="09332A16" w14:textId="77777777" w:rsidR="0097284C" w:rsidRPr="0033327A" w:rsidRDefault="0097284C" w:rsidP="0097284C">
            <w:pPr>
              <w:pStyle w:val="LadilloMichelinDossier"/>
              <w:spacing w:before="0" w:after="0"/>
              <w:rPr>
                <w:b w:val="0"/>
                <w:bCs w:val="0"/>
                <w:sz w:val="20"/>
                <w:lang w:bidi="es-ES_tradnl"/>
              </w:rPr>
            </w:pPr>
            <w:r w:rsidRPr="0033327A">
              <w:rPr>
                <w:rFonts w:ascii="Arial" w:hAnsi="Arial"/>
                <w:b w:val="0"/>
                <w:bCs w:val="0"/>
                <w:sz w:val="20"/>
                <w:lang w:bidi="es-ES_tradnl"/>
              </w:rPr>
              <w:t>2015/2014</w:t>
            </w:r>
            <w:r w:rsidRPr="0033327A">
              <w:rPr>
                <w:rFonts w:ascii="Arial" w:hAnsi="Arial"/>
                <w:b w:val="0"/>
                <w:bCs w:val="0"/>
                <w:sz w:val="20"/>
                <w:lang w:bidi="es-ES_tradnl"/>
              </w:rPr>
              <w:br/>
            </w:r>
            <w:r w:rsidRPr="0033327A">
              <w:rPr>
                <w:rFonts w:ascii="Arial" w:hAnsi="Arial"/>
                <w:b w:val="0"/>
                <w:bCs w:val="0"/>
                <w:sz w:val="18"/>
                <w:lang w:bidi="es-ES_tradnl"/>
              </w:rPr>
              <w:t>(número de neumáticos)</w:t>
            </w:r>
          </w:p>
        </w:tc>
        <w:tc>
          <w:tcPr>
            <w:tcW w:w="1146" w:type="dxa"/>
            <w:shd w:val="clear" w:color="auto" w:fill="E6E6E6"/>
          </w:tcPr>
          <w:p w14:paraId="0AE255B4" w14:textId="77777777" w:rsidR="0097284C" w:rsidRPr="0033327A" w:rsidRDefault="0097284C" w:rsidP="0097284C">
            <w:pPr>
              <w:pStyle w:val="LadilloMichelinDossier"/>
              <w:spacing w:before="0" w:after="0"/>
              <w:rPr>
                <w:b w:val="0"/>
                <w:bCs w:val="0"/>
                <w:sz w:val="20"/>
                <w:lang w:bidi="es-ES_tradnl"/>
              </w:rPr>
            </w:pPr>
            <w:r w:rsidRPr="0033327A">
              <w:rPr>
                <w:rFonts w:ascii="Arial" w:hAnsi="Arial"/>
                <w:b w:val="0"/>
                <w:bCs w:val="0"/>
                <w:sz w:val="20"/>
                <w:lang w:bidi="es-ES_tradnl"/>
              </w:rPr>
              <w:t>Europa con Rusia y CEI</w:t>
            </w:r>
            <w:r w:rsidRPr="0033327A">
              <w:rPr>
                <w:rStyle w:val="Refdenotaalpie"/>
                <w:rFonts w:ascii="Arial" w:hAnsi="Arial"/>
                <w:b w:val="0"/>
                <w:bCs w:val="0"/>
                <w:sz w:val="32"/>
                <w:lang w:bidi="es-ES_tradnl"/>
              </w:rPr>
              <w:footnoteReference w:customMarkFollows="1" w:id="7"/>
              <w:sym w:font="Symbol" w:char="F02A"/>
            </w:r>
          </w:p>
        </w:tc>
        <w:tc>
          <w:tcPr>
            <w:tcW w:w="1146" w:type="dxa"/>
            <w:shd w:val="clear" w:color="auto" w:fill="E6E6E6"/>
          </w:tcPr>
          <w:p w14:paraId="27FE8759" w14:textId="77777777" w:rsidR="0097284C" w:rsidRPr="0033327A" w:rsidRDefault="0097284C" w:rsidP="0097284C">
            <w:pPr>
              <w:tabs>
                <w:tab w:val="left" w:pos="284"/>
              </w:tabs>
              <w:rPr>
                <w:rFonts w:ascii="Arial" w:eastAsia="Times" w:hAnsi="Arial" w:cs="Times"/>
                <w:color w:val="000000"/>
                <w:sz w:val="20"/>
                <w:szCs w:val="26"/>
                <w:u w:color="000000"/>
                <w:lang w:eastAsia="es-ES" w:bidi="es-ES_tradnl"/>
              </w:rPr>
            </w:pPr>
            <w:r w:rsidRPr="0033327A">
              <w:rPr>
                <w:rFonts w:ascii="Arial" w:eastAsia="Times" w:hAnsi="Arial" w:cs="Times"/>
                <w:color w:val="000000"/>
                <w:sz w:val="20"/>
                <w:szCs w:val="26"/>
                <w:u w:color="000000"/>
                <w:lang w:eastAsia="es-ES" w:bidi="es-ES_tradnl"/>
              </w:rPr>
              <w:t>Europa</w:t>
            </w:r>
          </w:p>
          <w:p w14:paraId="6A9B3A92" w14:textId="77777777" w:rsidR="0097284C" w:rsidRPr="0033327A" w:rsidRDefault="0097284C" w:rsidP="0097284C">
            <w:pPr>
              <w:pStyle w:val="LadilloMichelinDossier"/>
              <w:spacing w:before="0" w:after="0"/>
              <w:rPr>
                <w:rFonts w:ascii="Arial" w:hAnsi="Arial"/>
                <w:b w:val="0"/>
                <w:bCs w:val="0"/>
                <w:sz w:val="20"/>
                <w:lang w:bidi="es-ES_tradnl"/>
              </w:rPr>
            </w:pPr>
            <w:r w:rsidRPr="0033327A">
              <w:rPr>
                <w:rFonts w:ascii="Arial" w:hAnsi="Arial"/>
                <w:b w:val="0"/>
                <w:bCs w:val="0"/>
                <w:sz w:val="20"/>
                <w:lang w:bidi="es-ES_tradnl"/>
              </w:rPr>
              <w:t xml:space="preserve">sin Rusia </w:t>
            </w:r>
            <w:r w:rsidRPr="0033327A">
              <w:rPr>
                <w:rFonts w:ascii="Arial" w:hAnsi="Arial"/>
                <w:b w:val="0"/>
                <w:bCs w:val="0"/>
                <w:sz w:val="20"/>
                <w:lang w:bidi="es-ES_tradnl"/>
              </w:rPr>
              <w:br/>
              <w:t>ni CEI*</w:t>
            </w:r>
          </w:p>
        </w:tc>
        <w:tc>
          <w:tcPr>
            <w:tcW w:w="978" w:type="dxa"/>
            <w:shd w:val="clear" w:color="auto" w:fill="E6E6E6"/>
          </w:tcPr>
          <w:p w14:paraId="6022D9B0" w14:textId="77777777" w:rsidR="0097284C" w:rsidRPr="0033327A" w:rsidRDefault="0097284C" w:rsidP="0097284C">
            <w:pPr>
              <w:pStyle w:val="LadilloMichelinDossier"/>
              <w:spacing w:before="0" w:after="0"/>
              <w:rPr>
                <w:b w:val="0"/>
                <w:bCs w:val="0"/>
                <w:sz w:val="20"/>
                <w:lang w:bidi="es-ES_tradnl"/>
              </w:rPr>
            </w:pPr>
            <w:r w:rsidRPr="0033327A">
              <w:rPr>
                <w:rFonts w:ascii="Arial" w:hAnsi="Arial"/>
                <w:b w:val="0"/>
                <w:bCs w:val="0"/>
                <w:sz w:val="20"/>
                <w:lang w:bidi="es-ES_tradnl"/>
              </w:rPr>
              <w:t xml:space="preserve">América </w:t>
            </w:r>
            <w:r w:rsidRPr="0033327A">
              <w:rPr>
                <w:rFonts w:ascii="MingLiU" w:eastAsia="MingLiU" w:hAnsi="MingLiU" w:cs="MingLiU"/>
                <w:b w:val="0"/>
                <w:bCs w:val="0"/>
                <w:sz w:val="20"/>
                <w:lang w:bidi="es-ES_tradnl"/>
              </w:rPr>
              <w:br/>
            </w:r>
            <w:r w:rsidRPr="0033327A">
              <w:rPr>
                <w:rFonts w:ascii="Arial" w:hAnsi="Arial"/>
                <w:b w:val="0"/>
                <w:bCs w:val="0"/>
                <w:sz w:val="20"/>
                <w:lang w:bidi="es-ES_tradnl"/>
              </w:rPr>
              <w:t>del Norte</w:t>
            </w:r>
          </w:p>
        </w:tc>
        <w:tc>
          <w:tcPr>
            <w:tcW w:w="1142" w:type="dxa"/>
            <w:shd w:val="clear" w:color="auto" w:fill="E6E6E6"/>
          </w:tcPr>
          <w:p w14:paraId="34062F4C" w14:textId="77777777" w:rsidR="0097284C" w:rsidRPr="0033327A" w:rsidRDefault="0097284C" w:rsidP="0097284C">
            <w:pPr>
              <w:pStyle w:val="LadilloMichelinDossier"/>
              <w:spacing w:before="0" w:after="0"/>
              <w:rPr>
                <w:rFonts w:ascii="Arial" w:hAnsi="Arial"/>
                <w:b w:val="0"/>
                <w:bCs w:val="0"/>
                <w:sz w:val="20"/>
                <w:lang w:bidi="es-ES_tradnl"/>
              </w:rPr>
            </w:pPr>
            <w:r w:rsidRPr="0033327A">
              <w:rPr>
                <w:rFonts w:ascii="Arial" w:hAnsi="Arial"/>
                <w:b w:val="0"/>
                <w:bCs w:val="0"/>
                <w:sz w:val="20"/>
                <w:lang w:bidi="es-ES_tradnl"/>
              </w:rPr>
              <w:t>Asia</w:t>
            </w:r>
          </w:p>
          <w:p w14:paraId="6C5141D6" w14:textId="77777777" w:rsidR="0097284C" w:rsidRPr="0033327A" w:rsidRDefault="0097284C" w:rsidP="0097284C">
            <w:pPr>
              <w:pStyle w:val="LadilloMichelinDossier"/>
              <w:spacing w:before="0" w:after="0"/>
              <w:rPr>
                <w:b w:val="0"/>
                <w:bCs w:val="0"/>
                <w:sz w:val="20"/>
                <w:lang w:bidi="es-ES_tradnl"/>
              </w:rPr>
            </w:pPr>
            <w:r w:rsidRPr="0033327A">
              <w:rPr>
                <w:rFonts w:ascii="Arial" w:hAnsi="Arial"/>
                <w:b w:val="0"/>
                <w:bCs w:val="0"/>
                <w:sz w:val="20"/>
                <w:lang w:bidi="es-ES_tradnl"/>
              </w:rPr>
              <w:t>(sin India)</w:t>
            </w:r>
          </w:p>
        </w:tc>
        <w:tc>
          <w:tcPr>
            <w:tcW w:w="1136" w:type="dxa"/>
            <w:shd w:val="clear" w:color="auto" w:fill="E6E6E6"/>
          </w:tcPr>
          <w:p w14:paraId="045796AC" w14:textId="77777777" w:rsidR="0097284C" w:rsidRPr="0033327A" w:rsidRDefault="0097284C" w:rsidP="0097284C">
            <w:pPr>
              <w:pStyle w:val="LadilloMichelinDossier"/>
              <w:spacing w:before="0" w:after="0"/>
              <w:rPr>
                <w:b w:val="0"/>
                <w:bCs w:val="0"/>
                <w:sz w:val="20"/>
                <w:lang w:bidi="es-ES_tradnl"/>
              </w:rPr>
            </w:pPr>
            <w:r w:rsidRPr="0033327A">
              <w:rPr>
                <w:rFonts w:ascii="Arial" w:hAnsi="Arial"/>
                <w:b w:val="0"/>
                <w:bCs w:val="0"/>
                <w:sz w:val="20"/>
                <w:lang w:bidi="es-ES_tradnl"/>
              </w:rPr>
              <w:t xml:space="preserve">América </w:t>
            </w:r>
            <w:r w:rsidRPr="0033327A">
              <w:rPr>
                <w:rFonts w:ascii="MingLiU" w:eastAsia="MingLiU" w:hAnsi="MingLiU" w:cs="MingLiU"/>
                <w:b w:val="0"/>
                <w:bCs w:val="0"/>
                <w:sz w:val="20"/>
                <w:lang w:bidi="es-ES_tradnl"/>
              </w:rPr>
              <w:br/>
            </w:r>
            <w:r w:rsidRPr="0033327A">
              <w:rPr>
                <w:rFonts w:ascii="Arial" w:hAnsi="Arial"/>
                <w:b w:val="0"/>
                <w:bCs w:val="0"/>
                <w:sz w:val="20"/>
                <w:lang w:bidi="es-ES_tradnl"/>
              </w:rPr>
              <w:t>del Sur</w:t>
            </w:r>
          </w:p>
        </w:tc>
        <w:tc>
          <w:tcPr>
            <w:tcW w:w="1551" w:type="dxa"/>
            <w:shd w:val="clear" w:color="auto" w:fill="E6E6E6"/>
          </w:tcPr>
          <w:p w14:paraId="2F3BF590" w14:textId="69490502" w:rsidR="0097284C" w:rsidRPr="0033327A" w:rsidRDefault="0097284C" w:rsidP="0097284C">
            <w:pPr>
              <w:pStyle w:val="LadilloMichelinDossier"/>
              <w:spacing w:before="0" w:after="0"/>
              <w:rPr>
                <w:b w:val="0"/>
                <w:bCs w:val="0"/>
                <w:sz w:val="20"/>
                <w:lang w:bidi="es-ES_tradnl"/>
              </w:rPr>
            </w:pPr>
            <w:r w:rsidRPr="0033327A">
              <w:rPr>
                <w:rFonts w:ascii="Arial" w:hAnsi="Arial"/>
                <w:b w:val="0"/>
                <w:bCs w:val="0"/>
                <w:sz w:val="20"/>
                <w:lang w:bidi="es-ES_tradnl"/>
              </w:rPr>
              <w:t>África/India/</w:t>
            </w:r>
            <w:r w:rsidR="00EA4D08">
              <w:rPr>
                <w:rFonts w:ascii="Arial" w:hAnsi="Arial"/>
                <w:b w:val="0"/>
                <w:bCs w:val="0"/>
                <w:sz w:val="20"/>
                <w:lang w:bidi="es-ES_tradnl"/>
              </w:rPr>
              <w:br/>
            </w:r>
            <w:r w:rsidRPr="0033327A">
              <w:rPr>
                <w:rFonts w:ascii="Arial" w:hAnsi="Arial"/>
                <w:b w:val="0"/>
                <w:bCs w:val="0"/>
                <w:sz w:val="20"/>
                <w:lang w:bidi="es-ES_tradnl"/>
              </w:rPr>
              <w:t>Oriente Medio</w:t>
            </w:r>
          </w:p>
        </w:tc>
        <w:tc>
          <w:tcPr>
            <w:tcW w:w="1002" w:type="dxa"/>
            <w:shd w:val="clear" w:color="auto" w:fill="E6E6E6"/>
          </w:tcPr>
          <w:p w14:paraId="2A486E2E" w14:textId="77777777" w:rsidR="0097284C" w:rsidRPr="0033327A" w:rsidRDefault="0097284C" w:rsidP="0097284C">
            <w:pPr>
              <w:pStyle w:val="LadilloMichelinDossier"/>
              <w:spacing w:before="0" w:after="0"/>
              <w:rPr>
                <w:b w:val="0"/>
                <w:bCs w:val="0"/>
                <w:sz w:val="20"/>
                <w:lang w:bidi="es-ES_tradnl"/>
              </w:rPr>
            </w:pPr>
            <w:r w:rsidRPr="0033327A">
              <w:rPr>
                <w:rFonts w:ascii="Arial" w:hAnsi="Arial"/>
                <w:b w:val="0"/>
                <w:bCs w:val="0"/>
                <w:sz w:val="20"/>
                <w:lang w:bidi="es-ES_tradnl"/>
              </w:rPr>
              <w:t>Total</w:t>
            </w:r>
          </w:p>
        </w:tc>
      </w:tr>
      <w:tr w:rsidR="000C17A5" w:rsidRPr="0033327A" w14:paraId="38088BC7" w14:textId="77777777" w:rsidTr="0097284C">
        <w:trPr>
          <w:trHeight w:val="1271"/>
        </w:trPr>
        <w:tc>
          <w:tcPr>
            <w:tcW w:w="2251" w:type="dxa"/>
          </w:tcPr>
          <w:p w14:paraId="1A493CEB" w14:textId="77777777" w:rsidR="000C17A5" w:rsidRPr="0033327A" w:rsidRDefault="000C17A5" w:rsidP="0097284C">
            <w:pPr>
              <w:pStyle w:val="LadilloMichelinDossier"/>
              <w:spacing w:before="0" w:after="0"/>
              <w:jc w:val="both"/>
              <w:rPr>
                <w:rFonts w:ascii="Arial" w:hAnsi="Arial"/>
                <w:b w:val="0"/>
                <w:bCs w:val="0"/>
                <w:sz w:val="20"/>
                <w:lang w:bidi="es-ES_tradnl"/>
              </w:rPr>
            </w:pPr>
            <w:r w:rsidRPr="0033327A">
              <w:rPr>
                <w:rFonts w:ascii="Arial" w:hAnsi="Arial"/>
                <w:b w:val="0"/>
                <w:bCs w:val="0"/>
                <w:sz w:val="20"/>
                <w:lang w:bidi="es-ES_tradnl"/>
              </w:rPr>
              <w:br/>
              <w:t>Primera monta</w:t>
            </w:r>
          </w:p>
          <w:p w14:paraId="06B2CCBB" w14:textId="77777777" w:rsidR="000C17A5" w:rsidRPr="0033327A" w:rsidRDefault="000C17A5" w:rsidP="0097284C">
            <w:pPr>
              <w:pStyle w:val="LadilloMichelinDossier"/>
              <w:spacing w:before="0" w:after="0"/>
              <w:jc w:val="both"/>
              <w:rPr>
                <w:rFonts w:ascii="Arial" w:hAnsi="Arial"/>
                <w:b w:val="0"/>
                <w:bCs w:val="0"/>
                <w:sz w:val="20"/>
                <w:lang w:bidi="es-ES_tradnl"/>
              </w:rPr>
            </w:pPr>
            <w:r w:rsidRPr="0033327A">
              <w:rPr>
                <w:rFonts w:ascii="Arial" w:hAnsi="Arial"/>
                <w:b w:val="0"/>
                <w:bCs w:val="0"/>
                <w:sz w:val="20"/>
                <w:lang w:bidi="es-ES_tradnl"/>
              </w:rPr>
              <w:t xml:space="preserve">     </w:t>
            </w:r>
          </w:p>
          <w:p w14:paraId="1464CEBE" w14:textId="77777777" w:rsidR="000C17A5" w:rsidRPr="0033327A" w:rsidRDefault="000C17A5" w:rsidP="0097284C">
            <w:pPr>
              <w:pStyle w:val="LadilloMichelinDossier"/>
              <w:spacing w:before="0" w:after="0"/>
              <w:jc w:val="both"/>
              <w:rPr>
                <w:b w:val="0"/>
                <w:bCs w:val="0"/>
                <w:sz w:val="20"/>
                <w:lang w:bidi="es-ES_tradnl"/>
              </w:rPr>
            </w:pPr>
            <w:r w:rsidRPr="0033327A">
              <w:rPr>
                <w:rFonts w:ascii="Arial" w:hAnsi="Arial"/>
                <w:b w:val="0"/>
                <w:bCs w:val="0"/>
                <w:sz w:val="20"/>
                <w:lang w:bidi="es-ES_tradnl"/>
              </w:rPr>
              <w:t>Reemplazo</w:t>
            </w:r>
          </w:p>
        </w:tc>
        <w:tc>
          <w:tcPr>
            <w:tcW w:w="1146" w:type="dxa"/>
          </w:tcPr>
          <w:p w14:paraId="44AB08EF" w14:textId="77777777" w:rsidR="000C17A5" w:rsidRPr="000C17A5" w:rsidRDefault="000C17A5" w:rsidP="00B00899">
            <w:pPr>
              <w:tabs>
                <w:tab w:val="left" w:pos="284"/>
              </w:tabs>
              <w:jc w:val="center"/>
              <w:rPr>
                <w:rFonts w:ascii="Arial" w:eastAsia="MS Mincho" w:hAnsi="Arial" w:cs="Arial"/>
                <w:b/>
                <w:snapToGrid w:val="0"/>
                <w:sz w:val="20"/>
                <w:szCs w:val="20"/>
              </w:rPr>
            </w:pPr>
          </w:p>
          <w:p w14:paraId="708294FC" w14:textId="77777777" w:rsidR="000C17A5" w:rsidRPr="000C17A5" w:rsidRDefault="000C17A5" w:rsidP="00B00899">
            <w:pPr>
              <w:tabs>
                <w:tab w:val="left" w:pos="284"/>
              </w:tabs>
              <w:jc w:val="center"/>
              <w:rPr>
                <w:rFonts w:ascii="Arial" w:eastAsia="MS Mincho" w:hAnsi="Arial" w:cs="Arial"/>
                <w:b/>
                <w:snapToGrid w:val="0"/>
                <w:sz w:val="20"/>
                <w:szCs w:val="20"/>
              </w:rPr>
            </w:pPr>
            <w:r w:rsidRPr="000C17A5">
              <w:rPr>
                <w:rFonts w:ascii="Arial" w:eastAsia="MS Mincho" w:hAnsi="Arial" w:cs="Arial"/>
                <w:b/>
                <w:snapToGrid w:val="0"/>
                <w:sz w:val="20"/>
                <w:szCs w:val="20"/>
              </w:rPr>
              <w:t>+ 15 %</w:t>
            </w:r>
          </w:p>
          <w:p w14:paraId="5C9A716B" w14:textId="77777777" w:rsidR="000C17A5" w:rsidRPr="000C17A5" w:rsidRDefault="000C17A5" w:rsidP="00B00899">
            <w:pPr>
              <w:tabs>
                <w:tab w:val="left" w:pos="284"/>
              </w:tabs>
              <w:jc w:val="center"/>
              <w:rPr>
                <w:rFonts w:ascii="Arial" w:eastAsia="MS Mincho" w:hAnsi="Arial" w:cs="Arial"/>
                <w:b/>
                <w:snapToGrid w:val="0"/>
                <w:sz w:val="20"/>
                <w:szCs w:val="20"/>
              </w:rPr>
            </w:pPr>
          </w:p>
          <w:p w14:paraId="2BFE090A" w14:textId="77777777" w:rsidR="000C17A5" w:rsidRPr="000C17A5" w:rsidRDefault="000C17A5" w:rsidP="00B00899">
            <w:pPr>
              <w:tabs>
                <w:tab w:val="left" w:pos="284"/>
              </w:tabs>
              <w:jc w:val="center"/>
              <w:rPr>
                <w:rFonts w:ascii="Arial" w:eastAsia="MS Mincho" w:hAnsi="Arial" w:cs="Arial"/>
                <w:b/>
                <w:snapToGrid w:val="0"/>
                <w:sz w:val="20"/>
                <w:szCs w:val="20"/>
              </w:rPr>
            </w:pPr>
            <w:r w:rsidRPr="000C17A5">
              <w:rPr>
                <w:rFonts w:ascii="Arial" w:eastAsia="MS Mincho" w:hAnsi="Arial" w:cs="Arial"/>
                <w:b/>
                <w:snapToGrid w:val="0"/>
                <w:sz w:val="20"/>
                <w:szCs w:val="20"/>
              </w:rPr>
              <w:t>+ 6 %</w:t>
            </w:r>
          </w:p>
          <w:p w14:paraId="563F608A" w14:textId="77777777" w:rsidR="000C17A5" w:rsidRPr="000C17A5" w:rsidRDefault="000C17A5" w:rsidP="0097284C">
            <w:pPr>
              <w:tabs>
                <w:tab w:val="left" w:pos="284"/>
              </w:tabs>
              <w:spacing w:line="270" w:lineRule="atLeast"/>
              <w:jc w:val="center"/>
              <w:rPr>
                <w:rFonts w:ascii="Arial" w:eastAsia="MS Mincho" w:hAnsi="Arial" w:cs="Arial"/>
                <w:b/>
                <w:snapToGrid w:val="0"/>
                <w:sz w:val="20"/>
                <w:szCs w:val="20"/>
              </w:rPr>
            </w:pPr>
          </w:p>
        </w:tc>
        <w:tc>
          <w:tcPr>
            <w:tcW w:w="1146" w:type="dxa"/>
          </w:tcPr>
          <w:p w14:paraId="4BAD7F14" w14:textId="77777777" w:rsidR="000C17A5" w:rsidRPr="000C17A5" w:rsidRDefault="000C17A5" w:rsidP="00B00899">
            <w:pPr>
              <w:tabs>
                <w:tab w:val="left" w:pos="284"/>
              </w:tabs>
              <w:jc w:val="center"/>
              <w:rPr>
                <w:rFonts w:ascii="Arial" w:eastAsia="MS Mincho" w:hAnsi="Arial" w:cs="Arial"/>
                <w:b/>
                <w:snapToGrid w:val="0"/>
                <w:sz w:val="20"/>
                <w:szCs w:val="20"/>
              </w:rPr>
            </w:pPr>
          </w:p>
          <w:p w14:paraId="59F0EFD1" w14:textId="77777777" w:rsidR="000C17A5" w:rsidRPr="000C17A5" w:rsidRDefault="000C17A5" w:rsidP="00B00899">
            <w:pPr>
              <w:tabs>
                <w:tab w:val="left" w:pos="284"/>
              </w:tabs>
              <w:jc w:val="center"/>
              <w:rPr>
                <w:rFonts w:ascii="Arial" w:eastAsia="MS Mincho" w:hAnsi="Arial" w:cs="Arial"/>
                <w:b/>
                <w:snapToGrid w:val="0"/>
                <w:sz w:val="20"/>
                <w:szCs w:val="20"/>
              </w:rPr>
            </w:pPr>
            <w:r w:rsidRPr="000C17A5">
              <w:rPr>
                <w:rFonts w:ascii="Arial" w:eastAsia="MS Mincho" w:hAnsi="Arial" w:cs="Arial"/>
                <w:b/>
                <w:snapToGrid w:val="0"/>
                <w:sz w:val="20"/>
                <w:szCs w:val="20"/>
              </w:rPr>
              <w:t>+ 17 %</w:t>
            </w:r>
          </w:p>
          <w:p w14:paraId="0B2CFEB2" w14:textId="77777777" w:rsidR="000C17A5" w:rsidRPr="000C17A5" w:rsidRDefault="000C17A5" w:rsidP="00B00899">
            <w:pPr>
              <w:tabs>
                <w:tab w:val="left" w:pos="284"/>
              </w:tabs>
              <w:jc w:val="center"/>
              <w:rPr>
                <w:rFonts w:ascii="Arial" w:eastAsia="MS Mincho" w:hAnsi="Arial" w:cs="Arial"/>
                <w:b/>
                <w:snapToGrid w:val="0"/>
                <w:sz w:val="20"/>
                <w:szCs w:val="20"/>
              </w:rPr>
            </w:pPr>
          </w:p>
          <w:p w14:paraId="58339701" w14:textId="77777777" w:rsidR="000C17A5" w:rsidRPr="000C17A5" w:rsidRDefault="000C17A5" w:rsidP="00B00899">
            <w:pPr>
              <w:tabs>
                <w:tab w:val="left" w:pos="284"/>
              </w:tabs>
              <w:jc w:val="center"/>
              <w:rPr>
                <w:rFonts w:ascii="Arial" w:eastAsia="MS Mincho" w:hAnsi="Arial" w:cs="Arial"/>
                <w:b/>
                <w:snapToGrid w:val="0"/>
                <w:sz w:val="20"/>
                <w:szCs w:val="20"/>
              </w:rPr>
            </w:pPr>
            <w:r w:rsidRPr="000C17A5">
              <w:rPr>
                <w:rFonts w:ascii="Arial" w:eastAsia="MS Mincho" w:hAnsi="Arial" w:cs="Arial"/>
                <w:b/>
                <w:snapToGrid w:val="0"/>
                <w:sz w:val="20"/>
                <w:szCs w:val="20"/>
              </w:rPr>
              <w:t>+ 8 %</w:t>
            </w:r>
          </w:p>
          <w:p w14:paraId="150F8C5C" w14:textId="77777777" w:rsidR="000C17A5" w:rsidRPr="000C17A5" w:rsidRDefault="000C17A5" w:rsidP="0097284C">
            <w:pPr>
              <w:tabs>
                <w:tab w:val="left" w:pos="284"/>
              </w:tabs>
              <w:jc w:val="center"/>
              <w:rPr>
                <w:rFonts w:ascii="Arial" w:eastAsia="MS Mincho" w:hAnsi="Arial" w:cs="Arial"/>
                <w:b/>
                <w:snapToGrid w:val="0"/>
                <w:sz w:val="20"/>
                <w:szCs w:val="20"/>
              </w:rPr>
            </w:pPr>
          </w:p>
        </w:tc>
        <w:tc>
          <w:tcPr>
            <w:tcW w:w="978" w:type="dxa"/>
          </w:tcPr>
          <w:p w14:paraId="5D570539" w14:textId="77777777" w:rsidR="000C17A5" w:rsidRPr="000C17A5" w:rsidRDefault="000C17A5" w:rsidP="00B00899">
            <w:pPr>
              <w:tabs>
                <w:tab w:val="left" w:pos="284"/>
              </w:tabs>
              <w:jc w:val="center"/>
              <w:rPr>
                <w:rFonts w:ascii="Arial" w:eastAsia="MS Mincho" w:hAnsi="Arial" w:cs="Arial"/>
                <w:b/>
                <w:snapToGrid w:val="0"/>
                <w:sz w:val="20"/>
                <w:szCs w:val="20"/>
              </w:rPr>
            </w:pPr>
          </w:p>
          <w:p w14:paraId="6E705158" w14:textId="77777777" w:rsidR="000C17A5" w:rsidRPr="000C17A5" w:rsidRDefault="000C17A5" w:rsidP="00B00899">
            <w:pPr>
              <w:tabs>
                <w:tab w:val="left" w:pos="284"/>
              </w:tabs>
              <w:jc w:val="center"/>
              <w:rPr>
                <w:rFonts w:ascii="Arial" w:eastAsia="MS Mincho" w:hAnsi="Arial" w:cs="Arial"/>
                <w:b/>
                <w:snapToGrid w:val="0"/>
                <w:sz w:val="20"/>
                <w:szCs w:val="20"/>
              </w:rPr>
            </w:pPr>
            <w:r w:rsidRPr="000C17A5">
              <w:rPr>
                <w:rFonts w:ascii="Arial" w:eastAsia="MS Mincho" w:hAnsi="Arial" w:cs="Arial"/>
                <w:b/>
                <w:snapToGrid w:val="0"/>
                <w:sz w:val="20"/>
                <w:szCs w:val="20"/>
              </w:rPr>
              <w:t>- 5 %</w:t>
            </w:r>
          </w:p>
          <w:p w14:paraId="65ED7D8D" w14:textId="77777777" w:rsidR="000C17A5" w:rsidRPr="000C17A5" w:rsidRDefault="000C17A5" w:rsidP="00B00899">
            <w:pPr>
              <w:tabs>
                <w:tab w:val="left" w:pos="284"/>
              </w:tabs>
              <w:jc w:val="center"/>
              <w:rPr>
                <w:rFonts w:ascii="Arial" w:eastAsia="MS Mincho" w:hAnsi="Arial" w:cs="Arial"/>
                <w:b/>
                <w:snapToGrid w:val="0"/>
                <w:sz w:val="20"/>
                <w:szCs w:val="20"/>
              </w:rPr>
            </w:pPr>
          </w:p>
          <w:p w14:paraId="2D3FBECE" w14:textId="62F6694E" w:rsidR="000C17A5" w:rsidRPr="000C17A5" w:rsidRDefault="000C17A5" w:rsidP="0097284C">
            <w:pPr>
              <w:tabs>
                <w:tab w:val="left" w:pos="284"/>
              </w:tabs>
              <w:spacing w:line="270" w:lineRule="atLeast"/>
              <w:jc w:val="center"/>
              <w:rPr>
                <w:rFonts w:ascii="Arial" w:eastAsia="MS Mincho" w:hAnsi="Arial" w:cs="Arial"/>
                <w:b/>
                <w:snapToGrid w:val="0"/>
                <w:sz w:val="20"/>
                <w:szCs w:val="20"/>
              </w:rPr>
            </w:pPr>
            <w:r w:rsidRPr="000C17A5">
              <w:rPr>
                <w:rFonts w:ascii="Arial" w:eastAsia="MS Mincho" w:hAnsi="Arial" w:cs="Arial"/>
                <w:b/>
                <w:snapToGrid w:val="0"/>
                <w:sz w:val="20"/>
                <w:szCs w:val="20"/>
              </w:rPr>
              <w:t>+ 3 %</w:t>
            </w:r>
          </w:p>
        </w:tc>
        <w:tc>
          <w:tcPr>
            <w:tcW w:w="1142" w:type="dxa"/>
          </w:tcPr>
          <w:p w14:paraId="1059E1C9" w14:textId="77777777" w:rsidR="000C17A5" w:rsidRPr="000C17A5" w:rsidRDefault="000C17A5" w:rsidP="00B00899">
            <w:pPr>
              <w:tabs>
                <w:tab w:val="left" w:pos="284"/>
              </w:tabs>
              <w:jc w:val="center"/>
              <w:rPr>
                <w:rFonts w:ascii="Arial" w:eastAsia="MS Mincho" w:hAnsi="Arial" w:cs="Arial"/>
                <w:b/>
                <w:snapToGrid w:val="0"/>
                <w:sz w:val="20"/>
                <w:szCs w:val="20"/>
              </w:rPr>
            </w:pPr>
          </w:p>
          <w:p w14:paraId="63379E1B" w14:textId="77777777" w:rsidR="000C17A5" w:rsidRPr="000C17A5" w:rsidRDefault="000C17A5" w:rsidP="00B00899">
            <w:pPr>
              <w:tabs>
                <w:tab w:val="left" w:pos="284"/>
              </w:tabs>
              <w:jc w:val="center"/>
              <w:rPr>
                <w:rFonts w:ascii="Arial" w:eastAsia="MS Mincho" w:hAnsi="Arial" w:cs="Arial"/>
                <w:b/>
                <w:snapToGrid w:val="0"/>
                <w:sz w:val="20"/>
                <w:szCs w:val="20"/>
              </w:rPr>
            </w:pPr>
            <w:r w:rsidRPr="000C17A5">
              <w:rPr>
                <w:rFonts w:ascii="Arial" w:eastAsia="MS Mincho" w:hAnsi="Arial" w:cs="Arial"/>
                <w:b/>
                <w:snapToGrid w:val="0"/>
                <w:sz w:val="20"/>
                <w:szCs w:val="20"/>
              </w:rPr>
              <w:t>- 27 %</w:t>
            </w:r>
          </w:p>
          <w:p w14:paraId="67B95397" w14:textId="77777777" w:rsidR="000C17A5" w:rsidRPr="000C17A5" w:rsidRDefault="000C17A5" w:rsidP="00B00899">
            <w:pPr>
              <w:tabs>
                <w:tab w:val="left" w:pos="284"/>
              </w:tabs>
              <w:jc w:val="center"/>
              <w:rPr>
                <w:rFonts w:ascii="Arial" w:eastAsia="MS Mincho" w:hAnsi="Arial" w:cs="Arial"/>
                <w:b/>
                <w:snapToGrid w:val="0"/>
                <w:sz w:val="20"/>
                <w:szCs w:val="20"/>
              </w:rPr>
            </w:pPr>
          </w:p>
          <w:p w14:paraId="686A251F" w14:textId="4BC8A345" w:rsidR="000C17A5" w:rsidRPr="000C17A5" w:rsidRDefault="000C17A5" w:rsidP="0097284C">
            <w:pPr>
              <w:tabs>
                <w:tab w:val="left" w:pos="284"/>
              </w:tabs>
              <w:spacing w:line="270" w:lineRule="atLeast"/>
              <w:jc w:val="center"/>
              <w:rPr>
                <w:rFonts w:ascii="Arial" w:eastAsia="MS Mincho" w:hAnsi="Arial" w:cs="Arial"/>
                <w:b/>
                <w:snapToGrid w:val="0"/>
                <w:sz w:val="20"/>
                <w:szCs w:val="20"/>
              </w:rPr>
            </w:pPr>
            <w:r w:rsidRPr="000C17A5">
              <w:rPr>
                <w:rFonts w:ascii="Arial" w:eastAsia="MS Mincho" w:hAnsi="Arial" w:cs="Arial"/>
                <w:b/>
                <w:snapToGrid w:val="0"/>
                <w:sz w:val="20"/>
                <w:szCs w:val="20"/>
              </w:rPr>
              <w:t>- 3 %</w:t>
            </w:r>
          </w:p>
        </w:tc>
        <w:tc>
          <w:tcPr>
            <w:tcW w:w="1136" w:type="dxa"/>
          </w:tcPr>
          <w:p w14:paraId="1F509B57" w14:textId="77777777" w:rsidR="000C17A5" w:rsidRPr="000C17A5" w:rsidRDefault="000C17A5" w:rsidP="00B00899">
            <w:pPr>
              <w:tabs>
                <w:tab w:val="left" w:pos="284"/>
              </w:tabs>
              <w:jc w:val="center"/>
              <w:rPr>
                <w:rFonts w:ascii="Arial" w:eastAsia="MS Mincho" w:hAnsi="Arial" w:cs="Arial"/>
                <w:b/>
                <w:snapToGrid w:val="0"/>
                <w:sz w:val="20"/>
                <w:szCs w:val="20"/>
                <w:highlight w:val="yellow"/>
              </w:rPr>
            </w:pPr>
          </w:p>
          <w:p w14:paraId="7264087B" w14:textId="77777777" w:rsidR="000C17A5" w:rsidRPr="000C17A5" w:rsidRDefault="000C17A5" w:rsidP="00B00899">
            <w:pPr>
              <w:tabs>
                <w:tab w:val="left" w:pos="284"/>
              </w:tabs>
              <w:jc w:val="center"/>
              <w:rPr>
                <w:rFonts w:ascii="Arial" w:eastAsia="MS Mincho" w:hAnsi="Arial" w:cs="Arial"/>
                <w:b/>
                <w:snapToGrid w:val="0"/>
                <w:sz w:val="20"/>
                <w:szCs w:val="20"/>
              </w:rPr>
            </w:pPr>
            <w:r w:rsidRPr="000C17A5">
              <w:rPr>
                <w:rFonts w:ascii="Arial" w:eastAsia="MS Mincho" w:hAnsi="Arial" w:cs="Arial"/>
                <w:b/>
                <w:snapToGrid w:val="0"/>
                <w:sz w:val="20"/>
                <w:szCs w:val="20"/>
              </w:rPr>
              <w:t>- 55 %</w:t>
            </w:r>
          </w:p>
          <w:p w14:paraId="02A65983" w14:textId="77777777" w:rsidR="000C17A5" w:rsidRPr="000C17A5" w:rsidRDefault="000C17A5" w:rsidP="00B00899">
            <w:pPr>
              <w:tabs>
                <w:tab w:val="left" w:pos="284"/>
              </w:tabs>
              <w:jc w:val="center"/>
              <w:rPr>
                <w:rFonts w:ascii="Arial" w:eastAsia="MS Mincho" w:hAnsi="Arial" w:cs="Arial"/>
                <w:b/>
                <w:snapToGrid w:val="0"/>
                <w:sz w:val="20"/>
                <w:szCs w:val="20"/>
              </w:rPr>
            </w:pPr>
          </w:p>
          <w:p w14:paraId="0736A997" w14:textId="42C4AFC3" w:rsidR="000C17A5" w:rsidRPr="000C17A5" w:rsidRDefault="000C17A5" w:rsidP="0097284C">
            <w:pPr>
              <w:tabs>
                <w:tab w:val="left" w:pos="284"/>
              </w:tabs>
              <w:spacing w:line="270" w:lineRule="atLeast"/>
              <w:jc w:val="center"/>
              <w:rPr>
                <w:rFonts w:ascii="Arial" w:eastAsia="MS Mincho" w:hAnsi="Arial" w:cs="Arial"/>
                <w:b/>
                <w:snapToGrid w:val="0"/>
                <w:sz w:val="20"/>
                <w:szCs w:val="20"/>
              </w:rPr>
            </w:pPr>
            <w:r w:rsidRPr="000C17A5">
              <w:rPr>
                <w:rFonts w:ascii="Arial" w:eastAsia="MS Mincho" w:hAnsi="Arial" w:cs="Arial"/>
                <w:b/>
                <w:snapToGrid w:val="0"/>
                <w:sz w:val="20"/>
                <w:szCs w:val="20"/>
              </w:rPr>
              <w:t>- 13 %</w:t>
            </w:r>
          </w:p>
        </w:tc>
        <w:tc>
          <w:tcPr>
            <w:tcW w:w="1551" w:type="dxa"/>
          </w:tcPr>
          <w:p w14:paraId="686327EA" w14:textId="77777777" w:rsidR="000C17A5" w:rsidRPr="000C17A5" w:rsidRDefault="000C17A5" w:rsidP="00B00899">
            <w:pPr>
              <w:tabs>
                <w:tab w:val="left" w:pos="284"/>
              </w:tabs>
              <w:jc w:val="center"/>
              <w:rPr>
                <w:rFonts w:ascii="Arial" w:eastAsia="MS Mincho" w:hAnsi="Arial" w:cs="Arial"/>
                <w:b/>
                <w:snapToGrid w:val="0"/>
                <w:sz w:val="20"/>
                <w:szCs w:val="20"/>
                <w:highlight w:val="yellow"/>
              </w:rPr>
            </w:pPr>
          </w:p>
          <w:p w14:paraId="3EFF1DA4" w14:textId="77777777" w:rsidR="000C17A5" w:rsidRPr="000C17A5" w:rsidRDefault="000C17A5" w:rsidP="00B00899">
            <w:pPr>
              <w:tabs>
                <w:tab w:val="left" w:pos="284"/>
              </w:tabs>
              <w:jc w:val="center"/>
              <w:rPr>
                <w:rFonts w:ascii="Arial" w:eastAsia="MS Mincho" w:hAnsi="Arial" w:cs="Arial"/>
                <w:b/>
                <w:snapToGrid w:val="0"/>
                <w:sz w:val="20"/>
                <w:szCs w:val="20"/>
              </w:rPr>
            </w:pPr>
            <w:r w:rsidRPr="000C17A5">
              <w:rPr>
                <w:rFonts w:ascii="Arial" w:eastAsia="MS Mincho" w:hAnsi="Arial" w:cs="Arial"/>
                <w:b/>
                <w:snapToGrid w:val="0"/>
                <w:sz w:val="20"/>
                <w:szCs w:val="20"/>
              </w:rPr>
              <w:t>+ 12 %</w:t>
            </w:r>
          </w:p>
          <w:p w14:paraId="5C20EA0D" w14:textId="77777777" w:rsidR="000C17A5" w:rsidRPr="000C17A5" w:rsidRDefault="000C17A5" w:rsidP="00B00899">
            <w:pPr>
              <w:tabs>
                <w:tab w:val="left" w:pos="284"/>
              </w:tabs>
              <w:jc w:val="center"/>
              <w:rPr>
                <w:rFonts w:ascii="Arial" w:eastAsia="MS Mincho" w:hAnsi="Arial" w:cs="Arial"/>
                <w:b/>
                <w:snapToGrid w:val="0"/>
                <w:sz w:val="20"/>
                <w:szCs w:val="20"/>
              </w:rPr>
            </w:pPr>
          </w:p>
          <w:p w14:paraId="66507956" w14:textId="75BFEDE1" w:rsidR="000C17A5" w:rsidRPr="000C17A5" w:rsidRDefault="000C17A5" w:rsidP="0097284C">
            <w:pPr>
              <w:tabs>
                <w:tab w:val="left" w:pos="284"/>
              </w:tabs>
              <w:spacing w:line="270" w:lineRule="atLeast"/>
              <w:jc w:val="center"/>
              <w:rPr>
                <w:rFonts w:ascii="Arial" w:eastAsia="MS Mincho" w:hAnsi="Arial" w:cs="Arial"/>
                <w:b/>
                <w:snapToGrid w:val="0"/>
                <w:sz w:val="20"/>
                <w:szCs w:val="20"/>
              </w:rPr>
            </w:pPr>
            <w:r w:rsidRPr="000C17A5">
              <w:rPr>
                <w:rFonts w:ascii="Arial" w:eastAsia="MS Mincho" w:hAnsi="Arial" w:cs="Arial"/>
                <w:b/>
                <w:snapToGrid w:val="0"/>
                <w:sz w:val="20"/>
                <w:szCs w:val="20"/>
              </w:rPr>
              <w:t>- 1 %</w:t>
            </w:r>
          </w:p>
        </w:tc>
        <w:tc>
          <w:tcPr>
            <w:tcW w:w="1002" w:type="dxa"/>
          </w:tcPr>
          <w:p w14:paraId="6156F23B" w14:textId="77777777" w:rsidR="000C17A5" w:rsidRPr="000C17A5" w:rsidRDefault="000C17A5" w:rsidP="00B00899">
            <w:pPr>
              <w:tabs>
                <w:tab w:val="left" w:pos="1168"/>
              </w:tabs>
              <w:ind w:right="-108"/>
              <w:jc w:val="center"/>
              <w:rPr>
                <w:rFonts w:ascii="Arial" w:eastAsia="MS Mincho" w:hAnsi="Arial" w:cs="Arial"/>
                <w:b/>
                <w:snapToGrid w:val="0"/>
                <w:sz w:val="20"/>
                <w:szCs w:val="20"/>
                <w:highlight w:val="yellow"/>
              </w:rPr>
            </w:pPr>
          </w:p>
          <w:p w14:paraId="5F97B92B" w14:textId="77777777" w:rsidR="000C17A5" w:rsidRPr="000C17A5" w:rsidRDefault="000C17A5" w:rsidP="00B00899">
            <w:pPr>
              <w:tabs>
                <w:tab w:val="left" w:pos="1168"/>
              </w:tabs>
              <w:ind w:right="-108"/>
              <w:jc w:val="center"/>
              <w:rPr>
                <w:rFonts w:ascii="Arial" w:eastAsia="MS Mincho" w:hAnsi="Arial" w:cs="Arial"/>
                <w:b/>
                <w:snapToGrid w:val="0"/>
                <w:sz w:val="20"/>
                <w:szCs w:val="20"/>
              </w:rPr>
            </w:pPr>
            <w:r w:rsidRPr="000C17A5">
              <w:rPr>
                <w:rFonts w:ascii="Arial" w:eastAsia="MS Mincho" w:hAnsi="Arial" w:cs="Arial"/>
                <w:b/>
                <w:snapToGrid w:val="0"/>
                <w:sz w:val="20"/>
                <w:szCs w:val="20"/>
              </w:rPr>
              <w:t>- 12 %</w:t>
            </w:r>
          </w:p>
          <w:p w14:paraId="5AA78A80" w14:textId="77777777" w:rsidR="000C17A5" w:rsidRPr="000C17A5" w:rsidRDefault="000C17A5" w:rsidP="00B00899">
            <w:pPr>
              <w:tabs>
                <w:tab w:val="left" w:pos="1168"/>
              </w:tabs>
              <w:ind w:right="-108"/>
              <w:jc w:val="center"/>
              <w:rPr>
                <w:rFonts w:ascii="Arial" w:eastAsia="MS Mincho" w:hAnsi="Arial" w:cs="Arial"/>
                <w:b/>
                <w:snapToGrid w:val="0"/>
                <w:sz w:val="20"/>
                <w:szCs w:val="20"/>
              </w:rPr>
            </w:pPr>
          </w:p>
          <w:p w14:paraId="44A2E3C3" w14:textId="68792F35" w:rsidR="000C17A5" w:rsidRPr="000C17A5" w:rsidRDefault="000C17A5" w:rsidP="0097284C">
            <w:pPr>
              <w:tabs>
                <w:tab w:val="left" w:pos="1168"/>
              </w:tabs>
              <w:spacing w:line="270" w:lineRule="atLeast"/>
              <w:ind w:right="-108"/>
              <w:jc w:val="center"/>
              <w:rPr>
                <w:rFonts w:ascii="Arial" w:eastAsia="MS Mincho" w:hAnsi="Arial" w:cs="Arial"/>
                <w:b/>
                <w:snapToGrid w:val="0"/>
                <w:sz w:val="20"/>
                <w:szCs w:val="20"/>
              </w:rPr>
            </w:pPr>
            <w:r w:rsidRPr="000C17A5">
              <w:rPr>
                <w:rFonts w:ascii="Arial" w:eastAsia="MS Mincho" w:hAnsi="Arial" w:cs="Arial"/>
                <w:b/>
                <w:snapToGrid w:val="0"/>
                <w:sz w:val="20"/>
                <w:szCs w:val="20"/>
              </w:rPr>
              <w:t>- 1 %</w:t>
            </w:r>
          </w:p>
        </w:tc>
      </w:tr>
    </w:tbl>
    <w:p w14:paraId="32544F27" w14:textId="77777777" w:rsidR="00700DFB" w:rsidRPr="0033327A" w:rsidRDefault="009F7ED2" w:rsidP="00BD06E7">
      <w:pPr>
        <w:pStyle w:val="Cuerpo"/>
        <w:numPr>
          <w:ilvl w:val="0"/>
          <w:numId w:val="6"/>
        </w:numPr>
        <w:tabs>
          <w:tab w:val="clear" w:pos="360"/>
          <w:tab w:val="num" w:pos="411"/>
        </w:tabs>
        <w:spacing w:before="480" w:after="240" w:line="270" w:lineRule="atLeast"/>
        <w:ind w:left="411" w:hanging="411"/>
        <w:jc w:val="both"/>
        <w:rPr>
          <w:rFonts w:ascii="Arial" w:eastAsia="Arial" w:hAnsi="Arial" w:cs="Arial"/>
          <w:b/>
          <w:bCs/>
        </w:rPr>
      </w:pPr>
      <w:r w:rsidRPr="0033327A">
        <w:rPr>
          <w:rFonts w:ascii="Arial"/>
          <w:b/>
          <w:bCs/>
          <w:sz w:val="21"/>
          <w:szCs w:val="21"/>
        </w:rPr>
        <w:t>Primeros Equipos</w:t>
      </w:r>
    </w:p>
    <w:p w14:paraId="676D6441" w14:textId="27C11A34" w:rsidR="00700DFB" w:rsidRPr="005E62EF" w:rsidRDefault="009F7ED2"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cs="Times New Roman"/>
          <w:color w:val="auto"/>
          <w:szCs w:val="24"/>
          <w:bdr w:val="none" w:sz="0" w:space="0" w:color="auto"/>
          <w:lang w:eastAsia="fr-FR"/>
        </w:rPr>
      </w:pPr>
      <w:r w:rsidRPr="003C2F8E">
        <w:rPr>
          <w:rFonts w:eastAsia="Times" w:hAnsi="Arial" w:cs="Times New Roman"/>
          <w:color w:val="auto"/>
          <w:szCs w:val="24"/>
          <w:bdr w:val="none" w:sz="0" w:space="0" w:color="auto"/>
          <w:lang w:eastAsia="fr-FR"/>
        </w:rPr>
        <w:t xml:space="preserve">En Europa, el mercado </w:t>
      </w:r>
      <w:r w:rsidR="00DE4AE4" w:rsidRPr="003C2F8E">
        <w:rPr>
          <w:rFonts w:eastAsia="Times" w:hAnsi="Arial" w:cs="Times New Roman"/>
          <w:color w:val="auto"/>
          <w:szCs w:val="24"/>
          <w:bdr w:val="none" w:sz="0" w:space="0" w:color="auto"/>
          <w:lang w:eastAsia="fr-FR"/>
        </w:rPr>
        <w:t>crece un 7</w:t>
      </w:r>
      <w:r w:rsidRPr="003C2F8E">
        <w:rPr>
          <w:rFonts w:eastAsia="Times" w:hAnsi="Arial" w:cs="Times New Roman"/>
          <w:color w:val="auto"/>
          <w:szCs w:val="24"/>
          <w:bdr w:val="none" w:sz="0" w:space="0" w:color="auto"/>
          <w:lang w:eastAsia="fr-FR"/>
        </w:rPr>
        <w:t> %</w:t>
      </w:r>
      <w:r w:rsidR="00DE4AE4" w:rsidRPr="003C2F8E">
        <w:rPr>
          <w:rFonts w:eastAsia="Times" w:hAnsi="Arial" w:cs="Times New Roman"/>
          <w:color w:val="auto"/>
          <w:szCs w:val="24"/>
          <w:bdr w:val="none" w:sz="0" w:space="0" w:color="auto"/>
          <w:lang w:eastAsia="fr-FR"/>
        </w:rPr>
        <w:t>, con una demanda más dinámica</w:t>
      </w:r>
      <w:r w:rsidR="003C2F8E" w:rsidRPr="003C2F8E">
        <w:rPr>
          <w:rFonts w:eastAsia="Times" w:hAnsi="Arial" w:cs="Times New Roman"/>
          <w:color w:val="auto"/>
          <w:szCs w:val="24"/>
          <w:bdr w:val="none" w:sz="0" w:space="0" w:color="auto"/>
          <w:lang w:eastAsia="fr-FR"/>
        </w:rPr>
        <w:t xml:space="preserve"> en</w:t>
      </w:r>
      <w:r w:rsidR="003C2F8E">
        <w:rPr>
          <w:rFonts w:eastAsia="Times" w:hAnsi="Arial" w:cs="Times New Roman"/>
          <w:color w:val="auto"/>
          <w:szCs w:val="24"/>
          <w:bdr w:val="none" w:sz="0" w:space="0" w:color="auto"/>
          <w:lang w:eastAsia="fr-FR"/>
        </w:rPr>
        <w:t xml:space="preserve"> </w:t>
      </w:r>
      <w:r w:rsidR="00DE4AE4" w:rsidRPr="003C2F8E">
        <w:rPr>
          <w:rFonts w:eastAsia="Times" w:hAnsi="Arial" w:cs="Times New Roman"/>
          <w:color w:val="auto"/>
          <w:szCs w:val="24"/>
          <w:bdr w:val="none" w:sz="0" w:space="0" w:color="auto"/>
          <w:lang w:eastAsia="fr-FR"/>
        </w:rPr>
        <w:t xml:space="preserve">Europa Occidental </w:t>
      </w:r>
      <w:r w:rsidR="003C2F8E" w:rsidRPr="00DE4AE4">
        <w:rPr>
          <w:rFonts w:eastAsia="Times" w:hAnsi="Arial" w:cs="Times New Roman"/>
          <w:color w:val="auto"/>
          <w:szCs w:val="24"/>
          <w:bdr w:val="none" w:sz="0" w:space="0" w:color="auto"/>
          <w:lang w:eastAsia="fr-FR"/>
        </w:rPr>
        <w:t xml:space="preserve">(+ 11 %), </w:t>
      </w:r>
      <w:r w:rsidR="003C2F8E">
        <w:rPr>
          <w:rFonts w:eastAsia="Times" w:hAnsi="Arial" w:cs="Times New Roman"/>
          <w:color w:val="auto"/>
          <w:szCs w:val="24"/>
          <w:bdr w:val="none" w:sz="0" w:space="0" w:color="auto"/>
          <w:lang w:eastAsia="fr-FR"/>
        </w:rPr>
        <w:t xml:space="preserve">mientras que sigue fuertemente deprimida en </w:t>
      </w:r>
      <w:r w:rsidRPr="003C2F8E">
        <w:rPr>
          <w:rFonts w:eastAsia="Times" w:hAnsi="Arial" w:cs="Times New Roman"/>
          <w:color w:val="auto"/>
          <w:szCs w:val="24"/>
          <w:bdr w:val="none" w:sz="0" w:space="0" w:color="auto"/>
          <w:lang w:eastAsia="fr-FR"/>
        </w:rPr>
        <w:t>Europa del Este</w:t>
      </w:r>
      <w:r w:rsidR="005E62EF">
        <w:rPr>
          <w:rFonts w:eastAsia="Times" w:hAnsi="Arial" w:cs="Times New Roman"/>
          <w:color w:val="auto"/>
          <w:szCs w:val="24"/>
          <w:bdr w:val="none" w:sz="0" w:space="0" w:color="auto"/>
          <w:lang w:eastAsia="fr-FR"/>
        </w:rPr>
        <w:t xml:space="preserve"> </w:t>
      </w:r>
      <w:r w:rsidR="005E62EF" w:rsidRPr="00DE4AE4">
        <w:rPr>
          <w:rFonts w:eastAsia="Times" w:hAnsi="Arial" w:cs="Times New Roman"/>
          <w:color w:val="auto"/>
          <w:szCs w:val="24"/>
          <w:bdr w:val="none" w:sz="0" w:space="0" w:color="auto"/>
          <w:lang w:eastAsia="fr-FR"/>
        </w:rPr>
        <w:t xml:space="preserve">(- 20 %) </w:t>
      </w:r>
      <w:r w:rsidRPr="003C2F8E">
        <w:rPr>
          <w:rFonts w:eastAsia="Times" w:hAnsi="Arial" w:cs="Times New Roman"/>
          <w:color w:val="auto"/>
          <w:szCs w:val="24"/>
          <w:bdr w:val="none" w:sz="0" w:space="0" w:color="auto"/>
          <w:lang w:eastAsia="fr-FR"/>
        </w:rPr>
        <w:t xml:space="preserve">en un contexto geopolítico y económico desfavorable. </w:t>
      </w:r>
    </w:p>
    <w:p w14:paraId="2F0F951E" w14:textId="0B7F9B09" w:rsidR="005E62EF" w:rsidRDefault="009F7ED2"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cs="Times New Roman"/>
          <w:color w:val="auto"/>
          <w:szCs w:val="24"/>
          <w:bdr w:val="none" w:sz="0" w:space="0" w:color="auto"/>
          <w:lang w:eastAsia="fr-FR"/>
        </w:rPr>
      </w:pPr>
      <w:r w:rsidRPr="0033327A">
        <w:rPr>
          <w:rFonts w:eastAsia="Times" w:hAnsi="Arial" w:cs="Times New Roman"/>
          <w:color w:val="auto"/>
          <w:szCs w:val="24"/>
          <w:bdr w:val="none" w:sz="0" w:space="0" w:color="auto"/>
          <w:lang w:eastAsia="fr-FR"/>
        </w:rPr>
        <w:t xml:space="preserve">En América del Norte, el mercado </w:t>
      </w:r>
      <w:r w:rsidR="005E62EF">
        <w:rPr>
          <w:rFonts w:eastAsia="Times" w:hAnsi="Arial" w:cs="Times New Roman"/>
          <w:color w:val="auto"/>
          <w:szCs w:val="24"/>
          <w:bdr w:val="none" w:sz="0" w:space="0" w:color="auto"/>
          <w:lang w:eastAsia="fr-FR"/>
        </w:rPr>
        <w:t>aumenta un 7</w:t>
      </w:r>
      <w:r w:rsidRPr="0033327A">
        <w:rPr>
          <w:rFonts w:eastAsia="Times" w:hAnsi="Arial" w:cs="Times New Roman"/>
          <w:color w:val="auto"/>
          <w:szCs w:val="24"/>
          <w:bdr w:val="none" w:sz="0" w:space="0" w:color="auto"/>
          <w:lang w:eastAsia="fr-FR"/>
        </w:rPr>
        <w:t xml:space="preserve"> %</w:t>
      </w:r>
      <w:r w:rsidR="005E62EF">
        <w:rPr>
          <w:rFonts w:eastAsia="Times" w:hAnsi="Arial" w:cs="Times New Roman"/>
          <w:color w:val="auto"/>
          <w:szCs w:val="24"/>
          <w:bdr w:val="none" w:sz="0" w:space="0" w:color="auto"/>
          <w:lang w:eastAsia="fr-FR"/>
        </w:rPr>
        <w:t xml:space="preserve"> en el año</w:t>
      </w:r>
      <w:r w:rsidR="009F698F">
        <w:rPr>
          <w:rFonts w:eastAsia="Times" w:hAnsi="Arial" w:cs="Times New Roman"/>
          <w:color w:val="auto"/>
          <w:szCs w:val="24"/>
          <w:bdr w:val="none" w:sz="0" w:space="0" w:color="auto"/>
          <w:lang w:eastAsia="fr-FR"/>
        </w:rPr>
        <w:t>,</w:t>
      </w:r>
      <w:r w:rsidR="005E62EF">
        <w:rPr>
          <w:rFonts w:eastAsia="Times" w:hAnsi="Arial" w:cs="Times New Roman"/>
          <w:color w:val="auto"/>
          <w:szCs w:val="24"/>
          <w:bdr w:val="none" w:sz="0" w:space="0" w:color="auto"/>
          <w:lang w:eastAsia="fr-FR"/>
        </w:rPr>
        <w:t xml:space="preserve"> con una desaceleración trimestre tras trimestre </w:t>
      </w:r>
      <w:r w:rsidR="009F698F">
        <w:rPr>
          <w:rFonts w:eastAsia="Times" w:hAnsi="Arial" w:cs="Times New Roman"/>
          <w:color w:val="auto"/>
          <w:szCs w:val="24"/>
          <w:bdr w:val="none" w:sz="0" w:space="0" w:color="auto"/>
          <w:lang w:eastAsia="fr-FR"/>
        </w:rPr>
        <w:t>sobre</w:t>
      </w:r>
      <w:r w:rsidR="005E62EF">
        <w:rPr>
          <w:rFonts w:eastAsia="Times" w:hAnsi="Arial" w:cs="Times New Roman"/>
          <w:color w:val="auto"/>
          <w:szCs w:val="24"/>
          <w:bdr w:val="none" w:sz="0" w:space="0" w:color="auto"/>
          <w:lang w:eastAsia="fr-FR"/>
        </w:rPr>
        <w:t xml:space="preserve"> </w:t>
      </w:r>
      <w:r w:rsidR="009F698F">
        <w:rPr>
          <w:rFonts w:eastAsia="Times" w:hAnsi="Arial" w:cs="Times New Roman"/>
          <w:color w:val="auto"/>
          <w:szCs w:val="24"/>
          <w:bdr w:val="none" w:sz="0" w:space="0" w:color="auto"/>
          <w:lang w:eastAsia="fr-FR"/>
        </w:rPr>
        <w:t>la</w:t>
      </w:r>
      <w:r w:rsidR="005E62EF">
        <w:rPr>
          <w:rFonts w:eastAsia="Times" w:hAnsi="Arial" w:cs="Times New Roman"/>
          <w:color w:val="auto"/>
          <w:szCs w:val="24"/>
          <w:bdr w:val="none" w:sz="0" w:space="0" w:color="auto"/>
          <w:lang w:eastAsia="fr-FR"/>
        </w:rPr>
        <w:t xml:space="preserve"> base de </w:t>
      </w:r>
      <w:r w:rsidR="005257D0">
        <w:rPr>
          <w:rFonts w:eastAsia="Times" w:hAnsi="Arial" w:cs="Times New Roman"/>
          <w:color w:val="auto"/>
          <w:szCs w:val="24"/>
          <w:bdr w:val="none" w:sz="0" w:space="0" w:color="auto"/>
          <w:lang w:eastAsia="fr-FR"/>
        </w:rPr>
        <w:t xml:space="preserve">comparación con </w:t>
      </w:r>
      <w:r w:rsidR="005E62EF">
        <w:rPr>
          <w:rFonts w:eastAsia="Times" w:hAnsi="Arial" w:cs="Times New Roman"/>
          <w:color w:val="auto"/>
          <w:szCs w:val="24"/>
          <w:bdr w:val="none" w:sz="0" w:space="0" w:color="auto"/>
          <w:lang w:eastAsia="fr-FR"/>
        </w:rPr>
        <w:t>2014</w:t>
      </w:r>
      <w:r w:rsidR="00FC5CE3">
        <w:rPr>
          <w:rFonts w:eastAsia="Times" w:hAnsi="Arial" w:cs="Times New Roman"/>
          <w:color w:val="auto"/>
          <w:szCs w:val="24"/>
          <w:bdr w:val="none" w:sz="0" w:space="0" w:color="auto"/>
          <w:lang w:eastAsia="fr-FR"/>
        </w:rPr>
        <w:t>. Esta fuerte demanda se beneficia a la producción sostenida de vehículos</w:t>
      </w:r>
      <w:r w:rsidRPr="0033327A">
        <w:rPr>
          <w:rFonts w:eastAsia="Times" w:hAnsi="Arial" w:cs="Times New Roman"/>
          <w:color w:val="auto"/>
          <w:szCs w:val="24"/>
          <w:bdr w:val="none" w:sz="0" w:space="0" w:color="auto"/>
          <w:lang w:eastAsia="fr-FR"/>
        </w:rPr>
        <w:t xml:space="preserve"> </w:t>
      </w:r>
      <w:r w:rsidR="00FC5CE3">
        <w:rPr>
          <w:rFonts w:eastAsia="Times" w:hAnsi="Arial" w:cs="Times New Roman"/>
          <w:color w:val="auto"/>
          <w:szCs w:val="24"/>
          <w:bdr w:val="none" w:sz="0" w:space="0" w:color="auto"/>
          <w:lang w:eastAsia="fr-FR"/>
        </w:rPr>
        <w:t>para permitir la renovación de un parque relativamente antiguo</w:t>
      </w:r>
      <w:r w:rsidR="00A47189">
        <w:rPr>
          <w:rFonts w:eastAsia="Times" w:hAnsi="Arial" w:cs="Times New Roman"/>
          <w:color w:val="auto"/>
          <w:szCs w:val="24"/>
          <w:bdr w:val="none" w:sz="0" w:space="0" w:color="auto"/>
          <w:lang w:eastAsia="fr-FR"/>
        </w:rPr>
        <w:t xml:space="preserve"> en un entorno económico siempre favorable</w:t>
      </w:r>
      <w:r w:rsidRPr="0033327A">
        <w:rPr>
          <w:rFonts w:eastAsia="Times" w:hAnsi="Arial" w:cs="Times New Roman"/>
          <w:color w:val="auto"/>
          <w:szCs w:val="24"/>
          <w:bdr w:val="none" w:sz="0" w:space="0" w:color="auto"/>
          <w:lang w:eastAsia="fr-FR"/>
        </w:rPr>
        <w:t xml:space="preserve">. </w:t>
      </w:r>
    </w:p>
    <w:p w14:paraId="20BA248F" w14:textId="5C0BC48F" w:rsidR="00C447A5" w:rsidRPr="00C447A5" w:rsidRDefault="009F7ED2" w:rsidP="00BD06E7">
      <w:pPr>
        <w:pStyle w:val="TextoMichelin"/>
        <w:numPr>
          <w:ilvl w:val="0"/>
          <w:numId w:val="15"/>
        </w:numPr>
        <w:ind w:left="993" w:hanging="426"/>
        <w:rPr>
          <w:rFonts w:eastAsia="Times" w:hAnsi="Arial"/>
          <w:u w:val="single"/>
          <w:bdr w:val="none" w:sz="0" w:space="0" w:color="auto"/>
          <w:lang w:eastAsia="fr-FR"/>
        </w:rPr>
      </w:pPr>
      <w:r w:rsidRPr="0033327A">
        <w:rPr>
          <w:rFonts w:eastAsia="Times" w:hAnsi="Arial" w:cs="Times New Roman"/>
          <w:color w:val="auto"/>
          <w:szCs w:val="24"/>
          <w:bdr w:val="none" w:sz="0" w:space="0" w:color="auto"/>
          <w:lang w:eastAsia="fr-FR"/>
        </w:rPr>
        <w:t xml:space="preserve">En Asia (sin incluir India), la demanda radial y diagonal </w:t>
      </w:r>
      <w:r w:rsidR="00C447A5">
        <w:rPr>
          <w:rFonts w:eastAsia="Times" w:hAnsi="Arial" w:cs="Times New Roman"/>
          <w:color w:val="auto"/>
          <w:szCs w:val="24"/>
          <w:bdr w:val="none" w:sz="0" w:space="0" w:color="auto"/>
          <w:lang w:eastAsia="fr-FR"/>
        </w:rPr>
        <w:t>baja</w:t>
      </w:r>
      <w:r w:rsidRPr="0033327A">
        <w:rPr>
          <w:rFonts w:eastAsia="Times" w:hAnsi="Arial" w:cs="Times New Roman"/>
          <w:color w:val="auto"/>
          <w:szCs w:val="24"/>
          <w:bdr w:val="none" w:sz="0" w:space="0" w:color="auto"/>
          <w:lang w:eastAsia="fr-FR"/>
        </w:rPr>
        <w:t xml:space="preserve"> un 1</w:t>
      </w:r>
      <w:r w:rsidR="00C447A5">
        <w:rPr>
          <w:rFonts w:eastAsia="Times" w:hAnsi="Arial" w:cs="Times New Roman"/>
          <w:color w:val="auto"/>
          <w:szCs w:val="24"/>
          <w:bdr w:val="none" w:sz="0" w:space="0" w:color="auto"/>
          <w:lang w:eastAsia="fr-FR"/>
        </w:rPr>
        <w:t>9</w:t>
      </w:r>
      <w:r w:rsidRPr="0033327A">
        <w:rPr>
          <w:rFonts w:eastAsia="Times" w:hAnsi="Arial" w:cs="Times New Roman"/>
          <w:color w:val="auto"/>
          <w:szCs w:val="24"/>
          <w:bdr w:val="none" w:sz="0" w:space="0" w:color="auto"/>
          <w:lang w:eastAsia="fr-FR"/>
        </w:rPr>
        <w:t xml:space="preserve"> %. En China, el mercado </w:t>
      </w:r>
      <w:r w:rsidR="00C447A5">
        <w:rPr>
          <w:rFonts w:eastAsia="Times" w:hAnsi="Arial" w:cs="Times New Roman"/>
          <w:color w:val="auto"/>
          <w:szCs w:val="24"/>
          <w:bdr w:val="none" w:sz="0" w:space="0" w:color="auto"/>
          <w:lang w:eastAsia="fr-FR"/>
        </w:rPr>
        <w:t>cae</w:t>
      </w:r>
      <w:r w:rsidRPr="0033327A">
        <w:rPr>
          <w:rFonts w:eastAsia="Times" w:hAnsi="Arial" w:cs="Times New Roman"/>
          <w:color w:val="auto"/>
          <w:szCs w:val="24"/>
          <w:bdr w:val="none" w:sz="0" w:space="0" w:color="auto"/>
          <w:lang w:eastAsia="fr-FR"/>
        </w:rPr>
        <w:t xml:space="preserve"> un </w:t>
      </w:r>
      <w:r w:rsidR="00C447A5">
        <w:rPr>
          <w:rFonts w:eastAsia="Times" w:hAnsi="Arial" w:cs="Times New Roman"/>
          <w:color w:val="auto"/>
          <w:szCs w:val="24"/>
          <w:bdr w:val="none" w:sz="0" w:space="0" w:color="auto"/>
          <w:lang w:eastAsia="fr-FR"/>
        </w:rPr>
        <w:t>2</w:t>
      </w:r>
      <w:r w:rsidRPr="0033327A">
        <w:rPr>
          <w:rFonts w:eastAsia="Times" w:hAnsi="Arial" w:cs="Times New Roman"/>
          <w:color w:val="auto"/>
          <w:szCs w:val="24"/>
          <w:bdr w:val="none" w:sz="0" w:space="0" w:color="auto"/>
          <w:lang w:eastAsia="fr-FR"/>
        </w:rPr>
        <w:t xml:space="preserve">1 %, </w:t>
      </w:r>
      <w:r w:rsidR="00B52060">
        <w:rPr>
          <w:rFonts w:eastAsia="Times" w:hAnsi="Arial" w:cs="Times New Roman"/>
          <w:color w:val="auto"/>
          <w:szCs w:val="24"/>
          <w:bdr w:val="none" w:sz="0" w:space="0" w:color="auto"/>
          <w:lang w:eastAsia="fr-FR"/>
        </w:rPr>
        <w:t>debido a la ralentización de la producción industria</w:t>
      </w:r>
      <w:r w:rsidRPr="0033327A">
        <w:rPr>
          <w:rFonts w:eastAsia="Times" w:hAnsi="Arial" w:cs="Times New Roman"/>
          <w:color w:val="auto"/>
          <w:szCs w:val="24"/>
          <w:bdr w:val="none" w:sz="0" w:space="0" w:color="auto"/>
          <w:lang w:eastAsia="fr-FR"/>
        </w:rPr>
        <w:t>l</w:t>
      </w:r>
      <w:r w:rsidR="00B52060">
        <w:rPr>
          <w:rFonts w:eastAsia="Times" w:hAnsi="Arial" w:cs="Times New Roman"/>
          <w:color w:val="auto"/>
          <w:szCs w:val="24"/>
          <w:bdr w:val="none" w:sz="0" w:space="0" w:color="auto"/>
          <w:lang w:eastAsia="fr-FR"/>
        </w:rPr>
        <w:t xml:space="preserve">, así como a la </w:t>
      </w:r>
      <w:r w:rsidRPr="0033327A">
        <w:rPr>
          <w:rFonts w:eastAsia="Times" w:hAnsi="Arial" w:cs="Times New Roman"/>
          <w:color w:val="auto"/>
          <w:szCs w:val="24"/>
          <w:bdr w:val="none" w:sz="0" w:space="0" w:color="auto"/>
          <w:lang w:eastAsia="fr-FR"/>
        </w:rPr>
        <w:t xml:space="preserve">búsqueda de la </w:t>
      </w:r>
      <w:r w:rsidR="00B52060">
        <w:rPr>
          <w:rFonts w:eastAsia="Times" w:hAnsi="Arial" w:cs="Times New Roman"/>
          <w:color w:val="auto"/>
          <w:szCs w:val="24"/>
          <w:bdr w:val="none" w:sz="0" w:space="0" w:color="auto"/>
          <w:lang w:eastAsia="fr-FR"/>
        </w:rPr>
        <w:t xml:space="preserve">optimización en los diferentes </w:t>
      </w:r>
      <w:r w:rsidR="009B3E87">
        <w:rPr>
          <w:rFonts w:eastAsia="Times" w:hAnsi="Arial" w:cs="Times New Roman"/>
          <w:color w:val="auto"/>
          <w:szCs w:val="24"/>
          <w:bdr w:val="none" w:sz="0" w:space="0" w:color="auto"/>
          <w:lang w:eastAsia="fr-FR"/>
        </w:rPr>
        <w:t xml:space="preserve">actores </w:t>
      </w:r>
      <w:r w:rsidR="00B52060">
        <w:rPr>
          <w:rFonts w:eastAsia="Times" w:hAnsi="Arial" w:cs="Times New Roman"/>
          <w:color w:val="auto"/>
          <w:szCs w:val="24"/>
          <w:bdr w:val="none" w:sz="0" w:space="0" w:color="auto"/>
          <w:lang w:eastAsia="fr-FR"/>
        </w:rPr>
        <w:t xml:space="preserve">del </w:t>
      </w:r>
      <w:r w:rsidRPr="0033327A">
        <w:rPr>
          <w:rFonts w:eastAsia="Times" w:hAnsi="Arial" w:cs="Times New Roman"/>
          <w:color w:val="auto"/>
          <w:szCs w:val="24"/>
          <w:bdr w:val="none" w:sz="0" w:space="0" w:color="auto"/>
          <w:lang w:eastAsia="fr-FR"/>
        </w:rPr>
        <w:t xml:space="preserve">transporte. En </w:t>
      </w:r>
      <w:r w:rsidR="00991CA1">
        <w:rPr>
          <w:rFonts w:eastAsia="Times" w:hAnsi="Arial" w:cs="Times New Roman"/>
          <w:color w:val="auto"/>
          <w:szCs w:val="24"/>
          <w:bdr w:val="none" w:sz="0" w:space="0" w:color="auto"/>
          <w:lang w:eastAsia="fr-FR"/>
        </w:rPr>
        <w:t>los otros países de la zona</w:t>
      </w:r>
      <w:r w:rsidRPr="0033327A">
        <w:rPr>
          <w:rFonts w:eastAsia="Times" w:hAnsi="Arial" w:cs="Times New Roman"/>
          <w:color w:val="auto"/>
          <w:szCs w:val="24"/>
          <w:bdr w:val="none" w:sz="0" w:space="0" w:color="auto"/>
          <w:lang w:eastAsia="fr-FR"/>
        </w:rPr>
        <w:t xml:space="preserve">, la demanda </w:t>
      </w:r>
      <w:r w:rsidR="00991CA1">
        <w:rPr>
          <w:rFonts w:eastAsia="Times" w:hAnsi="Arial" w:cs="Times New Roman"/>
          <w:color w:val="auto"/>
          <w:szCs w:val="24"/>
          <w:bdr w:val="none" w:sz="0" w:space="0" w:color="auto"/>
          <w:lang w:eastAsia="fr-FR"/>
        </w:rPr>
        <w:t>disminuye</w:t>
      </w:r>
      <w:r w:rsidRPr="0033327A">
        <w:rPr>
          <w:rFonts w:eastAsia="Times" w:hAnsi="Arial" w:cs="Times New Roman"/>
          <w:color w:val="auto"/>
          <w:szCs w:val="24"/>
          <w:bdr w:val="none" w:sz="0" w:space="0" w:color="auto"/>
          <w:lang w:eastAsia="fr-FR"/>
        </w:rPr>
        <w:t xml:space="preserve"> un 1</w:t>
      </w:r>
      <w:r w:rsidR="00991CA1">
        <w:rPr>
          <w:rFonts w:eastAsia="Times" w:hAnsi="Arial" w:cs="Times New Roman"/>
          <w:color w:val="auto"/>
          <w:szCs w:val="24"/>
          <w:bdr w:val="none" w:sz="0" w:space="0" w:color="auto"/>
          <w:lang w:eastAsia="fr-FR"/>
        </w:rPr>
        <w:t>2</w:t>
      </w:r>
      <w:r w:rsidRPr="0033327A">
        <w:rPr>
          <w:rFonts w:eastAsia="Times" w:hAnsi="Arial" w:cs="Times New Roman"/>
          <w:color w:val="auto"/>
          <w:szCs w:val="24"/>
          <w:bdr w:val="none" w:sz="0" w:space="0" w:color="auto"/>
          <w:lang w:eastAsia="fr-FR"/>
        </w:rPr>
        <w:t xml:space="preserve"> %, </w:t>
      </w:r>
      <w:r w:rsidR="00991CA1">
        <w:rPr>
          <w:rFonts w:eastAsia="Times" w:hAnsi="Arial" w:cs="Times New Roman"/>
          <w:color w:val="auto"/>
          <w:szCs w:val="24"/>
          <w:bdr w:val="none" w:sz="0" w:space="0" w:color="auto"/>
          <w:lang w:eastAsia="fr-FR"/>
        </w:rPr>
        <w:t>con una caída importante en Indonesia y Corea, compensada en parte por el crecimiento</w:t>
      </w:r>
      <w:r w:rsidRPr="0033327A">
        <w:rPr>
          <w:rFonts w:eastAsia="Times" w:hAnsi="Arial" w:cs="Times New Roman"/>
          <w:color w:val="auto"/>
          <w:szCs w:val="24"/>
          <w:bdr w:val="none" w:sz="0" w:space="0" w:color="auto"/>
          <w:lang w:eastAsia="fr-FR"/>
        </w:rPr>
        <w:t xml:space="preserve"> de Tailandia</w:t>
      </w:r>
      <w:r w:rsidR="001D7312">
        <w:rPr>
          <w:rFonts w:eastAsia="Times" w:hAnsi="Arial" w:cs="Times New Roman"/>
          <w:color w:val="auto"/>
          <w:szCs w:val="24"/>
          <w:bdr w:val="none" w:sz="0" w:space="0" w:color="auto"/>
          <w:lang w:eastAsia="fr-FR"/>
        </w:rPr>
        <w:t xml:space="preserve"> sobre bases muy débiles</w:t>
      </w:r>
      <w:r w:rsidRPr="0033327A">
        <w:rPr>
          <w:rFonts w:eastAsia="Times" w:hAnsi="Arial" w:cs="Times New Roman"/>
          <w:color w:val="auto"/>
          <w:szCs w:val="24"/>
          <w:bdr w:val="none" w:sz="0" w:space="0" w:color="auto"/>
          <w:lang w:eastAsia="fr-FR"/>
        </w:rPr>
        <w:t>.</w:t>
      </w:r>
      <w:r w:rsidR="00C447A5">
        <w:rPr>
          <w:rFonts w:eastAsia="Times" w:hAnsi="Arial" w:cs="Times New Roman"/>
          <w:color w:val="auto"/>
          <w:szCs w:val="24"/>
          <w:bdr w:val="none" w:sz="0" w:space="0" w:color="auto"/>
          <w:lang w:eastAsia="fr-FR"/>
        </w:rPr>
        <w:t xml:space="preserve"> </w:t>
      </w:r>
    </w:p>
    <w:p w14:paraId="49829797" w14:textId="7B98342D" w:rsidR="00E27F87" w:rsidRPr="00E27F87" w:rsidRDefault="009F7ED2" w:rsidP="00BD06E7">
      <w:pPr>
        <w:pStyle w:val="TextoMichelin"/>
        <w:numPr>
          <w:ilvl w:val="0"/>
          <w:numId w:val="15"/>
        </w:numPr>
        <w:ind w:left="993" w:hanging="426"/>
        <w:rPr>
          <w:rFonts w:eastAsia="Times" w:hAnsi="Arial"/>
          <w:bdr w:val="none" w:sz="0" w:space="0" w:color="auto"/>
          <w:lang w:eastAsia="fr-FR"/>
        </w:rPr>
      </w:pPr>
      <w:r w:rsidRPr="0033327A">
        <w:rPr>
          <w:rFonts w:eastAsia="Times" w:hAnsi="Arial" w:cs="Times New Roman"/>
          <w:color w:val="auto"/>
          <w:szCs w:val="24"/>
          <w:bdr w:val="none" w:sz="0" w:space="0" w:color="auto"/>
          <w:lang w:eastAsia="fr-FR"/>
        </w:rPr>
        <w:t xml:space="preserve">En Sudamérica, </w:t>
      </w:r>
      <w:r w:rsidR="001D7312">
        <w:rPr>
          <w:rFonts w:eastAsia="Times" w:hAnsi="Arial" w:cs="Times New Roman"/>
          <w:color w:val="auto"/>
          <w:szCs w:val="24"/>
          <w:bdr w:val="none" w:sz="0" w:space="0" w:color="auto"/>
          <w:lang w:eastAsia="fr-FR"/>
        </w:rPr>
        <w:t>el mercado está en</w:t>
      </w:r>
      <w:r w:rsidRPr="0033327A">
        <w:rPr>
          <w:rFonts w:eastAsia="Times" w:hAnsi="Arial" w:cs="Times New Roman"/>
          <w:color w:val="auto"/>
          <w:szCs w:val="24"/>
          <w:bdr w:val="none" w:sz="0" w:space="0" w:color="auto"/>
          <w:lang w:eastAsia="fr-FR"/>
        </w:rPr>
        <w:t xml:space="preserve"> retroces</w:t>
      </w:r>
      <w:r w:rsidR="001D7312">
        <w:rPr>
          <w:rFonts w:eastAsia="Times" w:hAnsi="Arial" w:cs="Times New Roman"/>
          <w:color w:val="auto"/>
          <w:szCs w:val="24"/>
          <w:bdr w:val="none" w:sz="0" w:space="0" w:color="auto"/>
          <w:lang w:eastAsia="fr-FR"/>
        </w:rPr>
        <w:t>o del 48 % en un contexto económico muy difícil. En Brasil</w:t>
      </w:r>
      <w:r w:rsidR="00E27F87">
        <w:rPr>
          <w:rFonts w:eastAsia="Times" w:hAnsi="Arial" w:cs="Times New Roman"/>
          <w:color w:val="auto"/>
          <w:szCs w:val="24"/>
          <w:bdr w:val="none" w:sz="0" w:space="0" w:color="auto"/>
          <w:lang w:eastAsia="fr-FR"/>
        </w:rPr>
        <w:t xml:space="preserve">, el mercado </w:t>
      </w:r>
      <w:r w:rsidR="00E27F87" w:rsidRPr="00DE4AE4">
        <w:rPr>
          <w:rFonts w:eastAsia="Times" w:hAnsi="Arial"/>
          <w:bdr w:val="none" w:sz="0" w:space="0" w:color="auto"/>
          <w:lang w:eastAsia="fr-FR"/>
        </w:rPr>
        <w:t>(- 51 %)</w:t>
      </w:r>
      <w:r w:rsidRPr="0033327A">
        <w:rPr>
          <w:rFonts w:eastAsia="Times" w:hAnsi="Arial" w:cs="Times New Roman"/>
          <w:color w:val="auto"/>
          <w:szCs w:val="24"/>
          <w:bdr w:val="none" w:sz="0" w:space="0" w:color="auto"/>
          <w:lang w:eastAsia="fr-FR"/>
        </w:rPr>
        <w:t xml:space="preserve"> </w:t>
      </w:r>
      <w:r w:rsidR="00E27F87">
        <w:rPr>
          <w:rFonts w:eastAsia="Times" w:hAnsi="Arial" w:cs="Times New Roman"/>
          <w:color w:val="auto"/>
          <w:szCs w:val="24"/>
          <w:bdr w:val="none" w:sz="0" w:space="0" w:color="auto"/>
          <w:lang w:eastAsia="fr-FR"/>
        </w:rPr>
        <w:t>sufre la parada de producción de camiones y autobuses. Esta caída sigue a una menor d</w:t>
      </w:r>
      <w:r w:rsidR="001816EB">
        <w:rPr>
          <w:rFonts w:eastAsia="Times" w:hAnsi="Arial" w:cs="Times New Roman"/>
          <w:color w:val="auto"/>
          <w:szCs w:val="24"/>
          <w:bdr w:val="none" w:sz="0" w:space="0" w:color="auto"/>
          <w:lang w:eastAsia="fr-FR"/>
        </w:rPr>
        <w:t>eman</w:t>
      </w:r>
      <w:r w:rsidR="00E27F87">
        <w:rPr>
          <w:rFonts w:eastAsia="Times" w:hAnsi="Arial" w:cs="Times New Roman"/>
          <w:color w:val="auto"/>
          <w:szCs w:val="24"/>
          <w:bdr w:val="none" w:sz="0" w:space="0" w:color="auto"/>
          <w:lang w:eastAsia="fr-FR"/>
        </w:rPr>
        <w:t>da nacional, así como a las dificultades económicas en Argentina y Venezuela que pesan sobre las exportaciones de camio</w:t>
      </w:r>
      <w:r w:rsidR="001816EB">
        <w:rPr>
          <w:rFonts w:eastAsia="Times" w:hAnsi="Arial" w:cs="Times New Roman"/>
          <w:color w:val="auto"/>
          <w:szCs w:val="24"/>
          <w:bdr w:val="none" w:sz="0" w:space="0" w:color="auto"/>
          <w:lang w:eastAsia="fr-FR"/>
        </w:rPr>
        <w:t>nes fabricados en Brasil.</w:t>
      </w:r>
    </w:p>
    <w:p w14:paraId="233F29A5" w14:textId="77777777" w:rsidR="00700DFB" w:rsidRPr="0033327A" w:rsidRDefault="009F7ED2" w:rsidP="00BD06E7">
      <w:pPr>
        <w:pStyle w:val="Cuerpo"/>
        <w:numPr>
          <w:ilvl w:val="0"/>
          <w:numId w:val="7"/>
        </w:numPr>
        <w:tabs>
          <w:tab w:val="clear" w:pos="360"/>
          <w:tab w:val="num" w:pos="411"/>
        </w:tabs>
        <w:spacing w:before="480" w:after="240" w:line="270" w:lineRule="atLeast"/>
        <w:ind w:left="411" w:hanging="411"/>
        <w:jc w:val="both"/>
        <w:rPr>
          <w:rFonts w:ascii="Arial" w:eastAsia="Arial" w:hAnsi="Arial" w:cs="Arial"/>
          <w:b/>
          <w:bCs/>
        </w:rPr>
      </w:pPr>
      <w:r w:rsidRPr="0033327A">
        <w:rPr>
          <w:rFonts w:ascii="Arial"/>
          <w:b/>
          <w:bCs/>
          <w:sz w:val="21"/>
          <w:szCs w:val="21"/>
        </w:rPr>
        <w:lastRenderedPageBreak/>
        <w:t>Reemplazo</w:t>
      </w:r>
    </w:p>
    <w:p w14:paraId="7B4C53BD" w14:textId="305B1019" w:rsidR="00113267" w:rsidRPr="004A38A0" w:rsidRDefault="009F7ED2" w:rsidP="00BD06E7">
      <w:pPr>
        <w:pStyle w:val="TextoMichelin"/>
        <w:numPr>
          <w:ilvl w:val="0"/>
          <w:numId w:val="15"/>
        </w:numPr>
        <w:ind w:left="993" w:hanging="426"/>
        <w:rPr>
          <w:rFonts w:eastAsia="Times" w:hAnsi="Arial"/>
          <w:bdr w:val="none" w:sz="0" w:space="0" w:color="auto"/>
          <w:lang w:eastAsia="fr-FR"/>
        </w:rPr>
      </w:pPr>
      <w:r w:rsidRPr="004A38A0">
        <w:rPr>
          <w:rFonts w:eastAsia="Times" w:hAnsi="Arial" w:cs="Times New Roman"/>
          <w:color w:val="auto"/>
          <w:szCs w:val="24"/>
          <w:bdr w:val="none" w:sz="0" w:space="0" w:color="auto"/>
          <w:lang w:eastAsia="fr-FR"/>
        </w:rPr>
        <w:t xml:space="preserve">En Europa, el mercado </w:t>
      </w:r>
      <w:r w:rsidR="00113267" w:rsidRPr="004A38A0">
        <w:rPr>
          <w:rFonts w:eastAsia="Times" w:hAnsi="Arial" w:cs="Times New Roman"/>
          <w:color w:val="auto"/>
          <w:szCs w:val="24"/>
          <w:bdr w:val="none" w:sz="0" w:space="0" w:color="auto"/>
          <w:lang w:eastAsia="fr-FR"/>
        </w:rPr>
        <w:t>aumenta</w:t>
      </w:r>
      <w:r w:rsidRPr="004A38A0">
        <w:rPr>
          <w:rFonts w:eastAsia="Times" w:hAnsi="Arial" w:cs="Times New Roman"/>
          <w:color w:val="auto"/>
          <w:szCs w:val="24"/>
          <w:bdr w:val="none" w:sz="0" w:space="0" w:color="auto"/>
          <w:lang w:eastAsia="fr-FR"/>
        </w:rPr>
        <w:t xml:space="preserve"> un 1 % anual</w:t>
      </w:r>
      <w:r w:rsidR="00113267" w:rsidRPr="004A38A0">
        <w:rPr>
          <w:rFonts w:eastAsia="Times" w:hAnsi="Arial" w:cs="Times New Roman"/>
          <w:color w:val="auto"/>
          <w:szCs w:val="24"/>
          <w:bdr w:val="none" w:sz="0" w:space="0" w:color="auto"/>
          <w:lang w:eastAsia="fr-FR"/>
        </w:rPr>
        <w:t xml:space="preserve"> con una </w:t>
      </w:r>
      <w:r w:rsidR="009B3E87">
        <w:rPr>
          <w:rFonts w:eastAsia="Times" w:hAnsi="Arial" w:cs="Times New Roman"/>
          <w:color w:val="auto"/>
          <w:szCs w:val="24"/>
          <w:bdr w:val="none" w:sz="0" w:space="0" w:color="auto"/>
          <w:lang w:eastAsia="fr-FR"/>
        </w:rPr>
        <w:t>ligera</w:t>
      </w:r>
      <w:r w:rsidR="009B3E87" w:rsidRPr="004A38A0">
        <w:rPr>
          <w:rFonts w:eastAsia="Times" w:hAnsi="Arial" w:cs="Times New Roman"/>
          <w:color w:val="auto"/>
          <w:szCs w:val="24"/>
          <w:bdr w:val="none" w:sz="0" w:space="0" w:color="auto"/>
          <w:lang w:eastAsia="fr-FR"/>
        </w:rPr>
        <w:t xml:space="preserve"> </w:t>
      </w:r>
      <w:r w:rsidR="00113267" w:rsidRPr="004A38A0">
        <w:rPr>
          <w:rFonts w:eastAsia="Times" w:hAnsi="Arial" w:cs="Times New Roman"/>
          <w:color w:val="auto"/>
          <w:szCs w:val="24"/>
          <w:bdr w:val="none" w:sz="0" w:space="0" w:color="auto"/>
          <w:lang w:eastAsia="fr-FR"/>
        </w:rPr>
        <w:t>bajada en el mercado ruso en el segundo semestre.</w:t>
      </w:r>
      <w:r w:rsidRPr="004A38A0">
        <w:rPr>
          <w:rFonts w:eastAsia="Times" w:hAnsi="Arial" w:cs="Times New Roman"/>
          <w:color w:val="auto"/>
          <w:szCs w:val="24"/>
          <w:bdr w:val="none" w:sz="0" w:space="0" w:color="auto"/>
          <w:lang w:eastAsia="fr-FR"/>
        </w:rPr>
        <w:t xml:space="preserve"> En Europa Occidental</w:t>
      </w:r>
      <w:r w:rsidR="001D47F6" w:rsidRPr="004A38A0">
        <w:rPr>
          <w:rFonts w:eastAsia="Times" w:hAnsi="Arial" w:cs="Times New Roman"/>
          <w:color w:val="auto"/>
          <w:szCs w:val="24"/>
          <w:bdr w:val="none" w:sz="0" w:space="0" w:color="auto"/>
          <w:lang w:eastAsia="fr-FR"/>
        </w:rPr>
        <w:t xml:space="preserve"> </w:t>
      </w:r>
      <w:r w:rsidR="009B3E87">
        <w:rPr>
          <w:rFonts w:eastAsia="Times" w:hAnsi="Arial" w:cs="Times New Roman"/>
          <w:color w:val="auto"/>
          <w:szCs w:val="24"/>
          <w:bdr w:val="none" w:sz="0" w:space="0" w:color="auto"/>
          <w:lang w:eastAsia="fr-FR"/>
        </w:rPr>
        <w:t xml:space="preserve">crece </w:t>
      </w:r>
      <w:r w:rsidR="00113267" w:rsidRPr="004A38A0">
        <w:rPr>
          <w:rFonts w:eastAsia="Times" w:hAnsi="Arial"/>
          <w:bdr w:val="none" w:sz="0" w:space="0" w:color="auto"/>
          <w:lang w:eastAsia="fr-FR"/>
        </w:rPr>
        <w:t>(+ 7 %)</w:t>
      </w:r>
      <w:r w:rsidRPr="004A38A0">
        <w:rPr>
          <w:rFonts w:eastAsia="Times" w:hAnsi="Arial" w:cs="Times New Roman"/>
          <w:color w:val="auto"/>
          <w:szCs w:val="24"/>
          <w:bdr w:val="none" w:sz="0" w:space="0" w:color="auto"/>
          <w:lang w:eastAsia="fr-FR"/>
        </w:rPr>
        <w:t xml:space="preserve">, </w:t>
      </w:r>
      <w:r w:rsidR="001D47F6" w:rsidRPr="004A38A0">
        <w:rPr>
          <w:rFonts w:eastAsia="Times" w:hAnsi="Arial" w:cs="Times New Roman"/>
          <w:color w:val="auto"/>
          <w:szCs w:val="24"/>
          <w:bdr w:val="none" w:sz="0" w:space="0" w:color="auto"/>
          <w:lang w:eastAsia="fr-FR"/>
        </w:rPr>
        <w:t>animado por la evolución favorable de las toneladas/k</w:t>
      </w:r>
      <w:r w:rsidR="00751788" w:rsidRPr="004A38A0">
        <w:rPr>
          <w:rFonts w:eastAsia="Times" w:hAnsi="Arial" w:cs="Times New Roman"/>
          <w:color w:val="auto"/>
          <w:szCs w:val="24"/>
          <w:bdr w:val="none" w:sz="0" w:space="0" w:color="auto"/>
          <w:lang w:eastAsia="fr-FR"/>
        </w:rPr>
        <w:t>m</w:t>
      </w:r>
      <w:r w:rsidR="00347111" w:rsidRPr="004A38A0">
        <w:rPr>
          <w:rFonts w:eastAsia="Times" w:hAnsi="Arial" w:cs="Times New Roman"/>
          <w:color w:val="auto"/>
          <w:szCs w:val="24"/>
          <w:bdr w:val="none" w:sz="0" w:space="0" w:color="auto"/>
          <w:lang w:eastAsia="fr-FR"/>
        </w:rPr>
        <w:t xml:space="preserve">, el crecimiento de los neumáticos </w:t>
      </w:r>
      <w:r w:rsidR="00037592" w:rsidRPr="004A38A0">
        <w:rPr>
          <w:rFonts w:eastAsia="Times" w:hAnsi="Arial" w:cs="Times New Roman"/>
          <w:color w:val="auto"/>
          <w:szCs w:val="24"/>
          <w:bdr w:val="none" w:sz="0" w:space="0" w:color="auto"/>
          <w:lang w:eastAsia="fr-FR"/>
        </w:rPr>
        <w:t xml:space="preserve">de bajo coste procedentes de Asia, que compiten en el segmento de recauchutado, y </w:t>
      </w:r>
      <w:r w:rsidR="00247B3B" w:rsidRPr="004A38A0">
        <w:rPr>
          <w:rFonts w:eastAsia="Times" w:hAnsi="Arial" w:cs="Times New Roman"/>
          <w:color w:val="auto"/>
          <w:szCs w:val="24"/>
          <w:bdr w:val="none" w:sz="0" w:space="0" w:color="auto"/>
          <w:lang w:eastAsia="fr-FR"/>
        </w:rPr>
        <w:t xml:space="preserve">las exportaciones de los distribuidores de fuera de la zona </w:t>
      </w:r>
      <w:r w:rsidR="004A38A0" w:rsidRPr="004A38A0">
        <w:rPr>
          <w:rFonts w:eastAsia="Times" w:hAnsi="Arial" w:cs="Times New Roman"/>
          <w:color w:val="auto"/>
          <w:szCs w:val="24"/>
          <w:bdr w:val="none" w:sz="0" w:space="0" w:color="auto"/>
          <w:lang w:eastAsia="fr-FR"/>
        </w:rPr>
        <w:t>gracias a</w:t>
      </w:r>
      <w:r w:rsidR="00247B3B" w:rsidRPr="004A38A0">
        <w:rPr>
          <w:rFonts w:eastAsia="Times" w:hAnsi="Arial" w:cs="Times New Roman"/>
          <w:color w:val="auto"/>
          <w:szCs w:val="24"/>
          <w:bdr w:val="none" w:sz="0" w:space="0" w:color="auto"/>
          <w:lang w:eastAsia="fr-FR"/>
        </w:rPr>
        <w:t xml:space="preserve"> la bajada del euro</w:t>
      </w:r>
      <w:r w:rsidR="004A38A0" w:rsidRPr="004A38A0">
        <w:rPr>
          <w:rFonts w:eastAsia="Times" w:hAnsi="Arial" w:cs="Times New Roman"/>
          <w:color w:val="auto"/>
          <w:szCs w:val="24"/>
          <w:bdr w:val="none" w:sz="0" w:space="0" w:color="auto"/>
          <w:lang w:eastAsia="fr-FR"/>
        </w:rPr>
        <w:t>.</w:t>
      </w:r>
      <w:r w:rsidRPr="004A38A0">
        <w:rPr>
          <w:rFonts w:eastAsia="Times" w:hAnsi="Arial" w:cs="Times New Roman"/>
          <w:color w:val="auto"/>
          <w:szCs w:val="24"/>
          <w:bdr w:val="none" w:sz="0" w:space="0" w:color="auto"/>
          <w:lang w:eastAsia="fr-FR"/>
        </w:rPr>
        <w:t xml:space="preserve"> En Europa del Este, el mercado </w:t>
      </w:r>
      <w:r w:rsidR="004A38A0">
        <w:rPr>
          <w:rFonts w:eastAsia="Times" w:hAnsi="Arial" w:cs="Times New Roman"/>
          <w:color w:val="auto"/>
          <w:szCs w:val="24"/>
          <w:bdr w:val="none" w:sz="0" w:space="0" w:color="auto"/>
          <w:lang w:eastAsia="fr-FR"/>
        </w:rPr>
        <w:t xml:space="preserve">mantiene la caída </w:t>
      </w:r>
      <w:r w:rsidR="0080799F" w:rsidRPr="004A38A0">
        <w:rPr>
          <w:rFonts w:eastAsia="Times" w:hAnsi="Arial" w:cs="Times New Roman"/>
          <w:color w:val="auto"/>
          <w:szCs w:val="24"/>
          <w:bdr w:val="none" w:sz="0" w:space="0" w:color="auto"/>
          <w:lang w:eastAsia="fr-FR"/>
        </w:rPr>
        <w:t xml:space="preserve">en el año </w:t>
      </w:r>
      <w:r w:rsidR="0080799F">
        <w:rPr>
          <w:rFonts w:eastAsia="Times" w:hAnsi="Arial" w:cs="Times New Roman"/>
          <w:color w:val="auto"/>
          <w:szCs w:val="24"/>
          <w:bdr w:val="none" w:sz="0" w:space="0" w:color="auto"/>
          <w:lang w:eastAsia="fr-FR"/>
        </w:rPr>
        <w:t>(- 11</w:t>
      </w:r>
      <w:r w:rsidRPr="004A38A0">
        <w:rPr>
          <w:rFonts w:eastAsia="Times" w:hAnsi="Arial" w:cs="Times New Roman"/>
          <w:color w:val="auto"/>
          <w:szCs w:val="24"/>
          <w:bdr w:val="none" w:sz="0" w:space="0" w:color="auto"/>
          <w:lang w:eastAsia="fr-FR"/>
        </w:rPr>
        <w:t> %</w:t>
      </w:r>
      <w:r w:rsidR="0080799F">
        <w:rPr>
          <w:rFonts w:eastAsia="Times" w:hAnsi="Arial" w:cs="Times New Roman"/>
          <w:color w:val="auto"/>
          <w:szCs w:val="24"/>
          <w:bdr w:val="none" w:sz="0" w:space="0" w:color="auto"/>
          <w:lang w:eastAsia="fr-FR"/>
        </w:rPr>
        <w:t>) debido a las dificultades en Rusia.</w:t>
      </w:r>
    </w:p>
    <w:p w14:paraId="5BD83967" w14:textId="6BDC97AC" w:rsidR="0080799F" w:rsidRPr="0080799F" w:rsidRDefault="009F7ED2"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cs="Times New Roman"/>
          <w:color w:val="auto"/>
          <w:szCs w:val="24"/>
          <w:bdr w:val="none" w:sz="0" w:space="0" w:color="auto"/>
          <w:lang w:eastAsia="fr-FR"/>
        </w:rPr>
      </w:pPr>
      <w:r w:rsidRPr="0033327A">
        <w:rPr>
          <w:rFonts w:eastAsia="Times" w:hAnsi="Arial" w:cs="Times New Roman"/>
          <w:color w:val="auto"/>
          <w:szCs w:val="24"/>
          <w:bdr w:val="none" w:sz="0" w:space="0" w:color="auto"/>
          <w:lang w:eastAsia="fr-FR"/>
        </w:rPr>
        <w:t xml:space="preserve">En América del Norte, el mercado continúa </w:t>
      </w:r>
      <w:r w:rsidR="00A17DF4">
        <w:rPr>
          <w:rFonts w:eastAsia="Times" w:hAnsi="Arial" w:cs="Times New Roman"/>
          <w:color w:val="auto"/>
          <w:szCs w:val="24"/>
          <w:bdr w:val="none" w:sz="0" w:space="0" w:color="auto"/>
          <w:lang w:eastAsia="fr-FR"/>
        </w:rPr>
        <w:t>siempre bien orientado (+ 4 %)</w:t>
      </w:r>
      <w:r w:rsidRPr="0033327A">
        <w:rPr>
          <w:rFonts w:eastAsia="Times" w:hAnsi="Arial" w:cs="Times New Roman"/>
          <w:color w:val="auto"/>
          <w:szCs w:val="24"/>
          <w:bdr w:val="none" w:sz="0" w:space="0" w:color="auto"/>
          <w:lang w:eastAsia="fr-FR"/>
        </w:rPr>
        <w:t xml:space="preserve"> </w:t>
      </w:r>
      <w:r w:rsidR="00A17DF4">
        <w:rPr>
          <w:rFonts w:eastAsia="Times" w:hAnsi="Arial" w:cs="Times New Roman"/>
          <w:color w:val="auto"/>
          <w:szCs w:val="24"/>
          <w:bdr w:val="none" w:sz="0" w:space="0" w:color="auto"/>
          <w:lang w:eastAsia="fr-FR"/>
        </w:rPr>
        <w:t xml:space="preserve">gracias a la demanda </w:t>
      </w:r>
      <w:r w:rsidRPr="0033327A">
        <w:rPr>
          <w:rFonts w:eastAsia="Times" w:hAnsi="Arial" w:cs="Times New Roman"/>
          <w:color w:val="auto"/>
          <w:szCs w:val="24"/>
          <w:bdr w:val="none" w:sz="0" w:space="0" w:color="auto"/>
          <w:lang w:eastAsia="fr-FR"/>
        </w:rPr>
        <w:t>de</w:t>
      </w:r>
      <w:r w:rsidR="00AE754D">
        <w:rPr>
          <w:rFonts w:eastAsia="Times" w:hAnsi="Arial" w:cs="Times New Roman"/>
          <w:color w:val="auto"/>
          <w:szCs w:val="24"/>
          <w:bdr w:val="none" w:sz="0" w:space="0" w:color="auto"/>
          <w:lang w:eastAsia="fr-FR"/>
        </w:rPr>
        <w:t xml:space="preserve"> transporte, que sigue fuerte en una economía dinámica</w:t>
      </w:r>
      <w:r w:rsidR="0080799F" w:rsidRPr="0080799F">
        <w:rPr>
          <w:rFonts w:eastAsia="Times" w:hAnsi="Arial" w:cs="Times New Roman"/>
          <w:color w:val="auto"/>
          <w:szCs w:val="24"/>
          <w:bdr w:val="none" w:sz="0" w:space="0" w:color="auto"/>
          <w:lang w:eastAsia="fr-FR"/>
        </w:rPr>
        <w:t>.</w:t>
      </w:r>
    </w:p>
    <w:p w14:paraId="7242B6B2" w14:textId="62B8A32C" w:rsidR="004204E7" w:rsidRDefault="009F7ED2" w:rsidP="00BD06E7">
      <w:pPr>
        <w:pStyle w:val="TextoMichelin"/>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ind w:left="993" w:hanging="426"/>
        <w:rPr>
          <w:rFonts w:eastAsia="Times" w:hAnsi="Arial" w:cs="Times New Roman"/>
          <w:color w:val="auto"/>
          <w:szCs w:val="24"/>
          <w:bdr w:val="none" w:sz="0" w:space="0" w:color="auto"/>
          <w:lang w:eastAsia="fr-FR"/>
        </w:rPr>
      </w:pPr>
      <w:r w:rsidRPr="0033327A">
        <w:rPr>
          <w:rFonts w:eastAsia="Times" w:hAnsi="Arial" w:cs="Times New Roman"/>
          <w:color w:val="auto"/>
          <w:szCs w:val="24"/>
          <w:bdr w:val="none" w:sz="0" w:space="0" w:color="auto"/>
          <w:lang w:eastAsia="fr-FR"/>
        </w:rPr>
        <w:t xml:space="preserve">Los mercados de Asia (sin incluir India) </w:t>
      </w:r>
      <w:r w:rsidR="00AE754D">
        <w:rPr>
          <w:rFonts w:eastAsia="Times" w:hAnsi="Arial" w:cs="Times New Roman"/>
          <w:color w:val="auto"/>
          <w:szCs w:val="24"/>
          <w:bdr w:val="none" w:sz="0" w:space="0" w:color="auto"/>
          <w:lang w:eastAsia="fr-FR"/>
        </w:rPr>
        <w:t>radial y diagonal baja</w:t>
      </w:r>
      <w:r w:rsidR="009B3E87">
        <w:rPr>
          <w:rFonts w:eastAsia="Times" w:hAnsi="Arial" w:cs="Times New Roman"/>
          <w:color w:val="auto"/>
          <w:szCs w:val="24"/>
          <w:bdr w:val="none" w:sz="0" w:space="0" w:color="auto"/>
          <w:lang w:eastAsia="fr-FR"/>
        </w:rPr>
        <w:t>n</w:t>
      </w:r>
      <w:r w:rsidR="00AE754D">
        <w:rPr>
          <w:rFonts w:eastAsia="Times" w:hAnsi="Arial" w:cs="Times New Roman"/>
          <w:color w:val="auto"/>
          <w:szCs w:val="24"/>
          <w:bdr w:val="none" w:sz="0" w:space="0" w:color="auto"/>
          <w:lang w:eastAsia="fr-FR"/>
        </w:rPr>
        <w:t xml:space="preserve"> </w:t>
      </w:r>
      <w:r w:rsidR="009B3E87">
        <w:rPr>
          <w:rFonts w:eastAsia="Times" w:hAnsi="Arial" w:cs="Times New Roman"/>
          <w:color w:val="auto"/>
          <w:szCs w:val="24"/>
          <w:bdr w:val="none" w:sz="0" w:space="0" w:color="auto"/>
          <w:lang w:eastAsia="fr-FR"/>
        </w:rPr>
        <w:t>un</w:t>
      </w:r>
      <w:r w:rsidR="004204E7">
        <w:rPr>
          <w:rFonts w:eastAsia="Times" w:hAnsi="Arial" w:cs="Times New Roman"/>
          <w:color w:val="auto"/>
          <w:szCs w:val="24"/>
          <w:bdr w:val="none" w:sz="0" w:space="0" w:color="auto"/>
          <w:lang w:eastAsia="fr-FR"/>
        </w:rPr>
        <w:t xml:space="preserve"> 3 </w:t>
      </w:r>
      <w:r w:rsidRPr="0033327A">
        <w:rPr>
          <w:rFonts w:eastAsia="Times" w:hAnsi="Arial" w:cs="Times New Roman"/>
          <w:color w:val="auto"/>
          <w:szCs w:val="24"/>
          <w:bdr w:val="none" w:sz="0" w:space="0" w:color="auto"/>
          <w:lang w:eastAsia="fr-FR"/>
        </w:rPr>
        <w:t xml:space="preserve">%. En China, </w:t>
      </w:r>
      <w:r w:rsidR="004204E7">
        <w:rPr>
          <w:rFonts w:eastAsia="Times" w:hAnsi="Arial" w:cs="Times New Roman"/>
          <w:color w:val="auto"/>
          <w:szCs w:val="24"/>
          <w:bdr w:val="none" w:sz="0" w:space="0" w:color="auto"/>
          <w:lang w:eastAsia="fr-FR"/>
        </w:rPr>
        <w:t>la demanda cae un 3 % con una actividad de transporte penalizada por la ralentización del ritmo de crecimiento económico. En el resto de la zona, los mercados están globalmente en retroceso</w:t>
      </w:r>
      <w:r w:rsidR="0031310B">
        <w:rPr>
          <w:rFonts w:eastAsia="Times" w:hAnsi="Arial" w:cs="Times New Roman"/>
          <w:color w:val="auto"/>
          <w:szCs w:val="24"/>
          <w:bdr w:val="none" w:sz="0" w:space="0" w:color="auto"/>
          <w:lang w:eastAsia="fr-FR"/>
        </w:rPr>
        <w:t>, con una caída especialmente significativa en Tailandia y, en menor medida, en Japón, donde el mercado sufre una bajada acentuada en comparación con el inicio de 2014</w:t>
      </w:r>
      <w:r w:rsidR="004B45E9">
        <w:rPr>
          <w:rFonts w:eastAsia="Times" w:hAnsi="Arial" w:cs="Times New Roman"/>
          <w:color w:val="auto"/>
          <w:szCs w:val="24"/>
          <w:bdr w:val="none" w:sz="0" w:space="0" w:color="auto"/>
          <w:lang w:eastAsia="fr-FR"/>
        </w:rPr>
        <w:t>, que había experimentado un fuerte crecimiento antes de la subida del IVA.</w:t>
      </w:r>
    </w:p>
    <w:p w14:paraId="7D89E76A" w14:textId="00EBEBD3" w:rsidR="00A630DF" w:rsidRPr="00A630DF" w:rsidRDefault="009F7ED2" w:rsidP="00BD06E7">
      <w:pPr>
        <w:pStyle w:val="TextoMichelin"/>
        <w:numPr>
          <w:ilvl w:val="0"/>
          <w:numId w:val="15"/>
        </w:numPr>
        <w:ind w:left="993" w:hanging="426"/>
        <w:rPr>
          <w:rFonts w:eastAsia="Times" w:hAnsi="Arial"/>
          <w:bdr w:val="none" w:sz="0" w:space="0" w:color="auto"/>
          <w:lang w:eastAsia="fr-FR"/>
        </w:rPr>
      </w:pPr>
      <w:r w:rsidRPr="0033327A">
        <w:rPr>
          <w:rFonts w:eastAsia="Times" w:hAnsi="Arial" w:cs="Times New Roman"/>
          <w:color w:val="auto"/>
          <w:szCs w:val="24"/>
          <w:bdr w:val="none" w:sz="0" w:space="0" w:color="auto"/>
          <w:lang w:eastAsia="fr-FR"/>
        </w:rPr>
        <w:t xml:space="preserve">En Sudamérica, el mercado </w:t>
      </w:r>
      <w:r w:rsidR="004B45E9">
        <w:rPr>
          <w:rFonts w:eastAsia="Times" w:hAnsi="Arial" w:cs="Times New Roman"/>
          <w:color w:val="auto"/>
          <w:szCs w:val="24"/>
          <w:bdr w:val="none" w:sz="0" w:space="0" w:color="auto"/>
          <w:lang w:eastAsia="fr-FR"/>
        </w:rPr>
        <w:t xml:space="preserve">radial y diagonal </w:t>
      </w:r>
      <w:r w:rsidRPr="0033327A">
        <w:rPr>
          <w:rFonts w:eastAsia="Times" w:hAnsi="Arial" w:cs="Times New Roman"/>
          <w:color w:val="auto"/>
          <w:szCs w:val="24"/>
          <w:bdr w:val="none" w:sz="0" w:space="0" w:color="auto"/>
          <w:lang w:eastAsia="fr-FR"/>
        </w:rPr>
        <w:t xml:space="preserve">cae un </w:t>
      </w:r>
      <w:r w:rsidR="004B45E9">
        <w:rPr>
          <w:rFonts w:eastAsia="Times" w:hAnsi="Arial" w:cs="Times New Roman"/>
          <w:color w:val="auto"/>
          <w:szCs w:val="24"/>
          <w:bdr w:val="none" w:sz="0" w:space="0" w:color="auto"/>
          <w:lang w:eastAsia="fr-FR"/>
        </w:rPr>
        <w:t>8</w:t>
      </w:r>
      <w:r w:rsidRPr="0033327A">
        <w:rPr>
          <w:rFonts w:eastAsia="Times" w:hAnsi="Arial" w:cs="Times New Roman"/>
          <w:color w:val="auto"/>
          <w:szCs w:val="24"/>
          <w:bdr w:val="none" w:sz="0" w:space="0" w:color="auto"/>
          <w:lang w:eastAsia="fr-FR"/>
        </w:rPr>
        <w:t xml:space="preserve"> %</w:t>
      </w:r>
      <w:r w:rsidR="006004D8">
        <w:rPr>
          <w:rFonts w:eastAsia="Times" w:hAnsi="Arial" w:cs="Times New Roman"/>
          <w:color w:val="auto"/>
          <w:szCs w:val="24"/>
          <w:bdr w:val="none" w:sz="0" w:space="0" w:color="auto"/>
          <w:lang w:eastAsia="fr-FR"/>
        </w:rPr>
        <w:t>, con una bajada más acentuada en</w:t>
      </w:r>
      <w:r w:rsidRPr="0033327A">
        <w:rPr>
          <w:rFonts w:eastAsia="Times" w:hAnsi="Arial" w:cs="Times New Roman"/>
          <w:color w:val="auto"/>
          <w:szCs w:val="24"/>
          <w:bdr w:val="none" w:sz="0" w:space="0" w:color="auto"/>
          <w:lang w:eastAsia="fr-FR"/>
        </w:rPr>
        <w:t xml:space="preserve"> </w:t>
      </w:r>
      <w:r w:rsidR="006004D8" w:rsidRPr="0033327A">
        <w:rPr>
          <w:rFonts w:eastAsia="Times" w:hAnsi="Arial" w:cs="Times New Roman"/>
          <w:color w:val="auto"/>
          <w:szCs w:val="24"/>
          <w:bdr w:val="none" w:sz="0" w:space="0" w:color="auto"/>
          <w:lang w:eastAsia="fr-FR"/>
        </w:rPr>
        <w:t>Brasil</w:t>
      </w:r>
      <w:r w:rsidR="006004D8">
        <w:rPr>
          <w:rFonts w:eastAsia="Times" w:hAnsi="Arial" w:cs="Times New Roman"/>
          <w:color w:val="auto"/>
          <w:szCs w:val="24"/>
          <w:bdr w:val="none" w:sz="0" w:space="0" w:color="auto"/>
          <w:lang w:eastAsia="fr-FR"/>
        </w:rPr>
        <w:t>,</w:t>
      </w:r>
      <w:r w:rsidR="006004D8" w:rsidRPr="0033327A">
        <w:rPr>
          <w:rFonts w:eastAsia="Times" w:hAnsi="Arial" w:cs="Times New Roman"/>
          <w:color w:val="auto"/>
          <w:szCs w:val="24"/>
          <w:bdr w:val="none" w:sz="0" w:space="0" w:color="auto"/>
          <w:lang w:eastAsia="fr-FR"/>
        </w:rPr>
        <w:t xml:space="preserve"> </w:t>
      </w:r>
      <w:r w:rsidRPr="0033327A">
        <w:rPr>
          <w:rFonts w:eastAsia="Times" w:hAnsi="Arial" w:cs="Times New Roman"/>
          <w:color w:val="auto"/>
          <w:szCs w:val="24"/>
          <w:bdr w:val="none" w:sz="0" w:space="0" w:color="auto"/>
          <w:lang w:eastAsia="fr-FR"/>
        </w:rPr>
        <w:t xml:space="preserve">en un entorno económico difícil. </w:t>
      </w:r>
    </w:p>
    <w:p w14:paraId="468799B7" w14:textId="77777777" w:rsidR="00700DFB" w:rsidRPr="0033327A" w:rsidRDefault="00700DFB">
      <w:pPr>
        <w:pStyle w:val="Cuerpo"/>
        <w:tabs>
          <w:tab w:val="left" w:pos="284"/>
        </w:tabs>
        <w:jc w:val="both"/>
        <w:rPr>
          <w:rFonts w:ascii="Verdana" w:eastAsia="Verdana" w:hAnsi="Verdana" w:cs="Verdana"/>
          <w:b/>
          <w:bCs/>
          <w:shd w:val="clear" w:color="auto" w:fill="FF0000"/>
        </w:rPr>
      </w:pPr>
    </w:p>
    <w:p w14:paraId="5B20D83F" w14:textId="77777777" w:rsidR="00700DFB" w:rsidRPr="0033327A" w:rsidRDefault="009F7ED2">
      <w:pPr>
        <w:pStyle w:val="Cuerpo"/>
        <w:tabs>
          <w:tab w:val="left" w:pos="284"/>
        </w:tabs>
        <w:jc w:val="both"/>
        <w:rPr>
          <w:b/>
          <w:bCs/>
          <w:sz w:val="26"/>
          <w:szCs w:val="26"/>
        </w:rPr>
      </w:pPr>
      <w:r w:rsidRPr="0033327A">
        <w:rPr>
          <w:b/>
          <w:bCs/>
          <w:sz w:val="26"/>
          <w:szCs w:val="26"/>
        </w:rPr>
        <w:t>Neumáticos de especialidades</w:t>
      </w:r>
    </w:p>
    <w:p w14:paraId="1614CFC4" w14:textId="77777777" w:rsidR="00700DFB" w:rsidRPr="0033327A" w:rsidRDefault="00700DFB">
      <w:pPr>
        <w:pStyle w:val="Cuerpo"/>
        <w:tabs>
          <w:tab w:val="left" w:pos="284"/>
        </w:tabs>
        <w:jc w:val="both"/>
        <w:rPr>
          <w:rFonts w:ascii="Verdana" w:eastAsia="Verdana" w:hAnsi="Verdana" w:cs="Verdana"/>
          <w:b/>
          <w:bCs/>
          <w:shd w:val="clear" w:color="auto" w:fill="FF0000"/>
        </w:rPr>
      </w:pPr>
    </w:p>
    <w:p w14:paraId="3AC0595A" w14:textId="3FB2959B" w:rsidR="006F245F" w:rsidRPr="006F245F" w:rsidRDefault="009F7ED2" w:rsidP="00BD06E7">
      <w:pPr>
        <w:pStyle w:val="TextoMichelin"/>
        <w:numPr>
          <w:ilvl w:val="0"/>
          <w:numId w:val="16"/>
        </w:numPr>
        <w:rPr>
          <w:rFonts w:eastAsia="Arial" w:hAnsi="Arial" w:cs="Arial"/>
        </w:rPr>
      </w:pPr>
      <w:r w:rsidRPr="0033327A">
        <w:rPr>
          <w:b/>
          <w:bCs/>
        </w:rPr>
        <w:t>Ingenier</w:t>
      </w:r>
      <w:r w:rsidRPr="0033327A">
        <w:rPr>
          <w:rFonts w:ascii="Arial Unicode MS"/>
          <w:b/>
          <w:bCs/>
        </w:rPr>
        <w:t>í</w:t>
      </w:r>
      <w:r w:rsidRPr="0033327A">
        <w:rPr>
          <w:b/>
          <w:bCs/>
        </w:rPr>
        <w:t xml:space="preserve">a civil: </w:t>
      </w:r>
      <w:r w:rsidRPr="0033327A">
        <w:t>El mercado de neum</w:t>
      </w:r>
      <w:r w:rsidRPr="0033327A">
        <w:rPr>
          <w:rFonts w:ascii="Arial Unicode MS"/>
        </w:rPr>
        <w:t>á</w:t>
      </w:r>
      <w:r w:rsidRPr="0033327A">
        <w:t>ticos para miner</w:t>
      </w:r>
      <w:r w:rsidRPr="0033327A">
        <w:rPr>
          <w:rFonts w:ascii="Arial Unicode MS"/>
        </w:rPr>
        <w:t>í</w:t>
      </w:r>
      <w:r w:rsidRPr="0033327A">
        <w:t xml:space="preserve">a </w:t>
      </w:r>
      <w:r w:rsidR="00B40110">
        <w:t>disminuye</w:t>
      </w:r>
      <w:r w:rsidRPr="0033327A">
        <w:t xml:space="preserve"> significativ</w:t>
      </w:r>
      <w:r w:rsidR="00B40110">
        <w:t>amente</w:t>
      </w:r>
      <w:r w:rsidRPr="0033327A">
        <w:t xml:space="preserve"> </w:t>
      </w:r>
      <w:r w:rsidR="00B40110">
        <w:t>por segundo a</w:t>
      </w:r>
      <w:r w:rsidR="00B40110">
        <w:t>ñ</w:t>
      </w:r>
      <w:r w:rsidR="00B40110">
        <w:t>o consecutivo</w:t>
      </w:r>
      <w:r w:rsidRPr="0033327A">
        <w:t>, penalizado por la disminuci</w:t>
      </w:r>
      <w:r w:rsidRPr="0033327A">
        <w:rPr>
          <w:rFonts w:ascii="Arial Unicode MS"/>
        </w:rPr>
        <w:t>ó</w:t>
      </w:r>
      <w:r w:rsidRPr="0033327A">
        <w:t>n del stock de las compa</w:t>
      </w:r>
      <w:r w:rsidRPr="0033327A">
        <w:rPr>
          <w:rFonts w:ascii="Arial Unicode MS"/>
        </w:rPr>
        <w:t>ñí</w:t>
      </w:r>
      <w:r w:rsidRPr="0033327A">
        <w:t>as mineras y la bajada de</w:t>
      </w:r>
      <w:r w:rsidR="00B40110">
        <w:t>l consumo de neum</w:t>
      </w:r>
      <w:r w:rsidR="00B40110">
        <w:t>á</w:t>
      </w:r>
      <w:r w:rsidR="00B40110">
        <w:t>ticos</w:t>
      </w:r>
      <w:r w:rsidRPr="0033327A">
        <w:t xml:space="preserve"> </w:t>
      </w:r>
      <w:r w:rsidR="00800EFA">
        <w:t>(</w:t>
      </w:r>
      <w:r w:rsidRPr="0033327A">
        <w:t>extracci</w:t>
      </w:r>
      <w:r w:rsidRPr="0033327A">
        <w:rPr>
          <w:rFonts w:ascii="Arial Unicode MS"/>
        </w:rPr>
        <w:t>ó</w:t>
      </w:r>
      <w:r w:rsidRPr="0033327A">
        <w:t xml:space="preserve">n </w:t>
      </w:r>
      <w:r w:rsidR="00800EFA" w:rsidRPr="0033327A">
        <w:t>en ca</w:t>
      </w:r>
      <w:r w:rsidR="00800EFA" w:rsidRPr="0033327A">
        <w:rPr>
          <w:rFonts w:ascii="Arial Unicode MS"/>
        </w:rPr>
        <w:t>í</w:t>
      </w:r>
      <w:r w:rsidR="00800EFA" w:rsidRPr="0033327A">
        <w:t>da</w:t>
      </w:r>
      <w:r w:rsidR="00800EFA">
        <w:t xml:space="preserve"> y esfuerzo</w:t>
      </w:r>
      <w:r w:rsidR="00766726">
        <w:t>s de productividad de las minas</w:t>
      </w:r>
      <w:r w:rsidR="00800EFA">
        <w:t>)</w:t>
      </w:r>
      <w:r w:rsidRPr="0033327A">
        <w:t xml:space="preserve">. </w:t>
      </w:r>
    </w:p>
    <w:p w14:paraId="0F56D288" w14:textId="4AA175DB" w:rsidR="006F245F" w:rsidRDefault="009F7ED2" w:rsidP="006F245F">
      <w:pPr>
        <w:pStyle w:val="TextoMichelin"/>
        <w:ind w:left="720"/>
        <w:rPr>
          <w:rFonts w:eastAsia="Arial" w:hAnsi="Arial" w:cs="Arial"/>
        </w:rPr>
      </w:pPr>
      <w:r w:rsidRPr="006F245F">
        <w:t xml:space="preserve">Los mercados de primeros equipos </w:t>
      </w:r>
      <w:r w:rsidR="00766726">
        <w:t>caen</w:t>
      </w:r>
      <w:r w:rsidRPr="006F245F">
        <w:t xml:space="preserve"> en las zonas maduras, </w:t>
      </w:r>
      <w:r w:rsidR="00766726">
        <w:t>tras un cambio de te</w:t>
      </w:r>
      <w:r w:rsidR="00C1555B">
        <w:t>ndencia en el cuarto trimestre. Bajan muy pronunciadamente en China</w:t>
      </w:r>
      <w:r w:rsidRPr="006F245F">
        <w:t>.</w:t>
      </w:r>
    </w:p>
    <w:p w14:paraId="71E2DC83" w14:textId="1021DD92" w:rsidR="00700DFB" w:rsidRDefault="009F7ED2" w:rsidP="006F245F">
      <w:pPr>
        <w:pStyle w:val="TextoMichelin"/>
        <w:ind w:left="720"/>
      </w:pPr>
      <w:r w:rsidRPr="0033327A">
        <w:t>El mercado de neum</w:t>
      </w:r>
      <w:r w:rsidRPr="0033327A">
        <w:t>á</w:t>
      </w:r>
      <w:r w:rsidRPr="0033327A">
        <w:t>ticos para infraestructuras y canteras est</w:t>
      </w:r>
      <w:r w:rsidRPr="0033327A">
        <w:t>á</w:t>
      </w:r>
      <w:r w:rsidRPr="0033327A">
        <w:t xml:space="preserve"> en crecimiento en los pa</w:t>
      </w:r>
      <w:r w:rsidRPr="0033327A">
        <w:t>í</w:t>
      </w:r>
      <w:r w:rsidRPr="0033327A">
        <w:t xml:space="preserve">ses maduros, </w:t>
      </w:r>
      <w:r w:rsidR="00C1555B">
        <w:t>animados</w:t>
      </w:r>
      <w:r w:rsidRPr="0033327A">
        <w:t xml:space="preserve"> especialmente</w:t>
      </w:r>
      <w:r w:rsidR="00C1555B">
        <w:t xml:space="preserve"> por Am</w:t>
      </w:r>
      <w:r w:rsidR="00C1555B">
        <w:t>é</w:t>
      </w:r>
      <w:r w:rsidR="00C1555B">
        <w:t>rica del Norte</w:t>
      </w:r>
      <w:r w:rsidRPr="0033327A">
        <w:t xml:space="preserve">. </w:t>
      </w:r>
    </w:p>
    <w:p w14:paraId="7598C762" w14:textId="2A5EB7C3" w:rsidR="00CE4BC4" w:rsidRPr="00CE4BC4" w:rsidRDefault="009F7ED2" w:rsidP="00BD06E7">
      <w:pPr>
        <w:pStyle w:val="TextoMichelin"/>
        <w:numPr>
          <w:ilvl w:val="0"/>
          <w:numId w:val="16"/>
        </w:numPr>
        <w:rPr>
          <w:rFonts w:eastAsia="Arial" w:hAnsi="Arial" w:cs="Arial"/>
        </w:rPr>
      </w:pPr>
      <w:r w:rsidRPr="0033327A">
        <w:rPr>
          <w:b/>
          <w:bCs/>
        </w:rPr>
        <w:t>Agr</w:t>
      </w:r>
      <w:r w:rsidRPr="0033327A">
        <w:rPr>
          <w:rFonts w:ascii="Arial Unicode MS"/>
          <w:b/>
          <w:bCs/>
        </w:rPr>
        <w:t>í</w:t>
      </w:r>
      <w:r w:rsidRPr="0033327A">
        <w:rPr>
          <w:b/>
          <w:bCs/>
        </w:rPr>
        <w:t xml:space="preserve">cola: </w:t>
      </w:r>
      <w:r w:rsidRPr="0033327A">
        <w:t xml:space="preserve">La demanda mundial del mercado de primeros equipos baja </w:t>
      </w:r>
      <w:r w:rsidR="00CE4BC4">
        <w:t>fuerte</w:t>
      </w:r>
      <w:r w:rsidRPr="0033327A">
        <w:t>mente en los pa</w:t>
      </w:r>
      <w:r w:rsidRPr="0033327A">
        <w:rPr>
          <w:rFonts w:ascii="Arial Unicode MS"/>
        </w:rPr>
        <w:t>í</w:t>
      </w:r>
      <w:r w:rsidRPr="0033327A">
        <w:t>ses maduros debido a</w:t>
      </w:r>
      <w:r w:rsidR="0045691D">
        <w:t>l retroceso de</w:t>
      </w:r>
      <w:r w:rsidRPr="0033327A">
        <w:t xml:space="preserve"> </w:t>
      </w:r>
      <w:r w:rsidR="0045691D">
        <w:t>los precios de las materias primas agr</w:t>
      </w:r>
      <w:r w:rsidR="0045691D">
        <w:t>í</w:t>
      </w:r>
      <w:r w:rsidR="0045691D">
        <w:t xml:space="preserve">colas </w:t>
      </w:r>
      <w:r w:rsidR="00F93FEA">
        <w:t xml:space="preserve">y al </w:t>
      </w:r>
      <w:r w:rsidRPr="0033327A">
        <w:t xml:space="preserve">parque </w:t>
      </w:r>
      <w:r w:rsidR="00F93FEA">
        <w:t>de maquinaria recientemente renovado; la demanda se mantiene estable en el cuarto trimestre. En los pa</w:t>
      </w:r>
      <w:r w:rsidR="00F93FEA">
        <w:t>í</w:t>
      </w:r>
      <w:r w:rsidR="00F93FEA">
        <w:t>ses maduros, el mercado de reemplazo disminuye por estas mismas razones.</w:t>
      </w:r>
      <w:r w:rsidR="00C1555B" w:rsidRPr="00C1555B">
        <w:rPr>
          <w:rFonts w:ascii="Verdana" w:eastAsia="Times New Roman" w:hAnsi="Verdana" w:cs="Arial"/>
          <w:color w:val="auto"/>
          <w:sz w:val="18"/>
          <w:szCs w:val="18"/>
          <w:bdr w:val="none" w:sz="0" w:space="0" w:color="auto"/>
          <w:lang w:eastAsia="fr-FR"/>
        </w:rPr>
        <w:t xml:space="preserve"> </w:t>
      </w:r>
    </w:p>
    <w:p w14:paraId="3CD0A728" w14:textId="608D804A" w:rsidR="00700DFB" w:rsidRPr="0033327A" w:rsidRDefault="009F7ED2" w:rsidP="00BD06E7">
      <w:pPr>
        <w:pStyle w:val="TextoMichelin"/>
        <w:numPr>
          <w:ilvl w:val="0"/>
          <w:numId w:val="16"/>
        </w:numPr>
        <w:rPr>
          <w:rFonts w:eastAsia="Arial" w:hAnsi="Arial" w:cs="Arial"/>
        </w:rPr>
      </w:pPr>
      <w:r w:rsidRPr="0033327A">
        <w:rPr>
          <w:b/>
          <w:bCs/>
        </w:rPr>
        <w:t>Dos ruedas</w:t>
      </w:r>
      <w:r w:rsidRPr="0033327A">
        <w:t xml:space="preserve">: </w:t>
      </w:r>
      <w:r w:rsidR="00042375">
        <w:t>La demanda</w:t>
      </w:r>
      <w:r w:rsidRPr="0033327A">
        <w:t xml:space="preserve"> de </w:t>
      </w:r>
      <w:r w:rsidR="00072783">
        <w:t>M</w:t>
      </w:r>
      <w:r w:rsidRPr="0033327A">
        <w:t>oto</w:t>
      </w:r>
      <w:r w:rsidR="00072783">
        <w:t xml:space="preserve"> y Scooter</w:t>
      </w:r>
      <w:r w:rsidRPr="0033327A">
        <w:t xml:space="preserve"> </w:t>
      </w:r>
      <w:r w:rsidR="00072783">
        <w:t>est</w:t>
      </w:r>
      <w:r w:rsidR="00072783">
        <w:t>á</w:t>
      </w:r>
      <w:r w:rsidR="00072783">
        <w:t xml:space="preserve"> al alza </w:t>
      </w:r>
      <w:r w:rsidR="00042375">
        <w:t xml:space="preserve">tanto </w:t>
      </w:r>
      <w:r w:rsidR="00072783">
        <w:t>en los pa</w:t>
      </w:r>
      <w:r w:rsidR="00072783">
        <w:t>í</w:t>
      </w:r>
      <w:r w:rsidR="00042375">
        <w:t>ses maduros como en los nuevos mercados</w:t>
      </w:r>
      <w:r w:rsidR="00072783" w:rsidRPr="00072783">
        <w:t>.</w:t>
      </w:r>
    </w:p>
    <w:p w14:paraId="2BA97F2D" w14:textId="2FD6A82B" w:rsidR="00700DFB" w:rsidRPr="00042375" w:rsidRDefault="009F7ED2" w:rsidP="00BD06E7">
      <w:pPr>
        <w:pStyle w:val="TextoMichelin"/>
        <w:numPr>
          <w:ilvl w:val="0"/>
          <w:numId w:val="16"/>
        </w:numPr>
      </w:pPr>
      <w:r w:rsidRPr="0033327A">
        <w:rPr>
          <w:b/>
          <w:bCs/>
        </w:rPr>
        <w:t>Avi</w:t>
      </w:r>
      <w:r w:rsidRPr="0033327A">
        <w:rPr>
          <w:rFonts w:ascii="Arial Unicode MS"/>
          <w:b/>
          <w:bCs/>
        </w:rPr>
        <w:t>ó</w:t>
      </w:r>
      <w:r w:rsidRPr="0033327A">
        <w:rPr>
          <w:b/>
          <w:bCs/>
        </w:rPr>
        <w:t>n:</w:t>
      </w:r>
      <w:r w:rsidRPr="0033327A">
        <w:t xml:space="preserve"> El mercados de neum</w:t>
      </w:r>
      <w:r w:rsidRPr="0033327A">
        <w:rPr>
          <w:rFonts w:ascii="Arial Unicode MS"/>
        </w:rPr>
        <w:t>á</w:t>
      </w:r>
      <w:r w:rsidRPr="0033327A">
        <w:t>ticos para aviaci</w:t>
      </w:r>
      <w:r w:rsidRPr="0033327A">
        <w:rPr>
          <w:rFonts w:ascii="Arial Unicode MS"/>
        </w:rPr>
        <w:t>ó</w:t>
      </w:r>
      <w:r w:rsidRPr="0033327A">
        <w:t xml:space="preserve">n comercial </w:t>
      </w:r>
      <w:r w:rsidR="005503AB">
        <w:t>contin</w:t>
      </w:r>
      <w:r w:rsidR="005503AB">
        <w:t>ú</w:t>
      </w:r>
      <w:r w:rsidR="005503AB">
        <w:t>a creciendo</w:t>
      </w:r>
      <w:r w:rsidR="00042375">
        <w:t>, impulsado por e</w:t>
      </w:r>
      <w:r w:rsidRPr="0033327A">
        <w:t>l aumento del tr</w:t>
      </w:r>
      <w:r w:rsidRPr="00042375">
        <w:rPr>
          <w:rFonts w:ascii="Arial Unicode MS"/>
        </w:rPr>
        <w:t>á</w:t>
      </w:r>
      <w:r w:rsidRPr="0033327A">
        <w:t>fico de pasajeros</w:t>
      </w:r>
      <w:r w:rsidR="00E6743C" w:rsidRPr="0033327A">
        <w:t>.</w:t>
      </w:r>
    </w:p>
    <w:p w14:paraId="0363AB97" w14:textId="1A4980F3" w:rsidR="00700DFB" w:rsidRPr="0033327A" w:rsidRDefault="009F7ED2">
      <w:pPr>
        <w:pStyle w:val="Cuerpo"/>
        <w:spacing w:after="60"/>
        <w:jc w:val="both"/>
        <w:rPr>
          <w:b/>
          <w:bCs/>
          <w:color w:val="333399"/>
          <w:sz w:val="40"/>
          <w:szCs w:val="40"/>
          <w:u w:color="333399"/>
        </w:rPr>
      </w:pPr>
      <w:r w:rsidRPr="0033327A">
        <w:rPr>
          <w:b/>
          <w:bCs/>
          <w:color w:val="333399"/>
          <w:sz w:val="40"/>
          <w:szCs w:val="40"/>
          <w:u w:color="333399"/>
        </w:rPr>
        <w:lastRenderedPageBreak/>
        <w:t xml:space="preserve">Actividad y resultados de </w:t>
      </w:r>
      <w:r w:rsidR="00D46DF5" w:rsidRPr="0033327A">
        <w:rPr>
          <w:b/>
          <w:bCs/>
          <w:color w:val="333399"/>
          <w:sz w:val="40"/>
          <w:szCs w:val="40"/>
          <w:u w:color="333399"/>
        </w:rPr>
        <w:t>2015</w:t>
      </w:r>
    </w:p>
    <w:p w14:paraId="21BA791A" w14:textId="77777777" w:rsidR="00700DFB" w:rsidRPr="0033327A" w:rsidRDefault="009F7ED2">
      <w:pPr>
        <w:pStyle w:val="LadilloMichelinDossier"/>
      </w:pPr>
      <w:r w:rsidRPr="0033327A">
        <w:t>Ventas netas</w:t>
      </w:r>
    </w:p>
    <w:p w14:paraId="0A5444A8" w14:textId="4D354B9B" w:rsidR="00F126E2" w:rsidRDefault="00091C14">
      <w:pPr>
        <w:pStyle w:val="TextoMichelin"/>
        <w:rPr>
          <w:color w:val="auto"/>
        </w:rPr>
      </w:pPr>
      <w:r>
        <w:rPr>
          <w:color w:val="auto"/>
          <w:lang w:val="es-ES"/>
        </w:rPr>
        <w:t>L</w:t>
      </w:r>
      <w:r w:rsidRPr="00091C14">
        <w:rPr>
          <w:color w:val="auto"/>
          <w:lang w:val="es-ES"/>
        </w:rPr>
        <w:t xml:space="preserve">as ventas netas alcanzan los </w:t>
      </w:r>
      <w:r w:rsidR="00F126E2" w:rsidRPr="00F126E2">
        <w:rPr>
          <w:color w:val="auto"/>
        </w:rPr>
        <w:t>21</w:t>
      </w:r>
      <w:r>
        <w:rPr>
          <w:color w:val="auto"/>
        </w:rPr>
        <w:t>.</w:t>
      </w:r>
      <w:r w:rsidR="00F126E2" w:rsidRPr="00F126E2">
        <w:rPr>
          <w:color w:val="auto"/>
        </w:rPr>
        <w:t xml:space="preserve">199 </w:t>
      </w:r>
      <w:r w:rsidRPr="0033327A">
        <w:rPr>
          <w:color w:val="auto"/>
        </w:rPr>
        <w:t>millones de euros</w:t>
      </w:r>
      <w:r w:rsidR="00F126E2" w:rsidRPr="00F126E2">
        <w:rPr>
          <w:color w:val="auto"/>
        </w:rPr>
        <w:t xml:space="preserve">, </w:t>
      </w:r>
      <w:r>
        <w:rPr>
          <w:color w:val="auto"/>
        </w:rPr>
        <w:t>en un crecimiento del</w:t>
      </w:r>
      <w:r w:rsidR="00F126E2" w:rsidRPr="00F126E2">
        <w:rPr>
          <w:color w:val="auto"/>
        </w:rPr>
        <w:t xml:space="preserve"> 8,4 % </w:t>
      </w:r>
      <w:r>
        <w:rPr>
          <w:color w:val="auto"/>
        </w:rPr>
        <w:t>en relaci</w:t>
      </w:r>
      <w:r>
        <w:rPr>
          <w:color w:val="auto"/>
        </w:rPr>
        <w:t>ó</w:t>
      </w:r>
      <w:r>
        <w:rPr>
          <w:color w:val="auto"/>
        </w:rPr>
        <w:t>n con</w:t>
      </w:r>
      <w:r w:rsidR="00F126E2" w:rsidRPr="00F126E2">
        <w:rPr>
          <w:color w:val="auto"/>
        </w:rPr>
        <w:t xml:space="preserve"> 2014, </w:t>
      </w:r>
      <w:r w:rsidRPr="007C69B3">
        <w:t>bajo el efecto de los siguientes factores</w:t>
      </w:r>
      <w:r>
        <w:t>:</w:t>
      </w:r>
    </w:p>
    <w:p w14:paraId="0C355A94" w14:textId="062DD7D9" w:rsidR="00A534DF" w:rsidRPr="00C96BA6" w:rsidRDefault="00FD5FE0" w:rsidP="00BD06E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imes New Roman" w:hAnsi="Arial"/>
          <w:bCs/>
          <w:iCs/>
          <w:sz w:val="21"/>
          <w:szCs w:val="20"/>
          <w:bdr w:val="none" w:sz="0" w:space="0" w:color="auto"/>
          <w:lang w:val="es-ES" w:eastAsia="fr-FR" w:bidi="es-ES_tradnl"/>
        </w:rPr>
      </w:pPr>
      <w:r w:rsidRPr="00FD5FE0">
        <w:rPr>
          <w:rFonts w:ascii="Arial" w:eastAsia="Times New Roman" w:hAnsi="Arial"/>
          <w:sz w:val="21"/>
          <w:szCs w:val="20"/>
          <w:bdr w:val="none" w:sz="0" w:space="0" w:color="auto"/>
          <w:lang w:val="es-ES" w:eastAsia="fr-FR"/>
        </w:rPr>
        <w:t xml:space="preserve">El </w:t>
      </w:r>
      <w:r w:rsidR="00A534DF" w:rsidRPr="00C96BA6">
        <w:rPr>
          <w:rFonts w:ascii="Arial" w:eastAsia="Times New Roman" w:hAnsi="Arial"/>
          <w:sz w:val="21"/>
          <w:szCs w:val="20"/>
          <w:bdr w:val="none" w:sz="0" w:space="0" w:color="auto"/>
          <w:lang w:val="es-ES" w:eastAsia="fr-FR"/>
        </w:rPr>
        <w:t xml:space="preserve">efecto favorable </w:t>
      </w:r>
      <w:r w:rsidR="00C37359">
        <w:rPr>
          <w:rFonts w:ascii="Arial" w:eastAsia="Times New Roman" w:hAnsi="Arial"/>
          <w:sz w:val="21"/>
          <w:szCs w:val="20"/>
          <w:bdr w:val="none" w:sz="0" w:space="0" w:color="auto"/>
          <w:lang w:val="es-ES" w:eastAsia="fr-FR"/>
        </w:rPr>
        <w:t xml:space="preserve">de </w:t>
      </w:r>
      <w:r w:rsidR="00A534DF" w:rsidRPr="00C96BA6">
        <w:rPr>
          <w:rFonts w:ascii="Arial" w:eastAsia="Times New Roman" w:hAnsi="Arial"/>
          <w:sz w:val="21"/>
          <w:szCs w:val="20"/>
          <w:bdr w:val="none" w:sz="0" w:space="0" w:color="auto"/>
          <w:lang w:val="es-ES" w:eastAsia="fr-FR"/>
        </w:rPr>
        <w:t>624 millones de euros</w:t>
      </w:r>
      <w:r w:rsidR="00C37359">
        <w:rPr>
          <w:rFonts w:ascii="Arial" w:eastAsia="Times New Roman" w:hAnsi="Arial"/>
          <w:sz w:val="21"/>
          <w:szCs w:val="20"/>
          <w:bdr w:val="none" w:sz="0" w:space="0" w:color="auto"/>
          <w:lang w:val="es-ES" w:eastAsia="fr-FR"/>
        </w:rPr>
        <w:t>,</w:t>
      </w:r>
      <w:r w:rsidRPr="00FD5FE0">
        <w:rPr>
          <w:rFonts w:ascii="Arial" w:eastAsia="Times New Roman" w:hAnsi="Arial"/>
          <w:sz w:val="21"/>
          <w:szCs w:val="20"/>
          <w:bdr w:val="none" w:sz="0" w:space="0" w:color="auto"/>
          <w:lang w:val="es-ES" w:eastAsia="fr-FR"/>
        </w:rPr>
        <w:t xml:space="preserve"> </w:t>
      </w:r>
      <w:r w:rsidR="00C37359">
        <w:rPr>
          <w:rFonts w:ascii="Arial" w:eastAsia="Times New Roman" w:hAnsi="Arial"/>
          <w:sz w:val="21"/>
          <w:szCs w:val="20"/>
          <w:bdr w:val="none" w:sz="0" w:space="0" w:color="auto"/>
          <w:lang w:val="es-ES" w:eastAsia="fr-FR"/>
        </w:rPr>
        <w:t>debido al incremento</w:t>
      </w:r>
      <w:r w:rsidR="00C96BA6" w:rsidRPr="00C96BA6">
        <w:rPr>
          <w:rFonts w:ascii="Arial" w:eastAsia="Times New Roman" w:hAnsi="Arial"/>
          <w:sz w:val="21"/>
          <w:szCs w:val="20"/>
          <w:bdr w:val="none" w:sz="0" w:space="0" w:color="auto"/>
          <w:lang w:val="es-ES" w:eastAsia="fr-FR"/>
        </w:rPr>
        <w:t xml:space="preserve"> de</w:t>
      </w:r>
      <w:r w:rsidR="00C37359">
        <w:rPr>
          <w:rFonts w:ascii="Arial" w:eastAsia="Times New Roman" w:hAnsi="Arial"/>
          <w:sz w:val="21"/>
          <w:szCs w:val="20"/>
          <w:bdr w:val="none" w:sz="0" w:space="0" w:color="auto"/>
          <w:lang w:val="es-ES" w:eastAsia="fr-FR"/>
        </w:rPr>
        <w:t xml:space="preserve"> los </w:t>
      </w:r>
      <w:r w:rsidR="00C96BA6" w:rsidRPr="00C96BA6">
        <w:rPr>
          <w:rFonts w:ascii="Arial" w:eastAsia="Times New Roman" w:hAnsi="Arial"/>
          <w:sz w:val="21"/>
          <w:szCs w:val="20"/>
          <w:bdr w:val="none" w:sz="0" w:space="0" w:color="auto"/>
          <w:lang w:val="es-ES" w:eastAsia="fr-FR"/>
        </w:rPr>
        <w:t xml:space="preserve"> </w:t>
      </w:r>
      <w:r w:rsidR="00C37359" w:rsidRPr="00C96BA6">
        <w:rPr>
          <w:rFonts w:ascii="Arial" w:eastAsia="Times New Roman" w:hAnsi="Arial"/>
          <w:sz w:val="21"/>
          <w:szCs w:val="20"/>
          <w:bdr w:val="none" w:sz="0" w:space="0" w:color="auto"/>
          <w:lang w:val="es-ES" w:eastAsia="fr-FR"/>
        </w:rPr>
        <w:t>volúmenes</w:t>
      </w:r>
      <w:r w:rsidR="00C37359">
        <w:rPr>
          <w:rFonts w:ascii="Arial" w:eastAsia="Times New Roman" w:hAnsi="Arial"/>
          <w:sz w:val="21"/>
          <w:szCs w:val="20"/>
          <w:bdr w:val="none" w:sz="0" w:space="0" w:color="auto"/>
          <w:lang w:val="es-ES" w:eastAsia="fr-FR"/>
        </w:rPr>
        <w:t xml:space="preserve"> del</w:t>
      </w:r>
      <w:r w:rsidR="00C37359" w:rsidRPr="00C96BA6">
        <w:rPr>
          <w:rFonts w:ascii="Arial" w:eastAsia="Times New Roman" w:hAnsi="Arial"/>
          <w:sz w:val="21"/>
          <w:szCs w:val="20"/>
          <w:bdr w:val="none" w:sz="0" w:space="0" w:color="auto"/>
          <w:lang w:val="es-ES" w:eastAsia="fr-FR"/>
        </w:rPr>
        <w:t xml:space="preserve"> </w:t>
      </w:r>
      <w:r w:rsidR="00C96BA6" w:rsidRPr="00C96BA6">
        <w:rPr>
          <w:rFonts w:ascii="Arial" w:eastAsia="Times New Roman" w:hAnsi="Arial"/>
          <w:sz w:val="21"/>
          <w:szCs w:val="20"/>
          <w:bdr w:val="none" w:sz="0" w:space="0" w:color="auto"/>
          <w:lang w:val="es-ES" w:eastAsia="fr-FR"/>
        </w:rPr>
        <w:t xml:space="preserve">3,2 %, superior a los mercados. </w:t>
      </w:r>
    </w:p>
    <w:p w14:paraId="5905AF2D" w14:textId="77777777" w:rsidR="00FD5FE0" w:rsidRPr="00FD5FE0" w:rsidRDefault="00FD5FE0" w:rsidP="00FD5FE0">
      <w:pPr>
        <w:pBdr>
          <w:top w:val="none" w:sz="0" w:space="0" w:color="auto"/>
          <w:left w:val="none" w:sz="0" w:space="0" w:color="auto"/>
          <w:bottom w:val="none" w:sz="0" w:space="0" w:color="auto"/>
          <w:right w:val="none" w:sz="0" w:space="0" w:color="auto"/>
          <w:between w:val="none" w:sz="0" w:space="0" w:color="auto"/>
          <w:bar w:val="none" w:sz="0" w:color="auto"/>
        </w:pBdr>
        <w:ind w:left="782"/>
        <w:contextualSpacing/>
        <w:jc w:val="both"/>
        <w:rPr>
          <w:rFonts w:ascii="Arial" w:eastAsia="Times New Roman" w:hAnsi="Arial"/>
          <w:bCs/>
          <w:sz w:val="21"/>
          <w:szCs w:val="20"/>
          <w:bdr w:val="none" w:sz="0" w:space="0" w:color="auto"/>
          <w:lang w:val="es-ES" w:eastAsia="fr-FR"/>
        </w:rPr>
      </w:pPr>
    </w:p>
    <w:p w14:paraId="10BD841D" w14:textId="32E99807" w:rsidR="00D77DFB" w:rsidRDefault="00FD5FE0" w:rsidP="00BD06E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0" w:lineRule="atLeast"/>
        <w:contextualSpacing/>
        <w:jc w:val="both"/>
        <w:rPr>
          <w:rFonts w:ascii="Arial" w:eastAsia="Times New Roman" w:hAnsi="Arial"/>
          <w:bCs/>
          <w:sz w:val="21"/>
          <w:szCs w:val="20"/>
          <w:bdr w:val="none" w:sz="0" w:space="0" w:color="auto"/>
          <w:lang w:val="es-ES" w:eastAsia="fr-FR"/>
        </w:rPr>
      </w:pPr>
      <w:r w:rsidRPr="00FD5FE0">
        <w:rPr>
          <w:rFonts w:ascii="Arial" w:eastAsia="Times New Roman" w:hAnsi="Arial"/>
          <w:sz w:val="21"/>
          <w:szCs w:val="20"/>
          <w:bdr w:val="none" w:sz="0" w:space="0" w:color="auto"/>
          <w:lang w:val="es-ES" w:eastAsia="fr-FR"/>
        </w:rPr>
        <w:t>El efecto</w:t>
      </w:r>
      <w:r w:rsidR="00361244" w:rsidRPr="00D77DFB">
        <w:rPr>
          <w:rFonts w:ascii="Arial" w:eastAsia="Times New Roman" w:hAnsi="Arial"/>
          <w:sz w:val="21"/>
          <w:szCs w:val="20"/>
          <w:bdr w:val="none" w:sz="0" w:space="0" w:color="auto"/>
          <w:lang w:val="es-ES" w:eastAsia="fr-FR"/>
        </w:rPr>
        <w:t xml:space="preserve"> negativo</w:t>
      </w:r>
      <w:r w:rsidRPr="00FD5FE0">
        <w:rPr>
          <w:rFonts w:ascii="Arial" w:eastAsia="Times New Roman" w:hAnsi="Arial"/>
          <w:sz w:val="21"/>
          <w:szCs w:val="20"/>
          <w:bdr w:val="none" w:sz="0" w:space="0" w:color="auto"/>
          <w:lang w:val="es-ES" w:eastAsia="fr-FR"/>
        </w:rPr>
        <w:t xml:space="preserve"> del mix de precios </w:t>
      </w:r>
      <w:r w:rsidR="00361244" w:rsidRPr="00D77DFB">
        <w:rPr>
          <w:rFonts w:ascii="Arial" w:eastAsia="Times New Roman" w:hAnsi="Arial"/>
          <w:sz w:val="21"/>
          <w:szCs w:val="20"/>
          <w:bdr w:val="none" w:sz="0" w:space="0" w:color="auto"/>
          <w:lang w:val="es-ES" w:eastAsia="fr-FR"/>
        </w:rPr>
        <w:t>de 687 millones de euros</w:t>
      </w:r>
      <w:r w:rsidR="00361244" w:rsidRPr="00D77DFB">
        <w:rPr>
          <w:rFonts w:ascii="Arial" w:eastAsia="Times New Roman" w:hAnsi="Arial"/>
          <w:bCs/>
          <w:sz w:val="21"/>
          <w:szCs w:val="20"/>
          <w:bdr w:val="none" w:sz="0" w:space="0" w:color="auto"/>
          <w:lang w:val="es-ES" w:eastAsia="fr-FR"/>
        </w:rPr>
        <w:t xml:space="preserve"> </w:t>
      </w:r>
      <w:r w:rsidRPr="00FD5FE0">
        <w:rPr>
          <w:rFonts w:ascii="Arial" w:eastAsia="Times New Roman" w:hAnsi="Arial"/>
          <w:bCs/>
          <w:sz w:val="21"/>
          <w:szCs w:val="20"/>
          <w:bdr w:val="none" w:sz="0" w:space="0" w:color="auto"/>
          <w:lang w:val="es-ES" w:eastAsia="fr-FR"/>
        </w:rPr>
        <w:t>(- 3,</w:t>
      </w:r>
      <w:r w:rsidR="00361244" w:rsidRPr="00D77DFB">
        <w:rPr>
          <w:rFonts w:ascii="Arial" w:eastAsia="Times New Roman" w:hAnsi="Arial"/>
          <w:bCs/>
          <w:sz w:val="21"/>
          <w:szCs w:val="20"/>
          <w:bdr w:val="none" w:sz="0" w:space="0" w:color="auto"/>
          <w:lang w:val="es-ES" w:eastAsia="fr-FR"/>
        </w:rPr>
        <w:t>4</w:t>
      </w:r>
      <w:r w:rsidRPr="00FD5FE0">
        <w:rPr>
          <w:rFonts w:ascii="Arial" w:eastAsia="Times New Roman" w:hAnsi="Arial"/>
          <w:bCs/>
          <w:sz w:val="21"/>
          <w:szCs w:val="20"/>
          <w:bdr w:val="none" w:sz="0" w:space="0" w:color="auto"/>
          <w:lang w:val="es-ES" w:eastAsia="fr-FR"/>
        </w:rPr>
        <w:t xml:space="preserve"> %</w:t>
      </w:r>
      <w:r w:rsidR="00361244" w:rsidRPr="00D77DFB">
        <w:rPr>
          <w:rFonts w:ascii="Arial" w:eastAsia="Times New Roman" w:hAnsi="Arial"/>
          <w:bCs/>
          <w:sz w:val="21"/>
          <w:szCs w:val="20"/>
          <w:bdr w:val="none" w:sz="0" w:space="0" w:color="auto"/>
          <w:lang w:val="es-ES" w:eastAsia="fr-FR"/>
        </w:rPr>
        <w:t>)</w:t>
      </w:r>
      <w:r w:rsidR="00361244" w:rsidRPr="00D77DFB">
        <w:rPr>
          <w:rFonts w:ascii="Arial" w:eastAsia="Times New Roman" w:hAnsi="Arial"/>
          <w:sz w:val="21"/>
          <w:szCs w:val="20"/>
          <w:bdr w:val="none" w:sz="0" w:space="0" w:color="auto"/>
          <w:lang w:val="es-ES" w:eastAsia="fr-FR"/>
        </w:rPr>
        <w:t>.</w:t>
      </w:r>
      <w:r w:rsidRPr="00FD5FE0">
        <w:rPr>
          <w:rFonts w:ascii="Arial" w:eastAsia="Times New Roman" w:hAnsi="Arial"/>
          <w:bCs/>
          <w:sz w:val="21"/>
          <w:szCs w:val="20"/>
          <w:bdr w:val="none" w:sz="0" w:space="0" w:color="auto"/>
          <w:lang w:val="es-ES" w:eastAsia="fr-FR"/>
        </w:rPr>
        <w:t xml:space="preserve"> </w:t>
      </w:r>
      <w:r w:rsidR="00C37359">
        <w:rPr>
          <w:rFonts w:ascii="Arial" w:eastAsia="Times New Roman" w:hAnsi="Arial"/>
          <w:bCs/>
          <w:sz w:val="21"/>
          <w:szCs w:val="20"/>
          <w:bdr w:val="none" w:sz="0" w:space="0" w:color="auto"/>
          <w:lang w:val="es-ES" w:eastAsia="fr-FR"/>
        </w:rPr>
        <w:t>Que incluye</w:t>
      </w:r>
      <w:r w:rsidR="006725C3" w:rsidRPr="00D77DFB">
        <w:rPr>
          <w:rFonts w:ascii="Arial" w:eastAsia="Times New Roman" w:hAnsi="Arial"/>
          <w:bCs/>
          <w:sz w:val="21"/>
          <w:szCs w:val="20"/>
          <w:bdr w:val="none" w:sz="0" w:space="0" w:color="auto"/>
          <w:lang w:val="es-ES" w:eastAsia="fr-FR"/>
        </w:rPr>
        <w:t xml:space="preserve"> </w:t>
      </w:r>
      <w:r w:rsidR="006725C3" w:rsidRPr="00D77DFB">
        <w:rPr>
          <w:rFonts w:ascii="Arial" w:eastAsia="Times New Roman" w:hAnsi="Arial"/>
          <w:sz w:val="21"/>
          <w:szCs w:val="20"/>
          <w:bdr w:val="none" w:sz="0" w:space="0" w:color="auto"/>
          <w:lang w:eastAsia="fr-FR"/>
        </w:rPr>
        <w:t xml:space="preserve">- 715 </w:t>
      </w:r>
      <w:r w:rsidR="006725C3" w:rsidRPr="00D77DFB">
        <w:rPr>
          <w:rFonts w:ascii="Arial" w:eastAsia="Times New Roman" w:hAnsi="Arial"/>
          <w:sz w:val="21"/>
          <w:szCs w:val="20"/>
          <w:bdr w:val="none" w:sz="0" w:space="0" w:color="auto"/>
          <w:lang w:val="es-ES" w:eastAsia="fr-FR"/>
        </w:rPr>
        <w:t>millones de euros,</w:t>
      </w:r>
      <w:r w:rsidR="00C37359">
        <w:rPr>
          <w:rFonts w:ascii="Arial" w:eastAsia="Times New Roman" w:hAnsi="Arial"/>
          <w:sz w:val="21"/>
          <w:szCs w:val="20"/>
          <w:bdr w:val="none" w:sz="0" w:space="0" w:color="auto"/>
          <w:lang w:val="es-ES" w:eastAsia="fr-FR"/>
        </w:rPr>
        <w:t xml:space="preserve"> debidos a</w:t>
      </w:r>
      <w:r w:rsidR="006725C3" w:rsidRPr="00D77DFB">
        <w:rPr>
          <w:rFonts w:ascii="Arial" w:eastAsia="Times New Roman" w:hAnsi="Arial"/>
          <w:bCs/>
          <w:sz w:val="21"/>
          <w:szCs w:val="20"/>
          <w:bdr w:val="none" w:sz="0" w:space="0" w:color="auto"/>
          <w:lang w:val="es-ES" w:eastAsia="fr-FR"/>
        </w:rPr>
        <w:t xml:space="preserve"> la evolución de los precios</w:t>
      </w:r>
      <w:r w:rsidR="00C37359">
        <w:rPr>
          <w:rFonts w:ascii="Arial" w:eastAsia="Times New Roman" w:hAnsi="Arial"/>
          <w:bCs/>
          <w:sz w:val="21"/>
          <w:szCs w:val="20"/>
          <w:bdr w:val="none" w:sz="0" w:space="0" w:color="auto"/>
          <w:lang w:val="es-ES" w:eastAsia="fr-FR"/>
        </w:rPr>
        <w:t>,</w:t>
      </w:r>
      <w:r w:rsidR="006725C3" w:rsidRPr="00D77DFB">
        <w:rPr>
          <w:rFonts w:ascii="Arial" w:eastAsia="Times New Roman" w:hAnsi="Arial"/>
          <w:bCs/>
          <w:sz w:val="21"/>
          <w:szCs w:val="20"/>
          <w:bdr w:val="none" w:sz="0" w:space="0" w:color="auto"/>
          <w:lang w:val="es-ES" w:eastAsia="fr-FR"/>
        </w:rPr>
        <w:t xml:space="preserve"> donde un tercio corresponde a los ajustes relacionados </w:t>
      </w:r>
      <w:r w:rsidR="00D77DFB" w:rsidRPr="00D77DFB">
        <w:rPr>
          <w:rFonts w:ascii="Arial" w:eastAsia="Times New Roman" w:hAnsi="Arial"/>
          <w:bCs/>
          <w:sz w:val="21"/>
          <w:szCs w:val="20"/>
          <w:bdr w:val="none" w:sz="0" w:space="0" w:color="auto"/>
          <w:lang w:val="es-ES" w:eastAsia="fr-FR"/>
        </w:rPr>
        <w:t>con</w:t>
      </w:r>
      <w:r w:rsidR="00D77DFB" w:rsidRPr="00FD5FE0">
        <w:rPr>
          <w:rFonts w:ascii="Arial" w:eastAsia="Times New Roman" w:hAnsi="Arial"/>
          <w:bCs/>
          <w:sz w:val="21"/>
          <w:szCs w:val="20"/>
          <w:bdr w:val="none" w:sz="0" w:space="0" w:color="auto"/>
          <w:lang w:val="es-ES" w:eastAsia="fr-FR"/>
        </w:rPr>
        <w:t xml:space="preserve"> las cláusulas de indexación</w:t>
      </w:r>
      <w:r w:rsidR="00D77DFB" w:rsidRPr="00D77DFB">
        <w:rPr>
          <w:rFonts w:ascii="Arial" w:eastAsia="Times New Roman" w:hAnsi="Arial"/>
          <w:bCs/>
          <w:sz w:val="21"/>
          <w:szCs w:val="20"/>
          <w:bdr w:val="none" w:sz="0" w:space="0" w:color="auto"/>
          <w:lang w:val="es-ES" w:eastAsia="fr-FR"/>
        </w:rPr>
        <w:t xml:space="preserve"> de los precios de las materias primas</w:t>
      </w:r>
      <w:r w:rsidR="00C37359">
        <w:rPr>
          <w:rFonts w:ascii="Arial" w:eastAsia="Times New Roman" w:hAnsi="Arial"/>
          <w:bCs/>
          <w:sz w:val="21"/>
          <w:szCs w:val="20"/>
          <w:bdr w:val="none" w:sz="0" w:space="0" w:color="auto"/>
          <w:lang w:val="es-ES" w:eastAsia="fr-FR"/>
        </w:rPr>
        <w:t>, y</w:t>
      </w:r>
      <w:r w:rsidR="00C37359" w:rsidRPr="00D77DFB">
        <w:rPr>
          <w:rFonts w:ascii="Arial" w:eastAsia="Times New Roman" w:hAnsi="Arial"/>
          <w:bCs/>
          <w:sz w:val="21"/>
          <w:szCs w:val="20"/>
          <w:bdr w:val="none" w:sz="0" w:space="0" w:color="auto"/>
          <w:lang w:val="es-ES" w:eastAsia="fr-FR"/>
        </w:rPr>
        <w:t xml:space="preserve"> </w:t>
      </w:r>
      <w:r w:rsidR="00C37359">
        <w:rPr>
          <w:rFonts w:ascii="Arial" w:eastAsia="Times New Roman" w:hAnsi="Arial"/>
          <w:bCs/>
          <w:sz w:val="21"/>
          <w:szCs w:val="20"/>
          <w:bdr w:val="none" w:sz="0" w:space="0" w:color="auto"/>
          <w:lang w:val="es-ES" w:eastAsia="fr-FR"/>
        </w:rPr>
        <w:t>e</w:t>
      </w:r>
      <w:r w:rsidR="00D77DFB" w:rsidRPr="00D77DFB">
        <w:rPr>
          <w:rFonts w:ascii="Arial" w:eastAsia="Times New Roman" w:hAnsi="Arial"/>
          <w:bCs/>
          <w:sz w:val="21"/>
          <w:szCs w:val="20"/>
          <w:bdr w:val="none" w:sz="0" w:space="0" w:color="auto"/>
          <w:lang w:val="es-ES" w:eastAsia="fr-FR"/>
        </w:rPr>
        <w:t xml:space="preserve">l </w:t>
      </w:r>
      <w:r w:rsidRPr="00FD5FE0">
        <w:rPr>
          <w:rFonts w:ascii="Arial" w:eastAsia="Times New Roman" w:hAnsi="Arial"/>
          <w:bCs/>
          <w:sz w:val="21"/>
          <w:szCs w:val="20"/>
          <w:bdr w:val="none" w:sz="0" w:space="0" w:color="auto"/>
          <w:lang w:val="es-ES" w:eastAsia="fr-FR"/>
        </w:rPr>
        <w:t xml:space="preserve">efecto </w:t>
      </w:r>
      <w:r w:rsidR="00D77DFB">
        <w:rPr>
          <w:rFonts w:ascii="Arial" w:eastAsia="Times New Roman" w:hAnsi="Arial"/>
          <w:bCs/>
          <w:sz w:val="21"/>
          <w:szCs w:val="20"/>
          <w:bdr w:val="none" w:sz="0" w:space="0" w:color="auto"/>
          <w:lang w:val="es-ES" w:eastAsia="fr-FR"/>
        </w:rPr>
        <w:t xml:space="preserve">positivo </w:t>
      </w:r>
      <w:r w:rsidRPr="00FD5FE0">
        <w:rPr>
          <w:rFonts w:ascii="Arial" w:eastAsia="Times New Roman" w:hAnsi="Arial"/>
          <w:bCs/>
          <w:sz w:val="21"/>
          <w:szCs w:val="20"/>
          <w:bdr w:val="none" w:sz="0" w:space="0" w:color="auto"/>
          <w:lang w:val="es-ES" w:eastAsia="fr-FR"/>
        </w:rPr>
        <w:t>del mix</w:t>
      </w:r>
      <w:r w:rsidR="00D77DFB">
        <w:rPr>
          <w:rFonts w:ascii="Arial" w:eastAsia="Times New Roman" w:hAnsi="Arial"/>
          <w:bCs/>
          <w:sz w:val="21"/>
          <w:szCs w:val="20"/>
          <w:bdr w:val="none" w:sz="0" w:space="0" w:color="auto"/>
          <w:lang w:val="es-ES" w:eastAsia="fr-FR"/>
        </w:rPr>
        <w:t xml:space="preserve"> </w:t>
      </w:r>
      <w:r w:rsidR="00C37359">
        <w:rPr>
          <w:rFonts w:ascii="Arial" w:eastAsia="Times New Roman" w:hAnsi="Arial"/>
          <w:bCs/>
          <w:sz w:val="21"/>
          <w:szCs w:val="20"/>
          <w:bdr w:val="none" w:sz="0" w:space="0" w:color="auto"/>
          <w:lang w:val="es-ES" w:eastAsia="fr-FR"/>
        </w:rPr>
        <w:t xml:space="preserve">que </w:t>
      </w:r>
      <w:r w:rsidR="00D77DFB">
        <w:rPr>
          <w:rFonts w:ascii="Arial" w:eastAsia="Times New Roman" w:hAnsi="Arial"/>
          <w:bCs/>
          <w:sz w:val="21"/>
          <w:szCs w:val="20"/>
          <w:bdr w:val="none" w:sz="0" w:space="0" w:color="auto"/>
          <w:lang w:val="es-ES" w:eastAsia="fr-FR"/>
        </w:rPr>
        <w:t>se eleva a 28</w:t>
      </w:r>
      <w:r w:rsidRPr="00FD5FE0">
        <w:rPr>
          <w:rFonts w:ascii="Arial" w:eastAsia="Times New Roman" w:hAnsi="Arial"/>
          <w:bCs/>
          <w:sz w:val="21"/>
          <w:szCs w:val="20"/>
          <w:bdr w:val="none" w:sz="0" w:space="0" w:color="auto"/>
          <w:lang w:val="es-ES" w:eastAsia="fr-FR"/>
        </w:rPr>
        <w:t xml:space="preserve"> millones de euros</w:t>
      </w:r>
      <w:r w:rsidR="00012B2E">
        <w:rPr>
          <w:rFonts w:ascii="Arial" w:eastAsia="Times New Roman" w:hAnsi="Arial"/>
          <w:bCs/>
          <w:sz w:val="21"/>
          <w:szCs w:val="20"/>
          <w:bdr w:val="none" w:sz="0" w:space="0" w:color="auto"/>
          <w:lang w:val="es-ES" w:eastAsia="fr-FR"/>
        </w:rPr>
        <w:t xml:space="preserve">; el mix de producto, siempre fuertemente positivo, está parcialmente cercenado por el mix geográfico y los efectos del mix relacionados con la progresión </w:t>
      </w:r>
      <w:r w:rsidR="00724207">
        <w:rPr>
          <w:rFonts w:ascii="Arial" w:eastAsia="Times New Roman" w:hAnsi="Arial"/>
          <w:bCs/>
          <w:sz w:val="21"/>
          <w:szCs w:val="20"/>
          <w:bdr w:val="none" w:sz="0" w:space="0" w:color="auto"/>
          <w:lang w:val="es-ES" w:eastAsia="fr-FR"/>
        </w:rPr>
        <w:t xml:space="preserve">relativa </w:t>
      </w:r>
      <w:r w:rsidR="00012B2E">
        <w:rPr>
          <w:rFonts w:ascii="Arial" w:eastAsia="Times New Roman" w:hAnsi="Arial"/>
          <w:bCs/>
          <w:sz w:val="21"/>
          <w:szCs w:val="20"/>
          <w:bdr w:val="none" w:sz="0" w:space="0" w:color="auto"/>
          <w:lang w:val="es-ES" w:eastAsia="fr-FR"/>
        </w:rPr>
        <w:t xml:space="preserve">de los neumáticos de gama básica, de </w:t>
      </w:r>
      <w:r w:rsidR="00724207">
        <w:rPr>
          <w:rFonts w:ascii="Arial" w:eastAsia="Times New Roman" w:hAnsi="Arial"/>
          <w:bCs/>
          <w:sz w:val="21"/>
          <w:szCs w:val="20"/>
          <w:bdr w:val="none" w:sz="0" w:space="0" w:color="auto"/>
          <w:lang w:val="es-ES" w:eastAsia="fr-FR"/>
        </w:rPr>
        <w:t xml:space="preserve">los </w:t>
      </w:r>
      <w:r w:rsidR="00012B2E">
        <w:rPr>
          <w:rFonts w:ascii="Arial" w:eastAsia="Times New Roman" w:hAnsi="Arial"/>
          <w:bCs/>
          <w:sz w:val="21"/>
          <w:szCs w:val="20"/>
          <w:bdr w:val="none" w:sz="0" w:space="0" w:color="auto"/>
          <w:lang w:val="es-ES" w:eastAsia="fr-FR"/>
        </w:rPr>
        <w:t>Primer</w:t>
      </w:r>
      <w:r w:rsidR="00724207">
        <w:rPr>
          <w:rFonts w:ascii="Arial" w:eastAsia="Times New Roman" w:hAnsi="Arial"/>
          <w:bCs/>
          <w:sz w:val="21"/>
          <w:szCs w:val="20"/>
          <w:bdr w:val="none" w:sz="0" w:space="0" w:color="auto"/>
          <w:lang w:val="es-ES" w:eastAsia="fr-FR"/>
        </w:rPr>
        <w:t>os</w:t>
      </w:r>
      <w:r w:rsidR="00012B2E">
        <w:rPr>
          <w:rFonts w:ascii="Arial" w:eastAsia="Times New Roman" w:hAnsi="Arial"/>
          <w:bCs/>
          <w:sz w:val="21"/>
          <w:szCs w:val="20"/>
          <w:bdr w:val="none" w:sz="0" w:space="0" w:color="auto"/>
          <w:lang w:val="es-ES" w:eastAsia="fr-FR"/>
        </w:rPr>
        <w:t xml:space="preserve"> </w:t>
      </w:r>
      <w:r w:rsidR="00724207">
        <w:rPr>
          <w:rFonts w:ascii="Arial" w:eastAsia="Times New Roman" w:hAnsi="Arial"/>
          <w:bCs/>
          <w:sz w:val="21"/>
          <w:szCs w:val="20"/>
          <w:bdr w:val="none" w:sz="0" w:space="0" w:color="auto"/>
          <w:lang w:val="es-ES" w:eastAsia="fr-FR"/>
        </w:rPr>
        <w:t>equipos</w:t>
      </w:r>
      <w:r w:rsidR="00012B2E">
        <w:rPr>
          <w:rFonts w:ascii="Arial" w:eastAsia="Times New Roman" w:hAnsi="Arial"/>
          <w:bCs/>
          <w:sz w:val="21"/>
          <w:szCs w:val="20"/>
          <w:bdr w:val="none" w:sz="0" w:space="0" w:color="auto"/>
          <w:lang w:val="es-ES" w:eastAsia="fr-FR"/>
        </w:rPr>
        <w:t xml:space="preserve"> y </w:t>
      </w:r>
      <w:r w:rsidR="00724207">
        <w:rPr>
          <w:rFonts w:ascii="Arial" w:eastAsia="Times New Roman" w:hAnsi="Arial"/>
          <w:bCs/>
          <w:sz w:val="21"/>
          <w:szCs w:val="20"/>
          <w:bdr w:val="none" w:sz="0" w:space="0" w:color="auto"/>
          <w:lang w:val="es-ES" w:eastAsia="fr-FR"/>
        </w:rPr>
        <w:t>la caída de Ingeniería Civil.</w:t>
      </w:r>
    </w:p>
    <w:p w14:paraId="03E27DC8" w14:textId="77777777" w:rsidR="00D77DFB" w:rsidRDefault="00D77DFB" w:rsidP="00D77DFB">
      <w:pPr>
        <w:pBdr>
          <w:top w:val="none" w:sz="0" w:space="0" w:color="auto"/>
          <w:left w:val="none" w:sz="0" w:space="0" w:color="auto"/>
          <w:bottom w:val="none" w:sz="0" w:space="0" w:color="auto"/>
          <w:right w:val="none" w:sz="0" w:space="0" w:color="auto"/>
          <w:between w:val="none" w:sz="0" w:space="0" w:color="auto"/>
          <w:bar w:val="none" w:sz="0" w:color="auto"/>
        </w:pBdr>
        <w:spacing w:after="200" w:line="270" w:lineRule="atLeast"/>
        <w:contextualSpacing/>
        <w:jc w:val="both"/>
        <w:rPr>
          <w:rFonts w:ascii="Arial" w:eastAsia="Times New Roman" w:hAnsi="Arial"/>
          <w:bCs/>
          <w:sz w:val="21"/>
          <w:szCs w:val="20"/>
          <w:bdr w:val="none" w:sz="0" w:space="0" w:color="auto"/>
          <w:lang w:val="es-ES" w:eastAsia="fr-FR"/>
        </w:rPr>
      </w:pPr>
    </w:p>
    <w:p w14:paraId="67BB1473" w14:textId="3C78D257" w:rsidR="00236D40" w:rsidRPr="00C96BA6" w:rsidRDefault="00236D40" w:rsidP="00BD06E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200" w:line="270" w:lineRule="atLeast"/>
        <w:contextualSpacing/>
        <w:jc w:val="both"/>
        <w:rPr>
          <w:rFonts w:ascii="Arial" w:eastAsia="Times New Roman" w:hAnsi="Arial"/>
          <w:sz w:val="21"/>
          <w:szCs w:val="20"/>
          <w:bdr w:val="none" w:sz="0" w:space="0" w:color="auto"/>
          <w:lang w:eastAsia="fr-FR"/>
        </w:rPr>
      </w:pPr>
      <w:r w:rsidRPr="00FD5FE0">
        <w:rPr>
          <w:rFonts w:ascii="Arial" w:eastAsia="Times New Roman" w:hAnsi="Arial"/>
          <w:sz w:val="21"/>
          <w:szCs w:val="20"/>
          <w:bdr w:val="none" w:sz="0" w:space="0" w:color="auto"/>
          <w:lang w:val="es-ES" w:eastAsia="fr-FR"/>
        </w:rPr>
        <w:t xml:space="preserve">La variación </w:t>
      </w:r>
      <w:r>
        <w:rPr>
          <w:rFonts w:ascii="Arial" w:eastAsia="Times New Roman" w:hAnsi="Arial"/>
          <w:sz w:val="21"/>
          <w:szCs w:val="20"/>
          <w:bdr w:val="none" w:sz="0" w:space="0" w:color="auto"/>
          <w:lang w:val="es-ES" w:eastAsia="fr-FR"/>
        </w:rPr>
        <w:t xml:space="preserve">favorable </w:t>
      </w:r>
      <w:r w:rsidRPr="00FD5FE0">
        <w:rPr>
          <w:rFonts w:ascii="Arial" w:eastAsia="Times New Roman" w:hAnsi="Arial"/>
          <w:sz w:val="21"/>
          <w:szCs w:val="20"/>
          <w:bdr w:val="none" w:sz="0" w:space="0" w:color="auto"/>
          <w:lang w:val="es-ES" w:eastAsia="fr-FR"/>
        </w:rPr>
        <w:t xml:space="preserve">en el perímetro de consolidación </w:t>
      </w:r>
      <w:r w:rsidRPr="00FD5FE0">
        <w:rPr>
          <w:rFonts w:ascii="Arial" w:eastAsia="Times New Roman" w:hAnsi="Arial"/>
          <w:sz w:val="21"/>
          <w:szCs w:val="20"/>
          <w:bdr w:val="none" w:sz="0" w:space="0" w:color="auto"/>
          <w:lang w:eastAsia="fr-FR"/>
        </w:rPr>
        <w:t xml:space="preserve">(256 </w:t>
      </w:r>
      <w:r w:rsidRPr="002F14C0">
        <w:rPr>
          <w:rFonts w:ascii="Arial" w:eastAsia="Times New Roman" w:hAnsi="Arial"/>
          <w:sz w:val="21"/>
          <w:szCs w:val="20"/>
          <w:bdr w:val="none" w:sz="0" w:space="0" w:color="auto"/>
          <w:lang w:val="es-ES" w:eastAsia="fr-FR"/>
        </w:rPr>
        <w:t>millones de euros</w:t>
      </w:r>
      <w:r>
        <w:rPr>
          <w:rFonts w:ascii="Arial" w:eastAsia="Times New Roman" w:hAnsi="Arial"/>
          <w:sz w:val="21"/>
          <w:szCs w:val="20"/>
          <w:bdr w:val="none" w:sz="0" w:space="0" w:color="auto"/>
          <w:lang w:val="es-ES" w:eastAsia="fr-FR"/>
        </w:rPr>
        <w:t>)</w:t>
      </w:r>
      <w:r w:rsidRPr="00FD5FE0">
        <w:rPr>
          <w:rFonts w:ascii="Arial" w:eastAsia="Times New Roman" w:hAnsi="Arial"/>
          <w:sz w:val="21"/>
          <w:szCs w:val="20"/>
          <w:bdr w:val="none" w:sz="0" w:space="0" w:color="auto"/>
          <w:lang w:val="es-ES" w:eastAsia="fr-FR"/>
        </w:rPr>
        <w:t xml:space="preserve"> corresponde a la integración de Sascar, líder brasileño en gestión digital de flotas, del mayorista alemán </w:t>
      </w:r>
      <w:r w:rsidR="007C31AE">
        <w:rPr>
          <w:rFonts w:ascii="Arial" w:eastAsia="Times New Roman" w:hAnsi="Arial"/>
          <w:sz w:val="21"/>
          <w:szCs w:val="20"/>
          <w:bdr w:val="none" w:sz="0" w:space="0" w:color="auto"/>
          <w:lang w:val="es-ES" w:eastAsia="fr-FR"/>
        </w:rPr>
        <w:t>Ihle y de</w:t>
      </w:r>
      <w:r w:rsidRPr="00C96BA6">
        <w:rPr>
          <w:rFonts w:ascii="Verdana" w:eastAsia="Times New Roman" w:hAnsi="Verdana" w:cs="Arial"/>
          <w:sz w:val="18"/>
          <w:szCs w:val="18"/>
          <w:bdr w:val="none" w:sz="0" w:space="0" w:color="auto"/>
          <w:lang w:eastAsia="fr-FR"/>
        </w:rPr>
        <w:t xml:space="preserve"> </w:t>
      </w:r>
      <w:r w:rsidR="007C31AE" w:rsidRPr="00FD5FE0">
        <w:rPr>
          <w:rFonts w:ascii="Arial" w:eastAsia="Times New Roman" w:hAnsi="Arial"/>
          <w:sz w:val="21"/>
          <w:szCs w:val="20"/>
          <w:bdr w:val="none" w:sz="0" w:space="0" w:color="auto"/>
          <w:lang w:eastAsia="fr-FR"/>
        </w:rPr>
        <w:t>Blackcircles.com,</w:t>
      </w:r>
      <w:r w:rsidR="007C31AE">
        <w:rPr>
          <w:rFonts w:ascii="Arial" w:eastAsia="Times New Roman" w:hAnsi="Arial"/>
          <w:sz w:val="21"/>
          <w:szCs w:val="20"/>
          <w:bdr w:val="none" w:sz="0" w:space="0" w:color="auto"/>
          <w:lang w:eastAsia="fr-FR"/>
        </w:rPr>
        <w:t xml:space="preserve"> número 1 de la venta de neumáticos en Internet en Reino Unido.</w:t>
      </w:r>
    </w:p>
    <w:p w14:paraId="7F505E2B" w14:textId="77777777" w:rsidR="002F14C0" w:rsidRPr="00FD5FE0" w:rsidRDefault="002F14C0" w:rsidP="00FD5FE0">
      <w:pPr>
        <w:pBdr>
          <w:top w:val="none" w:sz="0" w:space="0" w:color="auto"/>
          <w:left w:val="none" w:sz="0" w:space="0" w:color="auto"/>
          <w:bottom w:val="none" w:sz="0" w:space="0" w:color="auto"/>
          <w:right w:val="none" w:sz="0" w:space="0" w:color="auto"/>
          <w:between w:val="none" w:sz="0" w:space="0" w:color="auto"/>
          <w:bar w:val="none" w:sz="0" w:color="auto"/>
        </w:pBdr>
        <w:spacing w:after="200" w:line="270" w:lineRule="atLeast"/>
        <w:ind w:left="782"/>
        <w:contextualSpacing/>
        <w:jc w:val="both"/>
        <w:rPr>
          <w:rFonts w:ascii="Arial" w:eastAsia="Times New Roman" w:hAnsi="Arial"/>
          <w:bCs/>
          <w:sz w:val="21"/>
          <w:szCs w:val="20"/>
          <w:bdr w:val="none" w:sz="0" w:space="0" w:color="auto"/>
          <w:lang w:val="es-ES" w:eastAsia="fr-FR"/>
        </w:rPr>
      </w:pPr>
    </w:p>
    <w:p w14:paraId="0CBDD361" w14:textId="56C87814" w:rsidR="00236D40" w:rsidRDefault="00FD5FE0" w:rsidP="00BD06E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0" w:lineRule="atLeast"/>
        <w:contextualSpacing/>
        <w:jc w:val="both"/>
        <w:rPr>
          <w:rFonts w:ascii="Arial" w:eastAsia="Times New Roman" w:hAnsi="Arial"/>
          <w:sz w:val="21"/>
          <w:szCs w:val="20"/>
          <w:bdr w:val="none" w:sz="0" w:space="0" w:color="auto"/>
          <w:lang w:val="es-ES" w:eastAsia="fr-FR"/>
        </w:rPr>
      </w:pPr>
      <w:r w:rsidRPr="00FD5FE0">
        <w:rPr>
          <w:rFonts w:ascii="Arial" w:eastAsia="Times New Roman" w:hAnsi="Arial"/>
          <w:sz w:val="21"/>
          <w:szCs w:val="20"/>
          <w:bdr w:val="none" w:sz="0" w:space="0" w:color="auto"/>
          <w:lang w:val="es-ES" w:eastAsia="fr-FR"/>
        </w:rPr>
        <w:t xml:space="preserve">El impacto </w:t>
      </w:r>
      <w:r w:rsidR="002F14C0" w:rsidRPr="002F14C0">
        <w:rPr>
          <w:rFonts w:ascii="Arial" w:eastAsia="Times New Roman" w:hAnsi="Arial"/>
          <w:sz w:val="21"/>
          <w:szCs w:val="20"/>
          <w:bdr w:val="none" w:sz="0" w:space="0" w:color="auto"/>
          <w:lang w:val="es-ES" w:eastAsia="fr-FR"/>
        </w:rPr>
        <w:t xml:space="preserve">positivo </w:t>
      </w:r>
      <w:r w:rsidR="002F14C0" w:rsidRPr="002F14C0">
        <w:rPr>
          <w:rFonts w:ascii="Arial" w:eastAsia="Times New Roman" w:hAnsi="Arial"/>
          <w:sz w:val="21"/>
          <w:szCs w:val="20"/>
          <w:bdr w:val="none" w:sz="0" w:space="0" w:color="auto"/>
          <w:lang w:eastAsia="fr-FR"/>
        </w:rPr>
        <w:t xml:space="preserve">(1.453 </w:t>
      </w:r>
      <w:r w:rsidR="002F14C0" w:rsidRPr="002F14C0">
        <w:rPr>
          <w:rFonts w:ascii="Arial" w:eastAsia="Times New Roman" w:hAnsi="Arial"/>
          <w:sz w:val="21"/>
          <w:szCs w:val="20"/>
          <w:bdr w:val="none" w:sz="0" w:space="0" w:color="auto"/>
          <w:lang w:val="es-ES" w:eastAsia="fr-FR"/>
        </w:rPr>
        <w:t>millones de euros</w:t>
      </w:r>
      <w:r w:rsidR="002F14C0" w:rsidRPr="002F14C0">
        <w:rPr>
          <w:rFonts w:ascii="Arial" w:eastAsia="Times New Roman" w:hAnsi="Arial"/>
          <w:bCs/>
          <w:sz w:val="21"/>
          <w:szCs w:val="20"/>
          <w:bdr w:val="none" w:sz="0" w:space="0" w:color="auto"/>
          <w:lang w:val="es-ES" w:eastAsia="fr-FR"/>
        </w:rPr>
        <w:t xml:space="preserve">) </w:t>
      </w:r>
      <w:r w:rsidR="002F14C0">
        <w:rPr>
          <w:rFonts w:ascii="Arial" w:eastAsia="Times" w:hAnsi="Arial" w:cs="Arial"/>
          <w:bCs/>
          <w:sz w:val="21"/>
          <w:bdr w:val="none" w:sz="0" w:space="0" w:color="auto"/>
          <w:lang w:val="es-ES" w:eastAsia="fr-FR" w:bidi="es-ES_tradnl"/>
        </w:rPr>
        <w:t>de las paridades de cambio.</w:t>
      </w:r>
    </w:p>
    <w:p w14:paraId="5E91DE15" w14:textId="77777777" w:rsidR="00FD5FE0" w:rsidRPr="00FD5FE0" w:rsidRDefault="00FD5FE0" w:rsidP="007C31AE">
      <w:pPr>
        <w:pBdr>
          <w:top w:val="none" w:sz="0" w:space="0" w:color="auto"/>
          <w:left w:val="none" w:sz="0" w:space="0" w:color="auto"/>
          <w:bottom w:val="none" w:sz="0" w:space="0" w:color="auto"/>
          <w:right w:val="none" w:sz="0" w:space="0" w:color="auto"/>
          <w:between w:val="none" w:sz="0" w:space="0" w:color="auto"/>
          <w:bar w:val="none" w:sz="0" w:color="auto"/>
        </w:pBdr>
        <w:spacing w:after="200" w:line="270" w:lineRule="atLeast"/>
        <w:contextualSpacing/>
        <w:jc w:val="both"/>
        <w:rPr>
          <w:rFonts w:ascii="Arial" w:eastAsia="Times New Roman" w:hAnsi="Arial"/>
          <w:sz w:val="21"/>
          <w:szCs w:val="20"/>
          <w:bdr w:val="none" w:sz="0" w:space="0" w:color="auto"/>
          <w:lang w:val="es-ES" w:eastAsia="fr-FR"/>
        </w:rPr>
      </w:pPr>
    </w:p>
    <w:p w14:paraId="4333467E" w14:textId="77777777" w:rsidR="00700DFB" w:rsidRPr="0033327A" w:rsidRDefault="009F7ED2">
      <w:pPr>
        <w:pStyle w:val="LadilloMichelinDossier"/>
      </w:pPr>
      <w:r w:rsidRPr="0033327A">
        <w:t>Resultados</w:t>
      </w:r>
    </w:p>
    <w:p w14:paraId="0309E176" w14:textId="0136FB9A" w:rsidR="00700DFB" w:rsidRPr="00371F72" w:rsidRDefault="009F7ED2" w:rsidP="00A90349">
      <w:pPr>
        <w:pStyle w:val="TextoMichelin"/>
        <w:rPr>
          <w:bCs/>
        </w:rPr>
      </w:pPr>
      <w:r w:rsidRPr="0033327A">
        <w:rPr>
          <w:b/>
          <w:bCs/>
        </w:rPr>
        <w:t>El resultado operativo del Grupo antes de elementos no recurrentes alcanza los 2.</w:t>
      </w:r>
      <w:r w:rsidR="00A90349">
        <w:rPr>
          <w:b/>
          <w:bCs/>
        </w:rPr>
        <w:t>577</w:t>
      </w:r>
      <w:r w:rsidRPr="0033327A">
        <w:rPr>
          <w:rFonts w:ascii="Arial Unicode MS"/>
          <w:b/>
          <w:bCs/>
        </w:rPr>
        <w:t> </w:t>
      </w:r>
      <w:r w:rsidRPr="0033327A">
        <w:rPr>
          <w:b/>
          <w:bCs/>
        </w:rPr>
        <w:t xml:space="preserve">millones de euros, </w:t>
      </w:r>
      <w:r w:rsidR="00A90349" w:rsidRPr="00A90349">
        <w:rPr>
          <w:bCs/>
        </w:rPr>
        <w:t>es decir,</w:t>
      </w:r>
      <w:r w:rsidR="00A90349">
        <w:rPr>
          <w:b/>
          <w:bCs/>
        </w:rPr>
        <w:t xml:space="preserve"> </w:t>
      </w:r>
      <w:r w:rsidR="00A90349">
        <w:t xml:space="preserve">el 12,2 % de las ventas netas, </w:t>
      </w:r>
      <w:r w:rsidRPr="0033327A">
        <w:t>en comparaci</w:t>
      </w:r>
      <w:r w:rsidRPr="0033327A">
        <w:rPr>
          <w:rFonts w:ascii="Arial Unicode MS"/>
        </w:rPr>
        <w:t>ó</w:t>
      </w:r>
      <w:r w:rsidRPr="0033327A">
        <w:t xml:space="preserve">n con los </w:t>
      </w:r>
      <w:r w:rsidR="00F062C8" w:rsidRPr="00A90349">
        <w:rPr>
          <w:bCs/>
        </w:rPr>
        <w:t>2</w:t>
      </w:r>
      <w:r w:rsidR="00F062C8">
        <w:rPr>
          <w:bCs/>
        </w:rPr>
        <w:t>.</w:t>
      </w:r>
      <w:r w:rsidR="00F062C8" w:rsidRPr="00A90349">
        <w:rPr>
          <w:bCs/>
        </w:rPr>
        <w:t>170</w:t>
      </w:r>
      <w:r w:rsidR="00F062C8">
        <w:rPr>
          <w:bCs/>
        </w:rPr>
        <w:t xml:space="preserve"> </w:t>
      </w:r>
      <w:r w:rsidRPr="0033327A">
        <w:t xml:space="preserve">millones de euros </w:t>
      </w:r>
      <w:r w:rsidR="00F062C8">
        <w:t xml:space="preserve">y el 11,1 % publicados en </w:t>
      </w:r>
      <w:r w:rsidRPr="0033327A">
        <w:t>201</w:t>
      </w:r>
      <w:r w:rsidR="00F062C8">
        <w:t>4</w:t>
      </w:r>
      <w:r w:rsidRPr="0033327A">
        <w:t xml:space="preserve">. Los elementos no recurrentes de </w:t>
      </w:r>
      <w:r w:rsidR="00F062C8">
        <w:t>370</w:t>
      </w:r>
      <w:r w:rsidRPr="0033327A">
        <w:t xml:space="preserve"> millones de euros corresponden, fundamentalmente, a los gastos </w:t>
      </w:r>
      <w:r w:rsidRPr="0033327A">
        <w:rPr>
          <w:color w:val="auto"/>
        </w:rPr>
        <w:t>de reestructuraci</w:t>
      </w:r>
      <w:r w:rsidRPr="0033327A">
        <w:rPr>
          <w:rFonts w:ascii="Arial Unicode MS"/>
          <w:color w:val="auto"/>
        </w:rPr>
        <w:t>ó</w:t>
      </w:r>
      <w:r w:rsidRPr="0033327A">
        <w:rPr>
          <w:color w:val="auto"/>
        </w:rPr>
        <w:t>n por</w:t>
      </w:r>
      <w:r w:rsidRPr="0033327A">
        <w:t xml:space="preserve"> proyectos de mejora de la competitividad del Grupo</w:t>
      </w:r>
      <w:r w:rsidR="00371F72">
        <w:t>, especialmente en Europa</w:t>
      </w:r>
      <w:r w:rsidRPr="0033327A">
        <w:t>.</w:t>
      </w:r>
    </w:p>
    <w:p w14:paraId="2D1B2351" w14:textId="467A15C4" w:rsidR="00700DFB" w:rsidRDefault="00542B7C" w:rsidP="00972ACA">
      <w:pPr>
        <w:pStyle w:val="TextoMichelin"/>
      </w:pPr>
      <w:r>
        <w:t>E</w:t>
      </w:r>
      <w:r w:rsidR="009F7ED2" w:rsidRPr="0033327A">
        <w:t>l resultado operativo antes de elementos no recurrentes</w:t>
      </w:r>
      <w:r w:rsidR="009F7ED2" w:rsidRPr="0033327A">
        <w:rPr>
          <w:b/>
          <w:bCs/>
        </w:rPr>
        <w:t xml:space="preserve"> </w:t>
      </w:r>
      <w:r w:rsidR="009F7ED2" w:rsidRPr="0033327A">
        <w:t xml:space="preserve">registra el efecto </w:t>
      </w:r>
      <w:r>
        <w:t>del aumento de los vol</w:t>
      </w:r>
      <w:r>
        <w:t>ú</w:t>
      </w:r>
      <w:r>
        <w:t>menes</w:t>
      </w:r>
      <w:r w:rsidR="009F7ED2" w:rsidRPr="0033327A">
        <w:t xml:space="preserve"> </w:t>
      </w:r>
      <w:r>
        <w:t>(+ 23</w:t>
      </w:r>
      <w:r w:rsidR="009F7ED2" w:rsidRPr="0033327A">
        <w:t>1 millones de euros</w:t>
      </w:r>
      <w:r w:rsidR="00145F71">
        <w:t>)</w:t>
      </w:r>
      <w:r w:rsidR="006C6877">
        <w:t xml:space="preserve"> y el estricto </w:t>
      </w:r>
      <w:r w:rsidR="009F7ED2" w:rsidRPr="0033327A">
        <w:t>control del mix de precios (-</w:t>
      </w:r>
      <w:r w:rsidR="003A2EE5">
        <w:t xml:space="preserve"> </w:t>
      </w:r>
      <w:r w:rsidR="006C6877" w:rsidRPr="00A90349">
        <w:rPr>
          <w:bCs/>
        </w:rPr>
        <w:t>687</w:t>
      </w:r>
      <w:r w:rsidR="009F7ED2" w:rsidRPr="0033327A">
        <w:t xml:space="preserve"> millones de euros</w:t>
      </w:r>
      <w:r w:rsidR="009F7ED2" w:rsidRPr="0033327A">
        <w:rPr>
          <w:color w:val="auto"/>
        </w:rPr>
        <w:t xml:space="preserve">), </w:t>
      </w:r>
      <w:r w:rsidR="006C6877">
        <w:rPr>
          <w:color w:val="auto"/>
        </w:rPr>
        <w:t>teniendo en cuenta el</w:t>
      </w:r>
      <w:r w:rsidR="009F7ED2" w:rsidRPr="0033327A">
        <w:rPr>
          <w:color w:val="auto"/>
        </w:rPr>
        <w:t xml:space="preserve"> impacto favorable del precio de las materias primas </w:t>
      </w:r>
      <w:r w:rsidR="009F7ED2" w:rsidRPr="0033327A">
        <w:t>(+</w:t>
      </w:r>
      <w:r w:rsidR="009F7ED2" w:rsidRPr="0033327A">
        <w:rPr>
          <w:rFonts w:ascii="Arial Unicode MS"/>
        </w:rPr>
        <w:t> </w:t>
      </w:r>
      <w:r w:rsidR="009F7ED2" w:rsidRPr="0033327A">
        <w:t>5</w:t>
      </w:r>
      <w:r w:rsidR="003A2EE5">
        <w:t>94</w:t>
      </w:r>
      <w:r w:rsidR="009F7ED2" w:rsidRPr="0033327A">
        <w:t xml:space="preserve"> millones de euros)</w:t>
      </w:r>
      <w:r w:rsidR="003A2EE5">
        <w:t xml:space="preserve">. Hay que destacar </w:t>
      </w:r>
      <w:r w:rsidR="00071578">
        <w:t>que el Grupo conserva</w:t>
      </w:r>
      <w:r w:rsidR="009F7ED2" w:rsidRPr="0033327A">
        <w:t xml:space="preserve"> </w:t>
      </w:r>
      <w:r w:rsidR="00071578">
        <w:t>el</w:t>
      </w:r>
      <w:r w:rsidR="009F7ED2" w:rsidRPr="0033327A">
        <w:t xml:space="preserve"> efecto </w:t>
      </w:r>
      <w:r w:rsidR="00071578">
        <w:t xml:space="preserve">favorable </w:t>
      </w:r>
      <w:r w:rsidR="00071578" w:rsidRPr="0033327A">
        <w:t>de las variaciones del cambio (</w:t>
      </w:r>
      <w:r w:rsidR="00071578">
        <w:t>+</w:t>
      </w:r>
      <w:r w:rsidR="00071578" w:rsidRPr="0033327A">
        <w:rPr>
          <w:rFonts w:ascii="Arial Unicode MS"/>
        </w:rPr>
        <w:t> </w:t>
      </w:r>
      <w:r w:rsidR="00071578" w:rsidRPr="00A90349">
        <w:rPr>
          <w:bCs/>
        </w:rPr>
        <w:t>437</w:t>
      </w:r>
      <w:r w:rsidR="00071578" w:rsidRPr="0033327A">
        <w:t xml:space="preserve"> millones de euros),</w:t>
      </w:r>
      <w:r w:rsidR="00C86106">
        <w:t xml:space="preserve"> en un contexto de mercados particularmente competitivos por el exceso de producci</w:t>
      </w:r>
      <w:r w:rsidR="00C86106">
        <w:t>ó</w:t>
      </w:r>
      <w:r w:rsidR="00C86106">
        <w:t>n asi</w:t>
      </w:r>
      <w:r w:rsidR="00C86106">
        <w:t>á</w:t>
      </w:r>
      <w:r w:rsidR="00C86106">
        <w:t xml:space="preserve">tica </w:t>
      </w:r>
      <w:r w:rsidR="00746332">
        <w:t>y la ca</w:t>
      </w:r>
      <w:r w:rsidR="00746332">
        <w:t>í</w:t>
      </w:r>
      <w:r w:rsidR="00746332">
        <w:t xml:space="preserve">da de los costes de las materias primas. </w:t>
      </w:r>
      <w:r w:rsidR="00C37359">
        <w:t>R</w:t>
      </w:r>
      <w:r w:rsidR="00746332">
        <w:t xml:space="preserve">efleja igualmente el efecto </w:t>
      </w:r>
      <w:r w:rsidR="00D113A0">
        <w:t>del aumento previsto</w:t>
      </w:r>
      <w:r w:rsidR="00FA5A44">
        <w:t xml:space="preserve"> de las amortizaciones </w:t>
      </w:r>
      <w:r w:rsidR="00D113A0" w:rsidRPr="00A90349">
        <w:rPr>
          <w:bCs/>
        </w:rPr>
        <w:t>(-</w:t>
      </w:r>
      <w:r w:rsidR="00D113A0" w:rsidRPr="00A90349">
        <w:rPr>
          <w:bCs/>
        </w:rPr>
        <w:t> </w:t>
      </w:r>
      <w:r w:rsidR="00D113A0" w:rsidRPr="00A90349">
        <w:rPr>
          <w:bCs/>
        </w:rPr>
        <w:t>148</w:t>
      </w:r>
      <w:r w:rsidR="00D113A0" w:rsidRPr="0033327A">
        <w:t xml:space="preserve"> millones de euros)</w:t>
      </w:r>
      <w:r w:rsidR="00D113A0">
        <w:t xml:space="preserve">. Por </w:t>
      </w:r>
      <w:r w:rsidR="00D113A0">
        <w:t>ú</w:t>
      </w:r>
      <w:r w:rsidR="00D113A0">
        <w:t>ltimo, la continuaci</w:t>
      </w:r>
      <w:r w:rsidR="00D113A0">
        <w:t>ó</w:t>
      </w:r>
      <w:r w:rsidR="00D113A0">
        <w:t xml:space="preserve">n del </w:t>
      </w:r>
      <w:r w:rsidR="009F7ED2" w:rsidRPr="0033327A">
        <w:t>plan de competitividad (+ 2</w:t>
      </w:r>
      <w:r w:rsidR="00972ACA">
        <w:t>61</w:t>
      </w:r>
      <w:r w:rsidR="009F7ED2" w:rsidRPr="0033327A">
        <w:t xml:space="preserve"> millone</w:t>
      </w:r>
      <w:r w:rsidR="00E6743C" w:rsidRPr="0033327A">
        <w:t>s de euros)</w:t>
      </w:r>
      <w:r w:rsidR="00972ACA">
        <w:t xml:space="preserve"> permite, como se hab</w:t>
      </w:r>
      <w:r w:rsidR="00972ACA">
        <w:t>í</w:t>
      </w:r>
      <w:r w:rsidR="00972ACA">
        <w:t>a anticipado, absorber la inflaci</w:t>
      </w:r>
      <w:r w:rsidR="00972ACA">
        <w:t>ó</w:t>
      </w:r>
      <w:r w:rsidR="00972ACA">
        <w:t xml:space="preserve">n </w:t>
      </w:r>
      <w:r w:rsidR="009F7ED2" w:rsidRPr="0033327A">
        <w:t>de los costes de producci</w:t>
      </w:r>
      <w:r w:rsidR="009F7ED2" w:rsidRPr="0033327A">
        <w:rPr>
          <w:rFonts w:ascii="Arial Unicode MS"/>
        </w:rPr>
        <w:t>ó</w:t>
      </w:r>
      <w:r w:rsidR="009F7ED2" w:rsidRPr="0033327A">
        <w:t xml:space="preserve">n y </w:t>
      </w:r>
      <w:r w:rsidR="00972ACA">
        <w:t>los</w:t>
      </w:r>
      <w:r w:rsidR="009F7ED2" w:rsidRPr="0033327A">
        <w:t xml:space="preserve"> gastos</w:t>
      </w:r>
      <w:r w:rsidR="00972ACA">
        <w:t xml:space="preserve"> generales </w:t>
      </w:r>
      <w:r w:rsidR="009F7ED2" w:rsidRPr="0033327A">
        <w:t>(-</w:t>
      </w:r>
      <w:r w:rsidR="009F7ED2" w:rsidRPr="0033327A">
        <w:rPr>
          <w:rFonts w:ascii="Arial Unicode MS"/>
        </w:rPr>
        <w:t> </w:t>
      </w:r>
      <w:r w:rsidR="009F7ED2" w:rsidRPr="0033327A">
        <w:t>2</w:t>
      </w:r>
      <w:r w:rsidR="00E017E3">
        <w:t>71</w:t>
      </w:r>
      <w:r w:rsidR="009F7ED2" w:rsidRPr="0033327A">
        <w:t xml:space="preserve"> millones de euros</w:t>
      </w:r>
      <w:r w:rsidR="00E017E3">
        <w:t>).</w:t>
      </w:r>
      <w:r w:rsidR="00145F71" w:rsidRPr="0033327A">
        <w:t xml:space="preserve"> </w:t>
      </w:r>
    </w:p>
    <w:p w14:paraId="05269DCB" w14:textId="15433461" w:rsidR="00700DFB" w:rsidRPr="0033327A" w:rsidRDefault="009F7ED2">
      <w:pPr>
        <w:pStyle w:val="TextoMichelin"/>
        <w:rPr>
          <w:b/>
          <w:bCs/>
        </w:rPr>
      </w:pPr>
      <w:r w:rsidRPr="0033327A">
        <w:rPr>
          <w:b/>
          <w:bCs/>
        </w:rPr>
        <w:t>El resultado neto arroja un beneficio de 1.</w:t>
      </w:r>
      <w:r w:rsidR="00371F72">
        <w:rPr>
          <w:b/>
          <w:bCs/>
        </w:rPr>
        <w:t>163</w:t>
      </w:r>
      <w:r w:rsidRPr="0033327A">
        <w:rPr>
          <w:b/>
          <w:bCs/>
        </w:rPr>
        <w:t xml:space="preserve"> millones de euros.</w:t>
      </w:r>
    </w:p>
    <w:p w14:paraId="49461E19" w14:textId="77777777" w:rsidR="00E610BD" w:rsidRDefault="00E610BD">
      <w:pPr>
        <w:pStyle w:val="LadilloMichelinDossier"/>
      </w:pPr>
    </w:p>
    <w:p w14:paraId="3580242D" w14:textId="77777777" w:rsidR="00700DFB" w:rsidRPr="0033327A" w:rsidRDefault="009F7ED2">
      <w:pPr>
        <w:pStyle w:val="LadilloMichelinDossier"/>
      </w:pPr>
      <w:r w:rsidRPr="0033327A">
        <w:lastRenderedPageBreak/>
        <w:t>Posición financiera neta</w:t>
      </w:r>
    </w:p>
    <w:p w14:paraId="1A4B709E" w14:textId="48C4C2D3" w:rsidR="009B7DEF" w:rsidRPr="00F85E3F" w:rsidRDefault="009F7ED2" w:rsidP="0056121A">
      <w:pPr>
        <w:pStyle w:val="TextoMichelin"/>
        <w:rPr>
          <w:color w:val="000000" w:themeColor="text1"/>
        </w:rPr>
      </w:pPr>
      <w:r w:rsidRPr="00024A90">
        <w:rPr>
          <w:color w:val="000000" w:themeColor="text1"/>
        </w:rPr>
        <w:t xml:space="preserve">En el ejercicio, el Grupo ha generado un </w:t>
      </w:r>
      <w:r w:rsidRPr="00024A90">
        <w:rPr>
          <w:b/>
          <w:bCs/>
          <w:i/>
          <w:iCs/>
          <w:color w:val="000000" w:themeColor="text1"/>
        </w:rPr>
        <w:t>cash flow</w:t>
      </w:r>
      <w:r w:rsidRPr="00024A90">
        <w:rPr>
          <w:b/>
          <w:bCs/>
          <w:color w:val="000000" w:themeColor="text1"/>
        </w:rPr>
        <w:t xml:space="preserve"> libre de </w:t>
      </w:r>
      <w:r w:rsidR="009B7DEF" w:rsidRPr="0056121A">
        <w:rPr>
          <w:b/>
        </w:rPr>
        <w:t xml:space="preserve">965 </w:t>
      </w:r>
      <w:r w:rsidRPr="00024A90">
        <w:rPr>
          <w:b/>
          <w:bCs/>
          <w:color w:val="000000" w:themeColor="text1"/>
        </w:rPr>
        <w:t xml:space="preserve">millones de euros, </w:t>
      </w:r>
      <w:r w:rsidRPr="00024A90">
        <w:rPr>
          <w:color w:val="000000" w:themeColor="text1"/>
        </w:rPr>
        <w:t>exceptuando adquisici</w:t>
      </w:r>
      <w:r w:rsidR="009B7DEF">
        <w:rPr>
          <w:rFonts w:ascii="Arial Unicode MS"/>
          <w:color w:val="000000" w:themeColor="text1"/>
        </w:rPr>
        <w:t>ones</w:t>
      </w:r>
      <w:r w:rsidRPr="00024A90">
        <w:rPr>
          <w:color w:val="000000" w:themeColor="text1"/>
        </w:rPr>
        <w:t>,</w:t>
      </w:r>
      <w:r w:rsidR="009B7DEF">
        <w:rPr>
          <w:color w:val="000000" w:themeColor="text1"/>
        </w:rPr>
        <w:t xml:space="preserve"> lo que representa una</w:t>
      </w:r>
      <w:r w:rsidRPr="00024A90">
        <w:rPr>
          <w:color w:val="000000" w:themeColor="text1"/>
        </w:rPr>
        <w:t xml:space="preserve"> </w:t>
      </w:r>
      <w:r w:rsidR="009B7DEF">
        <w:rPr>
          <w:color w:val="000000" w:themeColor="text1"/>
        </w:rPr>
        <w:t xml:space="preserve">mejora de 243 millones. </w:t>
      </w:r>
      <w:r w:rsidR="00AD3BE0">
        <w:rPr>
          <w:color w:val="000000" w:themeColor="text1"/>
        </w:rPr>
        <w:t>En 2015, el Grupo ha realizado adquisiciones por un montante total de 3</w:t>
      </w:r>
      <w:r w:rsidR="00591E54">
        <w:rPr>
          <w:color w:val="000000" w:themeColor="text1"/>
        </w:rPr>
        <w:t>12</w:t>
      </w:r>
      <w:r w:rsidR="00AD3BE0">
        <w:rPr>
          <w:color w:val="000000" w:themeColor="text1"/>
        </w:rPr>
        <w:t xml:space="preserve"> millones de euros. Especialmente, ha formado una </w:t>
      </w:r>
      <w:r w:rsidR="00AD3BE0" w:rsidRPr="000C57C8">
        <w:rPr>
          <w:i/>
          <w:color w:val="000000" w:themeColor="text1"/>
        </w:rPr>
        <w:t>joint-venture</w:t>
      </w:r>
      <w:r w:rsidR="00AD3BE0">
        <w:rPr>
          <w:color w:val="000000" w:themeColor="text1"/>
        </w:rPr>
        <w:t xml:space="preserve"> con </w:t>
      </w:r>
      <w:r w:rsidR="00AD3BE0" w:rsidRPr="0056121A">
        <w:t>Barito Pacific Group</w:t>
      </w:r>
      <w:r w:rsidR="00AD3BE0">
        <w:t xml:space="preserve"> para producir caucho natural eco-responsable en Indonesia y ha comprado el 100 % de la sociedad </w:t>
      </w:r>
      <w:r w:rsidR="00AD3BE0" w:rsidRPr="0056121A">
        <w:t xml:space="preserve">Blackcircles.com </w:t>
      </w:r>
      <w:r w:rsidR="00AD3BE0">
        <w:t>y el</w:t>
      </w:r>
      <w:r w:rsidR="00AD3BE0" w:rsidRPr="0056121A">
        <w:t xml:space="preserve"> 90</w:t>
      </w:r>
      <w:r w:rsidR="00AD3BE0" w:rsidRPr="0056121A">
        <w:t> </w:t>
      </w:r>
      <w:r w:rsidR="00AD3BE0" w:rsidRPr="0056121A">
        <w:t xml:space="preserve">% de la </w:t>
      </w:r>
      <w:r w:rsidR="00AD3BE0">
        <w:t>compa</w:t>
      </w:r>
      <w:r w:rsidR="00AD3BE0">
        <w:t>ñí</w:t>
      </w:r>
      <w:r w:rsidR="00AD3BE0">
        <w:t>a</w:t>
      </w:r>
      <w:r w:rsidR="00AD3BE0" w:rsidRPr="0056121A">
        <w:t xml:space="preserve"> Livebooking Holdings (BookaTable).</w:t>
      </w:r>
      <w:r w:rsidR="00793CAB">
        <w:t xml:space="preserve"> </w:t>
      </w:r>
      <w:r w:rsidR="0047503F">
        <w:t>Al margen</w:t>
      </w:r>
      <w:r w:rsidR="00793CAB">
        <w:t xml:space="preserve"> de esto, las inversiones se elevan a </w:t>
      </w:r>
      <w:r w:rsidR="00793CAB" w:rsidRPr="0056121A">
        <w:t>1</w:t>
      </w:r>
      <w:r w:rsidR="00793CAB">
        <w:t>.</w:t>
      </w:r>
      <w:r w:rsidR="00793CAB" w:rsidRPr="0056121A">
        <w:t xml:space="preserve">804 </w:t>
      </w:r>
      <w:r w:rsidR="00793CAB">
        <w:rPr>
          <w:color w:val="000000" w:themeColor="text1"/>
        </w:rPr>
        <w:t>millones de euros.</w:t>
      </w:r>
    </w:p>
    <w:p w14:paraId="0ACA3800" w14:textId="3A659F92" w:rsidR="0056121A" w:rsidRPr="0056121A" w:rsidRDefault="00EA4FB8" w:rsidP="0056121A">
      <w:pPr>
        <w:pStyle w:val="TextoMichelin"/>
      </w:pPr>
      <w:r w:rsidRPr="0033327A">
        <w:t>A 31 de diciembre de 2015</w:t>
      </w:r>
      <w:r w:rsidR="0056121A" w:rsidRPr="0056121A">
        <w:t xml:space="preserve">, </w:t>
      </w:r>
      <w:r w:rsidR="0047503F">
        <w:t>tenie</w:t>
      </w:r>
      <w:r>
        <w:t>n</w:t>
      </w:r>
      <w:r w:rsidR="0047503F">
        <w:t>do en cuenta el</w:t>
      </w:r>
      <w:r w:rsidR="0056121A" w:rsidRPr="0056121A">
        <w:t xml:space="preserve"> </w:t>
      </w:r>
      <w:r w:rsidR="0056121A" w:rsidRPr="0056121A">
        <w:rPr>
          <w:i/>
        </w:rPr>
        <w:t>cash flow</w:t>
      </w:r>
      <w:r w:rsidR="0056121A" w:rsidRPr="0056121A">
        <w:t xml:space="preserve"> libre, </w:t>
      </w:r>
      <w:r w:rsidR="0047503F">
        <w:t>las adquisiciones</w:t>
      </w:r>
      <w:r w:rsidR="0056121A" w:rsidRPr="0056121A">
        <w:t xml:space="preserve"> (312 </w:t>
      </w:r>
      <w:r w:rsidR="0047503F">
        <w:rPr>
          <w:color w:val="000000" w:themeColor="text1"/>
        </w:rPr>
        <w:t>millones de euros</w:t>
      </w:r>
      <w:r w:rsidR="0056121A" w:rsidRPr="0056121A">
        <w:t xml:space="preserve">), </w:t>
      </w:r>
      <w:r>
        <w:t>la recompra de acciones</w:t>
      </w:r>
      <w:r w:rsidR="0056121A" w:rsidRPr="0056121A">
        <w:t xml:space="preserve"> (451 </w:t>
      </w:r>
      <w:r w:rsidR="001E5385">
        <w:rPr>
          <w:color w:val="000000" w:themeColor="text1"/>
        </w:rPr>
        <w:t>millones de euros</w:t>
      </w:r>
      <w:r w:rsidR="0056121A" w:rsidRPr="0056121A">
        <w:t xml:space="preserve">) </w:t>
      </w:r>
      <w:r w:rsidR="00872476">
        <w:t xml:space="preserve">y las emisiones obligatorias de </w:t>
      </w:r>
      <w:r w:rsidR="0056121A" w:rsidRPr="0056121A">
        <w:t xml:space="preserve">802 </w:t>
      </w:r>
      <w:r w:rsidR="00872476">
        <w:t>millones</w:t>
      </w:r>
      <w:r w:rsidR="0056121A" w:rsidRPr="0056121A">
        <w:t xml:space="preserve"> </w:t>
      </w:r>
      <w:r w:rsidR="00437353">
        <w:t xml:space="preserve">de euros </w:t>
      </w:r>
      <w:r w:rsidR="00872476">
        <w:t>a</w:t>
      </w:r>
      <w:r w:rsidR="0056121A" w:rsidRPr="0056121A">
        <w:t xml:space="preserve"> 7, 12 </w:t>
      </w:r>
      <w:r w:rsidR="00872476">
        <w:t>y</w:t>
      </w:r>
      <w:r w:rsidR="0056121A" w:rsidRPr="0056121A">
        <w:t xml:space="preserve"> 30 </w:t>
      </w:r>
      <w:r w:rsidR="00872476">
        <w:t>a</w:t>
      </w:r>
      <w:r w:rsidR="00872476">
        <w:t>ñ</w:t>
      </w:r>
      <w:r w:rsidR="00872476">
        <w:t>os</w:t>
      </w:r>
      <w:r w:rsidR="0056121A" w:rsidRPr="0056121A">
        <w:t xml:space="preserve">, </w:t>
      </w:r>
      <w:r w:rsidR="00872476" w:rsidRPr="0033327A">
        <w:t xml:space="preserve">el Grupo tiene un </w:t>
      </w:r>
      <w:r w:rsidR="00872476" w:rsidRPr="0033327A">
        <w:rPr>
          <w:b/>
          <w:bCs/>
        </w:rPr>
        <w:t>ratio de endeudamiento del</w:t>
      </w:r>
      <w:r w:rsidR="0056121A" w:rsidRPr="0056121A">
        <w:rPr>
          <w:b/>
        </w:rPr>
        <w:t xml:space="preserve"> 11</w:t>
      </w:r>
      <w:r w:rsidR="0056121A" w:rsidRPr="0056121A">
        <w:rPr>
          <w:b/>
        </w:rPr>
        <w:t> </w:t>
      </w:r>
      <w:r w:rsidR="0056121A" w:rsidRPr="0056121A">
        <w:rPr>
          <w:b/>
        </w:rPr>
        <w:t xml:space="preserve">%, </w:t>
      </w:r>
      <w:r w:rsidR="00437353" w:rsidRPr="0033327A">
        <w:t xml:space="preserve">que </w:t>
      </w:r>
      <w:r w:rsidR="00437353">
        <w:t>corresponde a</w:t>
      </w:r>
      <w:r w:rsidR="00437353" w:rsidRPr="0033327A">
        <w:t xml:space="preserve"> un endeudamiento financiero neto de </w:t>
      </w:r>
      <w:r w:rsidR="0056121A" w:rsidRPr="0056121A">
        <w:t>1</w:t>
      </w:r>
      <w:r w:rsidR="00437353">
        <w:t>.</w:t>
      </w:r>
      <w:r w:rsidR="0056121A" w:rsidRPr="0056121A">
        <w:t xml:space="preserve">008 </w:t>
      </w:r>
      <w:r w:rsidR="00437353">
        <w:t>millones</w:t>
      </w:r>
      <w:r w:rsidR="00437353" w:rsidRPr="0056121A">
        <w:t xml:space="preserve"> </w:t>
      </w:r>
      <w:r w:rsidR="00437353">
        <w:t>de euros</w:t>
      </w:r>
      <w:r w:rsidR="0056121A" w:rsidRPr="0056121A">
        <w:t xml:space="preserve">, </w:t>
      </w:r>
      <w:r w:rsidR="00437353">
        <w:t>contra el</w:t>
      </w:r>
      <w:r w:rsidR="0056121A" w:rsidRPr="0056121A">
        <w:t xml:space="preserve"> 7</w:t>
      </w:r>
      <w:r w:rsidR="0056121A" w:rsidRPr="0056121A">
        <w:t> </w:t>
      </w:r>
      <w:r w:rsidR="0056121A" w:rsidRPr="0056121A">
        <w:t xml:space="preserve">% </w:t>
      </w:r>
      <w:r w:rsidR="00437353">
        <w:t>y los</w:t>
      </w:r>
      <w:r w:rsidR="0056121A" w:rsidRPr="0056121A">
        <w:t xml:space="preserve"> 707 </w:t>
      </w:r>
      <w:r w:rsidR="00437353">
        <w:t>millones a</w:t>
      </w:r>
      <w:r w:rsidR="0056121A" w:rsidRPr="0056121A">
        <w:t xml:space="preserve"> fin</w:t>
      </w:r>
      <w:r w:rsidR="00437353">
        <w:t>ales de</w:t>
      </w:r>
      <w:r w:rsidR="0056121A" w:rsidRPr="0056121A">
        <w:t xml:space="preserve"> d</w:t>
      </w:r>
      <w:r w:rsidR="00AC464A">
        <w:t>ici</w:t>
      </w:r>
      <w:r w:rsidR="0056121A" w:rsidRPr="0056121A">
        <w:t xml:space="preserve">embre </w:t>
      </w:r>
      <w:r w:rsidR="00AC464A">
        <w:t xml:space="preserve">de </w:t>
      </w:r>
      <w:r w:rsidR="0056121A" w:rsidRPr="0056121A">
        <w:t>2014.</w:t>
      </w:r>
    </w:p>
    <w:p w14:paraId="5B1D48B0" w14:textId="28C55B0B" w:rsidR="00E610BD" w:rsidRDefault="0056121A" w:rsidP="00E610BD">
      <w:pPr>
        <w:pStyle w:val="TextoMichelin"/>
      </w:pPr>
      <w:r w:rsidRPr="0056121A">
        <w:t xml:space="preserve">En 2015, </w:t>
      </w:r>
      <w:r w:rsidR="00AC464A">
        <w:t xml:space="preserve">el retorno de los capitales invertidos </w:t>
      </w:r>
      <w:r w:rsidR="00944130">
        <w:t>tras impuestos</w:t>
      </w:r>
      <w:r w:rsidR="00944130" w:rsidRPr="0056121A">
        <w:t xml:space="preserve"> </w:t>
      </w:r>
      <w:r w:rsidR="00606747">
        <w:t>(ROCE)</w:t>
      </w:r>
      <w:r w:rsidR="00944130">
        <w:t xml:space="preserve"> alcanza el </w:t>
      </w:r>
      <w:r w:rsidRPr="0056121A">
        <w:t xml:space="preserve">12,2 % </w:t>
      </w:r>
      <w:r w:rsidR="00DA1D5B">
        <w:t>asegura</w:t>
      </w:r>
      <w:r w:rsidR="00944130">
        <w:t>ndo</w:t>
      </w:r>
      <w:r w:rsidR="00DA1D5B">
        <w:t xml:space="preserve"> </w:t>
      </w:r>
      <w:r w:rsidR="00D105C9">
        <w:t>la</w:t>
      </w:r>
      <w:r w:rsidR="00DA1D5B">
        <w:t xml:space="preserve"> creaci</w:t>
      </w:r>
      <w:r w:rsidR="00DA1D5B">
        <w:t>ó</w:t>
      </w:r>
      <w:r w:rsidR="00DA1D5B">
        <w:t>n de valor, en comparaci</w:t>
      </w:r>
      <w:r w:rsidR="00DA1D5B">
        <w:t>ó</w:t>
      </w:r>
      <w:r w:rsidR="00DA1D5B">
        <w:t xml:space="preserve">n con el coste medio ponderado de los capitales del Grupo. Para </w:t>
      </w:r>
      <w:r w:rsidRPr="0056121A">
        <w:t xml:space="preserve">2016, Michelin </w:t>
      </w:r>
      <w:r w:rsidR="00D105C9">
        <w:t>prev</w:t>
      </w:r>
      <w:r w:rsidR="00D105C9">
        <w:t>é</w:t>
      </w:r>
      <w:r w:rsidRPr="0056121A">
        <w:t xml:space="preserve"> un ROCE </w:t>
      </w:r>
      <w:r w:rsidR="00D105C9">
        <w:t>tras impuestos</w:t>
      </w:r>
      <w:r w:rsidR="00D105C9" w:rsidRPr="0056121A">
        <w:t xml:space="preserve"> </w:t>
      </w:r>
      <w:r w:rsidR="00D105C9">
        <w:t xml:space="preserve">de, al menos, el </w:t>
      </w:r>
      <w:r w:rsidRPr="0056121A">
        <w:t>11%.</w:t>
      </w:r>
    </w:p>
    <w:p w14:paraId="21FCA1C4" w14:textId="2A3CAA05" w:rsidR="00700DFB" w:rsidRPr="00E610BD" w:rsidRDefault="009F7ED2" w:rsidP="00E610BD">
      <w:pPr>
        <w:pStyle w:val="LadilloMichelinDossier"/>
      </w:pPr>
      <w:r w:rsidRPr="0033327A">
        <w:t>Información sectorial</w:t>
      </w:r>
    </w:p>
    <w:tbl>
      <w:tblPr>
        <w:tblStyle w:val="TableNormal"/>
        <w:tblW w:w="84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47"/>
        <w:gridCol w:w="1119"/>
        <w:gridCol w:w="1258"/>
        <w:gridCol w:w="1118"/>
        <w:gridCol w:w="1119"/>
        <w:gridCol w:w="1118"/>
        <w:gridCol w:w="1119"/>
      </w:tblGrid>
      <w:tr w:rsidR="00700DFB" w:rsidRPr="0033327A" w14:paraId="6B69AED5" w14:textId="77777777" w:rsidTr="000C57C8">
        <w:trPr>
          <w:trHeight w:val="758"/>
        </w:trPr>
        <w:tc>
          <w:tcPr>
            <w:tcW w:w="1647" w:type="dxa"/>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14:paraId="0CB6F0D4" w14:textId="77777777" w:rsidR="00700DFB" w:rsidRPr="0033327A" w:rsidRDefault="009F7ED2">
            <w:pPr>
              <w:pStyle w:val="LadilloMichelinDossier"/>
              <w:spacing w:before="0" w:after="0"/>
              <w:jc w:val="center"/>
            </w:pPr>
            <w:r w:rsidRPr="0033327A">
              <w:rPr>
                <w:rFonts w:ascii="Arial"/>
                <w:sz w:val="20"/>
                <w:szCs w:val="20"/>
              </w:rPr>
              <w:t>Millones de euros</w:t>
            </w:r>
          </w:p>
        </w:tc>
        <w:tc>
          <w:tcPr>
            <w:tcW w:w="2377" w:type="dxa"/>
            <w:gridSpan w:val="2"/>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14:paraId="6141BD78" w14:textId="77777777" w:rsidR="00700DFB" w:rsidRPr="0033327A" w:rsidRDefault="009F7ED2">
            <w:pPr>
              <w:pStyle w:val="LadilloMichelinDossier"/>
              <w:spacing w:before="0" w:after="0"/>
              <w:jc w:val="center"/>
            </w:pPr>
            <w:r w:rsidRPr="0033327A">
              <w:rPr>
                <w:rFonts w:ascii="Arial" w:eastAsia="Arial" w:hAnsi="Arial" w:cs="Arial"/>
                <w:sz w:val="20"/>
                <w:szCs w:val="20"/>
              </w:rPr>
              <w:br/>
            </w:r>
            <w:r w:rsidRPr="0033327A">
              <w:rPr>
                <w:rFonts w:ascii="Arial"/>
                <w:sz w:val="20"/>
                <w:szCs w:val="20"/>
              </w:rPr>
              <w:t>Ventas netas</w:t>
            </w:r>
          </w:p>
        </w:tc>
        <w:tc>
          <w:tcPr>
            <w:tcW w:w="2237" w:type="dxa"/>
            <w:gridSpan w:val="2"/>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14:paraId="320E973C" w14:textId="77777777" w:rsidR="00700DFB" w:rsidRPr="0033327A" w:rsidRDefault="009F7ED2">
            <w:pPr>
              <w:pStyle w:val="LadilloMichelinDossier"/>
              <w:spacing w:before="0" w:after="0"/>
              <w:jc w:val="center"/>
            </w:pPr>
            <w:r w:rsidRPr="0033327A">
              <w:rPr>
                <w:rFonts w:ascii="Arial"/>
                <w:sz w:val="20"/>
                <w:szCs w:val="20"/>
              </w:rPr>
              <w:t xml:space="preserve">Resultado operativo antes de no recurrentes </w:t>
            </w:r>
          </w:p>
        </w:tc>
        <w:tc>
          <w:tcPr>
            <w:tcW w:w="2237" w:type="dxa"/>
            <w:gridSpan w:val="2"/>
            <w:tcBorders>
              <w:top w:val="single" w:sz="2" w:space="0" w:color="000000"/>
              <w:left w:val="single" w:sz="2" w:space="0" w:color="000000"/>
              <w:bottom w:val="single" w:sz="2" w:space="0" w:color="000000"/>
              <w:right w:val="single" w:sz="2" w:space="0" w:color="000000"/>
            </w:tcBorders>
            <w:shd w:val="clear" w:color="auto" w:fill="E0E0E0"/>
            <w:tcMar>
              <w:top w:w="80" w:type="dxa"/>
              <w:left w:w="80" w:type="dxa"/>
              <w:bottom w:w="80" w:type="dxa"/>
              <w:right w:w="80" w:type="dxa"/>
            </w:tcMar>
          </w:tcPr>
          <w:p w14:paraId="74CCAF30" w14:textId="77777777" w:rsidR="00700DFB" w:rsidRPr="0033327A" w:rsidRDefault="009F7ED2">
            <w:pPr>
              <w:pStyle w:val="LadilloMichelinDossier"/>
              <w:spacing w:before="0" w:after="0"/>
              <w:jc w:val="center"/>
            </w:pPr>
            <w:r w:rsidRPr="0033327A">
              <w:rPr>
                <w:rFonts w:ascii="Arial"/>
                <w:sz w:val="20"/>
                <w:szCs w:val="20"/>
              </w:rPr>
              <w:t>Margen operativo antes de no recurrentes</w:t>
            </w:r>
          </w:p>
        </w:tc>
      </w:tr>
      <w:tr w:rsidR="00700DFB" w:rsidRPr="0033327A" w14:paraId="3BFC386C" w14:textId="77777777" w:rsidTr="000C57C8">
        <w:trPr>
          <w:trHeight w:val="225"/>
        </w:trPr>
        <w:tc>
          <w:tcPr>
            <w:tcW w:w="16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651EE2" w14:textId="77777777" w:rsidR="00700DFB" w:rsidRPr="0033327A" w:rsidRDefault="00700DFB"/>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EA788" w14:textId="4BDA0EB6" w:rsidR="00700DFB" w:rsidRPr="0033327A" w:rsidRDefault="00D46DF5">
            <w:pPr>
              <w:pStyle w:val="Cuerpo"/>
              <w:keepNext/>
              <w:spacing w:after="120"/>
              <w:jc w:val="center"/>
            </w:pPr>
            <w:r w:rsidRPr="0033327A">
              <w:rPr>
                <w:rFonts w:ascii="Arial"/>
                <w:smallCaps/>
                <w:sz w:val="20"/>
                <w:szCs w:val="20"/>
              </w:rPr>
              <w:t>2015</w:t>
            </w:r>
          </w:p>
        </w:tc>
        <w:tc>
          <w:tcPr>
            <w:tcW w:w="1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DE7AC" w14:textId="6A5709CB" w:rsidR="00700DFB" w:rsidRPr="0033327A" w:rsidRDefault="009F7ED2" w:rsidP="000C57C8">
            <w:pPr>
              <w:pStyle w:val="Cuerpo"/>
              <w:keepNext/>
              <w:spacing w:after="120"/>
              <w:jc w:val="center"/>
            </w:pPr>
            <w:r w:rsidRPr="0033327A">
              <w:rPr>
                <w:rFonts w:ascii="Arial"/>
                <w:smallCaps/>
                <w:sz w:val="20"/>
                <w:szCs w:val="20"/>
              </w:rPr>
              <w:t>201</w:t>
            </w:r>
            <w:r w:rsidR="000C57C8">
              <w:rPr>
                <w:rFonts w:ascii="Arial"/>
                <w:smallCaps/>
                <w:sz w:val="20"/>
                <w:szCs w:val="20"/>
              </w:rPr>
              <w:t>4</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BD6E1B" w14:textId="6A17C79B" w:rsidR="00700DFB" w:rsidRPr="0033327A" w:rsidRDefault="00D46DF5">
            <w:pPr>
              <w:pStyle w:val="Cuerpo"/>
              <w:keepNext/>
              <w:spacing w:after="120"/>
              <w:jc w:val="center"/>
            </w:pPr>
            <w:r w:rsidRPr="0033327A">
              <w:rPr>
                <w:rFonts w:ascii="Arial"/>
                <w:smallCaps/>
                <w:sz w:val="20"/>
                <w:szCs w:val="20"/>
              </w:rPr>
              <w:t>2015</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5B342" w14:textId="5F25565E" w:rsidR="00700DFB" w:rsidRPr="0033327A" w:rsidRDefault="009F7ED2" w:rsidP="000C57C8">
            <w:pPr>
              <w:pStyle w:val="Cuerpo"/>
              <w:keepNext/>
              <w:spacing w:after="120"/>
              <w:jc w:val="center"/>
            </w:pPr>
            <w:r w:rsidRPr="0033327A">
              <w:rPr>
                <w:rFonts w:ascii="Arial"/>
                <w:smallCaps/>
                <w:sz w:val="20"/>
                <w:szCs w:val="20"/>
              </w:rPr>
              <w:t>201</w:t>
            </w:r>
            <w:r w:rsidR="000C57C8">
              <w:rPr>
                <w:rFonts w:ascii="Arial"/>
                <w:smallCaps/>
                <w:sz w:val="20"/>
                <w:szCs w:val="20"/>
              </w:rPr>
              <w:t>4</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2AE6B0" w14:textId="2748B4A2" w:rsidR="00700DFB" w:rsidRPr="0033327A" w:rsidRDefault="00D46DF5">
            <w:pPr>
              <w:pStyle w:val="Cuerpo"/>
              <w:keepNext/>
              <w:spacing w:after="120"/>
              <w:jc w:val="center"/>
            </w:pPr>
            <w:r w:rsidRPr="0033327A">
              <w:rPr>
                <w:rFonts w:ascii="Arial"/>
                <w:smallCaps/>
                <w:sz w:val="20"/>
                <w:szCs w:val="20"/>
              </w:rPr>
              <w:t>2015</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E09D37" w14:textId="638BC5D6" w:rsidR="00700DFB" w:rsidRPr="0033327A" w:rsidRDefault="009F7ED2" w:rsidP="000C57C8">
            <w:pPr>
              <w:pStyle w:val="Cuerpo"/>
              <w:keepNext/>
              <w:spacing w:after="120"/>
              <w:jc w:val="center"/>
            </w:pPr>
            <w:r w:rsidRPr="0033327A">
              <w:rPr>
                <w:rFonts w:ascii="Arial"/>
                <w:smallCaps/>
                <w:sz w:val="20"/>
                <w:szCs w:val="20"/>
              </w:rPr>
              <w:t>201</w:t>
            </w:r>
            <w:r w:rsidR="000C57C8">
              <w:rPr>
                <w:rFonts w:ascii="Arial"/>
                <w:smallCaps/>
                <w:sz w:val="20"/>
                <w:szCs w:val="20"/>
              </w:rPr>
              <w:t>4</w:t>
            </w:r>
          </w:p>
        </w:tc>
      </w:tr>
      <w:tr w:rsidR="000C57C8" w:rsidRPr="0033327A" w14:paraId="19FEA181" w14:textId="77777777" w:rsidTr="000C57C8">
        <w:trPr>
          <w:trHeight w:val="878"/>
        </w:trPr>
        <w:tc>
          <w:tcPr>
            <w:tcW w:w="16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0D6139" w14:textId="77777777" w:rsidR="000C57C8" w:rsidRPr="0033327A" w:rsidRDefault="000C57C8">
            <w:pPr>
              <w:pStyle w:val="Cuerpo"/>
              <w:spacing w:after="120"/>
            </w:pPr>
            <w:r w:rsidRPr="0033327A">
              <w:rPr>
                <w:rFonts w:ascii="Arial"/>
                <w:smallCaps/>
                <w:sz w:val="20"/>
                <w:szCs w:val="20"/>
              </w:rPr>
              <w:t xml:space="preserve">turismo </w:t>
            </w:r>
            <w:r w:rsidRPr="0033327A">
              <w:rPr>
                <w:rFonts w:ascii="Arial"/>
                <w:smallCaps/>
                <w:sz w:val="16"/>
                <w:szCs w:val="16"/>
              </w:rPr>
              <w:t>CAMIONETA</w:t>
            </w:r>
            <w:r w:rsidRPr="0033327A">
              <w:rPr>
                <w:rFonts w:ascii="Arial"/>
                <w:smallCaps/>
                <w:sz w:val="20"/>
                <w:szCs w:val="20"/>
              </w:rPr>
              <w:t xml:space="preserve"> y distribuci</w:t>
            </w:r>
            <w:r w:rsidRPr="0033327A">
              <w:rPr>
                <w:rFonts w:hAnsi="Arial Unicode MS"/>
                <w:smallCaps/>
                <w:sz w:val="20"/>
                <w:szCs w:val="20"/>
              </w:rPr>
              <w:t>ó</w:t>
            </w:r>
            <w:r w:rsidRPr="0033327A">
              <w:rPr>
                <w:rFonts w:ascii="Arial"/>
                <w:smallCaps/>
                <w:sz w:val="20"/>
                <w:szCs w:val="20"/>
              </w:rPr>
              <w:t>n asociada</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017148" w14:textId="77777777" w:rsidR="000C57C8" w:rsidRPr="00831C38" w:rsidRDefault="000C57C8" w:rsidP="00B00899">
            <w:pPr>
              <w:tabs>
                <w:tab w:val="left" w:pos="360"/>
              </w:tabs>
              <w:jc w:val="center"/>
              <w:rPr>
                <w:rFonts w:ascii="Arial" w:hAnsi="Arial" w:cs="Arial"/>
                <w:b/>
                <w:bCs/>
                <w:sz w:val="20"/>
                <w:szCs w:val="20"/>
              </w:rPr>
            </w:pPr>
          </w:p>
          <w:p w14:paraId="7563CDB1" w14:textId="77777777" w:rsidR="000C57C8" w:rsidRPr="00831C38" w:rsidRDefault="000C57C8" w:rsidP="00B00899">
            <w:pPr>
              <w:tabs>
                <w:tab w:val="left" w:pos="360"/>
              </w:tabs>
              <w:jc w:val="center"/>
              <w:rPr>
                <w:rFonts w:ascii="Arial" w:hAnsi="Arial" w:cs="Arial"/>
                <w:b/>
                <w:bCs/>
                <w:sz w:val="20"/>
                <w:szCs w:val="20"/>
              </w:rPr>
            </w:pPr>
          </w:p>
          <w:p w14:paraId="10D6E6EE" w14:textId="77777777" w:rsidR="000C57C8" w:rsidRPr="00831C38" w:rsidRDefault="000C57C8" w:rsidP="00B00899">
            <w:pPr>
              <w:tabs>
                <w:tab w:val="left" w:pos="360"/>
              </w:tabs>
              <w:jc w:val="center"/>
              <w:rPr>
                <w:rFonts w:ascii="Arial" w:hAnsi="Arial" w:cs="Arial"/>
                <w:b/>
                <w:bCs/>
                <w:sz w:val="20"/>
                <w:szCs w:val="20"/>
              </w:rPr>
            </w:pPr>
          </w:p>
          <w:p w14:paraId="4470E319" w14:textId="1171434F" w:rsidR="000C57C8" w:rsidRPr="00831C38" w:rsidRDefault="000C57C8" w:rsidP="00831C38">
            <w:pPr>
              <w:pStyle w:val="Cuerpo"/>
              <w:tabs>
                <w:tab w:val="left" w:pos="360"/>
              </w:tabs>
              <w:jc w:val="center"/>
              <w:rPr>
                <w:rFonts w:ascii="Arial" w:hAnsi="Arial" w:cs="Arial"/>
                <w:sz w:val="20"/>
                <w:szCs w:val="20"/>
              </w:rPr>
            </w:pPr>
            <w:r w:rsidRPr="00831C38">
              <w:rPr>
                <w:rFonts w:ascii="Arial" w:hAnsi="Arial" w:cs="Arial"/>
                <w:b/>
                <w:bCs/>
                <w:sz w:val="20"/>
                <w:szCs w:val="20"/>
              </w:rPr>
              <w:t>12</w:t>
            </w:r>
            <w:r w:rsidR="00831C38">
              <w:rPr>
                <w:rFonts w:ascii="Arial" w:hAnsi="Arial" w:cs="Arial"/>
                <w:b/>
                <w:bCs/>
                <w:sz w:val="20"/>
                <w:szCs w:val="20"/>
              </w:rPr>
              <w:t>.</w:t>
            </w:r>
            <w:r w:rsidRPr="00831C38">
              <w:rPr>
                <w:rFonts w:ascii="Arial" w:hAnsi="Arial" w:cs="Arial"/>
                <w:b/>
                <w:bCs/>
                <w:sz w:val="20"/>
                <w:szCs w:val="20"/>
              </w:rPr>
              <w:t>028</w:t>
            </w:r>
          </w:p>
        </w:tc>
        <w:tc>
          <w:tcPr>
            <w:tcW w:w="1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CFA880" w14:textId="77777777" w:rsidR="000C57C8" w:rsidRPr="00831C38" w:rsidRDefault="000C57C8" w:rsidP="00B00899">
            <w:pPr>
              <w:tabs>
                <w:tab w:val="left" w:pos="360"/>
              </w:tabs>
              <w:jc w:val="center"/>
              <w:rPr>
                <w:rFonts w:ascii="Arial" w:hAnsi="Arial" w:cs="Arial"/>
                <w:b/>
                <w:bCs/>
                <w:sz w:val="20"/>
                <w:szCs w:val="20"/>
              </w:rPr>
            </w:pPr>
          </w:p>
          <w:p w14:paraId="2E802D30" w14:textId="77777777" w:rsidR="000C57C8" w:rsidRPr="00831C38" w:rsidRDefault="000C57C8" w:rsidP="00B00899">
            <w:pPr>
              <w:tabs>
                <w:tab w:val="left" w:pos="360"/>
              </w:tabs>
              <w:jc w:val="center"/>
              <w:rPr>
                <w:rFonts w:ascii="Arial" w:hAnsi="Arial" w:cs="Arial"/>
                <w:b/>
                <w:bCs/>
                <w:sz w:val="20"/>
                <w:szCs w:val="20"/>
              </w:rPr>
            </w:pPr>
          </w:p>
          <w:p w14:paraId="0652597E" w14:textId="77777777" w:rsidR="000C57C8" w:rsidRPr="00831C38" w:rsidRDefault="000C57C8" w:rsidP="00B00899">
            <w:pPr>
              <w:tabs>
                <w:tab w:val="left" w:pos="360"/>
              </w:tabs>
              <w:jc w:val="center"/>
              <w:rPr>
                <w:rFonts w:ascii="Arial" w:hAnsi="Arial" w:cs="Arial"/>
                <w:b/>
                <w:bCs/>
                <w:sz w:val="20"/>
                <w:szCs w:val="20"/>
              </w:rPr>
            </w:pPr>
          </w:p>
          <w:p w14:paraId="20F353B6" w14:textId="67930DDA" w:rsidR="000C57C8" w:rsidRPr="00831C38" w:rsidRDefault="000C57C8" w:rsidP="00831C38">
            <w:pPr>
              <w:pStyle w:val="Cuerpo"/>
              <w:tabs>
                <w:tab w:val="left" w:pos="360"/>
              </w:tabs>
              <w:jc w:val="center"/>
              <w:rPr>
                <w:rFonts w:ascii="Arial" w:hAnsi="Arial" w:cs="Arial"/>
                <w:sz w:val="20"/>
                <w:szCs w:val="20"/>
              </w:rPr>
            </w:pPr>
            <w:r w:rsidRPr="00831C38">
              <w:rPr>
                <w:rFonts w:ascii="Arial" w:hAnsi="Arial" w:cs="Arial"/>
                <w:b/>
                <w:bCs/>
                <w:sz w:val="20"/>
                <w:szCs w:val="20"/>
              </w:rPr>
              <w:t>10</w:t>
            </w:r>
            <w:r w:rsidR="00831C38">
              <w:rPr>
                <w:rFonts w:ascii="Arial" w:hAnsi="Arial" w:cs="Arial"/>
                <w:b/>
                <w:bCs/>
                <w:sz w:val="20"/>
                <w:szCs w:val="20"/>
              </w:rPr>
              <w:t>.</w:t>
            </w:r>
            <w:r w:rsidRPr="00831C38">
              <w:rPr>
                <w:rFonts w:ascii="Arial" w:hAnsi="Arial" w:cs="Arial"/>
                <w:b/>
                <w:bCs/>
                <w:sz w:val="20"/>
                <w:szCs w:val="20"/>
              </w:rPr>
              <w:t>498</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B88BC9" w14:textId="77777777" w:rsidR="000C57C8" w:rsidRPr="00831C38" w:rsidRDefault="000C57C8" w:rsidP="00B00899">
            <w:pPr>
              <w:jc w:val="center"/>
              <w:rPr>
                <w:rFonts w:ascii="Arial" w:hAnsi="Arial" w:cs="Arial"/>
                <w:b/>
                <w:sz w:val="20"/>
                <w:szCs w:val="20"/>
              </w:rPr>
            </w:pPr>
          </w:p>
          <w:p w14:paraId="09D79888" w14:textId="77777777" w:rsidR="000C57C8" w:rsidRPr="00831C38" w:rsidRDefault="000C57C8" w:rsidP="00B00899">
            <w:pPr>
              <w:jc w:val="center"/>
              <w:rPr>
                <w:rFonts w:ascii="Arial" w:hAnsi="Arial" w:cs="Arial"/>
                <w:b/>
                <w:sz w:val="20"/>
                <w:szCs w:val="20"/>
              </w:rPr>
            </w:pPr>
          </w:p>
          <w:p w14:paraId="2F034C49" w14:textId="77777777" w:rsidR="000C57C8" w:rsidRPr="00831C38" w:rsidRDefault="000C57C8" w:rsidP="00B00899">
            <w:pPr>
              <w:jc w:val="center"/>
              <w:rPr>
                <w:rFonts w:ascii="Arial" w:hAnsi="Arial" w:cs="Arial"/>
                <w:b/>
                <w:sz w:val="20"/>
                <w:szCs w:val="20"/>
              </w:rPr>
            </w:pPr>
          </w:p>
          <w:p w14:paraId="4FC0519C" w14:textId="6E9C5391" w:rsidR="000C57C8" w:rsidRPr="00831C38" w:rsidRDefault="000C57C8" w:rsidP="00831C38">
            <w:pPr>
              <w:pStyle w:val="Cuerpo"/>
              <w:jc w:val="center"/>
              <w:rPr>
                <w:rFonts w:ascii="Arial" w:hAnsi="Arial" w:cs="Arial"/>
                <w:sz w:val="20"/>
                <w:szCs w:val="20"/>
              </w:rPr>
            </w:pPr>
            <w:r w:rsidRPr="00831C38">
              <w:rPr>
                <w:rFonts w:ascii="Arial" w:hAnsi="Arial" w:cs="Arial"/>
                <w:b/>
                <w:sz w:val="20"/>
                <w:szCs w:val="20"/>
              </w:rPr>
              <w:t>1</w:t>
            </w:r>
            <w:r w:rsidR="00831C38">
              <w:rPr>
                <w:rFonts w:ascii="Arial" w:hAnsi="Arial" w:cs="Arial"/>
                <w:b/>
                <w:sz w:val="20"/>
                <w:szCs w:val="20"/>
              </w:rPr>
              <w:t>.</w:t>
            </w:r>
            <w:r w:rsidRPr="00831C38">
              <w:rPr>
                <w:rFonts w:ascii="Arial" w:hAnsi="Arial" w:cs="Arial"/>
                <w:b/>
                <w:sz w:val="20"/>
                <w:szCs w:val="20"/>
              </w:rPr>
              <w:t>384</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31CA65" w14:textId="77777777" w:rsidR="000C57C8" w:rsidRPr="00831C38" w:rsidRDefault="000C57C8" w:rsidP="00B00899">
            <w:pPr>
              <w:jc w:val="center"/>
              <w:rPr>
                <w:rFonts w:ascii="Arial" w:hAnsi="Arial" w:cs="Arial"/>
                <w:b/>
                <w:sz w:val="20"/>
                <w:szCs w:val="20"/>
              </w:rPr>
            </w:pPr>
          </w:p>
          <w:p w14:paraId="5E2E4641" w14:textId="77777777" w:rsidR="000C57C8" w:rsidRPr="00831C38" w:rsidRDefault="000C57C8" w:rsidP="00B00899">
            <w:pPr>
              <w:jc w:val="center"/>
              <w:rPr>
                <w:rFonts w:ascii="Arial" w:hAnsi="Arial" w:cs="Arial"/>
                <w:b/>
                <w:sz w:val="20"/>
                <w:szCs w:val="20"/>
              </w:rPr>
            </w:pPr>
          </w:p>
          <w:p w14:paraId="304A02FB" w14:textId="77777777" w:rsidR="000C57C8" w:rsidRPr="00831C38" w:rsidRDefault="000C57C8" w:rsidP="00B00899">
            <w:pPr>
              <w:jc w:val="center"/>
              <w:rPr>
                <w:rFonts w:ascii="Arial" w:hAnsi="Arial" w:cs="Arial"/>
                <w:b/>
                <w:sz w:val="20"/>
                <w:szCs w:val="20"/>
              </w:rPr>
            </w:pPr>
          </w:p>
          <w:p w14:paraId="598433EC" w14:textId="493EF698" w:rsidR="000C57C8" w:rsidRPr="00831C38" w:rsidRDefault="000C57C8" w:rsidP="00831C38">
            <w:pPr>
              <w:pStyle w:val="Cuerpo"/>
              <w:jc w:val="center"/>
              <w:rPr>
                <w:rFonts w:ascii="Arial" w:hAnsi="Arial" w:cs="Arial"/>
                <w:sz w:val="20"/>
                <w:szCs w:val="20"/>
              </w:rPr>
            </w:pPr>
            <w:r w:rsidRPr="00831C38">
              <w:rPr>
                <w:rFonts w:ascii="Arial" w:hAnsi="Arial" w:cs="Arial"/>
                <w:b/>
                <w:sz w:val="20"/>
                <w:szCs w:val="20"/>
              </w:rPr>
              <w:t>1</w:t>
            </w:r>
            <w:r w:rsidR="00831C38">
              <w:rPr>
                <w:rFonts w:ascii="Arial" w:hAnsi="Arial" w:cs="Arial"/>
                <w:b/>
                <w:sz w:val="20"/>
                <w:szCs w:val="20"/>
              </w:rPr>
              <w:t>.</w:t>
            </w:r>
            <w:r w:rsidRPr="00831C38">
              <w:rPr>
                <w:rFonts w:ascii="Arial" w:hAnsi="Arial" w:cs="Arial"/>
                <w:b/>
                <w:sz w:val="20"/>
                <w:szCs w:val="20"/>
              </w:rPr>
              <w:t>101</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A7A02D" w14:textId="77777777" w:rsidR="000C57C8" w:rsidRPr="00831C38" w:rsidRDefault="000C57C8" w:rsidP="00B00899">
            <w:pPr>
              <w:tabs>
                <w:tab w:val="left" w:pos="360"/>
              </w:tabs>
              <w:jc w:val="center"/>
              <w:rPr>
                <w:rFonts w:ascii="Arial" w:hAnsi="Arial" w:cs="Arial"/>
                <w:b/>
                <w:bCs/>
                <w:sz w:val="20"/>
                <w:szCs w:val="20"/>
              </w:rPr>
            </w:pPr>
          </w:p>
          <w:p w14:paraId="42B8AB39" w14:textId="77777777" w:rsidR="000C57C8" w:rsidRPr="00831C38" w:rsidRDefault="000C57C8" w:rsidP="00B00899">
            <w:pPr>
              <w:tabs>
                <w:tab w:val="left" w:pos="360"/>
              </w:tabs>
              <w:jc w:val="center"/>
              <w:rPr>
                <w:rFonts w:ascii="Arial" w:hAnsi="Arial" w:cs="Arial"/>
                <w:b/>
                <w:bCs/>
                <w:sz w:val="20"/>
                <w:szCs w:val="20"/>
              </w:rPr>
            </w:pPr>
          </w:p>
          <w:p w14:paraId="418D917C" w14:textId="77777777" w:rsidR="000C57C8" w:rsidRPr="00831C38" w:rsidRDefault="000C57C8" w:rsidP="00B00899">
            <w:pPr>
              <w:tabs>
                <w:tab w:val="left" w:pos="360"/>
              </w:tabs>
              <w:jc w:val="center"/>
              <w:rPr>
                <w:rFonts w:ascii="Arial" w:hAnsi="Arial" w:cs="Arial"/>
                <w:b/>
                <w:bCs/>
                <w:sz w:val="20"/>
                <w:szCs w:val="20"/>
              </w:rPr>
            </w:pPr>
          </w:p>
          <w:p w14:paraId="47D78200" w14:textId="6F130B79" w:rsidR="000C57C8" w:rsidRPr="00831C38" w:rsidRDefault="000C57C8">
            <w:pPr>
              <w:pStyle w:val="Cuerpo"/>
              <w:tabs>
                <w:tab w:val="left" w:pos="360"/>
              </w:tabs>
              <w:jc w:val="center"/>
              <w:rPr>
                <w:rFonts w:ascii="Arial" w:hAnsi="Arial" w:cs="Arial"/>
                <w:sz w:val="20"/>
                <w:szCs w:val="20"/>
              </w:rPr>
            </w:pPr>
            <w:r w:rsidRPr="00831C38">
              <w:rPr>
                <w:rFonts w:ascii="Arial" w:hAnsi="Arial" w:cs="Arial"/>
                <w:b/>
                <w:bCs/>
                <w:sz w:val="20"/>
                <w:szCs w:val="20"/>
              </w:rPr>
              <w:t>11,5 %</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8C7321" w14:textId="77777777" w:rsidR="000C57C8" w:rsidRPr="00831C38" w:rsidRDefault="000C57C8" w:rsidP="00B00899">
            <w:pPr>
              <w:tabs>
                <w:tab w:val="left" w:pos="360"/>
              </w:tabs>
              <w:jc w:val="center"/>
              <w:rPr>
                <w:rFonts w:ascii="Arial" w:hAnsi="Arial" w:cs="Arial"/>
                <w:b/>
                <w:bCs/>
                <w:sz w:val="20"/>
                <w:szCs w:val="20"/>
              </w:rPr>
            </w:pPr>
          </w:p>
          <w:p w14:paraId="3D296280" w14:textId="77777777" w:rsidR="000C57C8" w:rsidRPr="00831C38" w:rsidRDefault="000C57C8" w:rsidP="00B00899">
            <w:pPr>
              <w:tabs>
                <w:tab w:val="left" w:pos="360"/>
              </w:tabs>
              <w:jc w:val="center"/>
              <w:rPr>
                <w:rFonts w:ascii="Arial" w:hAnsi="Arial" w:cs="Arial"/>
                <w:b/>
                <w:bCs/>
                <w:sz w:val="20"/>
                <w:szCs w:val="20"/>
              </w:rPr>
            </w:pPr>
          </w:p>
          <w:p w14:paraId="77B49419" w14:textId="77777777" w:rsidR="000C57C8" w:rsidRPr="00831C38" w:rsidRDefault="000C57C8" w:rsidP="00B00899">
            <w:pPr>
              <w:tabs>
                <w:tab w:val="left" w:pos="360"/>
              </w:tabs>
              <w:jc w:val="center"/>
              <w:rPr>
                <w:rFonts w:ascii="Arial" w:hAnsi="Arial" w:cs="Arial"/>
                <w:b/>
                <w:bCs/>
                <w:sz w:val="20"/>
                <w:szCs w:val="20"/>
              </w:rPr>
            </w:pPr>
          </w:p>
          <w:p w14:paraId="44E1802A" w14:textId="65A28DD9" w:rsidR="000C57C8" w:rsidRPr="00831C38" w:rsidRDefault="000C57C8">
            <w:pPr>
              <w:pStyle w:val="Cuerpo"/>
              <w:tabs>
                <w:tab w:val="left" w:pos="360"/>
              </w:tabs>
              <w:jc w:val="center"/>
              <w:rPr>
                <w:rFonts w:ascii="Arial" w:hAnsi="Arial" w:cs="Arial"/>
                <w:sz w:val="20"/>
                <w:szCs w:val="20"/>
              </w:rPr>
            </w:pPr>
            <w:r w:rsidRPr="00831C38">
              <w:rPr>
                <w:rFonts w:ascii="Arial" w:hAnsi="Arial" w:cs="Arial"/>
                <w:b/>
                <w:bCs/>
                <w:sz w:val="20"/>
                <w:szCs w:val="20"/>
              </w:rPr>
              <w:t>10,5 %</w:t>
            </w:r>
          </w:p>
        </w:tc>
      </w:tr>
      <w:tr w:rsidR="000C57C8" w:rsidRPr="0033327A" w14:paraId="00595FBD" w14:textId="77777777" w:rsidTr="000C57C8">
        <w:trPr>
          <w:trHeight w:val="658"/>
        </w:trPr>
        <w:tc>
          <w:tcPr>
            <w:tcW w:w="16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8687F6" w14:textId="77777777" w:rsidR="000C57C8" w:rsidRPr="0033327A" w:rsidRDefault="000C57C8">
            <w:pPr>
              <w:pStyle w:val="Cuerpo"/>
              <w:spacing w:after="120"/>
            </w:pPr>
            <w:r w:rsidRPr="0033327A">
              <w:rPr>
                <w:rFonts w:ascii="Arial"/>
                <w:smallCaps/>
                <w:sz w:val="20"/>
                <w:szCs w:val="20"/>
              </w:rPr>
              <w:t>cami</w:t>
            </w:r>
            <w:r w:rsidRPr="0033327A">
              <w:rPr>
                <w:rFonts w:hAnsi="Arial Unicode MS"/>
                <w:smallCaps/>
                <w:sz w:val="20"/>
                <w:szCs w:val="20"/>
              </w:rPr>
              <w:t>ó</w:t>
            </w:r>
            <w:r w:rsidRPr="0033327A">
              <w:rPr>
                <w:rFonts w:ascii="Arial"/>
                <w:smallCaps/>
                <w:sz w:val="20"/>
                <w:szCs w:val="20"/>
              </w:rPr>
              <w:t>n y distribuci</w:t>
            </w:r>
            <w:r w:rsidRPr="0033327A">
              <w:rPr>
                <w:rFonts w:hAnsi="Arial Unicode MS"/>
                <w:smallCaps/>
                <w:sz w:val="20"/>
                <w:szCs w:val="20"/>
              </w:rPr>
              <w:t>ó</w:t>
            </w:r>
            <w:r w:rsidRPr="0033327A">
              <w:rPr>
                <w:rFonts w:ascii="Arial"/>
                <w:smallCaps/>
                <w:sz w:val="20"/>
                <w:szCs w:val="20"/>
              </w:rPr>
              <w:t>n asociada</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9D8C6" w14:textId="77777777" w:rsidR="000C57C8" w:rsidRPr="00831C38" w:rsidRDefault="000C57C8" w:rsidP="00B00899">
            <w:pPr>
              <w:tabs>
                <w:tab w:val="left" w:pos="360"/>
              </w:tabs>
              <w:jc w:val="center"/>
              <w:rPr>
                <w:rFonts w:ascii="Arial" w:hAnsi="Arial" w:cs="Arial"/>
                <w:b/>
                <w:bCs/>
                <w:sz w:val="20"/>
                <w:szCs w:val="20"/>
              </w:rPr>
            </w:pPr>
          </w:p>
          <w:p w14:paraId="3B1E009E" w14:textId="77777777" w:rsidR="000C57C8" w:rsidRPr="00831C38" w:rsidRDefault="000C57C8" w:rsidP="00B00899">
            <w:pPr>
              <w:tabs>
                <w:tab w:val="left" w:pos="360"/>
              </w:tabs>
              <w:jc w:val="center"/>
              <w:rPr>
                <w:rFonts w:ascii="Arial" w:hAnsi="Arial" w:cs="Arial"/>
                <w:b/>
                <w:bCs/>
                <w:sz w:val="20"/>
                <w:szCs w:val="20"/>
              </w:rPr>
            </w:pPr>
          </w:p>
          <w:p w14:paraId="171DC566" w14:textId="52F64A58" w:rsidR="000C57C8" w:rsidRPr="00831C38" w:rsidRDefault="000C57C8" w:rsidP="00831C38">
            <w:pPr>
              <w:pStyle w:val="Cuerpo"/>
              <w:tabs>
                <w:tab w:val="left" w:pos="360"/>
              </w:tabs>
              <w:jc w:val="center"/>
              <w:rPr>
                <w:rFonts w:ascii="Arial" w:hAnsi="Arial" w:cs="Arial"/>
                <w:sz w:val="20"/>
                <w:szCs w:val="20"/>
              </w:rPr>
            </w:pPr>
            <w:r w:rsidRPr="00831C38">
              <w:rPr>
                <w:rFonts w:ascii="Arial" w:hAnsi="Arial" w:cs="Arial"/>
                <w:b/>
                <w:bCs/>
                <w:sz w:val="20"/>
                <w:szCs w:val="20"/>
              </w:rPr>
              <w:t>6</w:t>
            </w:r>
            <w:r w:rsidR="00831C38">
              <w:rPr>
                <w:rFonts w:ascii="Arial" w:hAnsi="Arial" w:cs="Arial"/>
                <w:b/>
                <w:bCs/>
                <w:sz w:val="20"/>
                <w:szCs w:val="20"/>
              </w:rPr>
              <w:t>.</w:t>
            </w:r>
            <w:r w:rsidRPr="00831C38">
              <w:rPr>
                <w:rFonts w:ascii="Arial" w:hAnsi="Arial" w:cs="Arial"/>
                <w:b/>
                <w:bCs/>
                <w:sz w:val="20"/>
                <w:szCs w:val="20"/>
              </w:rPr>
              <w:t>229</w:t>
            </w:r>
          </w:p>
        </w:tc>
        <w:tc>
          <w:tcPr>
            <w:tcW w:w="1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B80027" w14:textId="77777777" w:rsidR="000C57C8" w:rsidRPr="00831C38" w:rsidRDefault="000C57C8" w:rsidP="00B00899">
            <w:pPr>
              <w:tabs>
                <w:tab w:val="left" w:pos="360"/>
              </w:tabs>
              <w:jc w:val="center"/>
              <w:rPr>
                <w:rFonts w:ascii="Arial" w:hAnsi="Arial" w:cs="Arial"/>
                <w:b/>
                <w:bCs/>
                <w:sz w:val="20"/>
                <w:szCs w:val="20"/>
              </w:rPr>
            </w:pPr>
          </w:p>
          <w:p w14:paraId="03EAB7B5" w14:textId="77777777" w:rsidR="000C57C8" w:rsidRPr="00831C38" w:rsidRDefault="000C57C8" w:rsidP="00B00899">
            <w:pPr>
              <w:tabs>
                <w:tab w:val="left" w:pos="360"/>
              </w:tabs>
              <w:jc w:val="center"/>
              <w:rPr>
                <w:rFonts w:ascii="Arial" w:hAnsi="Arial" w:cs="Arial"/>
                <w:b/>
                <w:bCs/>
                <w:sz w:val="20"/>
                <w:szCs w:val="20"/>
              </w:rPr>
            </w:pPr>
          </w:p>
          <w:p w14:paraId="0B56033A" w14:textId="01E7741F" w:rsidR="000C57C8" w:rsidRPr="00831C38" w:rsidRDefault="000C57C8" w:rsidP="00831C38">
            <w:pPr>
              <w:pStyle w:val="Cuerpo"/>
              <w:tabs>
                <w:tab w:val="left" w:pos="360"/>
              </w:tabs>
              <w:jc w:val="center"/>
              <w:rPr>
                <w:rFonts w:ascii="Arial" w:hAnsi="Arial" w:cs="Arial"/>
                <w:sz w:val="20"/>
                <w:szCs w:val="20"/>
              </w:rPr>
            </w:pPr>
            <w:r w:rsidRPr="00831C38">
              <w:rPr>
                <w:rFonts w:ascii="Arial" w:hAnsi="Arial" w:cs="Arial"/>
                <w:b/>
                <w:bCs/>
                <w:sz w:val="20"/>
                <w:szCs w:val="20"/>
              </w:rPr>
              <w:t>6</w:t>
            </w:r>
            <w:r w:rsidR="00831C38">
              <w:rPr>
                <w:rFonts w:ascii="Arial" w:hAnsi="Arial" w:cs="Arial"/>
                <w:b/>
                <w:bCs/>
                <w:sz w:val="20"/>
                <w:szCs w:val="20"/>
              </w:rPr>
              <w:t>.</w:t>
            </w:r>
            <w:r w:rsidRPr="00831C38">
              <w:rPr>
                <w:rFonts w:ascii="Arial" w:hAnsi="Arial" w:cs="Arial"/>
                <w:b/>
                <w:bCs/>
                <w:sz w:val="20"/>
                <w:szCs w:val="20"/>
              </w:rPr>
              <w:t>082</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22150E" w14:textId="77777777" w:rsidR="000C57C8" w:rsidRPr="00831C38" w:rsidRDefault="000C57C8" w:rsidP="00B00899">
            <w:pPr>
              <w:jc w:val="center"/>
              <w:rPr>
                <w:rFonts w:ascii="Arial" w:hAnsi="Arial" w:cs="Arial"/>
                <w:b/>
                <w:sz w:val="20"/>
                <w:szCs w:val="20"/>
              </w:rPr>
            </w:pPr>
          </w:p>
          <w:p w14:paraId="298E6060" w14:textId="77777777" w:rsidR="000C57C8" w:rsidRPr="00831C38" w:rsidRDefault="000C57C8" w:rsidP="00B00899">
            <w:pPr>
              <w:jc w:val="center"/>
              <w:rPr>
                <w:rFonts w:ascii="Arial" w:hAnsi="Arial" w:cs="Arial"/>
                <w:b/>
                <w:sz w:val="20"/>
                <w:szCs w:val="20"/>
              </w:rPr>
            </w:pPr>
          </w:p>
          <w:p w14:paraId="4C4F5D13" w14:textId="561415BF" w:rsidR="000C57C8" w:rsidRPr="00831C38" w:rsidRDefault="000C57C8">
            <w:pPr>
              <w:pStyle w:val="Cuerpo"/>
              <w:jc w:val="center"/>
              <w:rPr>
                <w:rFonts w:ascii="Arial" w:hAnsi="Arial" w:cs="Arial"/>
                <w:sz w:val="20"/>
                <w:szCs w:val="20"/>
              </w:rPr>
            </w:pPr>
            <w:r w:rsidRPr="00831C38">
              <w:rPr>
                <w:rFonts w:ascii="Arial" w:hAnsi="Arial" w:cs="Arial"/>
                <w:b/>
                <w:sz w:val="20"/>
                <w:szCs w:val="20"/>
              </w:rPr>
              <w:t>645</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C6BBBA" w14:textId="77777777" w:rsidR="000C57C8" w:rsidRPr="00831C38" w:rsidRDefault="000C57C8" w:rsidP="00B00899">
            <w:pPr>
              <w:jc w:val="center"/>
              <w:rPr>
                <w:rFonts w:ascii="Arial" w:hAnsi="Arial" w:cs="Arial"/>
                <w:b/>
                <w:sz w:val="20"/>
                <w:szCs w:val="20"/>
              </w:rPr>
            </w:pPr>
          </w:p>
          <w:p w14:paraId="471CA051" w14:textId="77777777" w:rsidR="000C57C8" w:rsidRPr="00831C38" w:rsidRDefault="000C57C8" w:rsidP="00B00899">
            <w:pPr>
              <w:jc w:val="center"/>
              <w:rPr>
                <w:rFonts w:ascii="Arial" w:hAnsi="Arial" w:cs="Arial"/>
                <w:b/>
                <w:sz w:val="20"/>
                <w:szCs w:val="20"/>
              </w:rPr>
            </w:pPr>
          </w:p>
          <w:p w14:paraId="7CE695D8" w14:textId="303F23C9" w:rsidR="000C57C8" w:rsidRPr="00831C38" w:rsidRDefault="000C57C8">
            <w:pPr>
              <w:pStyle w:val="Cuerpo"/>
              <w:jc w:val="center"/>
              <w:rPr>
                <w:rFonts w:ascii="Arial" w:hAnsi="Arial" w:cs="Arial"/>
                <w:sz w:val="20"/>
                <w:szCs w:val="20"/>
              </w:rPr>
            </w:pPr>
            <w:r w:rsidRPr="00831C38">
              <w:rPr>
                <w:rFonts w:ascii="Arial" w:hAnsi="Arial" w:cs="Arial"/>
                <w:b/>
                <w:sz w:val="20"/>
                <w:szCs w:val="20"/>
              </w:rPr>
              <w:t>495</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A7B7C0" w14:textId="77777777" w:rsidR="000C57C8" w:rsidRPr="00831C38" w:rsidRDefault="000C57C8" w:rsidP="00B00899">
            <w:pPr>
              <w:tabs>
                <w:tab w:val="left" w:pos="360"/>
              </w:tabs>
              <w:jc w:val="center"/>
              <w:rPr>
                <w:rFonts w:ascii="Arial" w:hAnsi="Arial" w:cs="Arial"/>
                <w:b/>
                <w:bCs/>
                <w:sz w:val="20"/>
                <w:szCs w:val="20"/>
              </w:rPr>
            </w:pPr>
          </w:p>
          <w:p w14:paraId="04412F93" w14:textId="77777777" w:rsidR="000C57C8" w:rsidRPr="00831C38" w:rsidRDefault="000C57C8" w:rsidP="00B00899">
            <w:pPr>
              <w:tabs>
                <w:tab w:val="left" w:pos="360"/>
              </w:tabs>
              <w:jc w:val="center"/>
              <w:rPr>
                <w:rFonts w:ascii="Arial" w:hAnsi="Arial" w:cs="Arial"/>
                <w:b/>
                <w:bCs/>
                <w:sz w:val="20"/>
                <w:szCs w:val="20"/>
              </w:rPr>
            </w:pPr>
          </w:p>
          <w:p w14:paraId="56E257B8" w14:textId="53CACBEE" w:rsidR="000C57C8" w:rsidRPr="00831C38" w:rsidRDefault="000C57C8">
            <w:pPr>
              <w:pStyle w:val="Cuerpo"/>
              <w:tabs>
                <w:tab w:val="left" w:pos="360"/>
              </w:tabs>
              <w:jc w:val="center"/>
              <w:rPr>
                <w:rFonts w:ascii="Arial" w:hAnsi="Arial" w:cs="Arial"/>
                <w:sz w:val="20"/>
                <w:szCs w:val="20"/>
              </w:rPr>
            </w:pPr>
            <w:r w:rsidRPr="00831C38">
              <w:rPr>
                <w:rFonts w:ascii="Arial" w:hAnsi="Arial" w:cs="Arial"/>
                <w:b/>
                <w:bCs/>
                <w:sz w:val="20"/>
                <w:szCs w:val="20"/>
              </w:rPr>
              <w:t>10,4 %</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C78E61" w14:textId="77777777" w:rsidR="000C57C8" w:rsidRPr="00831C38" w:rsidRDefault="000C57C8" w:rsidP="00B00899">
            <w:pPr>
              <w:tabs>
                <w:tab w:val="left" w:pos="360"/>
              </w:tabs>
              <w:jc w:val="center"/>
              <w:rPr>
                <w:rFonts w:ascii="Arial" w:hAnsi="Arial" w:cs="Arial"/>
                <w:b/>
                <w:bCs/>
                <w:sz w:val="20"/>
                <w:szCs w:val="20"/>
              </w:rPr>
            </w:pPr>
          </w:p>
          <w:p w14:paraId="50ADE3B9" w14:textId="77777777" w:rsidR="000C57C8" w:rsidRPr="00831C38" w:rsidRDefault="000C57C8" w:rsidP="00B00899">
            <w:pPr>
              <w:tabs>
                <w:tab w:val="left" w:pos="360"/>
              </w:tabs>
              <w:jc w:val="center"/>
              <w:rPr>
                <w:rFonts w:ascii="Arial" w:hAnsi="Arial" w:cs="Arial"/>
                <w:b/>
                <w:bCs/>
                <w:sz w:val="20"/>
                <w:szCs w:val="20"/>
              </w:rPr>
            </w:pPr>
          </w:p>
          <w:p w14:paraId="5CECB7F0" w14:textId="3A060ACC" w:rsidR="000C57C8" w:rsidRPr="00831C38" w:rsidRDefault="000C57C8">
            <w:pPr>
              <w:pStyle w:val="Cuerpo"/>
              <w:tabs>
                <w:tab w:val="left" w:pos="360"/>
              </w:tabs>
              <w:jc w:val="center"/>
              <w:rPr>
                <w:rFonts w:ascii="Arial" w:hAnsi="Arial" w:cs="Arial"/>
                <w:sz w:val="20"/>
                <w:szCs w:val="20"/>
              </w:rPr>
            </w:pPr>
            <w:r w:rsidRPr="00831C38">
              <w:rPr>
                <w:rFonts w:ascii="Arial" w:hAnsi="Arial" w:cs="Arial"/>
                <w:b/>
                <w:bCs/>
                <w:sz w:val="20"/>
                <w:szCs w:val="20"/>
              </w:rPr>
              <w:t>8,1 %</w:t>
            </w:r>
          </w:p>
        </w:tc>
      </w:tr>
      <w:tr w:rsidR="00831C38" w:rsidRPr="0033327A" w14:paraId="0D0DEF39" w14:textId="77777777" w:rsidTr="000C57C8">
        <w:trPr>
          <w:trHeight w:val="438"/>
        </w:trPr>
        <w:tc>
          <w:tcPr>
            <w:tcW w:w="16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BA7833" w14:textId="77777777" w:rsidR="00831C38" w:rsidRPr="0033327A" w:rsidRDefault="00831C38">
            <w:pPr>
              <w:pStyle w:val="Cuerpo"/>
              <w:spacing w:after="120"/>
              <w:jc w:val="both"/>
            </w:pPr>
            <w:r w:rsidRPr="0033327A">
              <w:rPr>
                <w:rFonts w:ascii="Arial"/>
                <w:smallCaps/>
                <w:sz w:val="20"/>
                <w:szCs w:val="20"/>
              </w:rPr>
              <w:t xml:space="preserve">actividades </w:t>
            </w:r>
            <w:r w:rsidRPr="0033327A">
              <w:rPr>
                <w:rFonts w:ascii="Arial"/>
                <w:smallCaps/>
                <w:sz w:val="16"/>
                <w:szCs w:val="16"/>
              </w:rPr>
              <w:t>DE</w:t>
            </w:r>
            <w:r w:rsidRPr="0033327A">
              <w:rPr>
                <w:rFonts w:ascii="Arial"/>
                <w:smallCaps/>
                <w:sz w:val="20"/>
                <w:szCs w:val="20"/>
              </w:rPr>
              <w:t xml:space="preserve"> especialidades</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D97D21" w14:textId="77777777" w:rsidR="00831C38" w:rsidRPr="00831C38" w:rsidRDefault="00831C38" w:rsidP="00B00899">
            <w:pPr>
              <w:tabs>
                <w:tab w:val="left" w:pos="360"/>
              </w:tabs>
              <w:jc w:val="center"/>
              <w:rPr>
                <w:rFonts w:ascii="Arial" w:hAnsi="Arial" w:cs="Arial"/>
                <w:b/>
                <w:bCs/>
                <w:sz w:val="20"/>
                <w:szCs w:val="20"/>
              </w:rPr>
            </w:pPr>
          </w:p>
          <w:p w14:paraId="7C7CA373" w14:textId="0AEC8C0F" w:rsidR="00831C38" w:rsidRPr="00831C38" w:rsidRDefault="00831C38" w:rsidP="00831C38">
            <w:pPr>
              <w:pStyle w:val="Cuerpo"/>
              <w:tabs>
                <w:tab w:val="left" w:pos="360"/>
              </w:tabs>
              <w:jc w:val="center"/>
              <w:rPr>
                <w:rFonts w:ascii="Arial" w:hAnsi="Arial" w:cs="Arial"/>
                <w:sz w:val="20"/>
                <w:szCs w:val="20"/>
              </w:rPr>
            </w:pPr>
            <w:r w:rsidRPr="00831C38">
              <w:rPr>
                <w:rFonts w:ascii="Arial" w:hAnsi="Arial" w:cs="Arial"/>
                <w:b/>
                <w:bCs/>
                <w:sz w:val="20"/>
                <w:szCs w:val="20"/>
              </w:rPr>
              <w:t>2</w:t>
            </w:r>
            <w:r>
              <w:rPr>
                <w:rFonts w:ascii="Arial" w:hAnsi="Arial" w:cs="Arial"/>
                <w:b/>
                <w:bCs/>
                <w:sz w:val="20"/>
                <w:szCs w:val="20"/>
              </w:rPr>
              <w:t>.</w:t>
            </w:r>
            <w:r w:rsidRPr="00831C38">
              <w:rPr>
                <w:rFonts w:ascii="Arial" w:hAnsi="Arial" w:cs="Arial"/>
                <w:b/>
                <w:bCs/>
                <w:sz w:val="20"/>
                <w:szCs w:val="20"/>
              </w:rPr>
              <w:t>942</w:t>
            </w:r>
          </w:p>
        </w:tc>
        <w:tc>
          <w:tcPr>
            <w:tcW w:w="1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A7DF22" w14:textId="77777777" w:rsidR="00831C38" w:rsidRPr="00831C38" w:rsidRDefault="00831C38" w:rsidP="00B00899">
            <w:pPr>
              <w:tabs>
                <w:tab w:val="left" w:pos="360"/>
              </w:tabs>
              <w:jc w:val="center"/>
              <w:rPr>
                <w:rFonts w:ascii="Arial" w:hAnsi="Arial" w:cs="Arial"/>
                <w:b/>
                <w:bCs/>
                <w:sz w:val="20"/>
                <w:szCs w:val="20"/>
              </w:rPr>
            </w:pPr>
          </w:p>
          <w:p w14:paraId="4D7CA309" w14:textId="52B1A696" w:rsidR="00831C38" w:rsidRPr="00831C38" w:rsidRDefault="00831C38" w:rsidP="00831C38">
            <w:pPr>
              <w:pStyle w:val="Cuerpo"/>
              <w:tabs>
                <w:tab w:val="left" w:pos="360"/>
              </w:tabs>
              <w:jc w:val="center"/>
              <w:rPr>
                <w:rFonts w:ascii="Arial" w:hAnsi="Arial" w:cs="Arial"/>
                <w:sz w:val="20"/>
                <w:szCs w:val="20"/>
              </w:rPr>
            </w:pPr>
            <w:r w:rsidRPr="00831C38">
              <w:rPr>
                <w:rFonts w:ascii="Arial" w:hAnsi="Arial" w:cs="Arial"/>
                <w:b/>
                <w:bCs/>
                <w:sz w:val="20"/>
                <w:szCs w:val="20"/>
              </w:rPr>
              <w:t>2</w:t>
            </w:r>
            <w:r>
              <w:rPr>
                <w:rFonts w:ascii="Arial" w:hAnsi="Arial" w:cs="Arial"/>
                <w:b/>
                <w:bCs/>
                <w:sz w:val="20"/>
                <w:szCs w:val="20"/>
              </w:rPr>
              <w:t>.</w:t>
            </w:r>
            <w:r w:rsidRPr="00831C38">
              <w:rPr>
                <w:rFonts w:ascii="Arial" w:hAnsi="Arial" w:cs="Arial"/>
                <w:b/>
                <w:bCs/>
                <w:sz w:val="20"/>
                <w:szCs w:val="20"/>
              </w:rPr>
              <w:t>973</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465361" w14:textId="77777777" w:rsidR="00831C38" w:rsidRPr="00831C38" w:rsidRDefault="00831C38" w:rsidP="00B00899">
            <w:pPr>
              <w:jc w:val="center"/>
              <w:rPr>
                <w:rFonts w:ascii="Arial" w:hAnsi="Arial" w:cs="Arial"/>
                <w:b/>
                <w:sz w:val="20"/>
                <w:szCs w:val="20"/>
              </w:rPr>
            </w:pPr>
          </w:p>
          <w:p w14:paraId="04829464" w14:textId="0AF96045" w:rsidR="00831C38" w:rsidRPr="00831C38" w:rsidRDefault="00831C38">
            <w:pPr>
              <w:pStyle w:val="Cuerpo"/>
              <w:jc w:val="center"/>
              <w:rPr>
                <w:rFonts w:ascii="Arial" w:hAnsi="Arial" w:cs="Arial"/>
                <w:sz w:val="20"/>
                <w:szCs w:val="20"/>
              </w:rPr>
            </w:pPr>
            <w:r w:rsidRPr="00831C38">
              <w:rPr>
                <w:rFonts w:ascii="Arial" w:hAnsi="Arial" w:cs="Arial"/>
                <w:b/>
                <w:sz w:val="20"/>
                <w:szCs w:val="20"/>
              </w:rPr>
              <w:t>548</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23EB96" w14:textId="77777777" w:rsidR="00831C38" w:rsidRPr="00831C38" w:rsidRDefault="00831C38" w:rsidP="00B00899">
            <w:pPr>
              <w:jc w:val="center"/>
              <w:rPr>
                <w:rFonts w:ascii="Arial" w:hAnsi="Arial" w:cs="Arial"/>
                <w:b/>
                <w:sz w:val="20"/>
                <w:szCs w:val="20"/>
              </w:rPr>
            </w:pPr>
          </w:p>
          <w:p w14:paraId="6B0A7985" w14:textId="0F11BCDA" w:rsidR="00831C38" w:rsidRPr="00831C38" w:rsidRDefault="00831C38">
            <w:pPr>
              <w:pStyle w:val="Cuerpo"/>
              <w:jc w:val="center"/>
              <w:rPr>
                <w:rFonts w:ascii="Arial" w:hAnsi="Arial" w:cs="Arial"/>
                <w:sz w:val="20"/>
                <w:szCs w:val="20"/>
              </w:rPr>
            </w:pPr>
            <w:r w:rsidRPr="00831C38">
              <w:rPr>
                <w:rFonts w:ascii="Arial" w:hAnsi="Arial" w:cs="Arial"/>
                <w:b/>
                <w:sz w:val="20"/>
                <w:szCs w:val="20"/>
              </w:rPr>
              <w:t>574</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79A3B9" w14:textId="77777777" w:rsidR="00831C38" w:rsidRPr="00831C38" w:rsidRDefault="00831C38" w:rsidP="00B00899">
            <w:pPr>
              <w:tabs>
                <w:tab w:val="left" w:pos="360"/>
              </w:tabs>
              <w:jc w:val="center"/>
              <w:rPr>
                <w:rFonts w:ascii="Arial" w:hAnsi="Arial" w:cs="Arial"/>
                <w:b/>
                <w:bCs/>
                <w:sz w:val="20"/>
                <w:szCs w:val="20"/>
              </w:rPr>
            </w:pPr>
          </w:p>
          <w:p w14:paraId="629B0972" w14:textId="638AEE03" w:rsidR="00831C38" w:rsidRPr="00831C38" w:rsidRDefault="00831C38">
            <w:pPr>
              <w:pStyle w:val="Cuerpo"/>
              <w:tabs>
                <w:tab w:val="left" w:pos="360"/>
              </w:tabs>
              <w:jc w:val="center"/>
              <w:rPr>
                <w:rFonts w:ascii="Arial" w:hAnsi="Arial" w:cs="Arial"/>
                <w:sz w:val="20"/>
                <w:szCs w:val="20"/>
              </w:rPr>
            </w:pPr>
            <w:r w:rsidRPr="00831C38">
              <w:rPr>
                <w:rFonts w:ascii="Arial" w:hAnsi="Arial" w:cs="Arial"/>
                <w:b/>
                <w:bCs/>
                <w:sz w:val="20"/>
                <w:szCs w:val="20"/>
              </w:rPr>
              <w:t>18,6 %</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F297D1" w14:textId="77777777" w:rsidR="00831C38" w:rsidRPr="00831C38" w:rsidRDefault="00831C38" w:rsidP="00B00899">
            <w:pPr>
              <w:tabs>
                <w:tab w:val="left" w:pos="360"/>
              </w:tabs>
              <w:jc w:val="center"/>
              <w:rPr>
                <w:rFonts w:ascii="Arial" w:hAnsi="Arial" w:cs="Arial"/>
                <w:b/>
                <w:bCs/>
                <w:sz w:val="20"/>
                <w:szCs w:val="20"/>
              </w:rPr>
            </w:pPr>
          </w:p>
          <w:p w14:paraId="7F9B8A19" w14:textId="7CB6EF29" w:rsidR="00831C38" w:rsidRPr="00831C38" w:rsidRDefault="00831C38">
            <w:pPr>
              <w:pStyle w:val="Cuerpo"/>
              <w:tabs>
                <w:tab w:val="left" w:pos="360"/>
              </w:tabs>
              <w:jc w:val="center"/>
              <w:rPr>
                <w:rFonts w:ascii="Arial" w:hAnsi="Arial" w:cs="Arial"/>
                <w:sz w:val="20"/>
                <w:szCs w:val="20"/>
              </w:rPr>
            </w:pPr>
            <w:r w:rsidRPr="00831C38">
              <w:rPr>
                <w:rFonts w:ascii="Arial" w:hAnsi="Arial" w:cs="Arial"/>
                <w:b/>
                <w:bCs/>
                <w:sz w:val="20"/>
                <w:szCs w:val="20"/>
              </w:rPr>
              <w:t>19,3 %</w:t>
            </w:r>
          </w:p>
        </w:tc>
      </w:tr>
      <w:tr w:rsidR="00831C38" w:rsidRPr="0033327A" w14:paraId="266D3D36" w14:textId="77777777" w:rsidTr="000C57C8">
        <w:trPr>
          <w:trHeight w:val="618"/>
        </w:trPr>
        <w:tc>
          <w:tcPr>
            <w:tcW w:w="16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F2736" w14:textId="77777777" w:rsidR="00831C38" w:rsidRPr="0033327A" w:rsidRDefault="00831C38">
            <w:pPr>
              <w:pStyle w:val="Cuerpo"/>
              <w:jc w:val="both"/>
              <w:rPr>
                <w:rFonts w:ascii="Arial" w:eastAsia="Arial" w:hAnsi="Arial" w:cs="Arial"/>
                <w:smallCaps/>
                <w:sz w:val="20"/>
                <w:szCs w:val="20"/>
              </w:rPr>
            </w:pPr>
          </w:p>
          <w:p w14:paraId="76B023B9" w14:textId="77777777" w:rsidR="00831C38" w:rsidRPr="0033327A" w:rsidRDefault="00831C38">
            <w:pPr>
              <w:pStyle w:val="Cuerpo"/>
              <w:jc w:val="both"/>
              <w:rPr>
                <w:rFonts w:ascii="Arial" w:eastAsia="Arial" w:hAnsi="Arial" w:cs="Arial"/>
                <w:smallCaps/>
                <w:sz w:val="20"/>
                <w:szCs w:val="20"/>
              </w:rPr>
            </w:pPr>
            <w:r w:rsidRPr="0033327A">
              <w:rPr>
                <w:rFonts w:ascii="Arial"/>
                <w:smallCaps/>
                <w:sz w:val="20"/>
                <w:szCs w:val="20"/>
              </w:rPr>
              <w:t>grupo</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1F4549" w14:textId="77777777" w:rsidR="00831C38" w:rsidRPr="00831C38" w:rsidRDefault="00831C38" w:rsidP="00B00899">
            <w:pPr>
              <w:tabs>
                <w:tab w:val="left" w:pos="360"/>
              </w:tabs>
              <w:jc w:val="center"/>
              <w:rPr>
                <w:rFonts w:ascii="Arial" w:hAnsi="Arial" w:cs="Arial"/>
                <w:b/>
                <w:bCs/>
                <w:sz w:val="20"/>
                <w:szCs w:val="20"/>
              </w:rPr>
            </w:pPr>
          </w:p>
          <w:p w14:paraId="58166535" w14:textId="53720254" w:rsidR="00831C38" w:rsidRPr="00831C38" w:rsidRDefault="00831C38" w:rsidP="00831C38">
            <w:pPr>
              <w:pStyle w:val="Cuerpo"/>
              <w:tabs>
                <w:tab w:val="left" w:pos="360"/>
              </w:tabs>
              <w:jc w:val="center"/>
              <w:rPr>
                <w:rFonts w:ascii="Arial" w:hAnsi="Arial" w:cs="Arial"/>
                <w:sz w:val="20"/>
                <w:szCs w:val="20"/>
              </w:rPr>
            </w:pPr>
            <w:r w:rsidRPr="00831C38">
              <w:rPr>
                <w:rFonts w:ascii="Arial" w:hAnsi="Arial" w:cs="Arial"/>
                <w:b/>
                <w:bCs/>
                <w:sz w:val="20"/>
                <w:szCs w:val="20"/>
              </w:rPr>
              <w:t>21</w:t>
            </w:r>
            <w:r>
              <w:rPr>
                <w:rFonts w:ascii="Arial" w:hAnsi="Arial" w:cs="Arial"/>
                <w:b/>
                <w:bCs/>
                <w:sz w:val="20"/>
                <w:szCs w:val="20"/>
              </w:rPr>
              <w:t>.</w:t>
            </w:r>
            <w:r w:rsidRPr="00831C38">
              <w:rPr>
                <w:rFonts w:ascii="Arial" w:hAnsi="Arial" w:cs="Arial"/>
                <w:b/>
                <w:bCs/>
                <w:sz w:val="20"/>
                <w:szCs w:val="20"/>
              </w:rPr>
              <w:t>199</w:t>
            </w:r>
          </w:p>
        </w:tc>
        <w:tc>
          <w:tcPr>
            <w:tcW w:w="12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52536" w14:textId="77777777" w:rsidR="00831C38" w:rsidRPr="00831C38" w:rsidRDefault="00831C38" w:rsidP="00B00899">
            <w:pPr>
              <w:tabs>
                <w:tab w:val="left" w:pos="360"/>
              </w:tabs>
              <w:jc w:val="center"/>
              <w:rPr>
                <w:rFonts w:ascii="Arial" w:hAnsi="Arial" w:cs="Arial"/>
                <w:b/>
                <w:bCs/>
                <w:sz w:val="20"/>
                <w:szCs w:val="20"/>
              </w:rPr>
            </w:pPr>
          </w:p>
          <w:p w14:paraId="13E6A1E7" w14:textId="68CD4D07" w:rsidR="00831C38" w:rsidRPr="00831C38" w:rsidRDefault="00831C38" w:rsidP="00831C38">
            <w:pPr>
              <w:pStyle w:val="Cuerpo"/>
              <w:tabs>
                <w:tab w:val="left" w:pos="360"/>
              </w:tabs>
              <w:jc w:val="center"/>
              <w:rPr>
                <w:rFonts w:ascii="Arial" w:hAnsi="Arial" w:cs="Arial"/>
                <w:sz w:val="20"/>
                <w:szCs w:val="20"/>
              </w:rPr>
            </w:pPr>
            <w:r w:rsidRPr="00831C38">
              <w:rPr>
                <w:rFonts w:ascii="Arial" w:hAnsi="Arial" w:cs="Arial"/>
                <w:b/>
                <w:bCs/>
                <w:sz w:val="20"/>
                <w:szCs w:val="20"/>
              </w:rPr>
              <w:t>19</w:t>
            </w:r>
            <w:r>
              <w:rPr>
                <w:rFonts w:ascii="Arial" w:hAnsi="Arial" w:cs="Arial"/>
                <w:b/>
                <w:bCs/>
                <w:sz w:val="20"/>
                <w:szCs w:val="20"/>
              </w:rPr>
              <w:t>.</w:t>
            </w:r>
            <w:r w:rsidRPr="00831C38">
              <w:rPr>
                <w:rFonts w:ascii="Arial" w:hAnsi="Arial" w:cs="Arial"/>
                <w:b/>
                <w:bCs/>
                <w:sz w:val="20"/>
                <w:szCs w:val="20"/>
              </w:rPr>
              <w:t>553</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581D9F" w14:textId="77777777" w:rsidR="00831C38" w:rsidRPr="00831C38" w:rsidRDefault="00831C38" w:rsidP="00B00899">
            <w:pPr>
              <w:jc w:val="center"/>
              <w:rPr>
                <w:rFonts w:ascii="Arial" w:hAnsi="Arial" w:cs="Arial"/>
                <w:b/>
                <w:sz w:val="20"/>
                <w:szCs w:val="20"/>
              </w:rPr>
            </w:pPr>
          </w:p>
          <w:p w14:paraId="086E65E6" w14:textId="22FD993C" w:rsidR="00831C38" w:rsidRPr="00831C38" w:rsidRDefault="00831C38" w:rsidP="00831C38">
            <w:pPr>
              <w:pStyle w:val="Cuerpo"/>
              <w:jc w:val="center"/>
              <w:rPr>
                <w:rFonts w:ascii="Arial" w:hAnsi="Arial" w:cs="Arial"/>
                <w:sz w:val="20"/>
                <w:szCs w:val="20"/>
              </w:rPr>
            </w:pPr>
            <w:r w:rsidRPr="00831C38">
              <w:rPr>
                <w:rFonts w:ascii="Arial" w:hAnsi="Arial" w:cs="Arial"/>
                <w:b/>
                <w:sz w:val="20"/>
                <w:szCs w:val="20"/>
              </w:rPr>
              <w:t>2</w:t>
            </w:r>
            <w:r>
              <w:rPr>
                <w:rFonts w:ascii="Arial" w:hAnsi="Arial" w:cs="Arial"/>
                <w:b/>
                <w:sz w:val="20"/>
                <w:szCs w:val="20"/>
              </w:rPr>
              <w:t>.</w:t>
            </w:r>
            <w:r w:rsidRPr="00831C38">
              <w:rPr>
                <w:rFonts w:ascii="Arial" w:hAnsi="Arial" w:cs="Arial"/>
                <w:b/>
                <w:sz w:val="20"/>
                <w:szCs w:val="20"/>
              </w:rPr>
              <w:t>577</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001A5A" w14:textId="77777777" w:rsidR="00831C38" w:rsidRPr="00831C38" w:rsidRDefault="00831C38" w:rsidP="00B00899">
            <w:pPr>
              <w:jc w:val="center"/>
              <w:rPr>
                <w:rFonts w:ascii="Arial" w:hAnsi="Arial" w:cs="Arial"/>
                <w:b/>
                <w:sz w:val="20"/>
                <w:szCs w:val="20"/>
              </w:rPr>
            </w:pPr>
          </w:p>
          <w:p w14:paraId="741084C0" w14:textId="092D651B" w:rsidR="00831C38" w:rsidRPr="00831C38" w:rsidRDefault="00831C38" w:rsidP="00831C38">
            <w:pPr>
              <w:pStyle w:val="Cuerpo"/>
              <w:jc w:val="center"/>
              <w:rPr>
                <w:rFonts w:ascii="Arial" w:hAnsi="Arial" w:cs="Arial"/>
                <w:sz w:val="20"/>
                <w:szCs w:val="20"/>
              </w:rPr>
            </w:pPr>
            <w:r w:rsidRPr="00831C38">
              <w:rPr>
                <w:rFonts w:ascii="Arial" w:hAnsi="Arial" w:cs="Arial"/>
                <w:b/>
                <w:sz w:val="20"/>
                <w:szCs w:val="20"/>
              </w:rPr>
              <w:t>2</w:t>
            </w:r>
            <w:r>
              <w:rPr>
                <w:rFonts w:ascii="Arial" w:hAnsi="Arial" w:cs="Arial"/>
                <w:b/>
                <w:sz w:val="20"/>
                <w:szCs w:val="20"/>
              </w:rPr>
              <w:t>.</w:t>
            </w:r>
            <w:r w:rsidRPr="00831C38">
              <w:rPr>
                <w:rFonts w:ascii="Arial" w:hAnsi="Arial" w:cs="Arial"/>
                <w:b/>
                <w:sz w:val="20"/>
                <w:szCs w:val="20"/>
              </w:rPr>
              <w:t>170</w:t>
            </w:r>
          </w:p>
        </w:tc>
        <w:tc>
          <w:tcPr>
            <w:tcW w:w="1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1A6A3" w14:textId="77777777" w:rsidR="00831C38" w:rsidRPr="00831C38" w:rsidRDefault="00831C38" w:rsidP="00B00899">
            <w:pPr>
              <w:jc w:val="center"/>
              <w:rPr>
                <w:rFonts w:ascii="Arial" w:hAnsi="Arial" w:cs="Arial"/>
                <w:b/>
                <w:sz w:val="20"/>
                <w:szCs w:val="20"/>
              </w:rPr>
            </w:pPr>
          </w:p>
          <w:p w14:paraId="7991E832" w14:textId="6A52A217" w:rsidR="00831C38" w:rsidRPr="00831C38" w:rsidRDefault="00831C38">
            <w:pPr>
              <w:pStyle w:val="Cuerpo"/>
              <w:jc w:val="center"/>
              <w:rPr>
                <w:rFonts w:ascii="Arial" w:hAnsi="Arial" w:cs="Arial"/>
                <w:sz w:val="20"/>
                <w:szCs w:val="20"/>
              </w:rPr>
            </w:pPr>
            <w:r w:rsidRPr="00831C38">
              <w:rPr>
                <w:rFonts w:ascii="Arial" w:hAnsi="Arial" w:cs="Arial"/>
                <w:b/>
                <w:sz w:val="20"/>
                <w:szCs w:val="20"/>
              </w:rPr>
              <w:t>12,2 %</w:t>
            </w:r>
          </w:p>
        </w:tc>
        <w:tc>
          <w:tcPr>
            <w:tcW w:w="1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07C3B6" w14:textId="77777777" w:rsidR="00831C38" w:rsidRPr="00831C38" w:rsidRDefault="00831C38" w:rsidP="00B00899">
            <w:pPr>
              <w:jc w:val="center"/>
              <w:rPr>
                <w:rFonts w:ascii="Arial" w:hAnsi="Arial" w:cs="Arial"/>
                <w:b/>
                <w:sz w:val="20"/>
                <w:szCs w:val="20"/>
              </w:rPr>
            </w:pPr>
          </w:p>
          <w:p w14:paraId="40DE2CE6" w14:textId="1CEC020C" w:rsidR="00831C38" w:rsidRPr="00831C38" w:rsidRDefault="00831C38">
            <w:pPr>
              <w:pStyle w:val="Cuerpo"/>
              <w:jc w:val="center"/>
              <w:rPr>
                <w:rFonts w:ascii="Arial" w:hAnsi="Arial" w:cs="Arial"/>
                <w:sz w:val="20"/>
                <w:szCs w:val="20"/>
              </w:rPr>
            </w:pPr>
            <w:r w:rsidRPr="00831C38">
              <w:rPr>
                <w:rFonts w:ascii="Arial" w:hAnsi="Arial" w:cs="Arial"/>
                <w:b/>
                <w:sz w:val="20"/>
                <w:szCs w:val="20"/>
              </w:rPr>
              <w:t>11,1 %</w:t>
            </w:r>
          </w:p>
        </w:tc>
      </w:tr>
    </w:tbl>
    <w:p w14:paraId="67C81286" w14:textId="77777777" w:rsidR="00E610BD" w:rsidRDefault="00E610BD" w:rsidP="00E610BD">
      <w:pPr>
        <w:pStyle w:val="LadilloMichelinDossier"/>
        <w:spacing w:after="240"/>
        <w:ind w:left="360"/>
        <w:jc w:val="both"/>
        <w:rPr>
          <w:rFonts w:ascii="Arial"/>
          <w:sz w:val="21"/>
          <w:szCs w:val="21"/>
        </w:rPr>
      </w:pPr>
    </w:p>
    <w:p w14:paraId="5FBB89CA" w14:textId="017B8DA7" w:rsidR="00700DFB" w:rsidRPr="0033327A" w:rsidRDefault="00E610BD" w:rsidP="00BD06E7">
      <w:pPr>
        <w:pStyle w:val="LadilloMichelinDossier"/>
        <w:numPr>
          <w:ilvl w:val="0"/>
          <w:numId w:val="10"/>
        </w:numPr>
        <w:tabs>
          <w:tab w:val="clear" w:pos="291"/>
          <w:tab w:val="num" w:pos="360"/>
        </w:tabs>
        <w:spacing w:after="240"/>
        <w:ind w:left="360" w:hanging="360"/>
        <w:jc w:val="both"/>
        <w:rPr>
          <w:rFonts w:ascii="Verdana" w:eastAsia="Verdana" w:hAnsi="Verdana" w:cs="Verdana"/>
          <w:smallCaps/>
          <w:u w:val="single"/>
        </w:rPr>
      </w:pPr>
      <w:r>
        <w:rPr>
          <w:rFonts w:ascii="Arial"/>
          <w:sz w:val="21"/>
          <w:szCs w:val="21"/>
        </w:rPr>
        <w:br w:type="column"/>
      </w:r>
      <w:r w:rsidR="009F7ED2" w:rsidRPr="0033327A">
        <w:rPr>
          <w:rFonts w:ascii="Arial"/>
          <w:sz w:val="21"/>
          <w:szCs w:val="21"/>
        </w:rPr>
        <w:lastRenderedPageBreak/>
        <w:t>Turismo, camioneta y distribuci</w:t>
      </w:r>
      <w:r w:rsidR="009F7ED2" w:rsidRPr="0033327A">
        <w:rPr>
          <w:rFonts w:hAnsi="Arial Unicode MS"/>
          <w:sz w:val="21"/>
          <w:szCs w:val="21"/>
        </w:rPr>
        <w:t>ó</w:t>
      </w:r>
      <w:r w:rsidR="009F7ED2" w:rsidRPr="0033327A">
        <w:rPr>
          <w:rFonts w:ascii="Arial"/>
          <w:sz w:val="21"/>
          <w:szCs w:val="21"/>
        </w:rPr>
        <w:t xml:space="preserve">n asociada </w:t>
      </w:r>
    </w:p>
    <w:p w14:paraId="38A1FAC7" w14:textId="0B32CCF4" w:rsidR="00700DFB" w:rsidRPr="0033327A" w:rsidRDefault="009F7ED2">
      <w:pPr>
        <w:pStyle w:val="TextoMichelin"/>
      </w:pPr>
      <w:r w:rsidRPr="0033327A">
        <w:t>Las ventas netas del segmento de Turismo camioneta y distribuci</w:t>
      </w:r>
      <w:r w:rsidRPr="0033327A">
        <w:rPr>
          <w:rFonts w:ascii="Arial Unicode MS"/>
        </w:rPr>
        <w:t>ó</w:t>
      </w:r>
      <w:r w:rsidRPr="0033327A">
        <w:t xml:space="preserve">n asociada se elevan a </w:t>
      </w:r>
      <w:r w:rsidR="00FE5300" w:rsidRPr="00FE5300">
        <w:t>12</w:t>
      </w:r>
      <w:r w:rsidR="00FE5300">
        <w:t>.</w:t>
      </w:r>
      <w:r w:rsidR="00FE5300" w:rsidRPr="00FE5300">
        <w:t>028</w:t>
      </w:r>
      <w:r w:rsidRPr="0033327A">
        <w:t xml:space="preserve"> millones de euros, en comparaci</w:t>
      </w:r>
      <w:r w:rsidRPr="0033327A">
        <w:rPr>
          <w:rFonts w:ascii="Arial Unicode MS"/>
        </w:rPr>
        <w:t>ó</w:t>
      </w:r>
      <w:r w:rsidRPr="0033327A">
        <w:t xml:space="preserve">n con los </w:t>
      </w:r>
      <w:r w:rsidR="00822BAB" w:rsidRPr="00FE5300">
        <w:t>10</w:t>
      </w:r>
      <w:r w:rsidR="00822BAB">
        <w:t>.</w:t>
      </w:r>
      <w:r w:rsidR="00822BAB" w:rsidRPr="00FE5300">
        <w:t xml:space="preserve">498 </w:t>
      </w:r>
      <w:r w:rsidRPr="0033327A">
        <w:t>millones para el mismo periodo de 201</w:t>
      </w:r>
      <w:r w:rsidR="0033236D">
        <w:t>4</w:t>
      </w:r>
      <w:r w:rsidR="00822BAB">
        <w:t>, lo que supone un crecimiento del 14,6 %</w:t>
      </w:r>
      <w:r w:rsidRPr="0033327A">
        <w:t xml:space="preserve">. </w:t>
      </w:r>
    </w:p>
    <w:p w14:paraId="391E6974" w14:textId="58FB4875" w:rsidR="00700DFB" w:rsidRPr="0033327A" w:rsidRDefault="009F7ED2">
      <w:pPr>
        <w:pStyle w:val="TextoMichelin"/>
      </w:pPr>
      <w:r w:rsidRPr="0033327A">
        <w:t xml:space="preserve">El resultado operativo antes de elementos no recurrentes se eleva hasta los </w:t>
      </w:r>
      <w:r w:rsidR="00822BAB" w:rsidRPr="00FE5300">
        <w:t>1</w:t>
      </w:r>
      <w:r w:rsidR="00822BAB">
        <w:t>.</w:t>
      </w:r>
      <w:r w:rsidR="00822BAB" w:rsidRPr="00FE5300">
        <w:t xml:space="preserve">384 </w:t>
      </w:r>
      <w:r w:rsidRPr="0033327A">
        <w:t>millones de euros, es decir un 1</w:t>
      </w:r>
      <w:r w:rsidR="009577F7">
        <w:t>1</w:t>
      </w:r>
      <w:r w:rsidRPr="0033327A">
        <w:t>,5</w:t>
      </w:r>
      <w:r w:rsidRPr="0033327A">
        <w:rPr>
          <w:rFonts w:ascii="Arial Unicode MS"/>
        </w:rPr>
        <w:t> </w:t>
      </w:r>
      <w:r w:rsidRPr="0033327A">
        <w:t>% de las ventas netas, en comparaci</w:t>
      </w:r>
      <w:r w:rsidRPr="0033327A">
        <w:rPr>
          <w:rFonts w:ascii="Arial Unicode MS"/>
        </w:rPr>
        <w:t>ó</w:t>
      </w:r>
      <w:r w:rsidRPr="0033327A">
        <w:t xml:space="preserve">n con los </w:t>
      </w:r>
      <w:r w:rsidR="009577F7" w:rsidRPr="00FE5300">
        <w:t>1</w:t>
      </w:r>
      <w:r w:rsidR="009577F7">
        <w:t>.</w:t>
      </w:r>
      <w:r w:rsidR="009577F7" w:rsidRPr="00FE5300">
        <w:t xml:space="preserve">101 </w:t>
      </w:r>
      <w:r w:rsidRPr="0033327A">
        <w:t>millones de euros y el 10,</w:t>
      </w:r>
      <w:r w:rsidR="009577F7">
        <w:t>5</w:t>
      </w:r>
      <w:r w:rsidRPr="0033327A">
        <w:rPr>
          <w:rFonts w:ascii="Arial Unicode MS"/>
        </w:rPr>
        <w:t> </w:t>
      </w:r>
      <w:r w:rsidRPr="0033327A">
        <w:t>% de 201</w:t>
      </w:r>
      <w:r w:rsidR="009577F7">
        <w:t>4</w:t>
      </w:r>
      <w:r w:rsidRPr="0033327A">
        <w:t>.</w:t>
      </w:r>
    </w:p>
    <w:p w14:paraId="61749432" w14:textId="2F57FCFB" w:rsidR="00FE5300" w:rsidRPr="00FE5300" w:rsidRDefault="004517FC" w:rsidP="00FE5300">
      <w:pPr>
        <w:pStyle w:val="TextoMichelin"/>
      </w:pPr>
      <w:r>
        <w:rPr>
          <w:color w:val="auto"/>
        </w:rPr>
        <w:t>E</w:t>
      </w:r>
      <w:r w:rsidR="009F7ED2" w:rsidRPr="0033327A">
        <w:rPr>
          <w:color w:val="auto"/>
        </w:rPr>
        <w:t>sta progresi</w:t>
      </w:r>
      <w:r w:rsidR="009F7ED2" w:rsidRPr="0033327A">
        <w:rPr>
          <w:rFonts w:ascii="Arial Unicode MS"/>
          <w:color w:val="auto"/>
        </w:rPr>
        <w:t>ó</w:t>
      </w:r>
      <w:r w:rsidR="009F7ED2" w:rsidRPr="0033327A">
        <w:rPr>
          <w:color w:val="auto"/>
        </w:rPr>
        <w:t xml:space="preserve">n </w:t>
      </w:r>
      <w:r w:rsidR="009577F7">
        <w:rPr>
          <w:color w:val="auto"/>
        </w:rPr>
        <w:t xml:space="preserve">de un </w:t>
      </w:r>
      <w:r>
        <w:rPr>
          <w:color w:val="auto"/>
        </w:rPr>
        <w:t>punto</w:t>
      </w:r>
      <w:r w:rsidR="009577F7">
        <w:rPr>
          <w:color w:val="auto"/>
        </w:rPr>
        <w:t xml:space="preserve"> del margen operativo antes </w:t>
      </w:r>
      <w:r w:rsidRPr="0033327A">
        <w:t>de elementos no recurrentes</w:t>
      </w:r>
      <w:r>
        <w:rPr>
          <w:color w:val="auto"/>
        </w:rPr>
        <w:t xml:space="preserve"> </w:t>
      </w:r>
      <w:r w:rsidR="00175858">
        <w:rPr>
          <w:color w:val="auto"/>
        </w:rPr>
        <w:t>est</w:t>
      </w:r>
      <w:r w:rsidR="00175858">
        <w:rPr>
          <w:color w:val="auto"/>
        </w:rPr>
        <w:t>á</w:t>
      </w:r>
      <w:r w:rsidR="00175858">
        <w:rPr>
          <w:color w:val="auto"/>
        </w:rPr>
        <w:t xml:space="preserve"> principalmente relacionad</w:t>
      </w:r>
      <w:r w:rsidR="00944130">
        <w:rPr>
          <w:color w:val="auto"/>
        </w:rPr>
        <w:t>a</w:t>
      </w:r>
      <w:r w:rsidR="00175858">
        <w:rPr>
          <w:color w:val="auto"/>
        </w:rPr>
        <w:t xml:space="preserve"> con </w:t>
      </w:r>
      <w:r w:rsidR="009F7ED2" w:rsidRPr="0033327A">
        <w:rPr>
          <w:color w:val="auto"/>
        </w:rPr>
        <w:t xml:space="preserve">el </w:t>
      </w:r>
      <w:r w:rsidR="00C70054">
        <w:rPr>
          <w:color w:val="auto"/>
        </w:rPr>
        <w:t>crecimiento</w:t>
      </w:r>
      <w:r w:rsidR="009F7ED2" w:rsidRPr="0033327A">
        <w:rPr>
          <w:color w:val="auto"/>
        </w:rPr>
        <w:t xml:space="preserve"> del </w:t>
      </w:r>
      <w:r>
        <w:rPr>
          <w:color w:val="auto"/>
        </w:rPr>
        <w:t>6,7</w:t>
      </w:r>
      <w:r w:rsidR="009F7ED2" w:rsidRPr="0033327A">
        <w:rPr>
          <w:rFonts w:ascii="Arial Unicode MS"/>
          <w:color w:val="auto"/>
        </w:rPr>
        <w:t> </w:t>
      </w:r>
      <w:r w:rsidR="009F7ED2" w:rsidRPr="0033327A">
        <w:rPr>
          <w:color w:val="auto"/>
        </w:rPr>
        <w:t>%</w:t>
      </w:r>
      <w:r>
        <w:rPr>
          <w:color w:val="auto"/>
        </w:rPr>
        <w:t xml:space="preserve">, muy superior al mercado </w:t>
      </w:r>
      <w:r w:rsidRPr="00FE5300">
        <w:t>(+ 2 %),</w:t>
      </w:r>
      <w:r w:rsidR="009F7ED2" w:rsidRPr="0033327A">
        <w:rPr>
          <w:color w:val="auto"/>
        </w:rPr>
        <w:t xml:space="preserve"> </w:t>
      </w:r>
      <w:r w:rsidR="00481D62">
        <w:rPr>
          <w:color w:val="auto"/>
        </w:rPr>
        <w:t>constante en el a</w:t>
      </w:r>
      <w:r w:rsidR="00481D62">
        <w:rPr>
          <w:color w:val="auto"/>
        </w:rPr>
        <w:t>ñ</w:t>
      </w:r>
      <w:r w:rsidR="00481D62">
        <w:rPr>
          <w:color w:val="auto"/>
        </w:rPr>
        <w:t xml:space="preserve">o y especialmente equilibrado </w:t>
      </w:r>
      <w:r w:rsidR="00175858">
        <w:rPr>
          <w:color w:val="auto"/>
        </w:rPr>
        <w:t xml:space="preserve">tanto </w:t>
      </w:r>
      <w:r w:rsidR="00481D62">
        <w:rPr>
          <w:color w:val="auto"/>
        </w:rPr>
        <w:t xml:space="preserve">entre las marcas </w:t>
      </w:r>
      <w:r w:rsidR="00C70054">
        <w:rPr>
          <w:color w:val="auto"/>
        </w:rPr>
        <w:t xml:space="preserve">como </w:t>
      </w:r>
      <w:r w:rsidR="00481D62">
        <w:rPr>
          <w:color w:val="auto"/>
        </w:rPr>
        <w:t xml:space="preserve">los segmentos de mercado </w:t>
      </w:r>
      <w:r w:rsidR="00C70054">
        <w:rPr>
          <w:color w:val="auto"/>
        </w:rPr>
        <w:t>y</w:t>
      </w:r>
      <w:r w:rsidR="00481D62">
        <w:rPr>
          <w:color w:val="auto"/>
        </w:rPr>
        <w:t xml:space="preserve"> las zonas geogr</w:t>
      </w:r>
      <w:r w:rsidR="00481D62">
        <w:rPr>
          <w:color w:val="auto"/>
        </w:rPr>
        <w:t>á</w:t>
      </w:r>
      <w:r w:rsidR="00481D62">
        <w:rPr>
          <w:color w:val="auto"/>
        </w:rPr>
        <w:t xml:space="preserve">ficas. </w:t>
      </w:r>
      <w:r w:rsidR="00C70054">
        <w:rPr>
          <w:color w:val="auto"/>
        </w:rPr>
        <w:t xml:space="preserve">El </w:t>
      </w:r>
      <w:r w:rsidR="00C70054">
        <w:rPr>
          <w:color w:val="auto"/>
        </w:rPr>
        <w:t>é</w:t>
      </w:r>
      <w:r w:rsidR="00C70054">
        <w:rPr>
          <w:color w:val="auto"/>
        </w:rPr>
        <w:t xml:space="preserve">xito de las nuevas gamas MICHELIN </w:t>
      </w:r>
      <w:r w:rsidR="00C70054" w:rsidRPr="00FE5300">
        <w:t xml:space="preserve">CrossClimate, MICHELIN Premier LTX, BFGoodrich KO2 </w:t>
      </w:r>
      <w:r w:rsidR="00C70054">
        <w:t>y</w:t>
      </w:r>
      <w:r w:rsidR="00C70054" w:rsidRPr="00FE5300">
        <w:t xml:space="preserve"> BFGoodrich g-Force Comp 2 A/S</w:t>
      </w:r>
      <w:r w:rsidR="00663C51">
        <w:t xml:space="preserve"> ha permitido estas fuertes subidas tanto en la marca MICHELIN </w:t>
      </w:r>
      <w:r w:rsidR="00663C51" w:rsidRPr="00FE5300">
        <w:t>(+ 6 %), en</w:t>
      </w:r>
      <w:r w:rsidR="00663C51">
        <w:t xml:space="preserve"> neum</w:t>
      </w:r>
      <w:r w:rsidR="00663C51">
        <w:t>á</w:t>
      </w:r>
      <w:r w:rsidR="00663C51">
        <w:t xml:space="preserve">ticos </w:t>
      </w:r>
      <w:r w:rsidR="005D4375">
        <w:t xml:space="preserve">de </w:t>
      </w:r>
      <w:r w:rsidR="00663C51">
        <w:t>17</w:t>
      </w:r>
      <w:r w:rsidR="00663C51">
        <w:t>”</w:t>
      </w:r>
      <w:r w:rsidR="005D4375">
        <w:t xml:space="preserve"> y superiores </w:t>
      </w:r>
      <w:r w:rsidR="005D4375" w:rsidRPr="00FE5300">
        <w:t>(+</w:t>
      </w:r>
      <w:r w:rsidR="007652DD">
        <w:t xml:space="preserve"> </w:t>
      </w:r>
      <w:r w:rsidR="005D4375" w:rsidRPr="00FE5300">
        <w:t>13</w:t>
      </w:r>
      <w:r w:rsidR="005D4375" w:rsidRPr="00FE5300">
        <w:t> </w:t>
      </w:r>
      <w:r w:rsidR="005D4375" w:rsidRPr="00FE5300">
        <w:t>%)</w:t>
      </w:r>
      <w:r w:rsidR="005D4375">
        <w:t xml:space="preserve"> como en las otras marcas del Grupo </w:t>
      </w:r>
      <w:r w:rsidR="005D4375" w:rsidRPr="00FE5300">
        <w:t>(+ 10 %).</w:t>
      </w:r>
      <w:r w:rsidR="005D4375">
        <w:t xml:space="preserve"> Los precios, que bajan globalmente, reflejan la aplicaci</w:t>
      </w:r>
      <w:r w:rsidR="005D4375">
        <w:t>ó</w:t>
      </w:r>
      <w:r w:rsidR="005D4375">
        <w:t>n de las cl</w:t>
      </w:r>
      <w:r w:rsidR="005D4375">
        <w:t>á</w:t>
      </w:r>
      <w:r w:rsidR="005D4375">
        <w:t>usulas de indexaci</w:t>
      </w:r>
      <w:r w:rsidR="005D4375">
        <w:t>ó</w:t>
      </w:r>
      <w:r w:rsidR="005D4375">
        <w:t xml:space="preserve">n en Primeros </w:t>
      </w:r>
      <w:r w:rsidR="00944130">
        <w:t>E</w:t>
      </w:r>
      <w:r w:rsidR="005D4375">
        <w:t>quipos, as</w:t>
      </w:r>
      <w:r w:rsidR="005D4375">
        <w:t>í</w:t>
      </w:r>
      <w:r w:rsidR="005D4375">
        <w:t xml:space="preserve"> como el efecto de los reposicionamientos en Reemplazo decididos en 2</w:t>
      </w:r>
      <w:r w:rsidR="00A36981">
        <w:t>01</w:t>
      </w:r>
      <w:r w:rsidR="005D4375">
        <w:t>4 y 20</w:t>
      </w:r>
      <w:r w:rsidR="00A36981">
        <w:t>15. El efecto del mix de producto, muy favorable, est</w:t>
      </w:r>
      <w:r w:rsidR="00A36981">
        <w:t>á</w:t>
      </w:r>
      <w:r w:rsidR="00A36981">
        <w:t xml:space="preserve"> compensado por el mix de marca, relacionado con el fuerte crecimiento de las ventas los segmentos </w:t>
      </w:r>
      <w:r w:rsidR="00FE5300" w:rsidRPr="00FE5300">
        <w:rPr>
          <w:i/>
        </w:rPr>
        <w:t>Tier</w:t>
      </w:r>
      <w:r w:rsidR="00FE5300" w:rsidRPr="00FE5300">
        <w:t xml:space="preserve"> 2 </w:t>
      </w:r>
      <w:r w:rsidR="00BF33AD">
        <w:t>y</w:t>
      </w:r>
      <w:r w:rsidR="00FE5300" w:rsidRPr="00FE5300">
        <w:t xml:space="preserve"> </w:t>
      </w:r>
      <w:r w:rsidR="00FE5300" w:rsidRPr="00FE5300">
        <w:rPr>
          <w:i/>
        </w:rPr>
        <w:t>Tier</w:t>
      </w:r>
      <w:r w:rsidR="00FE5300" w:rsidRPr="00FE5300">
        <w:t xml:space="preserve"> 3.</w:t>
      </w:r>
    </w:p>
    <w:p w14:paraId="12C9360D" w14:textId="77F0893D" w:rsidR="00BF33AD" w:rsidRDefault="00BF33AD" w:rsidP="00FE5300">
      <w:pPr>
        <w:pStyle w:val="TextoMichelin"/>
      </w:pPr>
      <w:r>
        <w:t>Para el horizonte</w:t>
      </w:r>
      <w:r w:rsidR="00FE5300" w:rsidRPr="00FE5300">
        <w:t xml:space="preserve"> 2016-2020, </w:t>
      </w:r>
      <w:r>
        <w:t>el</w:t>
      </w:r>
      <w:r w:rsidR="00FF375A">
        <w:t xml:space="preserve"> Gr</w:t>
      </w:r>
      <w:r w:rsidR="00FE5300" w:rsidRPr="00FE5300">
        <w:t>up</w:t>
      </w:r>
      <w:r w:rsidR="00FF375A">
        <w:t>o</w:t>
      </w:r>
      <w:r w:rsidR="00FE5300" w:rsidRPr="00FE5300">
        <w:t xml:space="preserve"> </w:t>
      </w:r>
      <w:r>
        <w:t>se ha fijado para sector operativo Turismo Camioneta un objetivo de margen operativo antes de elementos no recurrentes de entre el 11 % y el 15 % de las ventas netas.</w:t>
      </w:r>
    </w:p>
    <w:p w14:paraId="135885C0" w14:textId="77777777" w:rsidR="00700DFB" w:rsidRPr="0033327A" w:rsidRDefault="009F7ED2" w:rsidP="00BD06E7">
      <w:pPr>
        <w:pStyle w:val="LadilloMichelinDossier"/>
        <w:numPr>
          <w:ilvl w:val="0"/>
          <w:numId w:val="11"/>
        </w:numPr>
        <w:tabs>
          <w:tab w:val="clear" w:pos="291"/>
          <w:tab w:val="num" w:pos="360"/>
        </w:tabs>
        <w:spacing w:after="240"/>
        <w:ind w:left="360" w:hanging="360"/>
        <w:jc w:val="both"/>
      </w:pPr>
      <w:r w:rsidRPr="0033327A">
        <w:rPr>
          <w:rFonts w:ascii="Arial"/>
          <w:sz w:val="21"/>
          <w:szCs w:val="21"/>
        </w:rPr>
        <w:t>Cami</w:t>
      </w:r>
      <w:r w:rsidRPr="0033327A">
        <w:rPr>
          <w:rFonts w:hAnsi="Arial Unicode MS"/>
          <w:sz w:val="21"/>
          <w:szCs w:val="21"/>
        </w:rPr>
        <w:t>ó</w:t>
      </w:r>
      <w:r w:rsidRPr="0033327A">
        <w:rPr>
          <w:rFonts w:ascii="Arial"/>
          <w:sz w:val="21"/>
          <w:szCs w:val="21"/>
        </w:rPr>
        <w:t>n y distribuci</w:t>
      </w:r>
      <w:r w:rsidRPr="0033327A">
        <w:rPr>
          <w:rFonts w:hAnsi="Arial Unicode MS"/>
          <w:sz w:val="21"/>
          <w:szCs w:val="21"/>
        </w:rPr>
        <w:t>ó</w:t>
      </w:r>
      <w:r w:rsidRPr="0033327A">
        <w:rPr>
          <w:rFonts w:ascii="Arial"/>
          <w:sz w:val="21"/>
          <w:szCs w:val="21"/>
        </w:rPr>
        <w:t>n asociada</w:t>
      </w:r>
      <w:r w:rsidRPr="0033327A">
        <w:rPr>
          <w:rFonts w:ascii="Times New Roman"/>
        </w:rPr>
        <w:t xml:space="preserve"> </w:t>
      </w:r>
    </w:p>
    <w:p w14:paraId="460FCA4D" w14:textId="5D90F0F7" w:rsidR="00700DFB" w:rsidRPr="0033327A" w:rsidRDefault="009F7ED2">
      <w:pPr>
        <w:pStyle w:val="TextoMichelin"/>
        <w:rPr>
          <w:color w:val="auto"/>
        </w:rPr>
      </w:pPr>
      <w:r w:rsidRPr="0033327A">
        <w:t>Las ventas netas del segmento de Cami</w:t>
      </w:r>
      <w:r w:rsidRPr="0033327A">
        <w:rPr>
          <w:rFonts w:ascii="Arial Unicode MS"/>
        </w:rPr>
        <w:t>ó</w:t>
      </w:r>
      <w:r w:rsidRPr="0033327A">
        <w:t>n y distribuci</w:t>
      </w:r>
      <w:r w:rsidRPr="0033327A">
        <w:rPr>
          <w:rFonts w:ascii="Arial Unicode MS"/>
        </w:rPr>
        <w:t>ó</w:t>
      </w:r>
      <w:r w:rsidRPr="0033327A">
        <w:t xml:space="preserve">n asociada se </w:t>
      </w:r>
      <w:r w:rsidRPr="0033327A">
        <w:rPr>
          <w:color w:val="auto"/>
        </w:rPr>
        <w:t>sit</w:t>
      </w:r>
      <w:r w:rsidRPr="0033327A">
        <w:rPr>
          <w:rFonts w:ascii="Arial Unicode MS"/>
          <w:color w:val="auto"/>
        </w:rPr>
        <w:t>ú</w:t>
      </w:r>
      <w:r w:rsidRPr="0033327A">
        <w:rPr>
          <w:color w:val="auto"/>
        </w:rPr>
        <w:t xml:space="preserve">an en </w:t>
      </w:r>
      <w:r w:rsidR="00B00899" w:rsidRPr="005F4BF5">
        <w:t>6</w:t>
      </w:r>
      <w:r w:rsidR="00B00899">
        <w:t>.</w:t>
      </w:r>
      <w:r w:rsidR="00B00899" w:rsidRPr="005F4BF5">
        <w:t xml:space="preserve">229 </w:t>
      </w:r>
      <w:r w:rsidRPr="0033327A">
        <w:rPr>
          <w:color w:val="auto"/>
        </w:rPr>
        <w:t>millones de euros, en comparaci</w:t>
      </w:r>
      <w:r w:rsidRPr="0033327A">
        <w:rPr>
          <w:rFonts w:ascii="Arial Unicode MS"/>
          <w:color w:val="auto"/>
        </w:rPr>
        <w:t>ó</w:t>
      </w:r>
      <w:r w:rsidRPr="0033327A">
        <w:rPr>
          <w:color w:val="auto"/>
        </w:rPr>
        <w:t xml:space="preserve">n con los </w:t>
      </w:r>
      <w:r w:rsidR="001F3713" w:rsidRPr="005F4BF5">
        <w:t>6</w:t>
      </w:r>
      <w:r w:rsidR="001F3713">
        <w:t>.</w:t>
      </w:r>
      <w:r w:rsidR="001F3713" w:rsidRPr="005F4BF5">
        <w:t xml:space="preserve">082 </w:t>
      </w:r>
      <w:r w:rsidRPr="0033327A">
        <w:rPr>
          <w:color w:val="auto"/>
        </w:rPr>
        <w:t xml:space="preserve">millones de euros </w:t>
      </w:r>
      <w:r w:rsidR="001F3713">
        <w:rPr>
          <w:color w:val="auto"/>
        </w:rPr>
        <w:t>publicados en</w:t>
      </w:r>
      <w:r w:rsidRPr="0033327A">
        <w:rPr>
          <w:color w:val="auto"/>
        </w:rPr>
        <w:t xml:space="preserve"> 201</w:t>
      </w:r>
      <w:r w:rsidR="001F3713">
        <w:rPr>
          <w:color w:val="auto"/>
        </w:rPr>
        <w:t>4</w:t>
      </w:r>
      <w:r w:rsidRPr="0033327A">
        <w:rPr>
          <w:color w:val="auto"/>
        </w:rPr>
        <w:t>. Esta ca</w:t>
      </w:r>
      <w:r w:rsidRPr="0033327A">
        <w:rPr>
          <w:rFonts w:ascii="Arial Unicode MS"/>
          <w:color w:val="auto"/>
        </w:rPr>
        <w:t>í</w:t>
      </w:r>
      <w:r w:rsidRPr="0033327A">
        <w:rPr>
          <w:color w:val="auto"/>
        </w:rPr>
        <w:t xml:space="preserve">da es el resultado del efecto desfavorable de las paridades monetarias (un </w:t>
      </w:r>
      <w:r w:rsidR="00C51E68">
        <w:rPr>
          <w:color w:val="auto"/>
        </w:rPr>
        <w:br/>
      </w:r>
      <w:r w:rsidRPr="0033327A">
        <w:rPr>
          <w:color w:val="auto"/>
        </w:rPr>
        <w:t>- 2,2 %).</w:t>
      </w:r>
    </w:p>
    <w:p w14:paraId="66D0C49C" w14:textId="547B2E2C" w:rsidR="00700DFB" w:rsidRPr="0033327A" w:rsidRDefault="009F7ED2">
      <w:pPr>
        <w:pStyle w:val="TextoMichelin"/>
        <w:rPr>
          <w:color w:val="auto"/>
        </w:rPr>
      </w:pPr>
      <w:r w:rsidRPr="0033327A">
        <w:rPr>
          <w:color w:val="auto"/>
        </w:rPr>
        <w:t xml:space="preserve">El resultado operativo antes de elementos no recurrentes se eleva hasta los </w:t>
      </w:r>
      <w:r w:rsidR="00B00899" w:rsidRPr="005F4BF5">
        <w:t>645</w:t>
      </w:r>
      <w:r w:rsidR="00B00899">
        <w:t xml:space="preserve"> </w:t>
      </w:r>
      <w:r w:rsidRPr="0033327A">
        <w:rPr>
          <w:color w:val="auto"/>
        </w:rPr>
        <w:t xml:space="preserve">millones de euros, representando el </w:t>
      </w:r>
      <w:r w:rsidR="00B00899" w:rsidRPr="005F4BF5">
        <w:t>10,4</w:t>
      </w:r>
      <w:r w:rsidR="00B00899" w:rsidRPr="005F4BF5">
        <w:t> </w:t>
      </w:r>
      <w:r w:rsidRPr="0033327A">
        <w:rPr>
          <w:color w:val="auto"/>
        </w:rPr>
        <w:t>% de las ventas netas, en relaci</w:t>
      </w:r>
      <w:r w:rsidRPr="0033327A">
        <w:rPr>
          <w:rFonts w:ascii="Arial Unicode MS"/>
          <w:color w:val="auto"/>
        </w:rPr>
        <w:t>ó</w:t>
      </w:r>
      <w:r w:rsidRPr="0033327A">
        <w:rPr>
          <w:color w:val="auto"/>
        </w:rPr>
        <w:t xml:space="preserve">n con los </w:t>
      </w:r>
      <w:r w:rsidR="00B00899" w:rsidRPr="005F4BF5">
        <w:t xml:space="preserve">495 </w:t>
      </w:r>
      <w:r w:rsidRPr="0033327A">
        <w:rPr>
          <w:color w:val="auto"/>
        </w:rPr>
        <w:t xml:space="preserve">millones de euros y el </w:t>
      </w:r>
      <w:r w:rsidR="00B00899" w:rsidRPr="005F4BF5">
        <w:t>8,1</w:t>
      </w:r>
      <w:r w:rsidR="00B00899" w:rsidRPr="005F4BF5">
        <w:t> </w:t>
      </w:r>
      <w:r w:rsidRPr="0033327A">
        <w:rPr>
          <w:color w:val="auto"/>
        </w:rPr>
        <w:t>% de las ventas netas de 201</w:t>
      </w:r>
      <w:r w:rsidR="00B00899">
        <w:rPr>
          <w:color w:val="auto"/>
        </w:rPr>
        <w:t>4</w:t>
      </w:r>
      <w:r w:rsidRPr="0033327A">
        <w:rPr>
          <w:color w:val="auto"/>
        </w:rPr>
        <w:t>.</w:t>
      </w:r>
    </w:p>
    <w:p w14:paraId="1A3D64B4" w14:textId="47FE8A54" w:rsidR="005D2AED" w:rsidRDefault="001F3713" w:rsidP="005F4BF5">
      <w:pPr>
        <w:pStyle w:val="TextoMichelin"/>
      </w:pPr>
      <w:r>
        <w:t>La mejora</w:t>
      </w:r>
      <w:r w:rsidR="005F4BF5" w:rsidRPr="005F4BF5">
        <w:t xml:space="preserve"> de 2,3 </w:t>
      </w:r>
      <w:r>
        <w:t>puntos de la rentabilidad refleja, en primer lugar, la resi</w:t>
      </w:r>
      <w:r w:rsidR="003D68DB">
        <w:t>st</w:t>
      </w:r>
      <w:r>
        <w:t>encia de los vol</w:t>
      </w:r>
      <w:r>
        <w:t>ú</w:t>
      </w:r>
      <w:r>
        <w:t>menes, en progresi</w:t>
      </w:r>
      <w:r>
        <w:t>ó</w:t>
      </w:r>
      <w:r>
        <w:t xml:space="preserve">n de </w:t>
      </w:r>
      <w:r w:rsidR="005F4BF5" w:rsidRPr="005F4BF5">
        <w:t xml:space="preserve">0,3 %, </w:t>
      </w:r>
      <w:r w:rsidR="00941A6C">
        <w:t xml:space="preserve">en </w:t>
      </w:r>
      <w:r w:rsidR="00424102">
        <w:t xml:space="preserve">un </w:t>
      </w:r>
      <w:r w:rsidR="00941A6C">
        <w:t>mercados de cami</w:t>
      </w:r>
      <w:r w:rsidR="00941A6C">
        <w:t>ó</w:t>
      </w:r>
      <w:r w:rsidR="00941A6C">
        <w:t xml:space="preserve">n </w:t>
      </w:r>
      <w:r w:rsidR="004B5AD5">
        <w:t>que</w:t>
      </w:r>
      <w:r w:rsidR="00941A6C">
        <w:t xml:space="preserve"> baja </w:t>
      </w:r>
      <w:r w:rsidR="004B5AD5">
        <w:t>un</w:t>
      </w:r>
      <w:r w:rsidR="00941A6C">
        <w:t xml:space="preserve"> </w:t>
      </w:r>
      <w:r w:rsidR="005F4BF5" w:rsidRPr="005F4BF5">
        <w:t>2</w:t>
      </w:r>
      <w:r w:rsidR="005F4BF5" w:rsidRPr="005F4BF5">
        <w:t> </w:t>
      </w:r>
      <w:r w:rsidR="00941A6C">
        <w:t>%</w:t>
      </w:r>
      <w:r w:rsidR="004B5AD5">
        <w:t xml:space="preserve">: el fuerte crecimiento en Primeros </w:t>
      </w:r>
      <w:r w:rsidR="00424102">
        <w:t xml:space="preserve">Equipos </w:t>
      </w:r>
      <w:r w:rsidR="004B5AD5">
        <w:t>en los mercado maduros ha equil</w:t>
      </w:r>
      <w:r w:rsidR="00425642">
        <w:t>i</w:t>
      </w:r>
      <w:r w:rsidR="004B5AD5">
        <w:t xml:space="preserve">brado las tensiones en </w:t>
      </w:r>
      <w:r w:rsidR="005D2AED">
        <w:t>el</w:t>
      </w:r>
      <w:r w:rsidR="004B5AD5">
        <w:t xml:space="preserve"> mercado de recauch</w:t>
      </w:r>
      <w:r w:rsidR="005D2AED">
        <w:t>utado</w:t>
      </w:r>
      <w:r w:rsidR="005F4BF5" w:rsidRPr="005F4BF5">
        <w:t xml:space="preserve">, </w:t>
      </w:r>
      <w:r w:rsidR="005D2AED">
        <w:t xml:space="preserve">mientras que las nuevas gamas </w:t>
      </w:r>
      <w:r w:rsidR="005D2AED" w:rsidRPr="005D2AED">
        <w:rPr>
          <w:i/>
        </w:rPr>
        <w:t>Intermedias</w:t>
      </w:r>
      <w:r w:rsidR="005D2AED">
        <w:t xml:space="preserve"> lanzadas en Sudam</w:t>
      </w:r>
      <w:r w:rsidR="005D2AED">
        <w:t>é</w:t>
      </w:r>
      <w:r w:rsidR="005D2AED">
        <w:t>rica en el Medio Oriente africano y el Sudeste asi</w:t>
      </w:r>
      <w:r w:rsidR="005D2AED">
        <w:t>á</w:t>
      </w:r>
      <w:r w:rsidR="005D2AED">
        <w:t xml:space="preserve">tico </w:t>
      </w:r>
      <w:r w:rsidR="00937A66">
        <w:t xml:space="preserve">han encontrado una acogida favorable. El buen control de la actividad, especialmente del posicionamiento del precio, el aprovisionamiento de los mercados en crecimiento y </w:t>
      </w:r>
      <w:r w:rsidR="00D90299">
        <w:t xml:space="preserve"> </w:t>
      </w:r>
      <w:r w:rsidR="00937A66">
        <w:t>l</w:t>
      </w:r>
      <w:r w:rsidR="00D90299">
        <w:t>a</w:t>
      </w:r>
      <w:r w:rsidR="00937A66">
        <w:t xml:space="preserve"> </w:t>
      </w:r>
      <w:r w:rsidR="00D90299">
        <w:t>gesti</w:t>
      </w:r>
      <w:r w:rsidR="00D90299">
        <w:t>ó</w:t>
      </w:r>
      <w:r w:rsidR="00D90299">
        <w:t>n</w:t>
      </w:r>
      <w:r w:rsidR="00937A66">
        <w:t xml:space="preserve"> de los gastos</w:t>
      </w:r>
      <w:r w:rsidR="00D90299">
        <w:t>, ha contribuido tambi</w:t>
      </w:r>
      <w:r w:rsidR="00D90299">
        <w:t>é</w:t>
      </w:r>
      <w:r w:rsidR="00D90299">
        <w:t>n a la continuidad de la recuperaci</w:t>
      </w:r>
      <w:r w:rsidR="00D90299">
        <w:t>ó</w:t>
      </w:r>
      <w:r w:rsidR="00D90299">
        <w:t>n de la rentabilidad.</w:t>
      </w:r>
    </w:p>
    <w:p w14:paraId="7213904D" w14:textId="0B0D914F" w:rsidR="00700DFB" w:rsidRPr="0033327A" w:rsidRDefault="00FF375A" w:rsidP="005F4BF5">
      <w:pPr>
        <w:pStyle w:val="TextoMichelin"/>
        <w:rPr>
          <w:color w:val="auto"/>
        </w:rPr>
      </w:pPr>
      <w:r>
        <w:lastRenderedPageBreak/>
        <w:t>En el horizonte</w:t>
      </w:r>
      <w:r w:rsidRPr="00FE5300">
        <w:t xml:space="preserve"> </w:t>
      </w:r>
      <w:r w:rsidR="005F4BF5" w:rsidRPr="005F4BF5">
        <w:rPr>
          <w:color w:val="auto"/>
        </w:rPr>
        <w:t xml:space="preserve">2016-2020, </w:t>
      </w:r>
      <w:r>
        <w:rPr>
          <w:color w:val="auto"/>
        </w:rPr>
        <w:t>el</w:t>
      </w:r>
      <w:r w:rsidR="005F4BF5" w:rsidRPr="005F4BF5">
        <w:rPr>
          <w:color w:val="auto"/>
        </w:rPr>
        <w:t xml:space="preserve"> </w:t>
      </w:r>
      <w:r>
        <w:t>Gr</w:t>
      </w:r>
      <w:r w:rsidRPr="00FE5300">
        <w:t>up</w:t>
      </w:r>
      <w:r>
        <w:t>o</w:t>
      </w:r>
      <w:r w:rsidRPr="00FE5300">
        <w:t xml:space="preserve"> </w:t>
      </w:r>
      <w:r>
        <w:t xml:space="preserve">se ha fijado para </w:t>
      </w:r>
      <w:r w:rsidR="00424102">
        <w:t>el segmento de</w:t>
      </w:r>
      <w:r>
        <w:t xml:space="preserve"> Cami</w:t>
      </w:r>
      <w:r>
        <w:t>ó</w:t>
      </w:r>
      <w:r>
        <w:t xml:space="preserve">n un objetivo de margen operativo antes de elementos no recurrentes de entre el </w:t>
      </w:r>
      <w:r w:rsidR="005F4BF5" w:rsidRPr="005F4BF5">
        <w:rPr>
          <w:color w:val="auto"/>
        </w:rPr>
        <w:t xml:space="preserve">9 % </w:t>
      </w:r>
      <w:r w:rsidR="00425642">
        <w:rPr>
          <w:color w:val="auto"/>
        </w:rPr>
        <w:t>y el</w:t>
      </w:r>
      <w:r w:rsidR="005F4BF5" w:rsidRPr="005F4BF5">
        <w:rPr>
          <w:color w:val="auto"/>
        </w:rPr>
        <w:t xml:space="preserve"> 13 % </w:t>
      </w:r>
      <w:r w:rsidR="00425642" w:rsidRPr="0033327A">
        <w:rPr>
          <w:color w:val="auto"/>
        </w:rPr>
        <w:t>de las ventas netas</w:t>
      </w:r>
      <w:r w:rsidR="005F4BF5" w:rsidRPr="005F4BF5">
        <w:rPr>
          <w:color w:val="auto"/>
        </w:rPr>
        <w:t>.</w:t>
      </w:r>
    </w:p>
    <w:p w14:paraId="7393CEEF" w14:textId="77777777" w:rsidR="00700DFB" w:rsidRPr="0033327A" w:rsidRDefault="009F7ED2" w:rsidP="00BD06E7">
      <w:pPr>
        <w:pStyle w:val="LadilloMichelinDossier"/>
        <w:numPr>
          <w:ilvl w:val="0"/>
          <w:numId w:val="12"/>
        </w:numPr>
        <w:tabs>
          <w:tab w:val="clear" w:pos="291"/>
          <w:tab w:val="num" w:pos="360"/>
        </w:tabs>
        <w:spacing w:after="240"/>
        <w:ind w:left="360" w:hanging="360"/>
        <w:jc w:val="both"/>
      </w:pPr>
      <w:r w:rsidRPr="0033327A">
        <w:rPr>
          <w:rFonts w:ascii="Arial"/>
          <w:sz w:val="21"/>
          <w:szCs w:val="21"/>
        </w:rPr>
        <w:t>Actividades de especialidades</w:t>
      </w:r>
    </w:p>
    <w:p w14:paraId="76ED935C" w14:textId="228C408B" w:rsidR="00237EE2" w:rsidRDefault="002852E8">
      <w:pPr>
        <w:pStyle w:val="TextoMichelin"/>
      </w:pPr>
      <w:r>
        <w:t xml:space="preserve">Las ventas netas del </w:t>
      </w:r>
      <w:r w:rsidR="00424102">
        <w:t>segmento</w:t>
      </w:r>
      <w:r w:rsidR="009F7ED2" w:rsidRPr="0033327A">
        <w:t xml:space="preserve"> de Actividades de especialidades alcanzan los </w:t>
      </w:r>
      <w:r w:rsidR="00237EE2" w:rsidRPr="002852E8">
        <w:t>2</w:t>
      </w:r>
      <w:r w:rsidR="00237EE2">
        <w:t>.</w:t>
      </w:r>
      <w:r w:rsidR="00237EE2" w:rsidRPr="002852E8">
        <w:t xml:space="preserve">942 </w:t>
      </w:r>
      <w:r w:rsidR="009F7ED2" w:rsidRPr="0033327A">
        <w:t>millones de euros,</w:t>
      </w:r>
      <w:r w:rsidR="00237EE2">
        <w:t xml:space="preserve"> casi estables</w:t>
      </w:r>
      <w:r w:rsidR="009F7ED2" w:rsidRPr="0033327A">
        <w:t xml:space="preserve"> en comparaci</w:t>
      </w:r>
      <w:r w:rsidR="009F7ED2" w:rsidRPr="0033327A">
        <w:rPr>
          <w:rFonts w:ascii="Arial Unicode MS"/>
        </w:rPr>
        <w:t>ó</w:t>
      </w:r>
      <w:r w:rsidR="009F7ED2" w:rsidRPr="0033327A">
        <w:t xml:space="preserve">n con los </w:t>
      </w:r>
      <w:r w:rsidR="00237EE2" w:rsidRPr="002852E8">
        <w:t>2</w:t>
      </w:r>
      <w:r w:rsidR="00237EE2">
        <w:t>.</w:t>
      </w:r>
      <w:r w:rsidR="00237EE2" w:rsidRPr="002852E8">
        <w:t xml:space="preserve">973 </w:t>
      </w:r>
      <w:r w:rsidR="009F7ED2" w:rsidRPr="0033327A">
        <w:t>millones de euros de 201</w:t>
      </w:r>
      <w:r w:rsidR="00237EE2">
        <w:t>4.</w:t>
      </w:r>
    </w:p>
    <w:p w14:paraId="4851E78D" w14:textId="64D12F1D" w:rsidR="00700DFB" w:rsidRPr="0033327A" w:rsidRDefault="009F7ED2">
      <w:pPr>
        <w:pStyle w:val="TextoMichelin"/>
        <w:rPr>
          <w:color w:val="auto"/>
        </w:rPr>
      </w:pPr>
      <w:r w:rsidRPr="0033327A">
        <w:rPr>
          <w:color w:val="auto"/>
        </w:rPr>
        <w:t xml:space="preserve">El resultado operativo antes de elementos no recurrentes se establece en </w:t>
      </w:r>
      <w:r w:rsidR="007652DD" w:rsidRPr="002852E8">
        <w:t xml:space="preserve">548 </w:t>
      </w:r>
      <w:r w:rsidRPr="0033327A">
        <w:rPr>
          <w:color w:val="auto"/>
        </w:rPr>
        <w:t>millones de euros, es decir, el 1</w:t>
      </w:r>
      <w:r w:rsidR="007652DD">
        <w:rPr>
          <w:color w:val="auto"/>
        </w:rPr>
        <w:t>8</w:t>
      </w:r>
      <w:r w:rsidRPr="0033327A">
        <w:rPr>
          <w:color w:val="auto"/>
        </w:rPr>
        <w:t>,</w:t>
      </w:r>
      <w:r w:rsidR="007652DD">
        <w:rPr>
          <w:color w:val="auto"/>
        </w:rPr>
        <w:t>6</w:t>
      </w:r>
      <w:r w:rsidRPr="0033327A">
        <w:rPr>
          <w:rFonts w:ascii="Arial Unicode MS"/>
          <w:color w:val="auto"/>
        </w:rPr>
        <w:t> </w:t>
      </w:r>
      <w:r w:rsidRPr="0033327A">
        <w:rPr>
          <w:color w:val="auto"/>
        </w:rPr>
        <w:t>% de las ventas netas, en comparaci</w:t>
      </w:r>
      <w:r w:rsidRPr="0033327A">
        <w:rPr>
          <w:rFonts w:ascii="Arial Unicode MS"/>
          <w:color w:val="auto"/>
        </w:rPr>
        <w:t>ó</w:t>
      </w:r>
      <w:r w:rsidRPr="0033327A">
        <w:rPr>
          <w:color w:val="auto"/>
        </w:rPr>
        <w:t xml:space="preserve">n con los </w:t>
      </w:r>
      <w:r w:rsidR="007652DD" w:rsidRPr="002852E8">
        <w:t>574</w:t>
      </w:r>
      <w:r w:rsidR="007652DD" w:rsidRPr="002852E8">
        <w:t> </w:t>
      </w:r>
      <w:r w:rsidRPr="0033327A">
        <w:rPr>
          <w:color w:val="auto"/>
        </w:rPr>
        <w:t xml:space="preserve">millones de euros y el </w:t>
      </w:r>
      <w:r w:rsidR="007652DD">
        <w:rPr>
          <w:color w:val="auto"/>
        </w:rPr>
        <w:t>19,3</w:t>
      </w:r>
      <w:r w:rsidRPr="0033327A">
        <w:rPr>
          <w:color w:val="auto"/>
        </w:rPr>
        <w:t xml:space="preserve"> % de 201</w:t>
      </w:r>
      <w:r w:rsidR="007652DD">
        <w:rPr>
          <w:color w:val="auto"/>
        </w:rPr>
        <w:t>4</w:t>
      </w:r>
      <w:r w:rsidRPr="0033327A">
        <w:rPr>
          <w:color w:val="auto"/>
        </w:rPr>
        <w:t>.</w:t>
      </w:r>
    </w:p>
    <w:p w14:paraId="092CF1D4" w14:textId="43CDD97C" w:rsidR="00700DFB" w:rsidRDefault="009F7ED2">
      <w:pPr>
        <w:pStyle w:val="TextoMichelin"/>
      </w:pPr>
      <w:r w:rsidRPr="0033327A">
        <w:rPr>
          <w:color w:val="auto"/>
        </w:rPr>
        <w:t>La evoluci</w:t>
      </w:r>
      <w:r w:rsidRPr="0033327A">
        <w:rPr>
          <w:rFonts w:ascii="Arial Unicode MS"/>
          <w:color w:val="auto"/>
        </w:rPr>
        <w:t>ó</w:t>
      </w:r>
      <w:r w:rsidRPr="0033327A">
        <w:rPr>
          <w:color w:val="auto"/>
        </w:rPr>
        <w:t>n del resultado operativo proviene, adem</w:t>
      </w:r>
      <w:r w:rsidRPr="0033327A">
        <w:rPr>
          <w:rFonts w:ascii="Arial Unicode MS"/>
          <w:color w:val="auto"/>
        </w:rPr>
        <w:t>á</w:t>
      </w:r>
      <w:r w:rsidRPr="0033327A">
        <w:rPr>
          <w:color w:val="auto"/>
        </w:rPr>
        <w:t>s de los efectos del volumen y de la tasa de cambio, de los ajustes de precios relacionados con las cl</w:t>
      </w:r>
      <w:r w:rsidRPr="0033327A">
        <w:rPr>
          <w:rFonts w:ascii="Arial Unicode MS"/>
          <w:color w:val="auto"/>
        </w:rPr>
        <w:t>á</w:t>
      </w:r>
      <w:r w:rsidRPr="0033327A">
        <w:rPr>
          <w:color w:val="auto"/>
        </w:rPr>
        <w:t>usulas de indexaci</w:t>
      </w:r>
      <w:r w:rsidRPr="0033327A">
        <w:rPr>
          <w:rFonts w:ascii="Arial Unicode MS"/>
          <w:color w:val="auto"/>
        </w:rPr>
        <w:t>ó</w:t>
      </w:r>
      <w:r w:rsidRPr="0033327A">
        <w:rPr>
          <w:color w:val="auto"/>
        </w:rPr>
        <w:t>n</w:t>
      </w:r>
      <w:r w:rsidRPr="0033327A">
        <w:t xml:space="preserve"> en un contexto de bajada de precio de las materias primas</w:t>
      </w:r>
      <w:r w:rsidR="002852E8">
        <w:t>.</w:t>
      </w:r>
    </w:p>
    <w:p w14:paraId="11012ED4" w14:textId="2FAF5E4E" w:rsidR="005422B6" w:rsidRDefault="004F7D1F" w:rsidP="002852E8">
      <w:pPr>
        <w:pStyle w:val="TextoMichelin"/>
      </w:pPr>
      <w:r>
        <w:t>Aparte de los efectos de la paridad del cambio, esta evoluci</w:t>
      </w:r>
      <w:r>
        <w:t>ó</w:t>
      </w:r>
      <w:r>
        <w:t>n del margen opera</w:t>
      </w:r>
      <w:r w:rsidR="00C63E4C">
        <w:t>tiv</w:t>
      </w:r>
      <w:r>
        <w:t>o registra la evoluci</w:t>
      </w:r>
      <w:r>
        <w:t>ó</w:t>
      </w:r>
      <w:r>
        <w:t>n de los vol</w:t>
      </w:r>
      <w:r>
        <w:t>ú</w:t>
      </w:r>
      <w:r>
        <w:t xml:space="preserve">menes vendidos </w:t>
      </w:r>
      <w:r w:rsidR="002852E8" w:rsidRPr="002852E8">
        <w:t>(-</w:t>
      </w:r>
      <w:r w:rsidR="002852E8" w:rsidRPr="002852E8">
        <w:t> </w:t>
      </w:r>
      <w:r w:rsidR="002852E8" w:rsidRPr="002852E8">
        <w:t>4</w:t>
      </w:r>
      <w:r w:rsidR="002852E8" w:rsidRPr="002852E8">
        <w:t> </w:t>
      </w:r>
      <w:r w:rsidR="002852E8" w:rsidRPr="002852E8">
        <w:t xml:space="preserve">%), </w:t>
      </w:r>
      <w:r w:rsidR="00C63E4C">
        <w:t>en un mercado en contracci</w:t>
      </w:r>
      <w:r w:rsidR="00C63E4C">
        <w:t>ó</w:t>
      </w:r>
      <w:r w:rsidR="00C63E4C">
        <w:t xml:space="preserve">n del </w:t>
      </w:r>
      <w:r w:rsidR="002852E8" w:rsidRPr="002852E8">
        <w:t>6</w:t>
      </w:r>
      <w:r w:rsidR="002852E8" w:rsidRPr="002852E8">
        <w:t> </w:t>
      </w:r>
      <w:r w:rsidR="002852E8" w:rsidRPr="002852E8">
        <w:t xml:space="preserve">% </w:t>
      </w:r>
      <w:r w:rsidR="00C63E4C">
        <w:t xml:space="preserve">por la </w:t>
      </w:r>
      <w:r w:rsidR="00424102">
        <w:t>reducci</w:t>
      </w:r>
      <w:r w:rsidR="00424102">
        <w:t>ó</w:t>
      </w:r>
      <w:r w:rsidR="00424102">
        <w:t xml:space="preserve">n </w:t>
      </w:r>
      <w:r w:rsidR="00C63E4C">
        <w:t>de stocks de las compa</w:t>
      </w:r>
      <w:r w:rsidR="00C63E4C">
        <w:t>ñí</w:t>
      </w:r>
      <w:r w:rsidR="00C63E4C">
        <w:t>as mineras</w:t>
      </w:r>
      <w:r w:rsidR="002852E8" w:rsidRPr="002852E8">
        <w:t xml:space="preserve">, </w:t>
      </w:r>
      <w:r w:rsidR="00C63E4C">
        <w:t>la ca</w:t>
      </w:r>
      <w:r w:rsidR="00C63E4C">
        <w:t>í</w:t>
      </w:r>
      <w:r w:rsidR="00C63E4C">
        <w:t>da de las extracciones</w:t>
      </w:r>
      <w:r w:rsidR="002852E8" w:rsidRPr="002852E8">
        <w:t xml:space="preserve"> </w:t>
      </w:r>
      <w:r w:rsidR="005422B6">
        <w:t>y la bajada mundial de la demanda de neum</w:t>
      </w:r>
      <w:r w:rsidR="005422B6">
        <w:t>á</w:t>
      </w:r>
      <w:r w:rsidR="005422B6">
        <w:t>ticos agr</w:t>
      </w:r>
      <w:r w:rsidR="005422B6">
        <w:t>í</w:t>
      </w:r>
      <w:r w:rsidR="005422B6">
        <w:t>colas. En paralelo, el efecto retardado de</w:t>
      </w:r>
      <w:r w:rsidR="00976041">
        <w:t xml:space="preserve"> los ajustes de precio relacionados con las cl</w:t>
      </w:r>
      <w:r w:rsidR="00976041">
        <w:t>á</w:t>
      </w:r>
      <w:r w:rsidR="00976041">
        <w:t>usulas de indexaci</w:t>
      </w:r>
      <w:r w:rsidR="00976041">
        <w:t>ó</w:t>
      </w:r>
      <w:r w:rsidR="00976041">
        <w:t>n de los precios de las materias primas penaliza el margen unitario.</w:t>
      </w:r>
    </w:p>
    <w:p w14:paraId="64729BEB" w14:textId="7BF5F384" w:rsidR="002852E8" w:rsidRPr="00E610BD" w:rsidRDefault="00976041" w:rsidP="002852E8">
      <w:pPr>
        <w:pStyle w:val="TextoMichelin"/>
        <w:rPr>
          <w:color w:val="auto"/>
        </w:rPr>
      </w:pPr>
      <w:r>
        <w:t>Para el horizonte</w:t>
      </w:r>
      <w:r w:rsidR="002852E8" w:rsidRPr="002852E8">
        <w:t xml:space="preserve"> 2016-2020, </w:t>
      </w:r>
      <w:r>
        <w:rPr>
          <w:color w:val="auto"/>
        </w:rPr>
        <w:t>el</w:t>
      </w:r>
      <w:r w:rsidRPr="005F4BF5">
        <w:rPr>
          <w:color w:val="auto"/>
        </w:rPr>
        <w:t xml:space="preserve"> </w:t>
      </w:r>
      <w:r>
        <w:t>Gr</w:t>
      </w:r>
      <w:r w:rsidRPr="00FE5300">
        <w:t>up</w:t>
      </w:r>
      <w:r>
        <w:t>o</w:t>
      </w:r>
      <w:r w:rsidRPr="00FE5300">
        <w:t xml:space="preserve"> </w:t>
      </w:r>
      <w:r>
        <w:t xml:space="preserve">se ha fijado para sector operativo </w:t>
      </w:r>
      <w:r w:rsidR="00CD7185">
        <w:t>Actividades de especialidades</w:t>
      </w:r>
      <w:r>
        <w:t xml:space="preserve"> un objetivo de margen operativo antes de elementos no recurrentes de entre el </w:t>
      </w:r>
      <w:r w:rsidR="00CD7185">
        <w:rPr>
          <w:color w:val="auto"/>
        </w:rPr>
        <w:t>17</w:t>
      </w:r>
      <w:r w:rsidRPr="005F4BF5">
        <w:rPr>
          <w:color w:val="auto"/>
        </w:rPr>
        <w:t xml:space="preserve"> % </w:t>
      </w:r>
      <w:r>
        <w:rPr>
          <w:color w:val="auto"/>
        </w:rPr>
        <w:t>y el</w:t>
      </w:r>
      <w:r w:rsidRPr="005F4BF5">
        <w:rPr>
          <w:color w:val="auto"/>
        </w:rPr>
        <w:t xml:space="preserve"> </w:t>
      </w:r>
      <w:r w:rsidR="00CD7185">
        <w:rPr>
          <w:color w:val="auto"/>
        </w:rPr>
        <w:t>24</w:t>
      </w:r>
      <w:r w:rsidRPr="005F4BF5">
        <w:rPr>
          <w:color w:val="auto"/>
        </w:rPr>
        <w:t xml:space="preserve"> % </w:t>
      </w:r>
      <w:r w:rsidRPr="0033327A">
        <w:rPr>
          <w:color w:val="auto"/>
        </w:rPr>
        <w:t>de las ventas netas</w:t>
      </w:r>
      <w:r w:rsidRPr="005F4BF5">
        <w:rPr>
          <w:color w:val="auto"/>
        </w:rPr>
        <w:t>.</w:t>
      </w:r>
    </w:p>
    <w:p w14:paraId="5CDB7AB8" w14:textId="77777777" w:rsidR="000514EC" w:rsidRDefault="000514EC">
      <w:pPr>
        <w:pStyle w:val="Cuerpo"/>
        <w:spacing w:after="60"/>
        <w:rPr>
          <w:b/>
          <w:bCs/>
          <w:color w:val="333399"/>
          <w:sz w:val="40"/>
          <w:szCs w:val="40"/>
          <w:u w:color="333399"/>
        </w:rPr>
      </w:pPr>
    </w:p>
    <w:p w14:paraId="470DF045" w14:textId="77777777" w:rsidR="00700DFB" w:rsidRPr="0033327A" w:rsidRDefault="009F7ED2">
      <w:pPr>
        <w:pStyle w:val="Cuerpo"/>
        <w:spacing w:after="60"/>
        <w:rPr>
          <w:b/>
          <w:bCs/>
          <w:color w:val="333399"/>
          <w:sz w:val="40"/>
          <w:szCs w:val="40"/>
          <w:u w:color="333399"/>
        </w:rPr>
      </w:pPr>
      <w:r w:rsidRPr="0033327A">
        <w:rPr>
          <w:b/>
          <w:bCs/>
          <w:color w:val="333399"/>
          <w:sz w:val="40"/>
          <w:szCs w:val="40"/>
          <w:u w:color="333399"/>
        </w:rPr>
        <w:t>Compagnie Générale des Etablissements Michelin</w:t>
      </w:r>
    </w:p>
    <w:p w14:paraId="7CC769BE" w14:textId="599F5E27" w:rsidR="00700DFB" w:rsidRPr="0033327A" w:rsidRDefault="009F7ED2">
      <w:pPr>
        <w:pStyle w:val="TextoMichelin"/>
      </w:pPr>
      <w:r w:rsidRPr="0033327A">
        <w:t>La Compagnie G</w:t>
      </w:r>
      <w:r w:rsidRPr="0033327A">
        <w:rPr>
          <w:rFonts w:ascii="Arial Unicode MS"/>
        </w:rPr>
        <w:t>é</w:t>
      </w:r>
      <w:r w:rsidRPr="0033327A">
        <w:t>n</w:t>
      </w:r>
      <w:r w:rsidRPr="0033327A">
        <w:rPr>
          <w:rFonts w:ascii="Arial Unicode MS"/>
        </w:rPr>
        <w:t>é</w:t>
      </w:r>
      <w:r w:rsidRPr="0033327A">
        <w:t>rale des Etablissements Michelin ha tenido un beneficio de 5</w:t>
      </w:r>
      <w:r w:rsidR="00C23AB5">
        <w:t>90</w:t>
      </w:r>
      <w:r w:rsidRPr="0033327A">
        <w:t xml:space="preserve">  millones de euros en el ejercicio </w:t>
      </w:r>
      <w:r w:rsidR="00D46DF5" w:rsidRPr="0033327A">
        <w:t>2015</w:t>
      </w:r>
      <w:r w:rsidRPr="0033327A">
        <w:t xml:space="preserve">, tras obtener un beneficio de </w:t>
      </w:r>
      <w:r w:rsidR="00C23AB5">
        <w:t>555</w:t>
      </w:r>
      <w:r w:rsidRPr="0033327A">
        <w:t xml:space="preserve"> millones de euros en 201</w:t>
      </w:r>
      <w:r w:rsidR="00C23AB5">
        <w:t>4</w:t>
      </w:r>
      <w:r w:rsidRPr="0033327A">
        <w:t xml:space="preserve">. </w:t>
      </w:r>
    </w:p>
    <w:p w14:paraId="0930A6B2" w14:textId="6AAD7FE6" w:rsidR="00700DFB" w:rsidRPr="0033327A" w:rsidRDefault="009F7ED2">
      <w:pPr>
        <w:pStyle w:val="TextoMichelin"/>
      </w:pPr>
      <w:r w:rsidRPr="0033327A">
        <w:t>Las cuentas han sido presentadas al Consejo de Vigilancia en su reuni</w:t>
      </w:r>
      <w:r w:rsidRPr="0033327A">
        <w:rPr>
          <w:rFonts w:ascii="Arial Unicode MS"/>
        </w:rPr>
        <w:t>ó</w:t>
      </w:r>
      <w:r w:rsidRPr="0033327A">
        <w:t xml:space="preserve">n del </w:t>
      </w:r>
      <w:r w:rsidR="00C23AB5">
        <w:t>11</w:t>
      </w:r>
      <w:r w:rsidRPr="0033327A">
        <w:t xml:space="preserve"> de febrero de 201</w:t>
      </w:r>
      <w:r w:rsidR="00C23AB5">
        <w:t>6</w:t>
      </w:r>
      <w:r w:rsidRPr="0033327A">
        <w:t>. Los procedimientos de auditor</w:t>
      </w:r>
      <w:r w:rsidRPr="0033327A">
        <w:rPr>
          <w:rFonts w:ascii="Arial Unicode MS"/>
        </w:rPr>
        <w:t>í</w:t>
      </w:r>
      <w:r w:rsidRPr="0033327A">
        <w:t>a han sido realizados y el informe de auditor</w:t>
      </w:r>
      <w:r w:rsidRPr="0033327A">
        <w:rPr>
          <w:rFonts w:ascii="Arial Unicode MS"/>
        </w:rPr>
        <w:t>í</w:t>
      </w:r>
      <w:r w:rsidRPr="0033327A">
        <w:t xml:space="preserve">a ha sido emitido el </w:t>
      </w:r>
      <w:r w:rsidR="00C23AB5">
        <w:t>15</w:t>
      </w:r>
      <w:r w:rsidRPr="0033327A">
        <w:t xml:space="preserve"> de febrero de 201</w:t>
      </w:r>
      <w:r w:rsidR="00C23AB5">
        <w:t>6</w:t>
      </w:r>
      <w:r w:rsidRPr="0033327A">
        <w:t xml:space="preserve">. </w:t>
      </w:r>
    </w:p>
    <w:p w14:paraId="2A77BA21" w14:textId="641474E7" w:rsidR="00700DFB" w:rsidRPr="0033327A" w:rsidRDefault="009F7ED2">
      <w:pPr>
        <w:pStyle w:val="TextoMichelin"/>
      </w:pPr>
      <w:r w:rsidRPr="0033327A">
        <w:t xml:space="preserve">El presidente del Grupo ha convocado una Asamblea General de Accionistas para el viernes </w:t>
      </w:r>
      <w:r w:rsidR="00C23AB5">
        <w:t>13</w:t>
      </w:r>
      <w:r w:rsidRPr="0033327A">
        <w:t xml:space="preserve"> de mayo de 201</w:t>
      </w:r>
      <w:r w:rsidR="00C23AB5">
        <w:t>6</w:t>
      </w:r>
      <w:r w:rsidRPr="0033327A">
        <w:t>, a las 9 horas, en Clermont-Ferrand.</w:t>
      </w:r>
    </w:p>
    <w:p w14:paraId="163B09A6" w14:textId="3792664D" w:rsidR="00700DFB" w:rsidRPr="00D62FDF" w:rsidRDefault="009F7ED2">
      <w:pPr>
        <w:pStyle w:val="TextoMichelin"/>
        <w:rPr>
          <w:color w:val="FF0000"/>
          <w:u w:color="FF0000"/>
        </w:rPr>
      </w:pPr>
      <w:r w:rsidRPr="0033327A">
        <w:t>El presidente del Grupo someter</w:t>
      </w:r>
      <w:r w:rsidRPr="0033327A">
        <w:rPr>
          <w:rFonts w:ascii="Arial Unicode MS"/>
        </w:rPr>
        <w:t xml:space="preserve">á </w:t>
      </w:r>
      <w:r w:rsidRPr="0033327A">
        <w:t>a la aprobaci</w:t>
      </w:r>
      <w:r w:rsidRPr="0033327A">
        <w:rPr>
          <w:rFonts w:ascii="Arial Unicode MS"/>
        </w:rPr>
        <w:t>ó</w:t>
      </w:r>
      <w:r w:rsidRPr="0033327A">
        <w:t>n de los accionistas el pago de un dividendo de 2,</w:t>
      </w:r>
      <w:r w:rsidR="00D62FDF">
        <w:t>85</w:t>
      </w:r>
      <w:r w:rsidRPr="0033327A">
        <w:t xml:space="preserve"> euros por acci</w:t>
      </w:r>
      <w:r w:rsidRPr="0033327A">
        <w:rPr>
          <w:rFonts w:ascii="Arial Unicode MS"/>
        </w:rPr>
        <w:t>ó</w:t>
      </w:r>
      <w:r w:rsidRPr="0033327A">
        <w:t xml:space="preserve">n, </w:t>
      </w:r>
      <w:r w:rsidR="00D62FDF">
        <w:t>contra los 2,50 euros por t</w:t>
      </w:r>
      <w:r w:rsidR="00D62FDF">
        <w:t>í</w:t>
      </w:r>
      <w:r w:rsidR="00D62FDF">
        <w:t xml:space="preserve">tulo del </w:t>
      </w:r>
      <w:r w:rsidRPr="0033327A">
        <w:t>ejercicio precedente.</w:t>
      </w:r>
    </w:p>
    <w:p w14:paraId="4E209121" w14:textId="05069A2E" w:rsidR="00700DFB" w:rsidRPr="0033327A" w:rsidRDefault="009F7ED2">
      <w:pPr>
        <w:pStyle w:val="Cuerpo"/>
        <w:spacing w:after="240" w:line="360" w:lineRule="exact"/>
        <w:rPr>
          <w:b/>
          <w:bCs/>
          <w:color w:val="333399"/>
          <w:sz w:val="40"/>
          <w:szCs w:val="40"/>
          <w:u w:color="333399"/>
        </w:rPr>
      </w:pPr>
      <w:r w:rsidRPr="0033327A">
        <w:rPr>
          <w:b/>
          <w:bCs/>
          <w:color w:val="333399"/>
          <w:sz w:val="40"/>
          <w:szCs w:val="40"/>
          <w:u w:color="333399"/>
        </w:rPr>
        <w:br w:type="column"/>
      </w:r>
      <w:r w:rsidRPr="0033327A">
        <w:rPr>
          <w:b/>
          <w:bCs/>
          <w:color w:val="333399"/>
          <w:sz w:val="40"/>
          <w:szCs w:val="40"/>
          <w:u w:color="333399"/>
        </w:rPr>
        <w:lastRenderedPageBreak/>
        <w:t xml:space="preserve">Hechos destacados de </w:t>
      </w:r>
      <w:r w:rsidR="00D46DF5" w:rsidRPr="0033327A">
        <w:rPr>
          <w:b/>
          <w:bCs/>
          <w:color w:val="333399"/>
          <w:sz w:val="40"/>
          <w:szCs w:val="40"/>
          <w:u w:color="333399"/>
        </w:rPr>
        <w:t>2015</w:t>
      </w:r>
    </w:p>
    <w:p w14:paraId="0B857AC5" w14:textId="77777777" w:rsidR="00730B7D" w:rsidRPr="00EA46E7" w:rsidRDefault="00730B7D" w:rsidP="00BD06E7">
      <w:pPr>
        <w:pStyle w:val="Cuerpo"/>
        <w:numPr>
          <w:ilvl w:val="0"/>
          <w:numId w:val="17"/>
        </w:numPr>
        <w:spacing w:after="240" w:line="270" w:lineRule="atLeast"/>
        <w:ind w:left="426" w:hanging="284"/>
        <w:outlineLvl w:val="0"/>
        <w:rPr>
          <w:rFonts w:ascii="Arial" w:hAnsi="Arial" w:cs="Arial"/>
          <w:b/>
          <w:bCs/>
          <w:color w:val="auto"/>
          <w:sz w:val="20"/>
          <w:szCs w:val="20"/>
        </w:rPr>
      </w:pPr>
      <w:r w:rsidRPr="00EA46E7">
        <w:rPr>
          <w:rFonts w:ascii="Arial" w:hAnsi="Arial" w:cs="Arial"/>
          <w:b/>
          <w:bCs/>
          <w:color w:val="auto"/>
          <w:sz w:val="20"/>
          <w:szCs w:val="20"/>
        </w:rPr>
        <w:t>Michelin North America comercializa 16 nuevas dimensiones del neumático BFGoodrich All-Terrain T/A KO2 (2 de marzo de 2015).</w:t>
      </w:r>
    </w:p>
    <w:p w14:paraId="40F23C0B" w14:textId="77777777" w:rsidR="00730B7D" w:rsidRPr="00EA46E7" w:rsidRDefault="00730B7D" w:rsidP="00BD06E7">
      <w:pPr>
        <w:pStyle w:val="Cuerpo"/>
        <w:numPr>
          <w:ilvl w:val="0"/>
          <w:numId w:val="17"/>
        </w:numPr>
        <w:spacing w:after="240" w:line="270" w:lineRule="atLeast"/>
        <w:ind w:left="426" w:hanging="284"/>
        <w:outlineLvl w:val="0"/>
        <w:rPr>
          <w:rFonts w:ascii="Arial" w:hAnsi="Arial" w:cs="Arial"/>
          <w:b/>
          <w:bCs/>
          <w:color w:val="auto"/>
          <w:sz w:val="20"/>
          <w:szCs w:val="20"/>
        </w:rPr>
      </w:pPr>
      <w:r w:rsidRPr="00EA46E7">
        <w:rPr>
          <w:rFonts w:ascii="Arial" w:hAnsi="Arial" w:cs="Arial"/>
          <w:b/>
          <w:bCs/>
          <w:color w:val="auto"/>
          <w:sz w:val="20"/>
          <w:szCs w:val="20"/>
        </w:rPr>
        <w:t>Michelin recibe los premios "Proveedor del Año" e "Innovación del Año" por parte de John Deere &amp; Company (10 de marzo de 2015).</w:t>
      </w:r>
    </w:p>
    <w:p w14:paraId="367D5A99" w14:textId="233CB5C4" w:rsidR="00104E81" w:rsidRPr="00EA46E7" w:rsidRDefault="00104E81" w:rsidP="00BD06E7">
      <w:pPr>
        <w:pStyle w:val="Cuerpo"/>
        <w:numPr>
          <w:ilvl w:val="0"/>
          <w:numId w:val="17"/>
        </w:numPr>
        <w:spacing w:after="240" w:line="270" w:lineRule="atLeast"/>
        <w:ind w:left="426" w:hanging="284"/>
        <w:outlineLvl w:val="0"/>
        <w:rPr>
          <w:rFonts w:ascii="Arial" w:hAnsi="Arial" w:cs="Arial"/>
          <w:b/>
          <w:bCs/>
          <w:color w:val="auto"/>
          <w:sz w:val="20"/>
          <w:szCs w:val="20"/>
        </w:rPr>
      </w:pPr>
      <w:r w:rsidRPr="00EA46E7">
        <w:rPr>
          <w:rFonts w:ascii="Arial" w:hAnsi="Arial" w:cs="Arial"/>
          <w:b/>
          <w:bCs/>
          <w:color w:val="auto"/>
          <w:sz w:val="20"/>
          <w:szCs w:val="20"/>
        </w:rPr>
        <w:t xml:space="preserve">Michelin </w:t>
      </w:r>
      <w:r w:rsidR="00BB66A2" w:rsidRPr="00EA46E7">
        <w:rPr>
          <w:rFonts w:ascii="Arial" w:hAnsi="Arial" w:cs="Arial"/>
          <w:b/>
          <w:bCs/>
          <w:color w:val="auto"/>
          <w:sz w:val="20"/>
          <w:szCs w:val="20"/>
        </w:rPr>
        <w:t>adquiere una participación del 40% en la sociedad Allopneus SAS por un montante de 60 millones de euros (14 de abril de 2015).</w:t>
      </w:r>
    </w:p>
    <w:p w14:paraId="020967BE" w14:textId="0B08A736" w:rsidR="00104E81" w:rsidRPr="00EA46E7" w:rsidRDefault="00104E81" w:rsidP="00BD06E7">
      <w:pPr>
        <w:pStyle w:val="Cuerpo"/>
        <w:numPr>
          <w:ilvl w:val="0"/>
          <w:numId w:val="17"/>
        </w:numPr>
        <w:spacing w:after="240" w:line="270" w:lineRule="atLeast"/>
        <w:ind w:left="426" w:hanging="284"/>
        <w:outlineLvl w:val="0"/>
        <w:rPr>
          <w:rFonts w:ascii="Arial" w:hAnsi="Arial" w:cs="Arial"/>
          <w:b/>
          <w:bCs/>
          <w:color w:val="auto"/>
          <w:sz w:val="20"/>
          <w:szCs w:val="20"/>
        </w:rPr>
      </w:pPr>
      <w:r w:rsidRPr="00EA46E7">
        <w:rPr>
          <w:rFonts w:ascii="Arial" w:hAnsi="Arial" w:cs="Arial"/>
          <w:b/>
          <w:bCs/>
          <w:color w:val="auto"/>
          <w:sz w:val="20"/>
          <w:szCs w:val="20"/>
        </w:rPr>
        <w:t xml:space="preserve">Michelin </w:t>
      </w:r>
      <w:r w:rsidR="00BB66A2" w:rsidRPr="00EA46E7">
        <w:rPr>
          <w:rFonts w:ascii="Arial" w:hAnsi="Arial" w:cs="Arial"/>
          <w:b/>
          <w:bCs/>
          <w:color w:val="auto"/>
          <w:sz w:val="20"/>
          <w:szCs w:val="20"/>
        </w:rPr>
        <w:t>consigue el título de "Proveedor del Año" de Boeing (16 de abril de 2015).</w:t>
      </w:r>
    </w:p>
    <w:p w14:paraId="3DDD9FE4" w14:textId="75C194C0" w:rsidR="00104E81" w:rsidRPr="00EA46E7" w:rsidRDefault="00104E81" w:rsidP="00BD06E7">
      <w:pPr>
        <w:pStyle w:val="Cuerpo"/>
        <w:numPr>
          <w:ilvl w:val="0"/>
          <w:numId w:val="17"/>
        </w:numPr>
        <w:spacing w:after="240" w:line="270" w:lineRule="atLeast"/>
        <w:ind w:left="426" w:hanging="284"/>
        <w:outlineLvl w:val="0"/>
        <w:rPr>
          <w:rFonts w:ascii="Arial" w:hAnsi="Arial" w:cs="Arial"/>
          <w:b/>
          <w:bCs/>
          <w:color w:val="auto"/>
          <w:sz w:val="20"/>
          <w:szCs w:val="20"/>
        </w:rPr>
      </w:pPr>
      <w:r w:rsidRPr="00EA46E7">
        <w:rPr>
          <w:rFonts w:ascii="Arial" w:hAnsi="Arial" w:cs="Arial"/>
          <w:b/>
          <w:bCs/>
          <w:color w:val="auto"/>
          <w:sz w:val="20"/>
          <w:szCs w:val="20"/>
        </w:rPr>
        <w:t xml:space="preserve">Michelin </w:t>
      </w:r>
      <w:r w:rsidR="00424102">
        <w:rPr>
          <w:rFonts w:ascii="Arial" w:hAnsi="Arial" w:cs="Arial"/>
          <w:b/>
          <w:bCs/>
          <w:color w:val="auto"/>
          <w:sz w:val="20"/>
          <w:szCs w:val="20"/>
        </w:rPr>
        <w:t>pone en marcha</w:t>
      </w:r>
      <w:r w:rsidR="00BB66A2" w:rsidRPr="00EA46E7">
        <w:rPr>
          <w:rFonts w:ascii="Arial" w:hAnsi="Arial" w:cs="Arial"/>
          <w:b/>
          <w:bCs/>
          <w:color w:val="auto"/>
          <w:sz w:val="20"/>
          <w:szCs w:val="20"/>
        </w:rPr>
        <w:t xml:space="preserve"> un programa de compra de acciones por 750 millones de euros, escalonado de 18 a 24 meses (22 de abril de 2015).</w:t>
      </w:r>
    </w:p>
    <w:p w14:paraId="7A4BCCB0" w14:textId="1E746F5B" w:rsidR="00104E81" w:rsidRPr="00EA46E7" w:rsidRDefault="00104E81" w:rsidP="00BD06E7">
      <w:pPr>
        <w:pStyle w:val="Cuerpo"/>
        <w:numPr>
          <w:ilvl w:val="0"/>
          <w:numId w:val="17"/>
        </w:numPr>
        <w:spacing w:after="240" w:line="270" w:lineRule="atLeast"/>
        <w:ind w:left="426" w:hanging="284"/>
        <w:outlineLvl w:val="0"/>
        <w:rPr>
          <w:rFonts w:ascii="Arial" w:hAnsi="Arial" w:cs="Arial"/>
          <w:b/>
          <w:bCs/>
          <w:color w:val="auto"/>
          <w:sz w:val="20"/>
          <w:szCs w:val="20"/>
        </w:rPr>
      </w:pPr>
      <w:r w:rsidRPr="00EA46E7">
        <w:rPr>
          <w:rFonts w:ascii="Arial" w:hAnsi="Arial" w:cs="Arial"/>
          <w:b/>
          <w:bCs/>
          <w:color w:val="auto"/>
          <w:sz w:val="20"/>
          <w:szCs w:val="20"/>
        </w:rPr>
        <w:t xml:space="preserve">Michelin </w:t>
      </w:r>
      <w:r w:rsidR="00BB66A2" w:rsidRPr="00EA46E7">
        <w:rPr>
          <w:rFonts w:ascii="Arial" w:hAnsi="Arial" w:cs="Arial"/>
          <w:b/>
          <w:bCs/>
          <w:color w:val="auto"/>
          <w:sz w:val="20"/>
          <w:szCs w:val="20"/>
        </w:rPr>
        <w:t>comercializa en los mercados europeos el MICHELIN CrossClimate, el primer neumático de verano con la homologación para invierno (mayo de 2015).</w:t>
      </w:r>
    </w:p>
    <w:p w14:paraId="014EA835" w14:textId="77777777" w:rsidR="00E07B9A" w:rsidRPr="00EA46E7" w:rsidRDefault="00E07B9A" w:rsidP="00BD06E7">
      <w:pPr>
        <w:pStyle w:val="Cuerpo"/>
        <w:numPr>
          <w:ilvl w:val="0"/>
          <w:numId w:val="17"/>
        </w:numPr>
        <w:spacing w:after="240" w:line="270" w:lineRule="atLeast"/>
        <w:ind w:left="426" w:hanging="284"/>
        <w:outlineLvl w:val="0"/>
        <w:rPr>
          <w:rFonts w:ascii="Arial" w:hAnsi="Arial" w:cs="Arial"/>
          <w:b/>
          <w:bCs/>
          <w:color w:val="auto"/>
          <w:sz w:val="20"/>
          <w:szCs w:val="20"/>
        </w:rPr>
      </w:pPr>
      <w:r w:rsidRPr="00EA46E7">
        <w:rPr>
          <w:rFonts w:ascii="Arial" w:hAnsi="Arial" w:cs="Arial"/>
          <w:b/>
          <w:bCs/>
          <w:color w:val="auto"/>
          <w:sz w:val="20"/>
          <w:szCs w:val="20"/>
        </w:rPr>
        <w:t>Michelin adquiere el 100 % de la compañía Blackcircles.com por 50 millones de libras esterlinas (6 de mayo de 2015).</w:t>
      </w:r>
    </w:p>
    <w:p w14:paraId="4197A6F6" w14:textId="77777777" w:rsidR="00E07B9A" w:rsidRPr="00EA46E7" w:rsidRDefault="00E07B9A" w:rsidP="00BD06E7">
      <w:pPr>
        <w:pStyle w:val="Cuerpo"/>
        <w:numPr>
          <w:ilvl w:val="0"/>
          <w:numId w:val="17"/>
        </w:numPr>
        <w:spacing w:after="240" w:line="270" w:lineRule="atLeast"/>
        <w:ind w:left="426" w:hanging="284"/>
        <w:outlineLvl w:val="0"/>
        <w:rPr>
          <w:rFonts w:ascii="Arial" w:hAnsi="Arial" w:cs="Arial"/>
          <w:b/>
          <w:bCs/>
          <w:color w:val="auto"/>
          <w:sz w:val="20"/>
          <w:szCs w:val="20"/>
        </w:rPr>
      </w:pPr>
      <w:r w:rsidRPr="00EA46E7">
        <w:rPr>
          <w:rFonts w:ascii="Arial" w:hAnsi="Arial" w:cs="Arial"/>
          <w:b/>
          <w:bCs/>
          <w:color w:val="auto"/>
          <w:sz w:val="20"/>
          <w:szCs w:val="20"/>
        </w:rPr>
        <w:t>Michelin y Barito Pacific Group crean una joint-venture para producir caucho natural  eco-responsable. Además, Michelin se compromete con la WWF para promover prácticas sostenibles en la industria del caucho natural y realizar varios proyectos de conservación y recuperación de la flora y la fauna de las regiones afectadas (18 de mayo de 2015).</w:t>
      </w:r>
    </w:p>
    <w:p w14:paraId="71ECFD90" w14:textId="77777777" w:rsidR="00E07B9A" w:rsidRPr="00EA46E7" w:rsidRDefault="00E07B9A" w:rsidP="00BD06E7">
      <w:pPr>
        <w:pStyle w:val="Cuerpo"/>
        <w:numPr>
          <w:ilvl w:val="0"/>
          <w:numId w:val="17"/>
        </w:numPr>
        <w:spacing w:after="240" w:line="270" w:lineRule="atLeast"/>
        <w:ind w:left="426" w:hanging="284"/>
        <w:outlineLvl w:val="0"/>
        <w:rPr>
          <w:rFonts w:ascii="Arial" w:hAnsi="Arial" w:cs="Arial"/>
          <w:b/>
          <w:bCs/>
          <w:color w:val="auto"/>
          <w:sz w:val="20"/>
          <w:szCs w:val="20"/>
        </w:rPr>
      </w:pPr>
      <w:r w:rsidRPr="00EA46E7">
        <w:rPr>
          <w:rFonts w:ascii="Arial" w:hAnsi="Arial" w:cs="Arial"/>
          <w:b/>
          <w:bCs/>
          <w:color w:val="auto"/>
          <w:sz w:val="20"/>
          <w:szCs w:val="20"/>
        </w:rPr>
        <w:t>Michelin coloca con éxito una emisión de obligaciones por 300 millones de euros a 7 años y de 300 millones a 12 años (19 de mayo de 2015).</w:t>
      </w:r>
    </w:p>
    <w:p w14:paraId="05511247" w14:textId="77777777" w:rsidR="00E07B9A" w:rsidRPr="00EA46E7" w:rsidRDefault="00E07B9A" w:rsidP="00BD06E7">
      <w:pPr>
        <w:pStyle w:val="Cuerpo"/>
        <w:numPr>
          <w:ilvl w:val="0"/>
          <w:numId w:val="17"/>
        </w:numPr>
        <w:spacing w:after="240" w:line="270" w:lineRule="atLeast"/>
        <w:ind w:left="426" w:hanging="284"/>
        <w:outlineLvl w:val="0"/>
        <w:rPr>
          <w:rFonts w:ascii="Arial" w:hAnsi="Arial" w:cs="Arial"/>
          <w:b/>
          <w:bCs/>
          <w:color w:val="auto"/>
          <w:sz w:val="20"/>
          <w:szCs w:val="20"/>
        </w:rPr>
      </w:pPr>
      <w:r w:rsidRPr="00EA46E7">
        <w:rPr>
          <w:rFonts w:ascii="Arial" w:hAnsi="Arial" w:cs="Arial"/>
          <w:b/>
          <w:bCs/>
          <w:color w:val="auto"/>
          <w:sz w:val="20"/>
          <w:szCs w:val="20"/>
        </w:rPr>
        <w:t>Michelin lanza MEMS (Michelin Earthmover Management System) Evolution3, un sistema evolucionado de captación y transmisión de datos sobre los neumáticos (15 de junio de 2015)</w:t>
      </w:r>
    </w:p>
    <w:p w14:paraId="65E0ADE6" w14:textId="73E0B538" w:rsidR="00CF6FAB" w:rsidRPr="00EA46E7" w:rsidRDefault="00104E81" w:rsidP="00BD06E7">
      <w:pPr>
        <w:pStyle w:val="Cuerpo"/>
        <w:numPr>
          <w:ilvl w:val="0"/>
          <w:numId w:val="17"/>
        </w:numPr>
        <w:spacing w:after="240" w:line="270" w:lineRule="atLeast"/>
        <w:ind w:left="426" w:hanging="284"/>
        <w:outlineLvl w:val="0"/>
        <w:rPr>
          <w:rFonts w:ascii="Arial" w:hAnsi="Arial" w:cs="Arial"/>
          <w:b/>
          <w:bCs/>
          <w:color w:val="auto"/>
          <w:sz w:val="20"/>
          <w:szCs w:val="20"/>
        </w:rPr>
      </w:pPr>
      <w:r w:rsidRPr="00EA46E7">
        <w:rPr>
          <w:rFonts w:ascii="Arial" w:hAnsi="Arial" w:cs="Arial"/>
          <w:b/>
          <w:bCs/>
          <w:color w:val="auto"/>
          <w:sz w:val="20"/>
          <w:szCs w:val="20"/>
        </w:rPr>
        <w:t xml:space="preserve">Michelin </w:t>
      </w:r>
      <w:r w:rsidR="00CF6FAB" w:rsidRPr="00EA46E7">
        <w:rPr>
          <w:rFonts w:ascii="Arial" w:hAnsi="Arial" w:cs="Arial"/>
          <w:b/>
          <w:bCs/>
          <w:sz w:val="20"/>
          <w:szCs w:val="20"/>
          <w:lang w:val="es-ES"/>
        </w:rPr>
        <w:t xml:space="preserve">compra Meyer Lissendorf, especialista en distribución de neumáticos de turismo en Alemania (30 de julio de 2015).  </w:t>
      </w:r>
    </w:p>
    <w:p w14:paraId="14E8D281" w14:textId="5A34CE4D" w:rsidR="00104E81" w:rsidRPr="00EA46E7" w:rsidRDefault="006F356D" w:rsidP="00BD06E7">
      <w:pPr>
        <w:pStyle w:val="Cuerpo"/>
        <w:numPr>
          <w:ilvl w:val="0"/>
          <w:numId w:val="17"/>
        </w:numPr>
        <w:spacing w:after="240" w:line="270" w:lineRule="atLeast"/>
        <w:ind w:left="426" w:hanging="284"/>
        <w:outlineLvl w:val="0"/>
        <w:rPr>
          <w:rFonts w:ascii="Arial" w:hAnsi="Arial" w:cs="Arial"/>
          <w:b/>
          <w:bCs/>
          <w:color w:val="auto"/>
          <w:sz w:val="20"/>
          <w:szCs w:val="20"/>
        </w:rPr>
      </w:pPr>
      <w:r w:rsidRPr="00EA46E7">
        <w:rPr>
          <w:rFonts w:ascii="Arial" w:hAnsi="Arial" w:cs="Arial"/>
          <w:b/>
          <w:bCs/>
          <w:color w:val="auto"/>
          <w:sz w:val="20"/>
          <w:szCs w:val="20"/>
        </w:rPr>
        <w:t>El Grupo</w:t>
      </w:r>
      <w:r w:rsidR="00104E81" w:rsidRPr="00EA46E7">
        <w:rPr>
          <w:rFonts w:ascii="Arial" w:hAnsi="Arial" w:cs="Arial"/>
          <w:b/>
          <w:bCs/>
          <w:color w:val="auto"/>
          <w:sz w:val="20"/>
          <w:szCs w:val="20"/>
        </w:rPr>
        <w:t xml:space="preserve"> </w:t>
      </w:r>
      <w:r w:rsidRPr="00EA46E7">
        <w:rPr>
          <w:rFonts w:ascii="Arial" w:hAnsi="Arial" w:cs="Arial"/>
          <w:b/>
          <w:bCs/>
          <w:color w:val="auto"/>
          <w:sz w:val="20"/>
          <w:szCs w:val="20"/>
          <w:lang w:val="es-ES"/>
        </w:rPr>
        <w:t>Michelin y Fives se asocian para crear FIVES MICHELIN ADDITIVE SOLUTIONS y convertirse en actor principal en impresiones 3D en metal (7 de septiembre de 2015).</w:t>
      </w:r>
    </w:p>
    <w:p w14:paraId="46C88C87" w14:textId="0E952A45" w:rsidR="006F356D" w:rsidRPr="00EA46E7" w:rsidRDefault="006F356D" w:rsidP="00BD06E7">
      <w:pPr>
        <w:pStyle w:val="Cuerpo"/>
        <w:numPr>
          <w:ilvl w:val="0"/>
          <w:numId w:val="17"/>
        </w:numPr>
        <w:spacing w:after="240" w:line="270" w:lineRule="atLeast"/>
        <w:ind w:left="426" w:hanging="284"/>
        <w:outlineLvl w:val="0"/>
        <w:rPr>
          <w:rFonts w:ascii="Arial" w:hAnsi="Arial" w:cs="Arial"/>
          <w:b/>
          <w:bCs/>
          <w:color w:val="auto"/>
          <w:sz w:val="20"/>
          <w:szCs w:val="20"/>
        </w:rPr>
      </w:pPr>
      <w:r w:rsidRPr="00EA46E7">
        <w:rPr>
          <w:rFonts w:ascii="Arial" w:hAnsi="Arial" w:cs="Arial"/>
          <w:b/>
          <w:bCs/>
          <w:sz w:val="20"/>
          <w:szCs w:val="20"/>
          <w:lang w:val="es-ES"/>
        </w:rPr>
        <w:t xml:space="preserve">Michelin, número 1 del sector de equipamiento para automóviles por su política de desarrollo sostenible, según la clasificación DJSI World (22 de septiembre de 2015). </w:t>
      </w:r>
    </w:p>
    <w:p w14:paraId="42E064D9" w14:textId="16C3E845" w:rsidR="00104E81" w:rsidRPr="00EA46E7" w:rsidRDefault="006F356D" w:rsidP="00BD06E7">
      <w:pPr>
        <w:pStyle w:val="Cuerpo"/>
        <w:numPr>
          <w:ilvl w:val="0"/>
          <w:numId w:val="17"/>
        </w:numPr>
        <w:spacing w:after="240" w:line="270" w:lineRule="atLeast"/>
        <w:ind w:left="426" w:hanging="284"/>
        <w:outlineLvl w:val="0"/>
        <w:rPr>
          <w:rFonts w:ascii="Arial" w:hAnsi="Arial" w:cs="Arial"/>
          <w:b/>
          <w:bCs/>
          <w:color w:val="auto"/>
          <w:sz w:val="20"/>
          <w:szCs w:val="20"/>
        </w:rPr>
      </w:pPr>
      <w:r w:rsidRPr="00EA46E7">
        <w:rPr>
          <w:rFonts w:ascii="Arial" w:hAnsi="Arial" w:cs="Arial"/>
          <w:b/>
          <w:bCs/>
          <w:color w:val="auto"/>
          <w:sz w:val="20"/>
          <w:szCs w:val="20"/>
          <w:lang w:val="es-ES"/>
        </w:rPr>
        <w:t>Michelin coloca con éxito un préstamo obligatorio de 209 millones de euros a 30 años (28 de septiembre de 2015).</w:t>
      </w:r>
    </w:p>
    <w:p w14:paraId="7C98992C" w14:textId="79364DEC" w:rsidR="00104E81" w:rsidRPr="00EA46E7" w:rsidRDefault="00104E81" w:rsidP="00BD06E7">
      <w:pPr>
        <w:pStyle w:val="Cuerpo"/>
        <w:numPr>
          <w:ilvl w:val="0"/>
          <w:numId w:val="17"/>
        </w:numPr>
        <w:spacing w:after="240" w:line="270" w:lineRule="atLeast"/>
        <w:ind w:left="426" w:hanging="284"/>
        <w:outlineLvl w:val="0"/>
        <w:rPr>
          <w:rFonts w:ascii="Arial" w:hAnsi="Arial" w:cs="Arial"/>
          <w:b/>
          <w:bCs/>
          <w:color w:val="auto"/>
          <w:sz w:val="20"/>
          <w:szCs w:val="20"/>
        </w:rPr>
      </w:pPr>
      <w:r w:rsidRPr="00EA46E7">
        <w:rPr>
          <w:rFonts w:ascii="Arial" w:hAnsi="Arial" w:cs="Arial"/>
          <w:b/>
          <w:bCs/>
          <w:color w:val="auto"/>
          <w:sz w:val="20"/>
          <w:szCs w:val="20"/>
        </w:rPr>
        <w:t xml:space="preserve">Michelin </w:t>
      </w:r>
      <w:r w:rsidR="000D1B1B" w:rsidRPr="00EA46E7">
        <w:rPr>
          <w:rFonts w:ascii="Arial" w:eastAsia="Arial Unicode MS" w:hAnsi="Arial"/>
          <w:b/>
          <w:sz w:val="20"/>
          <w:szCs w:val="20"/>
        </w:rPr>
        <w:t>Tire Care: lanzamiento mundial del primer conjunto de oferta de servicios digitales y conectados del mercado para los transportistas con vistas a maximizar la disponibilidad del vehículo y el control de los costes (5 de octubre de 2015).</w:t>
      </w:r>
    </w:p>
    <w:p w14:paraId="05393163" w14:textId="61664835" w:rsidR="00104E81" w:rsidRPr="00EA46E7" w:rsidRDefault="00104E81" w:rsidP="00BD06E7">
      <w:pPr>
        <w:pStyle w:val="Cuerpo"/>
        <w:numPr>
          <w:ilvl w:val="0"/>
          <w:numId w:val="17"/>
        </w:numPr>
        <w:spacing w:after="240" w:line="270" w:lineRule="atLeast"/>
        <w:ind w:left="426" w:hanging="284"/>
        <w:outlineLvl w:val="0"/>
        <w:rPr>
          <w:rFonts w:ascii="Arial" w:hAnsi="Arial" w:cs="Arial"/>
          <w:b/>
          <w:bCs/>
          <w:color w:val="auto"/>
          <w:sz w:val="20"/>
          <w:szCs w:val="20"/>
        </w:rPr>
      </w:pPr>
      <w:r w:rsidRPr="00EA46E7">
        <w:rPr>
          <w:rFonts w:ascii="Arial" w:hAnsi="Arial" w:cs="Arial"/>
          <w:b/>
          <w:bCs/>
          <w:color w:val="auto"/>
          <w:sz w:val="20"/>
          <w:szCs w:val="20"/>
        </w:rPr>
        <w:lastRenderedPageBreak/>
        <w:t xml:space="preserve">Michelin </w:t>
      </w:r>
      <w:r w:rsidR="00EF2AFA" w:rsidRPr="00EA46E7">
        <w:rPr>
          <w:rFonts w:ascii="Arial" w:hAnsi="Arial" w:cs="Arial"/>
          <w:b/>
          <w:bCs/>
          <w:color w:val="auto"/>
          <w:sz w:val="20"/>
          <w:szCs w:val="20"/>
        </w:rPr>
        <w:t>reorganiza sus actividades en el Reino Unido, Italia y Alemania</w:t>
      </w:r>
      <w:r w:rsidRPr="00EA46E7">
        <w:rPr>
          <w:rFonts w:ascii="Arial" w:hAnsi="Arial" w:cs="Arial"/>
          <w:b/>
          <w:bCs/>
          <w:color w:val="auto"/>
          <w:sz w:val="20"/>
          <w:szCs w:val="20"/>
        </w:rPr>
        <w:t xml:space="preserve"> (3 </w:t>
      </w:r>
      <w:r w:rsidR="00EF2AFA" w:rsidRPr="00EA46E7">
        <w:rPr>
          <w:rFonts w:ascii="Arial" w:hAnsi="Arial" w:cs="Arial"/>
          <w:b/>
          <w:bCs/>
          <w:color w:val="auto"/>
          <w:sz w:val="20"/>
          <w:szCs w:val="20"/>
        </w:rPr>
        <w:t>de noviembre</w:t>
      </w:r>
      <w:r w:rsidRPr="00EA46E7">
        <w:rPr>
          <w:rFonts w:ascii="Arial" w:hAnsi="Arial" w:cs="Arial"/>
          <w:b/>
          <w:bCs/>
          <w:color w:val="auto"/>
          <w:sz w:val="20"/>
          <w:szCs w:val="20"/>
        </w:rPr>
        <w:t xml:space="preserve"> </w:t>
      </w:r>
      <w:r w:rsidR="00EF2AFA" w:rsidRPr="00EA46E7">
        <w:rPr>
          <w:rFonts w:ascii="Arial" w:hAnsi="Arial" w:cs="Arial"/>
          <w:b/>
          <w:bCs/>
          <w:color w:val="auto"/>
          <w:sz w:val="20"/>
          <w:szCs w:val="20"/>
        </w:rPr>
        <w:t xml:space="preserve">de </w:t>
      </w:r>
      <w:r w:rsidRPr="00EA46E7">
        <w:rPr>
          <w:rFonts w:ascii="Arial" w:hAnsi="Arial" w:cs="Arial"/>
          <w:b/>
          <w:bCs/>
          <w:color w:val="auto"/>
          <w:sz w:val="20"/>
          <w:szCs w:val="20"/>
        </w:rPr>
        <w:t>2015)</w:t>
      </w:r>
      <w:r w:rsidR="00EF2AFA" w:rsidRPr="00EA46E7">
        <w:rPr>
          <w:rFonts w:ascii="Arial" w:hAnsi="Arial" w:cs="Arial"/>
          <w:b/>
          <w:bCs/>
          <w:color w:val="auto"/>
          <w:sz w:val="20"/>
          <w:szCs w:val="20"/>
        </w:rPr>
        <w:t>.</w:t>
      </w:r>
    </w:p>
    <w:p w14:paraId="7E2854F0" w14:textId="249023A2" w:rsidR="00104E81" w:rsidRPr="00EA46E7" w:rsidRDefault="00EF2AFA" w:rsidP="00BD06E7">
      <w:pPr>
        <w:pStyle w:val="Cuerpo"/>
        <w:numPr>
          <w:ilvl w:val="0"/>
          <w:numId w:val="17"/>
        </w:numPr>
        <w:spacing w:after="240" w:line="270" w:lineRule="atLeast"/>
        <w:ind w:left="426" w:hanging="284"/>
        <w:outlineLvl w:val="0"/>
        <w:rPr>
          <w:rFonts w:ascii="Arial" w:hAnsi="Arial" w:cs="Arial"/>
          <w:b/>
          <w:bCs/>
          <w:color w:val="auto"/>
          <w:sz w:val="20"/>
          <w:szCs w:val="20"/>
        </w:rPr>
      </w:pPr>
      <w:r w:rsidRPr="00EA46E7">
        <w:rPr>
          <w:rFonts w:ascii="Arial" w:hAnsi="Arial" w:cs="Arial"/>
          <w:b/>
          <w:bCs/>
          <w:color w:val="auto"/>
          <w:sz w:val="20"/>
          <w:szCs w:val="20"/>
        </w:rPr>
        <w:t>Considerando la evolución de los mercados</w:t>
      </w:r>
      <w:r w:rsidR="00104E81" w:rsidRPr="00EA46E7">
        <w:rPr>
          <w:rFonts w:ascii="Arial" w:hAnsi="Arial" w:cs="Arial"/>
          <w:b/>
          <w:bCs/>
          <w:color w:val="auto"/>
          <w:sz w:val="20"/>
          <w:szCs w:val="20"/>
        </w:rPr>
        <w:t>, Michelin confirm</w:t>
      </w:r>
      <w:r w:rsidRPr="00EA46E7">
        <w:rPr>
          <w:rFonts w:ascii="Arial" w:hAnsi="Arial" w:cs="Arial"/>
          <w:b/>
          <w:bCs/>
          <w:color w:val="auto"/>
          <w:sz w:val="20"/>
          <w:szCs w:val="20"/>
        </w:rPr>
        <w:t xml:space="preserve">a la interrupción de su proyecto de factoría </w:t>
      </w:r>
      <w:r w:rsidR="00EA46E7" w:rsidRPr="00EA46E7">
        <w:rPr>
          <w:rFonts w:ascii="Arial" w:hAnsi="Arial" w:cs="Arial"/>
          <w:b/>
          <w:bCs/>
          <w:color w:val="auto"/>
          <w:sz w:val="20"/>
          <w:szCs w:val="20"/>
        </w:rPr>
        <w:t>para</w:t>
      </w:r>
      <w:r w:rsidRPr="00EA46E7">
        <w:rPr>
          <w:rFonts w:ascii="Arial" w:hAnsi="Arial" w:cs="Arial"/>
          <w:b/>
          <w:bCs/>
          <w:color w:val="auto"/>
          <w:sz w:val="20"/>
          <w:szCs w:val="20"/>
        </w:rPr>
        <w:t xml:space="preserve"> Ingeniería Civil en La India</w:t>
      </w:r>
      <w:r w:rsidR="00104E81" w:rsidRPr="00EA46E7">
        <w:rPr>
          <w:rFonts w:ascii="Arial" w:hAnsi="Arial" w:cs="Arial"/>
          <w:b/>
          <w:bCs/>
          <w:color w:val="auto"/>
          <w:sz w:val="20"/>
          <w:szCs w:val="20"/>
        </w:rPr>
        <w:t xml:space="preserve"> </w:t>
      </w:r>
      <w:r w:rsidRPr="00EA46E7">
        <w:rPr>
          <w:rFonts w:ascii="Arial" w:hAnsi="Arial" w:cs="Arial"/>
          <w:b/>
          <w:bCs/>
          <w:color w:val="auto"/>
          <w:sz w:val="20"/>
          <w:szCs w:val="20"/>
        </w:rPr>
        <w:t>(3 de noviembre de 2015).</w:t>
      </w:r>
    </w:p>
    <w:p w14:paraId="6C4F814F" w14:textId="7B6DABC1" w:rsidR="00104E81" w:rsidRPr="00EA46E7" w:rsidRDefault="00421FE2" w:rsidP="00BD06E7">
      <w:pPr>
        <w:pStyle w:val="Cuerpo"/>
        <w:numPr>
          <w:ilvl w:val="0"/>
          <w:numId w:val="17"/>
        </w:numPr>
        <w:spacing w:after="240" w:line="270" w:lineRule="atLeast"/>
        <w:ind w:left="426" w:hanging="284"/>
        <w:outlineLvl w:val="0"/>
        <w:rPr>
          <w:rFonts w:ascii="Arial" w:hAnsi="Arial" w:cs="Arial"/>
          <w:b/>
          <w:bCs/>
          <w:color w:val="auto"/>
          <w:sz w:val="20"/>
          <w:szCs w:val="20"/>
        </w:rPr>
      </w:pPr>
      <w:r w:rsidRPr="00EA46E7">
        <w:rPr>
          <w:rFonts w:ascii="Arial" w:hAnsi="Arial" w:cs="Arial"/>
          <w:b/>
          <w:bCs/>
          <w:color w:val="auto"/>
          <w:sz w:val="20"/>
          <w:szCs w:val="20"/>
        </w:rPr>
        <w:t>Cancelación</w:t>
      </w:r>
      <w:r w:rsidR="00502249" w:rsidRPr="00EA46E7">
        <w:rPr>
          <w:rFonts w:ascii="Arial" w:hAnsi="Arial" w:cs="Arial"/>
          <w:b/>
          <w:bCs/>
          <w:color w:val="auto"/>
          <w:sz w:val="20"/>
          <w:szCs w:val="20"/>
        </w:rPr>
        <w:t xml:space="preserve"> de</w:t>
      </w:r>
      <w:r w:rsidR="00104E81" w:rsidRPr="00EA46E7">
        <w:rPr>
          <w:rFonts w:ascii="Arial" w:hAnsi="Arial" w:cs="Arial"/>
          <w:b/>
          <w:bCs/>
          <w:color w:val="auto"/>
          <w:sz w:val="20"/>
          <w:szCs w:val="20"/>
        </w:rPr>
        <w:t xml:space="preserve"> 4</w:t>
      </w:r>
      <w:r w:rsidR="00502249" w:rsidRPr="00EA46E7">
        <w:rPr>
          <w:rFonts w:ascii="Arial" w:hAnsi="Arial" w:cs="Arial"/>
          <w:b/>
          <w:bCs/>
          <w:color w:val="auto"/>
          <w:sz w:val="20"/>
          <w:szCs w:val="20"/>
        </w:rPr>
        <w:t>.</w:t>
      </w:r>
      <w:r w:rsidR="00104E81" w:rsidRPr="00EA46E7">
        <w:rPr>
          <w:rFonts w:ascii="Arial" w:hAnsi="Arial" w:cs="Arial"/>
          <w:b/>
          <w:bCs/>
          <w:color w:val="auto"/>
          <w:sz w:val="20"/>
          <w:szCs w:val="20"/>
        </w:rPr>
        <w:t>961</w:t>
      </w:r>
      <w:r w:rsidR="00502249" w:rsidRPr="00EA46E7">
        <w:rPr>
          <w:rFonts w:ascii="Arial" w:hAnsi="Arial" w:cs="Arial"/>
          <w:b/>
          <w:bCs/>
          <w:color w:val="auto"/>
          <w:sz w:val="20"/>
          <w:szCs w:val="20"/>
        </w:rPr>
        <w:t>.</w:t>
      </w:r>
      <w:r w:rsidR="00104E81" w:rsidRPr="00EA46E7">
        <w:rPr>
          <w:rFonts w:ascii="Arial" w:hAnsi="Arial" w:cs="Arial"/>
          <w:b/>
          <w:bCs/>
          <w:color w:val="auto"/>
          <w:sz w:val="20"/>
          <w:szCs w:val="20"/>
        </w:rPr>
        <w:t xml:space="preserve">534 </w:t>
      </w:r>
      <w:r w:rsidR="00502249" w:rsidRPr="00EA46E7">
        <w:rPr>
          <w:rFonts w:ascii="Arial" w:hAnsi="Arial" w:cs="Arial"/>
          <w:b/>
          <w:bCs/>
          <w:color w:val="auto"/>
          <w:sz w:val="20"/>
          <w:szCs w:val="20"/>
        </w:rPr>
        <w:t xml:space="preserve">acciones </w:t>
      </w:r>
      <w:r w:rsidRPr="00EA46E7">
        <w:rPr>
          <w:rFonts w:ascii="Arial" w:hAnsi="Arial" w:cs="Arial"/>
          <w:b/>
          <w:bCs/>
          <w:color w:val="auto"/>
          <w:sz w:val="20"/>
          <w:szCs w:val="20"/>
        </w:rPr>
        <w:t>propias</w:t>
      </w:r>
      <w:r w:rsidR="00502249" w:rsidRPr="00EA46E7">
        <w:rPr>
          <w:rFonts w:ascii="Arial" w:hAnsi="Arial" w:cs="Arial"/>
          <w:b/>
          <w:bCs/>
          <w:color w:val="auto"/>
          <w:sz w:val="20"/>
          <w:szCs w:val="20"/>
        </w:rPr>
        <w:t xml:space="preserve"> recompradas en </w:t>
      </w:r>
      <w:r w:rsidR="00104E81" w:rsidRPr="00EA46E7">
        <w:rPr>
          <w:rFonts w:ascii="Arial" w:hAnsi="Arial" w:cs="Arial"/>
          <w:b/>
          <w:bCs/>
          <w:color w:val="auto"/>
          <w:sz w:val="20"/>
          <w:szCs w:val="20"/>
        </w:rPr>
        <w:t xml:space="preserve">2015, </w:t>
      </w:r>
      <w:r w:rsidR="00502249" w:rsidRPr="00EA46E7">
        <w:rPr>
          <w:rFonts w:ascii="Arial" w:hAnsi="Arial" w:cs="Arial"/>
          <w:b/>
          <w:bCs/>
          <w:color w:val="auto"/>
          <w:sz w:val="20"/>
          <w:szCs w:val="20"/>
        </w:rPr>
        <w:t>es decir</w:t>
      </w:r>
      <w:r w:rsidRPr="00EA46E7">
        <w:rPr>
          <w:rFonts w:ascii="Arial" w:hAnsi="Arial" w:cs="Arial"/>
          <w:b/>
          <w:bCs/>
          <w:color w:val="auto"/>
          <w:sz w:val="20"/>
          <w:szCs w:val="20"/>
        </w:rPr>
        <w:t xml:space="preserve"> el</w:t>
      </w:r>
      <w:r w:rsidR="00104E81" w:rsidRPr="00EA46E7">
        <w:rPr>
          <w:rFonts w:ascii="Arial" w:hAnsi="Arial" w:cs="Arial"/>
          <w:b/>
          <w:bCs/>
          <w:color w:val="auto"/>
          <w:sz w:val="20"/>
          <w:szCs w:val="20"/>
        </w:rPr>
        <w:t xml:space="preserve"> 2,66 % d</w:t>
      </w:r>
      <w:r w:rsidRPr="00EA46E7">
        <w:rPr>
          <w:rFonts w:ascii="Arial" w:hAnsi="Arial" w:cs="Arial"/>
          <w:b/>
          <w:bCs/>
          <w:color w:val="auto"/>
          <w:sz w:val="20"/>
          <w:szCs w:val="20"/>
        </w:rPr>
        <w:t>el</w:t>
      </w:r>
      <w:r w:rsidR="00104E81" w:rsidRPr="00EA46E7">
        <w:rPr>
          <w:rFonts w:ascii="Arial" w:hAnsi="Arial" w:cs="Arial"/>
          <w:b/>
          <w:bCs/>
          <w:color w:val="auto"/>
          <w:sz w:val="20"/>
          <w:szCs w:val="20"/>
        </w:rPr>
        <w:t xml:space="preserve"> capital (</w:t>
      </w:r>
      <w:r w:rsidRPr="00EA46E7">
        <w:rPr>
          <w:rFonts w:ascii="Arial" w:hAnsi="Arial" w:cs="Arial"/>
          <w:b/>
          <w:bCs/>
          <w:color w:val="auto"/>
          <w:sz w:val="20"/>
          <w:szCs w:val="20"/>
        </w:rPr>
        <w:t>diciembre de</w:t>
      </w:r>
      <w:r w:rsidR="00104E81" w:rsidRPr="00EA46E7">
        <w:rPr>
          <w:rFonts w:ascii="Arial" w:hAnsi="Arial" w:cs="Arial"/>
          <w:b/>
          <w:bCs/>
          <w:color w:val="auto"/>
          <w:sz w:val="20"/>
          <w:szCs w:val="20"/>
        </w:rPr>
        <w:t xml:space="preserve"> 2015)</w:t>
      </w:r>
      <w:r w:rsidRPr="00EA46E7">
        <w:rPr>
          <w:rFonts w:ascii="Arial" w:hAnsi="Arial" w:cs="Arial"/>
          <w:b/>
          <w:bCs/>
          <w:color w:val="auto"/>
          <w:sz w:val="20"/>
          <w:szCs w:val="20"/>
        </w:rPr>
        <w:t>.</w:t>
      </w:r>
    </w:p>
    <w:p w14:paraId="412092EF" w14:textId="4B110703" w:rsidR="00104E81" w:rsidRPr="00EA46E7" w:rsidRDefault="00104E81" w:rsidP="00BD06E7">
      <w:pPr>
        <w:pStyle w:val="Cuerpo"/>
        <w:numPr>
          <w:ilvl w:val="0"/>
          <w:numId w:val="17"/>
        </w:numPr>
        <w:spacing w:after="240" w:line="270" w:lineRule="atLeast"/>
        <w:ind w:left="426" w:hanging="284"/>
        <w:outlineLvl w:val="0"/>
        <w:rPr>
          <w:rFonts w:ascii="Arial" w:hAnsi="Arial" w:cs="Arial"/>
          <w:b/>
          <w:bCs/>
          <w:color w:val="auto"/>
          <w:sz w:val="20"/>
          <w:szCs w:val="20"/>
        </w:rPr>
      </w:pPr>
      <w:r w:rsidRPr="00EA46E7">
        <w:rPr>
          <w:rFonts w:ascii="Arial" w:hAnsi="Arial" w:cs="Arial"/>
          <w:b/>
          <w:bCs/>
          <w:color w:val="auto"/>
          <w:sz w:val="20"/>
          <w:szCs w:val="20"/>
        </w:rPr>
        <w:t>Michelin lan</w:t>
      </w:r>
      <w:r w:rsidR="00421FE2" w:rsidRPr="00EA46E7">
        <w:rPr>
          <w:rFonts w:ascii="Arial" w:hAnsi="Arial" w:cs="Arial"/>
          <w:b/>
          <w:bCs/>
          <w:color w:val="auto"/>
          <w:sz w:val="20"/>
          <w:szCs w:val="20"/>
        </w:rPr>
        <w:t xml:space="preserve">za una nueva fase de su programa de recompra de acciones </w:t>
      </w:r>
      <w:r w:rsidRPr="00EA46E7">
        <w:rPr>
          <w:rFonts w:ascii="Arial" w:hAnsi="Arial" w:cs="Arial"/>
          <w:b/>
          <w:bCs/>
          <w:color w:val="auto"/>
          <w:sz w:val="20"/>
          <w:szCs w:val="20"/>
        </w:rPr>
        <w:t xml:space="preserve">(8 </w:t>
      </w:r>
      <w:r w:rsidR="00CA075F" w:rsidRPr="00EA46E7">
        <w:rPr>
          <w:rFonts w:ascii="Arial" w:hAnsi="Arial" w:cs="Arial"/>
          <w:b/>
          <w:bCs/>
          <w:color w:val="auto"/>
          <w:sz w:val="20"/>
          <w:szCs w:val="20"/>
        </w:rPr>
        <w:t>de enero de</w:t>
      </w:r>
      <w:r w:rsidRPr="00EA46E7">
        <w:rPr>
          <w:rFonts w:ascii="Arial" w:hAnsi="Arial" w:cs="Arial"/>
          <w:b/>
          <w:bCs/>
          <w:color w:val="auto"/>
          <w:sz w:val="20"/>
          <w:szCs w:val="20"/>
        </w:rPr>
        <w:t xml:space="preserve"> 2016)</w:t>
      </w:r>
      <w:r w:rsidR="00CA075F" w:rsidRPr="00EA46E7">
        <w:rPr>
          <w:rFonts w:ascii="Arial" w:hAnsi="Arial" w:cs="Arial"/>
          <w:b/>
          <w:bCs/>
          <w:color w:val="auto"/>
          <w:sz w:val="20"/>
          <w:szCs w:val="20"/>
        </w:rPr>
        <w:t>.</w:t>
      </w:r>
    </w:p>
    <w:p w14:paraId="4B84D1EB" w14:textId="77777777" w:rsidR="00CA075F" w:rsidRPr="00EA46E7" w:rsidRDefault="00CA075F" w:rsidP="00BD06E7">
      <w:pPr>
        <w:pStyle w:val="Cuerpo"/>
        <w:numPr>
          <w:ilvl w:val="0"/>
          <w:numId w:val="17"/>
        </w:numPr>
        <w:spacing w:after="240" w:line="270" w:lineRule="atLeast"/>
        <w:ind w:left="426" w:hanging="284"/>
        <w:outlineLvl w:val="0"/>
        <w:rPr>
          <w:rFonts w:ascii="Arial" w:hAnsi="Arial" w:cs="Arial"/>
          <w:b/>
          <w:bCs/>
          <w:color w:val="auto"/>
          <w:sz w:val="20"/>
          <w:szCs w:val="20"/>
        </w:rPr>
      </w:pPr>
      <w:r w:rsidRPr="00EA46E7">
        <w:rPr>
          <w:rFonts w:ascii="Arial" w:hAnsi="Arial" w:cs="Arial"/>
          <w:b/>
          <w:bCs/>
          <w:color w:val="auto"/>
          <w:sz w:val="20"/>
          <w:szCs w:val="20"/>
        </w:rPr>
        <w:t xml:space="preserve">Con la adquisición </w:t>
      </w:r>
      <w:r w:rsidR="00104E81" w:rsidRPr="00EA46E7">
        <w:rPr>
          <w:rFonts w:ascii="Arial" w:hAnsi="Arial" w:cs="Arial"/>
          <w:b/>
          <w:bCs/>
          <w:color w:val="auto"/>
          <w:sz w:val="20"/>
          <w:szCs w:val="20"/>
        </w:rPr>
        <w:t xml:space="preserve">de BookaTable, Michelin </w:t>
      </w:r>
      <w:r w:rsidRPr="00EA46E7">
        <w:rPr>
          <w:rFonts w:ascii="Arial" w:hAnsi="Arial" w:cs="Arial"/>
          <w:b/>
          <w:bCs/>
          <w:color w:val="auto"/>
          <w:sz w:val="20"/>
          <w:szCs w:val="20"/>
        </w:rPr>
        <w:t xml:space="preserve">se convierte en el líder europeo de reservas on line de restaurantes </w:t>
      </w:r>
      <w:r w:rsidR="00104E81" w:rsidRPr="00EA46E7">
        <w:rPr>
          <w:rFonts w:ascii="Arial" w:hAnsi="Arial" w:cs="Arial"/>
          <w:b/>
          <w:bCs/>
          <w:color w:val="auto"/>
          <w:sz w:val="20"/>
          <w:szCs w:val="20"/>
        </w:rPr>
        <w:t xml:space="preserve">(11 </w:t>
      </w:r>
      <w:r w:rsidRPr="00EA46E7">
        <w:rPr>
          <w:rFonts w:ascii="Arial" w:hAnsi="Arial" w:cs="Arial"/>
          <w:b/>
          <w:bCs/>
          <w:color w:val="auto"/>
          <w:sz w:val="20"/>
          <w:szCs w:val="20"/>
        </w:rPr>
        <w:t>de enero de 2016).</w:t>
      </w:r>
    </w:p>
    <w:p w14:paraId="1F63CAFE" w14:textId="77777777" w:rsidR="00700DFB" w:rsidRPr="0033327A" w:rsidRDefault="00700DFB">
      <w:pPr>
        <w:pStyle w:val="Cuerpo"/>
        <w:keepNext/>
        <w:tabs>
          <w:tab w:val="left" w:pos="284"/>
        </w:tabs>
        <w:jc w:val="both"/>
        <w:rPr>
          <w:rFonts w:ascii="Verdana" w:eastAsia="Verdana" w:hAnsi="Verdana" w:cs="Verdana"/>
        </w:rPr>
      </w:pPr>
    </w:p>
    <w:p w14:paraId="526F3509" w14:textId="4CA22626" w:rsidR="00700DFB" w:rsidRPr="00C54C87" w:rsidRDefault="009F7ED2">
      <w:pPr>
        <w:pStyle w:val="Cuerpo"/>
        <w:keepNext/>
        <w:pBdr>
          <w:top w:val="single" w:sz="4" w:space="0" w:color="000000"/>
          <w:left w:val="single" w:sz="4" w:space="0" w:color="000000"/>
          <w:bottom w:val="single" w:sz="4" w:space="0" w:color="000000"/>
          <w:right w:val="single" w:sz="4" w:space="0" w:color="000000"/>
        </w:pBdr>
        <w:jc w:val="center"/>
        <w:rPr>
          <w:rFonts w:ascii="Arial" w:eastAsia="Arial" w:hAnsi="Arial" w:cs="Arial"/>
          <w:sz w:val="20"/>
          <w:szCs w:val="20"/>
          <w:u w:val="single"/>
        </w:rPr>
      </w:pPr>
      <w:r w:rsidRPr="00C54C87">
        <w:rPr>
          <w:rFonts w:ascii="Arial"/>
          <w:sz w:val="20"/>
          <w:szCs w:val="20"/>
        </w:rPr>
        <w:t xml:space="preserve">La lista completa de los hechos destacados de </w:t>
      </w:r>
      <w:r w:rsidR="00D46DF5" w:rsidRPr="00C54C87">
        <w:rPr>
          <w:rFonts w:ascii="Arial"/>
          <w:sz w:val="20"/>
          <w:szCs w:val="20"/>
        </w:rPr>
        <w:t>2015</w:t>
      </w:r>
      <w:r w:rsidRPr="00C54C87">
        <w:rPr>
          <w:rFonts w:ascii="Arial"/>
          <w:sz w:val="20"/>
          <w:szCs w:val="20"/>
        </w:rPr>
        <w:t xml:space="preserve"> est</w:t>
      </w:r>
      <w:r w:rsidRPr="00C54C87">
        <w:rPr>
          <w:rFonts w:hAnsi="Arial Unicode MS"/>
          <w:sz w:val="20"/>
          <w:szCs w:val="20"/>
        </w:rPr>
        <w:t>á</w:t>
      </w:r>
      <w:r w:rsidRPr="00C54C87">
        <w:rPr>
          <w:rFonts w:hAnsi="Arial Unicode MS"/>
          <w:sz w:val="20"/>
          <w:szCs w:val="20"/>
        </w:rPr>
        <w:t xml:space="preserve"> </w:t>
      </w:r>
      <w:r w:rsidRPr="00C54C87">
        <w:rPr>
          <w:rFonts w:ascii="Arial"/>
          <w:sz w:val="20"/>
          <w:szCs w:val="20"/>
        </w:rPr>
        <w:t xml:space="preserve">disponible en la web del Grupo: </w:t>
      </w:r>
      <w:hyperlink r:id="rId9" w:history="1">
        <w:r w:rsidRPr="00C54C87">
          <w:rPr>
            <w:rStyle w:val="Hyperlink0"/>
            <w:sz w:val="20"/>
            <w:szCs w:val="20"/>
          </w:rPr>
          <w:t>http://www.michelin.com/corporate/finance</w:t>
        </w:r>
      </w:hyperlink>
    </w:p>
    <w:p w14:paraId="68545251" w14:textId="77777777" w:rsidR="00700DFB" w:rsidRPr="0033327A" w:rsidRDefault="00700DFB">
      <w:pPr>
        <w:pStyle w:val="Cuerpo"/>
        <w:tabs>
          <w:tab w:val="left" w:pos="360"/>
        </w:tabs>
        <w:jc w:val="both"/>
        <w:rPr>
          <w:rFonts w:ascii="Arial" w:eastAsia="Arial" w:hAnsi="Arial" w:cs="Arial"/>
          <w:b/>
          <w:bCs/>
          <w:smallCaps/>
        </w:rPr>
      </w:pPr>
    </w:p>
    <w:p w14:paraId="726AA2F9" w14:textId="77777777" w:rsidR="00C54C87" w:rsidRPr="0090138D" w:rsidRDefault="00C54C87" w:rsidP="00C54C87">
      <w:pPr>
        <w:pStyle w:val="Cuerpo"/>
        <w:keepNext/>
        <w:rPr>
          <w:rFonts w:ascii="Arial" w:eastAsia="Verdana" w:hAnsi="Arial" w:cs="Arial"/>
          <w:b/>
          <w:bCs/>
          <w:sz w:val="21"/>
          <w:szCs w:val="21"/>
        </w:rPr>
      </w:pPr>
      <w:r w:rsidRPr="0090138D">
        <w:rPr>
          <w:rFonts w:ascii="Arial" w:eastAsia="Verdana" w:hAnsi="Arial" w:cs="Arial"/>
          <w:b/>
          <w:bCs/>
          <w:sz w:val="21"/>
          <w:szCs w:val="21"/>
        </w:rPr>
        <w:t>Calend</w:t>
      </w:r>
      <w:r>
        <w:rPr>
          <w:rFonts w:ascii="Arial" w:eastAsia="Verdana" w:hAnsi="Arial" w:cs="Arial"/>
          <w:b/>
          <w:bCs/>
          <w:sz w:val="21"/>
          <w:szCs w:val="21"/>
        </w:rPr>
        <w:t>ario</w:t>
      </w:r>
    </w:p>
    <w:p w14:paraId="7FFB2483" w14:textId="77777777" w:rsidR="00C54C87" w:rsidRPr="0090138D" w:rsidRDefault="00C54C87" w:rsidP="00BD06E7">
      <w:pPr>
        <w:pStyle w:val="Cuerpo"/>
        <w:keepNext/>
        <w:numPr>
          <w:ilvl w:val="0"/>
          <w:numId w:val="19"/>
        </w:numPr>
        <w:rPr>
          <w:rFonts w:ascii="Arial" w:eastAsia="Verdana" w:hAnsi="Arial" w:cs="Arial"/>
          <w:b/>
          <w:sz w:val="21"/>
          <w:szCs w:val="21"/>
        </w:rPr>
      </w:pPr>
      <w:r w:rsidRPr="0090138D">
        <w:rPr>
          <w:rFonts w:ascii="Arial" w:eastAsia="Verdana" w:hAnsi="Arial" w:cs="Arial"/>
          <w:b/>
          <w:sz w:val="21"/>
          <w:szCs w:val="21"/>
        </w:rPr>
        <w:t>Información trimestr</w:t>
      </w:r>
      <w:r>
        <w:rPr>
          <w:rFonts w:ascii="Arial" w:eastAsia="Verdana" w:hAnsi="Arial" w:cs="Arial"/>
          <w:b/>
          <w:sz w:val="21"/>
          <w:szCs w:val="21"/>
        </w:rPr>
        <w:t>al</w:t>
      </w:r>
      <w:r w:rsidRPr="0090138D">
        <w:rPr>
          <w:rFonts w:ascii="Arial" w:eastAsia="Verdana" w:hAnsi="Arial" w:cs="Arial"/>
          <w:b/>
          <w:sz w:val="21"/>
          <w:szCs w:val="21"/>
        </w:rPr>
        <w:t xml:space="preserve"> </w:t>
      </w:r>
      <w:r>
        <w:rPr>
          <w:rFonts w:ascii="Arial" w:eastAsia="Verdana" w:hAnsi="Arial" w:cs="Arial"/>
          <w:b/>
          <w:sz w:val="21"/>
          <w:szCs w:val="21"/>
        </w:rPr>
        <w:t>a</w:t>
      </w:r>
      <w:r w:rsidRPr="0090138D">
        <w:rPr>
          <w:rFonts w:ascii="Arial" w:eastAsia="Verdana" w:hAnsi="Arial" w:cs="Arial"/>
          <w:b/>
          <w:sz w:val="21"/>
          <w:szCs w:val="21"/>
        </w:rPr>
        <w:t xml:space="preserve"> 31 </w:t>
      </w:r>
      <w:r>
        <w:rPr>
          <w:rFonts w:ascii="Arial" w:eastAsia="Verdana" w:hAnsi="Arial" w:cs="Arial"/>
          <w:b/>
          <w:sz w:val="21"/>
          <w:szCs w:val="21"/>
        </w:rPr>
        <w:t xml:space="preserve">de </w:t>
      </w:r>
      <w:r w:rsidRPr="0090138D">
        <w:rPr>
          <w:rFonts w:ascii="Arial" w:eastAsia="Verdana" w:hAnsi="Arial" w:cs="Arial"/>
          <w:b/>
          <w:sz w:val="21"/>
          <w:szCs w:val="21"/>
        </w:rPr>
        <w:t>mar</w:t>
      </w:r>
      <w:r>
        <w:rPr>
          <w:rFonts w:ascii="Arial" w:eastAsia="Verdana" w:hAnsi="Arial" w:cs="Arial"/>
          <w:b/>
          <w:sz w:val="21"/>
          <w:szCs w:val="21"/>
        </w:rPr>
        <w:t>zo de</w:t>
      </w:r>
      <w:r w:rsidRPr="0090138D">
        <w:rPr>
          <w:rFonts w:ascii="Arial" w:eastAsia="Verdana" w:hAnsi="Arial" w:cs="Arial"/>
          <w:b/>
          <w:sz w:val="21"/>
          <w:szCs w:val="21"/>
        </w:rPr>
        <w:t xml:space="preserve"> 2016:</w:t>
      </w:r>
    </w:p>
    <w:p w14:paraId="60B4B1BF" w14:textId="77777777" w:rsidR="00C54C87" w:rsidRPr="0090138D" w:rsidRDefault="00C54C87" w:rsidP="00C54C87">
      <w:pPr>
        <w:pStyle w:val="Cuerpo"/>
        <w:keepNext/>
        <w:jc w:val="both"/>
        <w:rPr>
          <w:rFonts w:ascii="Arial" w:eastAsia="Verdana" w:hAnsi="Arial" w:cs="Arial"/>
          <w:sz w:val="21"/>
          <w:szCs w:val="21"/>
        </w:rPr>
      </w:pPr>
      <w:r>
        <w:rPr>
          <w:rFonts w:ascii="Arial" w:eastAsia="Verdana" w:hAnsi="Arial" w:cs="Arial"/>
          <w:sz w:val="21"/>
          <w:szCs w:val="21"/>
        </w:rPr>
        <w:t>Miércoles,</w:t>
      </w:r>
      <w:r w:rsidRPr="0090138D">
        <w:rPr>
          <w:rFonts w:ascii="Arial" w:eastAsia="Verdana" w:hAnsi="Arial" w:cs="Arial"/>
          <w:sz w:val="21"/>
          <w:szCs w:val="21"/>
        </w:rPr>
        <w:t xml:space="preserve"> 20 </w:t>
      </w:r>
      <w:r>
        <w:rPr>
          <w:rFonts w:ascii="Arial" w:eastAsia="Verdana" w:hAnsi="Arial" w:cs="Arial"/>
          <w:sz w:val="21"/>
          <w:szCs w:val="21"/>
        </w:rPr>
        <w:t>de abril de</w:t>
      </w:r>
      <w:r w:rsidRPr="0090138D">
        <w:rPr>
          <w:rFonts w:ascii="Arial" w:eastAsia="Verdana" w:hAnsi="Arial" w:cs="Arial"/>
          <w:sz w:val="21"/>
          <w:szCs w:val="21"/>
        </w:rPr>
        <w:t xml:space="preserve"> 2016 </w:t>
      </w:r>
      <w:r>
        <w:rPr>
          <w:rFonts w:ascii="Arial" w:eastAsia="Verdana" w:hAnsi="Arial" w:cs="Arial"/>
          <w:sz w:val="21"/>
          <w:szCs w:val="21"/>
        </w:rPr>
        <w:t>tras el cierre de la Bolsa.</w:t>
      </w:r>
    </w:p>
    <w:p w14:paraId="0F13C57B" w14:textId="77777777" w:rsidR="00C54C87" w:rsidRPr="0090138D" w:rsidRDefault="00C54C87" w:rsidP="00BD06E7">
      <w:pPr>
        <w:pStyle w:val="Cuerpo"/>
        <w:keepNext/>
        <w:numPr>
          <w:ilvl w:val="0"/>
          <w:numId w:val="19"/>
        </w:numPr>
        <w:rPr>
          <w:rFonts w:ascii="Arial" w:eastAsia="Verdana" w:hAnsi="Arial" w:cs="Arial"/>
          <w:b/>
          <w:sz w:val="21"/>
          <w:szCs w:val="21"/>
        </w:rPr>
      </w:pPr>
      <w:r>
        <w:rPr>
          <w:rFonts w:ascii="Arial" w:eastAsia="Verdana" w:hAnsi="Arial" w:cs="Arial"/>
          <w:b/>
          <w:sz w:val="21"/>
          <w:szCs w:val="21"/>
        </w:rPr>
        <w:t>Ventas netas y resultado a</w:t>
      </w:r>
      <w:r w:rsidRPr="0090138D">
        <w:rPr>
          <w:rFonts w:ascii="Arial" w:eastAsia="Verdana" w:hAnsi="Arial" w:cs="Arial"/>
          <w:b/>
          <w:sz w:val="21"/>
          <w:szCs w:val="21"/>
        </w:rPr>
        <w:t xml:space="preserve"> 30 </w:t>
      </w:r>
      <w:r>
        <w:rPr>
          <w:rFonts w:ascii="Arial" w:eastAsia="Verdana" w:hAnsi="Arial" w:cs="Arial"/>
          <w:b/>
          <w:sz w:val="21"/>
          <w:szCs w:val="21"/>
        </w:rPr>
        <w:t>junio de</w:t>
      </w:r>
      <w:r w:rsidRPr="0090138D">
        <w:rPr>
          <w:rFonts w:ascii="Arial" w:eastAsia="Verdana" w:hAnsi="Arial" w:cs="Arial"/>
          <w:b/>
          <w:sz w:val="21"/>
          <w:szCs w:val="21"/>
        </w:rPr>
        <w:t xml:space="preserve"> 2016:</w:t>
      </w:r>
    </w:p>
    <w:p w14:paraId="048BB20A" w14:textId="77777777" w:rsidR="00C54C87" w:rsidRPr="0090138D" w:rsidRDefault="00C54C87" w:rsidP="00C54C87">
      <w:pPr>
        <w:pStyle w:val="Cuerpo"/>
        <w:keepNext/>
        <w:jc w:val="both"/>
        <w:rPr>
          <w:rFonts w:ascii="Arial" w:eastAsia="Verdana" w:hAnsi="Arial" w:cs="Arial"/>
          <w:sz w:val="21"/>
          <w:szCs w:val="21"/>
        </w:rPr>
      </w:pPr>
      <w:r>
        <w:rPr>
          <w:rFonts w:ascii="Arial" w:eastAsia="Verdana" w:hAnsi="Arial" w:cs="Arial"/>
          <w:sz w:val="21"/>
          <w:szCs w:val="21"/>
        </w:rPr>
        <w:t>Martes,</w:t>
      </w:r>
      <w:r w:rsidRPr="0090138D">
        <w:rPr>
          <w:rFonts w:ascii="Arial" w:eastAsia="Verdana" w:hAnsi="Arial" w:cs="Arial"/>
          <w:sz w:val="21"/>
          <w:szCs w:val="21"/>
        </w:rPr>
        <w:t xml:space="preserve"> 26 </w:t>
      </w:r>
      <w:r>
        <w:rPr>
          <w:rFonts w:ascii="Arial" w:eastAsia="Verdana" w:hAnsi="Arial" w:cs="Arial"/>
          <w:sz w:val="21"/>
          <w:szCs w:val="21"/>
        </w:rPr>
        <w:t>de julio de</w:t>
      </w:r>
      <w:r w:rsidRPr="0090138D">
        <w:rPr>
          <w:rFonts w:ascii="Arial" w:eastAsia="Verdana" w:hAnsi="Arial" w:cs="Arial"/>
          <w:sz w:val="21"/>
          <w:szCs w:val="21"/>
        </w:rPr>
        <w:t xml:space="preserve"> 2016 </w:t>
      </w:r>
      <w:r>
        <w:rPr>
          <w:rFonts w:ascii="Arial" w:eastAsia="Verdana" w:hAnsi="Arial" w:cs="Arial"/>
          <w:sz w:val="21"/>
          <w:szCs w:val="21"/>
        </w:rPr>
        <w:t>antes de la apertura de la</w:t>
      </w:r>
      <w:r w:rsidRPr="0090138D">
        <w:rPr>
          <w:rFonts w:ascii="Arial" w:eastAsia="Verdana" w:hAnsi="Arial" w:cs="Arial"/>
          <w:sz w:val="21"/>
          <w:szCs w:val="21"/>
        </w:rPr>
        <w:t xml:space="preserve"> </w:t>
      </w:r>
      <w:r>
        <w:rPr>
          <w:rFonts w:ascii="Arial" w:eastAsia="Verdana" w:hAnsi="Arial" w:cs="Arial"/>
          <w:sz w:val="21"/>
          <w:szCs w:val="21"/>
        </w:rPr>
        <w:t>Bolsa.</w:t>
      </w:r>
    </w:p>
    <w:p w14:paraId="05E6E1B8" w14:textId="77777777" w:rsidR="00700DFB" w:rsidRPr="0033327A" w:rsidRDefault="00700DFB">
      <w:pPr>
        <w:pStyle w:val="Cuerpo"/>
        <w:tabs>
          <w:tab w:val="left" w:pos="360"/>
        </w:tabs>
        <w:jc w:val="both"/>
        <w:rPr>
          <w:rFonts w:ascii="Arial" w:eastAsia="Arial" w:hAnsi="Arial" w:cs="Arial"/>
          <w:sz w:val="21"/>
          <w:szCs w:val="21"/>
        </w:rPr>
      </w:pPr>
    </w:p>
    <w:p w14:paraId="69941EB3" w14:textId="77777777" w:rsidR="00C54C87" w:rsidRDefault="00C54C87">
      <w:pPr>
        <w:pStyle w:val="Cuerpo"/>
        <w:keepNext/>
        <w:tabs>
          <w:tab w:val="left" w:pos="360"/>
        </w:tabs>
        <w:jc w:val="center"/>
        <w:rPr>
          <w:rFonts w:ascii="Arial"/>
          <w:b/>
          <w:bCs/>
          <w:sz w:val="21"/>
          <w:szCs w:val="21"/>
        </w:rPr>
      </w:pPr>
    </w:p>
    <w:p w14:paraId="67F838AB" w14:textId="77777777" w:rsidR="00700DFB" w:rsidRPr="00C54C87" w:rsidRDefault="009F7ED2">
      <w:pPr>
        <w:pStyle w:val="Cuerpo"/>
        <w:keepNext/>
        <w:tabs>
          <w:tab w:val="left" w:pos="360"/>
        </w:tabs>
        <w:jc w:val="center"/>
        <w:rPr>
          <w:rFonts w:ascii="Arial" w:eastAsia="Arial" w:hAnsi="Arial" w:cs="Arial"/>
          <w:b/>
          <w:bCs/>
          <w:sz w:val="20"/>
          <w:szCs w:val="20"/>
        </w:rPr>
      </w:pPr>
      <w:r w:rsidRPr="00C54C87">
        <w:rPr>
          <w:rFonts w:ascii="Arial"/>
          <w:b/>
          <w:bCs/>
          <w:sz w:val="20"/>
          <w:szCs w:val="20"/>
        </w:rPr>
        <w:t>ADVERTENCIA</w:t>
      </w:r>
    </w:p>
    <w:p w14:paraId="2F34B469" w14:textId="1DAA004B" w:rsidR="00700DFB" w:rsidRPr="00C54C87" w:rsidRDefault="009F7ED2" w:rsidP="00584789">
      <w:pPr>
        <w:pStyle w:val="Cuerpo"/>
        <w:keepNext/>
        <w:tabs>
          <w:tab w:val="left" w:pos="360"/>
        </w:tabs>
        <w:jc w:val="both"/>
        <w:rPr>
          <w:rFonts w:ascii="Arial" w:hAnsi="Arial" w:cs="Arial"/>
          <w:b/>
          <w:bCs/>
          <w:i/>
          <w:iCs/>
          <w:sz w:val="20"/>
          <w:szCs w:val="20"/>
        </w:rPr>
      </w:pPr>
      <w:r w:rsidRPr="00C54C87">
        <w:rPr>
          <w:rFonts w:ascii="Arial" w:hAnsi="Arial" w:cs="Arial"/>
          <w:b/>
          <w:bCs/>
          <w:i/>
          <w:iCs/>
          <w:sz w:val="20"/>
          <w:szCs w:val="20"/>
        </w:rPr>
        <w:t xml:space="preserve">Este comunicado de prensa no constituye una oferta de venta o la solicitud de oferta de compra de acciones Michelin. Si desea obtener información más detallada acerca de Michelin, por favor consulte los documentos públicos depositados en l’Autorité des marchés financiers, en Francia. Igualmente puede consultarlos en nuestra página web: </w:t>
      </w:r>
      <w:hyperlink r:id="rId10" w:history="1">
        <w:r w:rsidRPr="00C54C87">
          <w:rPr>
            <w:rStyle w:val="Hyperlink1"/>
            <w:sz w:val="20"/>
            <w:szCs w:val="20"/>
          </w:rPr>
          <w:t>www.michelin.com</w:t>
        </w:r>
      </w:hyperlink>
      <w:r w:rsidRPr="00C54C87">
        <w:rPr>
          <w:rFonts w:ascii="Arial" w:hAnsi="Arial" w:cs="Arial"/>
          <w:b/>
          <w:bCs/>
          <w:i/>
          <w:iCs/>
          <w:sz w:val="20"/>
          <w:szCs w:val="20"/>
        </w:rPr>
        <w:t xml:space="preserve">. Este comunicado puede contener algunas declaraciones de carácter previsional. Si bien la compañía estima que sus declaraciones están basadas en hipótesis razonables a fecha de publicación del documento, </w:t>
      </w:r>
      <w:r w:rsidR="00E610BD" w:rsidRPr="00C54C87">
        <w:rPr>
          <w:rFonts w:ascii="Arial" w:hAnsi="Arial" w:cs="Arial"/>
          <w:b/>
          <w:bCs/>
          <w:i/>
          <w:iCs/>
          <w:sz w:val="20"/>
          <w:szCs w:val="20"/>
        </w:rPr>
        <w:t>e</w:t>
      </w:r>
      <w:r w:rsidRPr="00C54C87">
        <w:rPr>
          <w:rFonts w:ascii="Arial" w:hAnsi="Arial" w:cs="Arial"/>
          <w:b/>
          <w:bCs/>
          <w:i/>
          <w:iCs/>
          <w:sz w:val="20"/>
          <w:szCs w:val="20"/>
        </w:rPr>
        <w:t>stas están inherentemente sujetas a riesgos e incertidumbres que pueden hacer que haya alguna diferencia entre los resultados reales y aquellos indicados o inducidos en estas declaraciones.</w:t>
      </w:r>
    </w:p>
    <w:p w14:paraId="1180A6AA" w14:textId="77777777" w:rsidR="00584789" w:rsidRPr="0090138D" w:rsidRDefault="00584789" w:rsidP="00584789">
      <w:pPr>
        <w:pStyle w:val="Cuerpo"/>
        <w:keepNext/>
        <w:tabs>
          <w:tab w:val="left" w:pos="360"/>
        </w:tabs>
        <w:jc w:val="both"/>
        <w:rPr>
          <w:rFonts w:ascii="Arial" w:eastAsia="Verdana" w:hAnsi="Arial" w:cs="Arial"/>
          <w:sz w:val="21"/>
          <w:szCs w:val="21"/>
        </w:rPr>
      </w:pPr>
    </w:p>
    <w:p w14:paraId="7E39DF81" w14:textId="77777777" w:rsidR="00C54C87" w:rsidRDefault="00C54C87" w:rsidP="00C54C87">
      <w:pPr>
        <w:pStyle w:val="Cuerpo"/>
        <w:keepNext/>
        <w:tabs>
          <w:tab w:val="left" w:pos="360"/>
        </w:tabs>
        <w:jc w:val="both"/>
        <w:rPr>
          <w:rFonts w:ascii="Arial" w:eastAsia="Verdana" w:hAnsi="Arial" w:cs="Arial"/>
        </w:rPr>
      </w:pPr>
    </w:p>
    <w:p w14:paraId="0D4048B5" w14:textId="77777777" w:rsidR="00C54C87" w:rsidRPr="00584789" w:rsidRDefault="00C54C87" w:rsidP="00C54C87">
      <w:pPr>
        <w:pStyle w:val="Cuerpo"/>
        <w:keepNext/>
        <w:tabs>
          <w:tab w:val="left" w:pos="360"/>
        </w:tabs>
        <w:jc w:val="both"/>
        <w:rPr>
          <w:rFonts w:ascii="Arial" w:eastAsia="Verdana" w:hAnsi="Arial" w:cs="Arial"/>
        </w:rPr>
      </w:pPr>
    </w:p>
    <w:p w14:paraId="57350B1E" w14:textId="77777777" w:rsidR="005D50E5" w:rsidRPr="00DC7C27" w:rsidRDefault="005D50E5" w:rsidP="00C54C87">
      <w:pPr>
        <w:autoSpaceDE w:val="0"/>
        <w:autoSpaceDN w:val="0"/>
        <w:adjustRightInd w:val="0"/>
        <w:spacing w:line="240" w:lineRule="atLeast"/>
        <w:jc w:val="both"/>
        <w:rPr>
          <w:i/>
          <w:lang w:val="es-ES"/>
        </w:rPr>
      </w:pPr>
      <w:r w:rsidRPr="002C3815">
        <w:rPr>
          <w:i/>
          <w:lang w:val="es-ES"/>
        </w:rPr>
        <w:t xml:space="preserve">La misión de </w:t>
      </w:r>
      <w:r w:rsidRPr="002C3815">
        <w:rPr>
          <w:b/>
          <w:i/>
          <w:lang w:val="es-ES"/>
        </w:rPr>
        <w:t>Michelin,</w:t>
      </w:r>
      <w:r w:rsidRPr="002C3815">
        <w:rPr>
          <w:i/>
          <w:lang w:val="es-ES"/>
        </w:rPr>
        <w:t xml:space="preserve"> líder del sector del neumático, es contribuir de manera sostenible a la movilidad de las personas y los bienes. Por esta razón, el Grupo fabrica</w:t>
      </w:r>
      <w:r>
        <w:rPr>
          <w:i/>
          <w:lang w:val="es-ES"/>
        </w:rPr>
        <w:t>,</w:t>
      </w:r>
      <w:r w:rsidRPr="002C3815">
        <w:rPr>
          <w:i/>
          <w:lang w:val="es-ES"/>
        </w:rPr>
        <w:t xml:space="preserve"> comercializa </w:t>
      </w:r>
      <w:r>
        <w:rPr>
          <w:i/>
          <w:lang w:val="es-ES"/>
        </w:rPr>
        <w:t xml:space="preserve">y distribuye </w:t>
      </w:r>
      <w:r w:rsidRPr="002C3815">
        <w:rPr>
          <w:i/>
          <w:lang w:val="es-ES"/>
        </w:rPr>
        <w:t>neumáticos para todo tipo de vehículos</w:t>
      </w:r>
      <w:r>
        <w:rPr>
          <w:i/>
          <w:lang w:val="es-ES"/>
        </w:rPr>
        <w:t xml:space="preserve">. </w:t>
      </w:r>
      <w:r w:rsidRPr="002C3815">
        <w:rPr>
          <w:i/>
          <w:lang w:val="es-ES"/>
        </w:rPr>
        <w:t xml:space="preserve">Michelin propone igualmente servicios digitales </w:t>
      </w:r>
      <w:r>
        <w:rPr>
          <w:i/>
          <w:lang w:val="es-ES"/>
        </w:rPr>
        <w:t xml:space="preserve">innovadores, como la gestión telemática de flotas de vehículos y herramientas </w:t>
      </w:r>
      <w:r w:rsidRPr="002C3815">
        <w:rPr>
          <w:i/>
          <w:lang w:val="es-ES"/>
        </w:rPr>
        <w:t>de ayuda a la movilidad</w:t>
      </w:r>
      <w:r>
        <w:rPr>
          <w:i/>
          <w:lang w:val="es-ES"/>
        </w:rPr>
        <w:t xml:space="preserve">. Asimismo, </w:t>
      </w:r>
      <w:r w:rsidRPr="002C3815">
        <w:rPr>
          <w:i/>
          <w:lang w:val="es-ES"/>
        </w:rPr>
        <w:t xml:space="preserve">edita guías turísticas, de hoteles y restaurantes, mapas y atlas de carreteras. </w:t>
      </w:r>
      <w:r>
        <w:rPr>
          <w:i/>
          <w:lang w:val="es-ES"/>
        </w:rPr>
        <w:t>El Grupo</w:t>
      </w:r>
      <w:r w:rsidRPr="002C3815">
        <w:rPr>
          <w:i/>
          <w:lang w:val="es-ES"/>
        </w:rPr>
        <w:t>, que tiene su sede en Clermont-Ferrand (Francia), está presente en 170 países, emplea a 11</w:t>
      </w:r>
      <w:r>
        <w:rPr>
          <w:i/>
          <w:lang w:val="es-ES"/>
        </w:rPr>
        <w:t>2</w:t>
      </w:r>
      <w:r w:rsidRPr="002C3815">
        <w:rPr>
          <w:i/>
          <w:lang w:val="es-ES"/>
        </w:rPr>
        <w:t>.</w:t>
      </w:r>
      <w:r>
        <w:rPr>
          <w:i/>
          <w:lang w:val="es-ES"/>
        </w:rPr>
        <w:t>3</w:t>
      </w:r>
      <w:r w:rsidRPr="002C3815">
        <w:rPr>
          <w:i/>
          <w:lang w:val="es-ES"/>
        </w:rPr>
        <w:t>00 personas en todo el mundo y dispone de 6</w:t>
      </w:r>
      <w:r>
        <w:rPr>
          <w:i/>
          <w:lang w:val="es-ES"/>
        </w:rPr>
        <w:t>8</w:t>
      </w:r>
      <w:r w:rsidRPr="002C3815">
        <w:rPr>
          <w:i/>
          <w:lang w:val="es-ES"/>
        </w:rPr>
        <w:t xml:space="preserve"> centros de producción implantados en 17 países diferentes. </w:t>
      </w:r>
      <w:r>
        <w:rPr>
          <w:i/>
          <w:lang w:val="es-ES"/>
        </w:rPr>
        <w:t>Michelin</w:t>
      </w:r>
      <w:r w:rsidRPr="002C3815">
        <w:rPr>
          <w:i/>
          <w:lang w:val="es-ES"/>
        </w:rPr>
        <w:t xml:space="preserve"> posee un Centro de Tecnología encargado de la investigación y desarrollo con implantación en Europa, América del Norte y Asia. (www.michelin.es)</w:t>
      </w:r>
      <w:r w:rsidRPr="002C3815">
        <w:rPr>
          <w:i/>
        </w:rPr>
        <w:t>.</w:t>
      </w:r>
      <w:r w:rsidRPr="00812181">
        <w:rPr>
          <w:rFonts w:cs="Arial"/>
          <w:lang w:val="es-ES"/>
        </w:rPr>
        <w:t xml:space="preserve"> </w:t>
      </w:r>
    </w:p>
    <w:p w14:paraId="770C54D2" w14:textId="77777777" w:rsidR="00700DFB" w:rsidRPr="0033327A" w:rsidRDefault="00700DFB" w:rsidP="00C54C87">
      <w:pPr>
        <w:pStyle w:val="Cuerpo"/>
        <w:jc w:val="both"/>
        <w:rPr>
          <w:i/>
          <w:iCs/>
        </w:rPr>
      </w:pPr>
    </w:p>
    <w:p w14:paraId="122A6EDE" w14:textId="77777777" w:rsidR="00700DFB" w:rsidRPr="0033327A" w:rsidRDefault="009F7ED2" w:rsidP="00C54C87">
      <w:pPr>
        <w:pStyle w:val="Piedepgina"/>
        <w:tabs>
          <w:tab w:val="clear" w:pos="8504"/>
          <w:tab w:val="right" w:pos="8478"/>
        </w:tabs>
        <w:outlineLvl w:val="0"/>
        <w:rPr>
          <w:rFonts w:ascii="Arial" w:eastAsia="Arial" w:hAnsi="Arial" w:cs="Arial"/>
          <w:b/>
          <w:bCs/>
          <w:color w:val="808080"/>
          <w:sz w:val="18"/>
          <w:szCs w:val="18"/>
          <w:u w:color="808080"/>
        </w:rPr>
      </w:pPr>
      <w:r w:rsidRPr="0033327A">
        <w:rPr>
          <w:rFonts w:ascii="Arial"/>
          <w:b/>
          <w:bCs/>
          <w:color w:val="808080"/>
          <w:sz w:val="18"/>
          <w:szCs w:val="18"/>
          <w:u w:color="808080"/>
        </w:rPr>
        <w:t>DEPARTAMENTO DE COMUNICACI</w:t>
      </w:r>
      <w:r w:rsidRPr="0033327A">
        <w:rPr>
          <w:rFonts w:hAnsi="Arial Unicode MS"/>
          <w:b/>
          <w:bCs/>
          <w:color w:val="808080"/>
          <w:sz w:val="18"/>
          <w:szCs w:val="18"/>
          <w:u w:color="808080"/>
        </w:rPr>
        <w:t>Ó</w:t>
      </w:r>
      <w:r w:rsidRPr="0033327A">
        <w:rPr>
          <w:rFonts w:ascii="Arial"/>
          <w:b/>
          <w:bCs/>
          <w:color w:val="808080"/>
          <w:sz w:val="18"/>
          <w:szCs w:val="18"/>
          <w:u w:color="808080"/>
        </w:rPr>
        <w:t>N</w:t>
      </w:r>
    </w:p>
    <w:p w14:paraId="00EBF565" w14:textId="77777777" w:rsidR="00700DFB" w:rsidRPr="0033327A" w:rsidRDefault="009F7ED2">
      <w:pPr>
        <w:pStyle w:val="Piedepgina"/>
        <w:tabs>
          <w:tab w:val="clear" w:pos="8504"/>
          <w:tab w:val="right" w:pos="8478"/>
        </w:tabs>
        <w:outlineLvl w:val="0"/>
        <w:rPr>
          <w:rFonts w:ascii="Arial" w:eastAsia="Arial" w:hAnsi="Arial" w:cs="Arial"/>
          <w:color w:val="808080"/>
          <w:sz w:val="18"/>
          <w:szCs w:val="18"/>
          <w:u w:color="808080"/>
        </w:rPr>
      </w:pPr>
      <w:r w:rsidRPr="0033327A">
        <w:rPr>
          <w:rFonts w:ascii="Arial"/>
          <w:color w:val="808080"/>
          <w:sz w:val="18"/>
          <w:szCs w:val="18"/>
          <w:u w:color="808080"/>
        </w:rPr>
        <w:t>Avda. de Los Encuartes, 19</w:t>
      </w:r>
    </w:p>
    <w:p w14:paraId="7731E6C0" w14:textId="77777777" w:rsidR="00700DFB" w:rsidRPr="0033327A" w:rsidRDefault="009F7ED2">
      <w:pPr>
        <w:pStyle w:val="Piedepgina"/>
        <w:tabs>
          <w:tab w:val="clear" w:pos="8504"/>
          <w:tab w:val="right" w:pos="8478"/>
        </w:tabs>
        <w:outlineLvl w:val="0"/>
        <w:rPr>
          <w:rFonts w:ascii="Arial" w:eastAsia="Arial" w:hAnsi="Arial" w:cs="Arial"/>
          <w:color w:val="808080"/>
          <w:sz w:val="18"/>
          <w:szCs w:val="18"/>
          <w:u w:color="808080"/>
        </w:rPr>
      </w:pPr>
      <w:r w:rsidRPr="0033327A">
        <w:rPr>
          <w:rFonts w:ascii="Arial"/>
          <w:color w:val="808080"/>
          <w:sz w:val="18"/>
          <w:szCs w:val="18"/>
          <w:u w:color="808080"/>
        </w:rPr>
        <w:t xml:space="preserve">28760 Tres Cantos </w:t>
      </w:r>
      <w:r w:rsidRPr="0033327A">
        <w:rPr>
          <w:rFonts w:hAnsi="Arial Unicode MS"/>
          <w:color w:val="808080"/>
          <w:sz w:val="18"/>
          <w:szCs w:val="18"/>
          <w:u w:color="808080"/>
        </w:rPr>
        <w:t>–</w:t>
      </w:r>
      <w:r w:rsidRPr="0033327A">
        <w:rPr>
          <w:rFonts w:hAnsi="Arial Unicode MS"/>
          <w:color w:val="808080"/>
          <w:sz w:val="18"/>
          <w:szCs w:val="18"/>
          <w:u w:color="808080"/>
        </w:rPr>
        <w:t xml:space="preserve"> </w:t>
      </w:r>
      <w:r w:rsidRPr="0033327A">
        <w:rPr>
          <w:rFonts w:ascii="Arial"/>
          <w:color w:val="808080"/>
          <w:sz w:val="18"/>
          <w:szCs w:val="18"/>
          <w:u w:color="808080"/>
        </w:rPr>
        <w:t xml:space="preserve">Madrid </w:t>
      </w:r>
      <w:r w:rsidRPr="0033327A">
        <w:rPr>
          <w:rFonts w:hAnsi="Arial Unicode MS"/>
          <w:color w:val="808080"/>
          <w:sz w:val="18"/>
          <w:szCs w:val="18"/>
          <w:u w:color="808080"/>
        </w:rPr>
        <w:t>–</w:t>
      </w:r>
      <w:r w:rsidRPr="0033327A">
        <w:rPr>
          <w:rFonts w:hAnsi="Arial Unicode MS"/>
          <w:color w:val="808080"/>
          <w:sz w:val="18"/>
          <w:szCs w:val="18"/>
          <w:u w:color="808080"/>
        </w:rPr>
        <w:t xml:space="preserve"> </w:t>
      </w:r>
      <w:r w:rsidRPr="0033327A">
        <w:rPr>
          <w:rFonts w:ascii="Arial"/>
          <w:color w:val="808080"/>
          <w:sz w:val="18"/>
          <w:szCs w:val="18"/>
          <w:u w:color="808080"/>
        </w:rPr>
        <w:t>ESPA</w:t>
      </w:r>
      <w:r w:rsidRPr="0033327A">
        <w:rPr>
          <w:rFonts w:hAnsi="Arial Unicode MS"/>
          <w:color w:val="808080"/>
          <w:sz w:val="18"/>
          <w:szCs w:val="18"/>
          <w:u w:color="808080"/>
        </w:rPr>
        <w:t>Ñ</w:t>
      </w:r>
      <w:r w:rsidRPr="0033327A">
        <w:rPr>
          <w:rFonts w:ascii="Arial"/>
          <w:color w:val="808080"/>
          <w:sz w:val="18"/>
          <w:szCs w:val="18"/>
          <w:u w:color="808080"/>
        </w:rPr>
        <w:t>A</w:t>
      </w:r>
    </w:p>
    <w:p w14:paraId="506E4365" w14:textId="77777777" w:rsidR="00700DFB" w:rsidRPr="0033327A" w:rsidRDefault="009F7ED2">
      <w:pPr>
        <w:pStyle w:val="Cuerpo"/>
        <w:jc w:val="both"/>
      </w:pPr>
      <w:r w:rsidRPr="0033327A">
        <w:rPr>
          <w:rFonts w:ascii="Arial"/>
          <w:color w:val="808080"/>
          <w:sz w:val="18"/>
          <w:szCs w:val="18"/>
          <w:u w:color="808080"/>
        </w:rPr>
        <w:t xml:space="preserve">Tel: 0034 914 105 167 </w:t>
      </w:r>
      <w:r w:rsidRPr="0033327A">
        <w:rPr>
          <w:rFonts w:hAnsi="Arial Unicode MS"/>
          <w:color w:val="808080"/>
          <w:sz w:val="18"/>
          <w:szCs w:val="18"/>
          <w:u w:color="808080"/>
        </w:rPr>
        <w:t>–</w:t>
      </w:r>
      <w:r w:rsidRPr="0033327A">
        <w:rPr>
          <w:rFonts w:hAnsi="Arial Unicode MS"/>
          <w:color w:val="808080"/>
          <w:sz w:val="18"/>
          <w:szCs w:val="18"/>
          <w:u w:color="808080"/>
        </w:rPr>
        <w:t xml:space="preserve"> </w:t>
      </w:r>
      <w:r w:rsidRPr="0033327A">
        <w:rPr>
          <w:rFonts w:ascii="Arial"/>
          <w:color w:val="808080"/>
          <w:sz w:val="18"/>
          <w:szCs w:val="18"/>
          <w:u w:color="808080"/>
        </w:rPr>
        <w:t>Fax: 0034 914 105 293</w:t>
      </w:r>
    </w:p>
    <w:sectPr w:rsidR="00700DFB" w:rsidRPr="0033327A" w:rsidSect="00B55317">
      <w:type w:val="continuous"/>
      <w:pgSz w:w="11900" w:h="16840"/>
      <w:pgMar w:top="1417" w:right="1701" w:bottom="1417" w:left="1701" w:header="708" w:footer="3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F5995" w14:textId="77777777" w:rsidR="00963388" w:rsidRDefault="00963388">
      <w:r>
        <w:separator/>
      </w:r>
    </w:p>
  </w:endnote>
  <w:endnote w:type="continuationSeparator" w:id="0">
    <w:p w14:paraId="0C535F53" w14:textId="77777777" w:rsidR="00963388" w:rsidRDefault="0096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Utopi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ingLiU">
    <w:panose1 w:val="02020509000000000000"/>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C950" w14:textId="77777777" w:rsidR="00C37359" w:rsidRDefault="00C37359">
    <w:pPr>
      <w:pStyle w:val="Piedepgina"/>
      <w:tabs>
        <w:tab w:val="clear" w:pos="8504"/>
        <w:tab w:val="right" w:pos="8478"/>
      </w:tabs>
    </w:pPr>
    <w:r>
      <w:fldChar w:fldCharType="begin"/>
    </w:r>
    <w:r>
      <w:instrText xml:space="preserve"> PAGE </w:instrText>
    </w:r>
    <w:r>
      <w:fldChar w:fldCharType="separate"/>
    </w:r>
    <w:r w:rsidR="00812181">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7845B" w14:textId="77777777" w:rsidR="00963388" w:rsidRDefault="00963388">
      <w:r>
        <w:separator/>
      </w:r>
    </w:p>
  </w:footnote>
  <w:footnote w:type="continuationSeparator" w:id="0">
    <w:p w14:paraId="5111E795" w14:textId="77777777" w:rsidR="00963388" w:rsidRDefault="00963388">
      <w:r>
        <w:continuationSeparator/>
      </w:r>
    </w:p>
  </w:footnote>
  <w:footnote w:id="1">
    <w:p w14:paraId="12A1A468" w14:textId="77777777" w:rsidR="00C37359" w:rsidRDefault="00C37359" w:rsidP="009B7D6D">
      <w:pPr>
        <w:pStyle w:val="Textonotapie"/>
      </w:pPr>
      <w:r>
        <w:rPr>
          <w:rStyle w:val="Refdenotaalpie"/>
        </w:rPr>
        <w:t>1</w:t>
      </w:r>
      <w:r w:rsidRPr="00DA5E01">
        <w:rPr>
          <w:rStyle w:val="hps"/>
          <w:sz w:val="16"/>
          <w:lang w:val="es-ES"/>
        </w:rPr>
        <w:t>Cash F</w:t>
      </w:r>
      <w:r w:rsidRPr="00DC4EE0">
        <w:rPr>
          <w:rStyle w:val="hps"/>
          <w:sz w:val="16"/>
          <w:lang w:val="es-ES"/>
        </w:rPr>
        <w:t>lo</w:t>
      </w:r>
      <w:r w:rsidRPr="00DA5E01">
        <w:rPr>
          <w:rStyle w:val="hps"/>
          <w:sz w:val="16"/>
          <w:lang w:val="es-ES"/>
        </w:rPr>
        <w:t>w libre:</w:t>
      </w:r>
      <w:r>
        <w:t xml:space="preserve"> </w:t>
      </w:r>
      <w:r w:rsidRPr="00481429">
        <w:rPr>
          <w:rStyle w:val="hps"/>
          <w:sz w:val="16"/>
          <w:lang w:val="es-ES"/>
        </w:rPr>
        <w:t>Flujo de tesorería en</w:t>
      </w:r>
      <w:r w:rsidRPr="00481429">
        <w:rPr>
          <w:sz w:val="16"/>
          <w:lang w:val="es-ES"/>
        </w:rPr>
        <w:t xml:space="preserve"> </w:t>
      </w:r>
      <w:r w:rsidRPr="00481429">
        <w:rPr>
          <w:rStyle w:val="hps"/>
          <w:sz w:val="16"/>
          <w:lang w:val="es-ES"/>
        </w:rPr>
        <w:t>actividades operativas</w:t>
      </w:r>
      <w:r>
        <w:rPr>
          <w:rStyle w:val="hps"/>
          <w:sz w:val="16"/>
          <w:lang w:val="es-ES"/>
        </w:rPr>
        <w:t xml:space="preserve"> - f</w:t>
      </w:r>
      <w:r w:rsidRPr="00481429">
        <w:rPr>
          <w:rStyle w:val="hps"/>
          <w:sz w:val="16"/>
          <w:lang w:val="es-ES"/>
        </w:rPr>
        <w:t>lujo de tesorería en inversiones</w:t>
      </w:r>
      <w:r w:rsidRPr="00481429">
        <w:rPr>
          <w:sz w:val="16"/>
          <w:lang w:val="es-ES"/>
        </w:rPr>
        <w:t>.</w:t>
      </w:r>
    </w:p>
    <w:p w14:paraId="7C3C271C" w14:textId="2374028F" w:rsidR="00C37359" w:rsidRPr="00694FB4" w:rsidRDefault="00C37359" w:rsidP="00694FB4">
      <w:pPr>
        <w:pStyle w:val="Textonotapie"/>
        <w:rPr>
          <w:rStyle w:val="Refdenotaalpie"/>
        </w:rPr>
      </w:pPr>
      <w:r>
        <w:rPr>
          <w:rStyle w:val="Refdenotaalpie"/>
        </w:rPr>
        <w:t>2</w:t>
      </w:r>
      <w:r>
        <w:t xml:space="preserve"> </w:t>
      </w:r>
      <w:r w:rsidRPr="005A249D">
        <w:rPr>
          <w:rStyle w:val="hps"/>
          <w:sz w:val="16"/>
          <w:lang w:val="es-ES"/>
        </w:rPr>
        <w:t>Al final del periodo.</w:t>
      </w:r>
    </w:p>
  </w:footnote>
  <w:footnote w:id="2">
    <w:p w14:paraId="61513001" w14:textId="77777777" w:rsidR="00C37359" w:rsidRPr="00576059" w:rsidRDefault="00C37359">
      <w:pPr>
        <w:pStyle w:val="Textonotapie"/>
        <w:rPr>
          <w:rStyle w:val="Refdenotaalpie"/>
          <w:sz w:val="2"/>
          <w:szCs w:val="2"/>
        </w:rPr>
      </w:pPr>
    </w:p>
  </w:footnote>
  <w:footnote w:id="3">
    <w:p w14:paraId="5B6DFE93" w14:textId="3E116972" w:rsidR="00C37359" w:rsidRPr="00484473" w:rsidRDefault="00C37359">
      <w:pPr>
        <w:pStyle w:val="Textonotapie"/>
        <w:rPr>
          <w:lang w:val="es-ES"/>
        </w:rPr>
      </w:pPr>
      <w:r>
        <w:rPr>
          <w:rStyle w:val="Refdenotaalpie"/>
        </w:rPr>
        <w:footnoteRef/>
      </w:r>
      <w:r>
        <w:t xml:space="preserve"> </w:t>
      </w:r>
      <w:r>
        <w:rPr>
          <w:rStyle w:val="hps"/>
          <w:sz w:val="16"/>
          <w:lang w:val="es-ES"/>
        </w:rPr>
        <w:t>Dividendo para</w:t>
      </w:r>
      <w:r w:rsidRPr="003C5A4F">
        <w:rPr>
          <w:rStyle w:val="hps"/>
          <w:sz w:val="16"/>
          <w:lang w:val="es-ES"/>
        </w:rPr>
        <w:t xml:space="preserve"> 2015</w:t>
      </w:r>
      <w:r>
        <w:rPr>
          <w:rStyle w:val="hps"/>
          <w:sz w:val="16"/>
          <w:lang w:val="es-ES"/>
        </w:rPr>
        <w:t xml:space="preserve"> sometido a la aprobación de la asamblea general del 13 de mayo de 2016.</w:t>
      </w:r>
    </w:p>
  </w:footnote>
  <w:footnote w:id="4">
    <w:p w14:paraId="469033E7" w14:textId="370D14CE" w:rsidR="00C37359" w:rsidRDefault="00C37359" w:rsidP="00671A12">
      <w:pPr>
        <w:pStyle w:val="Textonotapie"/>
      </w:pPr>
      <w:r w:rsidRPr="00AB13DC">
        <w:rPr>
          <w:rStyle w:val="Refdenotaalpie"/>
          <w:sz w:val="32"/>
        </w:rPr>
        <w:sym w:font="Symbol" w:char="F02A"/>
      </w:r>
      <w:r w:rsidRPr="00AB13DC">
        <w:rPr>
          <w:sz w:val="32"/>
        </w:rPr>
        <w:t xml:space="preserve"> </w:t>
      </w:r>
      <w:r w:rsidRPr="00481429">
        <w:rPr>
          <w:sz w:val="16"/>
        </w:rPr>
        <w:t>Incluyendo Turquía</w:t>
      </w:r>
      <w:r>
        <w:rPr>
          <w:sz w:val="16"/>
        </w:rPr>
        <w:t>.</w:t>
      </w:r>
    </w:p>
  </w:footnote>
  <w:footnote w:id="5">
    <w:p w14:paraId="4BE24C9F" w14:textId="77777777" w:rsidR="00C37359" w:rsidRDefault="00C37359" w:rsidP="002D4471">
      <w:pPr>
        <w:pStyle w:val="Textonotapie"/>
      </w:pPr>
    </w:p>
  </w:footnote>
  <w:footnote w:id="6">
    <w:p w14:paraId="399AD237" w14:textId="77777777" w:rsidR="00C37359" w:rsidRDefault="00C37359" w:rsidP="00047721">
      <w:pPr>
        <w:pStyle w:val="Textonotapie"/>
      </w:pPr>
      <w:r w:rsidRPr="00AB13DC">
        <w:rPr>
          <w:rStyle w:val="Refdenotaalpie"/>
          <w:sz w:val="32"/>
        </w:rPr>
        <w:sym w:font="Symbol" w:char="F02A"/>
      </w:r>
      <w:r w:rsidRPr="00AB13DC">
        <w:rPr>
          <w:sz w:val="32"/>
        </w:rPr>
        <w:t xml:space="preserve"> </w:t>
      </w:r>
      <w:r w:rsidRPr="00481429">
        <w:rPr>
          <w:sz w:val="16"/>
        </w:rPr>
        <w:t>Incluyendo Turquía</w:t>
      </w:r>
      <w:r>
        <w:rPr>
          <w:sz w:val="16"/>
        </w:rPr>
        <w:t>.</w:t>
      </w:r>
    </w:p>
  </w:footnote>
  <w:footnote w:id="7">
    <w:p w14:paraId="3AE72643" w14:textId="77777777" w:rsidR="00C37359" w:rsidRDefault="00C37359" w:rsidP="0097284C">
      <w:pPr>
        <w:pStyle w:val="Textonotapi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4EA9F" w14:textId="77777777" w:rsidR="00C37359" w:rsidRDefault="00C37359">
    <w:pPr>
      <w:pStyle w:val="Encabezado"/>
      <w:tabs>
        <w:tab w:val="clear" w:pos="8504"/>
        <w:tab w:val="right" w:pos="8478"/>
      </w:tabs>
    </w:pPr>
    <w:r>
      <w:rPr>
        <w:noProof/>
        <w:lang w:eastAsia="es-ES_tradnl"/>
      </w:rPr>
      <w:drawing>
        <wp:anchor distT="152400" distB="152400" distL="152400" distR="152400" simplePos="0" relativeHeight="251658240" behindDoc="1" locked="0" layoutInCell="1" allowOverlap="1" wp14:anchorId="0A698B1F" wp14:editId="0E0AD2B8">
          <wp:simplePos x="0" y="0"/>
          <wp:positionH relativeFrom="page">
            <wp:posOffset>0</wp:posOffset>
          </wp:positionH>
          <wp:positionV relativeFrom="page">
            <wp:posOffset>9765030</wp:posOffset>
          </wp:positionV>
          <wp:extent cx="7556500" cy="838200"/>
          <wp:effectExtent l="0" t="0" r="0" b="0"/>
          <wp:wrapNone/>
          <wp:docPr id="2" name="officeArt object" descr="michelin"/>
          <wp:cNvGraphicFramePr/>
          <a:graphic xmlns:a="http://schemas.openxmlformats.org/drawingml/2006/main">
            <a:graphicData uri="http://schemas.openxmlformats.org/drawingml/2006/picture">
              <pic:pic xmlns:pic="http://schemas.openxmlformats.org/drawingml/2006/picture">
                <pic:nvPicPr>
                  <pic:cNvPr id="1073741825" name="image1.jpeg" descr="michelin"/>
                  <pic:cNvPicPr/>
                </pic:nvPicPr>
                <pic:blipFill>
                  <a:blip r:embed="rId1">
                    <a:extLst/>
                  </a:blip>
                  <a:stretch>
                    <a:fillRect/>
                  </a:stretch>
                </pic:blipFill>
                <pic:spPr>
                  <a:xfrm>
                    <a:off x="0" y="0"/>
                    <a:ext cx="7556500" cy="838200"/>
                  </a:xfrm>
                  <a:prstGeom prst="rect">
                    <a:avLst/>
                  </a:prstGeom>
                  <a:ln w="12700" cap="flat">
                    <a:noFill/>
                    <a:miter lim="400000"/>
                  </a:ln>
                  <a:effectLst/>
                </pic:spPr>
              </pic:pic>
            </a:graphicData>
          </a:graphic>
        </wp:anchor>
      </w:drawing>
    </w:r>
    <w:r>
      <w:rPr>
        <w:rFonts w:ascii="Times New Roman"/>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C6D"/>
    <w:multiLevelType w:val="hybridMultilevel"/>
    <w:tmpl w:val="80D03DF8"/>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1FA76C5"/>
    <w:multiLevelType w:val="hybridMultilevel"/>
    <w:tmpl w:val="F7306DA4"/>
    <w:lvl w:ilvl="0" w:tplc="946C9C7E">
      <w:start w:val="1"/>
      <w:numFmt w:val="bullet"/>
      <w:lvlText w:val="o"/>
      <w:lvlJc w:val="left"/>
      <w:pPr>
        <w:ind w:left="1777" w:hanging="360"/>
      </w:pPr>
      <w:rPr>
        <w:rFonts w:ascii="Courier New" w:hAnsi="Courier New" w:hint="default"/>
        <w:sz w:val="24"/>
        <w:szCs w:val="24"/>
      </w:rPr>
    </w:lvl>
    <w:lvl w:ilvl="1" w:tplc="0C0A0003">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nsid w:val="07464670"/>
    <w:multiLevelType w:val="multilevel"/>
    <w:tmpl w:val="D9089278"/>
    <w:styleLink w:val="Lista51"/>
    <w:lvl w:ilvl="0">
      <w:numFmt w:val="bullet"/>
      <w:lvlText w:val="▪"/>
      <w:lvlJc w:val="left"/>
      <w:pPr>
        <w:tabs>
          <w:tab w:val="num" w:pos="291"/>
        </w:tabs>
        <w:ind w:left="291" w:hanging="291"/>
      </w:pPr>
      <w:rPr>
        <w:rFonts w:ascii="Arial" w:eastAsia="Arial" w:hAnsi="Arial" w:cs="Arial"/>
        <w:position w:val="0"/>
        <w:sz w:val="26"/>
        <w:szCs w:val="26"/>
        <w:rtl w:val="0"/>
        <w:lang w:val="es-ES_tradnl"/>
      </w:rPr>
    </w:lvl>
    <w:lvl w:ilvl="1">
      <w:start w:val="1"/>
      <w:numFmt w:val="bullet"/>
      <w:lvlText w:val="o"/>
      <w:lvlJc w:val="left"/>
      <w:pPr>
        <w:tabs>
          <w:tab w:val="num" w:pos="1035"/>
        </w:tabs>
        <w:ind w:left="1035" w:hanging="315"/>
      </w:pPr>
      <w:rPr>
        <w:rFonts w:ascii="Arial" w:eastAsia="Arial" w:hAnsi="Arial" w:cs="Arial"/>
        <w:position w:val="0"/>
        <w:sz w:val="21"/>
        <w:szCs w:val="21"/>
        <w:rtl w:val="0"/>
        <w:lang w:val="es-ES_tradnl"/>
      </w:rPr>
    </w:lvl>
    <w:lvl w:ilvl="2">
      <w:start w:val="1"/>
      <w:numFmt w:val="bullet"/>
      <w:lvlText w:val="▪"/>
      <w:lvlJc w:val="left"/>
      <w:pPr>
        <w:tabs>
          <w:tab w:val="num" w:pos="1755"/>
        </w:tabs>
        <w:ind w:left="1755" w:hanging="315"/>
      </w:pPr>
      <w:rPr>
        <w:rFonts w:ascii="Arial" w:eastAsia="Arial" w:hAnsi="Arial" w:cs="Arial"/>
        <w:position w:val="0"/>
        <w:sz w:val="21"/>
        <w:szCs w:val="21"/>
        <w:rtl w:val="0"/>
        <w:lang w:val="es-ES_tradnl"/>
      </w:rPr>
    </w:lvl>
    <w:lvl w:ilvl="3">
      <w:start w:val="1"/>
      <w:numFmt w:val="bullet"/>
      <w:lvlText w:val="•"/>
      <w:lvlJc w:val="left"/>
      <w:pPr>
        <w:tabs>
          <w:tab w:val="num" w:pos="2475"/>
        </w:tabs>
        <w:ind w:left="2475" w:hanging="315"/>
      </w:pPr>
      <w:rPr>
        <w:rFonts w:ascii="Arial" w:eastAsia="Arial" w:hAnsi="Arial" w:cs="Arial"/>
        <w:position w:val="0"/>
        <w:sz w:val="21"/>
        <w:szCs w:val="21"/>
        <w:rtl w:val="0"/>
        <w:lang w:val="es-ES_tradnl"/>
      </w:rPr>
    </w:lvl>
    <w:lvl w:ilvl="4">
      <w:start w:val="1"/>
      <w:numFmt w:val="bullet"/>
      <w:lvlText w:val="o"/>
      <w:lvlJc w:val="left"/>
      <w:pPr>
        <w:tabs>
          <w:tab w:val="num" w:pos="3195"/>
        </w:tabs>
        <w:ind w:left="3195" w:hanging="315"/>
      </w:pPr>
      <w:rPr>
        <w:rFonts w:ascii="Arial" w:eastAsia="Arial" w:hAnsi="Arial" w:cs="Arial"/>
        <w:position w:val="0"/>
        <w:sz w:val="21"/>
        <w:szCs w:val="21"/>
        <w:rtl w:val="0"/>
        <w:lang w:val="es-ES_tradnl"/>
      </w:rPr>
    </w:lvl>
    <w:lvl w:ilvl="5">
      <w:start w:val="1"/>
      <w:numFmt w:val="bullet"/>
      <w:lvlText w:val="▪"/>
      <w:lvlJc w:val="left"/>
      <w:pPr>
        <w:tabs>
          <w:tab w:val="num" w:pos="3915"/>
        </w:tabs>
        <w:ind w:left="3915" w:hanging="315"/>
      </w:pPr>
      <w:rPr>
        <w:rFonts w:ascii="Arial" w:eastAsia="Arial" w:hAnsi="Arial" w:cs="Arial"/>
        <w:position w:val="0"/>
        <w:sz w:val="21"/>
        <w:szCs w:val="21"/>
        <w:rtl w:val="0"/>
        <w:lang w:val="es-ES_tradnl"/>
      </w:rPr>
    </w:lvl>
    <w:lvl w:ilvl="6">
      <w:start w:val="1"/>
      <w:numFmt w:val="bullet"/>
      <w:lvlText w:val="•"/>
      <w:lvlJc w:val="left"/>
      <w:pPr>
        <w:tabs>
          <w:tab w:val="num" w:pos="4635"/>
        </w:tabs>
        <w:ind w:left="4635" w:hanging="315"/>
      </w:pPr>
      <w:rPr>
        <w:rFonts w:ascii="Arial" w:eastAsia="Arial" w:hAnsi="Arial" w:cs="Arial"/>
        <w:position w:val="0"/>
        <w:sz w:val="21"/>
        <w:szCs w:val="21"/>
        <w:rtl w:val="0"/>
        <w:lang w:val="es-ES_tradnl"/>
      </w:rPr>
    </w:lvl>
    <w:lvl w:ilvl="7">
      <w:start w:val="1"/>
      <w:numFmt w:val="bullet"/>
      <w:lvlText w:val="o"/>
      <w:lvlJc w:val="left"/>
      <w:pPr>
        <w:tabs>
          <w:tab w:val="num" w:pos="5355"/>
        </w:tabs>
        <w:ind w:left="5355" w:hanging="315"/>
      </w:pPr>
      <w:rPr>
        <w:rFonts w:ascii="Arial" w:eastAsia="Arial" w:hAnsi="Arial" w:cs="Arial"/>
        <w:position w:val="0"/>
        <w:sz w:val="21"/>
        <w:szCs w:val="21"/>
        <w:rtl w:val="0"/>
        <w:lang w:val="es-ES_tradnl"/>
      </w:rPr>
    </w:lvl>
    <w:lvl w:ilvl="8">
      <w:start w:val="1"/>
      <w:numFmt w:val="bullet"/>
      <w:lvlText w:val="▪"/>
      <w:lvlJc w:val="left"/>
      <w:pPr>
        <w:tabs>
          <w:tab w:val="num" w:pos="6075"/>
        </w:tabs>
        <w:ind w:left="6075" w:hanging="315"/>
      </w:pPr>
      <w:rPr>
        <w:rFonts w:ascii="Arial" w:eastAsia="Arial" w:hAnsi="Arial" w:cs="Arial"/>
        <w:position w:val="0"/>
        <w:sz w:val="21"/>
        <w:szCs w:val="21"/>
        <w:rtl w:val="0"/>
        <w:lang w:val="es-ES_tradnl"/>
      </w:rPr>
    </w:lvl>
  </w:abstractNum>
  <w:abstractNum w:abstractNumId="3">
    <w:nsid w:val="07E515B0"/>
    <w:multiLevelType w:val="hybridMultilevel"/>
    <w:tmpl w:val="9B00B446"/>
    <w:lvl w:ilvl="0" w:tplc="04090005">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4">
    <w:nsid w:val="16DE771B"/>
    <w:multiLevelType w:val="hybridMultilevel"/>
    <w:tmpl w:val="54ACC20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9B32C5B"/>
    <w:multiLevelType w:val="multilevel"/>
    <w:tmpl w:val="B2F8859A"/>
    <w:styleLink w:val="List1"/>
    <w:lvl w:ilvl="0">
      <w:start w:val="1"/>
      <w:numFmt w:val="bullet"/>
      <w:lvlText w:val="▪"/>
      <w:lvlJc w:val="left"/>
      <w:pPr>
        <w:tabs>
          <w:tab w:val="num" w:pos="375"/>
        </w:tabs>
        <w:ind w:left="375" w:hanging="375"/>
      </w:pPr>
      <w:rPr>
        <w:rFonts w:ascii="Times" w:eastAsia="Times" w:hAnsi="Times" w:cs="Times"/>
        <w:b/>
        <w:bCs/>
        <w:i/>
        <w:iCs/>
        <w:position w:val="0"/>
        <w:sz w:val="25"/>
        <w:szCs w:val="25"/>
      </w:rPr>
    </w:lvl>
    <w:lvl w:ilvl="1">
      <w:numFmt w:val="bullet"/>
      <w:lvlText w:val="o"/>
      <w:lvlJc w:val="left"/>
      <w:pPr>
        <w:tabs>
          <w:tab w:val="num" w:pos="851"/>
        </w:tabs>
        <w:ind w:left="851" w:hanging="131"/>
      </w:pPr>
      <w:rPr>
        <w:rFonts w:ascii="Times New Roman" w:eastAsia="Times New Roman" w:hAnsi="Times New Roman" w:cs="Times New Roman"/>
        <w:b/>
        <w:bCs/>
        <w:i/>
        <w:iCs/>
        <w:position w:val="0"/>
        <w:sz w:val="24"/>
        <w:szCs w:val="24"/>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6">
    <w:nsid w:val="1AE4552B"/>
    <w:multiLevelType w:val="multilevel"/>
    <w:tmpl w:val="21CAC65C"/>
    <w:styleLink w:val="List6"/>
    <w:lvl w:ilvl="0">
      <w:numFmt w:val="bullet"/>
      <w:lvlText w:val="➢"/>
      <w:lvlJc w:val="left"/>
      <w:pPr>
        <w:tabs>
          <w:tab w:val="num" w:pos="1080"/>
        </w:tabs>
        <w:ind w:left="1080" w:hanging="360"/>
      </w:pPr>
      <w:rPr>
        <w:rFonts w:ascii="Arial" w:eastAsia="Arial" w:hAnsi="Arial" w:cs="Arial"/>
        <w:b/>
        <w:bCs/>
        <w:position w:val="0"/>
        <w:sz w:val="24"/>
        <w:szCs w:val="24"/>
      </w:rPr>
    </w:lvl>
    <w:lvl w:ilvl="1">
      <w:start w:val="1"/>
      <w:numFmt w:val="bullet"/>
      <w:lvlText w:val="o"/>
      <w:lvlJc w:val="left"/>
      <w:pPr>
        <w:tabs>
          <w:tab w:val="num" w:pos="1755"/>
        </w:tabs>
        <w:ind w:left="1755" w:hanging="315"/>
      </w:pPr>
      <w:rPr>
        <w:rFonts w:ascii="Arial" w:eastAsia="Arial" w:hAnsi="Arial" w:cs="Arial"/>
        <w:b/>
        <w:bCs/>
        <w:position w:val="0"/>
        <w:sz w:val="21"/>
        <w:szCs w:val="21"/>
      </w:rPr>
    </w:lvl>
    <w:lvl w:ilvl="2">
      <w:start w:val="1"/>
      <w:numFmt w:val="bullet"/>
      <w:lvlText w:val="▪"/>
      <w:lvlJc w:val="left"/>
      <w:pPr>
        <w:tabs>
          <w:tab w:val="num" w:pos="2475"/>
        </w:tabs>
        <w:ind w:left="2475" w:hanging="315"/>
      </w:pPr>
      <w:rPr>
        <w:rFonts w:ascii="Arial" w:eastAsia="Arial" w:hAnsi="Arial" w:cs="Arial"/>
        <w:b/>
        <w:bCs/>
        <w:position w:val="0"/>
        <w:sz w:val="21"/>
        <w:szCs w:val="21"/>
      </w:rPr>
    </w:lvl>
    <w:lvl w:ilvl="3">
      <w:start w:val="1"/>
      <w:numFmt w:val="bullet"/>
      <w:lvlText w:val="•"/>
      <w:lvlJc w:val="left"/>
      <w:pPr>
        <w:tabs>
          <w:tab w:val="num" w:pos="3195"/>
        </w:tabs>
        <w:ind w:left="3195" w:hanging="315"/>
      </w:pPr>
      <w:rPr>
        <w:rFonts w:ascii="Arial" w:eastAsia="Arial" w:hAnsi="Arial" w:cs="Arial"/>
        <w:b/>
        <w:bCs/>
        <w:position w:val="0"/>
        <w:sz w:val="21"/>
        <w:szCs w:val="21"/>
      </w:rPr>
    </w:lvl>
    <w:lvl w:ilvl="4">
      <w:start w:val="1"/>
      <w:numFmt w:val="bullet"/>
      <w:lvlText w:val="o"/>
      <w:lvlJc w:val="left"/>
      <w:pPr>
        <w:tabs>
          <w:tab w:val="num" w:pos="3915"/>
        </w:tabs>
        <w:ind w:left="3915" w:hanging="315"/>
      </w:pPr>
      <w:rPr>
        <w:rFonts w:ascii="Arial" w:eastAsia="Arial" w:hAnsi="Arial" w:cs="Arial"/>
        <w:b/>
        <w:bCs/>
        <w:position w:val="0"/>
        <w:sz w:val="21"/>
        <w:szCs w:val="21"/>
      </w:rPr>
    </w:lvl>
    <w:lvl w:ilvl="5">
      <w:start w:val="1"/>
      <w:numFmt w:val="bullet"/>
      <w:lvlText w:val="▪"/>
      <w:lvlJc w:val="left"/>
      <w:pPr>
        <w:tabs>
          <w:tab w:val="num" w:pos="4635"/>
        </w:tabs>
        <w:ind w:left="4635" w:hanging="315"/>
      </w:pPr>
      <w:rPr>
        <w:rFonts w:ascii="Arial" w:eastAsia="Arial" w:hAnsi="Arial" w:cs="Arial"/>
        <w:b/>
        <w:bCs/>
        <w:position w:val="0"/>
        <w:sz w:val="21"/>
        <w:szCs w:val="21"/>
      </w:rPr>
    </w:lvl>
    <w:lvl w:ilvl="6">
      <w:start w:val="1"/>
      <w:numFmt w:val="bullet"/>
      <w:lvlText w:val="•"/>
      <w:lvlJc w:val="left"/>
      <w:pPr>
        <w:tabs>
          <w:tab w:val="num" w:pos="5355"/>
        </w:tabs>
        <w:ind w:left="5355" w:hanging="315"/>
      </w:pPr>
      <w:rPr>
        <w:rFonts w:ascii="Arial" w:eastAsia="Arial" w:hAnsi="Arial" w:cs="Arial"/>
        <w:b/>
        <w:bCs/>
        <w:position w:val="0"/>
        <w:sz w:val="21"/>
        <w:szCs w:val="21"/>
      </w:rPr>
    </w:lvl>
    <w:lvl w:ilvl="7">
      <w:start w:val="1"/>
      <w:numFmt w:val="bullet"/>
      <w:lvlText w:val="o"/>
      <w:lvlJc w:val="left"/>
      <w:pPr>
        <w:tabs>
          <w:tab w:val="num" w:pos="6075"/>
        </w:tabs>
        <w:ind w:left="6075" w:hanging="315"/>
      </w:pPr>
      <w:rPr>
        <w:rFonts w:ascii="Arial" w:eastAsia="Arial" w:hAnsi="Arial" w:cs="Arial"/>
        <w:b/>
        <w:bCs/>
        <w:position w:val="0"/>
        <w:sz w:val="21"/>
        <w:szCs w:val="21"/>
      </w:rPr>
    </w:lvl>
    <w:lvl w:ilvl="8">
      <w:start w:val="1"/>
      <w:numFmt w:val="bullet"/>
      <w:lvlText w:val="▪"/>
      <w:lvlJc w:val="left"/>
      <w:pPr>
        <w:tabs>
          <w:tab w:val="num" w:pos="6795"/>
        </w:tabs>
        <w:ind w:left="6795" w:hanging="315"/>
      </w:pPr>
      <w:rPr>
        <w:rFonts w:ascii="Arial" w:eastAsia="Arial" w:hAnsi="Arial" w:cs="Arial"/>
        <w:b/>
        <w:bCs/>
        <w:position w:val="0"/>
        <w:sz w:val="21"/>
        <w:szCs w:val="21"/>
      </w:rPr>
    </w:lvl>
  </w:abstractNum>
  <w:abstractNum w:abstractNumId="7">
    <w:nsid w:val="1C77403B"/>
    <w:multiLevelType w:val="multilevel"/>
    <w:tmpl w:val="99362DBA"/>
    <w:lvl w:ilvl="0">
      <w:numFmt w:val="bullet"/>
      <w:lvlText w:val="▪"/>
      <w:lvlJc w:val="left"/>
      <w:pPr>
        <w:tabs>
          <w:tab w:val="num" w:pos="360"/>
        </w:tabs>
        <w:ind w:left="360" w:hanging="360"/>
      </w:pPr>
      <w:rPr>
        <w:rFonts w:ascii="Arial" w:eastAsia="Arial" w:hAnsi="Arial" w:cs="Arial"/>
        <w:b/>
        <w:bCs/>
        <w:position w:val="0"/>
        <w:sz w:val="24"/>
        <w:szCs w:val="24"/>
      </w:rPr>
    </w:lvl>
    <w:lvl w:ilvl="1">
      <w:start w:val="1"/>
      <w:numFmt w:val="bullet"/>
      <w:lvlText w:val="o"/>
      <w:lvlJc w:val="left"/>
      <w:pPr>
        <w:tabs>
          <w:tab w:val="num" w:pos="1035"/>
        </w:tabs>
        <w:ind w:left="1035" w:hanging="315"/>
      </w:pPr>
      <w:rPr>
        <w:rFonts w:ascii="Arial" w:eastAsia="Arial" w:hAnsi="Arial" w:cs="Arial"/>
        <w:b/>
        <w:bCs/>
        <w:position w:val="0"/>
        <w:sz w:val="21"/>
        <w:szCs w:val="21"/>
      </w:rPr>
    </w:lvl>
    <w:lvl w:ilvl="2">
      <w:start w:val="1"/>
      <w:numFmt w:val="bullet"/>
      <w:lvlText w:val="▪"/>
      <w:lvlJc w:val="left"/>
      <w:pPr>
        <w:tabs>
          <w:tab w:val="num" w:pos="1755"/>
        </w:tabs>
        <w:ind w:left="1755" w:hanging="315"/>
      </w:pPr>
      <w:rPr>
        <w:rFonts w:ascii="Arial" w:eastAsia="Arial" w:hAnsi="Arial" w:cs="Arial"/>
        <w:b/>
        <w:bCs/>
        <w:position w:val="0"/>
        <w:sz w:val="21"/>
        <w:szCs w:val="21"/>
      </w:rPr>
    </w:lvl>
    <w:lvl w:ilvl="3">
      <w:start w:val="1"/>
      <w:numFmt w:val="bullet"/>
      <w:lvlText w:val="•"/>
      <w:lvlJc w:val="left"/>
      <w:pPr>
        <w:tabs>
          <w:tab w:val="num" w:pos="2475"/>
        </w:tabs>
        <w:ind w:left="2475" w:hanging="315"/>
      </w:pPr>
      <w:rPr>
        <w:rFonts w:ascii="Arial" w:eastAsia="Arial" w:hAnsi="Arial" w:cs="Arial"/>
        <w:b/>
        <w:bCs/>
        <w:position w:val="0"/>
        <w:sz w:val="21"/>
        <w:szCs w:val="21"/>
      </w:rPr>
    </w:lvl>
    <w:lvl w:ilvl="4">
      <w:start w:val="1"/>
      <w:numFmt w:val="bullet"/>
      <w:lvlText w:val="o"/>
      <w:lvlJc w:val="left"/>
      <w:pPr>
        <w:tabs>
          <w:tab w:val="num" w:pos="3195"/>
        </w:tabs>
        <w:ind w:left="3195" w:hanging="315"/>
      </w:pPr>
      <w:rPr>
        <w:rFonts w:ascii="Arial" w:eastAsia="Arial" w:hAnsi="Arial" w:cs="Arial"/>
        <w:b/>
        <w:bCs/>
        <w:position w:val="0"/>
        <w:sz w:val="21"/>
        <w:szCs w:val="21"/>
      </w:rPr>
    </w:lvl>
    <w:lvl w:ilvl="5">
      <w:start w:val="1"/>
      <w:numFmt w:val="bullet"/>
      <w:lvlText w:val="▪"/>
      <w:lvlJc w:val="left"/>
      <w:pPr>
        <w:tabs>
          <w:tab w:val="num" w:pos="3915"/>
        </w:tabs>
        <w:ind w:left="3915" w:hanging="315"/>
      </w:pPr>
      <w:rPr>
        <w:rFonts w:ascii="Arial" w:eastAsia="Arial" w:hAnsi="Arial" w:cs="Arial"/>
        <w:b/>
        <w:bCs/>
        <w:position w:val="0"/>
        <w:sz w:val="21"/>
        <w:szCs w:val="21"/>
      </w:rPr>
    </w:lvl>
    <w:lvl w:ilvl="6">
      <w:start w:val="1"/>
      <w:numFmt w:val="bullet"/>
      <w:lvlText w:val="•"/>
      <w:lvlJc w:val="left"/>
      <w:pPr>
        <w:tabs>
          <w:tab w:val="num" w:pos="4635"/>
        </w:tabs>
        <w:ind w:left="4635" w:hanging="315"/>
      </w:pPr>
      <w:rPr>
        <w:rFonts w:ascii="Arial" w:eastAsia="Arial" w:hAnsi="Arial" w:cs="Arial"/>
        <w:b/>
        <w:bCs/>
        <w:position w:val="0"/>
        <w:sz w:val="21"/>
        <w:szCs w:val="21"/>
      </w:rPr>
    </w:lvl>
    <w:lvl w:ilvl="7">
      <w:start w:val="1"/>
      <w:numFmt w:val="bullet"/>
      <w:lvlText w:val="o"/>
      <w:lvlJc w:val="left"/>
      <w:pPr>
        <w:tabs>
          <w:tab w:val="num" w:pos="5355"/>
        </w:tabs>
        <w:ind w:left="5355" w:hanging="315"/>
      </w:pPr>
      <w:rPr>
        <w:rFonts w:ascii="Arial" w:eastAsia="Arial" w:hAnsi="Arial" w:cs="Arial"/>
        <w:b/>
        <w:bCs/>
        <w:position w:val="0"/>
        <w:sz w:val="21"/>
        <w:szCs w:val="21"/>
      </w:rPr>
    </w:lvl>
    <w:lvl w:ilvl="8">
      <w:start w:val="1"/>
      <w:numFmt w:val="bullet"/>
      <w:lvlText w:val="▪"/>
      <w:lvlJc w:val="left"/>
      <w:pPr>
        <w:tabs>
          <w:tab w:val="num" w:pos="6075"/>
        </w:tabs>
        <w:ind w:left="6075" w:hanging="315"/>
      </w:pPr>
      <w:rPr>
        <w:rFonts w:ascii="Arial" w:eastAsia="Arial" w:hAnsi="Arial" w:cs="Arial"/>
        <w:b/>
        <w:bCs/>
        <w:position w:val="0"/>
        <w:sz w:val="21"/>
        <w:szCs w:val="21"/>
      </w:rPr>
    </w:lvl>
  </w:abstractNum>
  <w:abstractNum w:abstractNumId="8">
    <w:nsid w:val="23064DCB"/>
    <w:multiLevelType w:val="hybridMultilevel"/>
    <w:tmpl w:val="768EC0C2"/>
    <w:lvl w:ilvl="0" w:tplc="0C0A0003">
      <w:start w:val="1"/>
      <w:numFmt w:val="bullet"/>
      <w:lvlText w:val="o"/>
      <w:lvlJc w:val="left"/>
      <w:pPr>
        <w:ind w:left="1571" w:hanging="360"/>
      </w:pPr>
      <w:rPr>
        <w:rFonts w:ascii="Courier New" w:hAnsi="Courier New" w:cs="Courier New" w:hint="default"/>
      </w:rPr>
    </w:lvl>
    <w:lvl w:ilvl="1" w:tplc="0C0A0003">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9">
    <w:nsid w:val="23FC2E1D"/>
    <w:multiLevelType w:val="multilevel"/>
    <w:tmpl w:val="77E070FC"/>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10">
    <w:nsid w:val="29FE1FDA"/>
    <w:multiLevelType w:val="hybridMultilevel"/>
    <w:tmpl w:val="3F4C9B48"/>
    <w:lvl w:ilvl="0" w:tplc="E5D0F60E">
      <w:start w:val="1"/>
      <w:numFmt w:val="bullet"/>
      <w:lvlText w:val=""/>
      <w:lvlJc w:val="left"/>
      <w:pPr>
        <w:ind w:left="720" w:hanging="360"/>
      </w:pPr>
      <w:rPr>
        <w:rFonts w:ascii="Wingdings" w:hAnsi="Wingdings" w:hint="default"/>
        <w:sz w:val="26"/>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9722B5"/>
    <w:multiLevelType w:val="multilevel"/>
    <w:tmpl w:val="6D6A19FE"/>
    <w:lvl w:ilvl="0">
      <w:numFmt w:val="bullet"/>
      <w:lvlText w:val="▪"/>
      <w:lvlJc w:val="left"/>
      <w:pPr>
        <w:tabs>
          <w:tab w:val="num" w:pos="360"/>
        </w:tabs>
        <w:ind w:left="360" w:hanging="360"/>
      </w:pPr>
      <w:rPr>
        <w:rFonts w:ascii="Arial" w:eastAsia="Arial" w:hAnsi="Arial" w:cs="Arial"/>
        <w:b/>
        <w:bCs/>
        <w:position w:val="0"/>
        <w:sz w:val="24"/>
        <w:szCs w:val="24"/>
      </w:rPr>
    </w:lvl>
    <w:lvl w:ilvl="1">
      <w:start w:val="1"/>
      <w:numFmt w:val="bullet"/>
      <w:lvlText w:val="o"/>
      <w:lvlJc w:val="left"/>
      <w:pPr>
        <w:tabs>
          <w:tab w:val="num" w:pos="1035"/>
        </w:tabs>
        <w:ind w:left="1035" w:hanging="315"/>
      </w:pPr>
      <w:rPr>
        <w:rFonts w:ascii="Arial" w:eastAsia="Arial" w:hAnsi="Arial" w:cs="Arial"/>
        <w:b/>
        <w:bCs/>
        <w:position w:val="0"/>
        <w:sz w:val="21"/>
        <w:szCs w:val="21"/>
      </w:rPr>
    </w:lvl>
    <w:lvl w:ilvl="2">
      <w:start w:val="1"/>
      <w:numFmt w:val="bullet"/>
      <w:lvlText w:val="▪"/>
      <w:lvlJc w:val="left"/>
      <w:pPr>
        <w:tabs>
          <w:tab w:val="num" w:pos="1755"/>
        </w:tabs>
        <w:ind w:left="1755" w:hanging="315"/>
      </w:pPr>
      <w:rPr>
        <w:rFonts w:ascii="Arial" w:eastAsia="Arial" w:hAnsi="Arial" w:cs="Arial"/>
        <w:b/>
        <w:bCs/>
        <w:position w:val="0"/>
        <w:sz w:val="21"/>
        <w:szCs w:val="21"/>
      </w:rPr>
    </w:lvl>
    <w:lvl w:ilvl="3">
      <w:start w:val="1"/>
      <w:numFmt w:val="bullet"/>
      <w:lvlText w:val="•"/>
      <w:lvlJc w:val="left"/>
      <w:pPr>
        <w:tabs>
          <w:tab w:val="num" w:pos="2475"/>
        </w:tabs>
        <w:ind w:left="2475" w:hanging="315"/>
      </w:pPr>
      <w:rPr>
        <w:rFonts w:ascii="Arial" w:eastAsia="Arial" w:hAnsi="Arial" w:cs="Arial"/>
        <w:b/>
        <w:bCs/>
        <w:position w:val="0"/>
        <w:sz w:val="21"/>
        <w:szCs w:val="21"/>
      </w:rPr>
    </w:lvl>
    <w:lvl w:ilvl="4">
      <w:start w:val="1"/>
      <w:numFmt w:val="bullet"/>
      <w:lvlText w:val="o"/>
      <w:lvlJc w:val="left"/>
      <w:pPr>
        <w:tabs>
          <w:tab w:val="num" w:pos="3195"/>
        </w:tabs>
        <w:ind w:left="3195" w:hanging="315"/>
      </w:pPr>
      <w:rPr>
        <w:rFonts w:ascii="Arial" w:eastAsia="Arial" w:hAnsi="Arial" w:cs="Arial"/>
        <w:b/>
        <w:bCs/>
        <w:position w:val="0"/>
        <w:sz w:val="21"/>
        <w:szCs w:val="21"/>
      </w:rPr>
    </w:lvl>
    <w:lvl w:ilvl="5">
      <w:start w:val="1"/>
      <w:numFmt w:val="bullet"/>
      <w:lvlText w:val="▪"/>
      <w:lvlJc w:val="left"/>
      <w:pPr>
        <w:tabs>
          <w:tab w:val="num" w:pos="3915"/>
        </w:tabs>
        <w:ind w:left="3915" w:hanging="315"/>
      </w:pPr>
      <w:rPr>
        <w:rFonts w:ascii="Arial" w:eastAsia="Arial" w:hAnsi="Arial" w:cs="Arial"/>
        <w:b/>
        <w:bCs/>
        <w:position w:val="0"/>
        <w:sz w:val="21"/>
        <w:szCs w:val="21"/>
      </w:rPr>
    </w:lvl>
    <w:lvl w:ilvl="6">
      <w:start w:val="1"/>
      <w:numFmt w:val="bullet"/>
      <w:lvlText w:val="•"/>
      <w:lvlJc w:val="left"/>
      <w:pPr>
        <w:tabs>
          <w:tab w:val="num" w:pos="4635"/>
        </w:tabs>
        <w:ind w:left="4635" w:hanging="315"/>
      </w:pPr>
      <w:rPr>
        <w:rFonts w:ascii="Arial" w:eastAsia="Arial" w:hAnsi="Arial" w:cs="Arial"/>
        <w:b/>
        <w:bCs/>
        <w:position w:val="0"/>
        <w:sz w:val="21"/>
        <w:szCs w:val="21"/>
      </w:rPr>
    </w:lvl>
    <w:lvl w:ilvl="7">
      <w:start w:val="1"/>
      <w:numFmt w:val="bullet"/>
      <w:lvlText w:val="o"/>
      <w:lvlJc w:val="left"/>
      <w:pPr>
        <w:tabs>
          <w:tab w:val="num" w:pos="5355"/>
        </w:tabs>
        <w:ind w:left="5355" w:hanging="315"/>
      </w:pPr>
      <w:rPr>
        <w:rFonts w:ascii="Arial" w:eastAsia="Arial" w:hAnsi="Arial" w:cs="Arial"/>
        <w:b/>
        <w:bCs/>
        <w:position w:val="0"/>
        <w:sz w:val="21"/>
        <w:szCs w:val="21"/>
      </w:rPr>
    </w:lvl>
    <w:lvl w:ilvl="8">
      <w:start w:val="1"/>
      <w:numFmt w:val="bullet"/>
      <w:lvlText w:val="▪"/>
      <w:lvlJc w:val="left"/>
      <w:pPr>
        <w:tabs>
          <w:tab w:val="num" w:pos="6075"/>
        </w:tabs>
        <w:ind w:left="6075" w:hanging="315"/>
      </w:pPr>
      <w:rPr>
        <w:rFonts w:ascii="Arial" w:eastAsia="Arial" w:hAnsi="Arial" w:cs="Arial"/>
        <w:b/>
        <w:bCs/>
        <w:position w:val="0"/>
        <w:sz w:val="21"/>
        <w:szCs w:val="21"/>
      </w:rPr>
    </w:lvl>
  </w:abstractNum>
  <w:abstractNum w:abstractNumId="12">
    <w:nsid w:val="2ABB03E8"/>
    <w:multiLevelType w:val="multilevel"/>
    <w:tmpl w:val="3182CB16"/>
    <w:lvl w:ilvl="0">
      <w:numFmt w:val="bullet"/>
      <w:lvlText w:val="▪"/>
      <w:lvlJc w:val="left"/>
      <w:pPr>
        <w:tabs>
          <w:tab w:val="num" w:pos="291"/>
        </w:tabs>
        <w:ind w:left="291" w:hanging="291"/>
      </w:pPr>
      <w:rPr>
        <w:rFonts w:ascii="Verdana" w:eastAsia="Verdana" w:hAnsi="Verdana" w:cs="Verdana"/>
        <w:position w:val="0"/>
        <w:sz w:val="26"/>
        <w:szCs w:val="26"/>
        <w:lang w:val="es-ES_tradnl"/>
      </w:rPr>
    </w:lvl>
    <w:lvl w:ilvl="1">
      <w:start w:val="1"/>
      <w:numFmt w:val="bullet"/>
      <w:lvlText w:val="o"/>
      <w:lvlJc w:val="left"/>
      <w:pPr>
        <w:tabs>
          <w:tab w:val="num" w:pos="1035"/>
        </w:tabs>
        <w:ind w:left="1035" w:hanging="315"/>
      </w:pPr>
      <w:rPr>
        <w:rFonts w:ascii="Arial" w:eastAsia="Arial" w:hAnsi="Arial" w:cs="Arial"/>
        <w:position w:val="0"/>
        <w:sz w:val="21"/>
        <w:szCs w:val="21"/>
        <w:lang w:val="es-ES_tradnl"/>
      </w:rPr>
    </w:lvl>
    <w:lvl w:ilvl="2">
      <w:start w:val="1"/>
      <w:numFmt w:val="bullet"/>
      <w:lvlText w:val="▪"/>
      <w:lvlJc w:val="left"/>
      <w:pPr>
        <w:tabs>
          <w:tab w:val="num" w:pos="1755"/>
        </w:tabs>
        <w:ind w:left="1755" w:hanging="315"/>
      </w:pPr>
      <w:rPr>
        <w:rFonts w:ascii="Arial" w:eastAsia="Arial" w:hAnsi="Arial" w:cs="Arial"/>
        <w:position w:val="0"/>
        <w:sz w:val="21"/>
        <w:szCs w:val="21"/>
        <w:lang w:val="es-ES_tradnl"/>
      </w:rPr>
    </w:lvl>
    <w:lvl w:ilvl="3">
      <w:start w:val="1"/>
      <w:numFmt w:val="bullet"/>
      <w:lvlText w:val="•"/>
      <w:lvlJc w:val="left"/>
      <w:pPr>
        <w:tabs>
          <w:tab w:val="num" w:pos="2475"/>
        </w:tabs>
        <w:ind w:left="2475" w:hanging="315"/>
      </w:pPr>
      <w:rPr>
        <w:rFonts w:ascii="Arial" w:eastAsia="Arial" w:hAnsi="Arial" w:cs="Arial"/>
        <w:position w:val="0"/>
        <w:sz w:val="21"/>
        <w:szCs w:val="21"/>
        <w:lang w:val="es-ES_tradnl"/>
      </w:rPr>
    </w:lvl>
    <w:lvl w:ilvl="4">
      <w:start w:val="1"/>
      <w:numFmt w:val="bullet"/>
      <w:lvlText w:val="o"/>
      <w:lvlJc w:val="left"/>
      <w:pPr>
        <w:tabs>
          <w:tab w:val="num" w:pos="3195"/>
        </w:tabs>
        <w:ind w:left="3195" w:hanging="315"/>
      </w:pPr>
      <w:rPr>
        <w:rFonts w:ascii="Arial" w:eastAsia="Arial" w:hAnsi="Arial" w:cs="Arial"/>
        <w:position w:val="0"/>
        <w:sz w:val="21"/>
        <w:szCs w:val="21"/>
        <w:lang w:val="es-ES_tradnl"/>
      </w:rPr>
    </w:lvl>
    <w:lvl w:ilvl="5">
      <w:start w:val="1"/>
      <w:numFmt w:val="bullet"/>
      <w:lvlText w:val="▪"/>
      <w:lvlJc w:val="left"/>
      <w:pPr>
        <w:tabs>
          <w:tab w:val="num" w:pos="3915"/>
        </w:tabs>
        <w:ind w:left="3915" w:hanging="315"/>
      </w:pPr>
      <w:rPr>
        <w:rFonts w:ascii="Arial" w:eastAsia="Arial" w:hAnsi="Arial" w:cs="Arial"/>
        <w:position w:val="0"/>
        <w:sz w:val="21"/>
        <w:szCs w:val="21"/>
        <w:lang w:val="es-ES_tradnl"/>
      </w:rPr>
    </w:lvl>
    <w:lvl w:ilvl="6">
      <w:start w:val="1"/>
      <w:numFmt w:val="bullet"/>
      <w:lvlText w:val="•"/>
      <w:lvlJc w:val="left"/>
      <w:pPr>
        <w:tabs>
          <w:tab w:val="num" w:pos="4635"/>
        </w:tabs>
        <w:ind w:left="4635" w:hanging="315"/>
      </w:pPr>
      <w:rPr>
        <w:rFonts w:ascii="Arial" w:eastAsia="Arial" w:hAnsi="Arial" w:cs="Arial"/>
        <w:position w:val="0"/>
        <w:sz w:val="21"/>
        <w:szCs w:val="21"/>
        <w:lang w:val="es-ES_tradnl"/>
      </w:rPr>
    </w:lvl>
    <w:lvl w:ilvl="7">
      <w:start w:val="1"/>
      <w:numFmt w:val="bullet"/>
      <w:lvlText w:val="o"/>
      <w:lvlJc w:val="left"/>
      <w:pPr>
        <w:tabs>
          <w:tab w:val="num" w:pos="5355"/>
        </w:tabs>
        <w:ind w:left="5355" w:hanging="315"/>
      </w:pPr>
      <w:rPr>
        <w:rFonts w:ascii="Arial" w:eastAsia="Arial" w:hAnsi="Arial" w:cs="Arial"/>
        <w:position w:val="0"/>
        <w:sz w:val="21"/>
        <w:szCs w:val="21"/>
        <w:lang w:val="es-ES_tradnl"/>
      </w:rPr>
    </w:lvl>
    <w:lvl w:ilvl="8">
      <w:start w:val="1"/>
      <w:numFmt w:val="bullet"/>
      <w:lvlText w:val="▪"/>
      <w:lvlJc w:val="left"/>
      <w:pPr>
        <w:tabs>
          <w:tab w:val="num" w:pos="6075"/>
        </w:tabs>
        <w:ind w:left="6075" w:hanging="315"/>
      </w:pPr>
      <w:rPr>
        <w:rFonts w:ascii="Arial" w:eastAsia="Arial" w:hAnsi="Arial" w:cs="Arial"/>
        <w:position w:val="0"/>
        <w:sz w:val="21"/>
        <w:szCs w:val="21"/>
        <w:lang w:val="es-ES_tradnl"/>
      </w:rPr>
    </w:lvl>
  </w:abstractNum>
  <w:abstractNum w:abstractNumId="13">
    <w:nsid w:val="2F7719DE"/>
    <w:multiLevelType w:val="multilevel"/>
    <w:tmpl w:val="2C98347E"/>
    <w:styleLink w:val="Lista41"/>
    <w:lvl w:ilvl="0">
      <w:numFmt w:val="bullet"/>
      <w:lvlText w:val="▪"/>
      <w:lvlJc w:val="left"/>
      <w:rPr>
        <w:rFonts w:ascii="Arial" w:eastAsia="Arial" w:hAnsi="Arial" w:cs="Arial"/>
        <w:b w:val="0"/>
        <w:bCs w:val="0"/>
        <w:position w:val="0"/>
        <w:rtl w:val="0"/>
        <w:lang w:val="es-ES_tradnl"/>
      </w:rPr>
    </w:lvl>
    <w:lvl w:ilvl="1">
      <w:start w:val="1"/>
      <w:numFmt w:val="bullet"/>
      <w:lvlText w:val="o"/>
      <w:lvlJc w:val="left"/>
      <w:rPr>
        <w:rFonts w:ascii="Arial" w:eastAsia="Arial" w:hAnsi="Arial" w:cs="Arial"/>
        <w:b/>
        <w:bCs/>
        <w:position w:val="0"/>
        <w:rtl w:val="0"/>
        <w:lang w:val="es-ES_tradnl"/>
      </w:rPr>
    </w:lvl>
    <w:lvl w:ilvl="2">
      <w:start w:val="1"/>
      <w:numFmt w:val="bullet"/>
      <w:lvlText w:val="▪"/>
      <w:lvlJc w:val="left"/>
      <w:rPr>
        <w:rFonts w:ascii="Arial" w:eastAsia="Arial" w:hAnsi="Arial" w:cs="Arial"/>
        <w:b/>
        <w:bCs/>
        <w:position w:val="0"/>
        <w:rtl w:val="0"/>
        <w:lang w:val="es-ES_tradnl"/>
      </w:rPr>
    </w:lvl>
    <w:lvl w:ilvl="3">
      <w:start w:val="1"/>
      <w:numFmt w:val="bullet"/>
      <w:lvlText w:val="•"/>
      <w:lvlJc w:val="left"/>
      <w:rPr>
        <w:rFonts w:ascii="Arial" w:eastAsia="Arial" w:hAnsi="Arial" w:cs="Arial"/>
        <w:b/>
        <w:bCs/>
        <w:position w:val="0"/>
        <w:rtl w:val="0"/>
        <w:lang w:val="es-ES_tradnl"/>
      </w:rPr>
    </w:lvl>
    <w:lvl w:ilvl="4">
      <w:start w:val="1"/>
      <w:numFmt w:val="bullet"/>
      <w:lvlText w:val="o"/>
      <w:lvlJc w:val="left"/>
      <w:rPr>
        <w:rFonts w:ascii="Arial" w:eastAsia="Arial" w:hAnsi="Arial" w:cs="Arial"/>
        <w:b/>
        <w:bCs/>
        <w:position w:val="0"/>
        <w:rtl w:val="0"/>
        <w:lang w:val="es-ES_tradnl"/>
      </w:rPr>
    </w:lvl>
    <w:lvl w:ilvl="5">
      <w:start w:val="1"/>
      <w:numFmt w:val="bullet"/>
      <w:lvlText w:val="▪"/>
      <w:lvlJc w:val="left"/>
      <w:rPr>
        <w:rFonts w:ascii="Arial" w:eastAsia="Arial" w:hAnsi="Arial" w:cs="Arial"/>
        <w:b/>
        <w:bCs/>
        <w:position w:val="0"/>
        <w:rtl w:val="0"/>
        <w:lang w:val="es-ES_tradnl"/>
      </w:rPr>
    </w:lvl>
    <w:lvl w:ilvl="6">
      <w:start w:val="1"/>
      <w:numFmt w:val="bullet"/>
      <w:lvlText w:val="•"/>
      <w:lvlJc w:val="left"/>
      <w:rPr>
        <w:rFonts w:ascii="Arial" w:eastAsia="Arial" w:hAnsi="Arial" w:cs="Arial"/>
        <w:b/>
        <w:bCs/>
        <w:position w:val="0"/>
        <w:rtl w:val="0"/>
        <w:lang w:val="es-ES_tradnl"/>
      </w:rPr>
    </w:lvl>
    <w:lvl w:ilvl="7">
      <w:start w:val="1"/>
      <w:numFmt w:val="bullet"/>
      <w:lvlText w:val="o"/>
      <w:lvlJc w:val="left"/>
      <w:rPr>
        <w:rFonts w:ascii="Arial" w:eastAsia="Arial" w:hAnsi="Arial" w:cs="Arial"/>
        <w:b/>
        <w:bCs/>
        <w:position w:val="0"/>
        <w:rtl w:val="0"/>
        <w:lang w:val="es-ES_tradnl"/>
      </w:rPr>
    </w:lvl>
    <w:lvl w:ilvl="8">
      <w:start w:val="1"/>
      <w:numFmt w:val="bullet"/>
      <w:lvlText w:val="▪"/>
      <w:lvlJc w:val="left"/>
      <w:rPr>
        <w:rFonts w:ascii="Arial" w:eastAsia="Arial" w:hAnsi="Arial" w:cs="Arial"/>
        <w:b/>
        <w:bCs/>
        <w:position w:val="0"/>
        <w:rtl w:val="0"/>
        <w:lang w:val="es-ES_tradnl"/>
      </w:rPr>
    </w:lvl>
  </w:abstractNum>
  <w:abstractNum w:abstractNumId="14">
    <w:nsid w:val="443A2D39"/>
    <w:multiLevelType w:val="multilevel"/>
    <w:tmpl w:val="1F44D10E"/>
    <w:lvl w:ilvl="0">
      <w:numFmt w:val="bullet"/>
      <w:lvlText w:val="▪"/>
      <w:lvlJc w:val="left"/>
      <w:pPr>
        <w:tabs>
          <w:tab w:val="num" w:pos="360"/>
        </w:tabs>
        <w:ind w:left="360" w:hanging="360"/>
      </w:pPr>
      <w:rPr>
        <w:rFonts w:ascii="Arial" w:eastAsia="Arial" w:hAnsi="Arial" w:cs="Arial"/>
        <w:b/>
        <w:bCs/>
        <w:position w:val="0"/>
        <w:sz w:val="24"/>
        <w:szCs w:val="24"/>
      </w:rPr>
    </w:lvl>
    <w:lvl w:ilvl="1">
      <w:start w:val="1"/>
      <w:numFmt w:val="bullet"/>
      <w:lvlText w:val="o"/>
      <w:lvlJc w:val="left"/>
      <w:pPr>
        <w:tabs>
          <w:tab w:val="num" w:pos="1035"/>
        </w:tabs>
        <w:ind w:left="1035" w:hanging="315"/>
      </w:pPr>
      <w:rPr>
        <w:rFonts w:ascii="Arial" w:eastAsia="Arial" w:hAnsi="Arial" w:cs="Arial"/>
        <w:b/>
        <w:bCs/>
        <w:position w:val="0"/>
        <w:sz w:val="21"/>
        <w:szCs w:val="21"/>
      </w:rPr>
    </w:lvl>
    <w:lvl w:ilvl="2">
      <w:start w:val="1"/>
      <w:numFmt w:val="bullet"/>
      <w:lvlText w:val="▪"/>
      <w:lvlJc w:val="left"/>
      <w:pPr>
        <w:tabs>
          <w:tab w:val="num" w:pos="1755"/>
        </w:tabs>
        <w:ind w:left="1755" w:hanging="315"/>
      </w:pPr>
      <w:rPr>
        <w:rFonts w:ascii="Arial" w:eastAsia="Arial" w:hAnsi="Arial" w:cs="Arial"/>
        <w:b/>
        <w:bCs/>
        <w:position w:val="0"/>
        <w:sz w:val="21"/>
        <w:szCs w:val="21"/>
      </w:rPr>
    </w:lvl>
    <w:lvl w:ilvl="3">
      <w:start w:val="1"/>
      <w:numFmt w:val="bullet"/>
      <w:lvlText w:val="•"/>
      <w:lvlJc w:val="left"/>
      <w:pPr>
        <w:tabs>
          <w:tab w:val="num" w:pos="2475"/>
        </w:tabs>
        <w:ind w:left="2475" w:hanging="315"/>
      </w:pPr>
      <w:rPr>
        <w:rFonts w:ascii="Arial" w:eastAsia="Arial" w:hAnsi="Arial" w:cs="Arial"/>
        <w:b/>
        <w:bCs/>
        <w:position w:val="0"/>
        <w:sz w:val="21"/>
        <w:szCs w:val="21"/>
      </w:rPr>
    </w:lvl>
    <w:lvl w:ilvl="4">
      <w:start w:val="1"/>
      <w:numFmt w:val="bullet"/>
      <w:lvlText w:val="o"/>
      <w:lvlJc w:val="left"/>
      <w:pPr>
        <w:tabs>
          <w:tab w:val="num" w:pos="3195"/>
        </w:tabs>
        <w:ind w:left="3195" w:hanging="315"/>
      </w:pPr>
      <w:rPr>
        <w:rFonts w:ascii="Arial" w:eastAsia="Arial" w:hAnsi="Arial" w:cs="Arial"/>
        <w:b/>
        <w:bCs/>
        <w:position w:val="0"/>
        <w:sz w:val="21"/>
        <w:szCs w:val="21"/>
      </w:rPr>
    </w:lvl>
    <w:lvl w:ilvl="5">
      <w:start w:val="1"/>
      <w:numFmt w:val="bullet"/>
      <w:lvlText w:val="▪"/>
      <w:lvlJc w:val="left"/>
      <w:pPr>
        <w:tabs>
          <w:tab w:val="num" w:pos="3915"/>
        </w:tabs>
        <w:ind w:left="3915" w:hanging="315"/>
      </w:pPr>
      <w:rPr>
        <w:rFonts w:ascii="Arial" w:eastAsia="Arial" w:hAnsi="Arial" w:cs="Arial"/>
        <w:b/>
        <w:bCs/>
        <w:position w:val="0"/>
        <w:sz w:val="21"/>
        <w:szCs w:val="21"/>
      </w:rPr>
    </w:lvl>
    <w:lvl w:ilvl="6">
      <w:start w:val="1"/>
      <w:numFmt w:val="bullet"/>
      <w:lvlText w:val="•"/>
      <w:lvlJc w:val="left"/>
      <w:pPr>
        <w:tabs>
          <w:tab w:val="num" w:pos="4635"/>
        </w:tabs>
        <w:ind w:left="4635" w:hanging="315"/>
      </w:pPr>
      <w:rPr>
        <w:rFonts w:ascii="Arial" w:eastAsia="Arial" w:hAnsi="Arial" w:cs="Arial"/>
        <w:b/>
        <w:bCs/>
        <w:position w:val="0"/>
        <w:sz w:val="21"/>
        <w:szCs w:val="21"/>
      </w:rPr>
    </w:lvl>
    <w:lvl w:ilvl="7">
      <w:start w:val="1"/>
      <w:numFmt w:val="bullet"/>
      <w:lvlText w:val="o"/>
      <w:lvlJc w:val="left"/>
      <w:pPr>
        <w:tabs>
          <w:tab w:val="num" w:pos="5355"/>
        </w:tabs>
        <w:ind w:left="5355" w:hanging="315"/>
      </w:pPr>
      <w:rPr>
        <w:rFonts w:ascii="Arial" w:eastAsia="Arial" w:hAnsi="Arial" w:cs="Arial"/>
        <w:b/>
        <w:bCs/>
        <w:position w:val="0"/>
        <w:sz w:val="21"/>
        <w:szCs w:val="21"/>
      </w:rPr>
    </w:lvl>
    <w:lvl w:ilvl="8">
      <w:start w:val="1"/>
      <w:numFmt w:val="bullet"/>
      <w:lvlText w:val="▪"/>
      <w:lvlJc w:val="left"/>
      <w:pPr>
        <w:tabs>
          <w:tab w:val="num" w:pos="6075"/>
        </w:tabs>
        <w:ind w:left="6075" w:hanging="315"/>
      </w:pPr>
      <w:rPr>
        <w:rFonts w:ascii="Arial" w:eastAsia="Arial" w:hAnsi="Arial" w:cs="Arial"/>
        <w:b/>
        <w:bCs/>
        <w:position w:val="0"/>
        <w:sz w:val="21"/>
        <w:szCs w:val="21"/>
      </w:rPr>
    </w:lvl>
  </w:abstractNum>
  <w:abstractNum w:abstractNumId="15">
    <w:nsid w:val="4D3F2E16"/>
    <w:multiLevelType w:val="multilevel"/>
    <w:tmpl w:val="6F906278"/>
    <w:lvl w:ilvl="0">
      <w:numFmt w:val="bullet"/>
      <w:lvlText w:val="▪"/>
      <w:lvlJc w:val="left"/>
      <w:pPr>
        <w:tabs>
          <w:tab w:val="num" w:pos="291"/>
        </w:tabs>
        <w:ind w:left="291" w:hanging="291"/>
      </w:pPr>
      <w:rPr>
        <w:rFonts w:ascii="Arial" w:eastAsia="Arial" w:hAnsi="Arial" w:cs="Arial"/>
        <w:position w:val="0"/>
        <w:sz w:val="26"/>
        <w:szCs w:val="26"/>
        <w:rtl w:val="0"/>
        <w:lang w:val="es-ES_tradnl"/>
      </w:rPr>
    </w:lvl>
    <w:lvl w:ilvl="1">
      <w:start w:val="1"/>
      <w:numFmt w:val="bullet"/>
      <w:lvlText w:val="o"/>
      <w:lvlJc w:val="left"/>
      <w:pPr>
        <w:tabs>
          <w:tab w:val="num" w:pos="1035"/>
        </w:tabs>
        <w:ind w:left="1035" w:hanging="315"/>
      </w:pPr>
      <w:rPr>
        <w:rFonts w:ascii="Arial" w:eastAsia="Arial" w:hAnsi="Arial" w:cs="Arial"/>
        <w:position w:val="0"/>
        <w:sz w:val="21"/>
        <w:szCs w:val="21"/>
        <w:rtl w:val="0"/>
        <w:lang w:val="es-ES_tradnl"/>
      </w:rPr>
    </w:lvl>
    <w:lvl w:ilvl="2">
      <w:start w:val="1"/>
      <w:numFmt w:val="bullet"/>
      <w:lvlText w:val="▪"/>
      <w:lvlJc w:val="left"/>
      <w:pPr>
        <w:tabs>
          <w:tab w:val="num" w:pos="1755"/>
        </w:tabs>
        <w:ind w:left="1755" w:hanging="315"/>
      </w:pPr>
      <w:rPr>
        <w:rFonts w:ascii="Arial" w:eastAsia="Arial" w:hAnsi="Arial" w:cs="Arial"/>
        <w:position w:val="0"/>
        <w:sz w:val="21"/>
        <w:szCs w:val="21"/>
        <w:rtl w:val="0"/>
        <w:lang w:val="es-ES_tradnl"/>
      </w:rPr>
    </w:lvl>
    <w:lvl w:ilvl="3">
      <w:start w:val="1"/>
      <w:numFmt w:val="bullet"/>
      <w:lvlText w:val="•"/>
      <w:lvlJc w:val="left"/>
      <w:pPr>
        <w:tabs>
          <w:tab w:val="num" w:pos="2475"/>
        </w:tabs>
        <w:ind w:left="2475" w:hanging="315"/>
      </w:pPr>
      <w:rPr>
        <w:rFonts w:ascii="Arial" w:eastAsia="Arial" w:hAnsi="Arial" w:cs="Arial"/>
        <w:position w:val="0"/>
        <w:sz w:val="21"/>
        <w:szCs w:val="21"/>
        <w:rtl w:val="0"/>
        <w:lang w:val="es-ES_tradnl"/>
      </w:rPr>
    </w:lvl>
    <w:lvl w:ilvl="4">
      <w:start w:val="1"/>
      <w:numFmt w:val="bullet"/>
      <w:lvlText w:val="o"/>
      <w:lvlJc w:val="left"/>
      <w:pPr>
        <w:tabs>
          <w:tab w:val="num" w:pos="3195"/>
        </w:tabs>
        <w:ind w:left="3195" w:hanging="315"/>
      </w:pPr>
      <w:rPr>
        <w:rFonts w:ascii="Arial" w:eastAsia="Arial" w:hAnsi="Arial" w:cs="Arial"/>
        <w:position w:val="0"/>
        <w:sz w:val="21"/>
        <w:szCs w:val="21"/>
        <w:rtl w:val="0"/>
        <w:lang w:val="es-ES_tradnl"/>
      </w:rPr>
    </w:lvl>
    <w:lvl w:ilvl="5">
      <w:start w:val="1"/>
      <w:numFmt w:val="bullet"/>
      <w:lvlText w:val="▪"/>
      <w:lvlJc w:val="left"/>
      <w:pPr>
        <w:tabs>
          <w:tab w:val="num" w:pos="3915"/>
        </w:tabs>
        <w:ind w:left="3915" w:hanging="315"/>
      </w:pPr>
      <w:rPr>
        <w:rFonts w:ascii="Arial" w:eastAsia="Arial" w:hAnsi="Arial" w:cs="Arial"/>
        <w:position w:val="0"/>
        <w:sz w:val="21"/>
        <w:szCs w:val="21"/>
        <w:rtl w:val="0"/>
        <w:lang w:val="es-ES_tradnl"/>
      </w:rPr>
    </w:lvl>
    <w:lvl w:ilvl="6">
      <w:start w:val="1"/>
      <w:numFmt w:val="bullet"/>
      <w:lvlText w:val="•"/>
      <w:lvlJc w:val="left"/>
      <w:pPr>
        <w:tabs>
          <w:tab w:val="num" w:pos="4635"/>
        </w:tabs>
        <w:ind w:left="4635" w:hanging="315"/>
      </w:pPr>
      <w:rPr>
        <w:rFonts w:ascii="Arial" w:eastAsia="Arial" w:hAnsi="Arial" w:cs="Arial"/>
        <w:position w:val="0"/>
        <w:sz w:val="21"/>
        <w:szCs w:val="21"/>
        <w:rtl w:val="0"/>
        <w:lang w:val="es-ES_tradnl"/>
      </w:rPr>
    </w:lvl>
    <w:lvl w:ilvl="7">
      <w:start w:val="1"/>
      <w:numFmt w:val="bullet"/>
      <w:lvlText w:val="o"/>
      <w:lvlJc w:val="left"/>
      <w:pPr>
        <w:tabs>
          <w:tab w:val="num" w:pos="5355"/>
        </w:tabs>
        <w:ind w:left="5355" w:hanging="315"/>
      </w:pPr>
      <w:rPr>
        <w:rFonts w:ascii="Arial" w:eastAsia="Arial" w:hAnsi="Arial" w:cs="Arial"/>
        <w:position w:val="0"/>
        <w:sz w:val="21"/>
        <w:szCs w:val="21"/>
        <w:rtl w:val="0"/>
        <w:lang w:val="es-ES_tradnl"/>
      </w:rPr>
    </w:lvl>
    <w:lvl w:ilvl="8">
      <w:start w:val="1"/>
      <w:numFmt w:val="bullet"/>
      <w:lvlText w:val="▪"/>
      <w:lvlJc w:val="left"/>
      <w:pPr>
        <w:tabs>
          <w:tab w:val="num" w:pos="6075"/>
        </w:tabs>
        <w:ind w:left="6075" w:hanging="315"/>
      </w:pPr>
      <w:rPr>
        <w:rFonts w:ascii="Arial" w:eastAsia="Arial" w:hAnsi="Arial" w:cs="Arial"/>
        <w:position w:val="0"/>
        <w:sz w:val="21"/>
        <w:szCs w:val="21"/>
        <w:rtl w:val="0"/>
        <w:lang w:val="es-ES_tradnl"/>
      </w:rPr>
    </w:lvl>
  </w:abstractNum>
  <w:abstractNum w:abstractNumId="16">
    <w:nsid w:val="741E7DC5"/>
    <w:multiLevelType w:val="multilevel"/>
    <w:tmpl w:val="A7ACF16A"/>
    <w:styleLink w:val="Lista31"/>
    <w:lvl w:ilvl="0">
      <w:numFmt w:val="bullet"/>
      <w:lvlText w:val="o"/>
      <w:lvlJc w:val="left"/>
      <w:rPr>
        <w:position w:val="0"/>
        <w:rtl w:val="0"/>
        <w:lang w:val="es-ES_tradnl"/>
      </w:rPr>
    </w:lvl>
    <w:lvl w:ilvl="1">
      <w:start w:val="1"/>
      <w:numFmt w:val="bullet"/>
      <w:lvlText w:val="o"/>
      <w:lvlJc w:val="left"/>
      <w:rPr>
        <w:position w:val="0"/>
        <w:rtl w:val="0"/>
        <w:lang w:val="es-ES_tradnl"/>
      </w:rPr>
    </w:lvl>
    <w:lvl w:ilvl="2">
      <w:start w:val="1"/>
      <w:numFmt w:val="bullet"/>
      <w:lvlText w:val="▪"/>
      <w:lvlJc w:val="left"/>
      <w:rPr>
        <w:position w:val="0"/>
        <w:rtl w:val="0"/>
        <w:lang w:val="es-ES_tradnl"/>
      </w:rPr>
    </w:lvl>
    <w:lvl w:ilvl="3">
      <w:start w:val="1"/>
      <w:numFmt w:val="bullet"/>
      <w:lvlText w:val="•"/>
      <w:lvlJc w:val="left"/>
      <w:rPr>
        <w:position w:val="0"/>
        <w:rtl w:val="0"/>
        <w:lang w:val="es-ES_tradnl"/>
      </w:rPr>
    </w:lvl>
    <w:lvl w:ilvl="4">
      <w:start w:val="1"/>
      <w:numFmt w:val="bullet"/>
      <w:lvlText w:val="o"/>
      <w:lvlJc w:val="left"/>
      <w:rPr>
        <w:position w:val="0"/>
        <w:rtl w:val="0"/>
        <w:lang w:val="es-ES_tradnl"/>
      </w:rPr>
    </w:lvl>
    <w:lvl w:ilvl="5">
      <w:start w:val="1"/>
      <w:numFmt w:val="bullet"/>
      <w:lvlText w:val="▪"/>
      <w:lvlJc w:val="left"/>
      <w:rPr>
        <w:position w:val="0"/>
        <w:rtl w:val="0"/>
        <w:lang w:val="es-ES_tradnl"/>
      </w:rPr>
    </w:lvl>
    <w:lvl w:ilvl="6">
      <w:start w:val="1"/>
      <w:numFmt w:val="bullet"/>
      <w:lvlText w:val="•"/>
      <w:lvlJc w:val="left"/>
      <w:rPr>
        <w:position w:val="0"/>
        <w:rtl w:val="0"/>
        <w:lang w:val="es-ES_tradnl"/>
      </w:rPr>
    </w:lvl>
    <w:lvl w:ilvl="7">
      <w:start w:val="1"/>
      <w:numFmt w:val="bullet"/>
      <w:lvlText w:val="o"/>
      <w:lvlJc w:val="left"/>
      <w:rPr>
        <w:position w:val="0"/>
        <w:rtl w:val="0"/>
        <w:lang w:val="es-ES_tradnl"/>
      </w:rPr>
    </w:lvl>
    <w:lvl w:ilvl="8">
      <w:start w:val="1"/>
      <w:numFmt w:val="bullet"/>
      <w:lvlText w:val="▪"/>
      <w:lvlJc w:val="left"/>
      <w:rPr>
        <w:position w:val="0"/>
        <w:rtl w:val="0"/>
        <w:lang w:val="es-ES_tradnl"/>
      </w:rPr>
    </w:lvl>
  </w:abstractNum>
  <w:abstractNum w:abstractNumId="17">
    <w:nsid w:val="77571DDB"/>
    <w:multiLevelType w:val="multilevel"/>
    <w:tmpl w:val="0DF60A78"/>
    <w:styleLink w:val="Lista21"/>
    <w:lvl w:ilvl="0">
      <w:numFmt w:val="bullet"/>
      <w:lvlText w:val="▪"/>
      <w:lvlJc w:val="left"/>
      <w:pPr>
        <w:tabs>
          <w:tab w:val="num" w:pos="360"/>
        </w:tabs>
        <w:ind w:left="360" w:hanging="360"/>
      </w:pPr>
      <w:rPr>
        <w:rFonts w:ascii="Arial" w:eastAsia="Arial" w:hAnsi="Arial" w:cs="Arial"/>
        <w:b/>
        <w:bCs/>
        <w:position w:val="0"/>
        <w:sz w:val="24"/>
        <w:szCs w:val="24"/>
      </w:rPr>
    </w:lvl>
    <w:lvl w:ilvl="1">
      <w:start w:val="1"/>
      <w:numFmt w:val="bullet"/>
      <w:lvlText w:val="o"/>
      <w:lvlJc w:val="left"/>
      <w:pPr>
        <w:tabs>
          <w:tab w:val="num" w:pos="1035"/>
        </w:tabs>
        <w:ind w:left="1035" w:hanging="315"/>
      </w:pPr>
      <w:rPr>
        <w:rFonts w:ascii="Arial" w:eastAsia="Arial" w:hAnsi="Arial" w:cs="Arial"/>
        <w:b/>
        <w:bCs/>
        <w:position w:val="0"/>
        <w:sz w:val="21"/>
        <w:szCs w:val="21"/>
      </w:rPr>
    </w:lvl>
    <w:lvl w:ilvl="2">
      <w:start w:val="1"/>
      <w:numFmt w:val="bullet"/>
      <w:lvlText w:val="▪"/>
      <w:lvlJc w:val="left"/>
      <w:pPr>
        <w:tabs>
          <w:tab w:val="num" w:pos="1755"/>
        </w:tabs>
        <w:ind w:left="1755" w:hanging="315"/>
      </w:pPr>
      <w:rPr>
        <w:rFonts w:ascii="Arial" w:eastAsia="Arial" w:hAnsi="Arial" w:cs="Arial"/>
        <w:b/>
        <w:bCs/>
        <w:position w:val="0"/>
        <w:sz w:val="21"/>
        <w:szCs w:val="21"/>
      </w:rPr>
    </w:lvl>
    <w:lvl w:ilvl="3">
      <w:start w:val="1"/>
      <w:numFmt w:val="bullet"/>
      <w:lvlText w:val="•"/>
      <w:lvlJc w:val="left"/>
      <w:pPr>
        <w:tabs>
          <w:tab w:val="num" w:pos="2475"/>
        </w:tabs>
        <w:ind w:left="2475" w:hanging="315"/>
      </w:pPr>
      <w:rPr>
        <w:rFonts w:ascii="Arial" w:eastAsia="Arial" w:hAnsi="Arial" w:cs="Arial"/>
        <w:b/>
        <w:bCs/>
        <w:position w:val="0"/>
        <w:sz w:val="21"/>
        <w:szCs w:val="21"/>
      </w:rPr>
    </w:lvl>
    <w:lvl w:ilvl="4">
      <w:start w:val="1"/>
      <w:numFmt w:val="bullet"/>
      <w:lvlText w:val="o"/>
      <w:lvlJc w:val="left"/>
      <w:pPr>
        <w:tabs>
          <w:tab w:val="num" w:pos="3195"/>
        </w:tabs>
        <w:ind w:left="3195" w:hanging="315"/>
      </w:pPr>
      <w:rPr>
        <w:rFonts w:ascii="Arial" w:eastAsia="Arial" w:hAnsi="Arial" w:cs="Arial"/>
        <w:b/>
        <w:bCs/>
        <w:position w:val="0"/>
        <w:sz w:val="21"/>
        <w:szCs w:val="21"/>
      </w:rPr>
    </w:lvl>
    <w:lvl w:ilvl="5">
      <w:start w:val="1"/>
      <w:numFmt w:val="bullet"/>
      <w:lvlText w:val="▪"/>
      <w:lvlJc w:val="left"/>
      <w:pPr>
        <w:tabs>
          <w:tab w:val="num" w:pos="3915"/>
        </w:tabs>
        <w:ind w:left="3915" w:hanging="315"/>
      </w:pPr>
      <w:rPr>
        <w:rFonts w:ascii="Arial" w:eastAsia="Arial" w:hAnsi="Arial" w:cs="Arial"/>
        <w:b/>
        <w:bCs/>
        <w:position w:val="0"/>
        <w:sz w:val="21"/>
        <w:szCs w:val="21"/>
      </w:rPr>
    </w:lvl>
    <w:lvl w:ilvl="6">
      <w:start w:val="1"/>
      <w:numFmt w:val="bullet"/>
      <w:lvlText w:val="•"/>
      <w:lvlJc w:val="left"/>
      <w:pPr>
        <w:tabs>
          <w:tab w:val="num" w:pos="4635"/>
        </w:tabs>
        <w:ind w:left="4635" w:hanging="315"/>
      </w:pPr>
      <w:rPr>
        <w:rFonts w:ascii="Arial" w:eastAsia="Arial" w:hAnsi="Arial" w:cs="Arial"/>
        <w:b/>
        <w:bCs/>
        <w:position w:val="0"/>
        <w:sz w:val="21"/>
        <w:szCs w:val="21"/>
      </w:rPr>
    </w:lvl>
    <w:lvl w:ilvl="7">
      <w:start w:val="1"/>
      <w:numFmt w:val="bullet"/>
      <w:lvlText w:val="o"/>
      <w:lvlJc w:val="left"/>
      <w:pPr>
        <w:tabs>
          <w:tab w:val="num" w:pos="5355"/>
        </w:tabs>
        <w:ind w:left="5355" w:hanging="315"/>
      </w:pPr>
      <w:rPr>
        <w:rFonts w:ascii="Arial" w:eastAsia="Arial" w:hAnsi="Arial" w:cs="Arial"/>
        <w:b/>
        <w:bCs/>
        <w:position w:val="0"/>
        <w:sz w:val="21"/>
        <w:szCs w:val="21"/>
      </w:rPr>
    </w:lvl>
    <w:lvl w:ilvl="8">
      <w:start w:val="1"/>
      <w:numFmt w:val="bullet"/>
      <w:lvlText w:val="▪"/>
      <w:lvlJc w:val="left"/>
      <w:pPr>
        <w:tabs>
          <w:tab w:val="num" w:pos="6075"/>
        </w:tabs>
        <w:ind w:left="6075" w:hanging="315"/>
      </w:pPr>
      <w:rPr>
        <w:rFonts w:ascii="Arial" w:eastAsia="Arial" w:hAnsi="Arial" w:cs="Arial"/>
        <w:b/>
        <w:bCs/>
        <w:position w:val="0"/>
        <w:sz w:val="21"/>
        <w:szCs w:val="21"/>
      </w:rPr>
    </w:lvl>
  </w:abstractNum>
  <w:abstractNum w:abstractNumId="18">
    <w:nsid w:val="7EAB2B8C"/>
    <w:multiLevelType w:val="multilevel"/>
    <w:tmpl w:val="84007136"/>
    <w:styleLink w:val="List0"/>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num w:numId="1">
    <w:abstractNumId w:val="9"/>
  </w:num>
  <w:num w:numId="2">
    <w:abstractNumId w:val="5"/>
  </w:num>
  <w:num w:numId="3">
    <w:abstractNumId w:val="18"/>
  </w:num>
  <w:num w:numId="4">
    <w:abstractNumId w:val="11"/>
  </w:num>
  <w:num w:numId="5">
    <w:abstractNumId w:val="14"/>
  </w:num>
  <w:num w:numId="6">
    <w:abstractNumId w:val="7"/>
  </w:num>
  <w:num w:numId="7">
    <w:abstractNumId w:val="17"/>
  </w:num>
  <w:num w:numId="8">
    <w:abstractNumId w:val="16"/>
  </w:num>
  <w:num w:numId="9">
    <w:abstractNumId w:val="13"/>
  </w:num>
  <w:num w:numId="10">
    <w:abstractNumId w:val="12"/>
  </w:num>
  <w:num w:numId="11">
    <w:abstractNumId w:val="15"/>
  </w:num>
  <w:num w:numId="12">
    <w:abstractNumId w:val="2"/>
  </w:num>
  <w:num w:numId="13">
    <w:abstractNumId w:val="6"/>
  </w:num>
  <w:num w:numId="14">
    <w:abstractNumId w:val="8"/>
  </w:num>
  <w:num w:numId="15">
    <w:abstractNumId w:val="1"/>
  </w:num>
  <w:num w:numId="16">
    <w:abstractNumId w:val="10"/>
  </w:num>
  <w:num w:numId="17">
    <w:abstractNumId w:val="4"/>
  </w:num>
  <w:num w:numId="18">
    <w:abstractNumId w:val="3"/>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proofState w:grammar="clean"/>
  <w:revisionView w:markup="0"/>
  <w:doNotTrackMoves/>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4"/>
  </w:compat>
  <w:rsids>
    <w:rsidRoot w:val="00700DFB"/>
    <w:rsid w:val="00012B2E"/>
    <w:rsid w:val="00016A0E"/>
    <w:rsid w:val="00024A90"/>
    <w:rsid w:val="00025359"/>
    <w:rsid w:val="00035D4D"/>
    <w:rsid w:val="00037592"/>
    <w:rsid w:val="00042375"/>
    <w:rsid w:val="00042AF7"/>
    <w:rsid w:val="000436AD"/>
    <w:rsid w:val="00047721"/>
    <w:rsid w:val="000514EC"/>
    <w:rsid w:val="0005260D"/>
    <w:rsid w:val="00053D7B"/>
    <w:rsid w:val="00071578"/>
    <w:rsid w:val="00072783"/>
    <w:rsid w:val="00091C14"/>
    <w:rsid w:val="00092DA3"/>
    <w:rsid w:val="000A43CB"/>
    <w:rsid w:val="000B59B7"/>
    <w:rsid w:val="000C17A5"/>
    <w:rsid w:val="000C57C8"/>
    <w:rsid w:val="000C5EEC"/>
    <w:rsid w:val="000D1B1B"/>
    <w:rsid w:val="000F08D6"/>
    <w:rsid w:val="00102CCF"/>
    <w:rsid w:val="00104E81"/>
    <w:rsid w:val="00113267"/>
    <w:rsid w:val="00145F71"/>
    <w:rsid w:val="001675EE"/>
    <w:rsid w:val="00175858"/>
    <w:rsid w:val="001816EB"/>
    <w:rsid w:val="001829E7"/>
    <w:rsid w:val="001A770A"/>
    <w:rsid w:val="001B5DA4"/>
    <w:rsid w:val="001C7E89"/>
    <w:rsid w:val="001D47F6"/>
    <w:rsid w:val="001D7312"/>
    <w:rsid w:val="001E5385"/>
    <w:rsid w:val="001F3713"/>
    <w:rsid w:val="00210886"/>
    <w:rsid w:val="00223560"/>
    <w:rsid w:val="00236D40"/>
    <w:rsid w:val="00237EE2"/>
    <w:rsid w:val="00247B3B"/>
    <w:rsid w:val="00250397"/>
    <w:rsid w:val="002852E8"/>
    <w:rsid w:val="00285415"/>
    <w:rsid w:val="00296D86"/>
    <w:rsid w:val="002D4471"/>
    <w:rsid w:val="002F14C0"/>
    <w:rsid w:val="00300257"/>
    <w:rsid w:val="0031310B"/>
    <w:rsid w:val="00316DAC"/>
    <w:rsid w:val="0033236D"/>
    <w:rsid w:val="0033327A"/>
    <w:rsid w:val="00347111"/>
    <w:rsid w:val="00361244"/>
    <w:rsid w:val="00365240"/>
    <w:rsid w:val="0037113C"/>
    <w:rsid w:val="00371F72"/>
    <w:rsid w:val="003761A5"/>
    <w:rsid w:val="003A2EE5"/>
    <w:rsid w:val="003A523A"/>
    <w:rsid w:val="003B4039"/>
    <w:rsid w:val="003B7432"/>
    <w:rsid w:val="003C2B56"/>
    <w:rsid w:val="003C2F8E"/>
    <w:rsid w:val="003C3B27"/>
    <w:rsid w:val="003C5A4F"/>
    <w:rsid w:val="003D5A51"/>
    <w:rsid w:val="003D68DB"/>
    <w:rsid w:val="003E4DEA"/>
    <w:rsid w:val="003F1786"/>
    <w:rsid w:val="00417243"/>
    <w:rsid w:val="004204E7"/>
    <w:rsid w:val="00421FE2"/>
    <w:rsid w:val="00424102"/>
    <w:rsid w:val="004247A7"/>
    <w:rsid w:val="00425642"/>
    <w:rsid w:val="00437353"/>
    <w:rsid w:val="004379D8"/>
    <w:rsid w:val="004517FC"/>
    <w:rsid w:val="00452D30"/>
    <w:rsid w:val="0045691D"/>
    <w:rsid w:val="0047503F"/>
    <w:rsid w:val="00481D62"/>
    <w:rsid w:val="00484473"/>
    <w:rsid w:val="00485081"/>
    <w:rsid w:val="00485A5A"/>
    <w:rsid w:val="0049355D"/>
    <w:rsid w:val="004961B0"/>
    <w:rsid w:val="004A38A0"/>
    <w:rsid w:val="004B45E9"/>
    <w:rsid w:val="004B5AD5"/>
    <w:rsid w:val="004D4E3A"/>
    <w:rsid w:val="004E23DB"/>
    <w:rsid w:val="004F19EA"/>
    <w:rsid w:val="004F7D1F"/>
    <w:rsid w:val="00502249"/>
    <w:rsid w:val="00510945"/>
    <w:rsid w:val="005257D0"/>
    <w:rsid w:val="0053319D"/>
    <w:rsid w:val="0054014D"/>
    <w:rsid w:val="005422B6"/>
    <w:rsid w:val="00542B7C"/>
    <w:rsid w:val="005503AB"/>
    <w:rsid w:val="0056077B"/>
    <w:rsid w:val="0056096B"/>
    <w:rsid w:val="00560FF1"/>
    <w:rsid w:val="0056121A"/>
    <w:rsid w:val="00576059"/>
    <w:rsid w:val="00584789"/>
    <w:rsid w:val="00591E54"/>
    <w:rsid w:val="005A74CF"/>
    <w:rsid w:val="005B4C08"/>
    <w:rsid w:val="005D2AED"/>
    <w:rsid w:val="005D4375"/>
    <w:rsid w:val="005D50E5"/>
    <w:rsid w:val="005D76C3"/>
    <w:rsid w:val="005E405B"/>
    <w:rsid w:val="005E62EF"/>
    <w:rsid w:val="005F4BF5"/>
    <w:rsid w:val="006004D8"/>
    <w:rsid w:val="00606747"/>
    <w:rsid w:val="0062048E"/>
    <w:rsid w:val="006310B1"/>
    <w:rsid w:val="00651B65"/>
    <w:rsid w:val="006523F5"/>
    <w:rsid w:val="00654864"/>
    <w:rsid w:val="00663C51"/>
    <w:rsid w:val="00671A12"/>
    <w:rsid w:val="006725C3"/>
    <w:rsid w:val="00674357"/>
    <w:rsid w:val="0067614D"/>
    <w:rsid w:val="00692702"/>
    <w:rsid w:val="00694FB4"/>
    <w:rsid w:val="006A529A"/>
    <w:rsid w:val="006B7FCC"/>
    <w:rsid w:val="006C0AB9"/>
    <w:rsid w:val="006C505E"/>
    <w:rsid w:val="006C6877"/>
    <w:rsid w:val="006C6F6C"/>
    <w:rsid w:val="006E473D"/>
    <w:rsid w:val="006F245F"/>
    <w:rsid w:val="006F356D"/>
    <w:rsid w:val="00700DFB"/>
    <w:rsid w:val="007017BF"/>
    <w:rsid w:val="00724207"/>
    <w:rsid w:val="00730B7D"/>
    <w:rsid w:val="00746332"/>
    <w:rsid w:val="00751788"/>
    <w:rsid w:val="00752071"/>
    <w:rsid w:val="00753154"/>
    <w:rsid w:val="0076449F"/>
    <w:rsid w:val="00764F26"/>
    <w:rsid w:val="007652DD"/>
    <w:rsid w:val="00766726"/>
    <w:rsid w:val="007757DD"/>
    <w:rsid w:val="00793CAB"/>
    <w:rsid w:val="007961AD"/>
    <w:rsid w:val="007C31AE"/>
    <w:rsid w:val="007E37D9"/>
    <w:rsid w:val="007F134F"/>
    <w:rsid w:val="00800EFA"/>
    <w:rsid w:val="00805092"/>
    <w:rsid w:val="0080799F"/>
    <w:rsid w:val="00812181"/>
    <w:rsid w:val="00822BAB"/>
    <w:rsid w:val="00826388"/>
    <w:rsid w:val="00831C38"/>
    <w:rsid w:val="008324C5"/>
    <w:rsid w:val="008326CA"/>
    <w:rsid w:val="0084014F"/>
    <w:rsid w:val="008514D7"/>
    <w:rsid w:val="00857E56"/>
    <w:rsid w:val="00864493"/>
    <w:rsid w:val="008654ED"/>
    <w:rsid w:val="00865F8A"/>
    <w:rsid w:val="00872476"/>
    <w:rsid w:val="008921B1"/>
    <w:rsid w:val="008974D6"/>
    <w:rsid w:val="008A0D96"/>
    <w:rsid w:val="008C2BC6"/>
    <w:rsid w:val="008E37F4"/>
    <w:rsid w:val="008F0AA2"/>
    <w:rsid w:val="0090138D"/>
    <w:rsid w:val="00923198"/>
    <w:rsid w:val="009253CE"/>
    <w:rsid w:val="00937A66"/>
    <w:rsid w:val="00941A6C"/>
    <w:rsid w:val="00944130"/>
    <w:rsid w:val="00955EAE"/>
    <w:rsid w:val="00956915"/>
    <w:rsid w:val="009577F7"/>
    <w:rsid w:val="00963388"/>
    <w:rsid w:val="009634EB"/>
    <w:rsid w:val="0097284C"/>
    <w:rsid w:val="00972ACA"/>
    <w:rsid w:val="00976041"/>
    <w:rsid w:val="00991CA1"/>
    <w:rsid w:val="009A68DC"/>
    <w:rsid w:val="009B3E87"/>
    <w:rsid w:val="009B7D6D"/>
    <w:rsid w:val="009B7DEF"/>
    <w:rsid w:val="009D7A1E"/>
    <w:rsid w:val="009F698F"/>
    <w:rsid w:val="009F7ED2"/>
    <w:rsid w:val="00A07724"/>
    <w:rsid w:val="00A17DF4"/>
    <w:rsid w:val="00A36981"/>
    <w:rsid w:val="00A43811"/>
    <w:rsid w:val="00A47189"/>
    <w:rsid w:val="00A534DF"/>
    <w:rsid w:val="00A6054B"/>
    <w:rsid w:val="00A630DF"/>
    <w:rsid w:val="00A640DF"/>
    <w:rsid w:val="00A64902"/>
    <w:rsid w:val="00A654DE"/>
    <w:rsid w:val="00A70F65"/>
    <w:rsid w:val="00A90349"/>
    <w:rsid w:val="00AB465B"/>
    <w:rsid w:val="00AC464A"/>
    <w:rsid w:val="00AC69EC"/>
    <w:rsid w:val="00AD3BE0"/>
    <w:rsid w:val="00AE754D"/>
    <w:rsid w:val="00B00899"/>
    <w:rsid w:val="00B06D2C"/>
    <w:rsid w:val="00B13BBC"/>
    <w:rsid w:val="00B36908"/>
    <w:rsid w:val="00B40110"/>
    <w:rsid w:val="00B40E2D"/>
    <w:rsid w:val="00B52060"/>
    <w:rsid w:val="00B55317"/>
    <w:rsid w:val="00B5678C"/>
    <w:rsid w:val="00B56A1E"/>
    <w:rsid w:val="00B9386E"/>
    <w:rsid w:val="00BB5871"/>
    <w:rsid w:val="00BB64B7"/>
    <w:rsid w:val="00BB66A2"/>
    <w:rsid w:val="00BD06E7"/>
    <w:rsid w:val="00BD1C8B"/>
    <w:rsid w:val="00BF0D23"/>
    <w:rsid w:val="00BF33AD"/>
    <w:rsid w:val="00BF49F0"/>
    <w:rsid w:val="00C03CBD"/>
    <w:rsid w:val="00C06DE6"/>
    <w:rsid w:val="00C13636"/>
    <w:rsid w:val="00C1555B"/>
    <w:rsid w:val="00C23AB5"/>
    <w:rsid w:val="00C37359"/>
    <w:rsid w:val="00C447A5"/>
    <w:rsid w:val="00C51627"/>
    <w:rsid w:val="00C51E68"/>
    <w:rsid w:val="00C54C87"/>
    <w:rsid w:val="00C63E4C"/>
    <w:rsid w:val="00C70054"/>
    <w:rsid w:val="00C76547"/>
    <w:rsid w:val="00C86106"/>
    <w:rsid w:val="00C9463D"/>
    <w:rsid w:val="00C95138"/>
    <w:rsid w:val="00C96BA6"/>
    <w:rsid w:val="00C97619"/>
    <w:rsid w:val="00C97E65"/>
    <w:rsid w:val="00CA075F"/>
    <w:rsid w:val="00CC6C47"/>
    <w:rsid w:val="00CD7185"/>
    <w:rsid w:val="00CE27E6"/>
    <w:rsid w:val="00CE4BC4"/>
    <w:rsid w:val="00CF6FAB"/>
    <w:rsid w:val="00D105C9"/>
    <w:rsid w:val="00D113A0"/>
    <w:rsid w:val="00D154CB"/>
    <w:rsid w:val="00D46DF5"/>
    <w:rsid w:val="00D5131A"/>
    <w:rsid w:val="00D62FDF"/>
    <w:rsid w:val="00D77DFB"/>
    <w:rsid w:val="00D90299"/>
    <w:rsid w:val="00DA1D5B"/>
    <w:rsid w:val="00DA30FA"/>
    <w:rsid w:val="00DC15A6"/>
    <w:rsid w:val="00DC4EE0"/>
    <w:rsid w:val="00DD166A"/>
    <w:rsid w:val="00DE4AE4"/>
    <w:rsid w:val="00DE7CFA"/>
    <w:rsid w:val="00DF34E3"/>
    <w:rsid w:val="00E017E3"/>
    <w:rsid w:val="00E07B9A"/>
    <w:rsid w:val="00E27F87"/>
    <w:rsid w:val="00E32A29"/>
    <w:rsid w:val="00E4389C"/>
    <w:rsid w:val="00E4679C"/>
    <w:rsid w:val="00E47469"/>
    <w:rsid w:val="00E47DE3"/>
    <w:rsid w:val="00E610BD"/>
    <w:rsid w:val="00E6743C"/>
    <w:rsid w:val="00E71316"/>
    <w:rsid w:val="00E80DA7"/>
    <w:rsid w:val="00E82690"/>
    <w:rsid w:val="00E91A1B"/>
    <w:rsid w:val="00E969AB"/>
    <w:rsid w:val="00EA1A0D"/>
    <w:rsid w:val="00EA46E7"/>
    <w:rsid w:val="00EA4D08"/>
    <w:rsid w:val="00EA4FB8"/>
    <w:rsid w:val="00EB2D07"/>
    <w:rsid w:val="00EB5C87"/>
    <w:rsid w:val="00EB7862"/>
    <w:rsid w:val="00EC2B47"/>
    <w:rsid w:val="00EC443A"/>
    <w:rsid w:val="00ED0592"/>
    <w:rsid w:val="00ED786F"/>
    <w:rsid w:val="00EE595C"/>
    <w:rsid w:val="00EF2AFA"/>
    <w:rsid w:val="00EF3B12"/>
    <w:rsid w:val="00EF56D3"/>
    <w:rsid w:val="00EF790C"/>
    <w:rsid w:val="00F01185"/>
    <w:rsid w:val="00F03957"/>
    <w:rsid w:val="00F062C8"/>
    <w:rsid w:val="00F120CB"/>
    <w:rsid w:val="00F126E2"/>
    <w:rsid w:val="00F80DDB"/>
    <w:rsid w:val="00F85E3F"/>
    <w:rsid w:val="00F93FEA"/>
    <w:rsid w:val="00F9716E"/>
    <w:rsid w:val="00FA5A44"/>
    <w:rsid w:val="00FC5CE3"/>
    <w:rsid w:val="00FD5FE0"/>
    <w:rsid w:val="00FE4391"/>
    <w:rsid w:val="00FE5300"/>
    <w:rsid w:val="00FF375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3C2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E47DE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Cs/>
      <w:i/>
      <w:caps/>
      <w:color w:val="499BC9" w:themeColor="accent1"/>
      <w:sz w:val="28"/>
      <w:szCs w:val="28"/>
      <w:bdr w:val="none" w:sz="0" w:space="0" w:color="auto"/>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mbria" w:eastAsia="Cambria" w:hAnsi="Cambria" w:cs="Cambria"/>
      <w:color w:val="000000"/>
      <w:sz w:val="24"/>
      <w:szCs w:val="24"/>
      <w:u w:color="000000"/>
    </w:rPr>
  </w:style>
  <w:style w:type="paragraph" w:styleId="Piedepgina">
    <w:name w:val="footer"/>
    <w:link w:val="PiedepginaCar"/>
    <w:pPr>
      <w:tabs>
        <w:tab w:val="center" w:pos="4252"/>
        <w:tab w:val="right" w:pos="8504"/>
      </w:tabs>
    </w:pPr>
    <w:rPr>
      <w:rFonts w:ascii="Cambria" w:eastAsia="Cambria" w:hAnsi="Cambria" w:cs="Cambria"/>
      <w:color w:val="000000"/>
      <w:sz w:val="24"/>
      <w:szCs w:val="24"/>
      <w:u w:color="000000"/>
    </w:rPr>
  </w:style>
  <w:style w:type="paragraph" w:customStyle="1" w:styleId="Cuerpo">
    <w:name w:val="Cuerpo"/>
    <w:rPr>
      <w:rFonts w:ascii="Times" w:eastAsia="Times" w:hAnsi="Times" w:cs="Times"/>
      <w:color w:val="000000"/>
      <w:sz w:val="24"/>
      <w:szCs w:val="24"/>
      <w:u w:color="000000"/>
    </w:rPr>
  </w:style>
  <w:style w:type="paragraph" w:customStyle="1" w:styleId="TITULARMICHELIN">
    <w:name w:val="TITULAR MICHELIN"/>
    <w:pPr>
      <w:spacing w:line="360" w:lineRule="exact"/>
    </w:pPr>
    <w:rPr>
      <w:rFonts w:ascii="Times" w:eastAsia="Times" w:hAnsi="Times" w:cs="Times"/>
      <w:b/>
      <w:bCs/>
      <w:color w:val="333399"/>
      <w:sz w:val="40"/>
      <w:szCs w:val="40"/>
      <w:u w:color="333399"/>
    </w:rPr>
  </w:style>
  <w:style w:type="numbering" w:customStyle="1" w:styleId="List0">
    <w:name w:val="List 0"/>
    <w:basedOn w:val="Estiloimportado2"/>
    <w:pPr>
      <w:numPr>
        <w:numId w:val="3"/>
      </w:numPr>
    </w:pPr>
  </w:style>
  <w:style w:type="numbering" w:customStyle="1" w:styleId="Estiloimportado2">
    <w:name w:val="Estilo importado 2"/>
  </w:style>
  <w:style w:type="numbering" w:customStyle="1" w:styleId="List1">
    <w:name w:val="List 1"/>
    <w:basedOn w:val="Estiloimportado2"/>
    <w:pPr>
      <w:numPr>
        <w:numId w:val="2"/>
      </w:numPr>
    </w:pPr>
  </w:style>
  <w:style w:type="paragraph" w:customStyle="1" w:styleId="TextoMichelin">
    <w:name w:val="Texto Michelin"/>
    <w:pPr>
      <w:spacing w:after="240" w:line="270" w:lineRule="atLeast"/>
      <w:jc w:val="both"/>
    </w:pPr>
    <w:rPr>
      <w:rFonts w:ascii="Arial" w:hAnsi="Arial Unicode MS" w:cs="Arial Unicode MS"/>
      <w:color w:val="000000"/>
      <w:sz w:val="21"/>
      <w:szCs w:val="21"/>
      <w:u w:color="000000"/>
    </w:rPr>
  </w:style>
  <w:style w:type="paragraph" w:customStyle="1" w:styleId="LadilloMichelinDossier">
    <w:name w:val="Ladillo Michelin Dossier"/>
    <w:pPr>
      <w:spacing w:before="480" w:after="120" w:line="270" w:lineRule="atLeast"/>
    </w:pPr>
    <w:rPr>
      <w:rFonts w:ascii="Times" w:eastAsia="Times" w:hAnsi="Times" w:cs="Times"/>
      <w:b/>
      <w:bCs/>
      <w:color w:val="000000"/>
      <w:sz w:val="26"/>
      <w:szCs w:val="26"/>
      <w:u w:color="000000"/>
    </w:rPr>
  </w:style>
  <w:style w:type="numbering" w:customStyle="1" w:styleId="Lista21">
    <w:name w:val="Lista 21"/>
    <w:basedOn w:val="Estiloimportado2"/>
    <w:pPr>
      <w:numPr>
        <w:numId w:val="7"/>
      </w:numPr>
    </w:pPr>
  </w:style>
  <w:style w:type="numbering" w:customStyle="1" w:styleId="Lista31">
    <w:name w:val="Lista 31"/>
    <w:basedOn w:val="Estiloimportado3"/>
    <w:pPr>
      <w:numPr>
        <w:numId w:val="8"/>
      </w:numPr>
    </w:pPr>
  </w:style>
  <w:style w:type="numbering" w:customStyle="1" w:styleId="Estiloimportado3">
    <w:name w:val="Estilo importado 3"/>
  </w:style>
  <w:style w:type="numbering" w:customStyle="1" w:styleId="Lista41">
    <w:name w:val="Lista 41"/>
    <w:basedOn w:val="Estiloimportado4"/>
    <w:pPr>
      <w:numPr>
        <w:numId w:val="9"/>
      </w:numPr>
    </w:pPr>
  </w:style>
  <w:style w:type="numbering" w:customStyle="1" w:styleId="Estiloimportado4">
    <w:name w:val="Estilo importado 4"/>
  </w:style>
  <w:style w:type="paragraph" w:customStyle="1" w:styleId="Body1">
    <w:name w:val="Body 1"/>
    <w:pPr>
      <w:outlineLvl w:val="0"/>
    </w:pPr>
    <w:rPr>
      <w:rFonts w:hAnsi="Arial Unicode MS" w:cs="Arial Unicode MS"/>
      <w:color w:val="000000"/>
      <w:sz w:val="24"/>
      <w:szCs w:val="24"/>
      <w:u w:color="000000"/>
    </w:rPr>
  </w:style>
  <w:style w:type="numbering" w:customStyle="1" w:styleId="Lista51">
    <w:name w:val="Lista 51"/>
    <w:basedOn w:val="Estiloimportado2"/>
    <w:pPr>
      <w:numPr>
        <w:numId w:val="12"/>
      </w:numPr>
    </w:pPr>
  </w:style>
  <w:style w:type="numbering" w:customStyle="1" w:styleId="List6">
    <w:name w:val="List 6"/>
    <w:basedOn w:val="Estiloimportado5"/>
    <w:pPr>
      <w:numPr>
        <w:numId w:val="13"/>
      </w:numPr>
    </w:pPr>
  </w:style>
  <w:style w:type="numbering" w:customStyle="1" w:styleId="Estiloimportado5">
    <w:name w:val="Estilo importado 5"/>
  </w:style>
  <w:style w:type="character" w:customStyle="1" w:styleId="Enlace">
    <w:name w:val="Enlace"/>
    <w:rPr>
      <w:color w:val="0000FF"/>
      <w:u w:val="single" w:color="0000FF"/>
    </w:rPr>
  </w:style>
  <w:style w:type="character" w:customStyle="1" w:styleId="Hyperlink0">
    <w:name w:val="Hyperlink.0"/>
    <w:basedOn w:val="Enlace"/>
    <w:rPr>
      <w:rFonts w:ascii="Arial" w:eastAsia="Arial" w:hAnsi="Arial" w:cs="Arial"/>
      <w:color w:val="0000FF"/>
      <w:sz w:val="21"/>
      <w:szCs w:val="21"/>
      <w:u w:val="single" w:color="0000FF"/>
    </w:rPr>
  </w:style>
  <w:style w:type="character" w:styleId="Nmerodepgina">
    <w:name w:val="page number"/>
  </w:style>
  <w:style w:type="character" w:customStyle="1" w:styleId="Hyperlink1">
    <w:name w:val="Hyperlink.1"/>
    <w:basedOn w:val="Nmerodepgina"/>
    <w:rPr>
      <w:rFonts w:ascii="Arial" w:eastAsia="Arial" w:hAnsi="Arial" w:cs="Arial"/>
      <w:b/>
      <w:bCs/>
      <w:i/>
      <w:iCs/>
      <w:color w:val="0000FF"/>
      <w:sz w:val="21"/>
      <w:szCs w:val="21"/>
      <w:u w:val="single" w:color="0000FF"/>
    </w:rPr>
  </w:style>
  <w:style w:type="paragraph" w:customStyle="1" w:styleId="titulocapitulodossier">
    <w:name w:val="titulo capitulo dossier"/>
    <w:pPr>
      <w:spacing w:after="240" w:line="360" w:lineRule="exact"/>
      <w:outlineLvl w:val="0"/>
    </w:pPr>
    <w:rPr>
      <w:rFonts w:ascii="Times" w:eastAsia="Times" w:hAnsi="Times" w:cs="Times"/>
      <w:b/>
      <w:bCs/>
      <w:color w:val="333399"/>
      <w:sz w:val="32"/>
      <w:szCs w:val="32"/>
      <w:u w:color="333399"/>
    </w:rPr>
  </w:style>
  <w:style w:type="paragraph" w:styleId="Textonotapie">
    <w:name w:val="footnote text"/>
    <w:basedOn w:val="Normal"/>
    <w:link w:val="TextonotapieCar"/>
    <w:unhideWhenUsed/>
    <w:rsid w:val="009B7D6D"/>
  </w:style>
  <w:style w:type="character" w:customStyle="1" w:styleId="TextonotapieCar">
    <w:name w:val="Texto nota pie Car"/>
    <w:basedOn w:val="Fuentedeprrafopredeter"/>
    <w:link w:val="Textonotapie"/>
    <w:rsid w:val="009B7D6D"/>
    <w:rPr>
      <w:sz w:val="24"/>
      <w:szCs w:val="24"/>
      <w:lang w:eastAsia="en-US"/>
    </w:rPr>
  </w:style>
  <w:style w:type="character" w:styleId="Refdenotaalpie">
    <w:name w:val="footnote reference"/>
    <w:basedOn w:val="Fuentedeprrafopredeter"/>
    <w:unhideWhenUsed/>
    <w:rsid w:val="009B7D6D"/>
    <w:rPr>
      <w:vertAlign w:val="superscript"/>
    </w:rPr>
  </w:style>
  <w:style w:type="character" w:customStyle="1" w:styleId="hps">
    <w:name w:val="hps"/>
    <w:basedOn w:val="Fuentedeprrafopredeter"/>
    <w:rsid w:val="009B7D6D"/>
  </w:style>
  <w:style w:type="character" w:customStyle="1" w:styleId="PiedepginaCar">
    <w:name w:val="Pie de página Car"/>
    <w:basedOn w:val="Fuentedeprrafopredeter"/>
    <w:link w:val="Piedepgina"/>
    <w:rsid w:val="00F9716E"/>
    <w:rPr>
      <w:rFonts w:ascii="Cambria" w:eastAsia="Cambria" w:hAnsi="Cambria" w:cs="Cambria"/>
      <w:color w:val="000000"/>
      <w:sz w:val="24"/>
      <w:szCs w:val="24"/>
      <w:u w:color="000000"/>
    </w:rPr>
  </w:style>
  <w:style w:type="paragraph" w:styleId="Prrafodelista">
    <w:name w:val="List Paragraph"/>
    <w:basedOn w:val="Normal"/>
    <w:uiPriority w:val="34"/>
    <w:qFormat/>
    <w:rsid w:val="00035D4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Utopia" w:eastAsia="Times New Roman" w:hAnsi="Utopia"/>
      <w:sz w:val="20"/>
      <w:szCs w:val="20"/>
      <w:bdr w:val="none" w:sz="0" w:space="0" w:color="auto"/>
      <w:lang w:val="fr-FR" w:eastAsia="fr-FR"/>
    </w:rPr>
  </w:style>
  <w:style w:type="paragraph" w:styleId="Textonotaalfinal">
    <w:name w:val="endnote text"/>
    <w:basedOn w:val="Normal"/>
    <w:link w:val="TextonotaalfinalCar"/>
    <w:uiPriority w:val="99"/>
    <w:semiHidden/>
    <w:unhideWhenUsed/>
    <w:rsid w:val="00694FB4"/>
  </w:style>
  <w:style w:type="character" w:customStyle="1" w:styleId="TextonotaalfinalCar">
    <w:name w:val="Texto nota al final Car"/>
    <w:basedOn w:val="Fuentedeprrafopredeter"/>
    <w:link w:val="Textonotaalfinal"/>
    <w:uiPriority w:val="99"/>
    <w:semiHidden/>
    <w:rsid w:val="00694FB4"/>
    <w:rPr>
      <w:sz w:val="24"/>
      <w:szCs w:val="24"/>
      <w:lang w:eastAsia="en-US"/>
    </w:rPr>
  </w:style>
  <w:style w:type="character" w:styleId="Refdenotaalfinal">
    <w:name w:val="endnote reference"/>
    <w:basedOn w:val="Fuentedeprrafopredeter"/>
    <w:uiPriority w:val="99"/>
    <w:semiHidden/>
    <w:unhideWhenUsed/>
    <w:rsid w:val="00694FB4"/>
    <w:rPr>
      <w:vertAlign w:val="superscript"/>
    </w:rPr>
  </w:style>
  <w:style w:type="paragraph" w:styleId="Subttulo">
    <w:name w:val="Subtitle"/>
    <w:basedOn w:val="Normal"/>
    <w:next w:val="Normal"/>
    <w:link w:val="SubttuloCar"/>
    <w:uiPriority w:val="11"/>
    <w:qFormat/>
    <w:rsid w:val="00E4389C"/>
    <w:pPr>
      <w:numPr>
        <w:ilvl w:val="1"/>
      </w:numPr>
      <w:pBdr>
        <w:top w:val="none" w:sz="0" w:space="0" w:color="auto"/>
        <w:left w:val="none" w:sz="0" w:space="0" w:color="auto"/>
        <w:bottom w:val="none" w:sz="0" w:space="0" w:color="auto"/>
        <w:right w:val="none" w:sz="0" w:space="0" w:color="auto"/>
        <w:between w:val="none" w:sz="0" w:space="0" w:color="auto"/>
        <w:bar w:val="none" w:sz="0" w:color="auto"/>
      </w:pBdr>
    </w:pPr>
    <w:rPr>
      <w:rFonts w:asciiTheme="majorHAnsi" w:eastAsiaTheme="majorEastAsia" w:hAnsiTheme="majorHAnsi" w:cstheme="majorBidi"/>
      <w:i/>
      <w:iCs/>
      <w:spacing w:val="15"/>
      <w:bdr w:val="none" w:sz="0" w:space="0" w:color="auto"/>
      <w:lang w:val="fr-FR" w:eastAsia="fr-FR"/>
    </w:rPr>
  </w:style>
  <w:style w:type="character" w:customStyle="1" w:styleId="SubttuloCar">
    <w:name w:val="Subtítulo Car"/>
    <w:basedOn w:val="Fuentedeprrafopredeter"/>
    <w:link w:val="Subttulo"/>
    <w:uiPriority w:val="11"/>
    <w:rsid w:val="00E4389C"/>
    <w:rPr>
      <w:rFonts w:asciiTheme="majorHAnsi" w:eastAsiaTheme="majorEastAsia" w:hAnsiTheme="majorHAnsi" w:cstheme="majorBidi"/>
      <w:i/>
      <w:iCs/>
      <w:spacing w:val="15"/>
      <w:sz w:val="24"/>
      <w:szCs w:val="24"/>
      <w:bdr w:val="none" w:sz="0" w:space="0" w:color="auto"/>
      <w:lang w:val="fr-FR" w:eastAsia="fr-FR"/>
    </w:rPr>
  </w:style>
  <w:style w:type="table" w:styleId="Tablaconcuadrcula">
    <w:name w:val="Table Grid"/>
    <w:basedOn w:val="Tablanormal"/>
    <w:uiPriority w:val="59"/>
    <w:rsid w:val="00092DA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47DE3"/>
    <w:rPr>
      <w:rFonts w:asciiTheme="majorHAnsi" w:eastAsiaTheme="majorEastAsia" w:hAnsiTheme="majorHAnsi" w:cstheme="majorBidi"/>
      <w:bCs/>
      <w:i/>
      <w:caps/>
      <w:color w:val="499BC9" w:themeColor="accent1"/>
      <w:sz w:val="28"/>
      <w:szCs w:val="28"/>
      <w:bdr w:val="none" w:sz="0" w:space="0" w:color="auto"/>
      <w:lang w:val="fr-FR" w:eastAsia="fr-FR"/>
    </w:rPr>
  </w:style>
  <w:style w:type="paragraph" w:styleId="Lista2">
    <w:name w:val="List 2"/>
    <w:basedOn w:val="Normal"/>
    <w:uiPriority w:val="99"/>
    <w:semiHidden/>
    <w:unhideWhenUsed/>
    <w:rsid w:val="006F356D"/>
    <w:pPr>
      <w:ind w:left="566" w:hanging="283"/>
      <w:contextualSpacing/>
    </w:pPr>
  </w:style>
  <w:style w:type="paragraph" w:styleId="Textodeglobo">
    <w:name w:val="Balloon Text"/>
    <w:basedOn w:val="Normal"/>
    <w:link w:val="TextodegloboCar"/>
    <w:uiPriority w:val="99"/>
    <w:semiHidden/>
    <w:unhideWhenUsed/>
    <w:rsid w:val="00417243"/>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24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966615">
      <w:bodyDiv w:val="1"/>
      <w:marLeft w:val="0"/>
      <w:marRight w:val="0"/>
      <w:marTop w:val="0"/>
      <w:marBottom w:val="0"/>
      <w:divBdr>
        <w:top w:val="none" w:sz="0" w:space="0" w:color="auto"/>
        <w:left w:val="none" w:sz="0" w:space="0" w:color="auto"/>
        <w:bottom w:val="none" w:sz="0" w:space="0" w:color="auto"/>
        <w:right w:val="none" w:sz="0" w:space="0" w:color="auto"/>
      </w:divBdr>
    </w:div>
    <w:div w:id="707489955">
      <w:bodyDiv w:val="1"/>
      <w:marLeft w:val="0"/>
      <w:marRight w:val="0"/>
      <w:marTop w:val="0"/>
      <w:marBottom w:val="0"/>
      <w:divBdr>
        <w:top w:val="none" w:sz="0" w:space="0" w:color="auto"/>
        <w:left w:val="none" w:sz="0" w:space="0" w:color="auto"/>
        <w:bottom w:val="none" w:sz="0" w:space="0" w:color="auto"/>
        <w:right w:val="none" w:sz="0" w:space="0" w:color="auto"/>
      </w:divBdr>
    </w:div>
    <w:div w:id="920800424">
      <w:bodyDiv w:val="1"/>
      <w:marLeft w:val="0"/>
      <w:marRight w:val="0"/>
      <w:marTop w:val="0"/>
      <w:marBottom w:val="0"/>
      <w:divBdr>
        <w:top w:val="none" w:sz="0" w:space="0" w:color="auto"/>
        <w:left w:val="none" w:sz="0" w:space="0" w:color="auto"/>
        <w:bottom w:val="none" w:sz="0" w:space="0" w:color="auto"/>
        <w:right w:val="none" w:sz="0" w:space="0" w:color="auto"/>
      </w:divBdr>
    </w:div>
    <w:div w:id="12417219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www.michelin.com/corporate/finance" TargetMode="External"/><Relationship Id="rId10" Type="http://schemas.openxmlformats.org/officeDocument/2006/relationships/hyperlink" Target="http://www.michel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4189</Words>
  <Characters>23042</Characters>
  <Application>Microsoft Macintosh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Avalon</Company>
  <LinksUpToDate>false</LinksUpToDate>
  <CharactersWithSpaces>27177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Sanchidrian-San-Frutos</dc:creator>
  <cp:lastModifiedBy>Julio Avalon</cp:lastModifiedBy>
  <cp:revision>13</cp:revision>
  <cp:lastPrinted>2015-02-11T09:14:00Z</cp:lastPrinted>
  <dcterms:created xsi:type="dcterms:W3CDTF">2016-02-17T10:22:00Z</dcterms:created>
  <dcterms:modified xsi:type="dcterms:W3CDTF">2016-02-17T12:08:00Z</dcterms:modified>
</cp:coreProperties>
</file>