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DFB" w:rsidRPr="004E33A5" w:rsidRDefault="009F7ED2">
      <w:pPr>
        <w:pStyle w:val="Cuerpo"/>
        <w:keepNext/>
        <w:spacing w:after="230"/>
        <w:jc w:val="right"/>
        <w:outlineLvl w:val="0"/>
        <w:rPr>
          <w:b/>
          <w:bCs/>
          <w:noProof/>
          <w:color w:val="808080"/>
          <w:u w:color="808080"/>
          <w:lang w:val="pt-PT"/>
        </w:rPr>
      </w:pPr>
      <w:r w:rsidRPr="004E33A5">
        <w:rPr>
          <w:b/>
          <w:bCs/>
          <w:noProof/>
          <w:color w:val="808080"/>
          <w:u w:color="808080"/>
          <w:lang w:val="pt-PT"/>
        </w:rPr>
        <w:t>INFORMAÇÃO DE IMPRENSA</w:t>
      </w:r>
      <w:r w:rsidRPr="004E33A5">
        <w:rPr>
          <w:noProof/>
          <w:color w:val="808080"/>
          <w:u w:color="808080"/>
          <w:lang w:val="pt-PT"/>
        </w:rPr>
        <w:br/>
      </w:r>
      <w:r w:rsidRPr="004E33A5">
        <w:rPr>
          <w:noProof/>
          <w:color w:val="808080"/>
          <w:u w:color="808080"/>
          <w:lang w:val="pt-PT"/>
        </w:rPr>
        <w:fldChar w:fldCharType="begin"/>
      </w:r>
      <w:r w:rsidRPr="004E33A5">
        <w:rPr>
          <w:noProof/>
          <w:color w:val="808080"/>
          <w:u w:color="808080"/>
          <w:lang w:val="pt-PT"/>
        </w:rPr>
        <w:instrText xml:space="preserve"> TIME \@ "d/M/yyyy" </w:instrText>
      </w:r>
      <w:r w:rsidRPr="004E33A5">
        <w:rPr>
          <w:noProof/>
          <w:color w:val="808080"/>
          <w:u w:color="808080"/>
          <w:lang w:val="pt-PT"/>
        </w:rPr>
        <w:fldChar w:fldCharType="separate"/>
      </w:r>
      <w:r w:rsidR="004E33A5" w:rsidRPr="004E33A5">
        <w:rPr>
          <w:noProof/>
          <w:color w:val="808080"/>
          <w:u w:color="808080"/>
          <w:lang w:val="pt-PT"/>
        </w:rPr>
        <w:t>22/2/2016</w:t>
      </w:r>
      <w:r w:rsidRPr="004E33A5">
        <w:rPr>
          <w:noProof/>
          <w:color w:val="808080"/>
          <w:u w:color="808080"/>
          <w:lang w:val="pt-PT"/>
        </w:rPr>
        <w:fldChar w:fldCharType="end"/>
      </w:r>
    </w:p>
    <w:p w:rsidR="00700DFB" w:rsidRPr="004E33A5" w:rsidRDefault="00700DFB">
      <w:pPr>
        <w:pStyle w:val="TITULARMICHELIN"/>
        <w:spacing w:after="230"/>
        <w:rPr>
          <w:rFonts w:ascii="Arial" w:eastAsia="Arial" w:hAnsi="Arial" w:cs="Arial"/>
          <w:noProof/>
          <w:lang w:val="pt-PT"/>
        </w:rPr>
      </w:pPr>
    </w:p>
    <w:p w:rsidR="00700DFB" w:rsidRPr="004E33A5" w:rsidRDefault="009F7ED2">
      <w:pPr>
        <w:pStyle w:val="Cuerpo"/>
        <w:spacing w:after="120" w:line="360" w:lineRule="exact"/>
        <w:rPr>
          <w:b/>
          <w:bCs/>
          <w:noProof/>
          <w:color w:val="365F91"/>
          <w:sz w:val="28"/>
          <w:szCs w:val="28"/>
          <w:u w:color="365F91"/>
          <w:lang w:val="pt-PT"/>
        </w:rPr>
      </w:pPr>
      <w:r w:rsidRPr="004E33A5">
        <w:rPr>
          <w:b/>
          <w:bCs/>
          <w:noProof/>
          <w:color w:val="333399"/>
          <w:sz w:val="40"/>
          <w:szCs w:val="40"/>
          <w:u w:color="333399"/>
          <w:lang w:val="pt-PT"/>
        </w:rPr>
        <w:t>Resultados financeiros do Grupo Michelin</w:t>
      </w:r>
      <w:r w:rsidRPr="004E33A5">
        <w:rPr>
          <w:noProof/>
          <w:color w:val="333399"/>
          <w:sz w:val="40"/>
          <w:szCs w:val="40"/>
          <w:u w:color="333399"/>
          <w:lang w:val="pt-PT"/>
        </w:rPr>
        <w:t xml:space="preserve"> </w:t>
      </w:r>
      <w:r w:rsidRPr="004E33A5">
        <w:rPr>
          <w:noProof/>
          <w:color w:val="333399"/>
          <w:sz w:val="40"/>
          <w:szCs w:val="40"/>
          <w:u w:color="333399"/>
          <w:lang w:val="pt-PT"/>
        </w:rPr>
        <w:br/>
      </w:r>
      <w:r w:rsidRPr="004E33A5">
        <w:rPr>
          <w:b/>
          <w:bCs/>
          <w:noProof/>
          <w:color w:val="365F91"/>
          <w:sz w:val="28"/>
          <w:szCs w:val="28"/>
          <w:u w:color="365F91"/>
          <w:lang w:val="pt-PT"/>
        </w:rPr>
        <w:t>Informação financeira correspondente a 31 de dezembro de 2015</w:t>
      </w:r>
    </w:p>
    <w:p w:rsidR="00700DFB" w:rsidRPr="004E33A5" w:rsidRDefault="00700DFB">
      <w:pPr>
        <w:pStyle w:val="Cuerpo"/>
        <w:jc w:val="center"/>
        <w:rPr>
          <w:rFonts w:ascii="Verdana" w:eastAsia="Verdana" w:hAnsi="Verdana" w:cs="Verdana"/>
          <w:b/>
          <w:bCs/>
          <w:noProof/>
          <w:sz w:val="18"/>
          <w:szCs w:val="18"/>
          <w:lang w:val="pt-PT"/>
        </w:rPr>
      </w:pPr>
    </w:p>
    <w:p w:rsidR="00C51627" w:rsidRPr="004E33A5" w:rsidRDefault="00D46DF5" w:rsidP="006E473D">
      <w:pPr>
        <w:pStyle w:val="Cuerpo"/>
        <w:pBdr>
          <w:top w:val="single" w:sz="4" w:space="0" w:color="000000"/>
          <w:left w:val="single" w:sz="4" w:space="0" w:color="000000"/>
          <w:bottom w:val="single" w:sz="4" w:space="0" w:color="000000"/>
          <w:right w:val="single" w:sz="4" w:space="0" w:color="000000"/>
        </w:pBdr>
        <w:jc w:val="center"/>
        <w:rPr>
          <w:rFonts w:ascii="Arial" w:hAnsi="Arial"/>
          <w:b/>
          <w:bCs/>
          <w:noProof/>
          <w:sz w:val="22"/>
          <w:szCs w:val="22"/>
          <w:lang w:val="pt-PT"/>
        </w:rPr>
      </w:pPr>
      <w:r w:rsidRPr="004E33A5">
        <w:rPr>
          <w:rFonts w:ascii="Arial" w:hAnsi="Arial"/>
          <w:b/>
          <w:bCs/>
          <w:noProof/>
          <w:sz w:val="22"/>
          <w:szCs w:val="22"/>
          <w:u w:val="single"/>
          <w:lang w:val="pt-PT"/>
        </w:rPr>
        <w:t>2015:</w:t>
      </w:r>
      <w:r w:rsidRPr="004E33A5">
        <w:rPr>
          <w:rFonts w:ascii="Arial" w:hAnsi="Arial"/>
          <w:b/>
          <w:bCs/>
          <w:noProof/>
          <w:sz w:val="22"/>
          <w:szCs w:val="22"/>
          <w:lang w:val="pt-PT"/>
        </w:rPr>
        <w:t xml:space="preserve"> Forte geração de </w:t>
      </w:r>
      <w:r w:rsidRPr="004E33A5">
        <w:rPr>
          <w:rFonts w:ascii="Arial" w:hAnsi="Arial"/>
          <w:b/>
          <w:bCs/>
          <w:i/>
          <w:iCs/>
          <w:noProof/>
          <w:sz w:val="22"/>
          <w:szCs w:val="22"/>
          <w:lang w:val="pt-PT"/>
        </w:rPr>
        <w:t xml:space="preserve">cash flow </w:t>
      </w:r>
      <w:r w:rsidRPr="004E33A5">
        <w:rPr>
          <w:rFonts w:ascii="Arial" w:hAnsi="Arial"/>
          <w:b/>
          <w:bCs/>
          <w:noProof/>
          <w:sz w:val="22"/>
          <w:szCs w:val="22"/>
          <w:lang w:val="pt-PT"/>
        </w:rPr>
        <w:t xml:space="preserve">livre antes de aquisições, </w:t>
      </w:r>
      <w:r w:rsidRPr="004E33A5">
        <w:rPr>
          <w:rFonts w:ascii="Arial" w:hAnsi="Arial"/>
          <w:noProof/>
          <w:sz w:val="22"/>
          <w:szCs w:val="22"/>
          <w:lang w:val="pt-PT"/>
        </w:rPr>
        <w:br/>
      </w:r>
      <w:r w:rsidRPr="004E33A5">
        <w:rPr>
          <w:rFonts w:ascii="Arial" w:hAnsi="Arial"/>
          <w:b/>
          <w:bCs/>
          <w:noProof/>
          <w:sz w:val="22"/>
          <w:szCs w:val="22"/>
          <w:lang w:val="pt-PT"/>
        </w:rPr>
        <w:t>de 965 milhões de euros.</w:t>
      </w:r>
      <w:r w:rsidRPr="004E33A5">
        <w:rPr>
          <w:rFonts w:ascii="Arial" w:hAnsi="Arial"/>
          <w:noProof/>
          <w:sz w:val="22"/>
          <w:szCs w:val="22"/>
          <w:lang w:val="pt-PT"/>
        </w:rPr>
        <w:br/>
      </w:r>
      <w:r w:rsidRPr="004E33A5">
        <w:rPr>
          <w:rFonts w:ascii="Arial" w:hAnsi="Arial"/>
          <w:b/>
          <w:bCs/>
          <w:noProof/>
          <w:sz w:val="22"/>
          <w:szCs w:val="22"/>
          <w:lang w:val="pt-PT"/>
        </w:rPr>
        <w:t xml:space="preserve">Volume em crescimento de 3,2 %, superior aos mercados. </w:t>
      </w:r>
      <w:r w:rsidRPr="004E33A5">
        <w:rPr>
          <w:rFonts w:ascii="Arial" w:hAnsi="Arial"/>
          <w:noProof/>
          <w:sz w:val="22"/>
          <w:szCs w:val="22"/>
          <w:lang w:val="pt-PT"/>
        </w:rPr>
        <w:br/>
      </w:r>
      <w:r w:rsidRPr="004E33A5">
        <w:rPr>
          <w:rFonts w:ascii="Arial" w:hAnsi="Arial"/>
          <w:b/>
          <w:bCs/>
          <w:noProof/>
          <w:sz w:val="22"/>
          <w:szCs w:val="22"/>
          <w:lang w:val="pt-PT"/>
        </w:rPr>
        <w:t>Resultado operacional antes de elementos não recorrentes de 2.577 milhões de euros e 12,2 % das vendas líquidas, em aumento de 407 milhões de euros.</w:t>
      </w:r>
    </w:p>
    <w:p w:rsidR="00C51627" w:rsidRPr="004E33A5" w:rsidRDefault="00C51627" w:rsidP="00C51627">
      <w:pPr>
        <w:pStyle w:val="Cuerpo"/>
        <w:pBdr>
          <w:top w:val="single" w:sz="4" w:space="0" w:color="000000"/>
          <w:left w:val="single" w:sz="4" w:space="0" w:color="000000"/>
          <w:bottom w:val="single" w:sz="4" w:space="0" w:color="000000"/>
          <w:right w:val="single" w:sz="4" w:space="0" w:color="000000"/>
        </w:pBdr>
        <w:rPr>
          <w:rFonts w:ascii="Arial" w:hAnsi="Arial"/>
          <w:b/>
          <w:bCs/>
          <w:noProof/>
          <w:sz w:val="22"/>
          <w:szCs w:val="22"/>
          <w:lang w:val="pt-PT"/>
        </w:rPr>
      </w:pPr>
    </w:p>
    <w:p w:rsidR="00700DFB" w:rsidRPr="004E33A5" w:rsidRDefault="00C51627" w:rsidP="007F134F">
      <w:pPr>
        <w:pStyle w:val="Cuerpo"/>
        <w:pBdr>
          <w:top w:val="single" w:sz="4" w:space="0" w:color="000000"/>
          <w:left w:val="single" w:sz="4" w:space="0" w:color="000000"/>
          <w:bottom w:val="single" w:sz="4" w:space="0" w:color="000000"/>
          <w:right w:val="single" w:sz="4" w:space="0" w:color="000000"/>
        </w:pBdr>
        <w:spacing w:after="120"/>
        <w:jc w:val="center"/>
        <w:rPr>
          <w:rFonts w:ascii="Arial" w:hAnsi="Arial"/>
          <w:b/>
          <w:bCs/>
          <w:noProof/>
          <w:sz w:val="22"/>
          <w:szCs w:val="22"/>
          <w:lang w:val="pt-PT"/>
        </w:rPr>
      </w:pPr>
      <w:r w:rsidRPr="004E33A5">
        <w:rPr>
          <w:rFonts w:ascii="Arial" w:hAnsi="Arial"/>
          <w:b/>
          <w:bCs/>
          <w:noProof/>
          <w:sz w:val="22"/>
          <w:szCs w:val="22"/>
          <w:u w:val="single"/>
          <w:lang w:val="pt-PT"/>
        </w:rPr>
        <w:t>2016:</w:t>
      </w:r>
      <w:r w:rsidRPr="004E33A5">
        <w:rPr>
          <w:rFonts w:ascii="Arial" w:hAnsi="Arial"/>
          <w:b/>
          <w:bCs/>
          <w:noProof/>
          <w:sz w:val="22"/>
          <w:szCs w:val="22"/>
          <w:lang w:val="pt-PT"/>
        </w:rPr>
        <w:t xml:space="preserve"> Continuará o crescimento dos volumes </w:t>
      </w:r>
      <w:r w:rsidRPr="004E33A5">
        <w:rPr>
          <w:rFonts w:ascii="Arial" w:hAnsi="Arial"/>
          <w:noProof/>
          <w:sz w:val="22"/>
          <w:szCs w:val="22"/>
          <w:lang w:val="pt-PT"/>
        </w:rPr>
        <w:br/>
      </w:r>
      <w:r w:rsidRPr="004E33A5">
        <w:rPr>
          <w:rFonts w:ascii="Arial" w:hAnsi="Arial"/>
          <w:b/>
          <w:bCs/>
          <w:noProof/>
          <w:sz w:val="22"/>
          <w:szCs w:val="22"/>
          <w:lang w:val="pt-PT"/>
        </w:rPr>
        <w:t xml:space="preserve">Resultado operacional antes de elementos não recorrentes a subir, </w:t>
      </w:r>
      <w:r w:rsidRPr="004E33A5">
        <w:rPr>
          <w:rFonts w:ascii="Arial" w:hAnsi="Arial"/>
          <w:noProof/>
          <w:sz w:val="22"/>
          <w:szCs w:val="22"/>
          <w:lang w:val="pt-PT"/>
        </w:rPr>
        <w:br/>
      </w:r>
      <w:r w:rsidRPr="004E33A5">
        <w:rPr>
          <w:rFonts w:ascii="Arial" w:hAnsi="Arial"/>
          <w:b/>
          <w:bCs/>
          <w:noProof/>
          <w:sz w:val="22"/>
          <w:szCs w:val="22"/>
          <w:lang w:val="pt-PT"/>
        </w:rPr>
        <w:t>excetuando o efeito do câmbio.</w:t>
      </w:r>
    </w:p>
    <w:p w:rsidR="00700DFB" w:rsidRPr="004E33A5" w:rsidRDefault="00700DFB">
      <w:pPr>
        <w:pStyle w:val="Cuerpo"/>
        <w:spacing w:after="120" w:line="240" w:lineRule="atLeast"/>
        <w:rPr>
          <w:b/>
          <w:bCs/>
          <w:i/>
          <w:iCs/>
          <w:noProof/>
          <w:sz w:val="25"/>
          <w:szCs w:val="25"/>
          <w:lang w:val="pt-PT"/>
        </w:rPr>
      </w:pPr>
    </w:p>
    <w:p w:rsidR="00700DFB" w:rsidRPr="004E33A5" w:rsidRDefault="007F134F" w:rsidP="00D5131A">
      <w:pPr>
        <w:pStyle w:val="Cuerpo"/>
        <w:numPr>
          <w:ilvl w:val="0"/>
          <w:numId w:val="1"/>
        </w:numPr>
        <w:tabs>
          <w:tab w:val="left" w:pos="360"/>
        </w:tabs>
        <w:spacing w:after="120" w:line="240" w:lineRule="atLeast"/>
        <w:ind w:left="346" w:hanging="346"/>
        <w:rPr>
          <w:rFonts w:ascii="Times New Roman" w:eastAsia="Times New Roman" w:hAnsi="Times New Roman" w:cs="Times New Roman"/>
          <w:b/>
          <w:bCs/>
          <w:i/>
          <w:iCs/>
          <w:noProof/>
          <w:lang w:val="pt-PT"/>
        </w:rPr>
      </w:pPr>
      <w:r w:rsidRPr="004E33A5">
        <w:rPr>
          <w:b/>
          <w:bCs/>
          <w:i/>
          <w:iCs/>
          <w:noProof/>
          <w:sz w:val="25"/>
          <w:szCs w:val="25"/>
          <w:lang w:val="pt-PT"/>
        </w:rPr>
        <w:t>Volume em crescimento de 3,2%, superior aos mercados para todas as atividades, especialmente em Ligeiro Camioneta (+ 6,7%).</w:t>
      </w:r>
    </w:p>
    <w:p w:rsidR="00700DFB" w:rsidRPr="004E33A5" w:rsidRDefault="006523F5" w:rsidP="00BD06E7">
      <w:pPr>
        <w:pStyle w:val="Cuerpo"/>
        <w:numPr>
          <w:ilvl w:val="0"/>
          <w:numId w:val="14"/>
        </w:numPr>
        <w:spacing w:after="120" w:line="240" w:lineRule="atLeast"/>
        <w:ind w:left="851"/>
        <w:rPr>
          <w:rFonts w:ascii="Times New Roman" w:eastAsia="Times New Roman" w:hAnsi="Times New Roman" w:cs="Times New Roman"/>
          <w:b/>
          <w:bCs/>
          <w:i/>
          <w:iCs/>
          <w:noProof/>
          <w:lang w:val="pt-PT"/>
        </w:rPr>
      </w:pPr>
      <w:r w:rsidRPr="004E33A5">
        <w:rPr>
          <w:b/>
          <w:bCs/>
          <w:i/>
          <w:iCs/>
          <w:noProof/>
          <w:sz w:val="25"/>
          <w:szCs w:val="25"/>
          <w:lang w:val="pt-PT"/>
        </w:rPr>
        <w:t xml:space="preserve">Crescimento no quatro trimestre de 4,2 % para o Grupo e de 8,7% </w:t>
      </w:r>
      <w:r w:rsidRPr="004E33A5">
        <w:rPr>
          <w:noProof/>
          <w:sz w:val="25"/>
          <w:szCs w:val="25"/>
          <w:lang w:val="pt-PT"/>
        </w:rPr>
        <w:br/>
      </w:r>
      <w:r w:rsidRPr="004E33A5">
        <w:rPr>
          <w:b/>
          <w:bCs/>
          <w:i/>
          <w:iCs/>
          <w:noProof/>
          <w:sz w:val="25"/>
          <w:szCs w:val="25"/>
          <w:lang w:val="pt-PT"/>
        </w:rPr>
        <w:t>em Ligeiro Camioneta.</w:t>
      </w:r>
    </w:p>
    <w:p w:rsidR="00E47DE3" w:rsidRPr="004E33A5" w:rsidRDefault="00674357" w:rsidP="00E47DE3">
      <w:pPr>
        <w:pStyle w:val="Cuerpo"/>
        <w:numPr>
          <w:ilvl w:val="0"/>
          <w:numId w:val="1"/>
        </w:numPr>
        <w:tabs>
          <w:tab w:val="left" w:pos="360"/>
        </w:tabs>
        <w:spacing w:after="120" w:line="240" w:lineRule="atLeast"/>
        <w:ind w:left="346" w:hanging="346"/>
        <w:rPr>
          <w:b/>
          <w:bCs/>
          <w:i/>
          <w:iCs/>
          <w:noProof/>
          <w:sz w:val="25"/>
          <w:szCs w:val="25"/>
          <w:lang w:val="pt-PT"/>
        </w:rPr>
      </w:pPr>
      <w:r w:rsidRPr="004E33A5">
        <w:rPr>
          <w:b/>
          <w:bCs/>
          <w:i/>
          <w:iCs/>
          <w:noProof/>
          <w:sz w:val="25"/>
          <w:szCs w:val="25"/>
          <w:lang w:val="pt-PT"/>
        </w:rPr>
        <w:t>Forte geração de cash flow livre de 965 milhões de euros, excetuando aquisições (312 milhões de euros), tendo em conta investimentos de 1.804 milhões de euros em retrocesso em relação aos de 2014.</w:t>
      </w:r>
    </w:p>
    <w:p w:rsidR="00E47DE3" w:rsidRPr="004E33A5" w:rsidRDefault="00E47DE3" w:rsidP="00E47DE3">
      <w:pPr>
        <w:pStyle w:val="Cuerpo"/>
        <w:numPr>
          <w:ilvl w:val="0"/>
          <w:numId w:val="1"/>
        </w:numPr>
        <w:tabs>
          <w:tab w:val="left" w:pos="360"/>
        </w:tabs>
        <w:spacing w:after="120" w:line="240" w:lineRule="atLeast"/>
        <w:ind w:left="346" w:hanging="346"/>
        <w:rPr>
          <w:b/>
          <w:bCs/>
          <w:i/>
          <w:iCs/>
          <w:noProof/>
          <w:sz w:val="25"/>
          <w:szCs w:val="25"/>
          <w:lang w:val="pt-PT"/>
        </w:rPr>
      </w:pPr>
      <w:r w:rsidRPr="004E33A5">
        <w:rPr>
          <w:b/>
          <w:bCs/>
          <w:i/>
          <w:iCs/>
          <w:noProof/>
          <w:sz w:val="25"/>
          <w:szCs w:val="25"/>
          <w:lang w:val="pt-PT"/>
        </w:rPr>
        <w:t>Margem operacional em progresso significativo, graças a um muito bom segundo semestre (12,3%) em particular por:</w:t>
      </w:r>
    </w:p>
    <w:p w:rsidR="00E47DE3" w:rsidRPr="004E33A5" w:rsidRDefault="00E47DE3" w:rsidP="00BD06E7">
      <w:pPr>
        <w:pStyle w:val="Cuerpo"/>
        <w:numPr>
          <w:ilvl w:val="0"/>
          <w:numId w:val="14"/>
        </w:numPr>
        <w:spacing w:after="120" w:line="240" w:lineRule="atLeast"/>
        <w:ind w:left="851"/>
        <w:rPr>
          <w:b/>
          <w:bCs/>
          <w:i/>
          <w:iCs/>
          <w:noProof/>
          <w:sz w:val="25"/>
          <w:szCs w:val="25"/>
          <w:lang w:val="pt-PT"/>
        </w:rPr>
      </w:pPr>
      <w:r w:rsidRPr="004E33A5">
        <w:rPr>
          <w:b/>
          <w:bCs/>
          <w:i/>
          <w:iCs/>
          <w:noProof/>
          <w:sz w:val="25"/>
          <w:szCs w:val="25"/>
          <w:lang w:val="pt-PT"/>
        </w:rPr>
        <w:t>Segmento Ligeiro Camioneta: 12,2%, um aumento de 2,6 pontos em relação ao segundo semestre de 2014.</w:t>
      </w:r>
    </w:p>
    <w:p w:rsidR="00E47DE3" w:rsidRPr="004E33A5" w:rsidRDefault="00E47DE3" w:rsidP="00BD06E7">
      <w:pPr>
        <w:pStyle w:val="Cuerpo"/>
        <w:numPr>
          <w:ilvl w:val="0"/>
          <w:numId w:val="14"/>
        </w:numPr>
        <w:spacing w:after="120" w:line="240" w:lineRule="atLeast"/>
        <w:ind w:left="851"/>
        <w:rPr>
          <w:b/>
          <w:bCs/>
          <w:i/>
          <w:iCs/>
          <w:noProof/>
          <w:sz w:val="25"/>
          <w:szCs w:val="25"/>
          <w:lang w:val="pt-PT"/>
        </w:rPr>
      </w:pPr>
      <w:r w:rsidRPr="004E33A5">
        <w:rPr>
          <w:b/>
          <w:bCs/>
          <w:i/>
          <w:iCs/>
          <w:noProof/>
          <w:sz w:val="25"/>
          <w:szCs w:val="25"/>
          <w:lang w:val="pt-PT"/>
        </w:rPr>
        <w:t>Segmento Camião: 11,1%, um crescimento de 2,6 pontos em relação ao segundo semestre de 2014.</w:t>
      </w:r>
    </w:p>
    <w:p w:rsidR="00E47DE3" w:rsidRPr="004E33A5" w:rsidRDefault="00E47DE3" w:rsidP="00BD06E7">
      <w:pPr>
        <w:pStyle w:val="Cuerpo"/>
        <w:numPr>
          <w:ilvl w:val="0"/>
          <w:numId w:val="14"/>
        </w:numPr>
        <w:spacing w:after="120" w:line="240" w:lineRule="atLeast"/>
        <w:ind w:left="851"/>
        <w:rPr>
          <w:b/>
          <w:bCs/>
          <w:i/>
          <w:iCs/>
          <w:noProof/>
          <w:sz w:val="25"/>
          <w:szCs w:val="25"/>
          <w:lang w:val="pt-PT"/>
        </w:rPr>
      </w:pPr>
      <w:r w:rsidRPr="004E33A5">
        <w:rPr>
          <w:b/>
          <w:bCs/>
          <w:i/>
          <w:iCs/>
          <w:noProof/>
          <w:sz w:val="25"/>
          <w:szCs w:val="25"/>
          <w:lang w:val="pt-PT"/>
        </w:rPr>
        <w:t>Boa resistência do segmento de Especialidades: 18,6% no ano.</w:t>
      </w:r>
    </w:p>
    <w:p w:rsidR="008514D7" w:rsidRPr="004E33A5" w:rsidRDefault="00250397" w:rsidP="00BD06E7">
      <w:pPr>
        <w:pStyle w:val="Cuerpo"/>
        <w:numPr>
          <w:ilvl w:val="0"/>
          <w:numId w:val="14"/>
        </w:numPr>
        <w:spacing w:after="120" w:line="240" w:lineRule="atLeast"/>
        <w:ind w:left="851"/>
        <w:rPr>
          <w:b/>
          <w:bCs/>
          <w:i/>
          <w:iCs/>
          <w:noProof/>
          <w:sz w:val="25"/>
          <w:szCs w:val="25"/>
          <w:lang w:val="pt-PT"/>
        </w:rPr>
      </w:pPr>
      <w:r w:rsidRPr="004E33A5">
        <w:rPr>
          <w:b/>
          <w:bCs/>
          <w:i/>
          <w:iCs/>
          <w:noProof/>
          <w:sz w:val="25"/>
          <w:szCs w:val="25"/>
          <w:lang w:val="pt-PT"/>
        </w:rPr>
        <w:t>Efeito mix de preços/matérias-primas positivo em 105 milhões de euros no segundo semestre, como se esperava.</w:t>
      </w:r>
    </w:p>
    <w:p w:rsidR="0049355D" w:rsidRPr="004E33A5" w:rsidRDefault="0049355D" w:rsidP="0049355D">
      <w:pPr>
        <w:pStyle w:val="Cuerpo"/>
        <w:numPr>
          <w:ilvl w:val="0"/>
          <w:numId w:val="1"/>
        </w:numPr>
        <w:tabs>
          <w:tab w:val="left" w:pos="360"/>
        </w:tabs>
        <w:spacing w:after="120" w:line="240" w:lineRule="atLeast"/>
        <w:ind w:left="346" w:hanging="346"/>
        <w:rPr>
          <w:b/>
          <w:bCs/>
          <w:i/>
          <w:iCs/>
          <w:noProof/>
          <w:sz w:val="25"/>
          <w:szCs w:val="25"/>
          <w:lang w:val="pt-PT"/>
        </w:rPr>
      </w:pPr>
      <w:r w:rsidRPr="004E33A5">
        <w:rPr>
          <w:b/>
          <w:bCs/>
          <w:i/>
          <w:iCs/>
          <w:noProof/>
          <w:sz w:val="25"/>
          <w:szCs w:val="25"/>
          <w:lang w:val="pt-PT"/>
        </w:rPr>
        <w:t>O plano de competitividade (efeito favorável de 261 milhões de euros) permite de novo assumir a inflação dos custos de produção e as despesas gerais.</w:t>
      </w:r>
    </w:p>
    <w:p w:rsidR="0049355D" w:rsidRPr="004E33A5" w:rsidRDefault="0049355D" w:rsidP="003761A5">
      <w:pPr>
        <w:pStyle w:val="Cuerpo"/>
        <w:numPr>
          <w:ilvl w:val="0"/>
          <w:numId w:val="1"/>
        </w:numPr>
        <w:tabs>
          <w:tab w:val="left" w:pos="360"/>
        </w:tabs>
        <w:spacing w:after="120" w:line="240" w:lineRule="atLeast"/>
        <w:ind w:left="346" w:hanging="346"/>
        <w:rPr>
          <w:b/>
          <w:bCs/>
          <w:i/>
          <w:iCs/>
          <w:noProof/>
          <w:sz w:val="25"/>
          <w:szCs w:val="25"/>
          <w:lang w:val="pt-PT"/>
        </w:rPr>
      </w:pPr>
      <w:r w:rsidRPr="004E33A5">
        <w:rPr>
          <w:b/>
          <w:bCs/>
          <w:i/>
          <w:iCs/>
          <w:noProof/>
          <w:sz w:val="25"/>
          <w:szCs w:val="25"/>
          <w:lang w:val="pt-PT"/>
        </w:rPr>
        <w:t xml:space="preserve">Lançamento em janeiro de 2016 de uma nova fase do programa de recompra de ações, após a recompra e anulação em 2015 de ações Michelin por um montante de 451 milhões de euros, isto é, um 2,7% do capital. </w:t>
      </w:r>
    </w:p>
    <w:p w:rsidR="00700DFB" w:rsidRPr="004E33A5" w:rsidRDefault="009F7ED2" w:rsidP="00BD06E7">
      <w:pPr>
        <w:pStyle w:val="Cuerpo"/>
        <w:numPr>
          <w:ilvl w:val="0"/>
          <w:numId w:val="3"/>
        </w:numPr>
        <w:tabs>
          <w:tab w:val="left" w:pos="360"/>
        </w:tabs>
        <w:spacing w:after="120" w:line="240" w:lineRule="atLeast"/>
        <w:ind w:left="346" w:hanging="346"/>
        <w:rPr>
          <w:rFonts w:ascii="Times New Roman" w:eastAsia="Times New Roman" w:hAnsi="Times New Roman" w:cs="Times New Roman"/>
          <w:b/>
          <w:bCs/>
          <w:i/>
          <w:iCs/>
          <w:noProof/>
          <w:lang w:val="pt-PT"/>
        </w:rPr>
      </w:pPr>
      <w:r w:rsidRPr="004E33A5">
        <w:rPr>
          <w:b/>
          <w:bCs/>
          <w:i/>
          <w:iCs/>
          <w:noProof/>
          <w:sz w:val="25"/>
          <w:szCs w:val="25"/>
          <w:lang w:val="pt-PT"/>
        </w:rPr>
        <w:t>Proposta de um dividendo de 2,85 euros por ação, isto é, de uma taxa de distribuição de 37%, que reflete a confiança no futuro do Grupo, que se submeterá à aprovação da Assembleia Geral de Acionistas de 13 de maio de 2016.</w:t>
      </w:r>
    </w:p>
    <w:p w:rsidR="00700DFB" w:rsidRPr="004E33A5" w:rsidRDefault="00700DFB">
      <w:pPr>
        <w:pStyle w:val="Cuerpo"/>
        <w:spacing w:after="120" w:line="240" w:lineRule="atLeast"/>
        <w:jc w:val="both"/>
        <w:rPr>
          <w:rFonts w:ascii="Arial" w:eastAsia="Arial" w:hAnsi="Arial" w:cs="Arial"/>
          <w:b/>
          <w:bCs/>
          <w:noProof/>
          <w:sz w:val="21"/>
          <w:szCs w:val="21"/>
          <w:lang w:val="pt-PT"/>
        </w:rPr>
      </w:pPr>
    </w:p>
    <w:p w:rsidR="00753154" w:rsidRPr="004E33A5" w:rsidRDefault="009F7ED2" w:rsidP="00753154">
      <w:pPr>
        <w:pStyle w:val="Cuerpo"/>
        <w:spacing w:after="120" w:line="240" w:lineRule="atLeast"/>
        <w:jc w:val="both"/>
        <w:rPr>
          <w:b/>
          <w:bCs/>
          <w:i/>
          <w:iCs/>
          <w:noProof/>
          <w:sz w:val="25"/>
          <w:szCs w:val="25"/>
          <w:lang w:val="pt-PT"/>
        </w:rPr>
      </w:pPr>
      <w:r w:rsidRPr="004E33A5">
        <w:rPr>
          <w:b/>
          <w:bCs/>
          <w:i/>
          <w:iCs/>
          <w:noProof/>
          <w:sz w:val="25"/>
          <w:szCs w:val="25"/>
          <w:lang w:val="pt-PT"/>
        </w:rPr>
        <w:lastRenderedPageBreak/>
        <w:t>Jean-Dominique Senard, presidente do Grupo Michelin, declarou: ‘‘Em 2015 cumprimos o desafio do crescimento rentável, superior ao dos mercados, e ganhámos quota de mercado em todas as nossas atividades, graças à qualidade da oferta do Grupo. O nosso crescimento e a nossa rentabilidade progrediram significativamente. Para o ano 2016 e posteriores, trataremos de aumentar os nossos esforços em quatro áreas: a qualidade do serviço aos nossos clientes, a simplificação dos nossos modos de funcionamento, o desenvolvimento da nossa oferta digital e a responsabilização das nossas equipas. Com estas bases reforçadas, o Grupo está no bom caminho».</w:t>
      </w:r>
    </w:p>
    <w:p w:rsidR="00700DFB" w:rsidRPr="004E33A5" w:rsidRDefault="00700DFB">
      <w:pPr>
        <w:pStyle w:val="Cuerpo"/>
        <w:spacing w:after="120" w:line="240" w:lineRule="atLeast"/>
        <w:jc w:val="both"/>
        <w:rPr>
          <w:b/>
          <w:bCs/>
          <w:i/>
          <w:iCs/>
          <w:noProof/>
          <w:sz w:val="25"/>
          <w:szCs w:val="25"/>
          <w:lang w:val="pt-PT"/>
        </w:rPr>
      </w:pPr>
    </w:p>
    <w:p w:rsidR="00700DFB" w:rsidRPr="004E33A5" w:rsidRDefault="009F7ED2">
      <w:pPr>
        <w:pStyle w:val="Cuerpo"/>
        <w:spacing w:after="240" w:line="270" w:lineRule="atLeast"/>
        <w:jc w:val="both"/>
        <w:rPr>
          <w:rFonts w:ascii="Arial" w:eastAsia="Arial" w:hAnsi="Arial" w:cs="Arial"/>
          <w:b/>
          <w:bCs/>
          <w:noProof/>
          <w:sz w:val="28"/>
          <w:szCs w:val="28"/>
          <w:lang w:val="pt-PT"/>
        </w:rPr>
      </w:pPr>
      <w:r w:rsidRPr="004E33A5">
        <w:rPr>
          <w:rFonts w:ascii="Arial"/>
          <w:b/>
          <w:bCs/>
          <w:noProof/>
          <w:sz w:val="28"/>
          <w:szCs w:val="28"/>
          <w:lang w:val="pt-PT"/>
        </w:rPr>
        <w:t>Perspetivas para 2016</w:t>
      </w:r>
    </w:p>
    <w:p w:rsidR="0033327A" w:rsidRPr="004E33A5" w:rsidRDefault="00C9463D" w:rsidP="00C9463D">
      <w:pPr>
        <w:pStyle w:val="TextoMichelin"/>
        <w:rPr>
          <w:rFonts w:hAnsi="Arial"/>
          <w:b/>
          <w:bCs/>
          <w:noProof/>
          <w:lang w:val="pt-PT"/>
        </w:rPr>
      </w:pPr>
      <w:r w:rsidRPr="004E33A5">
        <w:rPr>
          <w:rFonts w:hAnsi="Arial"/>
          <w:b/>
          <w:bCs/>
          <w:noProof/>
          <w:lang w:val="pt-PT"/>
        </w:rPr>
        <w:t xml:space="preserve">Em 2016, a procura de pneus de Ligeiro Camioneta e Camião deveria continuar bem orientada nos mercados maduros e manter as tendências observadas em 2015 nos novos mercados. A procura de pneus de Especialidades deveria notar ainda a influência da redução de stocks das companhias mineiras. </w:t>
      </w:r>
    </w:p>
    <w:p w:rsidR="003E4DEA" w:rsidRPr="004E33A5" w:rsidRDefault="003E4DEA" w:rsidP="00C9463D">
      <w:pPr>
        <w:pStyle w:val="TextoMichelin"/>
        <w:rPr>
          <w:rFonts w:hAnsi="Arial"/>
          <w:b/>
          <w:bCs/>
          <w:noProof/>
          <w:lang w:val="pt-PT"/>
        </w:rPr>
      </w:pPr>
      <w:r w:rsidRPr="004E33A5">
        <w:rPr>
          <w:rFonts w:hAnsi="Arial"/>
          <w:b/>
          <w:bCs/>
          <w:noProof/>
          <w:lang w:val="pt-PT"/>
        </w:rPr>
        <w:t xml:space="preserve">Nesta conjuntura a Michelin tem o objetivo em 2016 de um crescimento dos volumes pelo menos de acordo com a evolução mundial dos mercados, de um resultado operacional antes de elementos não recorrentes em crescimento, excetuando o efeito do câmbio e a produção de um </w:t>
      </w:r>
      <w:r w:rsidRPr="004E33A5">
        <w:rPr>
          <w:rFonts w:hAnsi="Arial"/>
          <w:b/>
          <w:bCs/>
          <w:i/>
          <w:iCs/>
          <w:noProof/>
          <w:lang w:val="pt-PT"/>
        </w:rPr>
        <w:t>cash flow</w:t>
      </w:r>
      <w:r w:rsidRPr="004E33A5">
        <w:rPr>
          <w:rFonts w:hAnsi="Arial"/>
          <w:b/>
          <w:bCs/>
          <w:noProof/>
          <w:lang w:val="pt-PT"/>
        </w:rPr>
        <w:t xml:space="preserve"> livre estrutural superior a 800 milhões de euros.</w:t>
      </w:r>
    </w:p>
    <w:p w:rsidR="00C9463D" w:rsidRPr="004E33A5" w:rsidRDefault="000F08D6" w:rsidP="007961AD">
      <w:pPr>
        <w:pStyle w:val="TextoMichelin"/>
        <w:rPr>
          <w:rFonts w:hAnsi="Arial"/>
          <w:b/>
          <w:bCs/>
          <w:noProof/>
          <w:lang w:val="pt-PT"/>
        </w:rPr>
      </w:pPr>
      <w:r w:rsidRPr="004E33A5">
        <w:rPr>
          <w:rFonts w:hAnsi="Arial"/>
          <w:b/>
          <w:bCs/>
          <w:noProof/>
          <w:lang w:val="pt-PT"/>
        </w:rPr>
        <w:t>No horizonte 2016-2020 o Grupo marcou objetivos ambiciosos de margem operacional antes de elementos não recorrentes entre 11% e 15% para o segmento de Ligeiro Camioneta, entre 9% e 13% para o segmento de Camião e entre 17% e 24% para o segmento de Especialidades.</w:t>
      </w:r>
    </w:p>
    <w:p w:rsidR="00C9463D" w:rsidRPr="004E33A5" w:rsidRDefault="00C9463D" w:rsidP="00C9463D">
      <w:pPr>
        <w:pStyle w:val="TextoMichelin"/>
        <w:rPr>
          <w:rFonts w:hAnsi="Arial"/>
          <w:b/>
          <w:bCs/>
          <w:noProof/>
          <w:lang w:val="pt-PT"/>
        </w:rPr>
      </w:pPr>
    </w:p>
    <w:p w:rsidR="00700DFB" w:rsidRPr="004E33A5" w:rsidRDefault="00700DFB">
      <w:pPr>
        <w:pStyle w:val="TextoMichelin"/>
        <w:rPr>
          <w:rFonts w:hAnsi="Arial"/>
          <w:b/>
          <w:bCs/>
          <w:noProof/>
          <w:lang w:val="pt-PT"/>
        </w:rPr>
      </w:pPr>
    </w:p>
    <w:p w:rsidR="00700DFB" w:rsidRPr="004E33A5" w:rsidRDefault="00700DFB">
      <w:pPr>
        <w:pStyle w:val="TextoMichelin"/>
        <w:rPr>
          <w:b/>
          <w:bCs/>
          <w:noProof/>
          <w:lang w:val="pt-PT"/>
        </w:rPr>
      </w:pPr>
    </w:p>
    <w:p w:rsidR="00700DFB" w:rsidRPr="004E33A5" w:rsidRDefault="00700DFB">
      <w:pPr>
        <w:pStyle w:val="TextoMichelin"/>
        <w:rPr>
          <w:b/>
          <w:bCs/>
          <w:noProof/>
          <w:lang w:val="pt-PT"/>
        </w:rPr>
      </w:pPr>
    </w:p>
    <w:p w:rsidR="00700DFB" w:rsidRPr="004E33A5" w:rsidRDefault="00700DFB">
      <w:pPr>
        <w:pStyle w:val="TextoMichelin"/>
        <w:rPr>
          <w:b/>
          <w:bCs/>
          <w:noProof/>
          <w:lang w:val="pt-PT"/>
        </w:rPr>
      </w:pPr>
    </w:p>
    <w:p w:rsidR="00700DFB" w:rsidRPr="004E33A5" w:rsidRDefault="00700DFB">
      <w:pPr>
        <w:pStyle w:val="TextoMichelin"/>
        <w:rPr>
          <w:b/>
          <w:bCs/>
          <w:noProof/>
          <w:lang w:val="pt-PT"/>
        </w:rPr>
      </w:pPr>
    </w:p>
    <w:p w:rsidR="00DF34E3" w:rsidRPr="004E33A5" w:rsidRDefault="00DF34E3">
      <w:pPr>
        <w:pStyle w:val="TextoMichelin"/>
        <w:rPr>
          <w:b/>
          <w:bCs/>
          <w:noProof/>
          <w:lang w:val="pt-PT"/>
        </w:rPr>
      </w:pPr>
    </w:p>
    <w:p w:rsidR="00DF34E3" w:rsidRPr="004E33A5" w:rsidRDefault="00DF34E3">
      <w:pPr>
        <w:pStyle w:val="TextoMichelin"/>
        <w:rPr>
          <w:b/>
          <w:bCs/>
          <w:noProof/>
          <w:lang w:val="pt-PT"/>
        </w:rPr>
      </w:pPr>
    </w:p>
    <w:p w:rsidR="00700DFB" w:rsidRPr="004E33A5" w:rsidRDefault="00700DFB">
      <w:pPr>
        <w:pStyle w:val="TextoMichelin"/>
        <w:rPr>
          <w:b/>
          <w:bCs/>
          <w:noProof/>
          <w:lang w:val="pt-PT"/>
        </w:rPr>
      </w:pPr>
    </w:p>
    <w:p w:rsidR="004E33A5" w:rsidRPr="004E33A5" w:rsidRDefault="004E33A5">
      <w:pPr>
        <w:pStyle w:val="TextoMichelin"/>
        <w:rPr>
          <w:b/>
          <w:bCs/>
          <w:noProof/>
          <w:lang w:val="pt-PT"/>
        </w:rPr>
      </w:pPr>
    </w:p>
    <w:p w:rsidR="00700DFB" w:rsidRPr="004E33A5" w:rsidRDefault="00700DFB">
      <w:pPr>
        <w:pStyle w:val="TextoMichelin"/>
        <w:rPr>
          <w:b/>
          <w:bCs/>
          <w:noProof/>
          <w:lang w:val="pt-PT"/>
        </w:rPr>
      </w:pPr>
    </w:p>
    <w:p w:rsidR="00AC69EC" w:rsidRPr="004E33A5" w:rsidRDefault="00AC69EC">
      <w:pPr>
        <w:pStyle w:val="TextoMichelin"/>
        <w:jc w:val="left"/>
        <w:rPr>
          <w:noProof/>
          <w:sz w:val="20"/>
          <w:szCs w:val="20"/>
          <w:lang w:val="pt-PT"/>
        </w:rPr>
        <w:sectPr w:rsidR="00AC69EC" w:rsidRPr="004E33A5">
          <w:headerReference w:type="default" r:id="rId7"/>
          <w:footerReference w:type="default" r:id="rId8"/>
          <w:footnotePr>
            <w:numFmt w:val="chicago"/>
          </w:footnotePr>
          <w:pgSz w:w="11900" w:h="16840"/>
          <w:pgMar w:top="1417" w:right="1701" w:bottom="1417" w:left="1701" w:header="708" w:footer="396" w:gutter="0"/>
          <w:cols w:space="720"/>
        </w:sectPr>
      </w:pP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2"/>
        <w:gridCol w:w="2126"/>
        <w:gridCol w:w="2284"/>
      </w:tblGrid>
      <w:tr w:rsidR="00A07724" w:rsidRPr="004E33A5" w:rsidTr="00DC4EE0">
        <w:trPr>
          <w:trHeight w:val="410"/>
          <w:jc w:val="center"/>
        </w:trPr>
        <w:tc>
          <w:tcPr>
            <w:tcW w:w="4082" w:type="dxa"/>
            <w:tcBorders>
              <w:bottom w:val="single" w:sz="4" w:space="0" w:color="auto"/>
            </w:tcBorders>
            <w:shd w:val="clear" w:color="auto" w:fill="D9D9D9" w:themeFill="background1" w:themeFillShade="D9"/>
          </w:tcPr>
          <w:p w:rsidR="00EE595C" w:rsidRPr="004E33A5" w:rsidRDefault="00EE595C" w:rsidP="00EA1A0D">
            <w:pPr>
              <w:pStyle w:val="Cuerpo"/>
              <w:tabs>
                <w:tab w:val="left" w:pos="360"/>
              </w:tabs>
              <w:spacing w:after="240" w:line="270" w:lineRule="atLeast"/>
              <w:jc w:val="center"/>
              <w:rPr>
                <w:rFonts w:ascii="Arial" w:hAnsi="Arial"/>
                <w:noProof/>
                <w:sz w:val="20"/>
                <w:szCs w:val="20"/>
                <w:lang w:val="pt-PT"/>
              </w:rPr>
            </w:pPr>
            <w:r w:rsidRPr="004E33A5">
              <w:rPr>
                <w:rFonts w:ascii="Arial" w:hAnsi="Arial"/>
                <w:noProof/>
                <w:sz w:val="20"/>
                <w:szCs w:val="20"/>
                <w:lang w:val="pt-PT"/>
              </w:rPr>
              <w:t>(EM MILHÕES DE EUROS)</w:t>
            </w:r>
          </w:p>
        </w:tc>
        <w:tc>
          <w:tcPr>
            <w:tcW w:w="2126" w:type="dxa"/>
            <w:tcBorders>
              <w:bottom w:val="single" w:sz="4" w:space="0" w:color="auto"/>
            </w:tcBorders>
            <w:shd w:val="clear" w:color="auto" w:fill="D9D9D9" w:themeFill="background1" w:themeFillShade="D9"/>
          </w:tcPr>
          <w:p w:rsidR="00EE595C" w:rsidRPr="004E33A5" w:rsidRDefault="00EE595C" w:rsidP="00EA1A0D">
            <w:pPr>
              <w:pStyle w:val="Cuerpo"/>
              <w:tabs>
                <w:tab w:val="left" w:pos="360"/>
              </w:tabs>
              <w:spacing w:after="240" w:line="270" w:lineRule="atLeast"/>
              <w:jc w:val="center"/>
              <w:rPr>
                <w:rFonts w:ascii="Arial" w:hAnsi="Arial"/>
                <w:noProof/>
                <w:sz w:val="20"/>
                <w:szCs w:val="20"/>
                <w:lang w:val="pt-PT"/>
              </w:rPr>
            </w:pPr>
            <w:r w:rsidRPr="004E33A5">
              <w:rPr>
                <w:rFonts w:ascii="Arial" w:hAnsi="Arial"/>
                <w:noProof/>
                <w:sz w:val="20"/>
                <w:szCs w:val="20"/>
                <w:lang w:val="pt-PT"/>
              </w:rPr>
              <w:t>2015</w:t>
            </w:r>
          </w:p>
        </w:tc>
        <w:tc>
          <w:tcPr>
            <w:tcW w:w="2284" w:type="dxa"/>
            <w:tcBorders>
              <w:bottom w:val="single" w:sz="4" w:space="0" w:color="auto"/>
            </w:tcBorders>
            <w:shd w:val="clear" w:color="auto" w:fill="D9D9D9" w:themeFill="background1" w:themeFillShade="D9"/>
          </w:tcPr>
          <w:p w:rsidR="00EE595C" w:rsidRPr="004E33A5" w:rsidRDefault="00EE595C" w:rsidP="00EA1A0D">
            <w:pPr>
              <w:pStyle w:val="Cuerpo"/>
              <w:tabs>
                <w:tab w:val="left" w:pos="360"/>
              </w:tabs>
              <w:spacing w:after="240" w:line="270" w:lineRule="atLeast"/>
              <w:jc w:val="center"/>
              <w:rPr>
                <w:rFonts w:ascii="Arial" w:hAnsi="Arial"/>
                <w:noProof/>
                <w:sz w:val="20"/>
                <w:szCs w:val="20"/>
                <w:lang w:val="pt-PT"/>
              </w:rPr>
            </w:pPr>
            <w:r w:rsidRPr="004E33A5">
              <w:rPr>
                <w:rFonts w:ascii="Arial" w:hAnsi="Arial"/>
                <w:noProof/>
                <w:sz w:val="20"/>
                <w:szCs w:val="20"/>
                <w:lang w:val="pt-PT"/>
              </w:rPr>
              <w:t>2014</w:t>
            </w:r>
          </w:p>
        </w:tc>
      </w:tr>
      <w:tr w:rsidR="008921B1" w:rsidRPr="004E33A5" w:rsidTr="00AB465B">
        <w:trPr>
          <w:jc w:val="center"/>
        </w:trPr>
        <w:tc>
          <w:tcPr>
            <w:tcW w:w="4082" w:type="dxa"/>
          </w:tcPr>
          <w:p w:rsidR="008921B1" w:rsidRPr="004E33A5" w:rsidRDefault="008921B1" w:rsidP="00FE4391">
            <w:pPr>
              <w:pStyle w:val="TextoMichelin"/>
              <w:jc w:val="left"/>
              <w:rPr>
                <w:rFonts w:eastAsia="Times New Roman" w:hAnsi="Arial" w:cs="Arial"/>
                <w:bCs/>
                <w:smallCaps/>
                <w:noProof/>
                <w:color w:val="auto"/>
                <w:sz w:val="20"/>
                <w:szCs w:val="20"/>
                <w:bdr w:val="none" w:sz="0" w:space="0" w:color="auto"/>
                <w:lang w:val="pt-PT"/>
              </w:rPr>
            </w:pPr>
            <w:r w:rsidRPr="004E33A5">
              <w:rPr>
                <w:rFonts w:eastAsia="Times New Roman" w:hAnsi="Arial" w:cs="Arial"/>
                <w:smallCaps/>
                <w:noProof/>
                <w:color w:val="auto"/>
                <w:sz w:val="20"/>
                <w:szCs w:val="20"/>
                <w:bdr w:val="none" w:sz="0" w:space="0" w:color="auto"/>
                <w:lang w:val="pt-PT"/>
              </w:rPr>
              <w:t>Vendas líquidas</w:t>
            </w:r>
          </w:p>
        </w:tc>
        <w:tc>
          <w:tcPr>
            <w:tcW w:w="2126" w:type="dxa"/>
          </w:tcPr>
          <w:p w:rsidR="008921B1" w:rsidRPr="004E33A5" w:rsidRDefault="008921B1" w:rsidP="00EA1A0D">
            <w:pPr>
              <w:tabs>
                <w:tab w:val="left" w:pos="360"/>
              </w:tabs>
              <w:spacing w:after="240" w:line="270" w:lineRule="atLeast"/>
              <w:jc w:val="center"/>
              <w:rPr>
                <w:rFonts w:ascii="Arial" w:eastAsia="Times" w:hAnsi="Arial" w:cs="Arial"/>
                <w:b/>
                <w:bCs/>
                <w:noProof/>
                <w:color w:val="000000"/>
                <w:sz w:val="20"/>
                <w:szCs w:val="20"/>
                <w:u w:color="000000"/>
                <w:lang w:val="pt-PT"/>
              </w:rPr>
            </w:pPr>
            <w:r w:rsidRPr="004E33A5">
              <w:rPr>
                <w:rFonts w:ascii="Arial" w:hAnsi="Arial" w:cs="Arial"/>
                <w:b/>
                <w:bCs/>
                <w:noProof/>
                <w:sz w:val="20"/>
                <w:szCs w:val="20"/>
                <w:lang w:val="pt-PT"/>
              </w:rPr>
              <w:t>21.199</w:t>
            </w:r>
          </w:p>
        </w:tc>
        <w:tc>
          <w:tcPr>
            <w:tcW w:w="2284" w:type="dxa"/>
          </w:tcPr>
          <w:p w:rsidR="008921B1" w:rsidRPr="004E33A5" w:rsidRDefault="008921B1" w:rsidP="00EA1A0D">
            <w:pPr>
              <w:tabs>
                <w:tab w:val="left" w:pos="360"/>
              </w:tabs>
              <w:spacing w:after="240" w:line="270" w:lineRule="atLeast"/>
              <w:jc w:val="center"/>
              <w:rPr>
                <w:rFonts w:ascii="Arial" w:eastAsia="Times" w:hAnsi="Arial" w:cs="Arial"/>
                <w:b/>
                <w:bCs/>
                <w:noProof/>
                <w:color w:val="000000"/>
                <w:sz w:val="20"/>
                <w:szCs w:val="20"/>
                <w:u w:color="000000"/>
                <w:lang w:val="pt-PT"/>
              </w:rPr>
            </w:pPr>
            <w:r w:rsidRPr="004E33A5">
              <w:rPr>
                <w:rFonts w:ascii="Arial" w:hAnsi="Arial" w:cs="Arial"/>
                <w:b/>
                <w:bCs/>
                <w:noProof/>
                <w:sz w:val="20"/>
                <w:szCs w:val="20"/>
                <w:lang w:val="pt-PT"/>
              </w:rPr>
              <w:t>19.553</w:t>
            </w:r>
          </w:p>
        </w:tc>
      </w:tr>
      <w:tr w:rsidR="008921B1" w:rsidRPr="004E33A5" w:rsidTr="00AB465B">
        <w:trPr>
          <w:jc w:val="center"/>
        </w:trPr>
        <w:tc>
          <w:tcPr>
            <w:tcW w:w="4082" w:type="dxa"/>
          </w:tcPr>
          <w:p w:rsidR="008921B1" w:rsidRPr="004E33A5" w:rsidRDefault="008921B1" w:rsidP="00FE4391">
            <w:pPr>
              <w:pStyle w:val="TextoMichelin"/>
              <w:jc w:val="left"/>
              <w:rPr>
                <w:rFonts w:eastAsia="Times New Roman" w:hAnsi="Arial" w:cs="Arial"/>
                <w:bCs/>
                <w:smallCaps/>
                <w:noProof/>
                <w:color w:val="auto"/>
                <w:sz w:val="20"/>
                <w:szCs w:val="20"/>
                <w:bdr w:val="none" w:sz="0" w:space="0" w:color="auto"/>
                <w:lang w:val="pt-PT"/>
              </w:rPr>
            </w:pPr>
            <w:r w:rsidRPr="004E33A5">
              <w:rPr>
                <w:rFonts w:eastAsia="Times New Roman" w:hAnsi="Arial" w:cs="Arial"/>
                <w:smallCaps/>
                <w:noProof/>
                <w:color w:val="auto"/>
                <w:sz w:val="20"/>
                <w:szCs w:val="20"/>
                <w:bdr w:val="none" w:sz="0" w:space="0" w:color="auto"/>
                <w:lang w:val="pt-PT"/>
              </w:rPr>
              <w:t>Resultado operacional antes de elementos não recorrentes</w:t>
            </w:r>
          </w:p>
        </w:tc>
        <w:tc>
          <w:tcPr>
            <w:tcW w:w="2126" w:type="dxa"/>
          </w:tcPr>
          <w:p w:rsidR="008921B1" w:rsidRPr="004E33A5" w:rsidRDefault="008921B1" w:rsidP="0097284C">
            <w:pPr>
              <w:tabs>
                <w:tab w:val="left" w:pos="360"/>
              </w:tabs>
              <w:jc w:val="center"/>
              <w:rPr>
                <w:rFonts w:ascii="Arial" w:hAnsi="Arial" w:cs="Arial"/>
                <w:bCs/>
                <w:noProof/>
                <w:sz w:val="20"/>
                <w:szCs w:val="20"/>
                <w:lang w:val="pt-PT"/>
              </w:rPr>
            </w:pPr>
          </w:p>
          <w:p w:rsidR="008921B1" w:rsidRPr="004E33A5" w:rsidRDefault="008921B1" w:rsidP="00EB5C87">
            <w:pPr>
              <w:tabs>
                <w:tab w:val="left" w:pos="360"/>
              </w:tabs>
              <w:jc w:val="center"/>
              <w:rPr>
                <w:rFonts w:ascii="Arial" w:eastAsia="Times" w:hAnsi="Arial" w:cs="Arial"/>
                <w:b/>
                <w:bCs/>
                <w:noProof/>
                <w:color w:val="000000"/>
                <w:sz w:val="20"/>
                <w:szCs w:val="20"/>
                <w:u w:color="000000"/>
                <w:lang w:val="pt-PT"/>
              </w:rPr>
            </w:pPr>
            <w:r w:rsidRPr="004E33A5">
              <w:rPr>
                <w:rFonts w:ascii="Arial" w:hAnsi="Arial" w:cs="Arial"/>
                <w:b/>
                <w:bCs/>
                <w:noProof/>
                <w:sz w:val="20"/>
                <w:szCs w:val="20"/>
                <w:lang w:val="pt-PT"/>
              </w:rPr>
              <w:t>2.577</w:t>
            </w:r>
          </w:p>
        </w:tc>
        <w:tc>
          <w:tcPr>
            <w:tcW w:w="2284" w:type="dxa"/>
          </w:tcPr>
          <w:p w:rsidR="008921B1" w:rsidRPr="004E33A5" w:rsidRDefault="008921B1" w:rsidP="0097284C">
            <w:pPr>
              <w:tabs>
                <w:tab w:val="left" w:pos="360"/>
              </w:tabs>
              <w:jc w:val="center"/>
              <w:rPr>
                <w:rFonts w:ascii="Arial" w:hAnsi="Arial" w:cs="Arial"/>
                <w:bCs/>
                <w:noProof/>
                <w:sz w:val="20"/>
                <w:szCs w:val="20"/>
                <w:lang w:val="pt-PT"/>
              </w:rPr>
            </w:pPr>
          </w:p>
          <w:p w:rsidR="008921B1" w:rsidRPr="004E33A5" w:rsidRDefault="008921B1" w:rsidP="00EB5C87">
            <w:pPr>
              <w:tabs>
                <w:tab w:val="left" w:pos="360"/>
              </w:tabs>
              <w:jc w:val="center"/>
              <w:rPr>
                <w:rFonts w:ascii="Arial" w:eastAsia="Times" w:hAnsi="Arial" w:cs="Arial"/>
                <w:b/>
                <w:bCs/>
                <w:noProof/>
                <w:color w:val="000000"/>
                <w:sz w:val="20"/>
                <w:szCs w:val="20"/>
                <w:u w:color="000000"/>
                <w:lang w:val="pt-PT"/>
              </w:rPr>
            </w:pPr>
            <w:r w:rsidRPr="004E33A5">
              <w:rPr>
                <w:rFonts w:ascii="Arial" w:hAnsi="Arial" w:cs="Arial"/>
                <w:b/>
                <w:bCs/>
                <w:noProof/>
                <w:sz w:val="20"/>
                <w:szCs w:val="20"/>
                <w:lang w:val="pt-PT"/>
              </w:rPr>
              <w:t>2.170</w:t>
            </w:r>
          </w:p>
        </w:tc>
      </w:tr>
      <w:tr w:rsidR="008921B1" w:rsidRPr="004E33A5" w:rsidTr="00AB465B">
        <w:trPr>
          <w:jc w:val="center"/>
        </w:trPr>
        <w:tc>
          <w:tcPr>
            <w:tcW w:w="4082" w:type="dxa"/>
            <w:tcBorders>
              <w:top w:val="single" w:sz="4" w:space="0" w:color="auto"/>
              <w:left w:val="single" w:sz="4" w:space="0" w:color="auto"/>
              <w:bottom w:val="single" w:sz="4" w:space="0" w:color="auto"/>
              <w:right w:val="single" w:sz="4" w:space="0" w:color="auto"/>
            </w:tcBorders>
          </w:tcPr>
          <w:p w:rsidR="008921B1" w:rsidRPr="004E33A5" w:rsidRDefault="008921B1" w:rsidP="00FE4391">
            <w:pPr>
              <w:pStyle w:val="TextoMichelin"/>
              <w:jc w:val="left"/>
              <w:rPr>
                <w:rFonts w:eastAsia="Times New Roman" w:hAnsi="Arial" w:cs="Arial"/>
                <w:bCs/>
                <w:smallCaps/>
                <w:noProof/>
                <w:color w:val="auto"/>
                <w:sz w:val="20"/>
                <w:szCs w:val="20"/>
                <w:bdr w:val="none" w:sz="0" w:space="0" w:color="auto"/>
                <w:lang w:val="pt-PT"/>
              </w:rPr>
            </w:pPr>
            <w:r w:rsidRPr="004E33A5">
              <w:rPr>
                <w:rFonts w:eastAsia="Times New Roman" w:hAnsi="Arial" w:cs="Arial"/>
                <w:smallCaps/>
                <w:noProof/>
                <w:color w:val="auto"/>
                <w:sz w:val="20"/>
                <w:szCs w:val="20"/>
                <w:bdr w:val="none" w:sz="0" w:space="0" w:color="auto"/>
                <w:lang w:val="pt-PT"/>
              </w:rPr>
              <w:t>Margem operacional antes de elementos não recorrentes</w:t>
            </w:r>
          </w:p>
        </w:tc>
        <w:tc>
          <w:tcPr>
            <w:tcW w:w="2126" w:type="dxa"/>
            <w:tcBorders>
              <w:top w:val="single" w:sz="4" w:space="0" w:color="auto"/>
              <w:left w:val="single" w:sz="4" w:space="0" w:color="auto"/>
              <w:bottom w:val="single" w:sz="4" w:space="0" w:color="auto"/>
              <w:right w:val="single" w:sz="4" w:space="0" w:color="auto"/>
            </w:tcBorders>
          </w:tcPr>
          <w:p w:rsidR="008921B1" w:rsidRPr="004E33A5" w:rsidRDefault="008921B1" w:rsidP="0097284C">
            <w:pPr>
              <w:tabs>
                <w:tab w:val="left" w:pos="360"/>
              </w:tabs>
              <w:jc w:val="center"/>
              <w:rPr>
                <w:rFonts w:ascii="Arial" w:hAnsi="Arial" w:cs="Arial"/>
                <w:b/>
                <w:bCs/>
                <w:noProof/>
                <w:sz w:val="20"/>
                <w:szCs w:val="20"/>
                <w:lang w:val="pt-PT"/>
              </w:rPr>
            </w:pPr>
          </w:p>
          <w:p w:rsidR="008921B1" w:rsidRPr="004E33A5" w:rsidRDefault="008921B1" w:rsidP="00035D4D">
            <w:pPr>
              <w:tabs>
                <w:tab w:val="left" w:pos="360"/>
              </w:tabs>
              <w:jc w:val="center"/>
              <w:rPr>
                <w:rFonts w:ascii="Arial" w:eastAsia="Times" w:hAnsi="Arial" w:cs="Arial"/>
                <w:b/>
                <w:bCs/>
                <w:noProof/>
                <w:color w:val="000000"/>
                <w:sz w:val="20"/>
                <w:szCs w:val="20"/>
                <w:u w:color="000000"/>
                <w:lang w:val="pt-PT"/>
              </w:rPr>
            </w:pPr>
            <w:r w:rsidRPr="004E33A5">
              <w:rPr>
                <w:rFonts w:ascii="Arial" w:hAnsi="Arial" w:cs="Arial"/>
                <w:b/>
                <w:bCs/>
                <w:noProof/>
                <w:sz w:val="20"/>
                <w:szCs w:val="20"/>
                <w:lang w:val="pt-PT"/>
              </w:rPr>
              <w:t>12,2%</w:t>
            </w:r>
          </w:p>
        </w:tc>
        <w:tc>
          <w:tcPr>
            <w:tcW w:w="2284" w:type="dxa"/>
            <w:tcBorders>
              <w:top w:val="single" w:sz="4" w:space="0" w:color="auto"/>
              <w:left w:val="single" w:sz="4" w:space="0" w:color="auto"/>
              <w:bottom w:val="single" w:sz="4" w:space="0" w:color="auto"/>
              <w:right w:val="single" w:sz="4" w:space="0" w:color="auto"/>
            </w:tcBorders>
          </w:tcPr>
          <w:p w:rsidR="008921B1" w:rsidRPr="004E33A5" w:rsidRDefault="008921B1" w:rsidP="0097284C">
            <w:pPr>
              <w:tabs>
                <w:tab w:val="left" w:pos="360"/>
              </w:tabs>
              <w:jc w:val="center"/>
              <w:rPr>
                <w:rFonts w:ascii="Arial" w:hAnsi="Arial" w:cs="Arial"/>
                <w:b/>
                <w:bCs/>
                <w:noProof/>
                <w:sz w:val="20"/>
                <w:szCs w:val="20"/>
                <w:lang w:val="pt-PT"/>
              </w:rPr>
            </w:pPr>
          </w:p>
          <w:p w:rsidR="008921B1" w:rsidRPr="004E33A5" w:rsidRDefault="008921B1" w:rsidP="00035D4D">
            <w:pPr>
              <w:tabs>
                <w:tab w:val="left" w:pos="360"/>
              </w:tabs>
              <w:jc w:val="center"/>
              <w:rPr>
                <w:rFonts w:ascii="Arial" w:eastAsia="Times" w:hAnsi="Arial" w:cs="Arial"/>
                <w:b/>
                <w:bCs/>
                <w:noProof/>
                <w:color w:val="000000"/>
                <w:sz w:val="20"/>
                <w:szCs w:val="20"/>
                <w:u w:color="000000"/>
                <w:lang w:val="pt-PT"/>
              </w:rPr>
            </w:pPr>
            <w:r w:rsidRPr="004E33A5">
              <w:rPr>
                <w:rFonts w:ascii="Arial" w:hAnsi="Arial" w:cs="Arial"/>
                <w:b/>
                <w:bCs/>
                <w:noProof/>
                <w:sz w:val="20"/>
                <w:szCs w:val="20"/>
                <w:lang w:val="pt-PT"/>
              </w:rPr>
              <w:t>11,1%</w:t>
            </w:r>
          </w:p>
        </w:tc>
      </w:tr>
      <w:tr w:rsidR="008921B1" w:rsidRPr="004E33A5" w:rsidTr="00AB465B">
        <w:trPr>
          <w:jc w:val="center"/>
        </w:trPr>
        <w:tc>
          <w:tcPr>
            <w:tcW w:w="4082" w:type="dxa"/>
          </w:tcPr>
          <w:p w:rsidR="008921B1" w:rsidRPr="004E33A5" w:rsidRDefault="008921B1" w:rsidP="00FE4391">
            <w:pPr>
              <w:pStyle w:val="TextoMichelin"/>
              <w:jc w:val="left"/>
              <w:rPr>
                <w:rFonts w:eastAsia="Times New Roman" w:hAnsi="Arial" w:cs="Arial"/>
                <w:bCs/>
                <w:smallCaps/>
                <w:noProof/>
                <w:color w:val="auto"/>
                <w:sz w:val="20"/>
                <w:szCs w:val="20"/>
                <w:bdr w:val="none" w:sz="0" w:space="0" w:color="auto"/>
                <w:lang w:val="pt-PT"/>
              </w:rPr>
            </w:pPr>
            <w:r w:rsidRPr="004E33A5">
              <w:rPr>
                <w:rFonts w:eastAsia="Times New Roman" w:hAnsi="Arial" w:cs="Arial"/>
                <w:smallCaps/>
                <w:noProof/>
                <w:color w:val="auto"/>
                <w:sz w:val="20"/>
                <w:szCs w:val="20"/>
                <w:bdr w:val="none" w:sz="0" w:space="0" w:color="auto"/>
                <w:lang w:val="pt-PT"/>
              </w:rPr>
              <w:t xml:space="preserve">Ligeiro, camioneta e distribuição associada </w:t>
            </w:r>
          </w:p>
        </w:tc>
        <w:tc>
          <w:tcPr>
            <w:tcW w:w="2126" w:type="dxa"/>
          </w:tcPr>
          <w:p w:rsidR="008921B1" w:rsidRPr="004E33A5" w:rsidRDefault="008921B1" w:rsidP="0097284C">
            <w:pPr>
              <w:tabs>
                <w:tab w:val="left" w:pos="360"/>
              </w:tabs>
              <w:jc w:val="center"/>
              <w:rPr>
                <w:rFonts w:ascii="Arial" w:hAnsi="Arial" w:cs="Arial"/>
                <w:b/>
                <w:bCs/>
                <w:noProof/>
                <w:sz w:val="20"/>
                <w:szCs w:val="20"/>
                <w:lang w:val="pt-PT"/>
              </w:rPr>
            </w:pPr>
          </w:p>
          <w:p w:rsidR="008921B1" w:rsidRPr="004E33A5" w:rsidRDefault="008921B1" w:rsidP="00035D4D">
            <w:pPr>
              <w:tabs>
                <w:tab w:val="left" w:pos="360"/>
              </w:tabs>
              <w:jc w:val="center"/>
              <w:rPr>
                <w:rFonts w:ascii="Arial" w:eastAsia="Times" w:hAnsi="Arial" w:cs="Arial"/>
                <w:b/>
                <w:bCs/>
                <w:noProof/>
                <w:color w:val="000000"/>
                <w:sz w:val="20"/>
                <w:szCs w:val="20"/>
                <w:u w:color="000000"/>
                <w:lang w:val="pt-PT"/>
              </w:rPr>
            </w:pPr>
            <w:r w:rsidRPr="004E33A5">
              <w:rPr>
                <w:rFonts w:ascii="Arial" w:hAnsi="Arial" w:cs="Arial"/>
                <w:b/>
                <w:bCs/>
                <w:noProof/>
                <w:sz w:val="20"/>
                <w:szCs w:val="20"/>
                <w:lang w:val="pt-PT"/>
              </w:rPr>
              <w:t>11,5%</w:t>
            </w:r>
          </w:p>
        </w:tc>
        <w:tc>
          <w:tcPr>
            <w:tcW w:w="2284" w:type="dxa"/>
          </w:tcPr>
          <w:p w:rsidR="008921B1" w:rsidRPr="004E33A5" w:rsidRDefault="008921B1" w:rsidP="0097284C">
            <w:pPr>
              <w:tabs>
                <w:tab w:val="left" w:pos="360"/>
              </w:tabs>
              <w:jc w:val="center"/>
              <w:rPr>
                <w:rFonts w:ascii="Arial" w:hAnsi="Arial" w:cs="Arial"/>
                <w:b/>
                <w:bCs/>
                <w:noProof/>
                <w:sz w:val="20"/>
                <w:szCs w:val="20"/>
                <w:lang w:val="pt-PT"/>
              </w:rPr>
            </w:pPr>
          </w:p>
          <w:p w:rsidR="008921B1" w:rsidRPr="004E33A5" w:rsidRDefault="008921B1" w:rsidP="00035D4D">
            <w:pPr>
              <w:tabs>
                <w:tab w:val="left" w:pos="360"/>
              </w:tabs>
              <w:jc w:val="center"/>
              <w:rPr>
                <w:rFonts w:ascii="Arial" w:eastAsia="Times" w:hAnsi="Arial" w:cs="Arial"/>
                <w:b/>
                <w:bCs/>
                <w:noProof/>
                <w:color w:val="000000"/>
                <w:sz w:val="20"/>
                <w:szCs w:val="20"/>
                <w:u w:color="000000"/>
                <w:lang w:val="pt-PT"/>
              </w:rPr>
            </w:pPr>
            <w:r w:rsidRPr="004E33A5">
              <w:rPr>
                <w:rFonts w:ascii="Arial" w:hAnsi="Arial" w:cs="Arial"/>
                <w:b/>
                <w:bCs/>
                <w:noProof/>
                <w:sz w:val="20"/>
                <w:szCs w:val="20"/>
                <w:lang w:val="pt-PT"/>
              </w:rPr>
              <w:t>10,5 %</w:t>
            </w:r>
          </w:p>
        </w:tc>
      </w:tr>
      <w:tr w:rsidR="008921B1" w:rsidRPr="004E33A5" w:rsidTr="00AB465B">
        <w:trPr>
          <w:jc w:val="center"/>
        </w:trPr>
        <w:tc>
          <w:tcPr>
            <w:tcW w:w="4082" w:type="dxa"/>
          </w:tcPr>
          <w:p w:rsidR="008921B1" w:rsidRPr="004E33A5" w:rsidRDefault="008921B1" w:rsidP="00FE4391">
            <w:pPr>
              <w:pStyle w:val="TextoMichelin"/>
              <w:jc w:val="left"/>
              <w:rPr>
                <w:rFonts w:eastAsia="Times New Roman" w:hAnsi="Arial" w:cs="Arial"/>
                <w:bCs/>
                <w:smallCaps/>
                <w:noProof/>
                <w:color w:val="auto"/>
                <w:sz w:val="20"/>
                <w:szCs w:val="20"/>
                <w:bdr w:val="none" w:sz="0" w:space="0" w:color="auto"/>
                <w:lang w:val="pt-PT"/>
              </w:rPr>
            </w:pPr>
            <w:r w:rsidRPr="004E33A5">
              <w:rPr>
                <w:rFonts w:eastAsia="Times New Roman" w:hAnsi="Arial" w:cs="Arial"/>
                <w:smallCaps/>
                <w:noProof/>
                <w:color w:val="auto"/>
                <w:sz w:val="20"/>
                <w:szCs w:val="20"/>
                <w:bdr w:val="none" w:sz="0" w:space="0" w:color="auto"/>
                <w:lang w:val="pt-PT"/>
              </w:rPr>
              <w:t xml:space="preserve">Camião e distribuição associada </w:t>
            </w:r>
          </w:p>
        </w:tc>
        <w:tc>
          <w:tcPr>
            <w:tcW w:w="2126" w:type="dxa"/>
          </w:tcPr>
          <w:p w:rsidR="008921B1" w:rsidRPr="004E33A5" w:rsidRDefault="008921B1"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10,4%</w:t>
            </w:r>
          </w:p>
        </w:tc>
        <w:tc>
          <w:tcPr>
            <w:tcW w:w="2284" w:type="dxa"/>
          </w:tcPr>
          <w:p w:rsidR="008921B1" w:rsidRPr="004E33A5" w:rsidRDefault="008921B1"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8,1%</w:t>
            </w:r>
          </w:p>
        </w:tc>
      </w:tr>
      <w:tr w:rsidR="008921B1" w:rsidRPr="004E33A5" w:rsidTr="00AB465B">
        <w:trPr>
          <w:trHeight w:val="530"/>
          <w:jc w:val="center"/>
        </w:trPr>
        <w:tc>
          <w:tcPr>
            <w:tcW w:w="4082" w:type="dxa"/>
          </w:tcPr>
          <w:p w:rsidR="008921B1" w:rsidRPr="004E33A5" w:rsidRDefault="008921B1" w:rsidP="00FE4391">
            <w:pPr>
              <w:pStyle w:val="TextoMichelin"/>
              <w:jc w:val="left"/>
              <w:rPr>
                <w:rFonts w:eastAsia="Times New Roman" w:hAnsi="Arial" w:cs="Arial"/>
                <w:bCs/>
                <w:smallCaps/>
                <w:noProof/>
                <w:color w:val="auto"/>
                <w:sz w:val="20"/>
                <w:szCs w:val="20"/>
                <w:bdr w:val="none" w:sz="0" w:space="0" w:color="auto"/>
                <w:lang w:val="pt-PT"/>
              </w:rPr>
            </w:pPr>
            <w:r w:rsidRPr="004E33A5">
              <w:rPr>
                <w:rFonts w:eastAsia="Times New Roman" w:hAnsi="Arial" w:cs="Arial"/>
                <w:smallCaps/>
                <w:noProof/>
                <w:color w:val="auto"/>
                <w:sz w:val="20"/>
                <w:szCs w:val="20"/>
                <w:bdr w:val="none" w:sz="0" w:space="0" w:color="auto"/>
                <w:lang w:val="pt-PT"/>
              </w:rPr>
              <w:t>Atividades de especialidades</w:t>
            </w:r>
          </w:p>
        </w:tc>
        <w:tc>
          <w:tcPr>
            <w:tcW w:w="2126" w:type="dxa"/>
          </w:tcPr>
          <w:p w:rsidR="008921B1" w:rsidRPr="004E33A5" w:rsidRDefault="008921B1"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18,6%</w:t>
            </w:r>
          </w:p>
        </w:tc>
        <w:tc>
          <w:tcPr>
            <w:tcW w:w="2284" w:type="dxa"/>
          </w:tcPr>
          <w:p w:rsidR="008921B1" w:rsidRPr="004E33A5" w:rsidRDefault="008921B1"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19,3%</w:t>
            </w:r>
          </w:p>
        </w:tc>
      </w:tr>
      <w:tr w:rsidR="00B36908" w:rsidRPr="004E33A5" w:rsidTr="00AB465B">
        <w:trPr>
          <w:jc w:val="center"/>
        </w:trPr>
        <w:tc>
          <w:tcPr>
            <w:tcW w:w="4082" w:type="dxa"/>
            <w:tcBorders>
              <w:top w:val="single" w:sz="4" w:space="0" w:color="auto"/>
              <w:left w:val="single" w:sz="4" w:space="0" w:color="auto"/>
              <w:bottom w:val="single" w:sz="4" w:space="0" w:color="auto"/>
              <w:right w:val="single" w:sz="4" w:space="0" w:color="auto"/>
            </w:tcBorders>
          </w:tcPr>
          <w:p w:rsidR="00B36908" w:rsidRPr="004E33A5" w:rsidRDefault="00B36908" w:rsidP="00FE4391">
            <w:pPr>
              <w:pStyle w:val="TextoMichelin"/>
              <w:jc w:val="left"/>
              <w:rPr>
                <w:rFonts w:eastAsia="Times New Roman" w:hAnsi="Arial" w:cs="Arial"/>
                <w:bCs/>
                <w:smallCaps/>
                <w:noProof/>
                <w:color w:val="auto"/>
                <w:sz w:val="20"/>
                <w:szCs w:val="20"/>
                <w:bdr w:val="none" w:sz="0" w:space="0" w:color="auto"/>
                <w:lang w:val="pt-PT"/>
              </w:rPr>
            </w:pPr>
            <w:r w:rsidRPr="004E33A5">
              <w:rPr>
                <w:rFonts w:eastAsia="Times New Roman" w:hAnsi="Arial" w:cs="Arial"/>
                <w:smallCaps/>
                <w:noProof/>
                <w:color w:val="auto"/>
                <w:sz w:val="20"/>
                <w:szCs w:val="20"/>
                <w:bdr w:val="none" w:sz="0" w:space="0" w:color="auto"/>
                <w:lang w:val="pt-PT"/>
              </w:rPr>
              <w:t>Elementos não recorrentes</w:t>
            </w:r>
          </w:p>
        </w:tc>
        <w:tc>
          <w:tcPr>
            <w:tcW w:w="2126" w:type="dxa"/>
            <w:tcBorders>
              <w:top w:val="single" w:sz="4" w:space="0" w:color="auto"/>
              <w:left w:val="single" w:sz="4" w:space="0" w:color="auto"/>
              <w:bottom w:val="single" w:sz="4" w:space="0" w:color="auto"/>
              <w:right w:val="single" w:sz="4" w:space="0" w:color="auto"/>
            </w:tcBorders>
          </w:tcPr>
          <w:p w:rsidR="00B36908" w:rsidRPr="004E33A5" w:rsidRDefault="00B36908"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- 370</w:t>
            </w:r>
          </w:p>
        </w:tc>
        <w:tc>
          <w:tcPr>
            <w:tcW w:w="2284" w:type="dxa"/>
            <w:tcBorders>
              <w:top w:val="single" w:sz="4" w:space="0" w:color="auto"/>
              <w:left w:val="single" w:sz="4" w:space="0" w:color="auto"/>
              <w:bottom w:val="single" w:sz="4" w:space="0" w:color="auto"/>
              <w:right w:val="single" w:sz="4" w:space="0" w:color="auto"/>
            </w:tcBorders>
          </w:tcPr>
          <w:p w:rsidR="00B36908" w:rsidRPr="004E33A5" w:rsidRDefault="00B36908"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- 179</w:t>
            </w:r>
          </w:p>
        </w:tc>
      </w:tr>
      <w:tr w:rsidR="00DC15A6" w:rsidRPr="004E33A5" w:rsidTr="00AB465B">
        <w:trPr>
          <w:trHeight w:val="795"/>
          <w:jc w:val="center"/>
        </w:trPr>
        <w:tc>
          <w:tcPr>
            <w:tcW w:w="4082" w:type="dxa"/>
            <w:tcBorders>
              <w:top w:val="single" w:sz="4" w:space="0" w:color="auto"/>
              <w:left w:val="single" w:sz="4" w:space="0" w:color="auto"/>
              <w:bottom w:val="single" w:sz="4" w:space="0" w:color="auto"/>
              <w:right w:val="single" w:sz="4" w:space="0" w:color="auto"/>
            </w:tcBorders>
          </w:tcPr>
          <w:p w:rsidR="00DC15A6" w:rsidRPr="004E33A5" w:rsidRDefault="00DC15A6" w:rsidP="00FE4391">
            <w:pPr>
              <w:pStyle w:val="TextoMichelin"/>
              <w:jc w:val="left"/>
              <w:rPr>
                <w:rFonts w:eastAsia="Times New Roman" w:hAnsi="Arial" w:cs="Arial"/>
                <w:bCs/>
                <w:smallCaps/>
                <w:noProof/>
                <w:color w:val="auto"/>
                <w:sz w:val="20"/>
                <w:szCs w:val="20"/>
                <w:bdr w:val="none" w:sz="0" w:space="0" w:color="auto"/>
                <w:lang w:val="pt-PT"/>
              </w:rPr>
            </w:pPr>
            <w:r w:rsidRPr="004E33A5">
              <w:rPr>
                <w:rFonts w:eastAsia="Times New Roman" w:hAnsi="Arial" w:cs="Arial"/>
                <w:smallCaps/>
                <w:noProof/>
                <w:color w:val="auto"/>
                <w:sz w:val="20"/>
                <w:szCs w:val="20"/>
                <w:bdr w:val="none" w:sz="0" w:space="0" w:color="auto"/>
                <w:lang w:val="pt-PT"/>
              </w:rPr>
              <w:t>Resultado operacional após elementos não recorrentes</w:t>
            </w:r>
          </w:p>
        </w:tc>
        <w:tc>
          <w:tcPr>
            <w:tcW w:w="2126" w:type="dxa"/>
            <w:tcBorders>
              <w:top w:val="single" w:sz="4" w:space="0" w:color="auto"/>
              <w:left w:val="single" w:sz="4" w:space="0" w:color="auto"/>
              <w:bottom w:val="single" w:sz="4" w:space="0" w:color="auto"/>
              <w:right w:val="single" w:sz="4" w:space="0" w:color="auto"/>
            </w:tcBorders>
          </w:tcPr>
          <w:p w:rsidR="00DC15A6" w:rsidRPr="004E33A5" w:rsidRDefault="00DC15A6"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2.207</w:t>
            </w:r>
          </w:p>
        </w:tc>
        <w:tc>
          <w:tcPr>
            <w:tcW w:w="2284" w:type="dxa"/>
            <w:tcBorders>
              <w:top w:val="single" w:sz="4" w:space="0" w:color="auto"/>
              <w:left w:val="single" w:sz="4" w:space="0" w:color="auto"/>
              <w:bottom w:val="single" w:sz="4" w:space="0" w:color="auto"/>
              <w:right w:val="single" w:sz="4" w:space="0" w:color="auto"/>
            </w:tcBorders>
          </w:tcPr>
          <w:p w:rsidR="00DC15A6" w:rsidRPr="004E33A5" w:rsidRDefault="00DC15A6"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1.991</w:t>
            </w:r>
          </w:p>
        </w:tc>
      </w:tr>
      <w:tr w:rsidR="008921B1" w:rsidRPr="004E33A5" w:rsidTr="00AB465B">
        <w:trPr>
          <w:jc w:val="center"/>
        </w:trPr>
        <w:tc>
          <w:tcPr>
            <w:tcW w:w="4082" w:type="dxa"/>
            <w:tcBorders>
              <w:top w:val="single" w:sz="4" w:space="0" w:color="auto"/>
              <w:left w:val="single" w:sz="4" w:space="0" w:color="auto"/>
              <w:bottom w:val="single" w:sz="4" w:space="0" w:color="auto"/>
              <w:right w:val="single" w:sz="4" w:space="0" w:color="auto"/>
            </w:tcBorders>
          </w:tcPr>
          <w:p w:rsidR="008921B1" w:rsidRPr="004E33A5" w:rsidRDefault="008921B1" w:rsidP="00FE4391">
            <w:pPr>
              <w:pStyle w:val="TextoMichelin"/>
              <w:jc w:val="left"/>
              <w:rPr>
                <w:rFonts w:eastAsia="Times New Roman" w:hAnsi="Arial" w:cs="Arial"/>
                <w:bCs/>
                <w:smallCaps/>
                <w:noProof/>
                <w:color w:val="auto"/>
                <w:sz w:val="20"/>
                <w:szCs w:val="20"/>
                <w:bdr w:val="none" w:sz="0" w:space="0" w:color="auto"/>
                <w:lang w:val="pt-PT"/>
              </w:rPr>
            </w:pPr>
            <w:r w:rsidRPr="004E33A5">
              <w:rPr>
                <w:rFonts w:eastAsia="Times New Roman" w:hAnsi="Arial" w:cs="Arial"/>
                <w:smallCaps/>
                <w:noProof/>
                <w:color w:val="auto"/>
                <w:sz w:val="20"/>
                <w:szCs w:val="20"/>
                <w:bdr w:val="none" w:sz="0" w:space="0" w:color="auto"/>
                <w:lang w:val="pt-PT"/>
              </w:rPr>
              <w:t xml:space="preserve">Resultado líquido </w:t>
            </w:r>
          </w:p>
        </w:tc>
        <w:tc>
          <w:tcPr>
            <w:tcW w:w="2126" w:type="dxa"/>
            <w:tcBorders>
              <w:top w:val="single" w:sz="4" w:space="0" w:color="auto"/>
              <w:left w:val="single" w:sz="4" w:space="0" w:color="auto"/>
              <w:bottom w:val="single" w:sz="4" w:space="0" w:color="auto"/>
              <w:right w:val="single" w:sz="4" w:space="0" w:color="auto"/>
            </w:tcBorders>
          </w:tcPr>
          <w:p w:rsidR="008921B1" w:rsidRPr="004E33A5" w:rsidRDefault="00DC15A6"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1.163</w:t>
            </w:r>
          </w:p>
        </w:tc>
        <w:tc>
          <w:tcPr>
            <w:tcW w:w="2284" w:type="dxa"/>
            <w:tcBorders>
              <w:top w:val="single" w:sz="4" w:space="0" w:color="auto"/>
              <w:left w:val="single" w:sz="4" w:space="0" w:color="auto"/>
              <w:bottom w:val="single" w:sz="4" w:space="0" w:color="auto"/>
              <w:right w:val="single" w:sz="4" w:space="0" w:color="auto"/>
            </w:tcBorders>
          </w:tcPr>
          <w:p w:rsidR="008921B1" w:rsidRPr="004E33A5" w:rsidRDefault="008921B1" w:rsidP="00A43811">
            <w:pPr>
              <w:pStyle w:val="Prrafodelista"/>
              <w:tabs>
                <w:tab w:val="left" w:pos="360"/>
              </w:tabs>
              <w:spacing w:after="240" w:line="270" w:lineRule="atLeast"/>
              <w:rPr>
                <w:rFonts w:ascii="Arial" w:eastAsia="Arial Unicode MS" w:hAnsi="Arial" w:cs="Arial"/>
                <w:b/>
                <w:bCs/>
                <w:noProof/>
                <w:bdr w:val="nil"/>
                <w:lang w:val="pt-PT"/>
              </w:rPr>
            </w:pPr>
            <w:r w:rsidRPr="004E33A5">
              <w:rPr>
                <w:rFonts w:ascii="Arial" w:eastAsia="Arial Unicode MS" w:hAnsi="Arial" w:cs="Arial"/>
                <w:b/>
                <w:bCs/>
                <w:noProof/>
                <w:bdr w:val="nil"/>
                <w:lang w:val="pt-PT"/>
              </w:rPr>
              <w:t>1.031</w:t>
            </w:r>
          </w:p>
        </w:tc>
      </w:tr>
      <w:tr w:rsidR="00F80DDB" w:rsidRPr="004E33A5" w:rsidTr="00AB465B">
        <w:trPr>
          <w:jc w:val="center"/>
        </w:trPr>
        <w:tc>
          <w:tcPr>
            <w:tcW w:w="4082" w:type="dxa"/>
            <w:tcBorders>
              <w:top w:val="single" w:sz="4" w:space="0" w:color="auto"/>
              <w:left w:val="single" w:sz="4" w:space="0" w:color="auto"/>
              <w:bottom w:val="single" w:sz="4" w:space="0" w:color="auto"/>
              <w:right w:val="single" w:sz="4" w:space="0" w:color="auto"/>
            </w:tcBorders>
          </w:tcPr>
          <w:p w:rsidR="00F80DDB" w:rsidRPr="004E33A5" w:rsidRDefault="00F80DDB" w:rsidP="00F80DDB">
            <w:pPr>
              <w:pStyle w:val="TextoMichelin"/>
              <w:jc w:val="left"/>
              <w:rPr>
                <w:rFonts w:eastAsia="Times New Roman" w:hAnsi="Arial" w:cs="Arial"/>
                <w:bCs/>
                <w:smallCaps/>
                <w:noProof/>
                <w:color w:val="auto"/>
                <w:sz w:val="20"/>
                <w:szCs w:val="20"/>
                <w:bdr w:val="none" w:sz="0" w:space="0" w:color="auto"/>
                <w:lang w:val="pt-PT"/>
              </w:rPr>
            </w:pPr>
            <w:r w:rsidRPr="004E33A5">
              <w:rPr>
                <w:rFonts w:eastAsia="Times New Roman" w:hAnsi="Arial" w:cs="Arial"/>
                <w:smallCaps/>
                <w:noProof/>
                <w:color w:val="auto"/>
                <w:sz w:val="20"/>
                <w:szCs w:val="20"/>
                <w:bdr w:val="none" w:sz="0" w:space="0" w:color="auto"/>
                <w:lang w:val="pt-PT"/>
              </w:rPr>
              <w:t>EBITDA antes de elementos não recorrentes</w:t>
            </w:r>
          </w:p>
        </w:tc>
        <w:tc>
          <w:tcPr>
            <w:tcW w:w="2126" w:type="dxa"/>
            <w:tcBorders>
              <w:top w:val="single" w:sz="4" w:space="0" w:color="auto"/>
              <w:left w:val="single" w:sz="4" w:space="0" w:color="auto"/>
              <w:bottom w:val="single" w:sz="4" w:space="0" w:color="auto"/>
              <w:right w:val="single" w:sz="4" w:space="0" w:color="auto"/>
            </w:tcBorders>
          </w:tcPr>
          <w:p w:rsidR="00F80DDB" w:rsidRPr="004E33A5" w:rsidRDefault="00F80DDB" w:rsidP="0097284C">
            <w:pPr>
              <w:tabs>
                <w:tab w:val="left" w:pos="360"/>
              </w:tabs>
              <w:jc w:val="center"/>
              <w:rPr>
                <w:rFonts w:ascii="Arial" w:hAnsi="Arial" w:cs="Arial"/>
                <w:b/>
                <w:bCs/>
                <w:noProof/>
                <w:sz w:val="20"/>
                <w:szCs w:val="20"/>
                <w:lang w:val="pt-PT"/>
              </w:rPr>
            </w:pPr>
          </w:p>
          <w:p w:rsidR="00F80DDB" w:rsidRPr="004E33A5" w:rsidRDefault="00F80DDB" w:rsidP="00EB5C87">
            <w:pPr>
              <w:tabs>
                <w:tab w:val="left" w:pos="360"/>
              </w:tabs>
              <w:jc w:val="center"/>
              <w:rPr>
                <w:rFonts w:ascii="Arial" w:hAnsi="Arial" w:cs="Arial"/>
                <w:b/>
                <w:bCs/>
                <w:noProof/>
                <w:sz w:val="20"/>
                <w:szCs w:val="20"/>
                <w:lang w:val="pt-PT"/>
              </w:rPr>
            </w:pPr>
            <w:r w:rsidRPr="004E33A5">
              <w:rPr>
                <w:rFonts w:ascii="Arial" w:hAnsi="Arial" w:cs="Arial"/>
                <w:b/>
                <w:bCs/>
                <w:noProof/>
                <w:sz w:val="20"/>
                <w:szCs w:val="20"/>
                <w:lang w:val="pt-PT"/>
              </w:rPr>
              <w:t>3.934</w:t>
            </w:r>
          </w:p>
        </w:tc>
        <w:tc>
          <w:tcPr>
            <w:tcW w:w="2284" w:type="dxa"/>
            <w:tcBorders>
              <w:top w:val="single" w:sz="4" w:space="0" w:color="auto"/>
              <w:left w:val="single" w:sz="4" w:space="0" w:color="auto"/>
              <w:bottom w:val="single" w:sz="4" w:space="0" w:color="auto"/>
              <w:right w:val="single" w:sz="4" w:space="0" w:color="auto"/>
            </w:tcBorders>
          </w:tcPr>
          <w:p w:rsidR="00F80DDB" w:rsidRPr="004E33A5" w:rsidRDefault="00F80DDB" w:rsidP="0097284C">
            <w:pPr>
              <w:tabs>
                <w:tab w:val="left" w:pos="360"/>
              </w:tabs>
              <w:jc w:val="center"/>
              <w:rPr>
                <w:rFonts w:ascii="Arial" w:hAnsi="Arial" w:cs="Arial"/>
                <w:b/>
                <w:bCs/>
                <w:noProof/>
                <w:sz w:val="20"/>
                <w:szCs w:val="20"/>
                <w:lang w:val="pt-PT"/>
              </w:rPr>
            </w:pPr>
          </w:p>
          <w:p w:rsidR="00F80DDB" w:rsidRPr="004E33A5" w:rsidRDefault="00F80DDB" w:rsidP="00EB5C87">
            <w:pPr>
              <w:tabs>
                <w:tab w:val="left" w:pos="360"/>
              </w:tabs>
              <w:jc w:val="center"/>
              <w:rPr>
                <w:rFonts w:ascii="Arial" w:hAnsi="Arial" w:cs="Arial"/>
                <w:b/>
                <w:bCs/>
                <w:noProof/>
                <w:sz w:val="20"/>
                <w:szCs w:val="20"/>
                <w:lang w:val="pt-PT"/>
              </w:rPr>
            </w:pPr>
            <w:r w:rsidRPr="004E33A5">
              <w:rPr>
                <w:rFonts w:ascii="Arial" w:hAnsi="Arial" w:cs="Arial"/>
                <w:b/>
                <w:bCs/>
                <w:noProof/>
                <w:sz w:val="20"/>
                <w:szCs w:val="20"/>
                <w:lang w:val="pt-PT"/>
              </w:rPr>
              <w:t>3.286</w:t>
            </w:r>
          </w:p>
        </w:tc>
      </w:tr>
      <w:tr w:rsidR="00EB5C87" w:rsidRPr="004E33A5" w:rsidTr="00AB465B">
        <w:trPr>
          <w:jc w:val="center"/>
        </w:trPr>
        <w:tc>
          <w:tcPr>
            <w:tcW w:w="4082" w:type="dxa"/>
            <w:tcBorders>
              <w:top w:val="single" w:sz="4" w:space="0" w:color="auto"/>
              <w:left w:val="single" w:sz="4" w:space="0" w:color="auto"/>
              <w:bottom w:val="single" w:sz="4" w:space="0" w:color="auto"/>
              <w:right w:val="single" w:sz="4" w:space="0" w:color="auto"/>
            </w:tcBorders>
          </w:tcPr>
          <w:p w:rsidR="00EB5C87" w:rsidRPr="004E33A5" w:rsidRDefault="00EB5C87" w:rsidP="00FE4391">
            <w:pPr>
              <w:pStyle w:val="TextoMichelin"/>
              <w:jc w:val="left"/>
              <w:rPr>
                <w:rFonts w:eastAsia="Times New Roman" w:hAnsi="Arial" w:cs="Arial"/>
                <w:bCs/>
                <w:smallCaps/>
                <w:noProof/>
                <w:color w:val="auto"/>
                <w:sz w:val="20"/>
                <w:szCs w:val="20"/>
                <w:bdr w:val="none" w:sz="0" w:space="0" w:color="auto"/>
                <w:lang w:val="pt-PT"/>
              </w:rPr>
            </w:pPr>
            <w:r w:rsidRPr="004E33A5">
              <w:rPr>
                <w:rFonts w:eastAsia="Times New Roman" w:hAnsi="Arial" w:cs="Arial"/>
                <w:smallCaps/>
                <w:noProof/>
                <w:color w:val="auto"/>
                <w:sz w:val="20"/>
                <w:szCs w:val="20"/>
                <w:bdr w:val="none" w:sz="0" w:space="0" w:color="auto"/>
                <w:lang w:val="pt-PT"/>
              </w:rPr>
              <w:t>Investimentos</w:t>
            </w:r>
          </w:p>
        </w:tc>
        <w:tc>
          <w:tcPr>
            <w:tcW w:w="2126" w:type="dxa"/>
            <w:tcBorders>
              <w:top w:val="single" w:sz="4" w:space="0" w:color="auto"/>
              <w:left w:val="single" w:sz="4" w:space="0" w:color="auto"/>
              <w:bottom w:val="single" w:sz="4" w:space="0" w:color="auto"/>
              <w:right w:val="single" w:sz="4" w:space="0" w:color="auto"/>
            </w:tcBorders>
          </w:tcPr>
          <w:p w:rsidR="00EB5C87" w:rsidRPr="004E33A5" w:rsidRDefault="00EB5C87"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1.804</w:t>
            </w:r>
          </w:p>
        </w:tc>
        <w:tc>
          <w:tcPr>
            <w:tcW w:w="2284" w:type="dxa"/>
            <w:tcBorders>
              <w:top w:val="single" w:sz="4" w:space="0" w:color="auto"/>
              <w:left w:val="single" w:sz="4" w:space="0" w:color="auto"/>
              <w:bottom w:val="single" w:sz="4" w:space="0" w:color="auto"/>
              <w:right w:val="single" w:sz="4" w:space="0" w:color="auto"/>
            </w:tcBorders>
          </w:tcPr>
          <w:p w:rsidR="00EB5C87" w:rsidRPr="004E33A5" w:rsidRDefault="00EB5C87"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1.883</w:t>
            </w:r>
          </w:p>
        </w:tc>
      </w:tr>
      <w:tr w:rsidR="00EB5C87" w:rsidRPr="004E33A5" w:rsidTr="00AB465B">
        <w:trPr>
          <w:trHeight w:val="529"/>
          <w:jc w:val="center"/>
        </w:trPr>
        <w:tc>
          <w:tcPr>
            <w:tcW w:w="4082" w:type="dxa"/>
            <w:tcBorders>
              <w:top w:val="single" w:sz="4" w:space="0" w:color="auto"/>
              <w:left w:val="single" w:sz="4" w:space="0" w:color="auto"/>
              <w:bottom w:val="single" w:sz="4" w:space="0" w:color="auto"/>
              <w:right w:val="single" w:sz="4" w:space="0" w:color="auto"/>
            </w:tcBorders>
          </w:tcPr>
          <w:p w:rsidR="00EB5C87" w:rsidRPr="004E33A5" w:rsidRDefault="00EB5C87" w:rsidP="00FE4391">
            <w:pPr>
              <w:pStyle w:val="TextoMichelin"/>
              <w:jc w:val="left"/>
              <w:rPr>
                <w:rFonts w:eastAsia="Times New Roman" w:hAnsi="Arial" w:cs="Arial"/>
                <w:bCs/>
                <w:smallCaps/>
                <w:noProof/>
                <w:color w:val="auto"/>
                <w:sz w:val="20"/>
                <w:szCs w:val="20"/>
                <w:bdr w:val="none" w:sz="0" w:space="0" w:color="auto"/>
                <w:lang w:val="pt-PT"/>
              </w:rPr>
            </w:pPr>
            <w:r w:rsidRPr="004E33A5">
              <w:rPr>
                <w:rFonts w:eastAsia="Times New Roman" w:hAnsi="Arial" w:cs="Arial"/>
                <w:smallCaps/>
                <w:noProof/>
                <w:color w:val="auto"/>
                <w:sz w:val="20"/>
                <w:szCs w:val="20"/>
                <w:bdr w:val="none" w:sz="0" w:space="0" w:color="auto"/>
                <w:lang w:val="pt-PT"/>
              </w:rPr>
              <w:t>Endividamento líquido</w:t>
            </w:r>
          </w:p>
        </w:tc>
        <w:tc>
          <w:tcPr>
            <w:tcW w:w="2126" w:type="dxa"/>
            <w:tcBorders>
              <w:top w:val="single" w:sz="4" w:space="0" w:color="auto"/>
              <w:left w:val="single" w:sz="4" w:space="0" w:color="auto"/>
              <w:bottom w:val="single" w:sz="4" w:space="0" w:color="auto"/>
              <w:right w:val="single" w:sz="4" w:space="0" w:color="auto"/>
            </w:tcBorders>
          </w:tcPr>
          <w:p w:rsidR="00EB5C87" w:rsidRPr="004E33A5" w:rsidRDefault="00EB5C87"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1.008</w:t>
            </w:r>
          </w:p>
        </w:tc>
        <w:tc>
          <w:tcPr>
            <w:tcW w:w="2284" w:type="dxa"/>
            <w:tcBorders>
              <w:top w:val="single" w:sz="4" w:space="0" w:color="auto"/>
              <w:left w:val="single" w:sz="4" w:space="0" w:color="auto"/>
              <w:bottom w:val="single" w:sz="4" w:space="0" w:color="auto"/>
              <w:right w:val="single" w:sz="4" w:space="0" w:color="auto"/>
            </w:tcBorders>
          </w:tcPr>
          <w:p w:rsidR="00EB5C87" w:rsidRPr="004E33A5" w:rsidRDefault="00EB5C87"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707</w:t>
            </w:r>
          </w:p>
        </w:tc>
      </w:tr>
      <w:tr w:rsidR="00EB5C87" w:rsidRPr="004E33A5" w:rsidTr="00AB465B">
        <w:trPr>
          <w:jc w:val="center"/>
        </w:trPr>
        <w:tc>
          <w:tcPr>
            <w:tcW w:w="4082" w:type="dxa"/>
            <w:tcBorders>
              <w:top w:val="single" w:sz="4" w:space="0" w:color="auto"/>
              <w:left w:val="single" w:sz="4" w:space="0" w:color="auto"/>
              <w:bottom w:val="single" w:sz="4" w:space="0" w:color="auto"/>
              <w:right w:val="single" w:sz="4" w:space="0" w:color="auto"/>
            </w:tcBorders>
          </w:tcPr>
          <w:p w:rsidR="00EB5C87" w:rsidRPr="004E33A5" w:rsidRDefault="00EB5C87" w:rsidP="00FE4391">
            <w:pPr>
              <w:pStyle w:val="TextoMichelin"/>
              <w:jc w:val="left"/>
              <w:rPr>
                <w:rFonts w:eastAsia="Times New Roman" w:hAnsi="Arial" w:cs="Arial"/>
                <w:bCs/>
                <w:smallCaps/>
                <w:noProof/>
                <w:color w:val="auto"/>
                <w:sz w:val="20"/>
                <w:szCs w:val="20"/>
                <w:bdr w:val="none" w:sz="0" w:space="0" w:color="auto"/>
                <w:lang w:val="pt-PT"/>
              </w:rPr>
            </w:pPr>
            <w:r w:rsidRPr="004E33A5">
              <w:rPr>
                <w:rFonts w:eastAsia="Times New Roman" w:hAnsi="Arial" w:cs="Arial"/>
                <w:smallCaps/>
                <w:noProof/>
                <w:color w:val="auto"/>
                <w:sz w:val="20"/>
                <w:szCs w:val="20"/>
                <w:bdr w:val="none" w:sz="0" w:space="0" w:color="auto"/>
                <w:lang w:val="pt-PT"/>
              </w:rPr>
              <w:t>Percentagem de endividamento líquido</w:t>
            </w:r>
          </w:p>
        </w:tc>
        <w:tc>
          <w:tcPr>
            <w:tcW w:w="2126" w:type="dxa"/>
            <w:tcBorders>
              <w:top w:val="single" w:sz="4" w:space="0" w:color="auto"/>
              <w:left w:val="single" w:sz="4" w:space="0" w:color="auto"/>
              <w:bottom w:val="single" w:sz="4" w:space="0" w:color="auto"/>
              <w:right w:val="single" w:sz="4" w:space="0" w:color="auto"/>
            </w:tcBorders>
          </w:tcPr>
          <w:p w:rsidR="00EB5C87" w:rsidRPr="004E33A5" w:rsidRDefault="00EB5C87"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11%</w:t>
            </w:r>
          </w:p>
        </w:tc>
        <w:tc>
          <w:tcPr>
            <w:tcW w:w="2284" w:type="dxa"/>
            <w:tcBorders>
              <w:top w:val="single" w:sz="4" w:space="0" w:color="auto"/>
              <w:left w:val="single" w:sz="4" w:space="0" w:color="auto"/>
              <w:bottom w:val="single" w:sz="4" w:space="0" w:color="auto"/>
              <w:right w:val="single" w:sz="4" w:space="0" w:color="auto"/>
            </w:tcBorders>
          </w:tcPr>
          <w:p w:rsidR="00EB5C87" w:rsidRPr="004E33A5" w:rsidRDefault="00EB5C87"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7%</w:t>
            </w:r>
          </w:p>
        </w:tc>
      </w:tr>
      <w:tr w:rsidR="00EB5C87" w:rsidRPr="004E33A5" w:rsidTr="00AB465B">
        <w:trPr>
          <w:jc w:val="center"/>
        </w:trPr>
        <w:tc>
          <w:tcPr>
            <w:tcW w:w="4082" w:type="dxa"/>
            <w:tcBorders>
              <w:top w:val="single" w:sz="4" w:space="0" w:color="auto"/>
              <w:left w:val="single" w:sz="4" w:space="0" w:color="auto"/>
              <w:bottom w:val="single" w:sz="4" w:space="0" w:color="auto"/>
              <w:right w:val="single" w:sz="4" w:space="0" w:color="auto"/>
            </w:tcBorders>
          </w:tcPr>
          <w:p w:rsidR="00EB5C87" w:rsidRPr="004E33A5" w:rsidRDefault="00EB5C87" w:rsidP="00FE4391">
            <w:pPr>
              <w:pStyle w:val="TextoMichelin"/>
              <w:jc w:val="left"/>
              <w:rPr>
                <w:rFonts w:eastAsia="Times New Roman" w:hAnsi="Arial" w:cs="Arial"/>
                <w:bCs/>
                <w:smallCaps/>
                <w:noProof/>
                <w:color w:val="auto"/>
                <w:sz w:val="20"/>
                <w:szCs w:val="20"/>
                <w:bdr w:val="none" w:sz="0" w:space="0" w:color="auto"/>
                <w:lang w:val="pt-PT"/>
              </w:rPr>
            </w:pPr>
            <w:r w:rsidRPr="004E33A5">
              <w:rPr>
                <w:rFonts w:eastAsia="Times New Roman" w:hAnsi="Arial" w:cs="Arial"/>
                <w:smallCaps/>
                <w:noProof/>
                <w:color w:val="auto"/>
                <w:sz w:val="20"/>
                <w:szCs w:val="20"/>
                <w:bdr w:val="none" w:sz="0" w:space="0" w:color="auto"/>
                <w:lang w:val="pt-PT"/>
              </w:rPr>
              <w:t xml:space="preserve">Dívida social  </w:t>
            </w:r>
          </w:p>
        </w:tc>
        <w:tc>
          <w:tcPr>
            <w:tcW w:w="2126" w:type="dxa"/>
            <w:tcBorders>
              <w:top w:val="single" w:sz="4" w:space="0" w:color="auto"/>
              <w:left w:val="single" w:sz="4" w:space="0" w:color="auto"/>
              <w:bottom w:val="single" w:sz="4" w:space="0" w:color="auto"/>
              <w:right w:val="single" w:sz="4" w:space="0" w:color="auto"/>
            </w:tcBorders>
          </w:tcPr>
          <w:p w:rsidR="00EB5C87" w:rsidRPr="004E33A5" w:rsidRDefault="00EB5C87"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4.888</w:t>
            </w:r>
          </w:p>
        </w:tc>
        <w:tc>
          <w:tcPr>
            <w:tcW w:w="2284" w:type="dxa"/>
            <w:tcBorders>
              <w:top w:val="single" w:sz="4" w:space="0" w:color="auto"/>
              <w:left w:val="single" w:sz="4" w:space="0" w:color="auto"/>
              <w:bottom w:val="single" w:sz="4" w:space="0" w:color="auto"/>
              <w:right w:val="single" w:sz="4" w:space="0" w:color="auto"/>
            </w:tcBorders>
          </w:tcPr>
          <w:p w:rsidR="00EB5C87" w:rsidRPr="004E33A5" w:rsidRDefault="00EB5C87"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4.612</w:t>
            </w:r>
          </w:p>
        </w:tc>
      </w:tr>
      <w:tr w:rsidR="00EB5C87" w:rsidRPr="004E33A5" w:rsidTr="00AB465B">
        <w:trPr>
          <w:jc w:val="center"/>
        </w:trPr>
        <w:tc>
          <w:tcPr>
            <w:tcW w:w="4082" w:type="dxa"/>
            <w:tcBorders>
              <w:top w:val="single" w:sz="4" w:space="0" w:color="auto"/>
              <w:left w:val="single" w:sz="4" w:space="0" w:color="auto"/>
              <w:bottom w:val="single" w:sz="4" w:space="0" w:color="auto"/>
              <w:right w:val="single" w:sz="4" w:space="0" w:color="auto"/>
            </w:tcBorders>
          </w:tcPr>
          <w:p w:rsidR="00EB5C87" w:rsidRPr="004E33A5" w:rsidRDefault="00EB5C87" w:rsidP="009634EB">
            <w:pPr>
              <w:pStyle w:val="TextoMichelin"/>
              <w:jc w:val="left"/>
              <w:rPr>
                <w:noProof/>
                <w:sz w:val="20"/>
                <w:szCs w:val="20"/>
                <w:lang w:val="pt-PT"/>
              </w:rPr>
            </w:pPr>
            <w:r w:rsidRPr="004E33A5">
              <w:rPr>
                <w:rFonts w:hAnsi="Arial"/>
                <w:smallCaps/>
                <w:noProof/>
                <w:color w:val="auto"/>
                <w:sz w:val="20"/>
                <w:szCs w:val="20"/>
                <w:bdr w:val="none" w:sz="0" w:space="0" w:color="auto"/>
                <w:lang w:val="pt-PT"/>
              </w:rPr>
              <w:t>Cash flow livre</w:t>
            </w:r>
            <w:r w:rsidRPr="004E33A5">
              <w:rPr>
                <w:rStyle w:val="Refdenotaalpie"/>
                <w:rFonts w:hAnsi="Arial"/>
                <w:noProof/>
                <w:sz w:val="20"/>
                <w:szCs w:val="20"/>
                <w:lang w:val="pt-PT"/>
              </w:rPr>
              <w:footnoteReference w:id="1"/>
            </w:r>
            <w:r w:rsidRPr="004E33A5">
              <w:rPr>
                <w:rFonts w:hAnsi="Arial"/>
                <w:smallCaps/>
                <w:noProof/>
                <w:color w:val="auto"/>
                <w:sz w:val="20"/>
                <w:szCs w:val="20"/>
                <w:bdr w:val="none" w:sz="0" w:space="0" w:color="auto"/>
                <w:lang w:val="pt-PT"/>
              </w:rPr>
              <w:t xml:space="preserve"> exceto cessões e aquisições</w:t>
            </w:r>
          </w:p>
        </w:tc>
        <w:tc>
          <w:tcPr>
            <w:tcW w:w="2126" w:type="dxa"/>
            <w:tcBorders>
              <w:top w:val="single" w:sz="4" w:space="0" w:color="auto"/>
              <w:left w:val="single" w:sz="4" w:space="0" w:color="auto"/>
              <w:bottom w:val="single" w:sz="4" w:space="0" w:color="auto"/>
              <w:right w:val="single" w:sz="4" w:space="0" w:color="auto"/>
            </w:tcBorders>
          </w:tcPr>
          <w:p w:rsidR="00EB5C87" w:rsidRPr="004E33A5" w:rsidRDefault="00EB5C87"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965</w:t>
            </w:r>
          </w:p>
        </w:tc>
        <w:tc>
          <w:tcPr>
            <w:tcW w:w="2284" w:type="dxa"/>
            <w:tcBorders>
              <w:top w:val="single" w:sz="4" w:space="0" w:color="auto"/>
              <w:left w:val="single" w:sz="4" w:space="0" w:color="auto"/>
              <w:bottom w:val="single" w:sz="4" w:space="0" w:color="auto"/>
              <w:right w:val="single" w:sz="4" w:space="0" w:color="auto"/>
            </w:tcBorders>
          </w:tcPr>
          <w:p w:rsidR="00EB5C87" w:rsidRPr="004E33A5" w:rsidRDefault="00EB5C87"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722</w:t>
            </w:r>
          </w:p>
        </w:tc>
      </w:tr>
      <w:tr w:rsidR="00EB5C87" w:rsidRPr="004E33A5" w:rsidTr="00AB465B">
        <w:trPr>
          <w:jc w:val="center"/>
        </w:trPr>
        <w:tc>
          <w:tcPr>
            <w:tcW w:w="4082" w:type="dxa"/>
            <w:tcBorders>
              <w:top w:val="single" w:sz="4" w:space="0" w:color="auto"/>
              <w:left w:val="single" w:sz="4" w:space="0" w:color="auto"/>
              <w:bottom w:val="single" w:sz="4" w:space="0" w:color="auto"/>
              <w:right w:val="single" w:sz="4" w:space="0" w:color="auto"/>
            </w:tcBorders>
          </w:tcPr>
          <w:p w:rsidR="00EB5C87" w:rsidRPr="004E33A5" w:rsidRDefault="00EB5C87" w:rsidP="009634EB">
            <w:pPr>
              <w:pStyle w:val="TextoMichelin"/>
              <w:jc w:val="left"/>
              <w:rPr>
                <w:noProof/>
                <w:sz w:val="20"/>
                <w:szCs w:val="20"/>
                <w:lang w:val="pt-PT"/>
              </w:rPr>
            </w:pPr>
            <w:r w:rsidRPr="004E33A5">
              <w:rPr>
                <w:rFonts w:eastAsia="Times New Roman" w:hAnsi="Arial" w:cs="Arial"/>
                <w:smallCaps/>
                <w:noProof/>
                <w:color w:val="auto"/>
                <w:sz w:val="20"/>
                <w:szCs w:val="20"/>
                <w:bdr w:val="none" w:sz="0" w:space="0" w:color="auto"/>
                <w:lang w:val="pt-PT"/>
              </w:rPr>
              <w:t>Roce</w:t>
            </w:r>
          </w:p>
        </w:tc>
        <w:tc>
          <w:tcPr>
            <w:tcW w:w="2126" w:type="dxa"/>
            <w:tcBorders>
              <w:top w:val="single" w:sz="4" w:space="0" w:color="auto"/>
              <w:left w:val="single" w:sz="4" w:space="0" w:color="auto"/>
              <w:bottom w:val="single" w:sz="4" w:space="0" w:color="auto"/>
              <w:right w:val="single" w:sz="4" w:space="0" w:color="auto"/>
            </w:tcBorders>
          </w:tcPr>
          <w:p w:rsidR="00EB5C87" w:rsidRPr="004E33A5" w:rsidRDefault="00EB5C87"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12,2%</w:t>
            </w:r>
          </w:p>
        </w:tc>
        <w:tc>
          <w:tcPr>
            <w:tcW w:w="2284" w:type="dxa"/>
            <w:tcBorders>
              <w:top w:val="single" w:sz="4" w:space="0" w:color="auto"/>
              <w:left w:val="single" w:sz="4" w:space="0" w:color="auto"/>
              <w:bottom w:val="single" w:sz="4" w:space="0" w:color="auto"/>
              <w:right w:val="single" w:sz="4" w:space="0" w:color="auto"/>
            </w:tcBorders>
          </w:tcPr>
          <w:p w:rsidR="00EB5C87" w:rsidRPr="004E33A5" w:rsidRDefault="00EB5C87"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11,1%</w:t>
            </w:r>
          </w:p>
        </w:tc>
      </w:tr>
      <w:tr w:rsidR="00EB5C87" w:rsidRPr="004E33A5" w:rsidTr="00AB465B">
        <w:trPr>
          <w:jc w:val="center"/>
        </w:trPr>
        <w:tc>
          <w:tcPr>
            <w:tcW w:w="4082" w:type="dxa"/>
            <w:tcBorders>
              <w:top w:val="single" w:sz="4" w:space="0" w:color="auto"/>
              <w:left w:val="single" w:sz="4" w:space="0" w:color="auto"/>
              <w:bottom w:val="single" w:sz="4" w:space="0" w:color="auto"/>
              <w:right w:val="single" w:sz="4" w:space="0" w:color="auto"/>
            </w:tcBorders>
          </w:tcPr>
          <w:p w:rsidR="00EB5C87" w:rsidRPr="004E33A5" w:rsidRDefault="00EB5C87" w:rsidP="00A07724">
            <w:pPr>
              <w:pStyle w:val="TextoMichelin"/>
              <w:jc w:val="left"/>
              <w:rPr>
                <w:noProof/>
                <w:sz w:val="20"/>
                <w:szCs w:val="20"/>
                <w:lang w:val="pt-PT"/>
              </w:rPr>
            </w:pPr>
            <w:r w:rsidRPr="004E33A5">
              <w:rPr>
                <w:rFonts w:hAnsi="Arial"/>
                <w:smallCaps/>
                <w:noProof/>
                <w:color w:val="auto"/>
                <w:sz w:val="20"/>
                <w:szCs w:val="20"/>
                <w:bdr w:val="none" w:sz="0" w:space="0" w:color="auto"/>
                <w:lang w:val="pt-PT"/>
              </w:rPr>
              <w:t>Empregados</w:t>
            </w:r>
            <w:r w:rsidRPr="004E33A5">
              <w:rPr>
                <w:rStyle w:val="Refdenotaalpie"/>
                <w:rFonts w:hAnsi="Arial"/>
                <w:noProof/>
                <w:sz w:val="20"/>
                <w:szCs w:val="20"/>
                <w:lang w:val="pt-PT"/>
              </w:rPr>
              <w:footnoteReference w:id="2"/>
            </w:r>
          </w:p>
        </w:tc>
        <w:tc>
          <w:tcPr>
            <w:tcW w:w="2126" w:type="dxa"/>
            <w:tcBorders>
              <w:top w:val="single" w:sz="4" w:space="0" w:color="auto"/>
              <w:left w:val="single" w:sz="4" w:space="0" w:color="auto"/>
              <w:bottom w:val="single" w:sz="4" w:space="0" w:color="auto"/>
              <w:right w:val="single" w:sz="4" w:space="0" w:color="auto"/>
            </w:tcBorders>
          </w:tcPr>
          <w:p w:rsidR="00EB5C87" w:rsidRPr="004E33A5" w:rsidRDefault="00EB5C87"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 111.700</w:t>
            </w:r>
          </w:p>
        </w:tc>
        <w:tc>
          <w:tcPr>
            <w:tcW w:w="2284" w:type="dxa"/>
            <w:tcBorders>
              <w:top w:val="single" w:sz="4" w:space="0" w:color="auto"/>
              <w:left w:val="single" w:sz="4" w:space="0" w:color="auto"/>
              <w:bottom w:val="single" w:sz="4" w:space="0" w:color="auto"/>
              <w:right w:val="single" w:sz="4" w:space="0" w:color="auto"/>
            </w:tcBorders>
          </w:tcPr>
          <w:p w:rsidR="00EB5C87" w:rsidRPr="004E33A5" w:rsidRDefault="00EB5C87"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 112.300</w:t>
            </w:r>
          </w:p>
        </w:tc>
      </w:tr>
      <w:tr w:rsidR="00EB5C87" w:rsidRPr="004E33A5" w:rsidTr="00AB465B">
        <w:trPr>
          <w:jc w:val="center"/>
        </w:trPr>
        <w:tc>
          <w:tcPr>
            <w:tcW w:w="4082" w:type="dxa"/>
            <w:tcBorders>
              <w:top w:val="single" w:sz="4" w:space="0" w:color="auto"/>
              <w:left w:val="single" w:sz="4" w:space="0" w:color="auto"/>
              <w:bottom w:val="single" w:sz="4" w:space="0" w:color="auto"/>
              <w:right w:val="single" w:sz="4" w:space="0" w:color="auto"/>
            </w:tcBorders>
          </w:tcPr>
          <w:p w:rsidR="00EB5C87" w:rsidRPr="004E33A5" w:rsidRDefault="00EB5C87" w:rsidP="0067614D">
            <w:pPr>
              <w:pStyle w:val="TextoMichelin"/>
              <w:jc w:val="left"/>
              <w:rPr>
                <w:noProof/>
                <w:sz w:val="20"/>
                <w:szCs w:val="20"/>
                <w:lang w:val="pt-PT"/>
              </w:rPr>
            </w:pPr>
            <w:r w:rsidRPr="004E33A5">
              <w:rPr>
                <w:rFonts w:eastAsia="Times New Roman" w:hAnsi="Arial" w:cs="Arial"/>
                <w:smallCaps/>
                <w:noProof/>
                <w:color w:val="auto"/>
                <w:sz w:val="20"/>
                <w:szCs w:val="20"/>
                <w:bdr w:val="none" w:sz="0" w:space="0" w:color="auto"/>
                <w:lang w:val="pt-PT"/>
              </w:rPr>
              <w:t>Resultado líquido por ação</w:t>
            </w:r>
          </w:p>
        </w:tc>
        <w:tc>
          <w:tcPr>
            <w:tcW w:w="2126" w:type="dxa"/>
            <w:tcBorders>
              <w:top w:val="single" w:sz="4" w:space="0" w:color="auto"/>
              <w:left w:val="single" w:sz="4" w:space="0" w:color="auto"/>
              <w:bottom w:val="single" w:sz="4" w:space="0" w:color="auto"/>
              <w:right w:val="single" w:sz="4" w:space="0" w:color="auto"/>
            </w:tcBorders>
          </w:tcPr>
          <w:p w:rsidR="00EB5C87" w:rsidRPr="004E33A5" w:rsidRDefault="00EB5C87"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6,28 €</w:t>
            </w:r>
          </w:p>
        </w:tc>
        <w:tc>
          <w:tcPr>
            <w:tcW w:w="2284" w:type="dxa"/>
            <w:tcBorders>
              <w:top w:val="single" w:sz="4" w:space="0" w:color="auto"/>
              <w:left w:val="single" w:sz="4" w:space="0" w:color="auto"/>
              <w:bottom w:val="single" w:sz="4" w:space="0" w:color="auto"/>
              <w:right w:val="single" w:sz="4" w:space="0" w:color="auto"/>
            </w:tcBorders>
          </w:tcPr>
          <w:p w:rsidR="00EB5C87" w:rsidRPr="004E33A5" w:rsidRDefault="00EB5C87"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5,52 €</w:t>
            </w:r>
          </w:p>
        </w:tc>
      </w:tr>
      <w:tr w:rsidR="00EB5C87" w:rsidRPr="004E33A5" w:rsidTr="00AB465B">
        <w:trPr>
          <w:trHeight w:val="488"/>
          <w:jc w:val="center"/>
        </w:trPr>
        <w:tc>
          <w:tcPr>
            <w:tcW w:w="4082" w:type="dxa"/>
            <w:tcBorders>
              <w:top w:val="single" w:sz="4" w:space="0" w:color="auto"/>
              <w:left w:val="single" w:sz="4" w:space="0" w:color="auto"/>
              <w:bottom w:val="single" w:sz="4" w:space="0" w:color="auto"/>
              <w:right w:val="single" w:sz="4" w:space="0" w:color="auto"/>
            </w:tcBorders>
          </w:tcPr>
          <w:p w:rsidR="00EB5C87" w:rsidRPr="004E33A5" w:rsidRDefault="00EB5C87" w:rsidP="00A07724">
            <w:pPr>
              <w:pStyle w:val="TextoMichelin"/>
              <w:jc w:val="left"/>
              <w:rPr>
                <w:noProof/>
                <w:sz w:val="20"/>
                <w:szCs w:val="20"/>
                <w:lang w:val="pt-PT"/>
              </w:rPr>
            </w:pPr>
            <w:r w:rsidRPr="004E33A5">
              <w:rPr>
                <w:rFonts w:hAnsi="Arial"/>
                <w:smallCaps/>
                <w:noProof/>
                <w:color w:val="auto"/>
                <w:sz w:val="20"/>
                <w:szCs w:val="20"/>
                <w:bdr w:val="none" w:sz="0" w:space="0" w:color="auto"/>
                <w:lang w:val="pt-PT"/>
              </w:rPr>
              <w:t>Dividendo por ação</w:t>
            </w:r>
            <w:r w:rsidRPr="004E33A5">
              <w:rPr>
                <w:rStyle w:val="Refdenotaalpie"/>
                <w:noProof/>
                <w:sz w:val="20"/>
                <w:szCs w:val="20"/>
                <w:lang w:val="pt-PT"/>
              </w:rPr>
              <w:footnoteReference w:id="3"/>
            </w:r>
            <w:r w:rsidRPr="004E33A5">
              <w:rPr>
                <w:noProof/>
                <w:sz w:val="20"/>
                <w:szCs w:val="20"/>
                <w:lang w:val="pt-PT"/>
              </w:rPr>
              <w:t xml:space="preserve"> </w:t>
            </w:r>
          </w:p>
        </w:tc>
        <w:tc>
          <w:tcPr>
            <w:tcW w:w="2126" w:type="dxa"/>
            <w:tcBorders>
              <w:top w:val="single" w:sz="4" w:space="0" w:color="auto"/>
              <w:left w:val="single" w:sz="4" w:space="0" w:color="auto"/>
              <w:bottom w:val="single" w:sz="4" w:space="0" w:color="auto"/>
              <w:right w:val="single" w:sz="4" w:space="0" w:color="auto"/>
            </w:tcBorders>
          </w:tcPr>
          <w:p w:rsidR="00EB5C87" w:rsidRPr="004E33A5" w:rsidRDefault="00EB5C87"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2,85 €</w:t>
            </w:r>
          </w:p>
        </w:tc>
        <w:tc>
          <w:tcPr>
            <w:tcW w:w="2284" w:type="dxa"/>
            <w:tcBorders>
              <w:top w:val="single" w:sz="4" w:space="0" w:color="auto"/>
              <w:left w:val="single" w:sz="4" w:space="0" w:color="auto"/>
              <w:bottom w:val="single" w:sz="4" w:space="0" w:color="auto"/>
              <w:right w:val="single" w:sz="4" w:space="0" w:color="auto"/>
            </w:tcBorders>
          </w:tcPr>
          <w:p w:rsidR="00EB5C87" w:rsidRPr="004E33A5" w:rsidRDefault="00EB5C87" w:rsidP="00A43811">
            <w:pPr>
              <w:tabs>
                <w:tab w:val="left" w:pos="360"/>
              </w:tabs>
              <w:spacing w:after="240" w:line="270" w:lineRule="atLeast"/>
              <w:jc w:val="center"/>
              <w:rPr>
                <w:rFonts w:ascii="Arial" w:hAnsi="Arial" w:cs="Arial"/>
                <w:b/>
                <w:bCs/>
                <w:noProof/>
                <w:sz w:val="20"/>
                <w:szCs w:val="20"/>
                <w:lang w:val="pt-PT"/>
              </w:rPr>
            </w:pPr>
            <w:r w:rsidRPr="004E33A5">
              <w:rPr>
                <w:rFonts w:ascii="Arial" w:hAnsi="Arial" w:cs="Arial"/>
                <w:b/>
                <w:bCs/>
                <w:noProof/>
                <w:sz w:val="20"/>
                <w:szCs w:val="20"/>
                <w:lang w:val="pt-PT"/>
              </w:rPr>
              <w:t>2,50 €</w:t>
            </w:r>
          </w:p>
        </w:tc>
      </w:tr>
    </w:tbl>
    <w:p w:rsidR="00035D4D" w:rsidRPr="004E33A5" w:rsidRDefault="00035D4D">
      <w:pPr>
        <w:pStyle w:val="TextoMichelin"/>
        <w:rPr>
          <w:rFonts w:ascii="Times" w:eastAsia="Times" w:hAnsi="Times" w:cs="Times"/>
          <w:b/>
          <w:bCs/>
          <w:noProof/>
          <w:color w:val="333399"/>
          <w:sz w:val="40"/>
          <w:szCs w:val="40"/>
          <w:u w:color="333399"/>
          <w:lang w:val="pt-PT"/>
        </w:rPr>
      </w:pPr>
    </w:p>
    <w:p w:rsidR="00700DFB" w:rsidRPr="004E33A5" w:rsidRDefault="00035D4D">
      <w:pPr>
        <w:pStyle w:val="TextoMichelin"/>
        <w:rPr>
          <w:rFonts w:ascii="Times" w:eastAsia="Times" w:hAnsi="Times" w:cs="Times"/>
          <w:b/>
          <w:bCs/>
          <w:noProof/>
          <w:color w:val="333399"/>
          <w:sz w:val="40"/>
          <w:szCs w:val="40"/>
          <w:u w:color="333399"/>
          <w:lang w:val="pt-PT"/>
        </w:rPr>
      </w:pPr>
      <w:r w:rsidRPr="004E33A5">
        <w:rPr>
          <w:rFonts w:ascii="Times" w:eastAsia="Times" w:hAnsi="Times" w:cs="Times"/>
          <w:noProof/>
          <w:color w:val="333399"/>
          <w:sz w:val="40"/>
          <w:szCs w:val="40"/>
          <w:u w:color="333399"/>
          <w:lang w:val="pt-PT"/>
        </w:rPr>
        <w:br w:type="column"/>
      </w:r>
      <w:r w:rsidRPr="004E33A5">
        <w:rPr>
          <w:rFonts w:ascii="Times" w:eastAsia="Times" w:hAnsi="Times" w:cs="Times"/>
          <w:b/>
          <w:bCs/>
          <w:noProof/>
          <w:color w:val="333399"/>
          <w:sz w:val="40"/>
          <w:szCs w:val="40"/>
          <w:u w:color="333399"/>
          <w:lang w:val="pt-PT"/>
        </w:rPr>
        <w:t xml:space="preserve">Evolução do mercado de pneus </w:t>
      </w:r>
    </w:p>
    <w:tbl>
      <w:tblPr>
        <w:tblpPr w:leftFromText="141" w:rightFromText="141" w:vertAnchor="text" w:horzAnchor="page" w:tblpX="1090" w:tblpY="58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134"/>
        <w:gridCol w:w="1134"/>
        <w:gridCol w:w="992"/>
        <w:gridCol w:w="1134"/>
        <w:gridCol w:w="1134"/>
        <w:gridCol w:w="1559"/>
        <w:gridCol w:w="992"/>
      </w:tblGrid>
      <w:tr w:rsidR="00671A12" w:rsidRPr="004E33A5" w:rsidTr="00671A12">
        <w:trPr>
          <w:trHeight w:val="890"/>
        </w:trPr>
        <w:tc>
          <w:tcPr>
            <w:tcW w:w="2235" w:type="dxa"/>
            <w:shd w:val="clear" w:color="auto" w:fill="E6E6E6"/>
          </w:tcPr>
          <w:p w:rsidR="00671A12" w:rsidRPr="004E33A5" w:rsidRDefault="00671A12" w:rsidP="00671A12">
            <w:pPr>
              <w:pStyle w:val="LadilloMichelinDossier"/>
              <w:spacing w:before="0" w:after="0"/>
              <w:rPr>
                <w:b w:val="0"/>
                <w:bCs w:val="0"/>
                <w:noProof/>
                <w:sz w:val="20"/>
                <w:lang w:val="pt-PT"/>
              </w:rPr>
            </w:pPr>
            <w:r w:rsidRPr="004E33A5">
              <w:rPr>
                <w:rFonts w:ascii="Arial" w:hAnsi="Arial"/>
                <w:b w:val="0"/>
                <w:bCs w:val="0"/>
                <w:noProof/>
                <w:sz w:val="20"/>
                <w:lang w:val="pt-PT"/>
              </w:rPr>
              <w:t>2015/2014</w:t>
            </w:r>
            <w:r w:rsidRPr="004E33A5">
              <w:rPr>
                <w:rFonts w:ascii="Arial" w:hAnsi="Arial"/>
                <w:b w:val="0"/>
                <w:bCs w:val="0"/>
                <w:noProof/>
                <w:sz w:val="20"/>
                <w:lang w:val="pt-PT"/>
              </w:rPr>
              <w:br/>
            </w:r>
            <w:r w:rsidRPr="004E33A5">
              <w:rPr>
                <w:rFonts w:ascii="Arial" w:hAnsi="Arial"/>
                <w:b w:val="0"/>
                <w:bCs w:val="0"/>
                <w:noProof/>
                <w:sz w:val="18"/>
                <w:lang w:val="pt-PT"/>
              </w:rPr>
              <w:t>(número de pneus)</w:t>
            </w:r>
          </w:p>
        </w:tc>
        <w:tc>
          <w:tcPr>
            <w:tcW w:w="1134" w:type="dxa"/>
            <w:shd w:val="clear" w:color="auto" w:fill="E6E6E6"/>
          </w:tcPr>
          <w:p w:rsidR="00671A12" w:rsidRPr="004E33A5" w:rsidRDefault="00671A12" w:rsidP="00671A12">
            <w:pPr>
              <w:pStyle w:val="LadilloMichelinDossier"/>
              <w:spacing w:before="0" w:after="0"/>
              <w:rPr>
                <w:b w:val="0"/>
                <w:bCs w:val="0"/>
                <w:noProof/>
                <w:sz w:val="20"/>
                <w:lang w:val="pt-PT"/>
              </w:rPr>
            </w:pPr>
            <w:r w:rsidRPr="004E33A5">
              <w:rPr>
                <w:rFonts w:ascii="Arial" w:hAnsi="Arial"/>
                <w:b w:val="0"/>
                <w:bCs w:val="0"/>
                <w:noProof/>
                <w:sz w:val="20"/>
                <w:lang w:val="pt-PT"/>
              </w:rPr>
              <w:t>Europa com Rússia e CEI</w:t>
            </w:r>
            <w:r w:rsidRPr="004E33A5">
              <w:rPr>
                <w:rStyle w:val="Refdenotaalpie"/>
                <w:rFonts w:ascii="Arial" w:hAnsi="Arial"/>
                <w:noProof/>
                <w:sz w:val="32"/>
                <w:vertAlign w:val="baseline"/>
                <w:lang w:val="pt-PT"/>
              </w:rPr>
              <w:sym w:font="Symbol" w:char="F02A"/>
            </w:r>
          </w:p>
        </w:tc>
        <w:tc>
          <w:tcPr>
            <w:tcW w:w="1134" w:type="dxa"/>
            <w:shd w:val="clear" w:color="auto" w:fill="E6E6E6"/>
          </w:tcPr>
          <w:p w:rsidR="00671A12" w:rsidRPr="004E33A5" w:rsidRDefault="00671A12" w:rsidP="00671A12">
            <w:pPr>
              <w:tabs>
                <w:tab w:val="left" w:pos="284"/>
              </w:tabs>
              <w:rPr>
                <w:rFonts w:ascii="Arial" w:eastAsia="Times" w:hAnsi="Arial" w:cs="Times"/>
                <w:noProof/>
                <w:color w:val="000000"/>
                <w:sz w:val="20"/>
                <w:szCs w:val="26"/>
                <w:u w:color="000000"/>
                <w:lang w:val="pt-PT"/>
              </w:rPr>
            </w:pPr>
            <w:r w:rsidRPr="004E33A5">
              <w:rPr>
                <w:rFonts w:ascii="Arial" w:eastAsia="Times" w:hAnsi="Arial" w:cs="Times"/>
                <w:noProof/>
                <w:color w:val="000000"/>
                <w:sz w:val="20"/>
                <w:szCs w:val="26"/>
                <w:u w:color="000000"/>
                <w:lang w:val="pt-PT"/>
              </w:rPr>
              <w:footnoteReference w:customMarkFollows="1" w:id="4"/>
              <w:t>Europa</w:t>
            </w:r>
          </w:p>
          <w:p w:rsidR="00671A12" w:rsidRPr="004E33A5" w:rsidRDefault="00671A12" w:rsidP="00671A12">
            <w:pPr>
              <w:pStyle w:val="LadilloMichelinDossier"/>
              <w:spacing w:before="0" w:after="0"/>
              <w:rPr>
                <w:rFonts w:ascii="Arial" w:hAnsi="Arial"/>
                <w:b w:val="0"/>
                <w:bCs w:val="0"/>
                <w:noProof/>
                <w:sz w:val="20"/>
                <w:lang w:val="pt-PT"/>
              </w:rPr>
            </w:pPr>
            <w:r w:rsidRPr="004E33A5">
              <w:rPr>
                <w:rFonts w:ascii="Arial" w:hAnsi="Arial"/>
                <w:b w:val="0"/>
                <w:bCs w:val="0"/>
                <w:noProof/>
                <w:sz w:val="20"/>
                <w:lang w:val="pt-PT"/>
              </w:rPr>
              <w:t xml:space="preserve">sem a Rússia </w:t>
            </w:r>
            <w:r w:rsidRPr="004E33A5">
              <w:rPr>
                <w:rFonts w:ascii="Arial" w:hAnsi="Arial"/>
                <w:b w:val="0"/>
                <w:bCs w:val="0"/>
                <w:noProof/>
                <w:sz w:val="20"/>
                <w:lang w:val="pt-PT"/>
              </w:rPr>
              <w:br/>
              <w:t>nem CEI*</w:t>
            </w:r>
          </w:p>
        </w:tc>
        <w:tc>
          <w:tcPr>
            <w:tcW w:w="992" w:type="dxa"/>
            <w:shd w:val="clear" w:color="auto" w:fill="E6E6E6"/>
          </w:tcPr>
          <w:p w:rsidR="00671A12" w:rsidRPr="004E33A5" w:rsidRDefault="00671A12" w:rsidP="00671A12">
            <w:pPr>
              <w:pStyle w:val="LadilloMichelinDossier"/>
              <w:spacing w:before="0" w:after="0"/>
              <w:rPr>
                <w:b w:val="0"/>
                <w:bCs w:val="0"/>
                <w:noProof/>
                <w:sz w:val="20"/>
                <w:lang w:val="pt-PT"/>
              </w:rPr>
            </w:pPr>
            <w:r w:rsidRPr="004E33A5">
              <w:rPr>
                <w:rFonts w:ascii="Arial" w:hAnsi="Arial"/>
                <w:b w:val="0"/>
                <w:bCs w:val="0"/>
                <w:noProof/>
                <w:sz w:val="20"/>
                <w:lang w:val="pt-PT"/>
              </w:rPr>
              <w:t xml:space="preserve">América </w:t>
            </w:r>
            <w:r w:rsidRPr="004E33A5">
              <w:rPr>
                <w:rFonts w:ascii="Arial" w:hAnsi="Arial"/>
                <w:b w:val="0"/>
                <w:bCs w:val="0"/>
                <w:noProof/>
                <w:sz w:val="20"/>
                <w:lang w:val="pt-PT"/>
              </w:rPr>
              <w:br/>
              <w:t>do Norte</w:t>
            </w:r>
          </w:p>
        </w:tc>
        <w:tc>
          <w:tcPr>
            <w:tcW w:w="1134" w:type="dxa"/>
            <w:shd w:val="clear" w:color="auto" w:fill="E6E6E6"/>
          </w:tcPr>
          <w:p w:rsidR="00671A12" w:rsidRPr="004E33A5" w:rsidRDefault="00671A12" w:rsidP="00671A12">
            <w:pPr>
              <w:pStyle w:val="LadilloMichelinDossier"/>
              <w:spacing w:before="0" w:after="0"/>
              <w:rPr>
                <w:rFonts w:ascii="Arial" w:hAnsi="Arial"/>
                <w:b w:val="0"/>
                <w:bCs w:val="0"/>
                <w:noProof/>
                <w:sz w:val="20"/>
                <w:lang w:val="pt-PT"/>
              </w:rPr>
            </w:pPr>
            <w:r w:rsidRPr="004E33A5">
              <w:rPr>
                <w:rFonts w:ascii="Arial" w:hAnsi="Arial"/>
                <w:b w:val="0"/>
                <w:bCs w:val="0"/>
                <w:noProof/>
                <w:sz w:val="20"/>
                <w:lang w:val="pt-PT"/>
              </w:rPr>
              <w:t>Ásia</w:t>
            </w:r>
          </w:p>
          <w:p w:rsidR="00671A12" w:rsidRPr="004E33A5" w:rsidRDefault="00671A12" w:rsidP="00671A12">
            <w:pPr>
              <w:pStyle w:val="LadilloMichelinDossier"/>
              <w:spacing w:before="0" w:after="0"/>
              <w:rPr>
                <w:b w:val="0"/>
                <w:bCs w:val="0"/>
                <w:noProof/>
                <w:sz w:val="20"/>
                <w:lang w:val="pt-PT"/>
              </w:rPr>
            </w:pPr>
            <w:r w:rsidRPr="004E33A5">
              <w:rPr>
                <w:rFonts w:ascii="Arial" w:hAnsi="Arial"/>
                <w:b w:val="0"/>
                <w:bCs w:val="0"/>
                <w:noProof/>
                <w:sz w:val="20"/>
                <w:lang w:val="pt-PT"/>
              </w:rPr>
              <w:t>(sem a Índia)</w:t>
            </w:r>
          </w:p>
        </w:tc>
        <w:tc>
          <w:tcPr>
            <w:tcW w:w="1134" w:type="dxa"/>
            <w:shd w:val="clear" w:color="auto" w:fill="E6E6E6"/>
          </w:tcPr>
          <w:p w:rsidR="00671A12" w:rsidRPr="004E33A5" w:rsidRDefault="00671A12" w:rsidP="00671A12">
            <w:pPr>
              <w:pStyle w:val="LadilloMichelinDossier"/>
              <w:spacing w:before="0" w:after="0"/>
              <w:rPr>
                <w:b w:val="0"/>
                <w:bCs w:val="0"/>
                <w:noProof/>
                <w:sz w:val="20"/>
                <w:lang w:val="pt-PT"/>
              </w:rPr>
            </w:pPr>
            <w:r w:rsidRPr="004E33A5">
              <w:rPr>
                <w:rFonts w:ascii="Arial" w:hAnsi="Arial"/>
                <w:b w:val="0"/>
                <w:bCs w:val="0"/>
                <w:noProof/>
                <w:sz w:val="20"/>
                <w:lang w:val="pt-PT"/>
              </w:rPr>
              <w:t xml:space="preserve">América </w:t>
            </w:r>
            <w:r w:rsidRPr="004E33A5">
              <w:rPr>
                <w:rFonts w:ascii="Arial" w:hAnsi="Arial"/>
                <w:b w:val="0"/>
                <w:bCs w:val="0"/>
                <w:noProof/>
                <w:sz w:val="20"/>
                <w:lang w:val="pt-PT"/>
              </w:rPr>
              <w:br/>
              <w:t>do Sul</w:t>
            </w:r>
          </w:p>
        </w:tc>
        <w:tc>
          <w:tcPr>
            <w:tcW w:w="1559" w:type="dxa"/>
            <w:shd w:val="clear" w:color="auto" w:fill="E6E6E6"/>
          </w:tcPr>
          <w:p w:rsidR="00671A12" w:rsidRPr="004E33A5" w:rsidRDefault="00671A12" w:rsidP="00671A12">
            <w:pPr>
              <w:pStyle w:val="LadilloMichelinDossier"/>
              <w:spacing w:before="0" w:after="0"/>
              <w:rPr>
                <w:b w:val="0"/>
                <w:bCs w:val="0"/>
                <w:noProof/>
                <w:sz w:val="20"/>
                <w:lang w:val="pt-PT"/>
              </w:rPr>
            </w:pPr>
            <w:r w:rsidRPr="004E33A5">
              <w:rPr>
                <w:rFonts w:ascii="Arial" w:hAnsi="Arial"/>
                <w:b w:val="0"/>
                <w:bCs w:val="0"/>
                <w:noProof/>
                <w:sz w:val="20"/>
                <w:lang w:val="pt-PT"/>
              </w:rPr>
              <w:t>África/Índia/</w:t>
            </w:r>
            <w:r w:rsidRPr="004E33A5">
              <w:rPr>
                <w:rFonts w:ascii="Arial" w:hAnsi="Arial"/>
                <w:b w:val="0"/>
                <w:bCs w:val="0"/>
                <w:noProof/>
                <w:sz w:val="20"/>
                <w:lang w:val="pt-PT"/>
              </w:rPr>
              <w:br/>
              <w:t>Médio Oriente</w:t>
            </w:r>
          </w:p>
        </w:tc>
        <w:tc>
          <w:tcPr>
            <w:tcW w:w="992" w:type="dxa"/>
            <w:shd w:val="clear" w:color="auto" w:fill="E6E6E6"/>
          </w:tcPr>
          <w:p w:rsidR="00671A12" w:rsidRPr="004E33A5" w:rsidRDefault="00671A12" w:rsidP="00671A12">
            <w:pPr>
              <w:pStyle w:val="LadilloMichelinDossier"/>
              <w:spacing w:before="0" w:after="0"/>
              <w:rPr>
                <w:b w:val="0"/>
                <w:bCs w:val="0"/>
                <w:noProof/>
                <w:sz w:val="20"/>
                <w:lang w:val="pt-PT"/>
              </w:rPr>
            </w:pPr>
            <w:r w:rsidRPr="004E33A5">
              <w:rPr>
                <w:rFonts w:ascii="Arial" w:hAnsi="Arial"/>
                <w:b w:val="0"/>
                <w:bCs w:val="0"/>
                <w:noProof/>
                <w:sz w:val="20"/>
                <w:lang w:val="pt-PT"/>
              </w:rPr>
              <w:t>Total</w:t>
            </w:r>
          </w:p>
        </w:tc>
      </w:tr>
      <w:tr w:rsidR="00671A12" w:rsidRPr="004E33A5" w:rsidTr="003B4039">
        <w:trPr>
          <w:trHeight w:val="1212"/>
        </w:trPr>
        <w:tc>
          <w:tcPr>
            <w:tcW w:w="2235" w:type="dxa"/>
          </w:tcPr>
          <w:p w:rsidR="00671A12" w:rsidRPr="004E33A5" w:rsidRDefault="00671A12" w:rsidP="00671A12">
            <w:pPr>
              <w:pStyle w:val="LadilloMichelinDossier"/>
              <w:spacing w:before="0" w:after="0"/>
              <w:jc w:val="both"/>
              <w:rPr>
                <w:rFonts w:ascii="Arial" w:hAnsi="Arial"/>
                <w:b w:val="0"/>
                <w:bCs w:val="0"/>
                <w:noProof/>
                <w:sz w:val="20"/>
                <w:lang w:val="pt-PT"/>
              </w:rPr>
            </w:pPr>
          </w:p>
          <w:p w:rsidR="00671A12" w:rsidRPr="004E33A5" w:rsidRDefault="00671A12" w:rsidP="00671A12">
            <w:pPr>
              <w:pStyle w:val="LadilloMichelinDossier"/>
              <w:spacing w:before="0" w:after="0"/>
              <w:jc w:val="both"/>
              <w:rPr>
                <w:rFonts w:ascii="Arial" w:hAnsi="Arial"/>
                <w:b w:val="0"/>
                <w:bCs w:val="0"/>
                <w:noProof/>
                <w:sz w:val="20"/>
                <w:lang w:val="pt-PT"/>
              </w:rPr>
            </w:pPr>
            <w:r w:rsidRPr="004E33A5">
              <w:rPr>
                <w:rFonts w:ascii="Arial" w:hAnsi="Arial"/>
                <w:b w:val="0"/>
                <w:bCs w:val="0"/>
                <w:noProof/>
                <w:sz w:val="20"/>
                <w:lang w:val="pt-PT"/>
              </w:rPr>
              <w:t>Primeira montagem</w:t>
            </w:r>
          </w:p>
          <w:p w:rsidR="00671A12" w:rsidRPr="004E33A5" w:rsidRDefault="00671A12" w:rsidP="00671A12">
            <w:pPr>
              <w:pStyle w:val="LadilloMichelinDossier"/>
              <w:spacing w:before="0" w:after="0"/>
              <w:jc w:val="both"/>
              <w:rPr>
                <w:rFonts w:ascii="Arial" w:hAnsi="Arial"/>
                <w:b w:val="0"/>
                <w:bCs w:val="0"/>
                <w:noProof/>
                <w:sz w:val="20"/>
                <w:lang w:val="pt-PT"/>
              </w:rPr>
            </w:pPr>
          </w:p>
          <w:p w:rsidR="00671A12" w:rsidRPr="004E33A5" w:rsidRDefault="00671A12" w:rsidP="00671A12">
            <w:pPr>
              <w:pStyle w:val="LadilloMichelinDossier"/>
              <w:spacing w:before="0" w:after="0"/>
              <w:jc w:val="both"/>
              <w:rPr>
                <w:b w:val="0"/>
                <w:bCs w:val="0"/>
                <w:noProof/>
                <w:sz w:val="20"/>
                <w:lang w:val="pt-PT"/>
              </w:rPr>
            </w:pPr>
            <w:r w:rsidRPr="004E33A5">
              <w:rPr>
                <w:rFonts w:ascii="Arial" w:hAnsi="Arial"/>
                <w:b w:val="0"/>
                <w:bCs w:val="0"/>
                <w:noProof/>
                <w:sz w:val="20"/>
                <w:lang w:val="pt-PT"/>
              </w:rPr>
              <w:t>Substituição</w:t>
            </w:r>
          </w:p>
        </w:tc>
        <w:tc>
          <w:tcPr>
            <w:tcW w:w="1134" w:type="dxa"/>
          </w:tcPr>
          <w:p w:rsidR="00671A12" w:rsidRPr="004E33A5" w:rsidRDefault="00671A12" w:rsidP="00671A12">
            <w:pPr>
              <w:tabs>
                <w:tab w:val="left" w:pos="284"/>
              </w:tabs>
              <w:jc w:val="center"/>
              <w:rPr>
                <w:rFonts w:ascii="Arial" w:eastAsia="MS Mincho" w:hAnsi="Arial" w:cs="Arial"/>
                <w:b/>
                <w:strike/>
                <w:noProof/>
                <w:snapToGrid w:val="0"/>
                <w:sz w:val="20"/>
                <w:szCs w:val="20"/>
                <w:lang w:val="pt-PT"/>
              </w:rPr>
            </w:pPr>
          </w:p>
          <w:p w:rsidR="00671A12" w:rsidRPr="004E33A5" w:rsidRDefault="00671A12" w:rsidP="00671A12">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+ 4%</w:t>
            </w:r>
          </w:p>
          <w:p w:rsidR="00671A12" w:rsidRPr="004E33A5" w:rsidRDefault="00671A12" w:rsidP="00671A12">
            <w:pPr>
              <w:tabs>
                <w:tab w:val="left" w:pos="284"/>
              </w:tabs>
              <w:jc w:val="center"/>
              <w:rPr>
                <w:rFonts w:ascii="Arial" w:eastAsia="MS Mincho" w:hAnsi="Arial" w:cs="Arial"/>
                <w:b/>
                <w:noProof/>
                <w:snapToGrid w:val="0"/>
                <w:sz w:val="20"/>
                <w:szCs w:val="20"/>
                <w:lang w:val="pt-PT"/>
              </w:rPr>
            </w:pPr>
          </w:p>
          <w:p w:rsidR="00671A12" w:rsidRPr="004E33A5" w:rsidRDefault="00671A12" w:rsidP="00671A12">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+ 3%</w:t>
            </w:r>
          </w:p>
          <w:p w:rsidR="00671A12" w:rsidRPr="004E33A5" w:rsidRDefault="00671A12" w:rsidP="00671A12">
            <w:pPr>
              <w:tabs>
                <w:tab w:val="left" w:pos="284"/>
              </w:tabs>
              <w:spacing w:line="270" w:lineRule="atLeast"/>
              <w:jc w:val="center"/>
              <w:rPr>
                <w:rFonts w:ascii="Arial" w:eastAsia="MS Mincho" w:hAnsi="Arial" w:cs="Arial"/>
                <w:b/>
                <w:noProof/>
                <w:snapToGrid w:val="0"/>
                <w:sz w:val="20"/>
                <w:szCs w:val="20"/>
                <w:lang w:val="pt-PT"/>
              </w:rPr>
            </w:pPr>
          </w:p>
        </w:tc>
        <w:tc>
          <w:tcPr>
            <w:tcW w:w="1134" w:type="dxa"/>
          </w:tcPr>
          <w:p w:rsidR="00671A12" w:rsidRPr="004E33A5" w:rsidRDefault="00671A12" w:rsidP="00671A12">
            <w:pPr>
              <w:tabs>
                <w:tab w:val="left" w:pos="284"/>
              </w:tabs>
              <w:jc w:val="center"/>
              <w:rPr>
                <w:rFonts w:ascii="Verdana" w:eastAsia="MS Mincho" w:hAnsi="Verdana" w:cs="Arial"/>
                <w:b/>
                <w:strike/>
                <w:noProof/>
                <w:snapToGrid w:val="0"/>
                <w:sz w:val="18"/>
                <w:szCs w:val="18"/>
                <w:lang w:val="pt-PT"/>
              </w:rPr>
            </w:pPr>
          </w:p>
          <w:p w:rsidR="00671A12" w:rsidRPr="004E33A5" w:rsidRDefault="00671A12" w:rsidP="00671A12">
            <w:pPr>
              <w:tabs>
                <w:tab w:val="left" w:pos="284"/>
              </w:tabs>
              <w:jc w:val="center"/>
              <w:rPr>
                <w:rFonts w:ascii="Verdana" w:eastAsia="MS Mincho" w:hAnsi="Verdana" w:cs="Arial"/>
                <w:b/>
                <w:noProof/>
                <w:snapToGrid w:val="0"/>
                <w:sz w:val="18"/>
                <w:szCs w:val="18"/>
                <w:lang w:val="pt-PT"/>
              </w:rPr>
            </w:pPr>
            <w:r w:rsidRPr="004E33A5">
              <w:rPr>
                <w:rFonts w:ascii="Verdana" w:eastAsia="MS Mincho" w:hAnsi="Verdana" w:cs="Arial"/>
                <w:b/>
                <w:bCs/>
                <w:noProof/>
                <w:snapToGrid w:val="0"/>
                <w:sz w:val="18"/>
                <w:szCs w:val="18"/>
                <w:lang w:val="pt-PT"/>
              </w:rPr>
              <w:t>+ 7%</w:t>
            </w:r>
          </w:p>
          <w:p w:rsidR="00671A12" w:rsidRPr="004E33A5" w:rsidRDefault="00671A12" w:rsidP="00671A12">
            <w:pPr>
              <w:tabs>
                <w:tab w:val="left" w:pos="284"/>
              </w:tabs>
              <w:jc w:val="center"/>
              <w:rPr>
                <w:rFonts w:ascii="Verdana" w:eastAsia="MS Mincho" w:hAnsi="Verdana" w:cs="Arial"/>
                <w:b/>
                <w:noProof/>
                <w:snapToGrid w:val="0"/>
                <w:sz w:val="18"/>
                <w:szCs w:val="18"/>
                <w:lang w:val="pt-PT"/>
              </w:rPr>
            </w:pPr>
          </w:p>
          <w:p w:rsidR="00671A12" w:rsidRPr="004E33A5" w:rsidRDefault="00671A12" w:rsidP="00671A12">
            <w:pPr>
              <w:tabs>
                <w:tab w:val="left" w:pos="284"/>
              </w:tabs>
              <w:jc w:val="center"/>
              <w:rPr>
                <w:rFonts w:ascii="Arial" w:eastAsia="MS Mincho" w:hAnsi="Arial" w:cs="Arial"/>
                <w:b/>
                <w:strike/>
                <w:noProof/>
                <w:snapToGrid w:val="0"/>
                <w:sz w:val="20"/>
                <w:szCs w:val="20"/>
                <w:lang w:val="pt-PT"/>
              </w:rPr>
            </w:pPr>
            <w:r w:rsidRPr="004E33A5">
              <w:rPr>
                <w:rFonts w:ascii="Verdana" w:eastAsia="MS Mincho" w:hAnsi="Verdana" w:cs="Arial"/>
                <w:b/>
                <w:bCs/>
                <w:noProof/>
                <w:snapToGrid w:val="0"/>
                <w:sz w:val="18"/>
                <w:szCs w:val="18"/>
                <w:lang w:val="pt-PT"/>
              </w:rPr>
              <w:t>+ 6%</w:t>
            </w:r>
          </w:p>
        </w:tc>
        <w:tc>
          <w:tcPr>
            <w:tcW w:w="992" w:type="dxa"/>
          </w:tcPr>
          <w:p w:rsidR="00671A12" w:rsidRPr="004E33A5" w:rsidRDefault="00671A12" w:rsidP="00671A12">
            <w:pPr>
              <w:tabs>
                <w:tab w:val="left" w:pos="284"/>
              </w:tabs>
              <w:jc w:val="center"/>
              <w:rPr>
                <w:rFonts w:ascii="Arial" w:eastAsia="MS Mincho" w:hAnsi="Arial" w:cs="Arial"/>
                <w:b/>
                <w:strike/>
                <w:noProof/>
                <w:snapToGrid w:val="0"/>
                <w:sz w:val="20"/>
                <w:szCs w:val="20"/>
                <w:lang w:val="pt-PT"/>
              </w:rPr>
            </w:pPr>
          </w:p>
          <w:p w:rsidR="00671A12" w:rsidRPr="004E33A5" w:rsidRDefault="00671A12" w:rsidP="00671A12">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+ 7%</w:t>
            </w:r>
          </w:p>
          <w:p w:rsidR="00671A12" w:rsidRPr="004E33A5" w:rsidRDefault="00671A12" w:rsidP="00671A12">
            <w:pPr>
              <w:tabs>
                <w:tab w:val="left" w:pos="284"/>
              </w:tabs>
              <w:jc w:val="center"/>
              <w:rPr>
                <w:rFonts w:ascii="Arial" w:eastAsia="MS Mincho" w:hAnsi="Arial" w:cs="Arial"/>
                <w:b/>
                <w:noProof/>
                <w:snapToGrid w:val="0"/>
                <w:sz w:val="20"/>
                <w:szCs w:val="20"/>
                <w:lang w:val="pt-PT"/>
              </w:rPr>
            </w:pPr>
          </w:p>
          <w:p w:rsidR="00671A12" w:rsidRPr="004E33A5" w:rsidRDefault="00671A12" w:rsidP="00671A12">
            <w:pPr>
              <w:tabs>
                <w:tab w:val="left" w:pos="284"/>
              </w:tabs>
              <w:spacing w:line="270" w:lineRule="atLeast"/>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+ 6%</w:t>
            </w:r>
          </w:p>
        </w:tc>
        <w:tc>
          <w:tcPr>
            <w:tcW w:w="1134" w:type="dxa"/>
          </w:tcPr>
          <w:p w:rsidR="00671A12" w:rsidRPr="004E33A5" w:rsidRDefault="00671A12" w:rsidP="00671A12">
            <w:pPr>
              <w:tabs>
                <w:tab w:val="left" w:pos="284"/>
              </w:tabs>
              <w:jc w:val="center"/>
              <w:rPr>
                <w:rFonts w:ascii="Arial" w:eastAsia="MS Mincho" w:hAnsi="Arial" w:cs="Arial"/>
                <w:b/>
                <w:strike/>
                <w:noProof/>
                <w:snapToGrid w:val="0"/>
                <w:sz w:val="20"/>
                <w:szCs w:val="20"/>
                <w:lang w:val="pt-PT"/>
              </w:rPr>
            </w:pPr>
          </w:p>
          <w:p w:rsidR="00671A12" w:rsidRPr="004E33A5" w:rsidRDefault="00671A12" w:rsidP="00671A12">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+ 4%</w:t>
            </w:r>
          </w:p>
          <w:p w:rsidR="00671A12" w:rsidRPr="004E33A5" w:rsidRDefault="00671A12" w:rsidP="00671A12">
            <w:pPr>
              <w:tabs>
                <w:tab w:val="left" w:pos="284"/>
              </w:tabs>
              <w:jc w:val="center"/>
              <w:rPr>
                <w:rFonts w:ascii="Arial" w:eastAsia="MS Mincho" w:hAnsi="Arial" w:cs="Arial"/>
                <w:b/>
                <w:noProof/>
                <w:snapToGrid w:val="0"/>
                <w:sz w:val="20"/>
                <w:szCs w:val="20"/>
                <w:lang w:val="pt-PT"/>
              </w:rPr>
            </w:pPr>
          </w:p>
          <w:p w:rsidR="00671A12" w:rsidRPr="004E33A5" w:rsidRDefault="00671A12" w:rsidP="00671A12">
            <w:pPr>
              <w:tabs>
                <w:tab w:val="left" w:pos="284"/>
              </w:tabs>
              <w:spacing w:line="270" w:lineRule="atLeast"/>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+ 1%</w:t>
            </w:r>
          </w:p>
        </w:tc>
        <w:tc>
          <w:tcPr>
            <w:tcW w:w="1134" w:type="dxa"/>
          </w:tcPr>
          <w:p w:rsidR="00671A12" w:rsidRPr="004E33A5" w:rsidRDefault="00671A12" w:rsidP="00671A12">
            <w:pPr>
              <w:tabs>
                <w:tab w:val="left" w:pos="284"/>
              </w:tabs>
              <w:jc w:val="center"/>
              <w:rPr>
                <w:rFonts w:ascii="Arial" w:eastAsia="MS Mincho" w:hAnsi="Arial" w:cs="Arial"/>
                <w:b/>
                <w:strike/>
                <w:noProof/>
                <w:snapToGrid w:val="0"/>
                <w:sz w:val="20"/>
                <w:szCs w:val="20"/>
                <w:lang w:val="pt-PT"/>
              </w:rPr>
            </w:pPr>
          </w:p>
          <w:p w:rsidR="00671A12" w:rsidRPr="004E33A5" w:rsidRDefault="00671A12" w:rsidP="00671A12">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+ 1%</w:t>
            </w:r>
          </w:p>
          <w:p w:rsidR="00671A12" w:rsidRPr="004E33A5" w:rsidRDefault="00671A12" w:rsidP="00671A12">
            <w:pPr>
              <w:tabs>
                <w:tab w:val="left" w:pos="284"/>
              </w:tabs>
              <w:jc w:val="center"/>
              <w:rPr>
                <w:rFonts w:ascii="Arial" w:eastAsia="MS Mincho" w:hAnsi="Arial" w:cs="Arial"/>
                <w:b/>
                <w:noProof/>
                <w:snapToGrid w:val="0"/>
                <w:sz w:val="20"/>
                <w:szCs w:val="20"/>
                <w:lang w:val="pt-PT"/>
              </w:rPr>
            </w:pPr>
          </w:p>
          <w:p w:rsidR="00671A12" w:rsidRPr="004E33A5" w:rsidRDefault="00671A12" w:rsidP="00671A12">
            <w:pPr>
              <w:tabs>
                <w:tab w:val="left" w:pos="284"/>
              </w:tabs>
              <w:spacing w:line="270" w:lineRule="atLeast"/>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+ 3%</w:t>
            </w:r>
          </w:p>
        </w:tc>
        <w:tc>
          <w:tcPr>
            <w:tcW w:w="1559" w:type="dxa"/>
          </w:tcPr>
          <w:p w:rsidR="00671A12" w:rsidRPr="004E33A5" w:rsidRDefault="00671A12" w:rsidP="00671A12">
            <w:pPr>
              <w:tabs>
                <w:tab w:val="left" w:pos="284"/>
              </w:tabs>
              <w:jc w:val="center"/>
              <w:rPr>
                <w:rFonts w:ascii="Arial" w:eastAsia="MS Mincho" w:hAnsi="Arial" w:cs="Arial"/>
                <w:b/>
                <w:strike/>
                <w:noProof/>
                <w:snapToGrid w:val="0"/>
                <w:sz w:val="20"/>
                <w:szCs w:val="20"/>
                <w:highlight w:val="yellow"/>
                <w:lang w:val="pt-PT"/>
              </w:rPr>
            </w:pPr>
          </w:p>
          <w:p w:rsidR="00671A12" w:rsidRPr="004E33A5" w:rsidRDefault="00671A12" w:rsidP="00671A12">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- 19 %</w:t>
            </w:r>
          </w:p>
          <w:p w:rsidR="00671A12" w:rsidRPr="004E33A5" w:rsidRDefault="00671A12" w:rsidP="00671A12">
            <w:pPr>
              <w:tabs>
                <w:tab w:val="left" w:pos="284"/>
              </w:tabs>
              <w:jc w:val="center"/>
              <w:rPr>
                <w:rFonts w:ascii="Arial" w:eastAsia="MS Mincho" w:hAnsi="Arial" w:cs="Arial"/>
                <w:b/>
                <w:noProof/>
                <w:snapToGrid w:val="0"/>
                <w:sz w:val="20"/>
                <w:szCs w:val="20"/>
                <w:lang w:val="pt-PT"/>
              </w:rPr>
            </w:pPr>
          </w:p>
          <w:p w:rsidR="00671A12" w:rsidRPr="004E33A5" w:rsidRDefault="00671A12" w:rsidP="00671A12">
            <w:pPr>
              <w:tabs>
                <w:tab w:val="left" w:pos="284"/>
              </w:tabs>
              <w:spacing w:line="270" w:lineRule="atLeast"/>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+ 1%</w:t>
            </w:r>
          </w:p>
        </w:tc>
        <w:tc>
          <w:tcPr>
            <w:tcW w:w="992" w:type="dxa"/>
          </w:tcPr>
          <w:p w:rsidR="00671A12" w:rsidRPr="004E33A5" w:rsidRDefault="00671A12" w:rsidP="00671A12">
            <w:pPr>
              <w:tabs>
                <w:tab w:val="left" w:pos="284"/>
              </w:tabs>
              <w:jc w:val="center"/>
              <w:rPr>
                <w:rFonts w:ascii="Arial" w:eastAsia="MS Mincho" w:hAnsi="Arial" w:cs="Arial"/>
                <w:b/>
                <w:strike/>
                <w:noProof/>
                <w:snapToGrid w:val="0"/>
                <w:sz w:val="20"/>
                <w:szCs w:val="20"/>
                <w:highlight w:val="yellow"/>
                <w:lang w:val="pt-PT"/>
              </w:rPr>
            </w:pPr>
          </w:p>
          <w:p w:rsidR="00671A12" w:rsidRPr="004E33A5" w:rsidRDefault="00671A12" w:rsidP="00671A12">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+ 8%</w:t>
            </w:r>
          </w:p>
          <w:p w:rsidR="00671A12" w:rsidRPr="004E33A5" w:rsidRDefault="00671A12" w:rsidP="00671A12">
            <w:pPr>
              <w:tabs>
                <w:tab w:val="left" w:pos="284"/>
              </w:tabs>
              <w:jc w:val="center"/>
              <w:rPr>
                <w:rFonts w:ascii="Arial" w:eastAsia="MS Mincho" w:hAnsi="Arial" w:cs="Arial"/>
                <w:b/>
                <w:noProof/>
                <w:snapToGrid w:val="0"/>
                <w:sz w:val="20"/>
                <w:szCs w:val="20"/>
                <w:lang w:val="pt-PT"/>
              </w:rPr>
            </w:pPr>
          </w:p>
          <w:p w:rsidR="00671A12" w:rsidRPr="004E33A5" w:rsidRDefault="00671A12" w:rsidP="00671A12">
            <w:pPr>
              <w:tabs>
                <w:tab w:val="left" w:pos="1168"/>
              </w:tabs>
              <w:spacing w:line="270" w:lineRule="atLeast"/>
              <w:ind w:right="-108"/>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+ 5%</w:t>
            </w:r>
          </w:p>
        </w:tc>
      </w:tr>
    </w:tbl>
    <w:p w:rsidR="00671A12" w:rsidRPr="004E33A5" w:rsidRDefault="00671A12">
      <w:pPr>
        <w:pStyle w:val="TextoMichelin"/>
        <w:rPr>
          <w:rFonts w:ascii="Times" w:eastAsia="Times" w:hAnsi="Times" w:cs="Times"/>
          <w:b/>
          <w:bCs/>
          <w:noProof/>
          <w:color w:val="333399"/>
          <w:sz w:val="40"/>
          <w:szCs w:val="40"/>
          <w:u w:color="333399"/>
          <w:lang w:val="pt-PT"/>
        </w:rPr>
      </w:pPr>
      <w:r w:rsidRPr="004E33A5">
        <w:rPr>
          <w:b/>
          <w:bCs/>
          <w:noProof/>
          <w:sz w:val="26"/>
          <w:szCs w:val="26"/>
          <w:lang w:val="pt-PT"/>
        </w:rPr>
        <w:t xml:space="preserve"> Ligeiro e camioneta</w:t>
      </w:r>
    </w:p>
    <w:p w:rsidR="00700DFB" w:rsidRPr="004E33A5" w:rsidRDefault="006310B1" w:rsidP="003C3B27">
      <w:pPr>
        <w:pStyle w:val="Cuerpo"/>
        <w:tabs>
          <w:tab w:val="left" w:pos="1520"/>
        </w:tabs>
        <w:spacing w:before="120" w:after="120" w:line="270" w:lineRule="atLeast"/>
        <w:rPr>
          <w:rFonts w:ascii="Arial" w:eastAsia="Arial" w:hAnsi="Arial" w:cs="Arial"/>
          <w:noProof/>
          <w:sz w:val="16"/>
          <w:szCs w:val="16"/>
          <w:lang w:val="pt-PT"/>
        </w:rPr>
      </w:pPr>
      <w:r w:rsidRPr="004E33A5">
        <w:rPr>
          <w:b/>
          <w:bCs/>
          <w:noProof/>
          <w:sz w:val="26"/>
          <w:szCs w:val="26"/>
          <w:lang w:val="pt-PT"/>
        </w:rPr>
        <w:t xml:space="preserve"> </w:t>
      </w:r>
      <w:r w:rsidRPr="004E33A5">
        <w:rPr>
          <w:b/>
          <w:bCs/>
          <w:noProof/>
          <w:sz w:val="26"/>
          <w:szCs w:val="26"/>
          <w:lang w:val="pt-PT"/>
        </w:rPr>
        <w:tab/>
      </w:r>
    </w:p>
    <w:tbl>
      <w:tblPr>
        <w:tblpPr w:leftFromText="141" w:rightFromText="141" w:vertAnchor="text" w:horzAnchor="page" w:tblpX="1074" w:tblpY="190"/>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1"/>
        <w:gridCol w:w="1146"/>
        <w:gridCol w:w="1146"/>
        <w:gridCol w:w="978"/>
        <w:gridCol w:w="1142"/>
        <w:gridCol w:w="1136"/>
        <w:gridCol w:w="1551"/>
        <w:gridCol w:w="1002"/>
      </w:tblGrid>
      <w:tr w:rsidR="00B13BBC" w:rsidRPr="004E33A5" w:rsidTr="003C3B27">
        <w:trPr>
          <w:trHeight w:val="890"/>
        </w:trPr>
        <w:tc>
          <w:tcPr>
            <w:tcW w:w="2251" w:type="dxa"/>
            <w:shd w:val="clear" w:color="auto" w:fill="E6E6E6"/>
          </w:tcPr>
          <w:p w:rsidR="002D4471" w:rsidRPr="004E33A5" w:rsidRDefault="002D4471" w:rsidP="003C3B27">
            <w:pPr>
              <w:pStyle w:val="LadilloMichelinDossier"/>
              <w:spacing w:before="0" w:after="0"/>
              <w:rPr>
                <w:rFonts w:ascii="Arial" w:hAnsi="Arial"/>
                <w:b w:val="0"/>
                <w:bCs w:val="0"/>
                <w:noProof/>
                <w:sz w:val="20"/>
                <w:lang w:val="pt-PT"/>
              </w:rPr>
            </w:pPr>
            <w:r w:rsidRPr="004E33A5">
              <w:rPr>
                <w:rFonts w:ascii="Arial" w:hAnsi="Arial"/>
                <w:b w:val="0"/>
                <w:bCs w:val="0"/>
                <w:noProof/>
                <w:sz w:val="20"/>
                <w:lang w:val="pt-PT"/>
              </w:rPr>
              <w:t>Quarto trimestre</w:t>
            </w:r>
          </w:p>
          <w:p w:rsidR="002D4471" w:rsidRPr="004E33A5" w:rsidRDefault="003C3B27" w:rsidP="003C3B27">
            <w:pPr>
              <w:pStyle w:val="LadilloMichelinDossier"/>
              <w:spacing w:before="0" w:after="0"/>
              <w:rPr>
                <w:b w:val="0"/>
                <w:bCs w:val="0"/>
                <w:noProof/>
                <w:sz w:val="20"/>
                <w:lang w:val="pt-PT"/>
              </w:rPr>
            </w:pPr>
            <w:r w:rsidRPr="004E33A5">
              <w:rPr>
                <w:rFonts w:ascii="Arial" w:hAnsi="Arial"/>
                <w:b w:val="0"/>
                <w:bCs w:val="0"/>
                <w:noProof/>
                <w:sz w:val="20"/>
                <w:lang w:val="pt-PT"/>
              </w:rPr>
              <w:t>2015/2014</w:t>
            </w:r>
            <w:r w:rsidRPr="004E33A5">
              <w:rPr>
                <w:rFonts w:ascii="Arial" w:hAnsi="Arial"/>
                <w:b w:val="0"/>
                <w:bCs w:val="0"/>
                <w:noProof/>
                <w:sz w:val="20"/>
                <w:lang w:val="pt-PT"/>
              </w:rPr>
              <w:br/>
            </w:r>
            <w:r w:rsidRPr="004E33A5">
              <w:rPr>
                <w:rFonts w:ascii="Arial" w:hAnsi="Arial"/>
                <w:b w:val="0"/>
                <w:bCs w:val="0"/>
                <w:noProof/>
                <w:sz w:val="18"/>
                <w:lang w:val="pt-PT"/>
              </w:rPr>
              <w:t>(número de pneus)</w:t>
            </w:r>
          </w:p>
        </w:tc>
        <w:tc>
          <w:tcPr>
            <w:tcW w:w="1146" w:type="dxa"/>
            <w:shd w:val="clear" w:color="auto" w:fill="E6E6E6"/>
          </w:tcPr>
          <w:p w:rsidR="002D4471" w:rsidRPr="004E33A5" w:rsidRDefault="002D4471" w:rsidP="003C3B27">
            <w:pPr>
              <w:pStyle w:val="LadilloMichelinDossier"/>
              <w:spacing w:before="0" w:after="0"/>
              <w:rPr>
                <w:b w:val="0"/>
                <w:bCs w:val="0"/>
                <w:noProof/>
                <w:sz w:val="20"/>
                <w:lang w:val="pt-PT"/>
              </w:rPr>
            </w:pPr>
            <w:r w:rsidRPr="004E33A5">
              <w:rPr>
                <w:rFonts w:ascii="Arial" w:hAnsi="Arial"/>
                <w:b w:val="0"/>
                <w:bCs w:val="0"/>
                <w:noProof/>
                <w:sz w:val="20"/>
                <w:lang w:val="pt-PT"/>
              </w:rPr>
              <w:t>Europa com Rússia e CEI</w:t>
            </w:r>
            <w:r w:rsidRPr="004E33A5">
              <w:rPr>
                <w:rStyle w:val="Refdenotaalpie"/>
                <w:rFonts w:ascii="Arial" w:hAnsi="Arial"/>
                <w:noProof/>
                <w:sz w:val="32"/>
                <w:vertAlign w:val="baseline"/>
                <w:lang w:val="pt-PT"/>
              </w:rPr>
              <w:sym w:font="Symbol" w:char="F02A"/>
            </w:r>
          </w:p>
        </w:tc>
        <w:tc>
          <w:tcPr>
            <w:tcW w:w="1146" w:type="dxa"/>
            <w:shd w:val="clear" w:color="auto" w:fill="E6E6E6"/>
          </w:tcPr>
          <w:p w:rsidR="002D4471" w:rsidRPr="004E33A5" w:rsidRDefault="002D4471" w:rsidP="003C3B27">
            <w:pPr>
              <w:tabs>
                <w:tab w:val="left" w:pos="284"/>
              </w:tabs>
              <w:rPr>
                <w:rFonts w:ascii="Arial" w:eastAsia="Times" w:hAnsi="Arial" w:cs="Times"/>
                <w:noProof/>
                <w:color w:val="000000"/>
                <w:sz w:val="20"/>
                <w:szCs w:val="26"/>
                <w:u w:color="000000"/>
                <w:lang w:val="pt-PT"/>
              </w:rPr>
            </w:pPr>
            <w:r w:rsidRPr="004E33A5">
              <w:rPr>
                <w:rFonts w:ascii="Arial" w:eastAsia="Times" w:hAnsi="Arial" w:cs="Times"/>
                <w:noProof/>
                <w:color w:val="000000"/>
                <w:sz w:val="20"/>
                <w:szCs w:val="26"/>
                <w:u w:color="000000"/>
                <w:lang w:val="pt-PT"/>
              </w:rPr>
              <w:footnoteReference w:customMarkFollows="1" w:id="5"/>
              <w:t>Europa</w:t>
            </w:r>
          </w:p>
          <w:p w:rsidR="002D4471" w:rsidRPr="004E33A5" w:rsidRDefault="002D4471" w:rsidP="003C3B27">
            <w:pPr>
              <w:pStyle w:val="LadilloMichelinDossier"/>
              <w:spacing w:before="0" w:after="0"/>
              <w:rPr>
                <w:rFonts w:ascii="Arial" w:hAnsi="Arial"/>
                <w:b w:val="0"/>
                <w:bCs w:val="0"/>
                <w:noProof/>
                <w:sz w:val="20"/>
                <w:lang w:val="pt-PT"/>
              </w:rPr>
            </w:pPr>
            <w:r w:rsidRPr="004E33A5">
              <w:rPr>
                <w:rFonts w:ascii="Arial" w:hAnsi="Arial"/>
                <w:b w:val="0"/>
                <w:bCs w:val="0"/>
                <w:noProof/>
                <w:sz w:val="20"/>
                <w:lang w:val="pt-PT"/>
              </w:rPr>
              <w:t xml:space="preserve">sem a Rússia </w:t>
            </w:r>
            <w:r w:rsidRPr="004E33A5">
              <w:rPr>
                <w:rFonts w:ascii="Arial" w:hAnsi="Arial"/>
                <w:b w:val="0"/>
                <w:bCs w:val="0"/>
                <w:noProof/>
                <w:sz w:val="20"/>
                <w:lang w:val="pt-PT"/>
              </w:rPr>
              <w:br/>
              <w:t>nem CEI*</w:t>
            </w:r>
          </w:p>
        </w:tc>
        <w:tc>
          <w:tcPr>
            <w:tcW w:w="978" w:type="dxa"/>
            <w:shd w:val="clear" w:color="auto" w:fill="E6E6E6"/>
          </w:tcPr>
          <w:p w:rsidR="002D4471" w:rsidRPr="004E33A5" w:rsidRDefault="002D4471" w:rsidP="003C3B27">
            <w:pPr>
              <w:pStyle w:val="LadilloMichelinDossier"/>
              <w:spacing w:before="0" w:after="0"/>
              <w:rPr>
                <w:b w:val="0"/>
                <w:bCs w:val="0"/>
                <w:noProof/>
                <w:sz w:val="20"/>
                <w:lang w:val="pt-PT"/>
              </w:rPr>
            </w:pPr>
            <w:r w:rsidRPr="004E33A5">
              <w:rPr>
                <w:rFonts w:ascii="Arial" w:hAnsi="Arial"/>
                <w:b w:val="0"/>
                <w:bCs w:val="0"/>
                <w:noProof/>
                <w:sz w:val="20"/>
                <w:lang w:val="pt-PT"/>
              </w:rPr>
              <w:t xml:space="preserve">América </w:t>
            </w:r>
            <w:r w:rsidRPr="004E33A5">
              <w:rPr>
                <w:rFonts w:ascii="Arial" w:hAnsi="Arial"/>
                <w:b w:val="0"/>
                <w:bCs w:val="0"/>
                <w:noProof/>
                <w:sz w:val="20"/>
                <w:lang w:val="pt-PT"/>
              </w:rPr>
              <w:br/>
              <w:t>do Norte</w:t>
            </w:r>
          </w:p>
        </w:tc>
        <w:tc>
          <w:tcPr>
            <w:tcW w:w="1142" w:type="dxa"/>
            <w:shd w:val="clear" w:color="auto" w:fill="E6E6E6"/>
          </w:tcPr>
          <w:p w:rsidR="002D4471" w:rsidRPr="004E33A5" w:rsidRDefault="002D4471" w:rsidP="003C3B27">
            <w:pPr>
              <w:pStyle w:val="LadilloMichelinDossier"/>
              <w:spacing w:before="0" w:after="0"/>
              <w:rPr>
                <w:rFonts w:ascii="Arial" w:hAnsi="Arial"/>
                <w:b w:val="0"/>
                <w:bCs w:val="0"/>
                <w:noProof/>
                <w:sz w:val="20"/>
                <w:lang w:val="pt-PT"/>
              </w:rPr>
            </w:pPr>
            <w:r w:rsidRPr="004E33A5">
              <w:rPr>
                <w:rFonts w:ascii="Arial" w:hAnsi="Arial"/>
                <w:b w:val="0"/>
                <w:bCs w:val="0"/>
                <w:noProof/>
                <w:sz w:val="20"/>
                <w:lang w:val="pt-PT"/>
              </w:rPr>
              <w:t>Ásia</w:t>
            </w:r>
          </w:p>
          <w:p w:rsidR="002D4471" w:rsidRPr="004E33A5" w:rsidRDefault="002D4471" w:rsidP="003C3B27">
            <w:pPr>
              <w:pStyle w:val="LadilloMichelinDossier"/>
              <w:spacing w:before="0" w:after="0"/>
              <w:rPr>
                <w:b w:val="0"/>
                <w:bCs w:val="0"/>
                <w:noProof/>
                <w:sz w:val="20"/>
                <w:lang w:val="pt-PT"/>
              </w:rPr>
            </w:pPr>
            <w:r w:rsidRPr="004E33A5">
              <w:rPr>
                <w:rFonts w:ascii="Arial" w:hAnsi="Arial"/>
                <w:b w:val="0"/>
                <w:bCs w:val="0"/>
                <w:noProof/>
                <w:sz w:val="20"/>
                <w:lang w:val="pt-PT"/>
              </w:rPr>
              <w:t>(sem a Índia)</w:t>
            </w:r>
          </w:p>
        </w:tc>
        <w:tc>
          <w:tcPr>
            <w:tcW w:w="1136" w:type="dxa"/>
            <w:shd w:val="clear" w:color="auto" w:fill="E6E6E6"/>
          </w:tcPr>
          <w:p w:rsidR="002D4471" w:rsidRPr="004E33A5" w:rsidRDefault="002D4471" w:rsidP="003C3B27">
            <w:pPr>
              <w:pStyle w:val="LadilloMichelinDossier"/>
              <w:spacing w:before="0" w:after="0"/>
              <w:rPr>
                <w:b w:val="0"/>
                <w:bCs w:val="0"/>
                <w:noProof/>
                <w:sz w:val="20"/>
                <w:lang w:val="pt-PT"/>
              </w:rPr>
            </w:pPr>
            <w:r w:rsidRPr="004E33A5">
              <w:rPr>
                <w:rFonts w:ascii="Arial" w:hAnsi="Arial"/>
                <w:b w:val="0"/>
                <w:bCs w:val="0"/>
                <w:noProof/>
                <w:sz w:val="20"/>
                <w:lang w:val="pt-PT"/>
              </w:rPr>
              <w:t xml:space="preserve">América </w:t>
            </w:r>
            <w:r w:rsidRPr="004E33A5">
              <w:rPr>
                <w:rFonts w:ascii="Arial" w:hAnsi="Arial"/>
                <w:b w:val="0"/>
                <w:bCs w:val="0"/>
                <w:noProof/>
                <w:sz w:val="20"/>
                <w:lang w:val="pt-PT"/>
              </w:rPr>
              <w:br/>
              <w:t>do Sul</w:t>
            </w:r>
          </w:p>
        </w:tc>
        <w:tc>
          <w:tcPr>
            <w:tcW w:w="1551" w:type="dxa"/>
            <w:shd w:val="clear" w:color="auto" w:fill="E6E6E6"/>
          </w:tcPr>
          <w:p w:rsidR="002D4471" w:rsidRPr="004E33A5" w:rsidRDefault="002D4471" w:rsidP="003C3B27">
            <w:pPr>
              <w:pStyle w:val="LadilloMichelinDossier"/>
              <w:spacing w:before="0" w:after="0"/>
              <w:rPr>
                <w:b w:val="0"/>
                <w:bCs w:val="0"/>
                <w:noProof/>
                <w:sz w:val="20"/>
                <w:lang w:val="pt-PT"/>
              </w:rPr>
            </w:pPr>
            <w:r w:rsidRPr="004E33A5">
              <w:rPr>
                <w:rFonts w:ascii="Arial" w:hAnsi="Arial"/>
                <w:b w:val="0"/>
                <w:bCs w:val="0"/>
                <w:noProof/>
                <w:sz w:val="20"/>
                <w:lang w:val="pt-PT"/>
              </w:rPr>
              <w:t>África/Índia/Médio Oriente</w:t>
            </w:r>
          </w:p>
        </w:tc>
        <w:tc>
          <w:tcPr>
            <w:tcW w:w="1002" w:type="dxa"/>
            <w:shd w:val="clear" w:color="auto" w:fill="E6E6E6"/>
          </w:tcPr>
          <w:p w:rsidR="002D4471" w:rsidRPr="004E33A5" w:rsidRDefault="002D4471" w:rsidP="003C3B27">
            <w:pPr>
              <w:pStyle w:val="LadilloMichelinDossier"/>
              <w:spacing w:before="0" w:after="0"/>
              <w:rPr>
                <w:b w:val="0"/>
                <w:bCs w:val="0"/>
                <w:noProof/>
                <w:sz w:val="20"/>
                <w:lang w:val="pt-PT"/>
              </w:rPr>
            </w:pPr>
            <w:r w:rsidRPr="004E33A5">
              <w:rPr>
                <w:rFonts w:ascii="Arial" w:hAnsi="Arial"/>
                <w:b w:val="0"/>
                <w:bCs w:val="0"/>
                <w:noProof/>
                <w:sz w:val="20"/>
                <w:lang w:val="pt-PT"/>
              </w:rPr>
              <w:t>Total</w:t>
            </w:r>
          </w:p>
        </w:tc>
      </w:tr>
      <w:tr w:rsidR="00C13636" w:rsidRPr="004E33A5" w:rsidTr="003C3B27">
        <w:trPr>
          <w:trHeight w:val="1271"/>
        </w:trPr>
        <w:tc>
          <w:tcPr>
            <w:tcW w:w="2251" w:type="dxa"/>
          </w:tcPr>
          <w:p w:rsidR="00C13636" w:rsidRPr="004E33A5" w:rsidRDefault="00C13636" w:rsidP="003C3B27">
            <w:pPr>
              <w:pStyle w:val="LadilloMichelinDossier"/>
              <w:spacing w:before="0" w:after="0"/>
              <w:jc w:val="both"/>
              <w:rPr>
                <w:rFonts w:ascii="Arial" w:hAnsi="Arial"/>
                <w:b w:val="0"/>
                <w:bCs w:val="0"/>
                <w:noProof/>
                <w:sz w:val="20"/>
                <w:lang w:val="pt-PT"/>
              </w:rPr>
            </w:pPr>
            <w:r w:rsidRPr="004E33A5">
              <w:rPr>
                <w:rFonts w:ascii="Arial" w:hAnsi="Arial"/>
                <w:b w:val="0"/>
                <w:bCs w:val="0"/>
                <w:noProof/>
                <w:sz w:val="20"/>
                <w:lang w:val="pt-PT"/>
              </w:rPr>
              <w:br/>
              <w:t>Primeira montagem</w:t>
            </w:r>
          </w:p>
          <w:p w:rsidR="00C13636" w:rsidRPr="004E33A5" w:rsidRDefault="00C13636" w:rsidP="003C3B27">
            <w:pPr>
              <w:pStyle w:val="LadilloMichelinDossier"/>
              <w:spacing w:before="0" w:after="0"/>
              <w:jc w:val="both"/>
              <w:rPr>
                <w:rFonts w:ascii="Arial" w:hAnsi="Arial"/>
                <w:b w:val="0"/>
                <w:bCs w:val="0"/>
                <w:noProof/>
                <w:sz w:val="20"/>
                <w:lang w:val="pt-PT"/>
              </w:rPr>
            </w:pPr>
            <w:r w:rsidRPr="004E33A5">
              <w:rPr>
                <w:rFonts w:ascii="Arial" w:hAnsi="Arial"/>
                <w:b w:val="0"/>
                <w:bCs w:val="0"/>
                <w:noProof/>
                <w:sz w:val="20"/>
                <w:lang w:val="pt-PT"/>
              </w:rPr>
              <w:t xml:space="preserve">     </w:t>
            </w:r>
          </w:p>
          <w:p w:rsidR="00C13636" w:rsidRPr="004E33A5" w:rsidRDefault="00C13636" w:rsidP="003C3B27">
            <w:pPr>
              <w:pStyle w:val="LadilloMichelinDossier"/>
              <w:spacing w:before="0" w:after="0"/>
              <w:jc w:val="both"/>
              <w:rPr>
                <w:b w:val="0"/>
                <w:bCs w:val="0"/>
                <w:noProof/>
                <w:sz w:val="20"/>
                <w:lang w:val="pt-PT"/>
              </w:rPr>
            </w:pPr>
            <w:r w:rsidRPr="004E33A5">
              <w:rPr>
                <w:rFonts w:ascii="Arial" w:hAnsi="Arial"/>
                <w:b w:val="0"/>
                <w:bCs w:val="0"/>
                <w:noProof/>
                <w:sz w:val="20"/>
                <w:lang w:val="pt-PT"/>
              </w:rPr>
              <w:t>Substituição</w:t>
            </w:r>
          </w:p>
        </w:tc>
        <w:tc>
          <w:tcPr>
            <w:tcW w:w="1146" w:type="dxa"/>
          </w:tcPr>
          <w:p w:rsidR="00C13636" w:rsidRPr="004E33A5" w:rsidRDefault="00C13636" w:rsidP="003C3B27">
            <w:pPr>
              <w:tabs>
                <w:tab w:val="left" w:pos="284"/>
              </w:tabs>
              <w:jc w:val="center"/>
              <w:rPr>
                <w:rFonts w:ascii="Arial" w:eastAsia="MS Mincho" w:hAnsi="Arial" w:cs="Arial"/>
                <w:b/>
                <w:noProof/>
                <w:snapToGrid w:val="0"/>
                <w:sz w:val="20"/>
                <w:szCs w:val="20"/>
                <w:lang w:val="pt-PT"/>
              </w:rPr>
            </w:pPr>
          </w:p>
          <w:p w:rsidR="00C13636" w:rsidRPr="004E33A5" w:rsidRDefault="00C13636" w:rsidP="003C3B27">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+ 6%</w:t>
            </w:r>
          </w:p>
          <w:p w:rsidR="00C13636" w:rsidRPr="004E33A5" w:rsidRDefault="00C13636" w:rsidP="003C3B27">
            <w:pPr>
              <w:tabs>
                <w:tab w:val="left" w:pos="284"/>
              </w:tabs>
              <w:jc w:val="center"/>
              <w:rPr>
                <w:rFonts w:ascii="Arial" w:eastAsia="MS Mincho" w:hAnsi="Arial" w:cs="Arial"/>
                <w:b/>
                <w:noProof/>
                <w:snapToGrid w:val="0"/>
                <w:sz w:val="20"/>
                <w:szCs w:val="20"/>
                <w:lang w:val="pt-PT"/>
              </w:rPr>
            </w:pPr>
          </w:p>
          <w:p w:rsidR="00C13636" w:rsidRPr="004E33A5" w:rsidRDefault="00C13636" w:rsidP="003C3B27">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+ 10%</w:t>
            </w:r>
          </w:p>
          <w:p w:rsidR="00C13636" w:rsidRPr="004E33A5" w:rsidRDefault="00C13636" w:rsidP="003C3B27">
            <w:pPr>
              <w:tabs>
                <w:tab w:val="left" w:pos="284"/>
              </w:tabs>
              <w:spacing w:line="270" w:lineRule="atLeast"/>
              <w:jc w:val="center"/>
              <w:rPr>
                <w:rFonts w:ascii="Arial" w:eastAsia="MS Mincho" w:hAnsi="Arial" w:cs="Arial"/>
                <w:b/>
                <w:noProof/>
                <w:snapToGrid w:val="0"/>
                <w:sz w:val="20"/>
                <w:szCs w:val="20"/>
                <w:lang w:val="pt-PT"/>
              </w:rPr>
            </w:pPr>
          </w:p>
        </w:tc>
        <w:tc>
          <w:tcPr>
            <w:tcW w:w="1146" w:type="dxa"/>
          </w:tcPr>
          <w:p w:rsidR="00C13636" w:rsidRPr="004E33A5" w:rsidRDefault="00C13636" w:rsidP="003C3B27">
            <w:pPr>
              <w:tabs>
                <w:tab w:val="left" w:pos="284"/>
              </w:tabs>
              <w:jc w:val="center"/>
              <w:rPr>
                <w:rFonts w:ascii="Arial" w:eastAsia="MS Mincho" w:hAnsi="Arial" w:cs="Arial"/>
                <w:b/>
                <w:noProof/>
                <w:snapToGrid w:val="0"/>
                <w:sz w:val="20"/>
                <w:szCs w:val="20"/>
                <w:lang w:val="pt-PT"/>
              </w:rPr>
            </w:pPr>
          </w:p>
          <w:p w:rsidR="00C13636" w:rsidRPr="004E33A5" w:rsidRDefault="00C13636" w:rsidP="003C3B27">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+ 8%</w:t>
            </w:r>
          </w:p>
          <w:p w:rsidR="00C13636" w:rsidRPr="004E33A5" w:rsidRDefault="00C13636" w:rsidP="003C3B27">
            <w:pPr>
              <w:tabs>
                <w:tab w:val="left" w:pos="284"/>
              </w:tabs>
              <w:jc w:val="center"/>
              <w:rPr>
                <w:rFonts w:ascii="Arial" w:eastAsia="MS Mincho" w:hAnsi="Arial" w:cs="Arial"/>
                <w:b/>
                <w:noProof/>
                <w:snapToGrid w:val="0"/>
                <w:sz w:val="20"/>
                <w:szCs w:val="20"/>
                <w:lang w:val="pt-PT"/>
              </w:rPr>
            </w:pPr>
          </w:p>
          <w:p w:rsidR="00C13636" w:rsidRPr="004E33A5" w:rsidRDefault="00C13636" w:rsidP="003C3B27">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+ 14%</w:t>
            </w:r>
          </w:p>
          <w:p w:rsidR="00C13636" w:rsidRPr="004E33A5" w:rsidRDefault="00C13636" w:rsidP="003C3B27">
            <w:pPr>
              <w:tabs>
                <w:tab w:val="left" w:pos="284"/>
              </w:tabs>
              <w:jc w:val="center"/>
              <w:rPr>
                <w:rFonts w:ascii="Arial" w:eastAsia="MS Mincho" w:hAnsi="Arial" w:cs="Arial"/>
                <w:b/>
                <w:noProof/>
                <w:snapToGrid w:val="0"/>
                <w:sz w:val="20"/>
                <w:szCs w:val="20"/>
                <w:lang w:val="pt-PT"/>
              </w:rPr>
            </w:pPr>
          </w:p>
        </w:tc>
        <w:tc>
          <w:tcPr>
            <w:tcW w:w="978" w:type="dxa"/>
          </w:tcPr>
          <w:p w:rsidR="00C13636" w:rsidRPr="004E33A5" w:rsidRDefault="00C13636" w:rsidP="003C3B27">
            <w:pPr>
              <w:tabs>
                <w:tab w:val="left" w:pos="284"/>
              </w:tabs>
              <w:jc w:val="center"/>
              <w:rPr>
                <w:rFonts w:ascii="Arial" w:eastAsia="MS Mincho" w:hAnsi="Arial" w:cs="Arial"/>
                <w:b/>
                <w:noProof/>
                <w:snapToGrid w:val="0"/>
                <w:sz w:val="20"/>
                <w:szCs w:val="20"/>
                <w:lang w:val="pt-PT"/>
              </w:rPr>
            </w:pPr>
          </w:p>
          <w:p w:rsidR="00C13636" w:rsidRPr="004E33A5" w:rsidRDefault="00C13636" w:rsidP="003C3B27">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+ 3%</w:t>
            </w:r>
          </w:p>
          <w:p w:rsidR="00C13636" w:rsidRPr="004E33A5" w:rsidRDefault="00C13636" w:rsidP="003C3B27">
            <w:pPr>
              <w:tabs>
                <w:tab w:val="left" w:pos="284"/>
              </w:tabs>
              <w:jc w:val="center"/>
              <w:rPr>
                <w:rFonts w:ascii="Arial" w:eastAsia="MS Mincho" w:hAnsi="Arial" w:cs="Arial"/>
                <w:b/>
                <w:noProof/>
                <w:snapToGrid w:val="0"/>
                <w:sz w:val="20"/>
                <w:szCs w:val="20"/>
                <w:lang w:val="pt-PT"/>
              </w:rPr>
            </w:pPr>
          </w:p>
          <w:p w:rsidR="00C13636" w:rsidRPr="004E33A5" w:rsidRDefault="00C13636" w:rsidP="003C3B27">
            <w:pPr>
              <w:tabs>
                <w:tab w:val="left" w:pos="284"/>
              </w:tabs>
              <w:spacing w:line="270" w:lineRule="atLeast"/>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+ 3%</w:t>
            </w:r>
          </w:p>
        </w:tc>
        <w:tc>
          <w:tcPr>
            <w:tcW w:w="1142" w:type="dxa"/>
          </w:tcPr>
          <w:p w:rsidR="00C13636" w:rsidRPr="004E33A5" w:rsidRDefault="00C13636" w:rsidP="003C3B27">
            <w:pPr>
              <w:tabs>
                <w:tab w:val="left" w:pos="284"/>
              </w:tabs>
              <w:jc w:val="center"/>
              <w:rPr>
                <w:rFonts w:ascii="Arial" w:eastAsia="MS Mincho" w:hAnsi="Arial" w:cs="Arial"/>
                <w:b/>
                <w:noProof/>
                <w:snapToGrid w:val="0"/>
                <w:sz w:val="20"/>
                <w:szCs w:val="20"/>
                <w:lang w:val="pt-PT"/>
              </w:rPr>
            </w:pPr>
          </w:p>
          <w:p w:rsidR="00C13636" w:rsidRPr="004E33A5" w:rsidRDefault="00C13636" w:rsidP="003C3B27">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+ 9%</w:t>
            </w:r>
          </w:p>
          <w:p w:rsidR="00C13636" w:rsidRPr="004E33A5" w:rsidRDefault="00C13636" w:rsidP="003C3B27">
            <w:pPr>
              <w:tabs>
                <w:tab w:val="left" w:pos="284"/>
              </w:tabs>
              <w:jc w:val="center"/>
              <w:rPr>
                <w:rFonts w:ascii="Arial" w:eastAsia="MS Mincho" w:hAnsi="Arial" w:cs="Arial"/>
                <w:b/>
                <w:noProof/>
                <w:snapToGrid w:val="0"/>
                <w:sz w:val="20"/>
                <w:szCs w:val="20"/>
                <w:lang w:val="pt-PT"/>
              </w:rPr>
            </w:pPr>
          </w:p>
          <w:p w:rsidR="00C13636" w:rsidRPr="004E33A5" w:rsidRDefault="00C13636" w:rsidP="003C3B27">
            <w:pPr>
              <w:tabs>
                <w:tab w:val="left" w:pos="284"/>
              </w:tabs>
              <w:spacing w:line="270" w:lineRule="atLeast"/>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+ 1%</w:t>
            </w:r>
          </w:p>
        </w:tc>
        <w:tc>
          <w:tcPr>
            <w:tcW w:w="1136" w:type="dxa"/>
          </w:tcPr>
          <w:p w:rsidR="00C13636" w:rsidRPr="004E33A5" w:rsidRDefault="00C13636" w:rsidP="003C3B27">
            <w:pPr>
              <w:tabs>
                <w:tab w:val="left" w:pos="284"/>
              </w:tabs>
              <w:jc w:val="center"/>
              <w:rPr>
                <w:rFonts w:ascii="Arial" w:eastAsia="MS Mincho" w:hAnsi="Arial" w:cs="Arial"/>
                <w:b/>
                <w:noProof/>
                <w:snapToGrid w:val="0"/>
                <w:sz w:val="20"/>
                <w:szCs w:val="20"/>
                <w:lang w:val="pt-PT"/>
              </w:rPr>
            </w:pPr>
          </w:p>
          <w:p w:rsidR="00C13636" w:rsidRPr="004E33A5" w:rsidRDefault="00C13636" w:rsidP="003C3B27">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- 25%</w:t>
            </w:r>
          </w:p>
          <w:p w:rsidR="00C13636" w:rsidRPr="004E33A5" w:rsidRDefault="00C13636" w:rsidP="003C3B27">
            <w:pPr>
              <w:tabs>
                <w:tab w:val="left" w:pos="284"/>
              </w:tabs>
              <w:jc w:val="center"/>
              <w:rPr>
                <w:rFonts w:ascii="Arial" w:eastAsia="MS Mincho" w:hAnsi="Arial" w:cs="Arial"/>
                <w:b/>
                <w:noProof/>
                <w:snapToGrid w:val="0"/>
                <w:sz w:val="20"/>
                <w:szCs w:val="20"/>
                <w:lang w:val="pt-PT"/>
              </w:rPr>
            </w:pPr>
          </w:p>
          <w:p w:rsidR="00C13636" w:rsidRPr="004E33A5" w:rsidRDefault="00C13636" w:rsidP="003C3B27">
            <w:pPr>
              <w:tabs>
                <w:tab w:val="left" w:pos="284"/>
              </w:tabs>
              <w:spacing w:line="270" w:lineRule="atLeast"/>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- 1%</w:t>
            </w:r>
          </w:p>
        </w:tc>
        <w:tc>
          <w:tcPr>
            <w:tcW w:w="1551" w:type="dxa"/>
          </w:tcPr>
          <w:p w:rsidR="00C13636" w:rsidRPr="004E33A5" w:rsidRDefault="00C13636" w:rsidP="003C3B27">
            <w:pPr>
              <w:tabs>
                <w:tab w:val="left" w:pos="284"/>
              </w:tabs>
              <w:jc w:val="center"/>
              <w:rPr>
                <w:rFonts w:ascii="Arial" w:eastAsia="MS Mincho" w:hAnsi="Arial" w:cs="Arial"/>
                <w:b/>
                <w:noProof/>
                <w:snapToGrid w:val="0"/>
                <w:sz w:val="20"/>
                <w:szCs w:val="20"/>
                <w:lang w:val="pt-PT"/>
              </w:rPr>
            </w:pPr>
          </w:p>
          <w:p w:rsidR="00C13636" w:rsidRPr="004E33A5" w:rsidRDefault="00C13636" w:rsidP="003C3B27">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+ 15%</w:t>
            </w:r>
          </w:p>
          <w:p w:rsidR="00C13636" w:rsidRPr="004E33A5" w:rsidRDefault="00C13636" w:rsidP="003C3B27">
            <w:pPr>
              <w:tabs>
                <w:tab w:val="left" w:pos="284"/>
              </w:tabs>
              <w:jc w:val="center"/>
              <w:rPr>
                <w:rFonts w:ascii="Arial" w:eastAsia="MS Mincho" w:hAnsi="Arial" w:cs="Arial"/>
                <w:b/>
                <w:noProof/>
                <w:snapToGrid w:val="0"/>
                <w:sz w:val="20"/>
                <w:szCs w:val="20"/>
                <w:lang w:val="pt-PT"/>
              </w:rPr>
            </w:pPr>
          </w:p>
          <w:p w:rsidR="00C13636" w:rsidRPr="004E33A5" w:rsidRDefault="00C13636" w:rsidP="003C3B27">
            <w:pPr>
              <w:tabs>
                <w:tab w:val="left" w:pos="284"/>
              </w:tabs>
              <w:spacing w:line="270" w:lineRule="atLeast"/>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+ 5%</w:t>
            </w:r>
          </w:p>
        </w:tc>
        <w:tc>
          <w:tcPr>
            <w:tcW w:w="1002" w:type="dxa"/>
          </w:tcPr>
          <w:p w:rsidR="00C13636" w:rsidRPr="004E33A5" w:rsidRDefault="00C13636" w:rsidP="003C3B27">
            <w:pPr>
              <w:tabs>
                <w:tab w:val="left" w:pos="1168"/>
              </w:tabs>
              <w:ind w:right="-108"/>
              <w:jc w:val="center"/>
              <w:rPr>
                <w:rFonts w:ascii="Arial" w:eastAsia="MS Mincho" w:hAnsi="Arial" w:cs="Arial"/>
                <w:b/>
                <w:noProof/>
                <w:snapToGrid w:val="0"/>
                <w:sz w:val="20"/>
                <w:szCs w:val="20"/>
                <w:lang w:val="pt-PT"/>
              </w:rPr>
            </w:pPr>
          </w:p>
          <w:p w:rsidR="00C13636" w:rsidRPr="004E33A5" w:rsidRDefault="00C13636" w:rsidP="003C3B27">
            <w:pPr>
              <w:tabs>
                <w:tab w:val="left" w:pos="1168"/>
              </w:tabs>
              <w:ind w:right="-108"/>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+ 6%</w:t>
            </w:r>
          </w:p>
          <w:p w:rsidR="00C13636" w:rsidRPr="004E33A5" w:rsidRDefault="00C13636" w:rsidP="003C3B27">
            <w:pPr>
              <w:tabs>
                <w:tab w:val="left" w:pos="1168"/>
              </w:tabs>
              <w:ind w:right="-108"/>
              <w:jc w:val="center"/>
              <w:rPr>
                <w:rFonts w:ascii="Arial" w:eastAsia="MS Mincho" w:hAnsi="Arial" w:cs="Arial"/>
                <w:b/>
                <w:noProof/>
                <w:snapToGrid w:val="0"/>
                <w:sz w:val="20"/>
                <w:szCs w:val="20"/>
                <w:lang w:val="pt-PT"/>
              </w:rPr>
            </w:pPr>
          </w:p>
          <w:p w:rsidR="00C13636" w:rsidRPr="004E33A5" w:rsidRDefault="00C13636" w:rsidP="003C3B27">
            <w:pPr>
              <w:tabs>
                <w:tab w:val="left" w:pos="1168"/>
              </w:tabs>
              <w:spacing w:line="270" w:lineRule="atLeast"/>
              <w:ind w:right="-108"/>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+ 4%</w:t>
            </w:r>
          </w:p>
        </w:tc>
      </w:tr>
    </w:tbl>
    <w:p w:rsidR="00700DFB" w:rsidRPr="004E33A5" w:rsidRDefault="00700DFB">
      <w:pPr>
        <w:pStyle w:val="Cuerpo"/>
        <w:widowControl w:val="0"/>
        <w:ind w:left="284"/>
        <w:jc w:val="both"/>
        <w:rPr>
          <w:rFonts w:ascii="Arial" w:eastAsia="Arial" w:hAnsi="Arial" w:cs="Arial"/>
          <w:noProof/>
          <w:lang w:val="pt-PT"/>
        </w:rPr>
      </w:pPr>
    </w:p>
    <w:p w:rsidR="00700DFB" w:rsidRPr="004E33A5" w:rsidRDefault="009F7ED2" w:rsidP="00BD06E7">
      <w:pPr>
        <w:pStyle w:val="Cuerpo"/>
        <w:numPr>
          <w:ilvl w:val="0"/>
          <w:numId w:val="4"/>
        </w:numPr>
        <w:tabs>
          <w:tab w:val="clear" w:pos="360"/>
          <w:tab w:val="num" w:pos="411"/>
        </w:tabs>
        <w:spacing w:before="480" w:after="240" w:line="270" w:lineRule="atLeast"/>
        <w:ind w:left="411" w:hanging="411"/>
        <w:jc w:val="both"/>
        <w:rPr>
          <w:rFonts w:ascii="Arial" w:eastAsia="Arial" w:hAnsi="Arial" w:cs="Arial"/>
          <w:b/>
          <w:bCs/>
          <w:noProof/>
          <w:lang w:val="pt-PT"/>
        </w:rPr>
      </w:pPr>
      <w:r w:rsidRPr="004E33A5">
        <w:rPr>
          <w:rFonts w:ascii="Arial"/>
          <w:b/>
          <w:bCs/>
          <w:noProof/>
          <w:sz w:val="21"/>
          <w:szCs w:val="21"/>
          <w:lang w:val="pt-PT"/>
        </w:rPr>
        <w:t>Primeiros Equipamentos</w:t>
      </w:r>
    </w:p>
    <w:p w:rsidR="00AB465B" w:rsidRPr="004E33A5" w:rsidRDefault="00AB465B" w:rsidP="00BD06E7">
      <w:pPr>
        <w:pStyle w:val="TextoMichelin"/>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993" w:hanging="426"/>
        <w:rPr>
          <w:rFonts w:eastAsia="Times" w:hAnsi="Arial"/>
          <w:noProof/>
          <w:bdr w:val="none" w:sz="0" w:space="0" w:color="auto"/>
          <w:lang w:val="pt-PT"/>
        </w:rPr>
      </w:pPr>
      <w:r w:rsidRPr="004E33A5">
        <w:rPr>
          <w:rFonts w:eastAsia="Times" w:hAnsi="Arial"/>
          <w:noProof/>
          <w:bdr w:val="none" w:sz="0" w:space="0" w:color="auto"/>
          <w:lang w:val="pt-PT"/>
        </w:rPr>
        <w:t>Na Europa a procura cresceu globalmente 4%, combinando um forte aumento de 7% na Europa Ocidental e um retrocesso de 24% (- 25% no quarto trimestre) na Europa do Leste num difícil contexto económico.</w:t>
      </w:r>
    </w:p>
    <w:p w:rsidR="00BF49F0" w:rsidRPr="004E33A5" w:rsidRDefault="00BF49F0" w:rsidP="00BD06E7">
      <w:pPr>
        <w:pStyle w:val="TextoMichelin"/>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993" w:hanging="426"/>
        <w:rPr>
          <w:rFonts w:eastAsia="Times" w:hAnsi="Arial"/>
          <w:noProof/>
          <w:bdr w:val="none" w:sz="0" w:space="0" w:color="auto"/>
          <w:lang w:val="pt-PT"/>
        </w:rPr>
      </w:pPr>
      <w:r w:rsidRPr="004E33A5">
        <w:rPr>
          <w:rFonts w:eastAsia="Times" w:hAnsi="Arial"/>
          <w:noProof/>
          <w:bdr w:val="none" w:sz="0" w:space="0" w:color="auto"/>
          <w:lang w:val="pt-PT"/>
        </w:rPr>
        <w:t xml:space="preserve">Na América do Norte o mercado progride 4% no ano, sustentado pela procura de veículos, pelo baixo preço dos combustíveis e uma conjuntura económica favorável. </w:t>
      </w:r>
    </w:p>
    <w:p w:rsidR="00092DA3" w:rsidRPr="004E33A5" w:rsidRDefault="001675EE" w:rsidP="00BD06E7">
      <w:pPr>
        <w:pStyle w:val="TextoMichelin"/>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993" w:hanging="426"/>
        <w:rPr>
          <w:rFonts w:eastAsia="Times" w:hAnsi="Arial" w:cs="Times New Roman"/>
          <w:noProof/>
          <w:color w:val="auto"/>
          <w:szCs w:val="24"/>
          <w:bdr w:val="none" w:sz="0" w:space="0" w:color="auto"/>
          <w:lang w:val="pt-PT"/>
        </w:rPr>
      </w:pPr>
      <w:r w:rsidRPr="004E33A5">
        <w:rPr>
          <w:rFonts w:eastAsia="Times" w:hAnsi="Arial"/>
          <w:noProof/>
          <w:bdr w:val="none" w:sz="0" w:space="0" w:color="auto"/>
          <w:lang w:val="pt-PT"/>
        </w:rPr>
        <w:t xml:space="preserve">Na Ásia (sem incluir a Índia), a procura teve um crescimento global de 1% até finais de dezembro. Na China, o mercado continua em crescimento anual (+ 5%), inferior ao 9% de 2014, graças à subida das vendas de pequenos veículos sustentadas pelas ajudas governamentais e pelo sucesso dos modelos SUV. O resto dos mercados da zona, dependentes das exportações mundiais, cai </w:t>
      </w:r>
      <w:r w:rsidRPr="004E33A5">
        <w:rPr>
          <w:rFonts w:eastAsia="Times" w:hAnsi="Arial"/>
          <w:noProof/>
          <w:color w:val="auto"/>
          <w:szCs w:val="24"/>
          <w:bdr w:val="none" w:sz="0" w:space="0" w:color="auto"/>
          <w:lang w:val="pt-PT"/>
        </w:rPr>
        <w:t xml:space="preserve">5%. </w:t>
      </w:r>
    </w:p>
    <w:p w:rsidR="00700DFB" w:rsidRPr="004E33A5" w:rsidRDefault="009F7ED2" w:rsidP="00BD06E7">
      <w:pPr>
        <w:pStyle w:val="TextoMichelin"/>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993" w:hanging="426"/>
        <w:rPr>
          <w:rFonts w:eastAsia="Times" w:hAnsi="Arial" w:cs="Times New Roman"/>
          <w:noProof/>
          <w:color w:val="auto"/>
          <w:szCs w:val="24"/>
          <w:bdr w:val="none" w:sz="0" w:space="0" w:color="auto"/>
          <w:lang w:val="pt-PT"/>
        </w:rPr>
      </w:pPr>
      <w:r w:rsidRPr="004E33A5">
        <w:rPr>
          <w:rFonts w:eastAsia="Times" w:hAnsi="Arial" w:cs="Times New Roman"/>
          <w:noProof/>
          <w:color w:val="auto"/>
          <w:szCs w:val="24"/>
          <w:bdr w:val="none" w:sz="0" w:space="0" w:color="auto"/>
          <w:lang w:val="pt-PT"/>
        </w:rPr>
        <w:t>Na América do Sul a procura desce 19% em linha com o retrocesso da produção de automóveis, num contexto económico de crise no Brasil e na Argentina.</w:t>
      </w:r>
    </w:p>
    <w:p w:rsidR="003B4039" w:rsidRPr="004E33A5" w:rsidRDefault="003B4039" w:rsidP="003B4039">
      <w:pPr>
        <w:pStyle w:val="TextoMichelin"/>
        <w:pBdr>
          <w:top w:val="none" w:sz="0" w:space="0" w:color="auto"/>
          <w:left w:val="none" w:sz="0" w:space="0" w:color="auto"/>
          <w:bottom w:val="none" w:sz="0" w:space="0" w:color="auto"/>
          <w:right w:val="none" w:sz="0" w:space="0" w:color="auto"/>
          <w:between w:val="none" w:sz="0" w:space="0" w:color="auto"/>
          <w:bar w:val="none" w:sz="0" w:color="auto"/>
        </w:pBdr>
        <w:rPr>
          <w:rFonts w:eastAsia="Times" w:hAnsi="Arial" w:cs="Times New Roman"/>
          <w:noProof/>
          <w:color w:val="auto"/>
          <w:szCs w:val="24"/>
          <w:bdr w:val="none" w:sz="0" w:space="0" w:color="auto"/>
          <w:lang w:val="pt-PT"/>
        </w:rPr>
      </w:pPr>
    </w:p>
    <w:p w:rsidR="00700DFB" w:rsidRPr="004E33A5" w:rsidRDefault="009F7ED2" w:rsidP="00BD06E7">
      <w:pPr>
        <w:pStyle w:val="Cuerpo"/>
        <w:numPr>
          <w:ilvl w:val="0"/>
          <w:numId w:val="5"/>
        </w:numPr>
        <w:tabs>
          <w:tab w:val="clear" w:pos="360"/>
          <w:tab w:val="num" w:pos="411"/>
        </w:tabs>
        <w:spacing w:before="480" w:after="240" w:line="270" w:lineRule="atLeast"/>
        <w:ind w:left="411" w:hanging="411"/>
        <w:jc w:val="both"/>
        <w:rPr>
          <w:rFonts w:ascii="Arial" w:eastAsia="Arial" w:hAnsi="Arial" w:cs="Arial"/>
          <w:b/>
          <w:bCs/>
          <w:noProof/>
          <w:lang w:val="pt-PT"/>
        </w:rPr>
      </w:pPr>
      <w:r w:rsidRPr="004E33A5">
        <w:rPr>
          <w:rFonts w:ascii="Arial"/>
          <w:b/>
          <w:bCs/>
          <w:noProof/>
          <w:sz w:val="21"/>
          <w:szCs w:val="21"/>
          <w:lang w:val="pt-PT"/>
        </w:rPr>
        <w:t>Substitui</w:t>
      </w:r>
      <w:r w:rsidRPr="004E33A5">
        <w:rPr>
          <w:rFonts w:ascii="Arial" w:hAnsi="Arial" w:cs="Arial"/>
          <w:b/>
          <w:bCs/>
          <w:noProof/>
          <w:sz w:val="21"/>
          <w:szCs w:val="21"/>
          <w:lang w:val="pt-PT"/>
        </w:rPr>
        <w:t>çã</w:t>
      </w:r>
      <w:r w:rsidRPr="004E33A5">
        <w:rPr>
          <w:rFonts w:ascii="Arial"/>
          <w:b/>
          <w:bCs/>
          <w:noProof/>
          <w:sz w:val="21"/>
          <w:szCs w:val="21"/>
          <w:lang w:val="pt-PT"/>
        </w:rPr>
        <w:t>o</w:t>
      </w:r>
    </w:p>
    <w:p w:rsidR="00651B65" w:rsidRPr="004E33A5" w:rsidRDefault="009F7ED2" w:rsidP="00606747">
      <w:pPr>
        <w:pStyle w:val="TextoMichelin"/>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993" w:hanging="426"/>
        <w:rPr>
          <w:rFonts w:eastAsia="Times" w:hAnsi="Arial"/>
          <w:noProof/>
          <w:bdr w:val="none" w:sz="0" w:space="0" w:color="auto"/>
          <w:lang w:val="pt-PT"/>
        </w:rPr>
      </w:pPr>
      <w:r w:rsidRPr="004E33A5">
        <w:rPr>
          <w:rFonts w:eastAsia="Times" w:hAnsi="Arial"/>
          <w:noProof/>
          <w:bdr w:val="none" w:sz="0" w:space="0" w:color="auto"/>
          <w:lang w:val="pt-PT"/>
        </w:rPr>
        <w:t>Na Europa, o mercado cresce globalmente 3% até finais de dezembro. A procura na Europa Ocidental aumenta 6% e reflete o dinamismo do segmento de pneus de verão, a procura sustentada de pneus de gama básica, assim como os volumes das exportações dos distribuidores fora da zona euro. As vendas sell in em pneus de inverno caem 1%. Na Europa do Leste, num contexto económico sempre difícil, a procura continua a descer (- 7%).</w:t>
      </w:r>
    </w:p>
    <w:p w:rsidR="00452D30" w:rsidRPr="004E33A5" w:rsidRDefault="009F7ED2" w:rsidP="00BD06E7">
      <w:pPr>
        <w:pStyle w:val="TextoMichelin"/>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993" w:hanging="426"/>
        <w:rPr>
          <w:rFonts w:eastAsia="Times" w:hAnsi="Arial"/>
          <w:noProof/>
          <w:bdr w:val="none" w:sz="0" w:space="0" w:color="auto"/>
          <w:lang w:val="pt-PT"/>
        </w:rPr>
      </w:pPr>
      <w:r w:rsidRPr="004E33A5">
        <w:rPr>
          <w:rFonts w:eastAsia="Times" w:hAnsi="Arial"/>
          <w:noProof/>
          <w:bdr w:val="none" w:sz="0" w:space="0" w:color="auto"/>
          <w:lang w:val="pt-PT"/>
        </w:rPr>
        <w:t>Na América do Norte a procura, com um aumento de 1% no conjunto da zona, é praticamente estável nos Estados Unidos e no Canadá, enquanto o mercado mexicano progride bastante. As vendas de pneus dos grupos membros da Associação de Fabricantes progridem 5%, num contexto favorável de custos de combustíveis e de distâncias percorridas, enquanto os pneus de importação descem 14% com a liquidação dos excedentes dos stocks que a distribuição tinha acumulado antes da entrada em vigor dos impostos aos pneus chineses.</w:t>
      </w:r>
    </w:p>
    <w:p w:rsidR="008974D6" w:rsidRPr="004E33A5" w:rsidRDefault="009F7ED2" w:rsidP="00BD06E7">
      <w:pPr>
        <w:pStyle w:val="TextoMichelin"/>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993" w:hanging="426"/>
        <w:rPr>
          <w:rFonts w:eastAsia="Times" w:hAnsi="Arial"/>
          <w:noProof/>
          <w:bdr w:val="none" w:sz="0" w:space="0" w:color="auto"/>
          <w:lang w:val="pt-PT"/>
        </w:rPr>
      </w:pPr>
      <w:r w:rsidRPr="004E33A5">
        <w:rPr>
          <w:rFonts w:eastAsia="Times" w:hAnsi="Arial"/>
          <w:noProof/>
          <w:bdr w:val="none" w:sz="0" w:space="0" w:color="auto"/>
          <w:lang w:val="pt-PT"/>
        </w:rPr>
        <w:t xml:space="preserve">Na Ásia (sem incluir a Índia), os mercados progridem 4%, animados por um mercado chinês sempre dinâmico (+ 8%). A evolução no resto da zona continua fraca (- 1%) com um mercado japonês em queda de 4% e os mercados da Indonésia e Tailândia bem orientados. </w:t>
      </w:r>
    </w:p>
    <w:p w:rsidR="006C6F6C" w:rsidRPr="004E33A5" w:rsidRDefault="009F7ED2" w:rsidP="00BD06E7">
      <w:pPr>
        <w:pStyle w:val="TextoMichelin"/>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993" w:hanging="426"/>
        <w:rPr>
          <w:rFonts w:eastAsia="Times" w:hAnsi="Arial"/>
          <w:noProof/>
          <w:bdr w:val="none" w:sz="0" w:space="0" w:color="auto"/>
          <w:lang w:val="pt-PT"/>
        </w:rPr>
      </w:pPr>
      <w:r w:rsidRPr="004E33A5">
        <w:rPr>
          <w:rFonts w:eastAsia="Times" w:hAnsi="Arial"/>
          <w:noProof/>
          <w:bdr w:val="none" w:sz="0" w:space="0" w:color="auto"/>
          <w:lang w:val="pt-PT"/>
        </w:rPr>
        <w:t>Na América do sul, a procura aumenta 1%, num contexto económico e político heterogéneo. O mercado brasileiro aumenta 3% com uma queda das importações, os mercados da costa pacífica estão bem orientados e a procura diminui na Argentina e Venezuela.</w:t>
      </w:r>
    </w:p>
    <w:p w:rsidR="00047721" w:rsidRPr="004E33A5" w:rsidRDefault="003B4039" w:rsidP="00047721">
      <w:pPr>
        <w:pStyle w:val="TextoMichelin"/>
        <w:spacing w:after="0"/>
        <w:rPr>
          <w:rFonts w:eastAsia="Times" w:hAnsi="Arial" w:cs="Arial"/>
          <w:noProof/>
          <w:sz w:val="26"/>
          <w:szCs w:val="26"/>
          <w:bdr w:val="none" w:sz="0" w:space="0" w:color="auto"/>
          <w:lang w:val="pt-PT"/>
        </w:rPr>
      </w:pPr>
      <w:r w:rsidRPr="004E33A5">
        <w:rPr>
          <w:rFonts w:hAnsi="Arial" w:cs="Arial"/>
          <w:noProof/>
          <w:sz w:val="26"/>
          <w:szCs w:val="26"/>
          <w:lang w:val="pt-PT"/>
        </w:rPr>
        <w:br w:type="column"/>
      </w:r>
      <w:r w:rsidRPr="004E33A5">
        <w:rPr>
          <w:rFonts w:hAnsi="Arial" w:cs="Arial"/>
          <w:b/>
          <w:bCs/>
          <w:noProof/>
          <w:sz w:val="26"/>
          <w:szCs w:val="26"/>
          <w:lang w:val="pt-PT"/>
        </w:rPr>
        <w:t>Camião</w:t>
      </w:r>
    </w:p>
    <w:tbl>
      <w:tblPr>
        <w:tblpPr w:leftFromText="141" w:rightFromText="141" w:vertAnchor="text" w:horzAnchor="page" w:tblpX="1090" w:tblpY="45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134"/>
        <w:gridCol w:w="1134"/>
        <w:gridCol w:w="992"/>
        <w:gridCol w:w="1134"/>
        <w:gridCol w:w="1134"/>
        <w:gridCol w:w="1559"/>
        <w:gridCol w:w="992"/>
      </w:tblGrid>
      <w:tr w:rsidR="00047721" w:rsidRPr="004E33A5" w:rsidTr="00047721">
        <w:trPr>
          <w:trHeight w:val="890"/>
        </w:trPr>
        <w:tc>
          <w:tcPr>
            <w:tcW w:w="2235" w:type="dxa"/>
            <w:shd w:val="clear" w:color="auto" w:fill="E6E6E6"/>
          </w:tcPr>
          <w:p w:rsidR="00047721" w:rsidRPr="004E33A5" w:rsidRDefault="00047721" w:rsidP="00047721">
            <w:pPr>
              <w:pStyle w:val="LadilloMichelinDossier"/>
              <w:spacing w:before="0" w:after="0"/>
              <w:rPr>
                <w:b w:val="0"/>
                <w:bCs w:val="0"/>
                <w:noProof/>
                <w:sz w:val="20"/>
                <w:lang w:val="pt-PT"/>
              </w:rPr>
            </w:pPr>
            <w:r w:rsidRPr="004E33A5">
              <w:rPr>
                <w:rFonts w:ascii="Arial" w:hAnsi="Arial"/>
                <w:b w:val="0"/>
                <w:bCs w:val="0"/>
                <w:noProof/>
                <w:sz w:val="20"/>
                <w:lang w:val="pt-PT"/>
              </w:rPr>
              <w:t>2015/2014</w:t>
            </w:r>
            <w:r w:rsidRPr="004E33A5">
              <w:rPr>
                <w:rFonts w:ascii="Arial" w:hAnsi="Arial"/>
                <w:b w:val="0"/>
                <w:bCs w:val="0"/>
                <w:noProof/>
                <w:sz w:val="20"/>
                <w:lang w:val="pt-PT"/>
              </w:rPr>
              <w:br/>
            </w:r>
            <w:r w:rsidRPr="004E33A5">
              <w:rPr>
                <w:rFonts w:ascii="Arial" w:hAnsi="Arial"/>
                <w:b w:val="0"/>
                <w:bCs w:val="0"/>
                <w:noProof/>
                <w:sz w:val="18"/>
                <w:lang w:val="pt-PT"/>
              </w:rPr>
              <w:t>(número de pneus)</w:t>
            </w:r>
          </w:p>
        </w:tc>
        <w:tc>
          <w:tcPr>
            <w:tcW w:w="1134" w:type="dxa"/>
            <w:shd w:val="clear" w:color="auto" w:fill="E6E6E6"/>
          </w:tcPr>
          <w:p w:rsidR="00047721" w:rsidRPr="004E33A5" w:rsidRDefault="00047721" w:rsidP="00047721">
            <w:pPr>
              <w:pStyle w:val="LadilloMichelinDossier"/>
              <w:spacing w:before="0" w:after="0"/>
              <w:rPr>
                <w:b w:val="0"/>
                <w:bCs w:val="0"/>
                <w:noProof/>
                <w:sz w:val="20"/>
                <w:lang w:val="pt-PT"/>
              </w:rPr>
            </w:pPr>
            <w:r w:rsidRPr="004E33A5">
              <w:rPr>
                <w:rFonts w:ascii="Arial" w:hAnsi="Arial"/>
                <w:b w:val="0"/>
                <w:bCs w:val="0"/>
                <w:noProof/>
                <w:sz w:val="20"/>
                <w:lang w:val="pt-PT"/>
              </w:rPr>
              <w:t>Europa com Rússia e CEI</w:t>
            </w:r>
            <w:r w:rsidRPr="004E33A5">
              <w:rPr>
                <w:rStyle w:val="Refdenotaalpie"/>
                <w:rFonts w:ascii="Arial" w:hAnsi="Arial"/>
                <w:noProof/>
                <w:sz w:val="32"/>
                <w:vertAlign w:val="baseline"/>
                <w:lang w:val="pt-PT"/>
              </w:rPr>
              <w:sym w:font="Symbol" w:char="F02A"/>
            </w:r>
          </w:p>
        </w:tc>
        <w:tc>
          <w:tcPr>
            <w:tcW w:w="1134" w:type="dxa"/>
            <w:shd w:val="clear" w:color="auto" w:fill="E6E6E6"/>
          </w:tcPr>
          <w:p w:rsidR="00047721" w:rsidRPr="004E33A5" w:rsidRDefault="00047721" w:rsidP="00047721">
            <w:pPr>
              <w:tabs>
                <w:tab w:val="left" w:pos="284"/>
              </w:tabs>
              <w:rPr>
                <w:rFonts w:ascii="Arial" w:eastAsia="Times" w:hAnsi="Arial" w:cs="Times"/>
                <w:noProof/>
                <w:color w:val="000000"/>
                <w:sz w:val="20"/>
                <w:szCs w:val="26"/>
                <w:u w:color="000000"/>
                <w:lang w:val="pt-PT"/>
              </w:rPr>
            </w:pPr>
            <w:r w:rsidRPr="004E33A5">
              <w:rPr>
                <w:rFonts w:ascii="Arial" w:eastAsia="Times" w:hAnsi="Arial" w:cs="Times"/>
                <w:noProof/>
                <w:color w:val="000000"/>
                <w:sz w:val="20"/>
                <w:szCs w:val="26"/>
                <w:u w:color="000000"/>
                <w:lang w:val="pt-PT"/>
              </w:rPr>
              <w:footnoteReference w:customMarkFollows="1" w:id="6"/>
              <w:t>Europa</w:t>
            </w:r>
          </w:p>
          <w:p w:rsidR="00047721" w:rsidRPr="004E33A5" w:rsidRDefault="00047721" w:rsidP="00047721">
            <w:pPr>
              <w:pStyle w:val="LadilloMichelinDossier"/>
              <w:spacing w:before="0" w:after="0"/>
              <w:rPr>
                <w:rFonts w:ascii="Arial" w:hAnsi="Arial"/>
                <w:b w:val="0"/>
                <w:bCs w:val="0"/>
                <w:noProof/>
                <w:sz w:val="20"/>
                <w:lang w:val="pt-PT"/>
              </w:rPr>
            </w:pPr>
            <w:r w:rsidRPr="004E33A5">
              <w:rPr>
                <w:rFonts w:ascii="Arial" w:hAnsi="Arial"/>
                <w:b w:val="0"/>
                <w:bCs w:val="0"/>
                <w:noProof/>
                <w:sz w:val="20"/>
                <w:lang w:val="pt-PT"/>
              </w:rPr>
              <w:t xml:space="preserve">sem a Rússia </w:t>
            </w:r>
            <w:r w:rsidRPr="004E33A5">
              <w:rPr>
                <w:rFonts w:ascii="Arial" w:hAnsi="Arial"/>
                <w:b w:val="0"/>
                <w:bCs w:val="0"/>
                <w:noProof/>
                <w:sz w:val="20"/>
                <w:lang w:val="pt-PT"/>
              </w:rPr>
              <w:br/>
              <w:t>nem CEI*</w:t>
            </w:r>
          </w:p>
        </w:tc>
        <w:tc>
          <w:tcPr>
            <w:tcW w:w="992" w:type="dxa"/>
            <w:shd w:val="clear" w:color="auto" w:fill="E6E6E6"/>
          </w:tcPr>
          <w:p w:rsidR="00047721" w:rsidRPr="004E33A5" w:rsidRDefault="00047721" w:rsidP="00047721">
            <w:pPr>
              <w:pStyle w:val="LadilloMichelinDossier"/>
              <w:spacing w:before="0" w:after="0"/>
              <w:rPr>
                <w:b w:val="0"/>
                <w:bCs w:val="0"/>
                <w:noProof/>
                <w:sz w:val="20"/>
                <w:lang w:val="pt-PT"/>
              </w:rPr>
            </w:pPr>
            <w:r w:rsidRPr="004E33A5">
              <w:rPr>
                <w:rFonts w:ascii="Arial" w:hAnsi="Arial"/>
                <w:b w:val="0"/>
                <w:bCs w:val="0"/>
                <w:noProof/>
                <w:sz w:val="20"/>
                <w:lang w:val="pt-PT"/>
              </w:rPr>
              <w:t xml:space="preserve">América </w:t>
            </w:r>
            <w:r w:rsidRPr="004E33A5">
              <w:rPr>
                <w:rFonts w:ascii="Arial" w:hAnsi="Arial"/>
                <w:b w:val="0"/>
                <w:bCs w:val="0"/>
                <w:noProof/>
                <w:sz w:val="20"/>
                <w:lang w:val="pt-PT"/>
              </w:rPr>
              <w:br/>
              <w:t>do Norte</w:t>
            </w:r>
          </w:p>
        </w:tc>
        <w:tc>
          <w:tcPr>
            <w:tcW w:w="1134" w:type="dxa"/>
            <w:shd w:val="clear" w:color="auto" w:fill="E6E6E6"/>
          </w:tcPr>
          <w:p w:rsidR="00047721" w:rsidRPr="004E33A5" w:rsidRDefault="00047721" w:rsidP="00047721">
            <w:pPr>
              <w:pStyle w:val="LadilloMichelinDossier"/>
              <w:spacing w:before="0" w:after="0"/>
              <w:rPr>
                <w:rFonts w:ascii="Arial" w:hAnsi="Arial"/>
                <w:b w:val="0"/>
                <w:bCs w:val="0"/>
                <w:noProof/>
                <w:sz w:val="20"/>
                <w:lang w:val="pt-PT"/>
              </w:rPr>
            </w:pPr>
            <w:r w:rsidRPr="004E33A5">
              <w:rPr>
                <w:rFonts w:ascii="Arial" w:hAnsi="Arial"/>
                <w:b w:val="0"/>
                <w:bCs w:val="0"/>
                <w:noProof/>
                <w:sz w:val="20"/>
                <w:lang w:val="pt-PT"/>
              </w:rPr>
              <w:t>Ásia</w:t>
            </w:r>
          </w:p>
          <w:p w:rsidR="00047721" w:rsidRPr="004E33A5" w:rsidRDefault="00047721" w:rsidP="00047721">
            <w:pPr>
              <w:pStyle w:val="LadilloMichelinDossier"/>
              <w:spacing w:before="0" w:after="0"/>
              <w:rPr>
                <w:b w:val="0"/>
                <w:bCs w:val="0"/>
                <w:noProof/>
                <w:sz w:val="20"/>
                <w:lang w:val="pt-PT"/>
              </w:rPr>
            </w:pPr>
            <w:r w:rsidRPr="004E33A5">
              <w:rPr>
                <w:rFonts w:ascii="Arial" w:hAnsi="Arial"/>
                <w:b w:val="0"/>
                <w:bCs w:val="0"/>
                <w:noProof/>
                <w:sz w:val="20"/>
                <w:lang w:val="pt-PT"/>
              </w:rPr>
              <w:t>(sem a Índia)</w:t>
            </w:r>
          </w:p>
        </w:tc>
        <w:tc>
          <w:tcPr>
            <w:tcW w:w="1134" w:type="dxa"/>
            <w:shd w:val="clear" w:color="auto" w:fill="E6E6E6"/>
          </w:tcPr>
          <w:p w:rsidR="00047721" w:rsidRPr="004E33A5" w:rsidRDefault="00047721" w:rsidP="00047721">
            <w:pPr>
              <w:pStyle w:val="LadilloMichelinDossier"/>
              <w:spacing w:before="0" w:after="0"/>
              <w:rPr>
                <w:b w:val="0"/>
                <w:bCs w:val="0"/>
                <w:noProof/>
                <w:sz w:val="20"/>
                <w:lang w:val="pt-PT"/>
              </w:rPr>
            </w:pPr>
            <w:r w:rsidRPr="004E33A5">
              <w:rPr>
                <w:rFonts w:ascii="Arial" w:hAnsi="Arial"/>
                <w:b w:val="0"/>
                <w:bCs w:val="0"/>
                <w:noProof/>
                <w:sz w:val="20"/>
                <w:lang w:val="pt-PT"/>
              </w:rPr>
              <w:t xml:space="preserve">América </w:t>
            </w:r>
            <w:r w:rsidRPr="004E33A5">
              <w:rPr>
                <w:rFonts w:ascii="Arial" w:hAnsi="Arial"/>
                <w:b w:val="0"/>
                <w:bCs w:val="0"/>
                <w:noProof/>
                <w:sz w:val="20"/>
                <w:lang w:val="pt-PT"/>
              </w:rPr>
              <w:br/>
              <w:t>do Sul</w:t>
            </w:r>
          </w:p>
        </w:tc>
        <w:tc>
          <w:tcPr>
            <w:tcW w:w="1559" w:type="dxa"/>
            <w:shd w:val="clear" w:color="auto" w:fill="E6E6E6"/>
          </w:tcPr>
          <w:p w:rsidR="00047721" w:rsidRPr="004E33A5" w:rsidRDefault="00047721" w:rsidP="00047721">
            <w:pPr>
              <w:pStyle w:val="LadilloMichelinDossier"/>
              <w:spacing w:before="0" w:after="0"/>
              <w:rPr>
                <w:b w:val="0"/>
                <w:bCs w:val="0"/>
                <w:noProof/>
                <w:sz w:val="20"/>
                <w:lang w:val="pt-PT"/>
              </w:rPr>
            </w:pPr>
            <w:r w:rsidRPr="004E33A5">
              <w:rPr>
                <w:rFonts w:ascii="Arial" w:hAnsi="Arial"/>
                <w:b w:val="0"/>
                <w:bCs w:val="0"/>
                <w:noProof/>
                <w:sz w:val="20"/>
                <w:lang w:val="pt-PT"/>
              </w:rPr>
              <w:t>África/Índia/</w:t>
            </w:r>
            <w:r w:rsidRPr="004E33A5">
              <w:rPr>
                <w:rFonts w:ascii="Arial" w:hAnsi="Arial"/>
                <w:b w:val="0"/>
                <w:bCs w:val="0"/>
                <w:noProof/>
                <w:sz w:val="20"/>
                <w:lang w:val="pt-PT"/>
              </w:rPr>
              <w:br/>
              <w:t>Médio Oriente</w:t>
            </w:r>
          </w:p>
        </w:tc>
        <w:tc>
          <w:tcPr>
            <w:tcW w:w="992" w:type="dxa"/>
            <w:shd w:val="clear" w:color="auto" w:fill="E6E6E6"/>
          </w:tcPr>
          <w:p w:rsidR="00047721" w:rsidRPr="004E33A5" w:rsidRDefault="00047721" w:rsidP="00047721">
            <w:pPr>
              <w:pStyle w:val="LadilloMichelinDossier"/>
              <w:spacing w:before="0" w:after="0"/>
              <w:rPr>
                <w:b w:val="0"/>
                <w:bCs w:val="0"/>
                <w:noProof/>
                <w:sz w:val="20"/>
                <w:lang w:val="pt-PT"/>
              </w:rPr>
            </w:pPr>
            <w:r w:rsidRPr="004E33A5">
              <w:rPr>
                <w:rFonts w:ascii="Arial" w:hAnsi="Arial"/>
                <w:b w:val="0"/>
                <w:bCs w:val="0"/>
                <w:noProof/>
                <w:sz w:val="20"/>
                <w:lang w:val="pt-PT"/>
              </w:rPr>
              <w:t>Total</w:t>
            </w:r>
          </w:p>
        </w:tc>
      </w:tr>
      <w:tr w:rsidR="000C17A5" w:rsidRPr="004E33A5" w:rsidTr="003B4039">
        <w:trPr>
          <w:trHeight w:val="1179"/>
        </w:trPr>
        <w:tc>
          <w:tcPr>
            <w:tcW w:w="2235" w:type="dxa"/>
          </w:tcPr>
          <w:p w:rsidR="000C17A5" w:rsidRPr="004E33A5" w:rsidRDefault="000C17A5" w:rsidP="00047721">
            <w:pPr>
              <w:pStyle w:val="LadilloMichelinDossier"/>
              <w:spacing w:before="0" w:after="0"/>
              <w:jc w:val="both"/>
              <w:rPr>
                <w:rFonts w:ascii="Arial" w:hAnsi="Arial"/>
                <w:b w:val="0"/>
                <w:bCs w:val="0"/>
                <w:noProof/>
                <w:sz w:val="20"/>
                <w:lang w:val="pt-PT"/>
              </w:rPr>
            </w:pPr>
          </w:p>
          <w:p w:rsidR="000C17A5" w:rsidRPr="004E33A5" w:rsidRDefault="000C17A5" w:rsidP="00047721">
            <w:pPr>
              <w:pStyle w:val="LadilloMichelinDossier"/>
              <w:spacing w:before="0" w:after="0"/>
              <w:jc w:val="both"/>
              <w:rPr>
                <w:rFonts w:ascii="Arial" w:hAnsi="Arial"/>
                <w:b w:val="0"/>
                <w:bCs w:val="0"/>
                <w:noProof/>
                <w:sz w:val="20"/>
                <w:lang w:val="pt-PT"/>
              </w:rPr>
            </w:pPr>
            <w:r w:rsidRPr="004E33A5">
              <w:rPr>
                <w:rFonts w:ascii="Arial" w:hAnsi="Arial"/>
                <w:b w:val="0"/>
                <w:bCs w:val="0"/>
                <w:noProof/>
                <w:sz w:val="20"/>
                <w:lang w:val="pt-PT"/>
              </w:rPr>
              <w:t>Primeira montagem</w:t>
            </w:r>
          </w:p>
          <w:p w:rsidR="000C17A5" w:rsidRPr="004E33A5" w:rsidRDefault="000C17A5" w:rsidP="00047721">
            <w:pPr>
              <w:pStyle w:val="LadilloMichelinDossier"/>
              <w:spacing w:before="0" w:after="0"/>
              <w:jc w:val="both"/>
              <w:rPr>
                <w:rFonts w:ascii="Arial" w:hAnsi="Arial"/>
                <w:b w:val="0"/>
                <w:bCs w:val="0"/>
                <w:noProof/>
                <w:sz w:val="20"/>
                <w:lang w:val="pt-PT"/>
              </w:rPr>
            </w:pPr>
          </w:p>
          <w:p w:rsidR="000C17A5" w:rsidRPr="004E33A5" w:rsidRDefault="000C17A5" w:rsidP="00047721">
            <w:pPr>
              <w:pStyle w:val="LadilloMichelinDossier"/>
              <w:spacing w:before="0" w:after="0"/>
              <w:jc w:val="both"/>
              <w:rPr>
                <w:b w:val="0"/>
                <w:bCs w:val="0"/>
                <w:noProof/>
                <w:sz w:val="20"/>
                <w:lang w:val="pt-PT"/>
              </w:rPr>
            </w:pPr>
            <w:r w:rsidRPr="004E33A5">
              <w:rPr>
                <w:rFonts w:ascii="Arial" w:hAnsi="Arial"/>
                <w:b w:val="0"/>
                <w:bCs w:val="0"/>
                <w:noProof/>
                <w:sz w:val="20"/>
                <w:lang w:val="pt-PT"/>
              </w:rPr>
              <w:t>Substituição</w:t>
            </w:r>
          </w:p>
        </w:tc>
        <w:tc>
          <w:tcPr>
            <w:tcW w:w="1134" w:type="dxa"/>
          </w:tcPr>
          <w:p w:rsidR="000C17A5" w:rsidRPr="004E33A5" w:rsidRDefault="000C17A5" w:rsidP="00B00899">
            <w:pPr>
              <w:tabs>
                <w:tab w:val="left" w:pos="284"/>
              </w:tabs>
              <w:jc w:val="center"/>
              <w:rPr>
                <w:rFonts w:ascii="Arial" w:hAnsi="Arial" w:cs="Arial"/>
                <w:b/>
                <w:strike/>
                <w:noProof/>
                <w:sz w:val="20"/>
                <w:szCs w:val="20"/>
                <w:lang w:val="pt-PT"/>
              </w:rPr>
            </w:pPr>
          </w:p>
          <w:p w:rsidR="000C17A5" w:rsidRPr="004E33A5" w:rsidRDefault="000C17A5" w:rsidP="00B00899">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+ 7%</w:t>
            </w:r>
          </w:p>
          <w:p w:rsidR="000C17A5" w:rsidRPr="004E33A5" w:rsidRDefault="000C17A5" w:rsidP="00B00899">
            <w:pPr>
              <w:tabs>
                <w:tab w:val="left" w:pos="284"/>
              </w:tabs>
              <w:jc w:val="center"/>
              <w:rPr>
                <w:rFonts w:ascii="Arial" w:eastAsia="MS Mincho" w:hAnsi="Arial" w:cs="Arial"/>
                <w:b/>
                <w:noProof/>
                <w:snapToGrid w:val="0"/>
                <w:sz w:val="20"/>
                <w:szCs w:val="20"/>
                <w:lang w:val="pt-PT"/>
              </w:rPr>
            </w:pPr>
          </w:p>
          <w:p w:rsidR="000C17A5" w:rsidRPr="004E33A5" w:rsidRDefault="000C17A5" w:rsidP="00B00899">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+ 1%</w:t>
            </w:r>
          </w:p>
          <w:p w:rsidR="000C17A5" w:rsidRPr="004E33A5" w:rsidRDefault="000C17A5" w:rsidP="00047721">
            <w:pPr>
              <w:tabs>
                <w:tab w:val="left" w:pos="284"/>
              </w:tabs>
              <w:spacing w:line="270" w:lineRule="atLeast"/>
              <w:jc w:val="center"/>
              <w:rPr>
                <w:rFonts w:ascii="Arial" w:eastAsia="MS Mincho" w:hAnsi="Arial" w:cs="Arial"/>
                <w:b/>
                <w:noProof/>
                <w:snapToGrid w:val="0"/>
                <w:sz w:val="20"/>
                <w:szCs w:val="20"/>
                <w:lang w:val="pt-PT"/>
              </w:rPr>
            </w:pPr>
          </w:p>
        </w:tc>
        <w:tc>
          <w:tcPr>
            <w:tcW w:w="1134" w:type="dxa"/>
          </w:tcPr>
          <w:p w:rsidR="000C17A5" w:rsidRPr="004E33A5" w:rsidRDefault="000C17A5" w:rsidP="00B00899">
            <w:pPr>
              <w:tabs>
                <w:tab w:val="left" w:pos="284"/>
              </w:tabs>
              <w:jc w:val="center"/>
              <w:rPr>
                <w:rFonts w:ascii="Arial" w:hAnsi="Arial" w:cs="Arial"/>
                <w:b/>
                <w:noProof/>
                <w:sz w:val="20"/>
                <w:szCs w:val="20"/>
                <w:lang w:val="pt-PT"/>
              </w:rPr>
            </w:pPr>
          </w:p>
          <w:p w:rsidR="000C17A5" w:rsidRPr="004E33A5" w:rsidRDefault="000C17A5" w:rsidP="00B00899">
            <w:pPr>
              <w:tabs>
                <w:tab w:val="left" w:pos="284"/>
              </w:tabs>
              <w:jc w:val="center"/>
              <w:rPr>
                <w:rFonts w:ascii="Arial" w:hAnsi="Arial" w:cs="Arial"/>
                <w:b/>
                <w:noProof/>
                <w:sz w:val="20"/>
                <w:szCs w:val="20"/>
                <w:lang w:val="pt-PT"/>
              </w:rPr>
            </w:pPr>
            <w:r w:rsidRPr="004E33A5">
              <w:rPr>
                <w:rFonts w:ascii="Arial" w:hAnsi="Arial" w:cs="Arial"/>
                <w:b/>
                <w:bCs/>
                <w:noProof/>
                <w:sz w:val="20"/>
                <w:szCs w:val="20"/>
                <w:lang w:val="pt-PT"/>
              </w:rPr>
              <w:t>+ 11%</w:t>
            </w:r>
          </w:p>
          <w:p w:rsidR="000C17A5" w:rsidRPr="004E33A5" w:rsidRDefault="000C17A5" w:rsidP="00B00899">
            <w:pPr>
              <w:tabs>
                <w:tab w:val="left" w:pos="284"/>
              </w:tabs>
              <w:jc w:val="center"/>
              <w:rPr>
                <w:rFonts w:ascii="Arial" w:hAnsi="Arial" w:cs="Arial"/>
                <w:b/>
                <w:noProof/>
                <w:sz w:val="20"/>
                <w:szCs w:val="20"/>
                <w:lang w:val="pt-PT"/>
              </w:rPr>
            </w:pPr>
          </w:p>
          <w:p w:rsidR="000C17A5" w:rsidRPr="004E33A5" w:rsidRDefault="000C17A5" w:rsidP="00047721">
            <w:pPr>
              <w:tabs>
                <w:tab w:val="left" w:pos="284"/>
              </w:tabs>
              <w:jc w:val="center"/>
              <w:rPr>
                <w:rFonts w:ascii="Arial" w:eastAsia="MS Mincho" w:hAnsi="Arial" w:cs="Arial"/>
                <w:b/>
                <w:strike/>
                <w:noProof/>
                <w:snapToGrid w:val="0"/>
                <w:sz w:val="20"/>
                <w:szCs w:val="20"/>
                <w:lang w:val="pt-PT"/>
              </w:rPr>
            </w:pPr>
            <w:r w:rsidRPr="004E33A5">
              <w:rPr>
                <w:rFonts w:ascii="Arial" w:hAnsi="Arial" w:cs="Arial"/>
                <w:b/>
                <w:bCs/>
                <w:noProof/>
                <w:sz w:val="20"/>
                <w:szCs w:val="20"/>
                <w:lang w:val="pt-PT"/>
              </w:rPr>
              <w:t>+ 7%</w:t>
            </w:r>
          </w:p>
        </w:tc>
        <w:tc>
          <w:tcPr>
            <w:tcW w:w="992" w:type="dxa"/>
          </w:tcPr>
          <w:p w:rsidR="000C17A5" w:rsidRPr="004E33A5" w:rsidRDefault="000C17A5" w:rsidP="00B00899">
            <w:pPr>
              <w:tabs>
                <w:tab w:val="left" w:pos="284"/>
              </w:tabs>
              <w:jc w:val="center"/>
              <w:rPr>
                <w:rFonts w:ascii="Arial" w:hAnsi="Arial" w:cs="Arial"/>
                <w:b/>
                <w:noProof/>
                <w:sz w:val="20"/>
                <w:szCs w:val="20"/>
                <w:lang w:val="pt-PT"/>
              </w:rPr>
            </w:pPr>
          </w:p>
          <w:p w:rsidR="000C17A5" w:rsidRPr="004E33A5" w:rsidRDefault="000C17A5" w:rsidP="00B00899">
            <w:pPr>
              <w:tabs>
                <w:tab w:val="left" w:pos="284"/>
              </w:tabs>
              <w:jc w:val="center"/>
              <w:rPr>
                <w:rFonts w:ascii="Arial" w:hAnsi="Arial" w:cs="Arial"/>
                <w:b/>
                <w:noProof/>
                <w:sz w:val="20"/>
                <w:szCs w:val="20"/>
                <w:lang w:val="pt-PT"/>
              </w:rPr>
            </w:pPr>
            <w:r w:rsidRPr="004E33A5">
              <w:rPr>
                <w:rFonts w:ascii="Arial" w:hAnsi="Arial" w:cs="Arial"/>
                <w:b/>
                <w:bCs/>
                <w:noProof/>
                <w:sz w:val="20"/>
                <w:szCs w:val="20"/>
                <w:lang w:val="pt-PT"/>
              </w:rPr>
              <w:t>+ 7%</w:t>
            </w:r>
          </w:p>
          <w:p w:rsidR="000C17A5" w:rsidRPr="004E33A5" w:rsidRDefault="000C17A5" w:rsidP="00B00899">
            <w:pPr>
              <w:tabs>
                <w:tab w:val="left" w:pos="284"/>
              </w:tabs>
              <w:jc w:val="center"/>
              <w:rPr>
                <w:rFonts w:ascii="Arial" w:hAnsi="Arial" w:cs="Arial"/>
                <w:b/>
                <w:noProof/>
                <w:sz w:val="20"/>
                <w:szCs w:val="20"/>
                <w:lang w:val="pt-PT"/>
              </w:rPr>
            </w:pPr>
          </w:p>
          <w:p w:rsidR="000C17A5" w:rsidRPr="004E33A5" w:rsidRDefault="000C17A5" w:rsidP="00047721">
            <w:pPr>
              <w:tabs>
                <w:tab w:val="left" w:pos="284"/>
              </w:tabs>
              <w:spacing w:line="270" w:lineRule="atLeast"/>
              <w:jc w:val="center"/>
              <w:rPr>
                <w:rFonts w:ascii="Arial" w:eastAsia="MS Mincho" w:hAnsi="Arial" w:cs="Arial"/>
                <w:b/>
                <w:noProof/>
                <w:snapToGrid w:val="0"/>
                <w:sz w:val="20"/>
                <w:szCs w:val="20"/>
                <w:lang w:val="pt-PT"/>
              </w:rPr>
            </w:pPr>
            <w:r w:rsidRPr="004E33A5">
              <w:rPr>
                <w:rFonts w:ascii="Arial" w:hAnsi="Arial" w:cs="Arial"/>
                <w:b/>
                <w:bCs/>
                <w:noProof/>
                <w:sz w:val="20"/>
                <w:szCs w:val="20"/>
                <w:lang w:val="pt-PT"/>
              </w:rPr>
              <w:t>+ 4%</w:t>
            </w:r>
          </w:p>
        </w:tc>
        <w:tc>
          <w:tcPr>
            <w:tcW w:w="1134" w:type="dxa"/>
          </w:tcPr>
          <w:p w:rsidR="000C17A5" w:rsidRPr="004E33A5" w:rsidRDefault="000C17A5" w:rsidP="00B00899">
            <w:pPr>
              <w:tabs>
                <w:tab w:val="left" w:pos="284"/>
              </w:tabs>
              <w:jc w:val="center"/>
              <w:rPr>
                <w:rFonts w:ascii="Arial" w:hAnsi="Arial" w:cs="Arial"/>
                <w:b/>
                <w:strike/>
                <w:noProof/>
                <w:sz w:val="20"/>
                <w:szCs w:val="20"/>
                <w:lang w:val="pt-PT"/>
              </w:rPr>
            </w:pPr>
          </w:p>
          <w:p w:rsidR="000C17A5" w:rsidRPr="004E33A5" w:rsidRDefault="000C17A5" w:rsidP="00B00899">
            <w:pPr>
              <w:tabs>
                <w:tab w:val="left" w:pos="284"/>
              </w:tabs>
              <w:jc w:val="center"/>
              <w:rPr>
                <w:rFonts w:ascii="Arial" w:hAnsi="Arial" w:cs="Arial"/>
                <w:b/>
                <w:noProof/>
                <w:sz w:val="20"/>
                <w:szCs w:val="20"/>
                <w:lang w:val="pt-PT"/>
              </w:rPr>
            </w:pPr>
            <w:r w:rsidRPr="004E33A5">
              <w:rPr>
                <w:rFonts w:ascii="Arial" w:hAnsi="Arial" w:cs="Arial"/>
                <w:b/>
                <w:bCs/>
                <w:noProof/>
                <w:sz w:val="20"/>
                <w:szCs w:val="20"/>
                <w:lang w:val="pt-PT"/>
              </w:rPr>
              <w:t>- 19%</w:t>
            </w:r>
          </w:p>
          <w:p w:rsidR="000C17A5" w:rsidRPr="004E33A5" w:rsidRDefault="000C17A5" w:rsidP="00B00899">
            <w:pPr>
              <w:tabs>
                <w:tab w:val="left" w:pos="284"/>
              </w:tabs>
              <w:jc w:val="center"/>
              <w:rPr>
                <w:rFonts w:ascii="Arial" w:hAnsi="Arial" w:cs="Arial"/>
                <w:b/>
                <w:noProof/>
                <w:sz w:val="20"/>
                <w:szCs w:val="20"/>
                <w:lang w:val="pt-PT"/>
              </w:rPr>
            </w:pPr>
          </w:p>
          <w:p w:rsidR="000C17A5" w:rsidRPr="004E33A5" w:rsidRDefault="000C17A5" w:rsidP="00047721">
            <w:pPr>
              <w:tabs>
                <w:tab w:val="left" w:pos="284"/>
              </w:tabs>
              <w:spacing w:line="270" w:lineRule="atLeast"/>
              <w:jc w:val="center"/>
              <w:rPr>
                <w:rFonts w:ascii="Arial" w:eastAsia="MS Mincho" w:hAnsi="Arial" w:cs="Arial"/>
                <w:b/>
                <w:noProof/>
                <w:snapToGrid w:val="0"/>
                <w:sz w:val="20"/>
                <w:szCs w:val="20"/>
                <w:lang w:val="pt-PT"/>
              </w:rPr>
            </w:pPr>
            <w:r w:rsidRPr="004E33A5">
              <w:rPr>
                <w:rFonts w:ascii="Arial" w:hAnsi="Arial" w:cs="Arial"/>
                <w:b/>
                <w:bCs/>
                <w:noProof/>
                <w:sz w:val="20"/>
                <w:szCs w:val="20"/>
                <w:lang w:val="pt-PT"/>
              </w:rPr>
              <w:t>- 3%</w:t>
            </w:r>
          </w:p>
        </w:tc>
        <w:tc>
          <w:tcPr>
            <w:tcW w:w="1134" w:type="dxa"/>
          </w:tcPr>
          <w:p w:rsidR="000C17A5" w:rsidRPr="004E33A5" w:rsidRDefault="000C17A5" w:rsidP="00B00899">
            <w:pPr>
              <w:tabs>
                <w:tab w:val="left" w:pos="284"/>
              </w:tabs>
              <w:jc w:val="center"/>
              <w:rPr>
                <w:rFonts w:ascii="Arial" w:hAnsi="Arial" w:cs="Arial"/>
                <w:b/>
                <w:strike/>
                <w:noProof/>
                <w:sz w:val="20"/>
                <w:szCs w:val="20"/>
                <w:lang w:val="pt-PT"/>
              </w:rPr>
            </w:pPr>
          </w:p>
          <w:p w:rsidR="000C17A5" w:rsidRPr="004E33A5" w:rsidRDefault="000C17A5" w:rsidP="00B00899">
            <w:pPr>
              <w:tabs>
                <w:tab w:val="left" w:pos="284"/>
              </w:tabs>
              <w:jc w:val="center"/>
              <w:rPr>
                <w:rFonts w:ascii="Arial" w:hAnsi="Arial" w:cs="Arial"/>
                <w:b/>
                <w:noProof/>
                <w:sz w:val="20"/>
                <w:szCs w:val="20"/>
                <w:lang w:val="pt-PT"/>
              </w:rPr>
            </w:pPr>
            <w:r w:rsidRPr="004E33A5">
              <w:rPr>
                <w:rFonts w:ascii="Arial" w:hAnsi="Arial" w:cs="Arial"/>
                <w:b/>
                <w:bCs/>
                <w:noProof/>
                <w:sz w:val="20"/>
                <w:szCs w:val="20"/>
                <w:lang w:val="pt-PT"/>
              </w:rPr>
              <w:t>- 48%</w:t>
            </w:r>
          </w:p>
          <w:p w:rsidR="000C17A5" w:rsidRPr="004E33A5" w:rsidRDefault="000C17A5" w:rsidP="00B00899">
            <w:pPr>
              <w:tabs>
                <w:tab w:val="left" w:pos="284"/>
              </w:tabs>
              <w:jc w:val="center"/>
              <w:rPr>
                <w:rFonts w:ascii="Arial" w:hAnsi="Arial" w:cs="Arial"/>
                <w:b/>
                <w:noProof/>
                <w:sz w:val="20"/>
                <w:szCs w:val="20"/>
                <w:lang w:val="pt-PT"/>
              </w:rPr>
            </w:pPr>
          </w:p>
          <w:p w:rsidR="000C17A5" w:rsidRPr="004E33A5" w:rsidRDefault="000C17A5" w:rsidP="00047721">
            <w:pPr>
              <w:tabs>
                <w:tab w:val="left" w:pos="284"/>
              </w:tabs>
              <w:spacing w:line="270" w:lineRule="atLeast"/>
              <w:jc w:val="center"/>
              <w:rPr>
                <w:rFonts w:ascii="Arial" w:eastAsia="MS Mincho" w:hAnsi="Arial" w:cs="Arial"/>
                <w:b/>
                <w:noProof/>
                <w:snapToGrid w:val="0"/>
                <w:sz w:val="20"/>
                <w:szCs w:val="20"/>
                <w:lang w:val="pt-PT"/>
              </w:rPr>
            </w:pPr>
            <w:r w:rsidRPr="004E33A5">
              <w:rPr>
                <w:rFonts w:ascii="Arial" w:hAnsi="Arial" w:cs="Arial"/>
                <w:b/>
                <w:bCs/>
                <w:noProof/>
                <w:sz w:val="20"/>
                <w:szCs w:val="20"/>
                <w:lang w:val="pt-PT"/>
              </w:rPr>
              <w:t>- 8%</w:t>
            </w:r>
          </w:p>
        </w:tc>
        <w:tc>
          <w:tcPr>
            <w:tcW w:w="1559" w:type="dxa"/>
          </w:tcPr>
          <w:p w:rsidR="000C17A5" w:rsidRPr="004E33A5" w:rsidRDefault="000C17A5" w:rsidP="00B00899">
            <w:pPr>
              <w:tabs>
                <w:tab w:val="left" w:pos="284"/>
              </w:tabs>
              <w:jc w:val="center"/>
              <w:rPr>
                <w:rFonts w:ascii="Arial" w:hAnsi="Arial" w:cs="Arial"/>
                <w:b/>
                <w:strike/>
                <w:noProof/>
                <w:sz w:val="20"/>
                <w:szCs w:val="20"/>
                <w:lang w:val="pt-PT"/>
              </w:rPr>
            </w:pPr>
          </w:p>
          <w:p w:rsidR="000C17A5" w:rsidRPr="004E33A5" w:rsidRDefault="000C17A5" w:rsidP="00B00899">
            <w:pPr>
              <w:tabs>
                <w:tab w:val="left" w:pos="284"/>
              </w:tabs>
              <w:jc w:val="center"/>
              <w:rPr>
                <w:rFonts w:ascii="Arial" w:hAnsi="Arial" w:cs="Arial"/>
                <w:b/>
                <w:noProof/>
                <w:sz w:val="20"/>
                <w:szCs w:val="20"/>
                <w:lang w:val="pt-PT"/>
              </w:rPr>
            </w:pPr>
            <w:r w:rsidRPr="004E33A5">
              <w:rPr>
                <w:rFonts w:ascii="Arial" w:hAnsi="Arial" w:cs="Arial"/>
                <w:b/>
                <w:bCs/>
                <w:noProof/>
                <w:sz w:val="20"/>
                <w:szCs w:val="20"/>
                <w:lang w:val="pt-PT"/>
              </w:rPr>
              <w:t>+ 16%</w:t>
            </w:r>
          </w:p>
          <w:p w:rsidR="000C17A5" w:rsidRPr="004E33A5" w:rsidRDefault="000C17A5" w:rsidP="00B00899">
            <w:pPr>
              <w:tabs>
                <w:tab w:val="left" w:pos="284"/>
              </w:tabs>
              <w:jc w:val="center"/>
              <w:rPr>
                <w:rFonts w:ascii="Arial" w:hAnsi="Arial" w:cs="Arial"/>
                <w:b/>
                <w:noProof/>
                <w:sz w:val="20"/>
                <w:szCs w:val="20"/>
                <w:lang w:val="pt-PT"/>
              </w:rPr>
            </w:pPr>
          </w:p>
          <w:p w:rsidR="000C17A5" w:rsidRPr="004E33A5" w:rsidRDefault="000C17A5" w:rsidP="00047721">
            <w:pPr>
              <w:tabs>
                <w:tab w:val="left" w:pos="284"/>
              </w:tabs>
              <w:spacing w:line="270" w:lineRule="atLeast"/>
              <w:jc w:val="center"/>
              <w:rPr>
                <w:rFonts w:ascii="Arial" w:eastAsia="MS Mincho" w:hAnsi="Arial" w:cs="Arial"/>
                <w:b/>
                <w:noProof/>
                <w:snapToGrid w:val="0"/>
                <w:sz w:val="20"/>
                <w:szCs w:val="20"/>
                <w:lang w:val="pt-PT"/>
              </w:rPr>
            </w:pPr>
            <w:r w:rsidRPr="004E33A5">
              <w:rPr>
                <w:rFonts w:ascii="Arial" w:hAnsi="Arial" w:cs="Arial"/>
                <w:b/>
                <w:bCs/>
                <w:noProof/>
                <w:sz w:val="20"/>
                <w:szCs w:val="20"/>
                <w:lang w:val="pt-PT"/>
              </w:rPr>
              <w:t>+ 1%</w:t>
            </w:r>
          </w:p>
        </w:tc>
        <w:tc>
          <w:tcPr>
            <w:tcW w:w="992" w:type="dxa"/>
          </w:tcPr>
          <w:p w:rsidR="000C17A5" w:rsidRPr="004E33A5" w:rsidRDefault="000C17A5" w:rsidP="00B00899">
            <w:pPr>
              <w:tabs>
                <w:tab w:val="left" w:pos="1168"/>
              </w:tabs>
              <w:ind w:right="-108"/>
              <w:jc w:val="center"/>
              <w:rPr>
                <w:rFonts w:ascii="Arial" w:hAnsi="Arial" w:cs="Arial"/>
                <w:b/>
                <w:strike/>
                <w:noProof/>
                <w:sz w:val="20"/>
                <w:szCs w:val="20"/>
                <w:lang w:val="pt-PT"/>
              </w:rPr>
            </w:pPr>
          </w:p>
          <w:p w:rsidR="000C17A5" w:rsidRPr="004E33A5" w:rsidRDefault="000C17A5" w:rsidP="00B00899">
            <w:pPr>
              <w:tabs>
                <w:tab w:val="left" w:pos="1168"/>
              </w:tabs>
              <w:ind w:right="-108"/>
              <w:jc w:val="center"/>
              <w:rPr>
                <w:rFonts w:ascii="Arial" w:hAnsi="Arial" w:cs="Arial"/>
                <w:b/>
                <w:noProof/>
                <w:sz w:val="20"/>
                <w:szCs w:val="20"/>
                <w:lang w:val="pt-PT"/>
              </w:rPr>
            </w:pPr>
            <w:r w:rsidRPr="004E33A5">
              <w:rPr>
                <w:rFonts w:ascii="Arial" w:hAnsi="Arial" w:cs="Arial"/>
                <w:b/>
                <w:bCs/>
                <w:noProof/>
                <w:sz w:val="20"/>
                <w:szCs w:val="20"/>
                <w:lang w:val="pt-PT"/>
              </w:rPr>
              <w:t>- 7%</w:t>
            </w:r>
          </w:p>
          <w:p w:rsidR="000C17A5" w:rsidRPr="004E33A5" w:rsidRDefault="000C17A5" w:rsidP="00B00899">
            <w:pPr>
              <w:tabs>
                <w:tab w:val="left" w:pos="1168"/>
              </w:tabs>
              <w:ind w:right="-108"/>
              <w:jc w:val="center"/>
              <w:rPr>
                <w:rFonts w:ascii="Arial" w:hAnsi="Arial" w:cs="Arial"/>
                <w:b/>
                <w:noProof/>
                <w:sz w:val="20"/>
                <w:szCs w:val="20"/>
                <w:lang w:val="pt-PT"/>
              </w:rPr>
            </w:pPr>
          </w:p>
          <w:p w:rsidR="000C17A5" w:rsidRPr="004E33A5" w:rsidRDefault="000C17A5" w:rsidP="00047721">
            <w:pPr>
              <w:tabs>
                <w:tab w:val="left" w:pos="1168"/>
              </w:tabs>
              <w:spacing w:line="270" w:lineRule="atLeast"/>
              <w:ind w:right="-108"/>
              <w:jc w:val="center"/>
              <w:rPr>
                <w:rFonts w:ascii="Arial" w:eastAsia="MS Mincho" w:hAnsi="Arial" w:cs="Arial"/>
                <w:b/>
                <w:noProof/>
                <w:snapToGrid w:val="0"/>
                <w:sz w:val="20"/>
                <w:szCs w:val="20"/>
                <w:lang w:val="pt-PT"/>
              </w:rPr>
            </w:pPr>
            <w:r w:rsidRPr="004E33A5">
              <w:rPr>
                <w:rFonts w:ascii="Arial" w:hAnsi="Arial" w:cs="Arial"/>
                <w:b/>
                <w:bCs/>
                <w:noProof/>
                <w:sz w:val="20"/>
                <w:szCs w:val="20"/>
                <w:lang w:val="pt-PT"/>
              </w:rPr>
              <w:t>- 1%</w:t>
            </w:r>
          </w:p>
        </w:tc>
      </w:tr>
    </w:tbl>
    <w:p w:rsidR="00700DFB" w:rsidRPr="004E33A5" w:rsidRDefault="00700DFB">
      <w:pPr>
        <w:pStyle w:val="Cuerpo"/>
        <w:widowControl w:val="0"/>
        <w:spacing w:before="480" w:after="120" w:line="270" w:lineRule="atLeast"/>
        <w:rPr>
          <w:b/>
          <w:bCs/>
          <w:noProof/>
          <w:sz w:val="10"/>
          <w:szCs w:val="10"/>
          <w:lang w:val="pt-PT"/>
        </w:rPr>
      </w:pPr>
    </w:p>
    <w:tbl>
      <w:tblPr>
        <w:tblpPr w:leftFromText="141" w:rightFromText="141" w:vertAnchor="text" w:horzAnchor="page" w:tblpX="1074" w:tblpY="190"/>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1"/>
        <w:gridCol w:w="1146"/>
        <w:gridCol w:w="1146"/>
        <w:gridCol w:w="978"/>
        <w:gridCol w:w="1142"/>
        <w:gridCol w:w="1136"/>
        <w:gridCol w:w="1551"/>
        <w:gridCol w:w="1002"/>
      </w:tblGrid>
      <w:tr w:rsidR="0097284C" w:rsidRPr="004E33A5" w:rsidTr="0097284C">
        <w:trPr>
          <w:trHeight w:val="890"/>
        </w:trPr>
        <w:tc>
          <w:tcPr>
            <w:tcW w:w="2251" w:type="dxa"/>
            <w:shd w:val="clear" w:color="auto" w:fill="E6E6E6"/>
          </w:tcPr>
          <w:p w:rsidR="0097284C" w:rsidRPr="004E33A5" w:rsidRDefault="0097284C" w:rsidP="0097284C">
            <w:pPr>
              <w:pStyle w:val="LadilloMichelinDossier"/>
              <w:spacing w:before="0" w:after="0"/>
              <w:rPr>
                <w:rFonts w:ascii="Arial" w:hAnsi="Arial"/>
                <w:b w:val="0"/>
                <w:bCs w:val="0"/>
                <w:noProof/>
                <w:sz w:val="20"/>
                <w:lang w:val="pt-PT"/>
              </w:rPr>
            </w:pPr>
            <w:r w:rsidRPr="004E33A5">
              <w:rPr>
                <w:rFonts w:ascii="Arial" w:hAnsi="Arial"/>
                <w:b w:val="0"/>
                <w:bCs w:val="0"/>
                <w:noProof/>
                <w:sz w:val="20"/>
                <w:lang w:val="pt-PT"/>
              </w:rPr>
              <w:t>Quarto trimestre</w:t>
            </w:r>
          </w:p>
          <w:p w:rsidR="0097284C" w:rsidRPr="004E33A5" w:rsidRDefault="0097284C" w:rsidP="0097284C">
            <w:pPr>
              <w:pStyle w:val="LadilloMichelinDossier"/>
              <w:spacing w:before="0" w:after="0"/>
              <w:rPr>
                <w:b w:val="0"/>
                <w:bCs w:val="0"/>
                <w:noProof/>
                <w:sz w:val="20"/>
                <w:lang w:val="pt-PT"/>
              </w:rPr>
            </w:pPr>
            <w:r w:rsidRPr="004E33A5">
              <w:rPr>
                <w:rFonts w:ascii="Arial" w:hAnsi="Arial"/>
                <w:b w:val="0"/>
                <w:bCs w:val="0"/>
                <w:noProof/>
                <w:sz w:val="20"/>
                <w:lang w:val="pt-PT"/>
              </w:rPr>
              <w:t>2015/2014</w:t>
            </w:r>
            <w:r w:rsidRPr="004E33A5">
              <w:rPr>
                <w:rFonts w:ascii="Arial" w:hAnsi="Arial"/>
                <w:b w:val="0"/>
                <w:bCs w:val="0"/>
                <w:noProof/>
                <w:sz w:val="20"/>
                <w:lang w:val="pt-PT"/>
              </w:rPr>
              <w:br/>
            </w:r>
            <w:r w:rsidRPr="004E33A5">
              <w:rPr>
                <w:rFonts w:ascii="Arial" w:hAnsi="Arial"/>
                <w:b w:val="0"/>
                <w:bCs w:val="0"/>
                <w:noProof/>
                <w:sz w:val="18"/>
                <w:lang w:val="pt-PT"/>
              </w:rPr>
              <w:t>(número de pneus)</w:t>
            </w:r>
          </w:p>
        </w:tc>
        <w:tc>
          <w:tcPr>
            <w:tcW w:w="1146" w:type="dxa"/>
            <w:shd w:val="clear" w:color="auto" w:fill="E6E6E6"/>
          </w:tcPr>
          <w:p w:rsidR="0097284C" w:rsidRPr="004E33A5" w:rsidRDefault="0097284C" w:rsidP="0097284C">
            <w:pPr>
              <w:pStyle w:val="LadilloMichelinDossier"/>
              <w:spacing w:before="0" w:after="0"/>
              <w:rPr>
                <w:b w:val="0"/>
                <w:bCs w:val="0"/>
                <w:noProof/>
                <w:sz w:val="20"/>
                <w:lang w:val="pt-PT"/>
              </w:rPr>
            </w:pPr>
            <w:r w:rsidRPr="004E33A5">
              <w:rPr>
                <w:rFonts w:ascii="Arial" w:hAnsi="Arial"/>
                <w:b w:val="0"/>
                <w:bCs w:val="0"/>
                <w:noProof/>
                <w:sz w:val="20"/>
                <w:lang w:val="pt-PT"/>
              </w:rPr>
              <w:t>Europa com Rússia e CEI</w:t>
            </w:r>
            <w:r w:rsidRPr="004E33A5">
              <w:rPr>
                <w:rStyle w:val="Refdenotaalpie"/>
                <w:rFonts w:ascii="Arial" w:hAnsi="Arial"/>
                <w:noProof/>
                <w:sz w:val="32"/>
                <w:vertAlign w:val="baseline"/>
                <w:lang w:val="pt-PT"/>
              </w:rPr>
              <w:sym w:font="Symbol" w:char="F02A"/>
            </w:r>
          </w:p>
        </w:tc>
        <w:tc>
          <w:tcPr>
            <w:tcW w:w="1146" w:type="dxa"/>
            <w:shd w:val="clear" w:color="auto" w:fill="E6E6E6"/>
          </w:tcPr>
          <w:p w:rsidR="0097284C" w:rsidRPr="004E33A5" w:rsidRDefault="0097284C" w:rsidP="0097284C">
            <w:pPr>
              <w:tabs>
                <w:tab w:val="left" w:pos="284"/>
              </w:tabs>
              <w:rPr>
                <w:rFonts w:ascii="Arial" w:eastAsia="Times" w:hAnsi="Arial" w:cs="Times"/>
                <w:noProof/>
                <w:color w:val="000000"/>
                <w:sz w:val="20"/>
                <w:szCs w:val="26"/>
                <w:u w:color="000000"/>
                <w:lang w:val="pt-PT"/>
              </w:rPr>
            </w:pPr>
            <w:r w:rsidRPr="004E33A5">
              <w:rPr>
                <w:rFonts w:ascii="Arial" w:eastAsia="Times" w:hAnsi="Arial" w:cs="Times"/>
                <w:noProof/>
                <w:color w:val="000000"/>
                <w:sz w:val="20"/>
                <w:szCs w:val="26"/>
                <w:u w:color="000000"/>
                <w:lang w:val="pt-PT"/>
              </w:rPr>
              <w:footnoteReference w:customMarkFollows="1" w:id="7"/>
              <w:t>Europa</w:t>
            </w:r>
          </w:p>
          <w:p w:rsidR="0097284C" w:rsidRPr="004E33A5" w:rsidRDefault="0097284C" w:rsidP="0097284C">
            <w:pPr>
              <w:pStyle w:val="LadilloMichelinDossier"/>
              <w:spacing w:before="0" w:after="0"/>
              <w:rPr>
                <w:rFonts w:ascii="Arial" w:hAnsi="Arial"/>
                <w:b w:val="0"/>
                <w:bCs w:val="0"/>
                <w:noProof/>
                <w:sz w:val="20"/>
                <w:lang w:val="pt-PT"/>
              </w:rPr>
            </w:pPr>
            <w:r w:rsidRPr="004E33A5">
              <w:rPr>
                <w:rFonts w:ascii="Arial" w:hAnsi="Arial"/>
                <w:b w:val="0"/>
                <w:bCs w:val="0"/>
                <w:noProof/>
                <w:sz w:val="20"/>
                <w:lang w:val="pt-PT"/>
              </w:rPr>
              <w:t xml:space="preserve">sem a Rússia </w:t>
            </w:r>
            <w:r w:rsidRPr="004E33A5">
              <w:rPr>
                <w:rFonts w:ascii="Arial" w:hAnsi="Arial"/>
                <w:b w:val="0"/>
                <w:bCs w:val="0"/>
                <w:noProof/>
                <w:sz w:val="20"/>
                <w:lang w:val="pt-PT"/>
              </w:rPr>
              <w:br/>
              <w:t>nem CEI*</w:t>
            </w:r>
          </w:p>
        </w:tc>
        <w:tc>
          <w:tcPr>
            <w:tcW w:w="978" w:type="dxa"/>
            <w:shd w:val="clear" w:color="auto" w:fill="E6E6E6"/>
          </w:tcPr>
          <w:p w:rsidR="0097284C" w:rsidRPr="004E33A5" w:rsidRDefault="0097284C" w:rsidP="0097284C">
            <w:pPr>
              <w:pStyle w:val="LadilloMichelinDossier"/>
              <w:spacing w:before="0" w:after="0"/>
              <w:rPr>
                <w:b w:val="0"/>
                <w:bCs w:val="0"/>
                <w:noProof/>
                <w:sz w:val="20"/>
                <w:lang w:val="pt-PT"/>
              </w:rPr>
            </w:pPr>
            <w:r w:rsidRPr="004E33A5">
              <w:rPr>
                <w:rFonts w:ascii="Arial" w:hAnsi="Arial"/>
                <w:b w:val="0"/>
                <w:bCs w:val="0"/>
                <w:noProof/>
                <w:sz w:val="20"/>
                <w:lang w:val="pt-PT"/>
              </w:rPr>
              <w:t xml:space="preserve">América </w:t>
            </w:r>
            <w:r w:rsidRPr="004E33A5">
              <w:rPr>
                <w:rFonts w:ascii="Arial" w:hAnsi="Arial"/>
                <w:b w:val="0"/>
                <w:bCs w:val="0"/>
                <w:noProof/>
                <w:sz w:val="20"/>
                <w:lang w:val="pt-PT"/>
              </w:rPr>
              <w:br/>
              <w:t>do Norte</w:t>
            </w:r>
          </w:p>
        </w:tc>
        <w:tc>
          <w:tcPr>
            <w:tcW w:w="1142" w:type="dxa"/>
            <w:shd w:val="clear" w:color="auto" w:fill="E6E6E6"/>
          </w:tcPr>
          <w:p w:rsidR="0097284C" w:rsidRPr="004E33A5" w:rsidRDefault="0097284C" w:rsidP="0097284C">
            <w:pPr>
              <w:pStyle w:val="LadilloMichelinDossier"/>
              <w:spacing w:before="0" w:after="0"/>
              <w:rPr>
                <w:rFonts w:ascii="Arial" w:hAnsi="Arial"/>
                <w:b w:val="0"/>
                <w:bCs w:val="0"/>
                <w:noProof/>
                <w:sz w:val="20"/>
                <w:lang w:val="pt-PT"/>
              </w:rPr>
            </w:pPr>
            <w:r w:rsidRPr="004E33A5">
              <w:rPr>
                <w:rFonts w:ascii="Arial" w:hAnsi="Arial"/>
                <w:b w:val="0"/>
                <w:bCs w:val="0"/>
                <w:noProof/>
                <w:sz w:val="20"/>
                <w:lang w:val="pt-PT"/>
              </w:rPr>
              <w:t>Ásia</w:t>
            </w:r>
          </w:p>
          <w:p w:rsidR="0097284C" w:rsidRPr="004E33A5" w:rsidRDefault="0097284C" w:rsidP="0097284C">
            <w:pPr>
              <w:pStyle w:val="LadilloMichelinDossier"/>
              <w:spacing w:before="0" w:after="0"/>
              <w:rPr>
                <w:b w:val="0"/>
                <w:bCs w:val="0"/>
                <w:noProof/>
                <w:sz w:val="20"/>
                <w:lang w:val="pt-PT"/>
              </w:rPr>
            </w:pPr>
            <w:r w:rsidRPr="004E33A5">
              <w:rPr>
                <w:rFonts w:ascii="Arial" w:hAnsi="Arial"/>
                <w:b w:val="0"/>
                <w:bCs w:val="0"/>
                <w:noProof/>
                <w:sz w:val="20"/>
                <w:lang w:val="pt-PT"/>
              </w:rPr>
              <w:t>(sem a Índia)</w:t>
            </w:r>
          </w:p>
        </w:tc>
        <w:tc>
          <w:tcPr>
            <w:tcW w:w="1136" w:type="dxa"/>
            <w:shd w:val="clear" w:color="auto" w:fill="E6E6E6"/>
          </w:tcPr>
          <w:p w:rsidR="0097284C" w:rsidRPr="004E33A5" w:rsidRDefault="0097284C" w:rsidP="0097284C">
            <w:pPr>
              <w:pStyle w:val="LadilloMichelinDossier"/>
              <w:spacing w:before="0" w:after="0"/>
              <w:rPr>
                <w:b w:val="0"/>
                <w:bCs w:val="0"/>
                <w:noProof/>
                <w:sz w:val="20"/>
                <w:lang w:val="pt-PT"/>
              </w:rPr>
            </w:pPr>
            <w:r w:rsidRPr="004E33A5">
              <w:rPr>
                <w:rFonts w:ascii="Arial" w:hAnsi="Arial"/>
                <w:b w:val="0"/>
                <w:bCs w:val="0"/>
                <w:noProof/>
                <w:sz w:val="20"/>
                <w:lang w:val="pt-PT"/>
              </w:rPr>
              <w:t xml:space="preserve">América </w:t>
            </w:r>
            <w:r w:rsidRPr="004E33A5">
              <w:rPr>
                <w:rFonts w:ascii="Arial" w:hAnsi="Arial"/>
                <w:b w:val="0"/>
                <w:bCs w:val="0"/>
                <w:noProof/>
                <w:sz w:val="20"/>
                <w:lang w:val="pt-PT"/>
              </w:rPr>
              <w:br/>
              <w:t>do Sul</w:t>
            </w:r>
          </w:p>
        </w:tc>
        <w:tc>
          <w:tcPr>
            <w:tcW w:w="1551" w:type="dxa"/>
            <w:shd w:val="clear" w:color="auto" w:fill="E6E6E6"/>
          </w:tcPr>
          <w:p w:rsidR="0097284C" w:rsidRPr="004E33A5" w:rsidRDefault="0097284C" w:rsidP="0097284C">
            <w:pPr>
              <w:pStyle w:val="LadilloMichelinDossier"/>
              <w:spacing w:before="0" w:after="0"/>
              <w:rPr>
                <w:b w:val="0"/>
                <w:bCs w:val="0"/>
                <w:noProof/>
                <w:sz w:val="20"/>
                <w:lang w:val="pt-PT"/>
              </w:rPr>
            </w:pPr>
            <w:r w:rsidRPr="004E33A5">
              <w:rPr>
                <w:rFonts w:ascii="Arial" w:hAnsi="Arial"/>
                <w:b w:val="0"/>
                <w:bCs w:val="0"/>
                <w:noProof/>
                <w:sz w:val="20"/>
                <w:lang w:val="pt-PT"/>
              </w:rPr>
              <w:t>África/Índia/Médio Oriente</w:t>
            </w:r>
          </w:p>
        </w:tc>
        <w:tc>
          <w:tcPr>
            <w:tcW w:w="1002" w:type="dxa"/>
            <w:shd w:val="clear" w:color="auto" w:fill="E6E6E6"/>
          </w:tcPr>
          <w:p w:rsidR="0097284C" w:rsidRPr="004E33A5" w:rsidRDefault="0097284C" w:rsidP="0097284C">
            <w:pPr>
              <w:pStyle w:val="LadilloMichelinDossier"/>
              <w:spacing w:before="0" w:after="0"/>
              <w:rPr>
                <w:b w:val="0"/>
                <w:bCs w:val="0"/>
                <w:noProof/>
                <w:sz w:val="20"/>
                <w:lang w:val="pt-PT"/>
              </w:rPr>
            </w:pPr>
            <w:r w:rsidRPr="004E33A5">
              <w:rPr>
                <w:rFonts w:ascii="Arial" w:hAnsi="Arial"/>
                <w:b w:val="0"/>
                <w:bCs w:val="0"/>
                <w:noProof/>
                <w:sz w:val="20"/>
                <w:lang w:val="pt-PT"/>
              </w:rPr>
              <w:t>Total</w:t>
            </w:r>
          </w:p>
        </w:tc>
      </w:tr>
      <w:tr w:rsidR="000C17A5" w:rsidRPr="004E33A5" w:rsidTr="0097284C">
        <w:trPr>
          <w:trHeight w:val="1271"/>
        </w:trPr>
        <w:tc>
          <w:tcPr>
            <w:tcW w:w="2251" w:type="dxa"/>
          </w:tcPr>
          <w:p w:rsidR="000C17A5" w:rsidRPr="004E33A5" w:rsidRDefault="000C17A5" w:rsidP="0097284C">
            <w:pPr>
              <w:pStyle w:val="LadilloMichelinDossier"/>
              <w:spacing w:before="0" w:after="0"/>
              <w:jc w:val="both"/>
              <w:rPr>
                <w:rFonts w:ascii="Arial" w:hAnsi="Arial"/>
                <w:b w:val="0"/>
                <w:bCs w:val="0"/>
                <w:noProof/>
                <w:sz w:val="20"/>
                <w:lang w:val="pt-PT"/>
              </w:rPr>
            </w:pPr>
            <w:r w:rsidRPr="004E33A5">
              <w:rPr>
                <w:rFonts w:ascii="Arial" w:hAnsi="Arial"/>
                <w:b w:val="0"/>
                <w:bCs w:val="0"/>
                <w:noProof/>
                <w:sz w:val="20"/>
                <w:lang w:val="pt-PT"/>
              </w:rPr>
              <w:br/>
              <w:t>Primeira montagem</w:t>
            </w:r>
          </w:p>
          <w:p w:rsidR="000C17A5" w:rsidRPr="004E33A5" w:rsidRDefault="000C17A5" w:rsidP="0097284C">
            <w:pPr>
              <w:pStyle w:val="LadilloMichelinDossier"/>
              <w:spacing w:before="0" w:after="0"/>
              <w:jc w:val="both"/>
              <w:rPr>
                <w:rFonts w:ascii="Arial" w:hAnsi="Arial"/>
                <w:b w:val="0"/>
                <w:bCs w:val="0"/>
                <w:noProof/>
                <w:sz w:val="20"/>
                <w:lang w:val="pt-PT"/>
              </w:rPr>
            </w:pPr>
            <w:r w:rsidRPr="004E33A5">
              <w:rPr>
                <w:rFonts w:ascii="Arial" w:hAnsi="Arial"/>
                <w:b w:val="0"/>
                <w:bCs w:val="0"/>
                <w:noProof/>
                <w:sz w:val="20"/>
                <w:lang w:val="pt-PT"/>
              </w:rPr>
              <w:t xml:space="preserve">     </w:t>
            </w:r>
          </w:p>
          <w:p w:rsidR="000C17A5" w:rsidRPr="004E33A5" w:rsidRDefault="000C17A5" w:rsidP="0097284C">
            <w:pPr>
              <w:pStyle w:val="LadilloMichelinDossier"/>
              <w:spacing w:before="0" w:after="0"/>
              <w:jc w:val="both"/>
              <w:rPr>
                <w:b w:val="0"/>
                <w:bCs w:val="0"/>
                <w:noProof/>
                <w:sz w:val="20"/>
                <w:lang w:val="pt-PT"/>
              </w:rPr>
            </w:pPr>
            <w:r w:rsidRPr="004E33A5">
              <w:rPr>
                <w:rFonts w:ascii="Arial" w:hAnsi="Arial"/>
                <w:b w:val="0"/>
                <w:bCs w:val="0"/>
                <w:noProof/>
                <w:sz w:val="20"/>
                <w:lang w:val="pt-PT"/>
              </w:rPr>
              <w:t>Substituição</w:t>
            </w:r>
          </w:p>
        </w:tc>
        <w:tc>
          <w:tcPr>
            <w:tcW w:w="1146" w:type="dxa"/>
          </w:tcPr>
          <w:p w:rsidR="000C17A5" w:rsidRPr="004E33A5" w:rsidRDefault="000C17A5" w:rsidP="00B00899">
            <w:pPr>
              <w:tabs>
                <w:tab w:val="left" w:pos="284"/>
              </w:tabs>
              <w:jc w:val="center"/>
              <w:rPr>
                <w:rFonts w:ascii="Arial" w:eastAsia="MS Mincho" w:hAnsi="Arial" w:cs="Arial"/>
                <w:b/>
                <w:noProof/>
                <w:snapToGrid w:val="0"/>
                <w:sz w:val="20"/>
                <w:szCs w:val="20"/>
                <w:lang w:val="pt-PT"/>
              </w:rPr>
            </w:pPr>
          </w:p>
          <w:p w:rsidR="000C17A5" w:rsidRPr="004E33A5" w:rsidRDefault="000C17A5" w:rsidP="00B00899">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+ 15%</w:t>
            </w:r>
          </w:p>
          <w:p w:rsidR="000C17A5" w:rsidRPr="004E33A5" w:rsidRDefault="000C17A5" w:rsidP="00B00899">
            <w:pPr>
              <w:tabs>
                <w:tab w:val="left" w:pos="284"/>
              </w:tabs>
              <w:jc w:val="center"/>
              <w:rPr>
                <w:rFonts w:ascii="Arial" w:eastAsia="MS Mincho" w:hAnsi="Arial" w:cs="Arial"/>
                <w:b/>
                <w:noProof/>
                <w:snapToGrid w:val="0"/>
                <w:sz w:val="20"/>
                <w:szCs w:val="20"/>
                <w:lang w:val="pt-PT"/>
              </w:rPr>
            </w:pPr>
          </w:p>
          <w:p w:rsidR="000C17A5" w:rsidRPr="004E33A5" w:rsidRDefault="000C17A5" w:rsidP="00B00899">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+ 6%</w:t>
            </w:r>
          </w:p>
          <w:p w:rsidR="000C17A5" w:rsidRPr="004E33A5" w:rsidRDefault="000C17A5" w:rsidP="0097284C">
            <w:pPr>
              <w:tabs>
                <w:tab w:val="left" w:pos="284"/>
              </w:tabs>
              <w:spacing w:line="270" w:lineRule="atLeast"/>
              <w:jc w:val="center"/>
              <w:rPr>
                <w:rFonts w:ascii="Arial" w:eastAsia="MS Mincho" w:hAnsi="Arial" w:cs="Arial"/>
                <w:b/>
                <w:noProof/>
                <w:snapToGrid w:val="0"/>
                <w:sz w:val="20"/>
                <w:szCs w:val="20"/>
                <w:lang w:val="pt-PT"/>
              </w:rPr>
            </w:pPr>
          </w:p>
        </w:tc>
        <w:tc>
          <w:tcPr>
            <w:tcW w:w="1146" w:type="dxa"/>
          </w:tcPr>
          <w:p w:rsidR="000C17A5" w:rsidRPr="004E33A5" w:rsidRDefault="000C17A5" w:rsidP="00B00899">
            <w:pPr>
              <w:tabs>
                <w:tab w:val="left" w:pos="284"/>
              </w:tabs>
              <w:jc w:val="center"/>
              <w:rPr>
                <w:rFonts w:ascii="Arial" w:eastAsia="MS Mincho" w:hAnsi="Arial" w:cs="Arial"/>
                <w:b/>
                <w:noProof/>
                <w:snapToGrid w:val="0"/>
                <w:sz w:val="20"/>
                <w:szCs w:val="20"/>
                <w:lang w:val="pt-PT"/>
              </w:rPr>
            </w:pPr>
          </w:p>
          <w:p w:rsidR="000C17A5" w:rsidRPr="004E33A5" w:rsidRDefault="000C17A5" w:rsidP="00B00899">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+ 17%</w:t>
            </w:r>
          </w:p>
          <w:p w:rsidR="000C17A5" w:rsidRPr="004E33A5" w:rsidRDefault="000C17A5" w:rsidP="00B00899">
            <w:pPr>
              <w:tabs>
                <w:tab w:val="left" w:pos="284"/>
              </w:tabs>
              <w:jc w:val="center"/>
              <w:rPr>
                <w:rFonts w:ascii="Arial" w:eastAsia="MS Mincho" w:hAnsi="Arial" w:cs="Arial"/>
                <w:b/>
                <w:noProof/>
                <w:snapToGrid w:val="0"/>
                <w:sz w:val="20"/>
                <w:szCs w:val="20"/>
                <w:lang w:val="pt-PT"/>
              </w:rPr>
            </w:pPr>
          </w:p>
          <w:p w:rsidR="000C17A5" w:rsidRPr="004E33A5" w:rsidRDefault="000C17A5" w:rsidP="00B00899">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+ 8%</w:t>
            </w:r>
          </w:p>
          <w:p w:rsidR="000C17A5" w:rsidRPr="004E33A5" w:rsidRDefault="000C17A5" w:rsidP="0097284C">
            <w:pPr>
              <w:tabs>
                <w:tab w:val="left" w:pos="284"/>
              </w:tabs>
              <w:jc w:val="center"/>
              <w:rPr>
                <w:rFonts w:ascii="Arial" w:eastAsia="MS Mincho" w:hAnsi="Arial" w:cs="Arial"/>
                <w:b/>
                <w:noProof/>
                <w:snapToGrid w:val="0"/>
                <w:sz w:val="20"/>
                <w:szCs w:val="20"/>
                <w:lang w:val="pt-PT"/>
              </w:rPr>
            </w:pPr>
          </w:p>
        </w:tc>
        <w:tc>
          <w:tcPr>
            <w:tcW w:w="978" w:type="dxa"/>
          </w:tcPr>
          <w:p w:rsidR="000C17A5" w:rsidRPr="004E33A5" w:rsidRDefault="000C17A5" w:rsidP="00B00899">
            <w:pPr>
              <w:tabs>
                <w:tab w:val="left" w:pos="284"/>
              </w:tabs>
              <w:jc w:val="center"/>
              <w:rPr>
                <w:rFonts w:ascii="Arial" w:eastAsia="MS Mincho" w:hAnsi="Arial" w:cs="Arial"/>
                <w:b/>
                <w:noProof/>
                <w:snapToGrid w:val="0"/>
                <w:sz w:val="20"/>
                <w:szCs w:val="20"/>
                <w:lang w:val="pt-PT"/>
              </w:rPr>
            </w:pPr>
          </w:p>
          <w:p w:rsidR="000C17A5" w:rsidRPr="004E33A5" w:rsidRDefault="000C17A5" w:rsidP="00B00899">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- 5%</w:t>
            </w:r>
          </w:p>
          <w:p w:rsidR="000C17A5" w:rsidRPr="004E33A5" w:rsidRDefault="000C17A5" w:rsidP="00B00899">
            <w:pPr>
              <w:tabs>
                <w:tab w:val="left" w:pos="284"/>
              </w:tabs>
              <w:jc w:val="center"/>
              <w:rPr>
                <w:rFonts w:ascii="Arial" w:eastAsia="MS Mincho" w:hAnsi="Arial" w:cs="Arial"/>
                <w:b/>
                <w:noProof/>
                <w:snapToGrid w:val="0"/>
                <w:sz w:val="20"/>
                <w:szCs w:val="20"/>
                <w:lang w:val="pt-PT"/>
              </w:rPr>
            </w:pPr>
          </w:p>
          <w:p w:rsidR="000C17A5" w:rsidRPr="004E33A5" w:rsidRDefault="000C17A5" w:rsidP="0097284C">
            <w:pPr>
              <w:tabs>
                <w:tab w:val="left" w:pos="284"/>
              </w:tabs>
              <w:spacing w:line="270" w:lineRule="atLeast"/>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+ 3%</w:t>
            </w:r>
          </w:p>
        </w:tc>
        <w:tc>
          <w:tcPr>
            <w:tcW w:w="1142" w:type="dxa"/>
          </w:tcPr>
          <w:p w:rsidR="000C17A5" w:rsidRPr="004E33A5" w:rsidRDefault="000C17A5" w:rsidP="00B00899">
            <w:pPr>
              <w:tabs>
                <w:tab w:val="left" w:pos="284"/>
              </w:tabs>
              <w:jc w:val="center"/>
              <w:rPr>
                <w:rFonts w:ascii="Arial" w:eastAsia="MS Mincho" w:hAnsi="Arial" w:cs="Arial"/>
                <w:b/>
                <w:noProof/>
                <w:snapToGrid w:val="0"/>
                <w:sz w:val="20"/>
                <w:szCs w:val="20"/>
                <w:lang w:val="pt-PT"/>
              </w:rPr>
            </w:pPr>
          </w:p>
          <w:p w:rsidR="000C17A5" w:rsidRPr="004E33A5" w:rsidRDefault="000C17A5" w:rsidP="00B00899">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- 27%</w:t>
            </w:r>
          </w:p>
          <w:p w:rsidR="000C17A5" w:rsidRPr="004E33A5" w:rsidRDefault="000C17A5" w:rsidP="00B00899">
            <w:pPr>
              <w:tabs>
                <w:tab w:val="left" w:pos="284"/>
              </w:tabs>
              <w:jc w:val="center"/>
              <w:rPr>
                <w:rFonts w:ascii="Arial" w:eastAsia="MS Mincho" w:hAnsi="Arial" w:cs="Arial"/>
                <w:b/>
                <w:noProof/>
                <w:snapToGrid w:val="0"/>
                <w:sz w:val="20"/>
                <w:szCs w:val="20"/>
                <w:lang w:val="pt-PT"/>
              </w:rPr>
            </w:pPr>
          </w:p>
          <w:p w:rsidR="000C17A5" w:rsidRPr="004E33A5" w:rsidRDefault="000C17A5" w:rsidP="0097284C">
            <w:pPr>
              <w:tabs>
                <w:tab w:val="left" w:pos="284"/>
              </w:tabs>
              <w:spacing w:line="270" w:lineRule="atLeast"/>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- 3%</w:t>
            </w:r>
          </w:p>
        </w:tc>
        <w:tc>
          <w:tcPr>
            <w:tcW w:w="1136" w:type="dxa"/>
          </w:tcPr>
          <w:p w:rsidR="000C17A5" w:rsidRPr="004E33A5" w:rsidRDefault="000C17A5" w:rsidP="00B00899">
            <w:pPr>
              <w:tabs>
                <w:tab w:val="left" w:pos="284"/>
              </w:tabs>
              <w:jc w:val="center"/>
              <w:rPr>
                <w:rFonts w:ascii="Arial" w:eastAsia="MS Mincho" w:hAnsi="Arial" w:cs="Arial"/>
                <w:b/>
                <w:noProof/>
                <w:snapToGrid w:val="0"/>
                <w:sz w:val="20"/>
                <w:szCs w:val="20"/>
                <w:highlight w:val="yellow"/>
                <w:lang w:val="pt-PT"/>
              </w:rPr>
            </w:pPr>
          </w:p>
          <w:p w:rsidR="000C17A5" w:rsidRPr="004E33A5" w:rsidRDefault="000C17A5" w:rsidP="00B00899">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- 55%</w:t>
            </w:r>
          </w:p>
          <w:p w:rsidR="000C17A5" w:rsidRPr="004E33A5" w:rsidRDefault="000C17A5" w:rsidP="00B00899">
            <w:pPr>
              <w:tabs>
                <w:tab w:val="left" w:pos="284"/>
              </w:tabs>
              <w:jc w:val="center"/>
              <w:rPr>
                <w:rFonts w:ascii="Arial" w:eastAsia="MS Mincho" w:hAnsi="Arial" w:cs="Arial"/>
                <w:b/>
                <w:noProof/>
                <w:snapToGrid w:val="0"/>
                <w:sz w:val="20"/>
                <w:szCs w:val="20"/>
                <w:lang w:val="pt-PT"/>
              </w:rPr>
            </w:pPr>
          </w:p>
          <w:p w:rsidR="000C17A5" w:rsidRPr="004E33A5" w:rsidRDefault="000C17A5" w:rsidP="0097284C">
            <w:pPr>
              <w:tabs>
                <w:tab w:val="left" w:pos="284"/>
              </w:tabs>
              <w:spacing w:line="270" w:lineRule="atLeast"/>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- 13%</w:t>
            </w:r>
          </w:p>
        </w:tc>
        <w:tc>
          <w:tcPr>
            <w:tcW w:w="1551" w:type="dxa"/>
          </w:tcPr>
          <w:p w:rsidR="000C17A5" w:rsidRPr="004E33A5" w:rsidRDefault="000C17A5" w:rsidP="00B00899">
            <w:pPr>
              <w:tabs>
                <w:tab w:val="left" w:pos="284"/>
              </w:tabs>
              <w:jc w:val="center"/>
              <w:rPr>
                <w:rFonts w:ascii="Arial" w:eastAsia="MS Mincho" w:hAnsi="Arial" w:cs="Arial"/>
                <w:b/>
                <w:noProof/>
                <w:snapToGrid w:val="0"/>
                <w:sz w:val="20"/>
                <w:szCs w:val="20"/>
                <w:highlight w:val="yellow"/>
                <w:lang w:val="pt-PT"/>
              </w:rPr>
            </w:pPr>
          </w:p>
          <w:p w:rsidR="000C17A5" w:rsidRPr="004E33A5" w:rsidRDefault="000C17A5" w:rsidP="00B00899">
            <w:pPr>
              <w:tabs>
                <w:tab w:val="left" w:pos="284"/>
              </w:tabs>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+ 12%</w:t>
            </w:r>
          </w:p>
          <w:p w:rsidR="000C17A5" w:rsidRPr="004E33A5" w:rsidRDefault="000C17A5" w:rsidP="00B00899">
            <w:pPr>
              <w:tabs>
                <w:tab w:val="left" w:pos="284"/>
              </w:tabs>
              <w:jc w:val="center"/>
              <w:rPr>
                <w:rFonts w:ascii="Arial" w:eastAsia="MS Mincho" w:hAnsi="Arial" w:cs="Arial"/>
                <w:b/>
                <w:noProof/>
                <w:snapToGrid w:val="0"/>
                <w:sz w:val="20"/>
                <w:szCs w:val="20"/>
                <w:lang w:val="pt-PT"/>
              </w:rPr>
            </w:pPr>
          </w:p>
          <w:p w:rsidR="000C17A5" w:rsidRPr="004E33A5" w:rsidRDefault="000C17A5" w:rsidP="0097284C">
            <w:pPr>
              <w:tabs>
                <w:tab w:val="left" w:pos="284"/>
              </w:tabs>
              <w:spacing w:line="270" w:lineRule="atLeast"/>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- 1%</w:t>
            </w:r>
          </w:p>
        </w:tc>
        <w:tc>
          <w:tcPr>
            <w:tcW w:w="1002" w:type="dxa"/>
          </w:tcPr>
          <w:p w:rsidR="000C17A5" w:rsidRPr="004E33A5" w:rsidRDefault="000C17A5" w:rsidP="00B00899">
            <w:pPr>
              <w:tabs>
                <w:tab w:val="left" w:pos="1168"/>
              </w:tabs>
              <w:ind w:right="-108"/>
              <w:jc w:val="center"/>
              <w:rPr>
                <w:rFonts w:ascii="Arial" w:eastAsia="MS Mincho" w:hAnsi="Arial" w:cs="Arial"/>
                <w:b/>
                <w:noProof/>
                <w:snapToGrid w:val="0"/>
                <w:sz w:val="20"/>
                <w:szCs w:val="20"/>
                <w:highlight w:val="yellow"/>
                <w:lang w:val="pt-PT"/>
              </w:rPr>
            </w:pPr>
          </w:p>
          <w:p w:rsidR="000C17A5" w:rsidRPr="004E33A5" w:rsidRDefault="000C17A5" w:rsidP="00B00899">
            <w:pPr>
              <w:tabs>
                <w:tab w:val="left" w:pos="1168"/>
              </w:tabs>
              <w:ind w:right="-108"/>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- 12%</w:t>
            </w:r>
          </w:p>
          <w:p w:rsidR="000C17A5" w:rsidRPr="004E33A5" w:rsidRDefault="000C17A5" w:rsidP="00B00899">
            <w:pPr>
              <w:tabs>
                <w:tab w:val="left" w:pos="1168"/>
              </w:tabs>
              <w:ind w:right="-108"/>
              <w:jc w:val="center"/>
              <w:rPr>
                <w:rFonts w:ascii="Arial" w:eastAsia="MS Mincho" w:hAnsi="Arial" w:cs="Arial"/>
                <w:b/>
                <w:noProof/>
                <w:snapToGrid w:val="0"/>
                <w:sz w:val="20"/>
                <w:szCs w:val="20"/>
                <w:lang w:val="pt-PT"/>
              </w:rPr>
            </w:pPr>
          </w:p>
          <w:p w:rsidR="000C17A5" w:rsidRPr="004E33A5" w:rsidRDefault="000C17A5" w:rsidP="0097284C">
            <w:pPr>
              <w:tabs>
                <w:tab w:val="left" w:pos="1168"/>
              </w:tabs>
              <w:spacing w:line="270" w:lineRule="atLeast"/>
              <w:ind w:right="-108"/>
              <w:jc w:val="center"/>
              <w:rPr>
                <w:rFonts w:ascii="Arial" w:eastAsia="MS Mincho" w:hAnsi="Arial" w:cs="Arial"/>
                <w:b/>
                <w:noProof/>
                <w:snapToGrid w:val="0"/>
                <w:sz w:val="20"/>
                <w:szCs w:val="20"/>
                <w:lang w:val="pt-PT"/>
              </w:rPr>
            </w:pPr>
            <w:r w:rsidRPr="004E33A5">
              <w:rPr>
                <w:rFonts w:ascii="Arial" w:eastAsia="MS Mincho" w:hAnsi="Arial" w:cs="Arial"/>
                <w:b/>
                <w:bCs/>
                <w:noProof/>
                <w:snapToGrid w:val="0"/>
                <w:sz w:val="20"/>
                <w:szCs w:val="20"/>
                <w:lang w:val="pt-PT"/>
              </w:rPr>
              <w:t>- 1%</w:t>
            </w:r>
          </w:p>
        </w:tc>
      </w:tr>
    </w:tbl>
    <w:p w:rsidR="00700DFB" w:rsidRPr="004E33A5" w:rsidRDefault="009F7ED2" w:rsidP="00BD06E7">
      <w:pPr>
        <w:pStyle w:val="Cuerpo"/>
        <w:numPr>
          <w:ilvl w:val="0"/>
          <w:numId w:val="6"/>
        </w:numPr>
        <w:tabs>
          <w:tab w:val="clear" w:pos="360"/>
          <w:tab w:val="num" w:pos="411"/>
        </w:tabs>
        <w:spacing w:before="480" w:after="240" w:line="270" w:lineRule="atLeast"/>
        <w:ind w:left="411" w:hanging="411"/>
        <w:jc w:val="both"/>
        <w:rPr>
          <w:rFonts w:ascii="Arial" w:eastAsia="Arial" w:hAnsi="Arial" w:cs="Arial"/>
          <w:b/>
          <w:bCs/>
          <w:noProof/>
          <w:lang w:val="pt-PT"/>
        </w:rPr>
      </w:pPr>
      <w:r w:rsidRPr="004E33A5">
        <w:rPr>
          <w:rFonts w:ascii="Arial"/>
          <w:b/>
          <w:bCs/>
          <w:noProof/>
          <w:sz w:val="21"/>
          <w:szCs w:val="21"/>
          <w:lang w:val="pt-PT"/>
        </w:rPr>
        <w:t>Primeiros Equipamentos</w:t>
      </w:r>
    </w:p>
    <w:p w:rsidR="00700DFB" w:rsidRPr="004E33A5" w:rsidRDefault="009F7ED2" w:rsidP="00BD06E7">
      <w:pPr>
        <w:pStyle w:val="TextoMichelin"/>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993" w:hanging="426"/>
        <w:rPr>
          <w:rFonts w:eastAsia="Times" w:hAnsi="Arial" w:cs="Times New Roman"/>
          <w:noProof/>
          <w:color w:val="auto"/>
          <w:szCs w:val="24"/>
          <w:bdr w:val="none" w:sz="0" w:space="0" w:color="auto"/>
          <w:lang w:val="pt-PT"/>
        </w:rPr>
      </w:pPr>
      <w:r w:rsidRPr="004E33A5">
        <w:rPr>
          <w:rFonts w:eastAsia="Times" w:hAnsi="Arial" w:cs="Times New Roman"/>
          <w:noProof/>
          <w:color w:val="auto"/>
          <w:szCs w:val="24"/>
          <w:bdr w:val="none" w:sz="0" w:space="0" w:color="auto"/>
          <w:lang w:val="pt-PT"/>
        </w:rPr>
        <w:t xml:space="preserve">Na Europa, o mercado aumenta 7% com uma procura mais dinâmica na Europa Ocidental (+ 11%), enquanto continua bastante deprimida na Europa do Leste (- 20%), num contexto geopolítico e económico desfavorável. </w:t>
      </w:r>
    </w:p>
    <w:p w:rsidR="005E62EF" w:rsidRPr="004E33A5" w:rsidRDefault="009F7ED2" w:rsidP="00BD06E7">
      <w:pPr>
        <w:pStyle w:val="TextoMichelin"/>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993" w:hanging="426"/>
        <w:rPr>
          <w:rFonts w:eastAsia="Times" w:hAnsi="Arial" w:cs="Times New Roman"/>
          <w:noProof/>
          <w:color w:val="auto"/>
          <w:szCs w:val="24"/>
          <w:bdr w:val="none" w:sz="0" w:space="0" w:color="auto"/>
          <w:lang w:val="pt-PT"/>
        </w:rPr>
      </w:pPr>
      <w:r w:rsidRPr="004E33A5">
        <w:rPr>
          <w:rFonts w:eastAsia="Times" w:hAnsi="Arial" w:cs="Times New Roman"/>
          <w:noProof/>
          <w:color w:val="auto"/>
          <w:szCs w:val="24"/>
          <w:bdr w:val="none" w:sz="0" w:space="0" w:color="auto"/>
          <w:lang w:val="pt-PT"/>
        </w:rPr>
        <w:t xml:space="preserve">Na América do Norte o mercado aumenta 7% no ano, com uma desaceleração trimestre após trimestre sobre a base de comparação com 2014. Esta forte procura beneficia da produção sustentada de veículos para permitir a renovação de um parque relativamente antigo num ambiente económico sempre favorável. </w:t>
      </w:r>
    </w:p>
    <w:p w:rsidR="00C447A5" w:rsidRPr="004E33A5" w:rsidRDefault="009F7ED2" w:rsidP="00BD06E7">
      <w:pPr>
        <w:pStyle w:val="TextoMichelin"/>
        <w:numPr>
          <w:ilvl w:val="0"/>
          <w:numId w:val="15"/>
        </w:numPr>
        <w:ind w:left="993" w:hanging="426"/>
        <w:rPr>
          <w:rFonts w:eastAsia="Times" w:hAnsi="Arial"/>
          <w:noProof/>
          <w:u w:val="single"/>
          <w:bdr w:val="none" w:sz="0" w:space="0" w:color="auto"/>
          <w:lang w:val="pt-PT"/>
        </w:rPr>
      </w:pPr>
      <w:r w:rsidRPr="004E33A5">
        <w:rPr>
          <w:rFonts w:eastAsia="Times" w:hAnsi="Arial" w:cs="Times New Roman"/>
          <w:noProof/>
          <w:color w:val="auto"/>
          <w:szCs w:val="24"/>
          <w:bdr w:val="none" w:sz="0" w:space="0" w:color="auto"/>
          <w:lang w:val="pt-PT"/>
        </w:rPr>
        <w:t xml:space="preserve">Na Ásia (excluindo a India), a procura radial e diagonal desce 19%. Na China, o mercado cai 21% devido ao afrouxamento da produção industrial, assim como à procura da otimização nos diversos agentes do transporte Nos outros países da zona, a procura diminui 12%, com uma queda importante na Indonésia e na Coreia, compensada em parte pelo crescimento da Tailândia sobre bases muito fracas. </w:t>
      </w:r>
    </w:p>
    <w:p w:rsidR="00E27F87" w:rsidRPr="004E33A5" w:rsidRDefault="009F7ED2" w:rsidP="00BD06E7">
      <w:pPr>
        <w:pStyle w:val="TextoMichelin"/>
        <w:numPr>
          <w:ilvl w:val="0"/>
          <w:numId w:val="15"/>
        </w:numPr>
        <w:ind w:left="993" w:hanging="426"/>
        <w:rPr>
          <w:rFonts w:eastAsia="Times" w:hAnsi="Arial"/>
          <w:noProof/>
          <w:bdr w:val="none" w:sz="0" w:space="0" w:color="auto"/>
          <w:lang w:val="pt-PT"/>
        </w:rPr>
      </w:pPr>
      <w:r w:rsidRPr="004E33A5">
        <w:rPr>
          <w:rFonts w:eastAsia="Times" w:hAnsi="Arial"/>
          <w:noProof/>
          <w:color w:val="auto"/>
          <w:szCs w:val="24"/>
          <w:bdr w:val="none" w:sz="0" w:space="0" w:color="auto"/>
          <w:lang w:val="pt-PT"/>
        </w:rPr>
        <w:t xml:space="preserve">Na América do Sul, o mercado está em retrocesso de 48% num contexto económico muito difícil. No Brasil, o mercado </w:t>
      </w:r>
      <w:r w:rsidRPr="004E33A5">
        <w:rPr>
          <w:rFonts w:eastAsia="Times" w:hAnsi="Arial"/>
          <w:noProof/>
          <w:bdr w:val="none" w:sz="0" w:space="0" w:color="auto"/>
          <w:lang w:val="pt-PT"/>
        </w:rPr>
        <w:t>(- 51%)</w:t>
      </w:r>
      <w:r w:rsidRPr="004E33A5">
        <w:rPr>
          <w:rFonts w:eastAsia="Times" w:hAnsi="Arial"/>
          <w:noProof/>
          <w:color w:val="auto"/>
          <w:szCs w:val="24"/>
          <w:bdr w:val="none" w:sz="0" w:space="0" w:color="auto"/>
          <w:lang w:val="pt-PT"/>
        </w:rPr>
        <w:t xml:space="preserve"> sofre a paragem da produção de camiões e autocarros. Esta queda é devida a uma menor procura nacional, assim como às dificuldades económicas na Argentina e Venezuela que pesam sobre as exportações de camiões fabricados no Brasil.</w:t>
      </w:r>
    </w:p>
    <w:p w:rsidR="00700DFB" w:rsidRPr="004E33A5" w:rsidRDefault="009F7ED2" w:rsidP="00BD06E7">
      <w:pPr>
        <w:pStyle w:val="Cuerpo"/>
        <w:numPr>
          <w:ilvl w:val="0"/>
          <w:numId w:val="7"/>
        </w:numPr>
        <w:tabs>
          <w:tab w:val="clear" w:pos="360"/>
          <w:tab w:val="num" w:pos="411"/>
        </w:tabs>
        <w:spacing w:before="480" w:after="240" w:line="270" w:lineRule="atLeast"/>
        <w:ind w:left="411" w:hanging="411"/>
        <w:jc w:val="both"/>
        <w:rPr>
          <w:rFonts w:ascii="Arial" w:eastAsia="Arial" w:hAnsi="Arial" w:cs="Arial"/>
          <w:b/>
          <w:bCs/>
          <w:noProof/>
          <w:lang w:val="pt-PT"/>
        </w:rPr>
      </w:pPr>
      <w:r w:rsidRPr="004E33A5">
        <w:rPr>
          <w:rFonts w:ascii="Arial"/>
          <w:b/>
          <w:bCs/>
          <w:noProof/>
          <w:sz w:val="21"/>
          <w:szCs w:val="21"/>
          <w:lang w:val="pt-PT"/>
        </w:rPr>
        <w:t>Substitui</w:t>
      </w:r>
      <w:r w:rsidRPr="004E33A5">
        <w:rPr>
          <w:rFonts w:ascii="Arial" w:hAnsi="Arial" w:cs="Arial"/>
          <w:b/>
          <w:bCs/>
          <w:noProof/>
          <w:sz w:val="21"/>
          <w:szCs w:val="21"/>
          <w:lang w:val="pt-PT"/>
        </w:rPr>
        <w:t>çã</w:t>
      </w:r>
      <w:r w:rsidRPr="004E33A5">
        <w:rPr>
          <w:rFonts w:ascii="Arial"/>
          <w:b/>
          <w:bCs/>
          <w:noProof/>
          <w:sz w:val="21"/>
          <w:szCs w:val="21"/>
          <w:lang w:val="pt-PT"/>
        </w:rPr>
        <w:t>o</w:t>
      </w:r>
    </w:p>
    <w:p w:rsidR="00113267" w:rsidRPr="004E33A5" w:rsidRDefault="009F7ED2" w:rsidP="00BD06E7">
      <w:pPr>
        <w:pStyle w:val="TextoMichelin"/>
        <w:numPr>
          <w:ilvl w:val="0"/>
          <w:numId w:val="15"/>
        </w:numPr>
        <w:ind w:left="993" w:hanging="426"/>
        <w:rPr>
          <w:rFonts w:eastAsia="Times" w:hAnsi="Arial"/>
          <w:noProof/>
          <w:bdr w:val="none" w:sz="0" w:space="0" w:color="auto"/>
          <w:lang w:val="pt-PT"/>
        </w:rPr>
      </w:pPr>
      <w:r w:rsidRPr="004E33A5">
        <w:rPr>
          <w:rFonts w:eastAsia="Times" w:hAnsi="Arial"/>
          <w:noProof/>
          <w:color w:val="auto"/>
          <w:szCs w:val="24"/>
          <w:bdr w:val="none" w:sz="0" w:space="0" w:color="auto"/>
          <w:lang w:val="pt-PT"/>
        </w:rPr>
        <w:t xml:space="preserve">Na Europa, o mercado aumenta 1% anual com uma ligeira descida no mercado russo no segundo semestre. Na Europa Ocidental cresce </w:t>
      </w:r>
      <w:r w:rsidRPr="004E33A5">
        <w:rPr>
          <w:rFonts w:eastAsia="Times" w:hAnsi="Arial"/>
          <w:noProof/>
          <w:bdr w:val="none" w:sz="0" w:space="0" w:color="auto"/>
          <w:lang w:val="pt-PT"/>
        </w:rPr>
        <w:t>(+ 7%)</w:t>
      </w:r>
      <w:r w:rsidRPr="004E33A5">
        <w:rPr>
          <w:rFonts w:eastAsia="Times" w:hAnsi="Arial"/>
          <w:noProof/>
          <w:color w:val="auto"/>
          <w:szCs w:val="24"/>
          <w:bdr w:val="none" w:sz="0" w:space="0" w:color="auto"/>
          <w:lang w:val="pt-PT"/>
        </w:rPr>
        <w:t>, animado pela evolução favorável das toneladas/km, pelo crescimento dos pneus de low cost procedentes de Ásia, que competem no segmento de recauchutado, e pelas exportações dos distribuidores de fora da zona graças à descida do euro. Na Europa do Leste, o mercado mantém a queda no ano (- 11%) devido às dificuldades na Rússia.</w:t>
      </w:r>
    </w:p>
    <w:p w:rsidR="0080799F" w:rsidRPr="004E33A5" w:rsidRDefault="009F7ED2" w:rsidP="00BD06E7">
      <w:pPr>
        <w:pStyle w:val="TextoMichelin"/>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993" w:hanging="426"/>
        <w:rPr>
          <w:rFonts w:eastAsia="Times" w:hAnsi="Arial" w:cs="Times New Roman"/>
          <w:noProof/>
          <w:color w:val="auto"/>
          <w:szCs w:val="24"/>
          <w:bdr w:val="none" w:sz="0" w:space="0" w:color="auto"/>
          <w:lang w:val="pt-PT"/>
        </w:rPr>
      </w:pPr>
      <w:r w:rsidRPr="004E33A5">
        <w:rPr>
          <w:rFonts w:eastAsia="Times" w:hAnsi="Arial" w:cs="Times New Roman"/>
          <w:noProof/>
          <w:color w:val="auto"/>
          <w:szCs w:val="24"/>
          <w:bdr w:val="none" w:sz="0" w:space="0" w:color="auto"/>
          <w:lang w:val="pt-PT"/>
        </w:rPr>
        <w:t>Na América do Norte, o mercado continua sempre bem orientado (+ 4%), graças à procura do transporte, que continua forte numa economia dinâmica.</w:t>
      </w:r>
    </w:p>
    <w:p w:rsidR="004204E7" w:rsidRPr="004E33A5" w:rsidRDefault="009F7ED2" w:rsidP="00BD06E7">
      <w:pPr>
        <w:pStyle w:val="TextoMichelin"/>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993" w:hanging="426"/>
        <w:rPr>
          <w:rFonts w:eastAsia="Times" w:hAnsi="Arial" w:cs="Times New Roman"/>
          <w:noProof/>
          <w:color w:val="auto"/>
          <w:szCs w:val="24"/>
          <w:bdr w:val="none" w:sz="0" w:space="0" w:color="auto"/>
          <w:lang w:val="pt-PT"/>
        </w:rPr>
      </w:pPr>
      <w:r w:rsidRPr="004E33A5">
        <w:rPr>
          <w:rFonts w:eastAsia="Times" w:hAnsi="Arial" w:cs="Times New Roman"/>
          <w:noProof/>
          <w:color w:val="auto"/>
          <w:szCs w:val="24"/>
          <w:bdr w:val="none" w:sz="0" w:space="0" w:color="auto"/>
          <w:lang w:val="pt-PT"/>
        </w:rPr>
        <w:t>Os mercados da Ásia (sem incluir a Índia) radial e diagonal descem 3%. Na China, a procura cai 3% com uma atividade de transporte penalizada pelo afrouxamento do ritmo de crescimento económico. No resto da zona os mercados estão globalmente em retrocesso, com uma queda especialmente significativa na Tailândia e, em menor medida, no Japão, em que o mercado desce bastante em comparação com o início de 2014, que tinha crescido bastante antes do aumento do IVA.</w:t>
      </w:r>
    </w:p>
    <w:p w:rsidR="00A630DF" w:rsidRPr="004E33A5" w:rsidRDefault="009F7ED2" w:rsidP="00BD06E7">
      <w:pPr>
        <w:pStyle w:val="TextoMichelin"/>
        <w:numPr>
          <w:ilvl w:val="0"/>
          <w:numId w:val="15"/>
        </w:numPr>
        <w:ind w:left="993" w:hanging="426"/>
        <w:rPr>
          <w:rFonts w:eastAsia="Times" w:hAnsi="Arial"/>
          <w:noProof/>
          <w:bdr w:val="none" w:sz="0" w:space="0" w:color="auto"/>
          <w:lang w:val="pt-PT"/>
        </w:rPr>
      </w:pPr>
      <w:r w:rsidRPr="004E33A5">
        <w:rPr>
          <w:rFonts w:eastAsia="Times" w:hAnsi="Arial" w:cs="Times New Roman"/>
          <w:noProof/>
          <w:color w:val="auto"/>
          <w:szCs w:val="24"/>
          <w:bdr w:val="none" w:sz="0" w:space="0" w:color="auto"/>
          <w:lang w:val="pt-PT"/>
        </w:rPr>
        <w:t xml:space="preserve">Na América do Sul, o mercado radial e diagonal cai 8%, com uma descida mais acentuada no Brasil, num ambiente económico difícil. </w:t>
      </w:r>
    </w:p>
    <w:p w:rsidR="00700DFB" w:rsidRPr="004E33A5" w:rsidRDefault="00700DFB">
      <w:pPr>
        <w:pStyle w:val="Cuerpo"/>
        <w:tabs>
          <w:tab w:val="left" w:pos="284"/>
        </w:tabs>
        <w:jc w:val="both"/>
        <w:rPr>
          <w:rFonts w:ascii="Verdana" w:eastAsia="Verdana" w:hAnsi="Verdana" w:cs="Verdana"/>
          <w:b/>
          <w:bCs/>
          <w:noProof/>
          <w:shd w:val="clear" w:color="auto" w:fill="FF0000"/>
          <w:lang w:val="pt-PT"/>
        </w:rPr>
      </w:pPr>
    </w:p>
    <w:p w:rsidR="00700DFB" w:rsidRPr="004E33A5" w:rsidRDefault="009F7ED2">
      <w:pPr>
        <w:pStyle w:val="Cuerpo"/>
        <w:tabs>
          <w:tab w:val="left" w:pos="284"/>
        </w:tabs>
        <w:jc w:val="both"/>
        <w:rPr>
          <w:b/>
          <w:bCs/>
          <w:noProof/>
          <w:sz w:val="26"/>
          <w:szCs w:val="26"/>
          <w:lang w:val="pt-PT"/>
        </w:rPr>
      </w:pPr>
      <w:r w:rsidRPr="004E33A5">
        <w:rPr>
          <w:b/>
          <w:bCs/>
          <w:noProof/>
          <w:sz w:val="26"/>
          <w:szCs w:val="26"/>
          <w:lang w:val="pt-PT"/>
        </w:rPr>
        <w:t>Pneus de especialidades</w:t>
      </w:r>
    </w:p>
    <w:p w:rsidR="00700DFB" w:rsidRPr="004E33A5" w:rsidRDefault="00700DFB">
      <w:pPr>
        <w:pStyle w:val="Cuerpo"/>
        <w:tabs>
          <w:tab w:val="left" w:pos="284"/>
        </w:tabs>
        <w:jc w:val="both"/>
        <w:rPr>
          <w:rFonts w:ascii="Verdana" w:eastAsia="Verdana" w:hAnsi="Verdana" w:cs="Verdana"/>
          <w:b/>
          <w:bCs/>
          <w:noProof/>
          <w:shd w:val="clear" w:color="auto" w:fill="FF0000"/>
          <w:lang w:val="pt-PT"/>
        </w:rPr>
      </w:pPr>
    </w:p>
    <w:p w:rsidR="006F245F" w:rsidRPr="004E33A5" w:rsidRDefault="009F7ED2" w:rsidP="00BD06E7">
      <w:pPr>
        <w:pStyle w:val="TextoMichelin"/>
        <w:numPr>
          <w:ilvl w:val="0"/>
          <w:numId w:val="16"/>
        </w:numPr>
        <w:rPr>
          <w:rFonts w:eastAsia="Arial" w:hAnsi="Arial" w:cs="Arial"/>
          <w:noProof/>
          <w:lang w:val="pt-PT"/>
        </w:rPr>
      </w:pPr>
      <w:r w:rsidRPr="004E33A5">
        <w:rPr>
          <w:b/>
          <w:bCs/>
          <w:noProof/>
          <w:lang w:val="pt-PT"/>
        </w:rPr>
        <w:t>Engenharia civil:</w:t>
      </w:r>
      <w:r w:rsidRPr="004E33A5">
        <w:rPr>
          <w:noProof/>
          <w:lang w:val="pt-PT"/>
        </w:rPr>
        <w:t xml:space="preserve"> O mercado de pneus para minaria diminui significativamente por segundo ano consecutivo, penalizado pela diminui</w:t>
      </w:r>
      <w:r w:rsidRPr="004E33A5">
        <w:rPr>
          <w:noProof/>
          <w:lang w:val="pt-PT"/>
        </w:rPr>
        <w:t>ç</w:t>
      </w:r>
      <w:r w:rsidRPr="004E33A5">
        <w:rPr>
          <w:rFonts w:ascii="Arial Unicode MS"/>
          <w:noProof/>
          <w:lang w:val="pt-PT"/>
        </w:rPr>
        <w:t>ã</w:t>
      </w:r>
      <w:r w:rsidRPr="004E33A5">
        <w:rPr>
          <w:noProof/>
          <w:lang w:val="pt-PT"/>
        </w:rPr>
        <w:t>o do stock das companhias mineiras e pela descida do consumo de pneus (extra</w:t>
      </w:r>
      <w:r w:rsidRPr="004E33A5">
        <w:rPr>
          <w:noProof/>
          <w:lang w:val="pt-PT"/>
        </w:rPr>
        <w:t>çã</w:t>
      </w:r>
      <w:r w:rsidRPr="004E33A5">
        <w:rPr>
          <w:noProof/>
          <w:lang w:val="pt-PT"/>
        </w:rPr>
        <w:t>o em queda e esfor</w:t>
      </w:r>
      <w:r w:rsidRPr="004E33A5">
        <w:rPr>
          <w:noProof/>
          <w:lang w:val="pt-PT"/>
        </w:rPr>
        <w:t>ç</w:t>
      </w:r>
      <w:r w:rsidRPr="004E33A5">
        <w:rPr>
          <w:noProof/>
          <w:lang w:val="pt-PT"/>
        </w:rPr>
        <w:t xml:space="preserve">os de produtividade das minas). </w:t>
      </w:r>
    </w:p>
    <w:p w:rsidR="006F245F" w:rsidRPr="004E33A5" w:rsidRDefault="009F7ED2" w:rsidP="006F245F">
      <w:pPr>
        <w:pStyle w:val="TextoMichelin"/>
        <w:ind w:left="720"/>
        <w:rPr>
          <w:rFonts w:eastAsia="Arial" w:hAnsi="Arial" w:cs="Arial"/>
          <w:noProof/>
          <w:lang w:val="pt-PT"/>
        </w:rPr>
      </w:pPr>
      <w:r w:rsidRPr="004E33A5">
        <w:rPr>
          <w:noProof/>
          <w:lang w:val="pt-PT"/>
        </w:rPr>
        <w:t>Os mercados de primeiros equipamentos caem nas zonas maduras, ap</w:t>
      </w:r>
      <w:r w:rsidRPr="004E33A5">
        <w:rPr>
          <w:noProof/>
          <w:lang w:val="pt-PT"/>
        </w:rPr>
        <w:t>ó</w:t>
      </w:r>
      <w:r w:rsidRPr="004E33A5">
        <w:rPr>
          <w:noProof/>
          <w:lang w:val="pt-PT"/>
        </w:rPr>
        <w:t>s uma mudan</w:t>
      </w:r>
      <w:r w:rsidRPr="004E33A5">
        <w:rPr>
          <w:noProof/>
          <w:lang w:val="pt-PT"/>
        </w:rPr>
        <w:t>ç</w:t>
      </w:r>
      <w:r w:rsidRPr="004E33A5">
        <w:rPr>
          <w:noProof/>
          <w:lang w:val="pt-PT"/>
        </w:rPr>
        <w:t>a de tend</w:t>
      </w:r>
      <w:r w:rsidRPr="004E33A5">
        <w:rPr>
          <w:noProof/>
          <w:lang w:val="pt-PT"/>
        </w:rPr>
        <w:t>ê</w:t>
      </w:r>
      <w:r w:rsidRPr="004E33A5">
        <w:rPr>
          <w:noProof/>
          <w:lang w:val="pt-PT"/>
        </w:rPr>
        <w:t>ncia no quarto trimestre. Descem bastante na China.</w:t>
      </w:r>
    </w:p>
    <w:p w:rsidR="00700DFB" w:rsidRPr="004E33A5" w:rsidRDefault="009F7ED2" w:rsidP="006F245F">
      <w:pPr>
        <w:pStyle w:val="TextoMichelin"/>
        <w:ind w:left="720"/>
        <w:rPr>
          <w:noProof/>
          <w:lang w:val="pt-PT"/>
        </w:rPr>
      </w:pPr>
      <w:r w:rsidRPr="004E33A5">
        <w:rPr>
          <w:noProof/>
          <w:lang w:val="pt-PT"/>
        </w:rPr>
        <w:t>O mercado de pneus para infraestruturas e pedreiras est</w:t>
      </w:r>
      <w:r w:rsidRPr="004E33A5">
        <w:rPr>
          <w:noProof/>
          <w:lang w:val="pt-PT"/>
        </w:rPr>
        <w:t>á</w:t>
      </w:r>
      <w:r w:rsidRPr="004E33A5">
        <w:rPr>
          <w:noProof/>
          <w:lang w:val="pt-PT"/>
        </w:rPr>
        <w:t xml:space="preserve"> em crescimento nos pa</w:t>
      </w:r>
      <w:r w:rsidRPr="004E33A5">
        <w:rPr>
          <w:noProof/>
          <w:lang w:val="pt-PT"/>
        </w:rPr>
        <w:t>í</w:t>
      </w:r>
      <w:r w:rsidRPr="004E33A5">
        <w:rPr>
          <w:noProof/>
          <w:lang w:val="pt-PT"/>
        </w:rPr>
        <w:t>ses maduros, animados especialmente pela Am</w:t>
      </w:r>
      <w:r w:rsidRPr="004E33A5">
        <w:rPr>
          <w:noProof/>
          <w:lang w:val="pt-PT"/>
        </w:rPr>
        <w:t>é</w:t>
      </w:r>
      <w:r w:rsidRPr="004E33A5">
        <w:rPr>
          <w:noProof/>
          <w:lang w:val="pt-PT"/>
        </w:rPr>
        <w:t xml:space="preserve">rica do Norte. </w:t>
      </w:r>
    </w:p>
    <w:p w:rsidR="00CE4BC4" w:rsidRPr="004E33A5" w:rsidRDefault="009F7ED2" w:rsidP="00BD06E7">
      <w:pPr>
        <w:pStyle w:val="TextoMichelin"/>
        <w:numPr>
          <w:ilvl w:val="0"/>
          <w:numId w:val="16"/>
        </w:numPr>
        <w:rPr>
          <w:rFonts w:eastAsia="Arial" w:hAnsi="Arial" w:cs="Arial"/>
          <w:noProof/>
          <w:lang w:val="pt-PT"/>
        </w:rPr>
      </w:pPr>
      <w:r w:rsidRPr="004E33A5">
        <w:rPr>
          <w:b/>
          <w:bCs/>
          <w:noProof/>
          <w:lang w:val="pt-PT"/>
        </w:rPr>
        <w:t>Agr</w:t>
      </w:r>
      <w:r w:rsidRPr="004E33A5">
        <w:rPr>
          <w:rFonts w:hAnsi="Arial" w:cs="Arial"/>
          <w:b/>
          <w:bCs/>
          <w:noProof/>
          <w:lang w:val="pt-PT"/>
        </w:rPr>
        <w:t>í</w:t>
      </w:r>
      <w:r w:rsidRPr="004E33A5">
        <w:rPr>
          <w:b/>
          <w:bCs/>
          <w:noProof/>
          <w:lang w:val="pt-PT"/>
        </w:rPr>
        <w:t>cola:</w:t>
      </w:r>
      <w:r w:rsidRPr="004E33A5">
        <w:rPr>
          <w:noProof/>
          <w:lang w:val="pt-PT"/>
        </w:rPr>
        <w:t xml:space="preserve"> A procura mundial do mercado de primeiros equipamentos desce bastante nos pa</w:t>
      </w:r>
      <w:r w:rsidRPr="004E33A5">
        <w:rPr>
          <w:rFonts w:ascii="Arial Unicode MS"/>
          <w:noProof/>
          <w:lang w:val="pt-PT"/>
        </w:rPr>
        <w:t>í</w:t>
      </w:r>
      <w:r w:rsidRPr="004E33A5">
        <w:rPr>
          <w:noProof/>
          <w:lang w:val="pt-PT"/>
        </w:rPr>
        <w:t>ses maduros devido ao retrocesso dos pre</w:t>
      </w:r>
      <w:r w:rsidRPr="004E33A5">
        <w:rPr>
          <w:noProof/>
          <w:lang w:val="pt-PT"/>
        </w:rPr>
        <w:t>ç</w:t>
      </w:r>
      <w:r w:rsidRPr="004E33A5">
        <w:rPr>
          <w:noProof/>
          <w:lang w:val="pt-PT"/>
        </w:rPr>
        <w:t>os das mat</w:t>
      </w:r>
      <w:r w:rsidRPr="004E33A5">
        <w:rPr>
          <w:noProof/>
          <w:lang w:val="pt-PT"/>
        </w:rPr>
        <w:t>é</w:t>
      </w:r>
      <w:r w:rsidRPr="004E33A5">
        <w:rPr>
          <w:noProof/>
          <w:lang w:val="pt-PT"/>
        </w:rPr>
        <w:t>rias-primas agr</w:t>
      </w:r>
      <w:r w:rsidRPr="004E33A5">
        <w:rPr>
          <w:noProof/>
          <w:lang w:val="pt-PT"/>
        </w:rPr>
        <w:t>í</w:t>
      </w:r>
      <w:r w:rsidRPr="004E33A5">
        <w:rPr>
          <w:noProof/>
          <w:lang w:val="pt-PT"/>
        </w:rPr>
        <w:t>colas e ao parque de maquinaria recentemente renovado; a procura mant</w:t>
      </w:r>
      <w:r w:rsidRPr="004E33A5">
        <w:rPr>
          <w:noProof/>
          <w:lang w:val="pt-PT"/>
        </w:rPr>
        <w:t>é</w:t>
      </w:r>
      <w:r w:rsidRPr="004E33A5">
        <w:rPr>
          <w:noProof/>
          <w:lang w:val="pt-PT"/>
        </w:rPr>
        <w:t>m-se est</w:t>
      </w:r>
      <w:r w:rsidRPr="004E33A5">
        <w:rPr>
          <w:noProof/>
          <w:lang w:val="pt-PT"/>
        </w:rPr>
        <w:t>á</w:t>
      </w:r>
      <w:r w:rsidRPr="004E33A5">
        <w:rPr>
          <w:noProof/>
          <w:lang w:val="pt-PT"/>
        </w:rPr>
        <w:t>vel no quarto trimestre. Nos pa</w:t>
      </w:r>
      <w:r w:rsidRPr="004E33A5">
        <w:rPr>
          <w:noProof/>
          <w:lang w:val="pt-PT"/>
        </w:rPr>
        <w:t>í</w:t>
      </w:r>
      <w:r w:rsidRPr="004E33A5">
        <w:rPr>
          <w:noProof/>
          <w:lang w:val="pt-PT"/>
        </w:rPr>
        <w:t>ses maduros, o mercado de substitui</w:t>
      </w:r>
      <w:r w:rsidRPr="004E33A5">
        <w:rPr>
          <w:noProof/>
          <w:lang w:val="pt-PT"/>
        </w:rPr>
        <w:t>çã</w:t>
      </w:r>
      <w:r w:rsidRPr="004E33A5">
        <w:rPr>
          <w:noProof/>
          <w:lang w:val="pt-PT"/>
        </w:rPr>
        <w:t>o diminui pelas mesmas raz</w:t>
      </w:r>
      <w:r w:rsidRPr="004E33A5">
        <w:rPr>
          <w:noProof/>
          <w:lang w:val="pt-PT"/>
        </w:rPr>
        <w:t>õ</w:t>
      </w:r>
      <w:r w:rsidRPr="004E33A5">
        <w:rPr>
          <w:noProof/>
          <w:lang w:val="pt-PT"/>
        </w:rPr>
        <w:t>es.</w:t>
      </w:r>
      <w:r w:rsidRPr="004E33A5">
        <w:rPr>
          <w:rFonts w:ascii="Verdana" w:hAnsi="Verdana"/>
          <w:noProof/>
          <w:color w:val="auto"/>
          <w:sz w:val="18"/>
          <w:szCs w:val="18"/>
          <w:bdr w:val="none" w:sz="0" w:space="0" w:color="auto"/>
          <w:lang w:val="pt-PT"/>
        </w:rPr>
        <w:t xml:space="preserve"> </w:t>
      </w:r>
    </w:p>
    <w:p w:rsidR="00700DFB" w:rsidRPr="004E33A5" w:rsidRDefault="009F7ED2" w:rsidP="00BD06E7">
      <w:pPr>
        <w:pStyle w:val="TextoMichelin"/>
        <w:numPr>
          <w:ilvl w:val="0"/>
          <w:numId w:val="16"/>
        </w:numPr>
        <w:rPr>
          <w:rFonts w:eastAsia="Arial" w:hAnsi="Arial" w:cs="Arial"/>
          <w:noProof/>
          <w:lang w:val="pt-PT"/>
        </w:rPr>
      </w:pPr>
      <w:r w:rsidRPr="004E33A5">
        <w:rPr>
          <w:b/>
          <w:bCs/>
          <w:noProof/>
          <w:lang w:val="pt-PT"/>
        </w:rPr>
        <w:t>Duas rodas</w:t>
      </w:r>
      <w:r w:rsidRPr="004E33A5">
        <w:rPr>
          <w:noProof/>
          <w:lang w:val="pt-PT"/>
        </w:rPr>
        <w:t>: A procura de Moto e Scooter est</w:t>
      </w:r>
      <w:r w:rsidRPr="004E33A5">
        <w:rPr>
          <w:noProof/>
          <w:lang w:val="pt-PT"/>
        </w:rPr>
        <w:t>á</w:t>
      </w:r>
      <w:r w:rsidRPr="004E33A5">
        <w:rPr>
          <w:noProof/>
          <w:lang w:val="pt-PT"/>
        </w:rPr>
        <w:t xml:space="preserve"> a subir tanto nos pa</w:t>
      </w:r>
      <w:r w:rsidRPr="004E33A5">
        <w:rPr>
          <w:noProof/>
          <w:lang w:val="pt-PT"/>
        </w:rPr>
        <w:t>í</w:t>
      </w:r>
      <w:r w:rsidRPr="004E33A5">
        <w:rPr>
          <w:noProof/>
          <w:lang w:val="pt-PT"/>
        </w:rPr>
        <w:t>ses maduros como nos novos mercados.</w:t>
      </w:r>
    </w:p>
    <w:p w:rsidR="00700DFB" w:rsidRPr="004E33A5" w:rsidRDefault="009F7ED2" w:rsidP="00BD06E7">
      <w:pPr>
        <w:pStyle w:val="TextoMichelin"/>
        <w:numPr>
          <w:ilvl w:val="0"/>
          <w:numId w:val="16"/>
        </w:numPr>
        <w:rPr>
          <w:noProof/>
          <w:lang w:val="pt-PT"/>
        </w:rPr>
      </w:pPr>
      <w:r w:rsidRPr="004E33A5">
        <w:rPr>
          <w:b/>
          <w:bCs/>
          <w:noProof/>
          <w:lang w:val="pt-PT"/>
        </w:rPr>
        <w:t>Avi</w:t>
      </w:r>
      <w:r w:rsidRPr="004E33A5">
        <w:rPr>
          <w:rFonts w:hAnsi="Arial" w:cs="Arial"/>
          <w:b/>
          <w:bCs/>
          <w:noProof/>
          <w:lang w:val="pt-PT"/>
        </w:rPr>
        <w:t>ã</w:t>
      </w:r>
      <w:r w:rsidRPr="004E33A5">
        <w:rPr>
          <w:b/>
          <w:bCs/>
          <w:noProof/>
          <w:lang w:val="pt-PT"/>
        </w:rPr>
        <w:t>o:</w:t>
      </w:r>
      <w:r w:rsidRPr="004E33A5">
        <w:rPr>
          <w:noProof/>
          <w:lang w:val="pt-PT"/>
        </w:rPr>
        <w:t xml:space="preserve"> O mercado de pneus para a avia</w:t>
      </w:r>
      <w:r w:rsidRPr="004E33A5">
        <w:rPr>
          <w:noProof/>
          <w:lang w:val="pt-PT"/>
        </w:rPr>
        <w:t>çã</w:t>
      </w:r>
      <w:r w:rsidRPr="004E33A5">
        <w:rPr>
          <w:noProof/>
          <w:lang w:val="pt-PT"/>
        </w:rPr>
        <w:t xml:space="preserve">o comercial continua a crescer, impulsionado pelo aumento </w:t>
      </w:r>
      <w:r w:rsidRPr="004E33A5">
        <w:rPr>
          <w:rFonts w:ascii="Arial Unicode MS"/>
          <w:noProof/>
          <w:lang w:val="pt-PT"/>
        </w:rPr>
        <w:t>do tráfego</w:t>
      </w:r>
      <w:r w:rsidRPr="004E33A5">
        <w:rPr>
          <w:noProof/>
          <w:lang w:val="pt-PT"/>
        </w:rPr>
        <w:t xml:space="preserve"> de passageiros.</w:t>
      </w:r>
    </w:p>
    <w:p w:rsidR="00700DFB" w:rsidRPr="004E33A5" w:rsidRDefault="009F7ED2">
      <w:pPr>
        <w:pStyle w:val="Cuerpo"/>
        <w:spacing w:after="60"/>
        <w:jc w:val="both"/>
        <w:rPr>
          <w:b/>
          <w:bCs/>
          <w:noProof/>
          <w:color w:val="333399"/>
          <w:sz w:val="40"/>
          <w:szCs w:val="40"/>
          <w:u w:color="333399"/>
          <w:lang w:val="pt-PT"/>
        </w:rPr>
      </w:pPr>
      <w:r w:rsidRPr="004E33A5">
        <w:rPr>
          <w:b/>
          <w:bCs/>
          <w:noProof/>
          <w:color w:val="333399"/>
          <w:sz w:val="40"/>
          <w:szCs w:val="40"/>
          <w:u w:color="333399"/>
          <w:lang w:val="pt-PT"/>
        </w:rPr>
        <w:t>Atividade e resultados de 2015</w:t>
      </w:r>
    </w:p>
    <w:p w:rsidR="00700DFB" w:rsidRPr="004E33A5" w:rsidRDefault="009F7ED2">
      <w:pPr>
        <w:pStyle w:val="LadilloMichelinDossier"/>
        <w:rPr>
          <w:noProof/>
          <w:lang w:val="pt-PT"/>
        </w:rPr>
      </w:pPr>
      <w:r w:rsidRPr="004E33A5">
        <w:rPr>
          <w:noProof/>
          <w:lang w:val="pt-PT"/>
        </w:rPr>
        <w:t>Vendas líquidas</w:t>
      </w:r>
    </w:p>
    <w:p w:rsidR="00F126E2" w:rsidRPr="004E33A5" w:rsidRDefault="00091C14">
      <w:pPr>
        <w:pStyle w:val="TextoMichelin"/>
        <w:rPr>
          <w:noProof/>
          <w:color w:val="auto"/>
          <w:lang w:val="pt-PT"/>
        </w:rPr>
      </w:pPr>
      <w:r w:rsidRPr="004E33A5">
        <w:rPr>
          <w:noProof/>
          <w:color w:val="auto"/>
          <w:lang w:val="pt-PT"/>
        </w:rPr>
        <w:t>As vendas l</w:t>
      </w:r>
      <w:r w:rsidRPr="004E33A5">
        <w:rPr>
          <w:noProof/>
          <w:color w:val="auto"/>
          <w:lang w:val="pt-PT"/>
        </w:rPr>
        <w:t>í</w:t>
      </w:r>
      <w:r w:rsidRPr="004E33A5">
        <w:rPr>
          <w:noProof/>
          <w:color w:val="auto"/>
          <w:lang w:val="pt-PT"/>
        </w:rPr>
        <w:t>quidas atingem 21.199 milh</w:t>
      </w:r>
      <w:r w:rsidRPr="004E33A5">
        <w:rPr>
          <w:noProof/>
          <w:color w:val="auto"/>
          <w:lang w:val="pt-PT"/>
        </w:rPr>
        <w:t>õ</w:t>
      </w:r>
      <w:r w:rsidRPr="004E33A5">
        <w:rPr>
          <w:noProof/>
          <w:color w:val="auto"/>
          <w:lang w:val="pt-PT"/>
        </w:rPr>
        <w:t>es de euros, num crescimento de 8,4% em rela</w:t>
      </w:r>
      <w:r w:rsidRPr="004E33A5">
        <w:rPr>
          <w:noProof/>
          <w:color w:val="auto"/>
          <w:lang w:val="pt-PT"/>
        </w:rPr>
        <w:t>çã</w:t>
      </w:r>
      <w:r w:rsidRPr="004E33A5">
        <w:rPr>
          <w:noProof/>
          <w:color w:val="auto"/>
          <w:lang w:val="pt-PT"/>
        </w:rPr>
        <w:t xml:space="preserve">o a 2014, </w:t>
      </w:r>
      <w:r w:rsidRPr="004E33A5">
        <w:rPr>
          <w:noProof/>
          <w:lang w:val="pt-PT"/>
        </w:rPr>
        <w:t>devido aos seguintes fatores:</w:t>
      </w:r>
    </w:p>
    <w:p w:rsidR="00A534DF" w:rsidRPr="004E33A5" w:rsidRDefault="00FD5FE0" w:rsidP="00BD06E7">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eastAsia="Times New Roman" w:hAnsi="Arial"/>
          <w:bCs/>
          <w:iCs/>
          <w:noProof/>
          <w:sz w:val="21"/>
          <w:szCs w:val="20"/>
          <w:bdr w:val="none" w:sz="0" w:space="0" w:color="auto"/>
          <w:lang w:val="pt-PT"/>
        </w:rPr>
      </w:pPr>
      <w:r w:rsidRPr="004E33A5">
        <w:rPr>
          <w:rFonts w:ascii="Arial" w:eastAsia="Times New Roman" w:hAnsi="Arial"/>
          <w:noProof/>
          <w:sz w:val="21"/>
          <w:szCs w:val="20"/>
          <w:bdr w:val="none" w:sz="0" w:space="0" w:color="auto"/>
          <w:lang w:val="pt-PT"/>
        </w:rPr>
        <w:t xml:space="preserve">O efeito favorável de 624 milhões de euros, devido ao aumento dos volumes de 3,2%, superior aos mercados. </w:t>
      </w:r>
    </w:p>
    <w:p w:rsidR="00FD5FE0" w:rsidRPr="004E33A5" w:rsidRDefault="00FD5FE0" w:rsidP="00FD5FE0">
      <w:pPr>
        <w:pBdr>
          <w:top w:val="none" w:sz="0" w:space="0" w:color="auto"/>
          <w:left w:val="none" w:sz="0" w:space="0" w:color="auto"/>
          <w:bottom w:val="none" w:sz="0" w:space="0" w:color="auto"/>
          <w:right w:val="none" w:sz="0" w:space="0" w:color="auto"/>
          <w:between w:val="none" w:sz="0" w:space="0" w:color="auto"/>
          <w:bar w:val="none" w:sz="0" w:color="auto"/>
        </w:pBdr>
        <w:ind w:left="782"/>
        <w:contextualSpacing/>
        <w:jc w:val="both"/>
        <w:rPr>
          <w:rFonts w:ascii="Arial" w:eastAsia="Times New Roman" w:hAnsi="Arial"/>
          <w:bCs/>
          <w:noProof/>
          <w:sz w:val="21"/>
          <w:szCs w:val="20"/>
          <w:bdr w:val="none" w:sz="0" w:space="0" w:color="auto"/>
          <w:lang w:val="pt-PT"/>
        </w:rPr>
      </w:pPr>
    </w:p>
    <w:p w:rsidR="00D77DFB" w:rsidRPr="004E33A5" w:rsidRDefault="00FD5FE0" w:rsidP="00BD06E7">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0" w:lineRule="atLeast"/>
        <w:contextualSpacing/>
        <w:jc w:val="both"/>
        <w:rPr>
          <w:rFonts w:ascii="Arial" w:eastAsia="Times New Roman" w:hAnsi="Arial"/>
          <w:bCs/>
          <w:noProof/>
          <w:sz w:val="21"/>
          <w:szCs w:val="20"/>
          <w:bdr w:val="none" w:sz="0" w:space="0" w:color="auto"/>
          <w:lang w:val="pt-PT"/>
        </w:rPr>
      </w:pPr>
      <w:r w:rsidRPr="004E33A5">
        <w:rPr>
          <w:rFonts w:ascii="Arial" w:eastAsia="Times New Roman" w:hAnsi="Arial"/>
          <w:noProof/>
          <w:sz w:val="21"/>
          <w:szCs w:val="20"/>
          <w:bdr w:val="none" w:sz="0" w:space="0" w:color="auto"/>
          <w:lang w:val="pt-PT"/>
        </w:rPr>
        <w:t>O efeito negativo do mix de preços de 687 milhões de euros (- 3,4%). Que inclui - 715 milhões de euros, devidos à evolução dos preços, em que um terço corresponde aos ajustamentos relacionados com as cláusulas de indexação dos preços das matérias-primas, e o efeito positivo do mix que atinge 28 milhões de euros; o mix de produto, sempre bastante positivo, está parcialmente limitado pelo mix geográfico e pelos efeitos do mix relacionados com o progresso relativo dos pneus de gama básica, dos primeiros equipamentos e da queda da Engenharia Civil.</w:t>
      </w:r>
    </w:p>
    <w:p w:rsidR="00D77DFB" w:rsidRPr="004E33A5" w:rsidRDefault="00D77DFB" w:rsidP="00D77DFB">
      <w:pPr>
        <w:pBdr>
          <w:top w:val="none" w:sz="0" w:space="0" w:color="auto"/>
          <w:left w:val="none" w:sz="0" w:space="0" w:color="auto"/>
          <w:bottom w:val="none" w:sz="0" w:space="0" w:color="auto"/>
          <w:right w:val="none" w:sz="0" w:space="0" w:color="auto"/>
          <w:between w:val="none" w:sz="0" w:space="0" w:color="auto"/>
          <w:bar w:val="none" w:sz="0" w:color="auto"/>
        </w:pBdr>
        <w:spacing w:after="200" w:line="270" w:lineRule="atLeast"/>
        <w:contextualSpacing/>
        <w:jc w:val="both"/>
        <w:rPr>
          <w:rFonts w:ascii="Arial" w:eastAsia="Times New Roman" w:hAnsi="Arial"/>
          <w:bCs/>
          <w:noProof/>
          <w:sz w:val="21"/>
          <w:szCs w:val="20"/>
          <w:bdr w:val="none" w:sz="0" w:space="0" w:color="auto"/>
          <w:lang w:val="pt-PT"/>
        </w:rPr>
      </w:pPr>
    </w:p>
    <w:p w:rsidR="00236D40" w:rsidRPr="004E33A5" w:rsidRDefault="00236D40" w:rsidP="00BD06E7">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00" w:line="270" w:lineRule="atLeast"/>
        <w:contextualSpacing/>
        <w:jc w:val="both"/>
        <w:rPr>
          <w:rFonts w:ascii="Arial" w:eastAsia="Times New Roman" w:hAnsi="Arial"/>
          <w:noProof/>
          <w:sz w:val="21"/>
          <w:szCs w:val="20"/>
          <w:bdr w:val="none" w:sz="0" w:space="0" w:color="auto"/>
          <w:lang w:val="pt-PT"/>
        </w:rPr>
      </w:pPr>
      <w:r w:rsidRPr="004E33A5">
        <w:rPr>
          <w:rFonts w:ascii="Arial" w:eastAsia="Times New Roman" w:hAnsi="Arial"/>
          <w:noProof/>
          <w:sz w:val="21"/>
          <w:szCs w:val="20"/>
          <w:bdr w:val="none" w:sz="0" w:space="0" w:color="auto"/>
          <w:lang w:val="pt-PT"/>
        </w:rPr>
        <w:t>A variação favorável no perímetro de consolidação (256 milhões de euros) corresponde à integração da Sascar, líder brasileiro em gestão digital de frotas, do grossista alemão Ihle e da</w:t>
      </w:r>
      <w:r w:rsidRPr="004E33A5">
        <w:rPr>
          <w:rFonts w:ascii="Verdana" w:eastAsia="Times New Roman" w:hAnsi="Verdana"/>
          <w:noProof/>
          <w:sz w:val="18"/>
          <w:szCs w:val="18"/>
          <w:bdr w:val="none" w:sz="0" w:space="0" w:color="auto"/>
          <w:lang w:val="pt-PT"/>
        </w:rPr>
        <w:t xml:space="preserve"> </w:t>
      </w:r>
      <w:r w:rsidRPr="004E33A5">
        <w:rPr>
          <w:rFonts w:ascii="Arial" w:eastAsia="Times New Roman" w:hAnsi="Arial"/>
          <w:noProof/>
          <w:sz w:val="21"/>
          <w:szCs w:val="20"/>
          <w:bdr w:val="none" w:sz="0" w:space="0" w:color="auto"/>
          <w:lang w:val="pt-PT"/>
        </w:rPr>
        <w:t>Blackcircles.com, número 1 da venda de pneus na Internet no Reino Unido.</w:t>
      </w:r>
    </w:p>
    <w:p w:rsidR="002F14C0" w:rsidRPr="004E33A5" w:rsidRDefault="002F14C0" w:rsidP="00FD5FE0">
      <w:pPr>
        <w:pBdr>
          <w:top w:val="none" w:sz="0" w:space="0" w:color="auto"/>
          <w:left w:val="none" w:sz="0" w:space="0" w:color="auto"/>
          <w:bottom w:val="none" w:sz="0" w:space="0" w:color="auto"/>
          <w:right w:val="none" w:sz="0" w:space="0" w:color="auto"/>
          <w:between w:val="none" w:sz="0" w:space="0" w:color="auto"/>
          <w:bar w:val="none" w:sz="0" w:color="auto"/>
        </w:pBdr>
        <w:spacing w:after="200" w:line="270" w:lineRule="atLeast"/>
        <w:ind w:left="782"/>
        <w:contextualSpacing/>
        <w:jc w:val="both"/>
        <w:rPr>
          <w:rFonts w:ascii="Arial" w:eastAsia="Times New Roman" w:hAnsi="Arial"/>
          <w:bCs/>
          <w:noProof/>
          <w:sz w:val="21"/>
          <w:szCs w:val="20"/>
          <w:bdr w:val="none" w:sz="0" w:space="0" w:color="auto"/>
          <w:lang w:val="pt-PT"/>
        </w:rPr>
      </w:pPr>
    </w:p>
    <w:p w:rsidR="00236D40" w:rsidRPr="004E33A5" w:rsidRDefault="00FD5FE0" w:rsidP="00BD06E7">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0" w:lineRule="atLeast"/>
        <w:contextualSpacing/>
        <w:jc w:val="both"/>
        <w:rPr>
          <w:rFonts w:ascii="Arial" w:eastAsia="Times New Roman" w:hAnsi="Arial"/>
          <w:noProof/>
          <w:sz w:val="21"/>
          <w:szCs w:val="20"/>
          <w:bdr w:val="none" w:sz="0" w:space="0" w:color="auto"/>
          <w:lang w:val="pt-PT"/>
        </w:rPr>
      </w:pPr>
      <w:r w:rsidRPr="004E33A5">
        <w:rPr>
          <w:rFonts w:ascii="Arial" w:hAnsi="Arial"/>
          <w:noProof/>
          <w:sz w:val="21"/>
          <w:szCs w:val="20"/>
          <w:bdr w:val="none" w:sz="0" w:space="0" w:color="auto"/>
          <w:lang w:val="pt-PT"/>
        </w:rPr>
        <w:t xml:space="preserve">O impacto positivo (1.453 milhões de euros) </w:t>
      </w:r>
      <w:r w:rsidRPr="004E33A5">
        <w:rPr>
          <w:rFonts w:ascii="Arial" w:hAnsi="Arial"/>
          <w:noProof/>
          <w:sz w:val="21"/>
          <w:bdr w:val="none" w:sz="0" w:space="0" w:color="auto"/>
          <w:lang w:val="pt-PT"/>
        </w:rPr>
        <w:t>das paridades de câmbio.</w:t>
      </w:r>
    </w:p>
    <w:p w:rsidR="00FD5FE0" w:rsidRPr="004E33A5" w:rsidRDefault="00FD5FE0" w:rsidP="007C31AE">
      <w:pPr>
        <w:pBdr>
          <w:top w:val="none" w:sz="0" w:space="0" w:color="auto"/>
          <w:left w:val="none" w:sz="0" w:space="0" w:color="auto"/>
          <w:bottom w:val="none" w:sz="0" w:space="0" w:color="auto"/>
          <w:right w:val="none" w:sz="0" w:space="0" w:color="auto"/>
          <w:between w:val="none" w:sz="0" w:space="0" w:color="auto"/>
          <w:bar w:val="none" w:sz="0" w:color="auto"/>
        </w:pBdr>
        <w:spacing w:after="200" w:line="270" w:lineRule="atLeast"/>
        <w:contextualSpacing/>
        <w:jc w:val="both"/>
        <w:rPr>
          <w:rFonts w:ascii="Arial" w:eastAsia="Times New Roman" w:hAnsi="Arial"/>
          <w:noProof/>
          <w:sz w:val="21"/>
          <w:szCs w:val="20"/>
          <w:bdr w:val="none" w:sz="0" w:space="0" w:color="auto"/>
          <w:lang w:val="pt-PT"/>
        </w:rPr>
      </w:pPr>
    </w:p>
    <w:p w:rsidR="00700DFB" w:rsidRPr="004E33A5" w:rsidRDefault="009F7ED2">
      <w:pPr>
        <w:pStyle w:val="LadilloMichelinDossier"/>
        <w:rPr>
          <w:noProof/>
          <w:lang w:val="pt-PT"/>
        </w:rPr>
      </w:pPr>
      <w:r w:rsidRPr="004E33A5">
        <w:rPr>
          <w:noProof/>
          <w:lang w:val="pt-PT"/>
        </w:rPr>
        <w:t>Resultados</w:t>
      </w:r>
    </w:p>
    <w:p w:rsidR="00700DFB" w:rsidRPr="004E33A5" w:rsidRDefault="009F7ED2" w:rsidP="00A90349">
      <w:pPr>
        <w:pStyle w:val="TextoMichelin"/>
        <w:rPr>
          <w:rFonts w:hAnsi="Arial" w:cs="Arial"/>
          <w:bCs/>
          <w:noProof/>
          <w:lang w:val="pt-PT"/>
        </w:rPr>
      </w:pPr>
      <w:r w:rsidRPr="004E33A5">
        <w:rPr>
          <w:rFonts w:hAnsi="Arial" w:cs="Arial"/>
          <w:b/>
          <w:bCs/>
          <w:noProof/>
          <w:lang w:val="pt-PT"/>
        </w:rPr>
        <w:t xml:space="preserve">O resultado operacional do Grupo antes de elementos não recorrentes atinge os 2.577 milhões de euros, </w:t>
      </w:r>
      <w:r w:rsidRPr="004E33A5">
        <w:rPr>
          <w:rFonts w:hAnsi="Arial" w:cs="Arial"/>
          <w:noProof/>
          <w:lang w:val="pt-PT"/>
        </w:rPr>
        <w:t>isto é,</w:t>
      </w:r>
      <w:r w:rsidRPr="004E33A5">
        <w:rPr>
          <w:rFonts w:hAnsi="Arial" w:cs="Arial"/>
          <w:b/>
          <w:bCs/>
          <w:noProof/>
          <w:lang w:val="pt-PT"/>
        </w:rPr>
        <w:t xml:space="preserve"> </w:t>
      </w:r>
      <w:r w:rsidRPr="004E33A5">
        <w:rPr>
          <w:rFonts w:hAnsi="Arial" w:cs="Arial"/>
          <w:noProof/>
          <w:lang w:val="pt-PT"/>
        </w:rPr>
        <w:t xml:space="preserve">12,2% das vendas líquidas, em comparação com os 2.170 milhões de euros e o 11,1% publicados em 2014. Os elementos não recorrentes de 370 milhões de euros correspondem, fundamentalmente, às despesas </w:t>
      </w:r>
      <w:r w:rsidRPr="004E33A5">
        <w:rPr>
          <w:rFonts w:hAnsi="Arial" w:cs="Arial"/>
          <w:noProof/>
          <w:color w:val="auto"/>
          <w:lang w:val="pt-PT"/>
        </w:rPr>
        <w:t>de restruturação por</w:t>
      </w:r>
      <w:r w:rsidRPr="004E33A5">
        <w:rPr>
          <w:rFonts w:hAnsi="Arial" w:cs="Arial"/>
          <w:noProof/>
          <w:lang w:val="pt-PT"/>
        </w:rPr>
        <w:t xml:space="preserve"> projetos de melhoria da competitividade do Grupo, especialmente na Europa.</w:t>
      </w:r>
    </w:p>
    <w:p w:rsidR="00700DFB" w:rsidRPr="004E33A5" w:rsidRDefault="00542B7C" w:rsidP="00972ACA">
      <w:pPr>
        <w:pStyle w:val="TextoMichelin"/>
        <w:rPr>
          <w:rFonts w:hAnsi="Arial" w:cs="Arial"/>
          <w:noProof/>
          <w:lang w:val="pt-PT"/>
        </w:rPr>
      </w:pPr>
      <w:r w:rsidRPr="004E33A5">
        <w:rPr>
          <w:rFonts w:hAnsi="Arial" w:cs="Arial"/>
          <w:noProof/>
          <w:lang w:val="pt-PT"/>
        </w:rPr>
        <w:t>O resultado operacional antes de elementos não recorrentes</w:t>
      </w:r>
      <w:r w:rsidRPr="004E33A5">
        <w:rPr>
          <w:rFonts w:hAnsi="Arial" w:cs="Arial"/>
          <w:b/>
          <w:bCs/>
          <w:noProof/>
          <w:lang w:val="pt-PT"/>
        </w:rPr>
        <w:t xml:space="preserve"> </w:t>
      </w:r>
      <w:r w:rsidRPr="004E33A5">
        <w:rPr>
          <w:rFonts w:hAnsi="Arial" w:cs="Arial"/>
          <w:noProof/>
          <w:lang w:val="pt-PT"/>
        </w:rPr>
        <w:t>regista o efeito do aumento dos volumes (+ 231 milhões de euros) e o estrito controlo do mix de preços (- 687 milhões de euros</w:t>
      </w:r>
      <w:r w:rsidRPr="004E33A5">
        <w:rPr>
          <w:rFonts w:hAnsi="Arial" w:cs="Arial"/>
          <w:noProof/>
          <w:color w:val="auto"/>
          <w:lang w:val="pt-PT"/>
        </w:rPr>
        <w:t xml:space="preserve">), tendo em conta o impacto favorável do preço das matérias-primas </w:t>
      </w:r>
      <w:r w:rsidRPr="004E33A5">
        <w:rPr>
          <w:rFonts w:hAnsi="Arial" w:cs="Arial"/>
          <w:noProof/>
          <w:lang w:val="pt-PT"/>
        </w:rPr>
        <w:t xml:space="preserve">(+ 594 milhões de euros). Devemos sublinhar que o Grupo conserva o efeito favorável das variações do câmbio (+ 437 milhões de euros), num contexto de mercados particularmente competitivos pelo excesso da produção asiática e pela queda dos custos das matérias-primas. Reflete igualmente o efeito do aumento previsto das amortizações (- 148 milhões de euros). Por último, a continuação do plano de competitividade (+ 261 milhões de euros) permite, como se tinha antecipado, absorver a inflação dos custos de produção e as despesas gerais (- 271 milhões de euros). </w:t>
      </w:r>
    </w:p>
    <w:p w:rsidR="00700DFB" w:rsidRPr="004E33A5" w:rsidRDefault="009F7ED2">
      <w:pPr>
        <w:pStyle w:val="TextoMichelin"/>
        <w:rPr>
          <w:rFonts w:hAnsi="Arial" w:cs="Arial"/>
          <w:b/>
          <w:bCs/>
          <w:noProof/>
          <w:lang w:val="pt-PT"/>
        </w:rPr>
      </w:pPr>
      <w:r w:rsidRPr="004E33A5">
        <w:rPr>
          <w:rFonts w:hAnsi="Arial" w:cs="Arial"/>
          <w:b/>
          <w:bCs/>
          <w:noProof/>
          <w:lang w:val="pt-PT"/>
        </w:rPr>
        <w:t>O resultado líquido lança um lucro de 1.163 milhões de euros.</w:t>
      </w:r>
    </w:p>
    <w:p w:rsidR="00E610BD" w:rsidRPr="004E33A5" w:rsidRDefault="00E610BD">
      <w:pPr>
        <w:pStyle w:val="LadilloMichelinDossier"/>
        <w:rPr>
          <w:noProof/>
          <w:lang w:val="pt-PT"/>
        </w:rPr>
      </w:pPr>
    </w:p>
    <w:p w:rsidR="00700DFB" w:rsidRPr="004E33A5" w:rsidRDefault="009F7ED2">
      <w:pPr>
        <w:pStyle w:val="LadilloMichelinDossier"/>
        <w:rPr>
          <w:noProof/>
          <w:lang w:val="pt-PT"/>
        </w:rPr>
      </w:pPr>
      <w:r w:rsidRPr="004E33A5">
        <w:rPr>
          <w:noProof/>
          <w:lang w:val="pt-PT"/>
        </w:rPr>
        <w:t>Posição financeira líquida</w:t>
      </w:r>
    </w:p>
    <w:p w:rsidR="009B7DEF" w:rsidRPr="004E33A5" w:rsidRDefault="009F7ED2" w:rsidP="004E33A5">
      <w:pPr>
        <w:pStyle w:val="TextoMichelin"/>
        <w:spacing w:line="360" w:lineRule="auto"/>
        <w:rPr>
          <w:rFonts w:hAnsi="Arial" w:cs="Arial"/>
          <w:noProof/>
          <w:color w:val="000000" w:themeColor="text1"/>
          <w:lang w:val="pt-PT"/>
        </w:rPr>
      </w:pPr>
      <w:r w:rsidRPr="004E33A5">
        <w:rPr>
          <w:rFonts w:hAnsi="Arial" w:cs="Arial"/>
          <w:noProof/>
          <w:color w:val="000000" w:themeColor="text1"/>
          <w:lang w:val="pt-PT"/>
        </w:rPr>
        <w:t xml:space="preserve">No exercício, o Grupo produziu um </w:t>
      </w:r>
      <w:r w:rsidRPr="004E33A5">
        <w:rPr>
          <w:rFonts w:hAnsi="Arial" w:cs="Arial"/>
          <w:b/>
          <w:bCs/>
          <w:i/>
          <w:iCs/>
          <w:noProof/>
          <w:color w:val="000000" w:themeColor="text1"/>
          <w:lang w:val="pt-PT"/>
        </w:rPr>
        <w:t>cash flow</w:t>
      </w:r>
      <w:r w:rsidRPr="004E33A5">
        <w:rPr>
          <w:rFonts w:hAnsi="Arial" w:cs="Arial"/>
          <w:b/>
          <w:bCs/>
          <w:noProof/>
          <w:color w:val="000000" w:themeColor="text1"/>
          <w:lang w:val="pt-PT"/>
        </w:rPr>
        <w:t xml:space="preserve"> livre de </w:t>
      </w:r>
      <w:r w:rsidRPr="004E33A5">
        <w:rPr>
          <w:rFonts w:hAnsi="Arial" w:cs="Arial"/>
          <w:b/>
          <w:bCs/>
          <w:noProof/>
          <w:lang w:val="pt-PT"/>
        </w:rPr>
        <w:t xml:space="preserve">965 </w:t>
      </w:r>
      <w:r w:rsidRPr="004E33A5">
        <w:rPr>
          <w:rFonts w:hAnsi="Arial" w:cs="Arial"/>
          <w:b/>
          <w:bCs/>
          <w:noProof/>
          <w:color w:val="000000" w:themeColor="text1"/>
          <w:lang w:val="pt-PT"/>
        </w:rPr>
        <w:t xml:space="preserve">milhões de euros, </w:t>
      </w:r>
      <w:r w:rsidRPr="004E33A5">
        <w:rPr>
          <w:rFonts w:hAnsi="Arial" w:cs="Arial"/>
          <w:noProof/>
          <w:color w:val="000000" w:themeColor="text1"/>
          <w:lang w:val="pt-PT"/>
        </w:rPr>
        <w:t xml:space="preserve">excetuando aquisições, o que representa uma melhoria de 243 milhões. Em 2015, o Grupo realizou aquisições por um montante total de 312 milhões de euros. Especialmente, formou uma </w:t>
      </w:r>
      <w:r w:rsidRPr="004E33A5">
        <w:rPr>
          <w:rFonts w:hAnsi="Arial" w:cs="Arial"/>
          <w:i/>
          <w:iCs/>
          <w:noProof/>
          <w:color w:val="000000" w:themeColor="text1"/>
          <w:lang w:val="pt-PT"/>
        </w:rPr>
        <w:t>joint-venture</w:t>
      </w:r>
      <w:r w:rsidRPr="004E33A5">
        <w:rPr>
          <w:rFonts w:hAnsi="Arial" w:cs="Arial"/>
          <w:noProof/>
          <w:color w:val="000000" w:themeColor="text1"/>
          <w:lang w:val="pt-PT"/>
        </w:rPr>
        <w:t xml:space="preserve"> com o </w:t>
      </w:r>
      <w:r w:rsidRPr="004E33A5">
        <w:rPr>
          <w:rFonts w:hAnsi="Arial" w:cs="Arial"/>
          <w:noProof/>
          <w:lang w:val="pt-PT"/>
        </w:rPr>
        <w:t xml:space="preserve">Barito Pacific Group para produzir caucho natural eco-responsável na Indonésia e comprou 100% da sociedade Blackcircles.com e 90% da companhia Livebooking Holdings (BookaTable). À parte disto, os investimentos elevam-se a 1.804 </w:t>
      </w:r>
      <w:r w:rsidRPr="004E33A5">
        <w:rPr>
          <w:rFonts w:hAnsi="Arial" w:cs="Arial"/>
          <w:noProof/>
          <w:color w:val="000000" w:themeColor="text1"/>
          <w:lang w:val="pt-PT"/>
        </w:rPr>
        <w:t>milhões de euros.</w:t>
      </w:r>
    </w:p>
    <w:p w:rsidR="0056121A" w:rsidRPr="004E33A5" w:rsidRDefault="00EA4FB8" w:rsidP="004E33A5">
      <w:pPr>
        <w:pStyle w:val="TextoMichelin"/>
        <w:spacing w:line="360" w:lineRule="auto"/>
        <w:rPr>
          <w:rFonts w:hAnsi="Arial" w:cs="Arial"/>
          <w:noProof/>
          <w:lang w:val="pt-PT"/>
        </w:rPr>
      </w:pPr>
      <w:r w:rsidRPr="004E33A5">
        <w:rPr>
          <w:rFonts w:hAnsi="Arial" w:cs="Arial"/>
          <w:noProof/>
          <w:lang w:val="pt-PT"/>
        </w:rPr>
        <w:t xml:space="preserve">Em 31 de dezembro de 2015, tendo em conta o </w:t>
      </w:r>
      <w:r w:rsidRPr="004E33A5">
        <w:rPr>
          <w:rFonts w:hAnsi="Arial" w:cs="Arial"/>
          <w:i/>
          <w:iCs/>
          <w:noProof/>
          <w:lang w:val="pt-PT"/>
        </w:rPr>
        <w:t>cash flow</w:t>
      </w:r>
      <w:r w:rsidRPr="004E33A5">
        <w:rPr>
          <w:rFonts w:hAnsi="Arial" w:cs="Arial"/>
          <w:noProof/>
          <w:lang w:val="pt-PT"/>
        </w:rPr>
        <w:t xml:space="preserve"> livre, as aquisições (312 </w:t>
      </w:r>
      <w:r w:rsidRPr="004E33A5">
        <w:rPr>
          <w:rFonts w:hAnsi="Arial" w:cs="Arial"/>
          <w:noProof/>
          <w:color w:val="000000" w:themeColor="text1"/>
          <w:lang w:val="pt-PT"/>
        </w:rPr>
        <w:t>milhões de euros</w:t>
      </w:r>
      <w:r w:rsidRPr="004E33A5">
        <w:rPr>
          <w:rFonts w:hAnsi="Arial" w:cs="Arial"/>
          <w:noProof/>
          <w:lang w:val="pt-PT"/>
        </w:rPr>
        <w:t xml:space="preserve">), a recompra de ações (451 </w:t>
      </w:r>
      <w:r w:rsidRPr="004E33A5">
        <w:rPr>
          <w:rFonts w:hAnsi="Arial" w:cs="Arial"/>
          <w:noProof/>
          <w:color w:val="000000" w:themeColor="text1"/>
          <w:lang w:val="pt-PT"/>
        </w:rPr>
        <w:t>milhões de euros</w:t>
      </w:r>
      <w:r w:rsidRPr="004E33A5">
        <w:rPr>
          <w:rFonts w:hAnsi="Arial" w:cs="Arial"/>
          <w:noProof/>
          <w:lang w:val="pt-PT"/>
        </w:rPr>
        <w:t xml:space="preserve">) e as emissões obrigatórias de 802 milhões de euros a 7, 12 e 30 anos, o Grupo tem um </w:t>
      </w:r>
      <w:r w:rsidRPr="004E33A5">
        <w:rPr>
          <w:rFonts w:hAnsi="Arial" w:cs="Arial"/>
          <w:b/>
          <w:bCs/>
          <w:noProof/>
          <w:lang w:val="pt-PT"/>
        </w:rPr>
        <w:t xml:space="preserve">rácio de endividamento de 11 %, </w:t>
      </w:r>
      <w:r w:rsidRPr="004E33A5">
        <w:rPr>
          <w:rFonts w:hAnsi="Arial" w:cs="Arial"/>
          <w:noProof/>
          <w:lang w:val="pt-PT"/>
        </w:rPr>
        <w:t>que corresponde a um endividamento financeiro líquido de 1.008 milhões de euros, contra o 7 % e os 707 milhões em finais de dezembro de 2014.</w:t>
      </w:r>
    </w:p>
    <w:p w:rsidR="00E610BD" w:rsidRPr="004E33A5" w:rsidRDefault="0056121A" w:rsidP="004E33A5">
      <w:pPr>
        <w:pStyle w:val="TextoMichelin"/>
        <w:spacing w:line="360" w:lineRule="auto"/>
        <w:rPr>
          <w:rFonts w:hAnsi="Arial" w:cs="Arial"/>
          <w:noProof/>
          <w:lang w:val="pt-PT"/>
        </w:rPr>
      </w:pPr>
      <w:r w:rsidRPr="004E33A5">
        <w:rPr>
          <w:rFonts w:hAnsi="Arial" w:cs="Arial"/>
          <w:noProof/>
          <w:lang w:val="pt-PT"/>
        </w:rPr>
        <w:t>Em 2015 o retorno dos capitais investidos após impostos (ROCE) atinge 12,2% garantindo a criação de valor, em comparação com o custo médio ponderado dos capitais do Grupo. Para 2016 a Michelin prevê um ROCE após impostos de, pelo menos, 11%.</w:t>
      </w:r>
    </w:p>
    <w:p w:rsidR="00700DFB" w:rsidRPr="004E33A5" w:rsidRDefault="009F7ED2" w:rsidP="00E610BD">
      <w:pPr>
        <w:pStyle w:val="LadilloMichelinDossier"/>
        <w:rPr>
          <w:noProof/>
          <w:lang w:val="pt-PT"/>
        </w:rPr>
      </w:pPr>
      <w:r w:rsidRPr="004E33A5">
        <w:rPr>
          <w:noProof/>
          <w:lang w:val="pt-PT"/>
        </w:rPr>
        <w:t>Informação sectorial</w:t>
      </w:r>
    </w:p>
    <w:tbl>
      <w:tblPr>
        <w:tblStyle w:val="TableNormal"/>
        <w:tblW w:w="84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47"/>
        <w:gridCol w:w="1119"/>
        <w:gridCol w:w="1258"/>
        <w:gridCol w:w="1118"/>
        <w:gridCol w:w="1119"/>
        <w:gridCol w:w="1118"/>
        <w:gridCol w:w="1119"/>
      </w:tblGrid>
      <w:tr w:rsidR="00700DFB" w:rsidRPr="004E33A5" w:rsidTr="000C57C8">
        <w:trPr>
          <w:trHeight w:val="758"/>
        </w:trPr>
        <w:tc>
          <w:tcPr>
            <w:tcW w:w="1647" w:type="dxa"/>
            <w:tcBorders>
              <w:top w:val="single" w:sz="2" w:space="0" w:color="000000"/>
              <w:left w:val="single" w:sz="2" w:space="0" w:color="000000"/>
              <w:bottom w:val="single" w:sz="2" w:space="0" w:color="000000"/>
              <w:right w:val="single" w:sz="2" w:space="0" w:color="000000"/>
            </w:tcBorders>
            <w:shd w:val="clear" w:color="auto" w:fill="E0E0E0"/>
            <w:tcMar>
              <w:top w:w="80" w:type="dxa"/>
              <w:left w:w="80" w:type="dxa"/>
              <w:bottom w:w="80" w:type="dxa"/>
              <w:right w:w="80" w:type="dxa"/>
            </w:tcMar>
          </w:tcPr>
          <w:p w:rsidR="00700DFB" w:rsidRPr="004E33A5" w:rsidRDefault="009F7ED2">
            <w:pPr>
              <w:pStyle w:val="LadilloMichelinDossier"/>
              <w:spacing w:before="0" w:after="0"/>
              <w:jc w:val="center"/>
              <w:rPr>
                <w:noProof/>
                <w:lang w:val="pt-PT"/>
              </w:rPr>
            </w:pPr>
            <w:r w:rsidRPr="004E33A5">
              <w:rPr>
                <w:rFonts w:ascii="Arial"/>
                <w:noProof/>
                <w:sz w:val="20"/>
                <w:szCs w:val="20"/>
                <w:lang w:val="pt-PT"/>
              </w:rPr>
              <w:t>Milh</w:t>
            </w:r>
            <w:r w:rsidRPr="004E33A5">
              <w:rPr>
                <w:rFonts w:ascii="Arial" w:hAnsi="Arial" w:cs="Arial"/>
                <w:noProof/>
                <w:sz w:val="20"/>
                <w:szCs w:val="20"/>
                <w:lang w:val="pt-PT"/>
              </w:rPr>
              <w:t>õ</w:t>
            </w:r>
            <w:r w:rsidRPr="004E33A5">
              <w:rPr>
                <w:rFonts w:ascii="Arial"/>
                <w:noProof/>
                <w:sz w:val="20"/>
                <w:szCs w:val="20"/>
                <w:lang w:val="pt-PT"/>
              </w:rPr>
              <w:t>es de euros</w:t>
            </w:r>
          </w:p>
        </w:tc>
        <w:tc>
          <w:tcPr>
            <w:tcW w:w="2377" w:type="dxa"/>
            <w:gridSpan w:val="2"/>
            <w:tcBorders>
              <w:top w:val="single" w:sz="2" w:space="0" w:color="000000"/>
              <w:left w:val="single" w:sz="2" w:space="0" w:color="000000"/>
              <w:bottom w:val="single" w:sz="2" w:space="0" w:color="000000"/>
              <w:right w:val="single" w:sz="2" w:space="0" w:color="000000"/>
            </w:tcBorders>
            <w:shd w:val="clear" w:color="auto" w:fill="E0E0E0"/>
            <w:tcMar>
              <w:top w:w="80" w:type="dxa"/>
              <w:left w:w="80" w:type="dxa"/>
              <w:bottom w:w="80" w:type="dxa"/>
              <w:right w:w="80" w:type="dxa"/>
            </w:tcMar>
          </w:tcPr>
          <w:p w:rsidR="00700DFB" w:rsidRPr="004E33A5" w:rsidRDefault="009F7ED2">
            <w:pPr>
              <w:pStyle w:val="LadilloMichelinDossier"/>
              <w:spacing w:before="0" w:after="0"/>
              <w:jc w:val="center"/>
              <w:rPr>
                <w:noProof/>
                <w:lang w:val="pt-PT"/>
              </w:rPr>
            </w:pPr>
            <w:r w:rsidRPr="004E33A5">
              <w:rPr>
                <w:rFonts w:ascii="Arial"/>
                <w:b w:val="0"/>
                <w:bCs w:val="0"/>
                <w:noProof/>
                <w:sz w:val="20"/>
                <w:szCs w:val="20"/>
                <w:lang w:val="pt-PT"/>
              </w:rPr>
              <w:br/>
            </w:r>
            <w:r w:rsidRPr="004E33A5">
              <w:rPr>
                <w:rFonts w:ascii="Arial"/>
                <w:noProof/>
                <w:sz w:val="20"/>
                <w:szCs w:val="20"/>
                <w:lang w:val="pt-PT"/>
              </w:rPr>
              <w:t>Vendas l</w:t>
            </w:r>
            <w:r w:rsidRPr="004E33A5">
              <w:rPr>
                <w:rFonts w:ascii="Arial"/>
                <w:noProof/>
                <w:sz w:val="20"/>
                <w:szCs w:val="20"/>
                <w:lang w:val="pt-PT"/>
              </w:rPr>
              <w:t>í</w:t>
            </w:r>
            <w:r w:rsidRPr="004E33A5">
              <w:rPr>
                <w:rFonts w:ascii="Arial"/>
                <w:noProof/>
                <w:sz w:val="20"/>
                <w:szCs w:val="20"/>
                <w:lang w:val="pt-PT"/>
              </w:rPr>
              <w:t>quidas</w:t>
            </w:r>
          </w:p>
        </w:tc>
        <w:tc>
          <w:tcPr>
            <w:tcW w:w="2237" w:type="dxa"/>
            <w:gridSpan w:val="2"/>
            <w:tcBorders>
              <w:top w:val="single" w:sz="2" w:space="0" w:color="000000"/>
              <w:left w:val="single" w:sz="2" w:space="0" w:color="000000"/>
              <w:bottom w:val="single" w:sz="2" w:space="0" w:color="000000"/>
              <w:right w:val="single" w:sz="2" w:space="0" w:color="000000"/>
            </w:tcBorders>
            <w:shd w:val="clear" w:color="auto" w:fill="E0E0E0"/>
            <w:tcMar>
              <w:top w:w="80" w:type="dxa"/>
              <w:left w:w="80" w:type="dxa"/>
              <w:bottom w:w="80" w:type="dxa"/>
              <w:right w:w="80" w:type="dxa"/>
            </w:tcMar>
          </w:tcPr>
          <w:p w:rsidR="00700DFB" w:rsidRPr="004E33A5" w:rsidRDefault="009F7ED2">
            <w:pPr>
              <w:pStyle w:val="LadilloMichelinDossier"/>
              <w:spacing w:before="0" w:after="0"/>
              <w:jc w:val="center"/>
              <w:rPr>
                <w:noProof/>
                <w:lang w:val="pt-PT"/>
              </w:rPr>
            </w:pPr>
            <w:r w:rsidRPr="004E33A5">
              <w:rPr>
                <w:rFonts w:ascii="Arial"/>
                <w:noProof/>
                <w:sz w:val="20"/>
                <w:szCs w:val="20"/>
                <w:lang w:val="pt-PT"/>
              </w:rPr>
              <w:t>Resultado operacional antes de n</w:t>
            </w:r>
            <w:r w:rsidRPr="004E33A5">
              <w:rPr>
                <w:rFonts w:ascii="Arial"/>
                <w:noProof/>
                <w:sz w:val="20"/>
                <w:szCs w:val="20"/>
                <w:lang w:val="pt-PT"/>
              </w:rPr>
              <w:t>ã</w:t>
            </w:r>
            <w:r w:rsidRPr="004E33A5">
              <w:rPr>
                <w:rFonts w:ascii="Arial"/>
                <w:noProof/>
                <w:sz w:val="20"/>
                <w:szCs w:val="20"/>
                <w:lang w:val="pt-PT"/>
              </w:rPr>
              <w:t xml:space="preserve">o recorrentes </w:t>
            </w:r>
          </w:p>
        </w:tc>
        <w:tc>
          <w:tcPr>
            <w:tcW w:w="2237" w:type="dxa"/>
            <w:gridSpan w:val="2"/>
            <w:tcBorders>
              <w:top w:val="single" w:sz="2" w:space="0" w:color="000000"/>
              <w:left w:val="single" w:sz="2" w:space="0" w:color="000000"/>
              <w:bottom w:val="single" w:sz="2" w:space="0" w:color="000000"/>
              <w:right w:val="single" w:sz="2" w:space="0" w:color="000000"/>
            </w:tcBorders>
            <w:shd w:val="clear" w:color="auto" w:fill="E0E0E0"/>
            <w:tcMar>
              <w:top w:w="80" w:type="dxa"/>
              <w:left w:w="80" w:type="dxa"/>
              <w:bottom w:w="80" w:type="dxa"/>
              <w:right w:w="80" w:type="dxa"/>
            </w:tcMar>
          </w:tcPr>
          <w:p w:rsidR="00700DFB" w:rsidRPr="004E33A5" w:rsidRDefault="009F7ED2">
            <w:pPr>
              <w:pStyle w:val="LadilloMichelinDossier"/>
              <w:spacing w:before="0" w:after="0"/>
              <w:jc w:val="center"/>
              <w:rPr>
                <w:noProof/>
                <w:lang w:val="pt-PT"/>
              </w:rPr>
            </w:pPr>
            <w:r w:rsidRPr="004E33A5">
              <w:rPr>
                <w:rFonts w:ascii="Arial"/>
                <w:noProof/>
                <w:sz w:val="20"/>
                <w:szCs w:val="20"/>
                <w:lang w:val="pt-PT"/>
              </w:rPr>
              <w:t>Margem operacional antes de n</w:t>
            </w:r>
            <w:r w:rsidRPr="004E33A5">
              <w:rPr>
                <w:rFonts w:ascii="Arial" w:hAnsi="Arial" w:cs="Arial"/>
                <w:noProof/>
                <w:sz w:val="20"/>
                <w:szCs w:val="20"/>
                <w:lang w:val="pt-PT"/>
              </w:rPr>
              <w:t>ã</w:t>
            </w:r>
            <w:r w:rsidRPr="004E33A5">
              <w:rPr>
                <w:rFonts w:ascii="Arial"/>
                <w:noProof/>
                <w:sz w:val="20"/>
                <w:szCs w:val="20"/>
                <w:lang w:val="pt-PT"/>
              </w:rPr>
              <w:t>o recorrentes</w:t>
            </w:r>
          </w:p>
        </w:tc>
      </w:tr>
      <w:tr w:rsidR="00700DFB" w:rsidRPr="004E33A5" w:rsidTr="000C57C8">
        <w:trPr>
          <w:trHeight w:val="225"/>
        </w:trPr>
        <w:tc>
          <w:tcPr>
            <w:tcW w:w="16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00DFB" w:rsidRPr="004E33A5" w:rsidRDefault="00700DFB">
            <w:pPr>
              <w:rPr>
                <w:noProof/>
                <w:lang w:val="pt-PT"/>
              </w:rPr>
            </w:pPr>
          </w:p>
        </w:tc>
        <w:tc>
          <w:tcPr>
            <w:tcW w:w="1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00DFB" w:rsidRPr="004E33A5" w:rsidRDefault="00D46DF5">
            <w:pPr>
              <w:pStyle w:val="Cuerpo"/>
              <w:keepNext/>
              <w:spacing w:after="120"/>
              <w:jc w:val="center"/>
              <w:rPr>
                <w:noProof/>
                <w:lang w:val="pt-PT"/>
              </w:rPr>
            </w:pPr>
            <w:r w:rsidRPr="004E33A5">
              <w:rPr>
                <w:rFonts w:ascii="Arial"/>
                <w:smallCaps/>
                <w:noProof/>
                <w:sz w:val="20"/>
                <w:szCs w:val="20"/>
                <w:lang w:val="pt-PT"/>
              </w:rPr>
              <w:t>2015</w:t>
            </w:r>
          </w:p>
        </w:tc>
        <w:tc>
          <w:tcPr>
            <w:tcW w:w="12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00DFB" w:rsidRPr="004E33A5" w:rsidRDefault="009F7ED2" w:rsidP="000C57C8">
            <w:pPr>
              <w:pStyle w:val="Cuerpo"/>
              <w:keepNext/>
              <w:spacing w:after="120"/>
              <w:jc w:val="center"/>
              <w:rPr>
                <w:noProof/>
                <w:lang w:val="pt-PT"/>
              </w:rPr>
            </w:pPr>
            <w:r w:rsidRPr="004E33A5">
              <w:rPr>
                <w:rFonts w:ascii="Arial"/>
                <w:smallCaps/>
                <w:noProof/>
                <w:sz w:val="20"/>
                <w:szCs w:val="20"/>
                <w:lang w:val="pt-PT"/>
              </w:rPr>
              <w:t>2014</w:t>
            </w:r>
          </w:p>
        </w:tc>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00DFB" w:rsidRPr="004E33A5" w:rsidRDefault="00D46DF5">
            <w:pPr>
              <w:pStyle w:val="Cuerpo"/>
              <w:keepNext/>
              <w:spacing w:after="120"/>
              <w:jc w:val="center"/>
              <w:rPr>
                <w:noProof/>
                <w:lang w:val="pt-PT"/>
              </w:rPr>
            </w:pPr>
            <w:r w:rsidRPr="004E33A5">
              <w:rPr>
                <w:rFonts w:ascii="Arial"/>
                <w:smallCaps/>
                <w:noProof/>
                <w:sz w:val="20"/>
                <w:szCs w:val="20"/>
                <w:lang w:val="pt-PT"/>
              </w:rPr>
              <w:t>2015</w:t>
            </w:r>
          </w:p>
        </w:tc>
        <w:tc>
          <w:tcPr>
            <w:tcW w:w="1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00DFB" w:rsidRPr="004E33A5" w:rsidRDefault="009F7ED2" w:rsidP="000C57C8">
            <w:pPr>
              <w:pStyle w:val="Cuerpo"/>
              <w:keepNext/>
              <w:spacing w:after="120"/>
              <w:jc w:val="center"/>
              <w:rPr>
                <w:noProof/>
                <w:lang w:val="pt-PT"/>
              </w:rPr>
            </w:pPr>
            <w:r w:rsidRPr="004E33A5">
              <w:rPr>
                <w:rFonts w:ascii="Arial"/>
                <w:smallCaps/>
                <w:noProof/>
                <w:sz w:val="20"/>
                <w:szCs w:val="20"/>
                <w:lang w:val="pt-PT"/>
              </w:rPr>
              <w:t>2014</w:t>
            </w:r>
          </w:p>
        </w:tc>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00DFB" w:rsidRPr="004E33A5" w:rsidRDefault="00D46DF5">
            <w:pPr>
              <w:pStyle w:val="Cuerpo"/>
              <w:keepNext/>
              <w:spacing w:after="120"/>
              <w:jc w:val="center"/>
              <w:rPr>
                <w:noProof/>
                <w:lang w:val="pt-PT"/>
              </w:rPr>
            </w:pPr>
            <w:r w:rsidRPr="004E33A5">
              <w:rPr>
                <w:rFonts w:ascii="Arial"/>
                <w:smallCaps/>
                <w:noProof/>
                <w:sz w:val="20"/>
                <w:szCs w:val="20"/>
                <w:lang w:val="pt-PT"/>
              </w:rPr>
              <w:t>2015</w:t>
            </w:r>
          </w:p>
        </w:tc>
        <w:tc>
          <w:tcPr>
            <w:tcW w:w="1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00DFB" w:rsidRPr="004E33A5" w:rsidRDefault="009F7ED2" w:rsidP="000C57C8">
            <w:pPr>
              <w:pStyle w:val="Cuerpo"/>
              <w:keepNext/>
              <w:spacing w:after="120"/>
              <w:jc w:val="center"/>
              <w:rPr>
                <w:noProof/>
                <w:lang w:val="pt-PT"/>
              </w:rPr>
            </w:pPr>
            <w:r w:rsidRPr="004E33A5">
              <w:rPr>
                <w:rFonts w:ascii="Arial"/>
                <w:smallCaps/>
                <w:noProof/>
                <w:sz w:val="20"/>
                <w:szCs w:val="20"/>
                <w:lang w:val="pt-PT"/>
              </w:rPr>
              <w:t>2014</w:t>
            </w:r>
          </w:p>
        </w:tc>
      </w:tr>
      <w:tr w:rsidR="000C57C8" w:rsidRPr="004E33A5" w:rsidTr="000C57C8">
        <w:trPr>
          <w:trHeight w:val="878"/>
        </w:trPr>
        <w:tc>
          <w:tcPr>
            <w:tcW w:w="16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C57C8" w:rsidRPr="004E33A5" w:rsidRDefault="000C57C8">
            <w:pPr>
              <w:pStyle w:val="Cuerpo"/>
              <w:spacing w:after="120"/>
              <w:rPr>
                <w:noProof/>
                <w:lang w:val="pt-PT"/>
              </w:rPr>
            </w:pPr>
            <w:r w:rsidRPr="004E33A5">
              <w:rPr>
                <w:rFonts w:ascii="Arial"/>
                <w:smallCaps/>
                <w:noProof/>
                <w:sz w:val="20"/>
                <w:szCs w:val="20"/>
                <w:lang w:val="pt-PT"/>
              </w:rPr>
              <w:t xml:space="preserve">ligeiro </w:t>
            </w:r>
            <w:r w:rsidRPr="004E33A5">
              <w:rPr>
                <w:rFonts w:ascii="Arial"/>
                <w:smallCaps/>
                <w:noProof/>
                <w:sz w:val="16"/>
                <w:szCs w:val="16"/>
                <w:lang w:val="pt-PT"/>
              </w:rPr>
              <w:t>CAMIONETA</w:t>
            </w:r>
            <w:r w:rsidRPr="004E33A5">
              <w:rPr>
                <w:rFonts w:ascii="Arial"/>
                <w:smallCaps/>
                <w:noProof/>
                <w:sz w:val="20"/>
                <w:szCs w:val="20"/>
                <w:lang w:val="pt-PT"/>
              </w:rPr>
              <w:t xml:space="preserve"> e distribui</w:t>
            </w:r>
            <w:r w:rsidRPr="004E33A5">
              <w:rPr>
                <w:rFonts w:ascii="Arial" w:hAnsi="Arial" w:cs="Arial"/>
                <w:smallCaps/>
                <w:noProof/>
                <w:sz w:val="20"/>
                <w:szCs w:val="20"/>
                <w:lang w:val="pt-PT"/>
              </w:rPr>
              <w:t>çã</w:t>
            </w:r>
            <w:r w:rsidRPr="004E33A5">
              <w:rPr>
                <w:rFonts w:ascii="Arial"/>
                <w:smallCaps/>
                <w:noProof/>
                <w:sz w:val="20"/>
                <w:szCs w:val="20"/>
                <w:lang w:val="pt-PT"/>
              </w:rPr>
              <w:t>o associada</w:t>
            </w:r>
          </w:p>
        </w:tc>
        <w:tc>
          <w:tcPr>
            <w:tcW w:w="1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C57C8" w:rsidRPr="004E33A5" w:rsidRDefault="000C57C8" w:rsidP="00B00899">
            <w:pPr>
              <w:tabs>
                <w:tab w:val="left" w:pos="360"/>
              </w:tabs>
              <w:jc w:val="center"/>
              <w:rPr>
                <w:rFonts w:ascii="Arial" w:hAnsi="Arial" w:cs="Arial"/>
                <w:b/>
                <w:bCs/>
                <w:noProof/>
                <w:sz w:val="20"/>
                <w:szCs w:val="20"/>
                <w:lang w:val="pt-PT"/>
              </w:rPr>
            </w:pPr>
          </w:p>
          <w:p w:rsidR="000C57C8" w:rsidRPr="004E33A5" w:rsidRDefault="000C57C8" w:rsidP="00B00899">
            <w:pPr>
              <w:tabs>
                <w:tab w:val="left" w:pos="360"/>
              </w:tabs>
              <w:jc w:val="center"/>
              <w:rPr>
                <w:rFonts w:ascii="Arial" w:hAnsi="Arial" w:cs="Arial"/>
                <w:b/>
                <w:bCs/>
                <w:noProof/>
                <w:sz w:val="20"/>
                <w:szCs w:val="20"/>
                <w:lang w:val="pt-PT"/>
              </w:rPr>
            </w:pPr>
          </w:p>
          <w:p w:rsidR="000C57C8" w:rsidRPr="004E33A5" w:rsidRDefault="000C57C8" w:rsidP="00B00899">
            <w:pPr>
              <w:tabs>
                <w:tab w:val="left" w:pos="360"/>
              </w:tabs>
              <w:jc w:val="center"/>
              <w:rPr>
                <w:rFonts w:ascii="Arial" w:hAnsi="Arial" w:cs="Arial"/>
                <w:b/>
                <w:bCs/>
                <w:noProof/>
                <w:sz w:val="20"/>
                <w:szCs w:val="20"/>
                <w:lang w:val="pt-PT"/>
              </w:rPr>
            </w:pPr>
          </w:p>
          <w:p w:rsidR="000C57C8" w:rsidRPr="004E33A5" w:rsidRDefault="000C57C8" w:rsidP="00831C38">
            <w:pPr>
              <w:pStyle w:val="Cuerpo"/>
              <w:tabs>
                <w:tab w:val="left" w:pos="360"/>
              </w:tabs>
              <w:jc w:val="center"/>
              <w:rPr>
                <w:rFonts w:ascii="Arial" w:hAnsi="Arial" w:cs="Arial"/>
                <w:noProof/>
                <w:sz w:val="20"/>
                <w:szCs w:val="20"/>
                <w:lang w:val="pt-PT"/>
              </w:rPr>
            </w:pPr>
            <w:r w:rsidRPr="004E33A5">
              <w:rPr>
                <w:rFonts w:ascii="Arial" w:hAnsi="Arial" w:cs="Arial"/>
                <w:b/>
                <w:bCs/>
                <w:noProof/>
                <w:sz w:val="20"/>
                <w:szCs w:val="20"/>
                <w:lang w:val="pt-PT"/>
              </w:rPr>
              <w:t>12.028</w:t>
            </w:r>
          </w:p>
        </w:tc>
        <w:tc>
          <w:tcPr>
            <w:tcW w:w="12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C57C8" w:rsidRPr="004E33A5" w:rsidRDefault="000C57C8" w:rsidP="00B00899">
            <w:pPr>
              <w:tabs>
                <w:tab w:val="left" w:pos="360"/>
              </w:tabs>
              <w:jc w:val="center"/>
              <w:rPr>
                <w:rFonts w:ascii="Arial" w:hAnsi="Arial" w:cs="Arial"/>
                <w:b/>
                <w:bCs/>
                <w:noProof/>
                <w:sz w:val="20"/>
                <w:szCs w:val="20"/>
                <w:lang w:val="pt-PT"/>
              </w:rPr>
            </w:pPr>
          </w:p>
          <w:p w:rsidR="000C57C8" w:rsidRPr="004E33A5" w:rsidRDefault="000C57C8" w:rsidP="00B00899">
            <w:pPr>
              <w:tabs>
                <w:tab w:val="left" w:pos="360"/>
              </w:tabs>
              <w:jc w:val="center"/>
              <w:rPr>
                <w:rFonts w:ascii="Arial" w:hAnsi="Arial" w:cs="Arial"/>
                <w:b/>
                <w:bCs/>
                <w:noProof/>
                <w:sz w:val="20"/>
                <w:szCs w:val="20"/>
                <w:lang w:val="pt-PT"/>
              </w:rPr>
            </w:pPr>
          </w:p>
          <w:p w:rsidR="000C57C8" w:rsidRPr="004E33A5" w:rsidRDefault="000C57C8" w:rsidP="00B00899">
            <w:pPr>
              <w:tabs>
                <w:tab w:val="left" w:pos="360"/>
              </w:tabs>
              <w:jc w:val="center"/>
              <w:rPr>
                <w:rFonts w:ascii="Arial" w:hAnsi="Arial" w:cs="Arial"/>
                <w:b/>
                <w:bCs/>
                <w:noProof/>
                <w:sz w:val="20"/>
                <w:szCs w:val="20"/>
                <w:lang w:val="pt-PT"/>
              </w:rPr>
            </w:pPr>
          </w:p>
          <w:p w:rsidR="000C57C8" w:rsidRPr="004E33A5" w:rsidRDefault="000C57C8" w:rsidP="00831C38">
            <w:pPr>
              <w:pStyle w:val="Cuerpo"/>
              <w:tabs>
                <w:tab w:val="left" w:pos="360"/>
              </w:tabs>
              <w:jc w:val="center"/>
              <w:rPr>
                <w:rFonts w:ascii="Arial" w:hAnsi="Arial" w:cs="Arial"/>
                <w:noProof/>
                <w:sz w:val="20"/>
                <w:szCs w:val="20"/>
                <w:lang w:val="pt-PT"/>
              </w:rPr>
            </w:pPr>
            <w:r w:rsidRPr="004E33A5">
              <w:rPr>
                <w:rFonts w:ascii="Arial" w:hAnsi="Arial" w:cs="Arial"/>
                <w:b/>
                <w:bCs/>
                <w:noProof/>
                <w:sz w:val="20"/>
                <w:szCs w:val="20"/>
                <w:lang w:val="pt-PT"/>
              </w:rPr>
              <w:t>10.498</w:t>
            </w:r>
          </w:p>
        </w:tc>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C57C8" w:rsidRPr="004E33A5" w:rsidRDefault="000C57C8" w:rsidP="00B00899">
            <w:pPr>
              <w:jc w:val="center"/>
              <w:rPr>
                <w:rFonts w:ascii="Arial" w:hAnsi="Arial" w:cs="Arial"/>
                <w:b/>
                <w:noProof/>
                <w:sz w:val="20"/>
                <w:szCs w:val="20"/>
                <w:lang w:val="pt-PT"/>
              </w:rPr>
            </w:pPr>
          </w:p>
          <w:p w:rsidR="000C57C8" w:rsidRPr="004E33A5" w:rsidRDefault="000C57C8" w:rsidP="00B00899">
            <w:pPr>
              <w:jc w:val="center"/>
              <w:rPr>
                <w:rFonts w:ascii="Arial" w:hAnsi="Arial" w:cs="Arial"/>
                <w:b/>
                <w:noProof/>
                <w:sz w:val="20"/>
                <w:szCs w:val="20"/>
                <w:lang w:val="pt-PT"/>
              </w:rPr>
            </w:pPr>
          </w:p>
          <w:p w:rsidR="000C57C8" w:rsidRPr="004E33A5" w:rsidRDefault="000C57C8" w:rsidP="00B00899">
            <w:pPr>
              <w:jc w:val="center"/>
              <w:rPr>
                <w:rFonts w:ascii="Arial" w:hAnsi="Arial" w:cs="Arial"/>
                <w:b/>
                <w:noProof/>
                <w:sz w:val="20"/>
                <w:szCs w:val="20"/>
                <w:lang w:val="pt-PT"/>
              </w:rPr>
            </w:pPr>
          </w:p>
          <w:p w:rsidR="000C57C8" w:rsidRPr="004E33A5" w:rsidRDefault="000C57C8" w:rsidP="00831C38">
            <w:pPr>
              <w:pStyle w:val="Cuerpo"/>
              <w:jc w:val="center"/>
              <w:rPr>
                <w:rFonts w:ascii="Arial" w:hAnsi="Arial" w:cs="Arial"/>
                <w:noProof/>
                <w:sz w:val="20"/>
                <w:szCs w:val="20"/>
                <w:lang w:val="pt-PT"/>
              </w:rPr>
            </w:pPr>
            <w:r w:rsidRPr="004E33A5">
              <w:rPr>
                <w:rFonts w:ascii="Arial" w:hAnsi="Arial" w:cs="Arial"/>
                <w:b/>
                <w:bCs/>
                <w:noProof/>
                <w:sz w:val="20"/>
                <w:szCs w:val="20"/>
                <w:lang w:val="pt-PT"/>
              </w:rPr>
              <w:t>1.384</w:t>
            </w:r>
          </w:p>
        </w:tc>
        <w:tc>
          <w:tcPr>
            <w:tcW w:w="1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C57C8" w:rsidRPr="004E33A5" w:rsidRDefault="000C57C8" w:rsidP="00B00899">
            <w:pPr>
              <w:jc w:val="center"/>
              <w:rPr>
                <w:rFonts w:ascii="Arial" w:hAnsi="Arial" w:cs="Arial"/>
                <w:b/>
                <w:noProof/>
                <w:sz w:val="20"/>
                <w:szCs w:val="20"/>
                <w:lang w:val="pt-PT"/>
              </w:rPr>
            </w:pPr>
          </w:p>
          <w:p w:rsidR="000C57C8" w:rsidRPr="004E33A5" w:rsidRDefault="000C57C8" w:rsidP="00B00899">
            <w:pPr>
              <w:jc w:val="center"/>
              <w:rPr>
                <w:rFonts w:ascii="Arial" w:hAnsi="Arial" w:cs="Arial"/>
                <w:b/>
                <w:noProof/>
                <w:sz w:val="20"/>
                <w:szCs w:val="20"/>
                <w:lang w:val="pt-PT"/>
              </w:rPr>
            </w:pPr>
          </w:p>
          <w:p w:rsidR="000C57C8" w:rsidRPr="004E33A5" w:rsidRDefault="000C57C8" w:rsidP="00B00899">
            <w:pPr>
              <w:jc w:val="center"/>
              <w:rPr>
                <w:rFonts w:ascii="Arial" w:hAnsi="Arial" w:cs="Arial"/>
                <w:b/>
                <w:noProof/>
                <w:sz w:val="20"/>
                <w:szCs w:val="20"/>
                <w:lang w:val="pt-PT"/>
              </w:rPr>
            </w:pPr>
          </w:p>
          <w:p w:rsidR="000C57C8" w:rsidRPr="004E33A5" w:rsidRDefault="000C57C8" w:rsidP="00831C38">
            <w:pPr>
              <w:pStyle w:val="Cuerpo"/>
              <w:jc w:val="center"/>
              <w:rPr>
                <w:rFonts w:ascii="Arial" w:hAnsi="Arial" w:cs="Arial"/>
                <w:noProof/>
                <w:sz w:val="20"/>
                <w:szCs w:val="20"/>
                <w:lang w:val="pt-PT"/>
              </w:rPr>
            </w:pPr>
            <w:r w:rsidRPr="004E33A5">
              <w:rPr>
                <w:rFonts w:ascii="Arial" w:hAnsi="Arial" w:cs="Arial"/>
                <w:b/>
                <w:bCs/>
                <w:noProof/>
                <w:sz w:val="20"/>
                <w:szCs w:val="20"/>
                <w:lang w:val="pt-PT"/>
              </w:rPr>
              <w:t>1.101</w:t>
            </w:r>
          </w:p>
        </w:tc>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C57C8" w:rsidRPr="004E33A5" w:rsidRDefault="000C57C8" w:rsidP="00B00899">
            <w:pPr>
              <w:tabs>
                <w:tab w:val="left" w:pos="360"/>
              </w:tabs>
              <w:jc w:val="center"/>
              <w:rPr>
                <w:rFonts w:ascii="Arial" w:hAnsi="Arial" w:cs="Arial"/>
                <w:b/>
                <w:bCs/>
                <w:noProof/>
                <w:sz w:val="20"/>
                <w:szCs w:val="20"/>
                <w:lang w:val="pt-PT"/>
              </w:rPr>
            </w:pPr>
          </w:p>
          <w:p w:rsidR="000C57C8" w:rsidRPr="004E33A5" w:rsidRDefault="000C57C8" w:rsidP="00B00899">
            <w:pPr>
              <w:tabs>
                <w:tab w:val="left" w:pos="360"/>
              </w:tabs>
              <w:jc w:val="center"/>
              <w:rPr>
                <w:rFonts w:ascii="Arial" w:hAnsi="Arial" w:cs="Arial"/>
                <w:b/>
                <w:bCs/>
                <w:noProof/>
                <w:sz w:val="20"/>
                <w:szCs w:val="20"/>
                <w:lang w:val="pt-PT"/>
              </w:rPr>
            </w:pPr>
          </w:p>
          <w:p w:rsidR="000C57C8" w:rsidRPr="004E33A5" w:rsidRDefault="000C57C8" w:rsidP="00B00899">
            <w:pPr>
              <w:tabs>
                <w:tab w:val="left" w:pos="360"/>
              </w:tabs>
              <w:jc w:val="center"/>
              <w:rPr>
                <w:rFonts w:ascii="Arial" w:hAnsi="Arial" w:cs="Arial"/>
                <w:b/>
                <w:bCs/>
                <w:noProof/>
                <w:sz w:val="20"/>
                <w:szCs w:val="20"/>
                <w:lang w:val="pt-PT"/>
              </w:rPr>
            </w:pPr>
          </w:p>
          <w:p w:rsidR="000C57C8" w:rsidRPr="004E33A5" w:rsidRDefault="000C57C8">
            <w:pPr>
              <w:pStyle w:val="Cuerpo"/>
              <w:tabs>
                <w:tab w:val="left" w:pos="360"/>
              </w:tabs>
              <w:jc w:val="center"/>
              <w:rPr>
                <w:rFonts w:ascii="Arial" w:hAnsi="Arial" w:cs="Arial"/>
                <w:noProof/>
                <w:sz w:val="20"/>
                <w:szCs w:val="20"/>
                <w:lang w:val="pt-PT"/>
              </w:rPr>
            </w:pPr>
            <w:r w:rsidRPr="004E33A5">
              <w:rPr>
                <w:rFonts w:ascii="Arial" w:hAnsi="Arial" w:cs="Arial"/>
                <w:b/>
                <w:bCs/>
                <w:noProof/>
                <w:sz w:val="20"/>
                <w:szCs w:val="20"/>
                <w:lang w:val="pt-PT"/>
              </w:rPr>
              <w:t>11,5%</w:t>
            </w:r>
          </w:p>
        </w:tc>
        <w:tc>
          <w:tcPr>
            <w:tcW w:w="1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C57C8" w:rsidRPr="004E33A5" w:rsidRDefault="000C57C8" w:rsidP="00B00899">
            <w:pPr>
              <w:tabs>
                <w:tab w:val="left" w:pos="360"/>
              </w:tabs>
              <w:jc w:val="center"/>
              <w:rPr>
                <w:rFonts w:ascii="Arial" w:hAnsi="Arial" w:cs="Arial"/>
                <w:b/>
                <w:bCs/>
                <w:noProof/>
                <w:sz w:val="20"/>
                <w:szCs w:val="20"/>
                <w:lang w:val="pt-PT"/>
              </w:rPr>
            </w:pPr>
          </w:p>
          <w:p w:rsidR="000C57C8" w:rsidRPr="004E33A5" w:rsidRDefault="000C57C8" w:rsidP="00B00899">
            <w:pPr>
              <w:tabs>
                <w:tab w:val="left" w:pos="360"/>
              </w:tabs>
              <w:jc w:val="center"/>
              <w:rPr>
                <w:rFonts w:ascii="Arial" w:hAnsi="Arial" w:cs="Arial"/>
                <w:b/>
                <w:bCs/>
                <w:noProof/>
                <w:sz w:val="20"/>
                <w:szCs w:val="20"/>
                <w:lang w:val="pt-PT"/>
              </w:rPr>
            </w:pPr>
          </w:p>
          <w:p w:rsidR="000C57C8" w:rsidRPr="004E33A5" w:rsidRDefault="000C57C8" w:rsidP="00B00899">
            <w:pPr>
              <w:tabs>
                <w:tab w:val="left" w:pos="360"/>
              </w:tabs>
              <w:jc w:val="center"/>
              <w:rPr>
                <w:rFonts w:ascii="Arial" w:hAnsi="Arial" w:cs="Arial"/>
                <w:b/>
                <w:bCs/>
                <w:noProof/>
                <w:sz w:val="20"/>
                <w:szCs w:val="20"/>
                <w:lang w:val="pt-PT"/>
              </w:rPr>
            </w:pPr>
          </w:p>
          <w:p w:rsidR="000C57C8" w:rsidRPr="004E33A5" w:rsidRDefault="000C57C8">
            <w:pPr>
              <w:pStyle w:val="Cuerpo"/>
              <w:tabs>
                <w:tab w:val="left" w:pos="360"/>
              </w:tabs>
              <w:jc w:val="center"/>
              <w:rPr>
                <w:rFonts w:ascii="Arial" w:hAnsi="Arial" w:cs="Arial"/>
                <w:noProof/>
                <w:sz w:val="20"/>
                <w:szCs w:val="20"/>
                <w:lang w:val="pt-PT"/>
              </w:rPr>
            </w:pPr>
            <w:r w:rsidRPr="004E33A5">
              <w:rPr>
                <w:rFonts w:ascii="Arial" w:hAnsi="Arial" w:cs="Arial"/>
                <w:b/>
                <w:bCs/>
                <w:noProof/>
                <w:sz w:val="20"/>
                <w:szCs w:val="20"/>
                <w:lang w:val="pt-PT"/>
              </w:rPr>
              <w:t>10,5%</w:t>
            </w:r>
          </w:p>
        </w:tc>
      </w:tr>
      <w:tr w:rsidR="000C57C8" w:rsidRPr="004E33A5" w:rsidTr="000C57C8">
        <w:trPr>
          <w:trHeight w:val="658"/>
        </w:trPr>
        <w:tc>
          <w:tcPr>
            <w:tcW w:w="16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C57C8" w:rsidRPr="004E33A5" w:rsidRDefault="000C57C8">
            <w:pPr>
              <w:pStyle w:val="Cuerpo"/>
              <w:spacing w:after="120"/>
              <w:rPr>
                <w:noProof/>
                <w:lang w:val="pt-PT"/>
              </w:rPr>
            </w:pPr>
            <w:r w:rsidRPr="004E33A5">
              <w:rPr>
                <w:rFonts w:ascii="Arial"/>
                <w:smallCaps/>
                <w:noProof/>
                <w:sz w:val="20"/>
                <w:szCs w:val="20"/>
                <w:lang w:val="pt-PT"/>
              </w:rPr>
              <w:t>cam</w:t>
            </w:r>
            <w:r w:rsidRPr="004E33A5">
              <w:rPr>
                <w:rFonts w:ascii="Arial" w:hAnsi="Arial" w:cs="Arial"/>
                <w:smallCaps/>
                <w:noProof/>
                <w:sz w:val="20"/>
                <w:szCs w:val="20"/>
                <w:lang w:val="pt-PT"/>
              </w:rPr>
              <w:t>iã</w:t>
            </w:r>
            <w:r w:rsidRPr="004E33A5">
              <w:rPr>
                <w:rFonts w:ascii="Arial"/>
                <w:smallCaps/>
                <w:noProof/>
                <w:sz w:val="20"/>
                <w:szCs w:val="20"/>
                <w:lang w:val="pt-PT"/>
              </w:rPr>
              <w:t>o e distribui</w:t>
            </w:r>
            <w:r w:rsidRPr="004E33A5">
              <w:rPr>
                <w:rFonts w:ascii="Arial" w:hAnsi="Arial" w:cs="Arial"/>
                <w:smallCaps/>
                <w:noProof/>
                <w:sz w:val="20"/>
                <w:szCs w:val="20"/>
                <w:lang w:val="pt-PT"/>
              </w:rPr>
              <w:t>çã</w:t>
            </w:r>
            <w:r w:rsidRPr="004E33A5">
              <w:rPr>
                <w:rFonts w:ascii="Arial"/>
                <w:smallCaps/>
                <w:noProof/>
                <w:sz w:val="20"/>
                <w:szCs w:val="20"/>
                <w:lang w:val="pt-PT"/>
              </w:rPr>
              <w:t>o associada</w:t>
            </w:r>
          </w:p>
        </w:tc>
        <w:tc>
          <w:tcPr>
            <w:tcW w:w="1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C57C8" w:rsidRPr="004E33A5" w:rsidRDefault="000C57C8" w:rsidP="00B00899">
            <w:pPr>
              <w:tabs>
                <w:tab w:val="left" w:pos="360"/>
              </w:tabs>
              <w:jc w:val="center"/>
              <w:rPr>
                <w:rFonts w:ascii="Arial" w:hAnsi="Arial" w:cs="Arial"/>
                <w:b/>
                <w:bCs/>
                <w:noProof/>
                <w:sz w:val="20"/>
                <w:szCs w:val="20"/>
                <w:lang w:val="pt-PT"/>
              </w:rPr>
            </w:pPr>
          </w:p>
          <w:p w:rsidR="000C57C8" w:rsidRPr="004E33A5" w:rsidRDefault="000C57C8" w:rsidP="00B00899">
            <w:pPr>
              <w:tabs>
                <w:tab w:val="left" w:pos="360"/>
              </w:tabs>
              <w:jc w:val="center"/>
              <w:rPr>
                <w:rFonts w:ascii="Arial" w:hAnsi="Arial" w:cs="Arial"/>
                <w:b/>
                <w:bCs/>
                <w:noProof/>
                <w:sz w:val="20"/>
                <w:szCs w:val="20"/>
                <w:lang w:val="pt-PT"/>
              </w:rPr>
            </w:pPr>
          </w:p>
          <w:p w:rsidR="000C57C8" w:rsidRPr="004E33A5" w:rsidRDefault="000C57C8" w:rsidP="00831C38">
            <w:pPr>
              <w:pStyle w:val="Cuerpo"/>
              <w:tabs>
                <w:tab w:val="left" w:pos="360"/>
              </w:tabs>
              <w:jc w:val="center"/>
              <w:rPr>
                <w:rFonts w:ascii="Arial" w:hAnsi="Arial" w:cs="Arial"/>
                <w:noProof/>
                <w:sz w:val="20"/>
                <w:szCs w:val="20"/>
                <w:lang w:val="pt-PT"/>
              </w:rPr>
            </w:pPr>
            <w:r w:rsidRPr="004E33A5">
              <w:rPr>
                <w:rFonts w:ascii="Arial" w:hAnsi="Arial" w:cs="Arial"/>
                <w:b/>
                <w:bCs/>
                <w:noProof/>
                <w:sz w:val="20"/>
                <w:szCs w:val="20"/>
                <w:lang w:val="pt-PT"/>
              </w:rPr>
              <w:t>6.229</w:t>
            </w:r>
          </w:p>
        </w:tc>
        <w:tc>
          <w:tcPr>
            <w:tcW w:w="12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C57C8" w:rsidRPr="004E33A5" w:rsidRDefault="000C57C8" w:rsidP="00B00899">
            <w:pPr>
              <w:tabs>
                <w:tab w:val="left" w:pos="360"/>
              </w:tabs>
              <w:jc w:val="center"/>
              <w:rPr>
                <w:rFonts w:ascii="Arial" w:hAnsi="Arial" w:cs="Arial"/>
                <w:b/>
                <w:bCs/>
                <w:noProof/>
                <w:sz w:val="20"/>
                <w:szCs w:val="20"/>
                <w:lang w:val="pt-PT"/>
              </w:rPr>
            </w:pPr>
          </w:p>
          <w:p w:rsidR="000C57C8" w:rsidRPr="004E33A5" w:rsidRDefault="000C57C8" w:rsidP="00B00899">
            <w:pPr>
              <w:tabs>
                <w:tab w:val="left" w:pos="360"/>
              </w:tabs>
              <w:jc w:val="center"/>
              <w:rPr>
                <w:rFonts w:ascii="Arial" w:hAnsi="Arial" w:cs="Arial"/>
                <w:b/>
                <w:bCs/>
                <w:noProof/>
                <w:sz w:val="20"/>
                <w:szCs w:val="20"/>
                <w:lang w:val="pt-PT"/>
              </w:rPr>
            </w:pPr>
          </w:p>
          <w:p w:rsidR="000C57C8" w:rsidRPr="004E33A5" w:rsidRDefault="000C57C8" w:rsidP="00831C38">
            <w:pPr>
              <w:pStyle w:val="Cuerpo"/>
              <w:tabs>
                <w:tab w:val="left" w:pos="360"/>
              </w:tabs>
              <w:jc w:val="center"/>
              <w:rPr>
                <w:rFonts w:ascii="Arial" w:hAnsi="Arial" w:cs="Arial"/>
                <w:noProof/>
                <w:sz w:val="20"/>
                <w:szCs w:val="20"/>
                <w:lang w:val="pt-PT"/>
              </w:rPr>
            </w:pPr>
            <w:r w:rsidRPr="004E33A5">
              <w:rPr>
                <w:rFonts w:ascii="Arial" w:hAnsi="Arial" w:cs="Arial"/>
                <w:b/>
                <w:bCs/>
                <w:noProof/>
                <w:sz w:val="20"/>
                <w:szCs w:val="20"/>
                <w:lang w:val="pt-PT"/>
              </w:rPr>
              <w:t>6.082</w:t>
            </w:r>
          </w:p>
        </w:tc>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C57C8" w:rsidRPr="004E33A5" w:rsidRDefault="000C57C8" w:rsidP="00B00899">
            <w:pPr>
              <w:jc w:val="center"/>
              <w:rPr>
                <w:rFonts w:ascii="Arial" w:hAnsi="Arial" w:cs="Arial"/>
                <w:b/>
                <w:noProof/>
                <w:sz w:val="20"/>
                <w:szCs w:val="20"/>
                <w:lang w:val="pt-PT"/>
              </w:rPr>
            </w:pPr>
          </w:p>
          <w:p w:rsidR="000C57C8" w:rsidRPr="004E33A5" w:rsidRDefault="000C57C8" w:rsidP="00B00899">
            <w:pPr>
              <w:jc w:val="center"/>
              <w:rPr>
                <w:rFonts w:ascii="Arial" w:hAnsi="Arial" w:cs="Arial"/>
                <w:b/>
                <w:noProof/>
                <w:sz w:val="20"/>
                <w:szCs w:val="20"/>
                <w:lang w:val="pt-PT"/>
              </w:rPr>
            </w:pPr>
          </w:p>
          <w:p w:rsidR="000C57C8" w:rsidRPr="004E33A5" w:rsidRDefault="000C57C8">
            <w:pPr>
              <w:pStyle w:val="Cuerpo"/>
              <w:jc w:val="center"/>
              <w:rPr>
                <w:rFonts w:ascii="Arial" w:hAnsi="Arial" w:cs="Arial"/>
                <w:noProof/>
                <w:sz w:val="20"/>
                <w:szCs w:val="20"/>
                <w:lang w:val="pt-PT"/>
              </w:rPr>
            </w:pPr>
            <w:r w:rsidRPr="004E33A5">
              <w:rPr>
                <w:rFonts w:ascii="Arial" w:hAnsi="Arial" w:cs="Arial"/>
                <w:b/>
                <w:bCs/>
                <w:noProof/>
                <w:sz w:val="20"/>
                <w:szCs w:val="20"/>
                <w:lang w:val="pt-PT"/>
              </w:rPr>
              <w:t>645</w:t>
            </w:r>
          </w:p>
        </w:tc>
        <w:tc>
          <w:tcPr>
            <w:tcW w:w="1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C57C8" w:rsidRPr="004E33A5" w:rsidRDefault="000C57C8" w:rsidP="00B00899">
            <w:pPr>
              <w:jc w:val="center"/>
              <w:rPr>
                <w:rFonts w:ascii="Arial" w:hAnsi="Arial" w:cs="Arial"/>
                <w:b/>
                <w:noProof/>
                <w:sz w:val="20"/>
                <w:szCs w:val="20"/>
                <w:lang w:val="pt-PT"/>
              </w:rPr>
            </w:pPr>
          </w:p>
          <w:p w:rsidR="000C57C8" w:rsidRPr="004E33A5" w:rsidRDefault="000C57C8" w:rsidP="00B00899">
            <w:pPr>
              <w:jc w:val="center"/>
              <w:rPr>
                <w:rFonts w:ascii="Arial" w:hAnsi="Arial" w:cs="Arial"/>
                <w:b/>
                <w:noProof/>
                <w:sz w:val="20"/>
                <w:szCs w:val="20"/>
                <w:lang w:val="pt-PT"/>
              </w:rPr>
            </w:pPr>
          </w:p>
          <w:p w:rsidR="000C57C8" w:rsidRPr="004E33A5" w:rsidRDefault="000C57C8">
            <w:pPr>
              <w:pStyle w:val="Cuerpo"/>
              <w:jc w:val="center"/>
              <w:rPr>
                <w:rFonts w:ascii="Arial" w:hAnsi="Arial" w:cs="Arial"/>
                <w:noProof/>
                <w:sz w:val="20"/>
                <w:szCs w:val="20"/>
                <w:lang w:val="pt-PT"/>
              </w:rPr>
            </w:pPr>
            <w:r w:rsidRPr="004E33A5">
              <w:rPr>
                <w:rFonts w:ascii="Arial" w:hAnsi="Arial" w:cs="Arial"/>
                <w:b/>
                <w:bCs/>
                <w:noProof/>
                <w:sz w:val="20"/>
                <w:szCs w:val="20"/>
                <w:lang w:val="pt-PT"/>
              </w:rPr>
              <w:t>495</w:t>
            </w:r>
          </w:p>
        </w:tc>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C57C8" w:rsidRPr="004E33A5" w:rsidRDefault="000C57C8" w:rsidP="00B00899">
            <w:pPr>
              <w:tabs>
                <w:tab w:val="left" w:pos="360"/>
              </w:tabs>
              <w:jc w:val="center"/>
              <w:rPr>
                <w:rFonts w:ascii="Arial" w:hAnsi="Arial" w:cs="Arial"/>
                <w:b/>
                <w:bCs/>
                <w:noProof/>
                <w:sz w:val="20"/>
                <w:szCs w:val="20"/>
                <w:lang w:val="pt-PT"/>
              </w:rPr>
            </w:pPr>
          </w:p>
          <w:p w:rsidR="000C57C8" w:rsidRPr="004E33A5" w:rsidRDefault="000C57C8" w:rsidP="00B00899">
            <w:pPr>
              <w:tabs>
                <w:tab w:val="left" w:pos="360"/>
              </w:tabs>
              <w:jc w:val="center"/>
              <w:rPr>
                <w:rFonts w:ascii="Arial" w:hAnsi="Arial" w:cs="Arial"/>
                <w:b/>
                <w:bCs/>
                <w:noProof/>
                <w:sz w:val="20"/>
                <w:szCs w:val="20"/>
                <w:lang w:val="pt-PT"/>
              </w:rPr>
            </w:pPr>
          </w:p>
          <w:p w:rsidR="000C57C8" w:rsidRPr="004E33A5" w:rsidRDefault="000C57C8">
            <w:pPr>
              <w:pStyle w:val="Cuerpo"/>
              <w:tabs>
                <w:tab w:val="left" w:pos="360"/>
              </w:tabs>
              <w:jc w:val="center"/>
              <w:rPr>
                <w:rFonts w:ascii="Arial" w:hAnsi="Arial" w:cs="Arial"/>
                <w:noProof/>
                <w:sz w:val="20"/>
                <w:szCs w:val="20"/>
                <w:lang w:val="pt-PT"/>
              </w:rPr>
            </w:pPr>
            <w:r w:rsidRPr="004E33A5">
              <w:rPr>
                <w:rFonts w:ascii="Arial" w:hAnsi="Arial" w:cs="Arial"/>
                <w:b/>
                <w:bCs/>
                <w:noProof/>
                <w:sz w:val="20"/>
                <w:szCs w:val="20"/>
                <w:lang w:val="pt-PT"/>
              </w:rPr>
              <w:t>10,4%</w:t>
            </w:r>
          </w:p>
        </w:tc>
        <w:tc>
          <w:tcPr>
            <w:tcW w:w="1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C57C8" w:rsidRPr="004E33A5" w:rsidRDefault="000C57C8" w:rsidP="00B00899">
            <w:pPr>
              <w:tabs>
                <w:tab w:val="left" w:pos="360"/>
              </w:tabs>
              <w:jc w:val="center"/>
              <w:rPr>
                <w:rFonts w:ascii="Arial" w:hAnsi="Arial" w:cs="Arial"/>
                <w:b/>
                <w:bCs/>
                <w:noProof/>
                <w:sz w:val="20"/>
                <w:szCs w:val="20"/>
                <w:lang w:val="pt-PT"/>
              </w:rPr>
            </w:pPr>
          </w:p>
          <w:p w:rsidR="000C57C8" w:rsidRPr="004E33A5" w:rsidRDefault="000C57C8" w:rsidP="00B00899">
            <w:pPr>
              <w:tabs>
                <w:tab w:val="left" w:pos="360"/>
              </w:tabs>
              <w:jc w:val="center"/>
              <w:rPr>
                <w:rFonts w:ascii="Arial" w:hAnsi="Arial" w:cs="Arial"/>
                <w:b/>
                <w:bCs/>
                <w:noProof/>
                <w:sz w:val="20"/>
                <w:szCs w:val="20"/>
                <w:lang w:val="pt-PT"/>
              </w:rPr>
            </w:pPr>
          </w:p>
          <w:p w:rsidR="000C57C8" w:rsidRPr="004E33A5" w:rsidRDefault="000C57C8">
            <w:pPr>
              <w:pStyle w:val="Cuerpo"/>
              <w:tabs>
                <w:tab w:val="left" w:pos="360"/>
              </w:tabs>
              <w:jc w:val="center"/>
              <w:rPr>
                <w:rFonts w:ascii="Arial" w:hAnsi="Arial" w:cs="Arial"/>
                <w:noProof/>
                <w:sz w:val="20"/>
                <w:szCs w:val="20"/>
                <w:lang w:val="pt-PT"/>
              </w:rPr>
            </w:pPr>
            <w:r w:rsidRPr="004E33A5">
              <w:rPr>
                <w:rFonts w:ascii="Arial" w:hAnsi="Arial" w:cs="Arial"/>
                <w:b/>
                <w:bCs/>
                <w:noProof/>
                <w:sz w:val="20"/>
                <w:szCs w:val="20"/>
                <w:lang w:val="pt-PT"/>
              </w:rPr>
              <w:t>8,1%</w:t>
            </w:r>
          </w:p>
        </w:tc>
      </w:tr>
      <w:tr w:rsidR="00831C38" w:rsidRPr="004E33A5" w:rsidTr="000C57C8">
        <w:trPr>
          <w:trHeight w:val="438"/>
        </w:trPr>
        <w:tc>
          <w:tcPr>
            <w:tcW w:w="16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31C38" w:rsidRPr="004E33A5" w:rsidRDefault="00831C38">
            <w:pPr>
              <w:pStyle w:val="Cuerpo"/>
              <w:spacing w:after="120"/>
              <w:jc w:val="both"/>
              <w:rPr>
                <w:noProof/>
                <w:lang w:val="pt-PT"/>
              </w:rPr>
            </w:pPr>
            <w:r w:rsidRPr="004E33A5">
              <w:rPr>
                <w:rFonts w:ascii="Arial"/>
                <w:smallCaps/>
                <w:noProof/>
                <w:sz w:val="20"/>
                <w:szCs w:val="20"/>
                <w:lang w:val="pt-PT"/>
              </w:rPr>
              <w:t xml:space="preserve">atividades </w:t>
            </w:r>
            <w:r w:rsidRPr="004E33A5">
              <w:rPr>
                <w:rFonts w:ascii="Arial"/>
                <w:smallCaps/>
                <w:noProof/>
                <w:sz w:val="16"/>
                <w:szCs w:val="16"/>
                <w:lang w:val="pt-PT"/>
              </w:rPr>
              <w:t>DE</w:t>
            </w:r>
            <w:r w:rsidRPr="004E33A5">
              <w:rPr>
                <w:rFonts w:ascii="Arial"/>
                <w:smallCaps/>
                <w:noProof/>
                <w:sz w:val="20"/>
                <w:szCs w:val="20"/>
                <w:lang w:val="pt-PT"/>
              </w:rPr>
              <w:t xml:space="preserve"> especialidades</w:t>
            </w:r>
          </w:p>
        </w:tc>
        <w:tc>
          <w:tcPr>
            <w:tcW w:w="1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31C38" w:rsidRPr="004E33A5" w:rsidRDefault="00831C38" w:rsidP="00B00899">
            <w:pPr>
              <w:tabs>
                <w:tab w:val="left" w:pos="360"/>
              </w:tabs>
              <w:jc w:val="center"/>
              <w:rPr>
                <w:rFonts w:ascii="Arial" w:hAnsi="Arial" w:cs="Arial"/>
                <w:b/>
                <w:bCs/>
                <w:noProof/>
                <w:sz w:val="20"/>
                <w:szCs w:val="20"/>
                <w:lang w:val="pt-PT"/>
              </w:rPr>
            </w:pPr>
          </w:p>
          <w:p w:rsidR="00831C38" w:rsidRPr="004E33A5" w:rsidRDefault="00831C38" w:rsidP="00831C38">
            <w:pPr>
              <w:pStyle w:val="Cuerpo"/>
              <w:tabs>
                <w:tab w:val="left" w:pos="360"/>
              </w:tabs>
              <w:jc w:val="center"/>
              <w:rPr>
                <w:rFonts w:ascii="Arial" w:hAnsi="Arial" w:cs="Arial"/>
                <w:noProof/>
                <w:sz w:val="20"/>
                <w:szCs w:val="20"/>
                <w:lang w:val="pt-PT"/>
              </w:rPr>
            </w:pPr>
            <w:r w:rsidRPr="004E33A5">
              <w:rPr>
                <w:rFonts w:ascii="Arial" w:hAnsi="Arial" w:cs="Arial"/>
                <w:b/>
                <w:bCs/>
                <w:noProof/>
                <w:sz w:val="20"/>
                <w:szCs w:val="20"/>
                <w:lang w:val="pt-PT"/>
              </w:rPr>
              <w:t>2.942</w:t>
            </w:r>
          </w:p>
        </w:tc>
        <w:tc>
          <w:tcPr>
            <w:tcW w:w="12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31C38" w:rsidRPr="004E33A5" w:rsidRDefault="00831C38" w:rsidP="00B00899">
            <w:pPr>
              <w:tabs>
                <w:tab w:val="left" w:pos="360"/>
              </w:tabs>
              <w:jc w:val="center"/>
              <w:rPr>
                <w:rFonts w:ascii="Arial" w:hAnsi="Arial" w:cs="Arial"/>
                <w:b/>
                <w:bCs/>
                <w:noProof/>
                <w:sz w:val="20"/>
                <w:szCs w:val="20"/>
                <w:lang w:val="pt-PT"/>
              </w:rPr>
            </w:pPr>
          </w:p>
          <w:p w:rsidR="00831C38" w:rsidRPr="004E33A5" w:rsidRDefault="00831C38" w:rsidP="00831C38">
            <w:pPr>
              <w:pStyle w:val="Cuerpo"/>
              <w:tabs>
                <w:tab w:val="left" w:pos="360"/>
              </w:tabs>
              <w:jc w:val="center"/>
              <w:rPr>
                <w:rFonts w:ascii="Arial" w:hAnsi="Arial" w:cs="Arial"/>
                <w:noProof/>
                <w:sz w:val="20"/>
                <w:szCs w:val="20"/>
                <w:lang w:val="pt-PT"/>
              </w:rPr>
            </w:pPr>
            <w:r w:rsidRPr="004E33A5">
              <w:rPr>
                <w:rFonts w:ascii="Arial" w:hAnsi="Arial" w:cs="Arial"/>
                <w:b/>
                <w:bCs/>
                <w:noProof/>
                <w:sz w:val="20"/>
                <w:szCs w:val="20"/>
                <w:lang w:val="pt-PT"/>
              </w:rPr>
              <w:t>2.973</w:t>
            </w:r>
          </w:p>
        </w:tc>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31C38" w:rsidRPr="004E33A5" w:rsidRDefault="00831C38" w:rsidP="00B00899">
            <w:pPr>
              <w:jc w:val="center"/>
              <w:rPr>
                <w:rFonts w:ascii="Arial" w:hAnsi="Arial" w:cs="Arial"/>
                <w:b/>
                <w:noProof/>
                <w:sz w:val="20"/>
                <w:szCs w:val="20"/>
                <w:lang w:val="pt-PT"/>
              </w:rPr>
            </w:pPr>
          </w:p>
          <w:p w:rsidR="00831C38" w:rsidRPr="004E33A5" w:rsidRDefault="00831C38">
            <w:pPr>
              <w:pStyle w:val="Cuerpo"/>
              <w:jc w:val="center"/>
              <w:rPr>
                <w:rFonts w:ascii="Arial" w:hAnsi="Arial" w:cs="Arial"/>
                <w:noProof/>
                <w:sz w:val="20"/>
                <w:szCs w:val="20"/>
                <w:lang w:val="pt-PT"/>
              </w:rPr>
            </w:pPr>
            <w:r w:rsidRPr="004E33A5">
              <w:rPr>
                <w:rFonts w:ascii="Arial" w:hAnsi="Arial" w:cs="Arial"/>
                <w:b/>
                <w:bCs/>
                <w:noProof/>
                <w:sz w:val="20"/>
                <w:szCs w:val="20"/>
                <w:lang w:val="pt-PT"/>
              </w:rPr>
              <w:t>548</w:t>
            </w:r>
          </w:p>
        </w:tc>
        <w:tc>
          <w:tcPr>
            <w:tcW w:w="1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31C38" w:rsidRPr="004E33A5" w:rsidRDefault="00831C38" w:rsidP="00B00899">
            <w:pPr>
              <w:jc w:val="center"/>
              <w:rPr>
                <w:rFonts w:ascii="Arial" w:hAnsi="Arial" w:cs="Arial"/>
                <w:b/>
                <w:noProof/>
                <w:sz w:val="20"/>
                <w:szCs w:val="20"/>
                <w:lang w:val="pt-PT"/>
              </w:rPr>
            </w:pPr>
          </w:p>
          <w:p w:rsidR="00831C38" w:rsidRPr="004E33A5" w:rsidRDefault="00831C38">
            <w:pPr>
              <w:pStyle w:val="Cuerpo"/>
              <w:jc w:val="center"/>
              <w:rPr>
                <w:rFonts w:ascii="Arial" w:hAnsi="Arial" w:cs="Arial"/>
                <w:noProof/>
                <w:sz w:val="20"/>
                <w:szCs w:val="20"/>
                <w:lang w:val="pt-PT"/>
              </w:rPr>
            </w:pPr>
            <w:r w:rsidRPr="004E33A5">
              <w:rPr>
                <w:rFonts w:ascii="Arial" w:hAnsi="Arial" w:cs="Arial"/>
                <w:b/>
                <w:bCs/>
                <w:noProof/>
                <w:sz w:val="20"/>
                <w:szCs w:val="20"/>
                <w:lang w:val="pt-PT"/>
              </w:rPr>
              <w:t>574</w:t>
            </w:r>
          </w:p>
        </w:tc>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31C38" w:rsidRPr="004E33A5" w:rsidRDefault="00831C38" w:rsidP="00B00899">
            <w:pPr>
              <w:tabs>
                <w:tab w:val="left" w:pos="360"/>
              </w:tabs>
              <w:jc w:val="center"/>
              <w:rPr>
                <w:rFonts w:ascii="Arial" w:hAnsi="Arial" w:cs="Arial"/>
                <w:b/>
                <w:bCs/>
                <w:noProof/>
                <w:sz w:val="20"/>
                <w:szCs w:val="20"/>
                <w:lang w:val="pt-PT"/>
              </w:rPr>
            </w:pPr>
          </w:p>
          <w:p w:rsidR="00831C38" w:rsidRPr="004E33A5" w:rsidRDefault="00831C38">
            <w:pPr>
              <w:pStyle w:val="Cuerpo"/>
              <w:tabs>
                <w:tab w:val="left" w:pos="360"/>
              </w:tabs>
              <w:jc w:val="center"/>
              <w:rPr>
                <w:rFonts w:ascii="Arial" w:hAnsi="Arial" w:cs="Arial"/>
                <w:noProof/>
                <w:sz w:val="20"/>
                <w:szCs w:val="20"/>
                <w:lang w:val="pt-PT"/>
              </w:rPr>
            </w:pPr>
            <w:r w:rsidRPr="004E33A5">
              <w:rPr>
                <w:rFonts w:ascii="Arial" w:hAnsi="Arial" w:cs="Arial"/>
                <w:b/>
                <w:bCs/>
                <w:noProof/>
                <w:sz w:val="20"/>
                <w:szCs w:val="20"/>
                <w:lang w:val="pt-PT"/>
              </w:rPr>
              <w:t>18,6%</w:t>
            </w:r>
          </w:p>
        </w:tc>
        <w:tc>
          <w:tcPr>
            <w:tcW w:w="1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31C38" w:rsidRPr="004E33A5" w:rsidRDefault="00831C38" w:rsidP="00B00899">
            <w:pPr>
              <w:tabs>
                <w:tab w:val="left" w:pos="360"/>
              </w:tabs>
              <w:jc w:val="center"/>
              <w:rPr>
                <w:rFonts w:ascii="Arial" w:hAnsi="Arial" w:cs="Arial"/>
                <w:b/>
                <w:bCs/>
                <w:noProof/>
                <w:sz w:val="20"/>
                <w:szCs w:val="20"/>
                <w:lang w:val="pt-PT"/>
              </w:rPr>
            </w:pPr>
          </w:p>
          <w:p w:rsidR="00831C38" w:rsidRPr="004E33A5" w:rsidRDefault="00831C38">
            <w:pPr>
              <w:pStyle w:val="Cuerpo"/>
              <w:tabs>
                <w:tab w:val="left" w:pos="360"/>
              </w:tabs>
              <w:jc w:val="center"/>
              <w:rPr>
                <w:rFonts w:ascii="Arial" w:hAnsi="Arial" w:cs="Arial"/>
                <w:noProof/>
                <w:sz w:val="20"/>
                <w:szCs w:val="20"/>
                <w:lang w:val="pt-PT"/>
              </w:rPr>
            </w:pPr>
            <w:r w:rsidRPr="004E33A5">
              <w:rPr>
                <w:rFonts w:ascii="Arial" w:hAnsi="Arial" w:cs="Arial"/>
                <w:b/>
                <w:bCs/>
                <w:noProof/>
                <w:sz w:val="20"/>
                <w:szCs w:val="20"/>
                <w:lang w:val="pt-PT"/>
              </w:rPr>
              <w:t>19,3%</w:t>
            </w:r>
          </w:p>
        </w:tc>
      </w:tr>
      <w:tr w:rsidR="00831C38" w:rsidRPr="004E33A5" w:rsidTr="000C57C8">
        <w:trPr>
          <w:trHeight w:val="618"/>
        </w:trPr>
        <w:tc>
          <w:tcPr>
            <w:tcW w:w="16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31C38" w:rsidRPr="004E33A5" w:rsidRDefault="00831C38">
            <w:pPr>
              <w:pStyle w:val="Cuerpo"/>
              <w:jc w:val="both"/>
              <w:rPr>
                <w:rFonts w:ascii="Arial" w:eastAsia="Arial" w:hAnsi="Arial" w:cs="Arial"/>
                <w:smallCaps/>
                <w:noProof/>
                <w:sz w:val="20"/>
                <w:szCs w:val="20"/>
                <w:lang w:val="pt-PT"/>
              </w:rPr>
            </w:pPr>
          </w:p>
          <w:p w:rsidR="00831C38" w:rsidRPr="004E33A5" w:rsidRDefault="00831C38">
            <w:pPr>
              <w:pStyle w:val="Cuerpo"/>
              <w:jc w:val="both"/>
              <w:rPr>
                <w:rFonts w:ascii="Arial" w:eastAsia="Arial" w:hAnsi="Arial" w:cs="Arial"/>
                <w:smallCaps/>
                <w:noProof/>
                <w:sz w:val="20"/>
                <w:szCs w:val="20"/>
                <w:lang w:val="pt-PT"/>
              </w:rPr>
            </w:pPr>
            <w:r w:rsidRPr="004E33A5">
              <w:rPr>
                <w:rFonts w:ascii="Arial"/>
                <w:smallCaps/>
                <w:noProof/>
                <w:sz w:val="20"/>
                <w:szCs w:val="20"/>
                <w:lang w:val="pt-PT"/>
              </w:rPr>
              <w:t>grupo</w:t>
            </w:r>
          </w:p>
        </w:tc>
        <w:tc>
          <w:tcPr>
            <w:tcW w:w="1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31C38" w:rsidRPr="004E33A5" w:rsidRDefault="00831C38" w:rsidP="00B00899">
            <w:pPr>
              <w:tabs>
                <w:tab w:val="left" w:pos="360"/>
              </w:tabs>
              <w:jc w:val="center"/>
              <w:rPr>
                <w:rFonts w:ascii="Arial" w:hAnsi="Arial" w:cs="Arial"/>
                <w:b/>
                <w:bCs/>
                <w:noProof/>
                <w:sz w:val="20"/>
                <w:szCs w:val="20"/>
                <w:lang w:val="pt-PT"/>
              </w:rPr>
            </w:pPr>
          </w:p>
          <w:p w:rsidR="00831C38" w:rsidRPr="004E33A5" w:rsidRDefault="00831C38" w:rsidP="00831C38">
            <w:pPr>
              <w:pStyle w:val="Cuerpo"/>
              <w:tabs>
                <w:tab w:val="left" w:pos="360"/>
              </w:tabs>
              <w:jc w:val="center"/>
              <w:rPr>
                <w:rFonts w:ascii="Arial" w:hAnsi="Arial" w:cs="Arial"/>
                <w:noProof/>
                <w:sz w:val="20"/>
                <w:szCs w:val="20"/>
                <w:lang w:val="pt-PT"/>
              </w:rPr>
            </w:pPr>
            <w:r w:rsidRPr="004E33A5">
              <w:rPr>
                <w:rFonts w:ascii="Arial" w:hAnsi="Arial" w:cs="Arial"/>
                <w:b/>
                <w:bCs/>
                <w:noProof/>
                <w:sz w:val="20"/>
                <w:szCs w:val="20"/>
                <w:lang w:val="pt-PT"/>
              </w:rPr>
              <w:t>21.199</w:t>
            </w:r>
          </w:p>
        </w:tc>
        <w:tc>
          <w:tcPr>
            <w:tcW w:w="12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31C38" w:rsidRPr="004E33A5" w:rsidRDefault="00831C38" w:rsidP="00B00899">
            <w:pPr>
              <w:tabs>
                <w:tab w:val="left" w:pos="360"/>
              </w:tabs>
              <w:jc w:val="center"/>
              <w:rPr>
                <w:rFonts w:ascii="Arial" w:hAnsi="Arial" w:cs="Arial"/>
                <w:b/>
                <w:bCs/>
                <w:noProof/>
                <w:sz w:val="20"/>
                <w:szCs w:val="20"/>
                <w:lang w:val="pt-PT"/>
              </w:rPr>
            </w:pPr>
          </w:p>
          <w:p w:rsidR="00831C38" w:rsidRPr="004E33A5" w:rsidRDefault="00831C38" w:rsidP="00831C38">
            <w:pPr>
              <w:pStyle w:val="Cuerpo"/>
              <w:tabs>
                <w:tab w:val="left" w:pos="360"/>
              </w:tabs>
              <w:jc w:val="center"/>
              <w:rPr>
                <w:rFonts w:ascii="Arial" w:hAnsi="Arial" w:cs="Arial"/>
                <w:noProof/>
                <w:sz w:val="20"/>
                <w:szCs w:val="20"/>
                <w:lang w:val="pt-PT"/>
              </w:rPr>
            </w:pPr>
            <w:r w:rsidRPr="004E33A5">
              <w:rPr>
                <w:rFonts w:ascii="Arial" w:hAnsi="Arial" w:cs="Arial"/>
                <w:b/>
                <w:bCs/>
                <w:noProof/>
                <w:sz w:val="20"/>
                <w:szCs w:val="20"/>
                <w:lang w:val="pt-PT"/>
              </w:rPr>
              <w:t>19.553</w:t>
            </w:r>
          </w:p>
        </w:tc>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31C38" w:rsidRPr="004E33A5" w:rsidRDefault="00831C38" w:rsidP="00B00899">
            <w:pPr>
              <w:jc w:val="center"/>
              <w:rPr>
                <w:rFonts w:ascii="Arial" w:hAnsi="Arial" w:cs="Arial"/>
                <w:b/>
                <w:noProof/>
                <w:sz w:val="20"/>
                <w:szCs w:val="20"/>
                <w:lang w:val="pt-PT"/>
              </w:rPr>
            </w:pPr>
          </w:p>
          <w:p w:rsidR="00831C38" w:rsidRPr="004E33A5" w:rsidRDefault="00831C38" w:rsidP="00831C38">
            <w:pPr>
              <w:pStyle w:val="Cuerpo"/>
              <w:jc w:val="center"/>
              <w:rPr>
                <w:rFonts w:ascii="Arial" w:hAnsi="Arial" w:cs="Arial"/>
                <w:noProof/>
                <w:sz w:val="20"/>
                <w:szCs w:val="20"/>
                <w:lang w:val="pt-PT"/>
              </w:rPr>
            </w:pPr>
            <w:r w:rsidRPr="004E33A5">
              <w:rPr>
                <w:rFonts w:ascii="Arial" w:hAnsi="Arial" w:cs="Arial"/>
                <w:b/>
                <w:bCs/>
                <w:noProof/>
                <w:sz w:val="20"/>
                <w:szCs w:val="20"/>
                <w:lang w:val="pt-PT"/>
              </w:rPr>
              <w:t>2.577</w:t>
            </w:r>
          </w:p>
        </w:tc>
        <w:tc>
          <w:tcPr>
            <w:tcW w:w="1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31C38" w:rsidRPr="004E33A5" w:rsidRDefault="00831C38" w:rsidP="00B00899">
            <w:pPr>
              <w:jc w:val="center"/>
              <w:rPr>
                <w:rFonts w:ascii="Arial" w:hAnsi="Arial" w:cs="Arial"/>
                <w:b/>
                <w:noProof/>
                <w:sz w:val="20"/>
                <w:szCs w:val="20"/>
                <w:lang w:val="pt-PT"/>
              </w:rPr>
            </w:pPr>
          </w:p>
          <w:p w:rsidR="00831C38" w:rsidRPr="004E33A5" w:rsidRDefault="00831C38" w:rsidP="00831C38">
            <w:pPr>
              <w:pStyle w:val="Cuerpo"/>
              <w:jc w:val="center"/>
              <w:rPr>
                <w:rFonts w:ascii="Arial" w:hAnsi="Arial" w:cs="Arial"/>
                <w:noProof/>
                <w:sz w:val="20"/>
                <w:szCs w:val="20"/>
                <w:lang w:val="pt-PT"/>
              </w:rPr>
            </w:pPr>
            <w:r w:rsidRPr="004E33A5">
              <w:rPr>
                <w:rFonts w:ascii="Arial" w:hAnsi="Arial" w:cs="Arial"/>
                <w:b/>
                <w:bCs/>
                <w:noProof/>
                <w:sz w:val="20"/>
                <w:szCs w:val="20"/>
                <w:lang w:val="pt-PT"/>
              </w:rPr>
              <w:t>2.170</w:t>
            </w:r>
          </w:p>
        </w:tc>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31C38" w:rsidRPr="004E33A5" w:rsidRDefault="00831C38" w:rsidP="00B00899">
            <w:pPr>
              <w:jc w:val="center"/>
              <w:rPr>
                <w:rFonts w:ascii="Arial" w:hAnsi="Arial" w:cs="Arial"/>
                <w:b/>
                <w:noProof/>
                <w:sz w:val="20"/>
                <w:szCs w:val="20"/>
                <w:lang w:val="pt-PT"/>
              </w:rPr>
            </w:pPr>
          </w:p>
          <w:p w:rsidR="00831C38" w:rsidRPr="004E33A5" w:rsidRDefault="00831C38">
            <w:pPr>
              <w:pStyle w:val="Cuerpo"/>
              <w:jc w:val="center"/>
              <w:rPr>
                <w:rFonts w:ascii="Arial" w:hAnsi="Arial" w:cs="Arial"/>
                <w:noProof/>
                <w:sz w:val="20"/>
                <w:szCs w:val="20"/>
                <w:lang w:val="pt-PT"/>
              </w:rPr>
            </w:pPr>
            <w:r w:rsidRPr="004E33A5">
              <w:rPr>
                <w:rFonts w:ascii="Arial" w:hAnsi="Arial" w:cs="Arial"/>
                <w:b/>
                <w:bCs/>
                <w:noProof/>
                <w:sz w:val="20"/>
                <w:szCs w:val="20"/>
                <w:lang w:val="pt-PT"/>
              </w:rPr>
              <w:t>12,2%</w:t>
            </w:r>
          </w:p>
        </w:tc>
        <w:tc>
          <w:tcPr>
            <w:tcW w:w="1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31C38" w:rsidRPr="004E33A5" w:rsidRDefault="00831C38" w:rsidP="00B00899">
            <w:pPr>
              <w:jc w:val="center"/>
              <w:rPr>
                <w:rFonts w:ascii="Arial" w:hAnsi="Arial" w:cs="Arial"/>
                <w:b/>
                <w:noProof/>
                <w:sz w:val="20"/>
                <w:szCs w:val="20"/>
                <w:lang w:val="pt-PT"/>
              </w:rPr>
            </w:pPr>
          </w:p>
          <w:p w:rsidR="00831C38" w:rsidRPr="004E33A5" w:rsidRDefault="00831C38">
            <w:pPr>
              <w:pStyle w:val="Cuerpo"/>
              <w:jc w:val="center"/>
              <w:rPr>
                <w:rFonts w:ascii="Arial" w:hAnsi="Arial" w:cs="Arial"/>
                <w:noProof/>
                <w:sz w:val="20"/>
                <w:szCs w:val="20"/>
                <w:lang w:val="pt-PT"/>
              </w:rPr>
            </w:pPr>
            <w:r w:rsidRPr="004E33A5">
              <w:rPr>
                <w:rFonts w:ascii="Arial" w:hAnsi="Arial" w:cs="Arial"/>
                <w:b/>
                <w:bCs/>
                <w:noProof/>
                <w:sz w:val="20"/>
                <w:szCs w:val="20"/>
                <w:lang w:val="pt-PT"/>
              </w:rPr>
              <w:t>11,1%</w:t>
            </w:r>
          </w:p>
        </w:tc>
      </w:tr>
    </w:tbl>
    <w:p w:rsidR="00E610BD" w:rsidRPr="004E33A5" w:rsidRDefault="00E610BD" w:rsidP="00E610BD">
      <w:pPr>
        <w:pStyle w:val="LadilloMichelinDossier"/>
        <w:spacing w:after="240"/>
        <w:ind w:left="360"/>
        <w:jc w:val="both"/>
        <w:rPr>
          <w:rFonts w:ascii="Arial"/>
          <w:noProof/>
          <w:sz w:val="21"/>
          <w:szCs w:val="21"/>
          <w:lang w:val="pt-PT"/>
        </w:rPr>
      </w:pPr>
    </w:p>
    <w:p w:rsidR="00700DFB" w:rsidRPr="004E33A5" w:rsidRDefault="00E610BD" w:rsidP="00BD06E7">
      <w:pPr>
        <w:pStyle w:val="LadilloMichelinDossier"/>
        <w:numPr>
          <w:ilvl w:val="0"/>
          <w:numId w:val="10"/>
        </w:numPr>
        <w:tabs>
          <w:tab w:val="clear" w:pos="291"/>
          <w:tab w:val="num" w:pos="360"/>
        </w:tabs>
        <w:spacing w:after="240"/>
        <w:ind w:left="360" w:hanging="360"/>
        <w:jc w:val="both"/>
        <w:rPr>
          <w:rFonts w:ascii="Verdana" w:eastAsia="Verdana" w:hAnsi="Verdana" w:cs="Verdana"/>
          <w:smallCaps/>
          <w:noProof/>
          <w:u w:val="single"/>
          <w:lang w:val="pt-PT"/>
        </w:rPr>
      </w:pPr>
      <w:r w:rsidRPr="004E33A5">
        <w:rPr>
          <w:b w:val="0"/>
          <w:bCs w:val="0"/>
          <w:noProof/>
          <w:sz w:val="21"/>
          <w:szCs w:val="21"/>
          <w:lang w:val="pt-PT"/>
        </w:rPr>
        <w:br w:type="column"/>
      </w:r>
      <w:r w:rsidRPr="004E33A5">
        <w:rPr>
          <w:rFonts w:ascii="Arial"/>
          <w:noProof/>
          <w:sz w:val="21"/>
          <w:szCs w:val="21"/>
          <w:lang w:val="pt-PT"/>
        </w:rPr>
        <w:t>Ligeiro, camioneta e distribui</w:t>
      </w:r>
      <w:r w:rsidRPr="004E33A5">
        <w:rPr>
          <w:rFonts w:ascii="Arial" w:hAnsi="Arial" w:cs="Arial"/>
          <w:noProof/>
          <w:sz w:val="21"/>
          <w:szCs w:val="21"/>
          <w:lang w:val="pt-PT"/>
        </w:rPr>
        <w:t>çã</w:t>
      </w:r>
      <w:r w:rsidRPr="004E33A5">
        <w:rPr>
          <w:rFonts w:ascii="Arial"/>
          <w:noProof/>
          <w:sz w:val="21"/>
          <w:szCs w:val="21"/>
          <w:lang w:val="pt-PT"/>
        </w:rPr>
        <w:t xml:space="preserve">o associada </w:t>
      </w:r>
    </w:p>
    <w:p w:rsidR="00700DFB" w:rsidRPr="004E33A5" w:rsidRDefault="009F7ED2" w:rsidP="004E33A5">
      <w:pPr>
        <w:pStyle w:val="TextoMichelin"/>
        <w:spacing w:line="360" w:lineRule="auto"/>
        <w:rPr>
          <w:rFonts w:hAnsi="Arial" w:cs="Arial"/>
          <w:noProof/>
          <w:lang w:val="pt-PT"/>
        </w:rPr>
      </w:pPr>
      <w:r w:rsidRPr="004E33A5">
        <w:rPr>
          <w:rFonts w:hAnsi="Arial" w:cs="Arial"/>
          <w:noProof/>
          <w:lang w:val="pt-PT"/>
        </w:rPr>
        <w:t xml:space="preserve">As vendas líquidas do segmento de Ligeiro camioneta e distribuição associada atingem os 12.028 milhões de euros, em comparação com os 10.498 milhões para o mesmo período de 2014, o que significa um crescimento de 14,6%. </w:t>
      </w:r>
    </w:p>
    <w:p w:rsidR="00700DFB" w:rsidRPr="004E33A5" w:rsidRDefault="009F7ED2" w:rsidP="004E33A5">
      <w:pPr>
        <w:pStyle w:val="TextoMichelin"/>
        <w:spacing w:line="360" w:lineRule="auto"/>
        <w:rPr>
          <w:rFonts w:hAnsi="Arial" w:cs="Arial"/>
          <w:noProof/>
          <w:lang w:val="pt-PT"/>
        </w:rPr>
      </w:pPr>
      <w:r w:rsidRPr="004E33A5">
        <w:rPr>
          <w:rFonts w:hAnsi="Arial" w:cs="Arial"/>
          <w:noProof/>
          <w:lang w:val="pt-PT"/>
        </w:rPr>
        <w:t>O resultado operacional, antes de elementos não recorrentes, atinge os 1.384 milhões de euros, isto é, 11,5% das vendas líquidas, em comparação com os 1.101 milhões de euros e o 10,5% de 2014.</w:t>
      </w:r>
    </w:p>
    <w:p w:rsidR="00FE5300" w:rsidRPr="004E33A5" w:rsidRDefault="004517FC" w:rsidP="004E33A5">
      <w:pPr>
        <w:pStyle w:val="TextoMichelin"/>
        <w:spacing w:line="360" w:lineRule="auto"/>
        <w:rPr>
          <w:rFonts w:hAnsi="Arial" w:cs="Arial"/>
          <w:noProof/>
          <w:lang w:val="pt-PT"/>
        </w:rPr>
      </w:pPr>
      <w:r w:rsidRPr="004E33A5">
        <w:rPr>
          <w:rFonts w:hAnsi="Arial" w:cs="Arial"/>
          <w:noProof/>
          <w:color w:val="auto"/>
          <w:lang w:val="pt-PT"/>
        </w:rPr>
        <w:t xml:space="preserve">Este progresso de um ponto da margem operacional antes </w:t>
      </w:r>
      <w:r w:rsidRPr="004E33A5">
        <w:rPr>
          <w:rFonts w:hAnsi="Arial" w:cs="Arial"/>
          <w:noProof/>
          <w:lang w:val="pt-PT"/>
        </w:rPr>
        <w:t>de elementos não recorrentes</w:t>
      </w:r>
      <w:r w:rsidRPr="004E33A5">
        <w:rPr>
          <w:rFonts w:hAnsi="Arial" w:cs="Arial"/>
          <w:noProof/>
          <w:color w:val="auto"/>
          <w:lang w:val="pt-PT"/>
        </w:rPr>
        <w:t xml:space="preserve"> está principalmente relacionado com o crescimento de 6,7 %, muito superior ao mercado </w:t>
      </w:r>
      <w:r w:rsidRPr="004E33A5">
        <w:rPr>
          <w:rFonts w:hAnsi="Arial" w:cs="Arial"/>
          <w:noProof/>
          <w:lang w:val="pt-PT"/>
        </w:rPr>
        <w:t>(+ 2%),</w:t>
      </w:r>
      <w:r w:rsidRPr="004E33A5">
        <w:rPr>
          <w:rFonts w:hAnsi="Arial" w:cs="Arial"/>
          <w:noProof/>
          <w:color w:val="auto"/>
          <w:lang w:val="pt-PT"/>
        </w:rPr>
        <w:t xml:space="preserve"> constante no ano e especialmente equilibrado tanto entre as marcas como os segmentos de mercado e as zonas geográficas. O sucesso das</w:t>
      </w:r>
      <w:bookmarkStart w:id="0" w:name="_GoBack"/>
      <w:bookmarkEnd w:id="0"/>
      <w:r w:rsidRPr="004E33A5">
        <w:rPr>
          <w:rFonts w:hAnsi="Arial" w:cs="Arial"/>
          <w:noProof/>
          <w:color w:val="auto"/>
          <w:lang w:val="pt-PT"/>
        </w:rPr>
        <w:t xml:space="preserve"> novas gamas MICHELIN </w:t>
      </w:r>
      <w:r w:rsidRPr="004E33A5">
        <w:rPr>
          <w:rFonts w:hAnsi="Arial" w:cs="Arial"/>
          <w:noProof/>
          <w:lang w:val="pt-PT"/>
        </w:rPr>
        <w:t xml:space="preserve">CrossClimate, MICHELIN Premier LTX, BFGoodrich KO2 e BFGoodrich g-Force Comp 2 A/S permitiu estas grandes subidas tanto na marca MICHELIN (+ 6%), em pneus de 17” e superiores (+ 13 %) como nas outras marcas do Grupo (+ 10%). Os preços, que descem globalmente, refletem a aplicação das cláusulas de indexação em Primeiros Equipamentos, assim como o efeito dos reposicionamentos em Substituição decididos em 2014 e 2015. O efeito do mix de produto, muito favorável, é compensado pelo mix de marca, relacionado com o forte crescimento das vendas nos segmentos </w:t>
      </w:r>
      <w:r w:rsidRPr="004E33A5">
        <w:rPr>
          <w:rFonts w:hAnsi="Arial" w:cs="Arial"/>
          <w:i/>
          <w:iCs/>
          <w:noProof/>
          <w:lang w:val="pt-PT"/>
        </w:rPr>
        <w:t>Tier</w:t>
      </w:r>
      <w:r w:rsidRPr="004E33A5">
        <w:rPr>
          <w:rFonts w:hAnsi="Arial" w:cs="Arial"/>
          <w:noProof/>
          <w:lang w:val="pt-PT"/>
        </w:rPr>
        <w:t xml:space="preserve"> 2 e </w:t>
      </w:r>
      <w:r w:rsidRPr="004E33A5">
        <w:rPr>
          <w:rFonts w:hAnsi="Arial" w:cs="Arial"/>
          <w:i/>
          <w:iCs/>
          <w:noProof/>
          <w:lang w:val="pt-PT"/>
        </w:rPr>
        <w:t>Tier</w:t>
      </w:r>
      <w:r w:rsidRPr="004E33A5">
        <w:rPr>
          <w:rFonts w:hAnsi="Arial" w:cs="Arial"/>
          <w:noProof/>
          <w:lang w:val="pt-PT"/>
        </w:rPr>
        <w:t xml:space="preserve"> 3.</w:t>
      </w:r>
    </w:p>
    <w:p w:rsidR="00BF33AD" w:rsidRPr="004E33A5" w:rsidRDefault="00BF33AD" w:rsidP="004E33A5">
      <w:pPr>
        <w:pStyle w:val="TextoMichelin"/>
        <w:spacing w:line="360" w:lineRule="auto"/>
        <w:rPr>
          <w:rFonts w:hAnsi="Arial" w:cs="Arial"/>
          <w:noProof/>
          <w:lang w:val="pt-PT"/>
        </w:rPr>
      </w:pPr>
      <w:r w:rsidRPr="004E33A5">
        <w:rPr>
          <w:rFonts w:hAnsi="Arial" w:cs="Arial"/>
          <w:noProof/>
          <w:lang w:val="pt-PT"/>
        </w:rPr>
        <w:t>Para o horizonte 2016-2020, o Grupo marcou para o sector operacional Ligeiro Camioneta um objetivo de margem operacional antes de elementos não recorrentes entre 11% e 15% das vendas líquidas.</w:t>
      </w:r>
    </w:p>
    <w:p w:rsidR="00700DFB" w:rsidRPr="004E33A5" w:rsidRDefault="009F7ED2" w:rsidP="004E33A5">
      <w:pPr>
        <w:pStyle w:val="LadilloMichelinDossier"/>
        <w:numPr>
          <w:ilvl w:val="0"/>
          <w:numId w:val="11"/>
        </w:numPr>
        <w:tabs>
          <w:tab w:val="clear" w:pos="291"/>
          <w:tab w:val="num" w:pos="360"/>
        </w:tabs>
        <w:spacing w:after="240" w:line="360" w:lineRule="auto"/>
        <w:ind w:left="360" w:hanging="360"/>
        <w:jc w:val="both"/>
        <w:rPr>
          <w:rFonts w:ascii="Arial" w:hAnsi="Arial" w:cs="Arial"/>
          <w:noProof/>
          <w:lang w:val="pt-PT"/>
        </w:rPr>
      </w:pPr>
      <w:r w:rsidRPr="004E33A5">
        <w:rPr>
          <w:rFonts w:ascii="Arial" w:hAnsi="Arial" w:cs="Arial"/>
          <w:noProof/>
          <w:sz w:val="21"/>
          <w:szCs w:val="21"/>
          <w:lang w:val="pt-PT"/>
        </w:rPr>
        <w:t>Camião e distribuição associada</w:t>
      </w:r>
      <w:r w:rsidRPr="004E33A5">
        <w:rPr>
          <w:rFonts w:ascii="Arial" w:hAnsi="Arial" w:cs="Arial"/>
          <w:noProof/>
          <w:lang w:val="pt-PT"/>
        </w:rPr>
        <w:t xml:space="preserve"> </w:t>
      </w:r>
    </w:p>
    <w:p w:rsidR="00700DFB" w:rsidRPr="004E33A5" w:rsidRDefault="009F7ED2" w:rsidP="004E33A5">
      <w:pPr>
        <w:pStyle w:val="TextoMichelin"/>
        <w:spacing w:line="360" w:lineRule="auto"/>
        <w:rPr>
          <w:rFonts w:hAnsi="Arial" w:cs="Arial"/>
          <w:noProof/>
          <w:color w:val="auto"/>
          <w:lang w:val="pt-PT"/>
        </w:rPr>
      </w:pPr>
      <w:r w:rsidRPr="004E33A5">
        <w:rPr>
          <w:rFonts w:hAnsi="Arial" w:cs="Arial"/>
          <w:noProof/>
          <w:lang w:val="pt-PT"/>
        </w:rPr>
        <w:t xml:space="preserve">As vendas líquidas do segmento de Camião e distribuição associada </w:t>
      </w:r>
      <w:r w:rsidRPr="004E33A5">
        <w:rPr>
          <w:rFonts w:hAnsi="Arial" w:cs="Arial"/>
          <w:noProof/>
          <w:color w:val="auto"/>
          <w:lang w:val="pt-PT"/>
        </w:rPr>
        <w:t xml:space="preserve">situam-se em </w:t>
      </w:r>
      <w:r w:rsidRPr="004E33A5">
        <w:rPr>
          <w:rFonts w:hAnsi="Arial" w:cs="Arial"/>
          <w:noProof/>
          <w:lang w:val="pt-PT"/>
        </w:rPr>
        <w:t xml:space="preserve">6.229 </w:t>
      </w:r>
      <w:r w:rsidRPr="004E33A5">
        <w:rPr>
          <w:rFonts w:hAnsi="Arial" w:cs="Arial"/>
          <w:noProof/>
          <w:color w:val="auto"/>
          <w:lang w:val="pt-PT"/>
        </w:rPr>
        <w:t xml:space="preserve">milhões de euros, em comparação com os </w:t>
      </w:r>
      <w:r w:rsidRPr="004E33A5">
        <w:rPr>
          <w:rFonts w:hAnsi="Arial" w:cs="Arial"/>
          <w:noProof/>
          <w:lang w:val="pt-PT"/>
        </w:rPr>
        <w:t xml:space="preserve">6.082 </w:t>
      </w:r>
      <w:r w:rsidRPr="004E33A5">
        <w:rPr>
          <w:rFonts w:hAnsi="Arial" w:cs="Arial"/>
          <w:noProof/>
          <w:color w:val="auto"/>
          <w:lang w:val="pt-PT"/>
        </w:rPr>
        <w:t xml:space="preserve">milhões de euros publicados em 2014. Esta queda é o resultado do efeito desfavorável das paridades monetárias ( </w:t>
      </w:r>
      <w:r w:rsidRPr="004E33A5">
        <w:rPr>
          <w:rFonts w:hAnsi="Arial" w:cs="Arial"/>
          <w:noProof/>
          <w:color w:val="auto"/>
          <w:lang w:val="pt-PT"/>
        </w:rPr>
        <w:br/>
        <w:t>- 2,2%).</w:t>
      </w:r>
    </w:p>
    <w:p w:rsidR="00700DFB" w:rsidRPr="004E33A5" w:rsidRDefault="009F7ED2" w:rsidP="004E33A5">
      <w:pPr>
        <w:pStyle w:val="TextoMichelin"/>
        <w:spacing w:line="360" w:lineRule="auto"/>
        <w:rPr>
          <w:rFonts w:hAnsi="Arial" w:cs="Arial"/>
          <w:noProof/>
          <w:color w:val="auto"/>
          <w:lang w:val="pt-PT"/>
        </w:rPr>
      </w:pPr>
      <w:r w:rsidRPr="004E33A5">
        <w:rPr>
          <w:rFonts w:hAnsi="Arial" w:cs="Arial"/>
          <w:noProof/>
          <w:color w:val="auto"/>
          <w:lang w:val="pt-PT"/>
        </w:rPr>
        <w:t xml:space="preserve">O resultado operacional antes de elementos não recorrentes atinge os </w:t>
      </w:r>
      <w:r w:rsidRPr="004E33A5">
        <w:rPr>
          <w:rFonts w:hAnsi="Arial" w:cs="Arial"/>
          <w:noProof/>
          <w:lang w:val="pt-PT"/>
        </w:rPr>
        <w:t xml:space="preserve">645 </w:t>
      </w:r>
      <w:r w:rsidRPr="004E33A5">
        <w:rPr>
          <w:rFonts w:hAnsi="Arial" w:cs="Arial"/>
          <w:noProof/>
          <w:color w:val="auto"/>
          <w:lang w:val="pt-PT"/>
        </w:rPr>
        <w:t xml:space="preserve">milhões de euros, representando </w:t>
      </w:r>
      <w:r w:rsidRPr="004E33A5">
        <w:rPr>
          <w:rFonts w:hAnsi="Arial" w:cs="Arial"/>
          <w:noProof/>
          <w:lang w:val="pt-PT"/>
        </w:rPr>
        <w:t>10,4 </w:t>
      </w:r>
      <w:r w:rsidRPr="004E33A5">
        <w:rPr>
          <w:rFonts w:hAnsi="Arial" w:cs="Arial"/>
          <w:noProof/>
          <w:color w:val="auto"/>
          <w:lang w:val="pt-PT"/>
        </w:rPr>
        <w:t xml:space="preserve">% das vendas líquidas, em relação aos </w:t>
      </w:r>
      <w:r w:rsidRPr="004E33A5">
        <w:rPr>
          <w:rFonts w:hAnsi="Arial" w:cs="Arial"/>
          <w:noProof/>
          <w:lang w:val="pt-PT"/>
        </w:rPr>
        <w:t xml:space="preserve">495 </w:t>
      </w:r>
      <w:r w:rsidRPr="004E33A5">
        <w:rPr>
          <w:rFonts w:hAnsi="Arial" w:cs="Arial"/>
          <w:noProof/>
          <w:color w:val="auto"/>
          <w:lang w:val="pt-PT"/>
        </w:rPr>
        <w:t xml:space="preserve">milhões de euros e </w:t>
      </w:r>
      <w:r w:rsidRPr="004E33A5">
        <w:rPr>
          <w:rFonts w:hAnsi="Arial" w:cs="Arial"/>
          <w:noProof/>
          <w:lang w:val="pt-PT"/>
        </w:rPr>
        <w:t>8,1 </w:t>
      </w:r>
      <w:r w:rsidRPr="004E33A5">
        <w:rPr>
          <w:rFonts w:hAnsi="Arial" w:cs="Arial"/>
          <w:noProof/>
          <w:color w:val="auto"/>
          <w:lang w:val="pt-PT"/>
        </w:rPr>
        <w:t>% das vendas líquidas de 2014.</w:t>
      </w:r>
    </w:p>
    <w:p w:rsidR="005D2AED" w:rsidRPr="004E33A5" w:rsidRDefault="001F3713" w:rsidP="004E33A5">
      <w:pPr>
        <w:pStyle w:val="TextoMichelin"/>
        <w:spacing w:line="360" w:lineRule="auto"/>
        <w:rPr>
          <w:rFonts w:hAnsi="Arial" w:cs="Arial"/>
          <w:noProof/>
          <w:lang w:val="pt-PT"/>
        </w:rPr>
      </w:pPr>
      <w:r w:rsidRPr="004E33A5">
        <w:rPr>
          <w:rFonts w:hAnsi="Arial" w:cs="Arial"/>
          <w:noProof/>
          <w:lang w:val="pt-PT"/>
        </w:rPr>
        <w:t>A melhoria de 2,3 pontos da rentabilidade reflete, em primeiro lugar, a resistência dos volumes, em progresso de 0,3%, num mercado de camião que desce 2 %: o forte crescimento em Primeiros Equipamentos nos mercado</w:t>
      </w:r>
      <w:r w:rsidR="004E33A5" w:rsidRPr="004E33A5">
        <w:rPr>
          <w:rFonts w:hAnsi="Arial" w:cs="Arial"/>
          <w:noProof/>
          <w:lang w:val="pt-PT"/>
        </w:rPr>
        <w:t>s</w:t>
      </w:r>
      <w:r w:rsidRPr="004E33A5">
        <w:rPr>
          <w:rFonts w:hAnsi="Arial" w:cs="Arial"/>
          <w:noProof/>
          <w:lang w:val="pt-PT"/>
        </w:rPr>
        <w:t xml:space="preserve"> maduros equilibrou as tensões no mercado de recauchutado, enquanto as novas gamas </w:t>
      </w:r>
      <w:r w:rsidRPr="004E33A5">
        <w:rPr>
          <w:rFonts w:hAnsi="Arial" w:cs="Arial"/>
          <w:i/>
          <w:iCs/>
          <w:noProof/>
          <w:lang w:val="pt-PT"/>
        </w:rPr>
        <w:t>Intermédias</w:t>
      </w:r>
      <w:r w:rsidRPr="004E33A5">
        <w:rPr>
          <w:rFonts w:hAnsi="Arial" w:cs="Arial"/>
          <w:noProof/>
          <w:lang w:val="pt-PT"/>
        </w:rPr>
        <w:t xml:space="preserve"> lançadas na América do Sul, no Oriente Médio africano e no Sudeste asiático encontraram um acolhimento favorável. O bom controlo da atividade, especialmente do posicionamento do preço, o aprovisionamento dos mercados em crescimento e a gestão das despesas, contribuíram também para a continuidade da recuperação da rentabilidade.</w:t>
      </w:r>
    </w:p>
    <w:p w:rsidR="00700DFB" w:rsidRPr="004E33A5" w:rsidRDefault="00FF375A" w:rsidP="004E33A5">
      <w:pPr>
        <w:pStyle w:val="TextoMichelin"/>
        <w:spacing w:line="360" w:lineRule="auto"/>
        <w:rPr>
          <w:rFonts w:hAnsi="Arial" w:cs="Arial"/>
          <w:noProof/>
          <w:color w:val="auto"/>
          <w:lang w:val="pt-PT"/>
        </w:rPr>
      </w:pPr>
      <w:r w:rsidRPr="004E33A5">
        <w:rPr>
          <w:rFonts w:hAnsi="Arial" w:cs="Arial"/>
          <w:noProof/>
          <w:lang w:val="pt-PT"/>
        </w:rPr>
        <w:t xml:space="preserve">No horizonte </w:t>
      </w:r>
      <w:r w:rsidRPr="004E33A5">
        <w:rPr>
          <w:rFonts w:hAnsi="Arial" w:cs="Arial"/>
          <w:noProof/>
          <w:color w:val="auto"/>
          <w:lang w:val="pt-PT"/>
        </w:rPr>
        <w:t xml:space="preserve">2016-2020, o </w:t>
      </w:r>
      <w:r w:rsidRPr="004E33A5">
        <w:rPr>
          <w:rFonts w:hAnsi="Arial" w:cs="Arial"/>
          <w:noProof/>
          <w:lang w:val="pt-PT"/>
        </w:rPr>
        <w:t xml:space="preserve">Grupo marcou para o segmento de Camião um objetivo de margem operacional antes de elementos não recorrentes entre </w:t>
      </w:r>
      <w:r w:rsidRPr="004E33A5">
        <w:rPr>
          <w:rFonts w:hAnsi="Arial" w:cs="Arial"/>
          <w:noProof/>
          <w:color w:val="auto"/>
          <w:lang w:val="pt-PT"/>
        </w:rPr>
        <w:t>9% e 13% das vendas líquidas.</w:t>
      </w:r>
    </w:p>
    <w:p w:rsidR="00700DFB" w:rsidRPr="004E33A5" w:rsidRDefault="009F7ED2" w:rsidP="004E33A5">
      <w:pPr>
        <w:pStyle w:val="LadilloMichelinDossier"/>
        <w:numPr>
          <w:ilvl w:val="0"/>
          <w:numId w:val="12"/>
        </w:numPr>
        <w:tabs>
          <w:tab w:val="clear" w:pos="291"/>
          <w:tab w:val="num" w:pos="360"/>
        </w:tabs>
        <w:spacing w:after="240" w:line="360" w:lineRule="auto"/>
        <w:ind w:left="360" w:hanging="360"/>
        <w:jc w:val="both"/>
        <w:rPr>
          <w:rFonts w:ascii="Arial" w:hAnsi="Arial" w:cs="Arial"/>
          <w:noProof/>
          <w:lang w:val="pt-PT"/>
        </w:rPr>
      </w:pPr>
      <w:r w:rsidRPr="004E33A5">
        <w:rPr>
          <w:rFonts w:ascii="Arial" w:hAnsi="Arial" w:cs="Arial"/>
          <w:noProof/>
          <w:sz w:val="21"/>
          <w:szCs w:val="21"/>
          <w:lang w:val="pt-PT"/>
        </w:rPr>
        <w:t>Atividades de especialidades</w:t>
      </w:r>
    </w:p>
    <w:p w:rsidR="00237EE2" w:rsidRPr="004E33A5" w:rsidRDefault="002852E8" w:rsidP="004E33A5">
      <w:pPr>
        <w:pStyle w:val="TextoMichelin"/>
        <w:spacing w:line="360" w:lineRule="auto"/>
        <w:rPr>
          <w:rFonts w:hAnsi="Arial" w:cs="Arial"/>
          <w:noProof/>
          <w:lang w:val="pt-PT"/>
        </w:rPr>
      </w:pPr>
      <w:r w:rsidRPr="004E33A5">
        <w:rPr>
          <w:rFonts w:hAnsi="Arial" w:cs="Arial"/>
          <w:noProof/>
          <w:lang w:val="pt-PT"/>
        </w:rPr>
        <w:t>As vendas líquidas do segmento de Atividades de especialidades atingem os 2.942 milhões de euros, quase estáveis em comparação com os 2.973 milhões de euros de 2014.</w:t>
      </w:r>
    </w:p>
    <w:p w:rsidR="00700DFB" w:rsidRPr="004E33A5" w:rsidRDefault="009F7ED2" w:rsidP="004E33A5">
      <w:pPr>
        <w:pStyle w:val="TextoMichelin"/>
        <w:spacing w:line="360" w:lineRule="auto"/>
        <w:rPr>
          <w:rFonts w:hAnsi="Arial" w:cs="Arial"/>
          <w:noProof/>
          <w:color w:val="auto"/>
          <w:lang w:val="pt-PT"/>
        </w:rPr>
      </w:pPr>
      <w:r w:rsidRPr="004E33A5">
        <w:rPr>
          <w:rFonts w:hAnsi="Arial" w:cs="Arial"/>
          <w:noProof/>
          <w:color w:val="auto"/>
          <w:lang w:val="pt-PT"/>
        </w:rPr>
        <w:t xml:space="preserve">O resultado operacional antes de elementos não recorrentes determina-se em </w:t>
      </w:r>
      <w:r w:rsidRPr="004E33A5">
        <w:rPr>
          <w:rFonts w:hAnsi="Arial" w:cs="Arial"/>
          <w:noProof/>
          <w:lang w:val="pt-PT"/>
        </w:rPr>
        <w:t xml:space="preserve">548 </w:t>
      </w:r>
      <w:r w:rsidRPr="004E33A5">
        <w:rPr>
          <w:rFonts w:hAnsi="Arial" w:cs="Arial"/>
          <w:noProof/>
          <w:color w:val="auto"/>
          <w:lang w:val="pt-PT"/>
        </w:rPr>
        <w:t xml:space="preserve">milhões de euros, isto é, 18,6 % das vendas líquidas, em comparação com os </w:t>
      </w:r>
      <w:r w:rsidRPr="004E33A5">
        <w:rPr>
          <w:rFonts w:hAnsi="Arial" w:cs="Arial"/>
          <w:noProof/>
          <w:lang w:val="pt-PT"/>
        </w:rPr>
        <w:t>574 </w:t>
      </w:r>
      <w:r w:rsidRPr="004E33A5">
        <w:rPr>
          <w:rFonts w:hAnsi="Arial" w:cs="Arial"/>
          <w:noProof/>
          <w:color w:val="auto"/>
          <w:lang w:val="pt-PT"/>
        </w:rPr>
        <w:t>milhões de euros e o 19,3% de 2014.</w:t>
      </w:r>
    </w:p>
    <w:p w:rsidR="00700DFB" w:rsidRPr="004E33A5" w:rsidRDefault="009F7ED2" w:rsidP="004E33A5">
      <w:pPr>
        <w:pStyle w:val="TextoMichelin"/>
        <w:spacing w:line="360" w:lineRule="auto"/>
        <w:rPr>
          <w:rFonts w:hAnsi="Arial" w:cs="Arial"/>
          <w:noProof/>
          <w:lang w:val="pt-PT"/>
        </w:rPr>
      </w:pPr>
      <w:r w:rsidRPr="004E33A5">
        <w:rPr>
          <w:rFonts w:hAnsi="Arial" w:cs="Arial"/>
          <w:noProof/>
          <w:color w:val="auto"/>
          <w:lang w:val="pt-PT"/>
        </w:rPr>
        <w:t>A evolução do resultado operacional provém, além dos efeitos do volume e da taxa de câmbio, dos ajustamentos de preços relacionados com as cláusulas de indexação</w:t>
      </w:r>
      <w:r w:rsidRPr="004E33A5">
        <w:rPr>
          <w:rFonts w:hAnsi="Arial" w:cs="Arial"/>
          <w:noProof/>
          <w:lang w:val="pt-PT"/>
        </w:rPr>
        <w:t xml:space="preserve"> num contexto de descida de preço das matérias-primas</w:t>
      </w:r>
    </w:p>
    <w:p w:rsidR="005422B6" w:rsidRPr="004E33A5" w:rsidRDefault="004F7D1F" w:rsidP="004E33A5">
      <w:pPr>
        <w:pStyle w:val="TextoMichelin"/>
        <w:spacing w:line="360" w:lineRule="auto"/>
        <w:rPr>
          <w:rFonts w:hAnsi="Arial" w:cs="Arial"/>
          <w:noProof/>
          <w:lang w:val="pt-PT"/>
        </w:rPr>
      </w:pPr>
      <w:r w:rsidRPr="004E33A5">
        <w:rPr>
          <w:rFonts w:hAnsi="Arial" w:cs="Arial"/>
          <w:noProof/>
          <w:lang w:val="pt-PT"/>
        </w:rPr>
        <w:t>À parte dos efeitos da paridade do câmbio, esta evolução da margem operacional regista a evolução dos volumes vendidos (- 4%), num mercado em contração de 6% pela redução de stocks das companhias mineiras, pela queda das extrações e pela descida mundial da procura de pneus agrícolas. Em paralelo, o efeito retardado dos ajustamentos de preço relacionados com as cláusulas de indexação dos preços das matérias-primas penaliza a margem unitária.</w:t>
      </w:r>
    </w:p>
    <w:p w:rsidR="002852E8" w:rsidRPr="004E33A5" w:rsidRDefault="00976041" w:rsidP="004E33A5">
      <w:pPr>
        <w:pStyle w:val="TextoMichelin"/>
        <w:spacing w:line="360" w:lineRule="auto"/>
        <w:rPr>
          <w:rFonts w:hAnsi="Arial" w:cs="Arial"/>
          <w:noProof/>
          <w:color w:val="auto"/>
          <w:lang w:val="pt-PT"/>
        </w:rPr>
      </w:pPr>
      <w:r w:rsidRPr="004E33A5">
        <w:rPr>
          <w:rFonts w:hAnsi="Arial" w:cs="Arial"/>
          <w:noProof/>
          <w:lang w:val="pt-PT"/>
        </w:rPr>
        <w:t>Para o horizonte 2016-2020, o Grupo marcou para o sector operacional Atividades de Especialidades um objetivo de margem operacional antes de elementos não recorrentes entre</w:t>
      </w:r>
      <w:r w:rsidRPr="004E33A5">
        <w:rPr>
          <w:rFonts w:hAnsi="Arial" w:cs="Arial"/>
          <w:noProof/>
          <w:color w:val="auto"/>
          <w:lang w:val="pt-PT"/>
        </w:rPr>
        <w:t xml:space="preserve"> 17% e 24% das vendas líquidas.</w:t>
      </w:r>
    </w:p>
    <w:p w:rsidR="000514EC" w:rsidRPr="004E33A5" w:rsidRDefault="000514EC" w:rsidP="004E33A5">
      <w:pPr>
        <w:pStyle w:val="Cuerpo"/>
        <w:spacing w:after="60" w:line="360" w:lineRule="auto"/>
        <w:rPr>
          <w:rFonts w:ascii="Arial" w:hAnsi="Arial" w:cs="Arial"/>
          <w:b/>
          <w:bCs/>
          <w:noProof/>
          <w:color w:val="333399"/>
          <w:sz w:val="40"/>
          <w:szCs w:val="40"/>
          <w:u w:color="333399"/>
          <w:lang w:val="pt-PT"/>
        </w:rPr>
      </w:pPr>
    </w:p>
    <w:p w:rsidR="00700DFB" w:rsidRPr="004E33A5" w:rsidRDefault="009F7ED2">
      <w:pPr>
        <w:pStyle w:val="Cuerpo"/>
        <w:spacing w:after="60"/>
        <w:rPr>
          <w:b/>
          <w:bCs/>
          <w:noProof/>
          <w:color w:val="333399"/>
          <w:sz w:val="40"/>
          <w:szCs w:val="40"/>
          <w:u w:color="333399"/>
          <w:lang w:val="pt-PT"/>
        </w:rPr>
      </w:pPr>
      <w:r w:rsidRPr="004E33A5">
        <w:rPr>
          <w:b/>
          <w:bCs/>
          <w:noProof/>
          <w:color w:val="333399"/>
          <w:sz w:val="40"/>
          <w:szCs w:val="40"/>
          <w:u w:color="333399"/>
          <w:lang w:val="pt-PT"/>
        </w:rPr>
        <w:t>Compagnie Générale des Etablissements Michelin</w:t>
      </w:r>
    </w:p>
    <w:p w:rsidR="00700DFB" w:rsidRPr="004E33A5" w:rsidRDefault="009F7ED2">
      <w:pPr>
        <w:pStyle w:val="TextoMichelin"/>
        <w:rPr>
          <w:rFonts w:hAnsi="Arial" w:cs="Arial"/>
          <w:noProof/>
          <w:lang w:val="pt-PT"/>
        </w:rPr>
      </w:pPr>
      <w:r w:rsidRPr="004E33A5">
        <w:rPr>
          <w:rFonts w:hAnsi="Arial" w:cs="Arial"/>
          <w:noProof/>
          <w:lang w:val="pt-PT"/>
        </w:rPr>
        <w:t xml:space="preserve">A Compagnie Générale des Etablissements Michelin teve um lucro de 590 milhões de euros no exercício de 2015, após obter um lucro de 555 milhões de euros em 2014. </w:t>
      </w:r>
    </w:p>
    <w:p w:rsidR="00700DFB" w:rsidRPr="004E33A5" w:rsidRDefault="009F7ED2">
      <w:pPr>
        <w:pStyle w:val="TextoMichelin"/>
        <w:rPr>
          <w:rFonts w:hAnsi="Arial" w:cs="Arial"/>
          <w:noProof/>
          <w:lang w:val="pt-PT"/>
        </w:rPr>
      </w:pPr>
      <w:r w:rsidRPr="004E33A5">
        <w:rPr>
          <w:rFonts w:hAnsi="Arial" w:cs="Arial"/>
          <w:noProof/>
          <w:lang w:val="pt-PT"/>
        </w:rPr>
        <w:t xml:space="preserve">As contas foram apresentadas ao Conselho de Vigilância na sua reunião de 11 de fevereiro de 2016. Os procedimentos de auditoria foram realizados e o relatório de auditoria foi emitido em 15 de fevereiro de 2016. </w:t>
      </w:r>
    </w:p>
    <w:p w:rsidR="00700DFB" w:rsidRPr="004E33A5" w:rsidRDefault="009F7ED2">
      <w:pPr>
        <w:pStyle w:val="TextoMichelin"/>
        <w:rPr>
          <w:rFonts w:hAnsi="Arial" w:cs="Arial"/>
          <w:noProof/>
          <w:lang w:val="pt-PT"/>
        </w:rPr>
      </w:pPr>
      <w:r w:rsidRPr="004E33A5">
        <w:rPr>
          <w:rFonts w:hAnsi="Arial" w:cs="Arial"/>
          <w:noProof/>
          <w:lang w:val="pt-PT"/>
        </w:rPr>
        <w:t>O presidente do Grupo convocou uma Assembleia Geral de Acionistas para a sexta-feira dia 13 de maio de 2016, às 9 horas, em Clermont-Ferrand.</w:t>
      </w:r>
    </w:p>
    <w:p w:rsidR="00700DFB" w:rsidRPr="004E33A5" w:rsidRDefault="009F7ED2">
      <w:pPr>
        <w:pStyle w:val="TextoMichelin"/>
        <w:rPr>
          <w:rFonts w:hAnsi="Arial" w:cs="Arial"/>
          <w:noProof/>
          <w:color w:val="FF0000"/>
          <w:u w:color="FF0000"/>
          <w:lang w:val="pt-PT"/>
        </w:rPr>
      </w:pPr>
      <w:r w:rsidRPr="004E33A5">
        <w:rPr>
          <w:rFonts w:hAnsi="Arial" w:cs="Arial"/>
          <w:noProof/>
          <w:lang w:val="pt-PT"/>
        </w:rPr>
        <w:t>O presidente do Grupo vai submeter à aprovação dos acionistas o pagamento de um dividendo de 2,85 euros por ação, contra os 2,50 euros por título do exercíci</w:t>
      </w:r>
      <w:r w:rsidR="004E33A5" w:rsidRPr="004E33A5">
        <w:rPr>
          <w:rFonts w:hAnsi="Arial" w:cs="Arial"/>
          <w:noProof/>
          <w:lang w:val="pt-PT"/>
        </w:rPr>
        <w:t>o anterior</w:t>
      </w:r>
      <w:r w:rsidRPr="004E33A5">
        <w:rPr>
          <w:rFonts w:hAnsi="Arial" w:cs="Arial"/>
          <w:noProof/>
          <w:lang w:val="pt-PT"/>
        </w:rPr>
        <w:t>.</w:t>
      </w:r>
    </w:p>
    <w:p w:rsidR="00700DFB" w:rsidRPr="004E33A5" w:rsidRDefault="009F7ED2">
      <w:pPr>
        <w:pStyle w:val="Cuerpo"/>
        <w:spacing w:after="240" w:line="360" w:lineRule="exact"/>
        <w:rPr>
          <w:b/>
          <w:bCs/>
          <w:noProof/>
          <w:color w:val="333399"/>
          <w:sz w:val="40"/>
          <w:szCs w:val="40"/>
          <w:u w:color="333399"/>
          <w:lang w:val="pt-PT"/>
        </w:rPr>
      </w:pPr>
      <w:r w:rsidRPr="004E33A5">
        <w:rPr>
          <w:noProof/>
          <w:color w:val="333399"/>
          <w:sz w:val="40"/>
          <w:szCs w:val="40"/>
          <w:u w:color="333399"/>
          <w:lang w:val="pt-PT"/>
        </w:rPr>
        <w:br w:type="column"/>
      </w:r>
      <w:r w:rsidRPr="004E33A5">
        <w:rPr>
          <w:b/>
          <w:bCs/>
          <w:noProof/>
          <w:color w:val="333399"/>
          <w:sz w:val="40"/>
          <w:szCs w:val="40"/>
          <w:u w:color="333399"/>
          <w:lang w:val="pt-PT"/>
        </w:rPr>
        <w:t>Fatos destacados de 2015</w:t>
      </w:r>
    </w:p>
    <w:p w:rsidR="00730B7D" w:rsidRPr="004E33A5" w:rsidRDefault="00730B7D" w:rsidP="00BD06E7">
      <w:pPr>
        <w:pStyle w:val="Cuerpo"/>
        <w:numPr>
          <w:ilvl w:val="0"/>
          <w:numId w:val="17"/>
        </w:numPr>
        <w:spacing w:after="240" w:line="270" w:lineRule="atLeast"/>
        <w:ind w:left="426" w:hanging="284"/>
        <w:outlineLvl w:val="0"/>
        <w:rPr>
          <w:rFonts w:ascii="Arial" w:hAnsi="Arial" w:cs="Arial"/>
          <w:b/>
          <w:bCs/>
          <w:noProof/>
          <w:color w:val="auto"/>
          <w:sz w:val="20"/>
          <w:szCs w:val="20"/>
          <w:lang w:val="pt-PT"/>
        </w:rPr>
      </w:pPr>
      <w:r w:rsidRPr="004E33A5">
        <w:rPr>
          <w:rFonts w:ascii="Arial" w:hAnsi="Arial" w:cs="Arial"/>
          <w:b/>
          <w:bCs/>
          <w:noProof/>
          <w:color w:val="auto"/>
          <w:sz w:val="20"/>
          <w:szCs w:val="20"/>
          <w:lang w:val="pt-PT"/>
        </w:rPr>
        <w:t>A Michelin North America comercializa 16 novas dimensões do pneu BFGoodrich All-Terrain T/A KO2 (2 de março de 2015).</w:t>
      </w:r>
    </w:p>
    <w:p w:rsidR="00730B7D" w:rsidRPr="004E33A5" w:rsidRDefault="00730B7D" w:rsidP="00BD06E7">
      <w:pPr>
        <w:pStyle w:val="Cuerpo"/>
        <w:numPr>
          <w:ilvl w:val="0"/>
          <w:numId w:val="17"/>
        </w:numPr>
        <w:spacing w:after="240" w:line="270" w:lineRule="atLeast"/>
        <w:ind w:left="426" w:hanging="284"/>
        <w:outlineLvl w:val="0"/>
        <w:rPr>
          <w:rFonts w:ascii="Arial" w:hAnsi="Arial" w:cs="Arial"/>
          <w:b/>
          <w:bCs/>
          <w:noProof/>
          <w:color w:val="auto"/>
          <w:sz w:val="20"/>
          <w:szCs w:val="20"/>
          <w:lang w:val="pt-PT"/>
        </w:rPr>
      </w:pPr>
      <w:r w:rsidRPr="004E33A5">
        <w:rPr>
          <w:rFonts w:ascii="Arial" w:hAnsi="Arial" w:cs="Arial"/>
          <w:b/>
          <w:bCs/>
          <w:noProof/>
          <w:color w:val="auto"/>
          <w:sz w:val="20"/>
          <w:szCs w:val="20"/>
          <w:lang w:val="pt-PT"/>
        </w:rPr>
        <w:t>A Michelin recebe os prémios «Fornecedor do ano» e "Inovação do ano" da John Deere &amp; Company (10 de março de 2015).</w:t>
      </w:r>
    </w:p>
    <w:p w:rsidR="00104E81" w:rsidRPr="004E33A5" w:rsidRDefault="00104E81" w:rsidP="00BD06E7">
      <w:pPr>
        <w:pStyle w:val="Cuerpo"/>
        <w:numPr>
          <w:ilvl w:val="0"/>
          <w:numId w:val="17"/>
        </w:numPr>
        <w:spacing w:after="240" w:line="270" w:lineRule="atLeast"/>
        <w:ind w:left="426" w:hanging="284"/>
        <w:outlineLvl w:val="0"/>
        <w:rPr>
          <w:rFonts w:ascii="Arial" w:hAnsi="Arial" w:cs="Arial"/>
          <w:b/>
          <w:bCs/>
          <w:noProof/>
          <w:color w:val="auto"/>
          <w:sz w:val="20"/>
          <w:szCs w:val="20"/>
          <w:lang w:val="pt-PT"/>
        </w:rPr>
      </w:pPr>
      <w:r w:rsidRPr="004E33A5">
        <w:rPr>
          <w:rFonts w:ascii="Arial" w:hAnsi="Arial" w:cs="Arial"/>
          <w:b/>
          <w:bCs/>
          <w:noProof/>
          <w:color w:val="auto"/>
          <w:sz w:val="20"/>
          <w:szCs w:val="20"/>
          <w:lang w:val="pt-PT"/>
        </w:rPr>
        <w:t>A Michelin adquire uma participação de 40% na sociedade Allopneus SAS por um montante de 60 milhões de euros (14 de abril de 2015).</w:t>
      </w:r>
    </w:p>
    <w:p w:rsidR="00104E81" w:rsidRPr="004E33A5" w:rsidRDefault="00104E81" w:rsidP="00BD06E7">
      <w:pPr>
        <w:pStyle w:val="Cuerpo"/>
        <w:numPr>
          <w:ilvl w:val="0"/>
          <w:numId w:val="17"/>
        </w:numPr>
        <w:spacing w:after="240" w:line="270" w:lineRule="atLeast"/>
        <w:ind w:left="426" w:hanging="284"/>
        <w:outlineLvl w:val="0"/>
        <w:rPr>
          <w:rFonts w:ascii="Arial" w:hAnsi="Arial" w:cs="Arial"/>
          <w:b/>
          <w:bCs/>
          <w:noProof/>
          <w:color w:val="auto"/>
          <w:sz w:val="20"/>
          <w:szCs w:val="20"/>
          <w:lang w:val="pt-PT"/>
        </w:rPr>
      </w:pPr>
      <w:r w:rsidRPr="004E33A5">
        <w:rPr>
          <w:rFonts w:ascii="Arial" w:hAnsi="Arial" w:cs="Arial"/>
          <w:b/>
          <w:bCs/>
          <w:noProof/>
          <w:color w:val="auto"/>
          <w:sz w:val="20"/>
          <w:szCs w:val="20"/>
          <w:lang w:val="pt-PT"/>
        </w:rPr>
        <w:t>A Michelin consegue o diploma de “Fornecedor do ano” da Boeing (16 de abril de 2015).</w:t>
      </w:r>
    </w:p>
    <w:p w:rsidR="00104E81" w:rsidRPr="004E33A5" w:rsidRDefault="00104E81" w:rsidP="00BD06E7">
      <w:pPr>
        <w:pStyle w:val="Cuerpo"/>
        <w:numPr>
          <w:ilvl w:val="0"/>
          <w:numId w:val="17"/>
        </w:numPr>
        <w:spacing w:after="240" w:line="270" w:lineRule="atLeast"/>
        <w:ind w:left="426" w:hanging="284"/>
        <w:outlineLvl w:val="0"/>
        <w:rPr>
          <w:rFonts w:ascii="Arial" w:hAnsi="Arial" w:cs="Arial"/>
          <w:b/>
          <w:bCs/>
          <w:noProof/>
          <w:color w:val="auto"/>
          <w:sz w:val="20"/>
          <w:szCs w:val="20"/>
          <w:lang w:val="pt-PT"/>
        </w:rPr>
      </w:pPr>
      <w:r w:rsidRPr="004E33A5">
        <w:rPr>
          <w:rFonts w:ascii="Arial" w:hAnsi="Arial" w:cs="Arial"/>
          <w:b/>
          <w:bCs/>
          <w:noProof/>
          <w:color w:val="auto"/>
          <w:sz w:val="20"/>
          <w:szCs w:val="20"/>
          <w:lang w:val="pt-PT"/>
        </w:rPr>
        <w:t>A Michelin lança um programa de compra de ações por 750 milhões de euros, escalonado de 18 a 24 meses (22 de abril de 2015).</w:t>
      </w:r>
    </w:p>
    <w:p w:rsidR="00104E81" w:rsidRPr="004E33A5" w:rsidRDefault="00104E81" w:rsidP="00BD06E7">
      <w:pPr>
        <w:pStyle w:val="Cuerpo"/>
        <w:numPr>
          <w:ilvl w:val="0"/>
          <w:numId w:val="17"/>
        </w:numPr>
        <w:spacing w:after="240" w:line="270" w:lineRule="atLeast"/>
        <w:ind w:left="426" w:hanging="284"/>
        <w:outlineLvl w:val="0"/>
        <w:rPr>
          <w:rFonts w:ascii="Arial" w:hAnsi="Arial" w:cs="Arial"/>
          <w:b/>
          <w:bCs/>
          <w:noProof/>
          <w:color w:val="auto"/>
          <w:sz w:val="20"/>
          <w:szCs w:val="20"/>
          <w:lang w:val="pt-PT"/>
        </w:rPr>
      </w:pPr>
      <w:r w:rsidRPr="004E33A5">
        <w:rPr>
          <w:rFonts w:ascii="Arial" w:hAnsi="Arial" w:cs="Arial"/>
          <w:b/>
          <w:bCs/>
          <w:noProof/>
          <w:color w:val="auto"/>
          <w:sz w:val="20"/>
          <w:szCs w:val="20"/>
          <w:lang w:val="pt-PT"/>
        </w:rPr>
        <w:t>A Michelin comercializa nos mercados europeus o MICHELIN CrossClimate, o primeiro pneu de verão com homologação para inverno (maio de 2015).</w:t>
      </w:r>
    </w:p>
    <w:p w:rsidR="00E07B9A" w:rsidRPr="004E33A5" w:rsidRDefault="00E07B9A" w:rsidP="00BD06E7">
      <w:pPr>
        <w:pStyle w:val="Cuerpo"/>
        <w:numPr>
          <w:ilvl w:val="0"/>
          <w:numId w:val="17"/>
        </w:numPr>
        <w:spacing w:after="240" w:line="270" w:lineRule="atLeast"/>
        <w:ind w:left="426" w:hanging="284"/>
        <w:outlineLvl w:val="0"/>
        <w:rPr>
          <w:rFonts w:ascii="Arial" w:hAnsi="Arial" w:cs="Arial"/>
          <w:b/>
          <w:bCs/>
          <w:noProof/>
          <w:color w:val="auto"/>
          <w:sz w:val="20"/>
          <w:szCs w:val="20"/>
          <w:lang w:val="pt-PT"/>
        </w:rPr>
      </w:pPr>
      <w:r w:rsidRPr="004E33A5">
        <w:rPr>
          <w:rFonts w:ascii="Arial" w:hAnsi="Arial" w:cs="Arial"/>
          <w:b/>
          <w:bCs/>
          <w:noProof/>
          <w:color w:val="auto"/>
          <w:sz w:val="20"/>
          <w:szCs w:val="20"/>
          <w:lang w:val="pt-PT"/>
        </w:rPr>
        <w:t>A Michelin adquire 100% da companhia Blackcircles.com por 50 milhões de libras esterlinas (6 de maio de 2015).</w:t>
      </w:r>
    </w:p>
    <w:p w:rsidR="00E07B9A" w:rsidRPr="004E33A5" w:rsidRDefault="00E07B9A" w:rsidP="00BD06E7">
      <w:pPr>
        <w:pStyle w:val="Cuerpo"/>
        <w:numPr>
          <w:ilvl w:val="0"/>
          <w:numId w:val="17"/>
        </w:numPr>
        <w:spacing w:after="240" w:line="270" w:lineRule="atLeast"/>
        <w:ind w:left="426" w:hanging="284"/>
        <w:outlineLvl w:val="0"/>
        <w:rPr>
          <w:rFonts w:ascii="Arial" w:hAnsi="Arial" w:cs="Arial"/>
          <w:b/>
          <w:bCs/>
          <w:noProof/>
          <w:color w:val="auto"/>
          <w:sz w:val="20"/>
          <w:szCs w:val="20"/>
          <w:lang w:val="pt-PT"/>
        </w:rPr>
      </w:pPr>
      <w:r w:rsidRPr="004E33A5">
        <w:rPr>
          <w:rFonts w:ascii="Arial" w:hAnsi="Arial" w:cs="Arial"/>
          <w:b/>
          <w:bCs/>
          <w:noProof/>
          <w:color w:val="auto"/>
          <w:sz w:val="20"/>
          <w:szCs w:val="20"/>
          <w:lang w:val="pt-PT"/>
        </w:rPr>
        <w:t>A Michelin e o Barito Pacific Group criam uma joint-venture para produzir caucho natural eco-responsável. Além disso, a Michelin compromete-se com a WWF para promover práticas sustentáveis na indústria do caucho natural e realizar vários projetos de conservação e recuperação da flora e da fauna das regiões afetadas (18 de maio de 2015).</w:t>
      </w:r>
    </w:p>
    <w:p w:rsidR="00E07B9A" w:rsidRPr="004E33A5" w:rsidRDefault="00E07B9A" w:rsidP="00BD06E7">
      <w:pPr>
        <w:pStyle w:val="Cuerpo"/>
        <w:numPr>
          <w:ilvl w:val="0"/>
          <w:numId w:val="17"/>
        </w:numPr>
        <w:spacing w:after="240" w:line="270" w:lineRule="atLeast"/>
        <w:ind w:left="426" w:hanging="284"/>
        <w:outlineLvl w:val="0"/>
        <w:rPr>
          <w:rFonts w:ascii="Arial" w:hAnsi="Arial" w:cs="Arial"/>
          <w:b/>
          <w:bCs/>
          <w:noProof/>
          <w:color w:val="auto"/>
          <w:sz w:val="20"/>
          <w:szCs w:val="20"/>
          <w:lang w:val="pt-PT"/>
        </w:rPr>
      </w:pPr>
      <w:r w:rsidRPr="004E33A5">
        <w:rPr>
          <w:rFonts w:ascii="Arial" w:hAnsi="Arial" w:cs="Arial"/>
          <w:b/>
          <w:bCs/>
          <w:noProof/>
          <w:color w:val="auto"/>
          <w:sz w:val="20"/>
          <w:szCs w:val="20"/>
          <w:lang w:val="pt-PT"/>
        </w:rPr>
        <w:t>A Michelin coloca com êxito uma emissão de obrigações por 300 milhões de euros a 7 anos e de 300 milhões a 12 anos (19 de maio de 2015).</w:t>
      </w:r>
    </w:p>
    <w:p w:rsidR="00E07B9A" w:rsidRPr="004E33A5" w:rsidRDefault="00E07B9A" w:rsidP="00BD06E7">
      <w:pPr>
        <w:pStyle w:val="Cuerpo"/>
        <w:numPr>
          <w:ilvl w:val="0"/>
          <w:numId w:val="17"/>
        </w:numPr>
        <w:spacing w:after="240" w:line="270" w:lineRule="atLeast"/>
        <w:ind w:left="426" w:hanging="284"/>
        <w:outlineLvl w:val="0"/>
        <w:rPr>
          <w:rFonts w:ascii="Arial" w:hAnsi="Arial" w:cs="Arial"/>
          <w:b/>
          <w:bCs/>
          <w:noProof/>
          <w:color w:val="auto"/>
          <w:sz w:val="20"/>
          <w:szCs w:val="20"/>
          <w:lang w:val="pt-PT"/>
        </w:rPr>
      </w:pPr>
      <w:r w:rsidRPr="004E33A5">
        <w:rPr>
          <w:rFonts w:ascii="Arial" w:hAnsi="Arial" w:cs="Arial"/>
          <w:b/>
          <w:bCs/>
          <w:noProof/>
          <w:color w:val="auto"/>
          <w:sz w:val="20"/>
          <w:szCs w:val="20"/>
          <w:lang w:val="pt-PT"/>
        </w:rPr>
        <w:t>A Michelin lança o MEMS (Michelin Earthmover Management System) Evolution3, um sistema evolucionado de captação e transmissão de dados sobre os pneus (15 de junho de 2015)</w:t>
      </w:r>
    </w:p>
    <w:p w:rsidR="00CF6FAB" w:rsidRPr="004E33A5" w:rsidRDefault="00104E81" w:rsidP="00BD06E7">
      <w:pPr>
        <w:pStyle w:val="Cuerpo"/>
        <w:numPr>
          <w:ilvl w:val="0"/>
          <w:numId w:val="17"/>
        </w:numPr>
        <w:spacing w:after="240" w:line="270" w:lineRule="atLeast"/>
        <w:ind w:left="426" w:hanging="284"/>
        <w:outlineLvl w:val="0"/>
        <w:rPr>
          <w:rFonts w:ascii="Arial" w:hAnsi="Arial" w:cs="Arial"/>
          <w:b/>
          <w:bCs/>
          <w:noProof/>
          <w:color w:val="auto"/>
          <w:sz w:val="20"/>
          <w:szCs w:val="20"/>
          <w:lang w:val="pt-PT"/>
        </w:rPr>
      </w:pPr>
      <w:r w:rsidRPr="004E33A5">
        <w:rPr>
          <w:rFonts w:ascii="Arial" w:hAnsi="Arial" w:cs="Arial"/>
          <w:b/>
          <w:bCs/>
          <w:noProof/>
          <w:color w:val="auto"/>
          <w:sz w:val="20"/>
          <w:szCs w:val="20"/>
          <w:lang w:val="pt-PT"/>
        </w:rPr>
        <w:t xml:space="preserve">A Michelin </w:t>
      </w:r>
      <w:r w:rsidRPr="004E33A5">
        <w:rPr>
          <w:rFonts w:ascii="Arial" w:hAnsi="Arial" w:cs="Arial"/>
          <w:b/>
          <w:bCs/>
          <w:noProof/>
          <w:sz w:val="20"/>
          <w:szCs w:val="20"/>
          <w:lang w:val="pt-PT"/>
        </w:rPr>
        <w:t xml:space="preserve">compra a Meyer Lissendorf, especialista em distribuição de pneus de ligeiro na Alemanha (30 de julho de 2015).  </w:t>
      </w:r>
    </w:p>
    <w:p w:rsidR="00104E81" w:rsidRPr="004E33A5" w:rsidRDefault="006F356D" w:rsidP="00BD06E7">
      <w:pPr>
        <w:pStyle w:val="Cuerpo"/>
        <w:numPr>
          <w:ilvl w:val="0"/>
          <w:numId w:val="17"/>
        </w:numPr>
        <w:spacing w:after="240" w:line="270" w:lineRule="atLeast"/>
        <w:ind w:left="426" w:hanging="284"/>
        <w:outlineLvl w:val="0"/>
        <w:rPr>
          <w:rFonts w:ascii="Arial" w:hAnsi="Arial" w:cs="Arial"/>
          <w:b/>
          <w:bCs/>
          <w:noProof/>
          <w:color w:val="auto"/>
          <w:sz w:val="20"/>
          <w:szCs w:val="20"/>
          <w:lang w:val="pt-PT"/>
        </w:rPr>
      </w:pPr>
      <w:r w:rsidRPr="004E33A5">
        <w:rPr>
          <w:rFonts w:ascii="Arial" w:hAnsi="Arial" w:cs="Arial"/>
          <w:b/>
          <w:bCs/>
          <w:noProof/>
          <w:color w:val="auto"/>
          <w:sz w:val="20"/>
          <w:szCs w:val="20"/>
          <w:lang w:val="pt-PT"/>
        </w:rPr>
        <w:t>O Grupo Michelin e a Fives associam-se para criar a FIVES MICHELIN ADDITIVE SOLUTIONS e tornar-se em protagonista em impressões 3D em metal (7 de setembro de 2015).</w:t>
      </w:r>
    </w:p>
    <w:p w:rsidR="006F356D" w:rsidRPr="004E33A5" w:rsidRDefault="006F356D" w:rsidP="00BD06E7">
      <w:pPr>
        <w:pStyle w:val="Cuerpo"/>
        <w:numPr>
          <w:ilvl w:val="0"/>
          <w:numId w:val="17"/>
        </w:numPr>
        <w:spacing w:after="240" w:line="270" w:lineRule="atLeast"/>
        <w:ind w:left="426" w:hanging="284"/>
        <w:outlineLvl w:val="0"/>
        <w:rPr>
          <w:rFonts w:ascii="Arial" w:hAnsi="Arial" w:cs="Arial"/>
          <w:b/>
          <w:bCs/>
          <w:noProof/>
          <w:color w:val="auto"/>
          <w:sz w:val="20"/>
          <w:szCs w:val="20"/>
          <w:lang w:val="pt-PT"/>
        </w:rPr>
      </w:pPr>
      <w:r w:rsidRPr="004E33A5">
        <w:rPr>
          <w:rFonts w:ascii="Arial" w:hAnsi="Arial" w:cs="Arial"/>
          <w:b/>
          <w:bCs/>
          <w:noProof/>
          <w:sz w:val="20"/>
          <w:szCs w:val="20"/>
          <w:lang w:val="pt-PT"/>
        </w:rPr>
        <w:t xml:space="preserve">Michelin, número 1 do sector de equipamento para automóveis pela sua política de desenvolvimento sustentável, segundo a classificação DJSI World (22 de setembro de 2015). </w:t>
      </w:r>
    </w:p>
    <w:p w:rsidR="00104E81" w:rsidRPr="004E33A5" w:rsidRDefault="006F356D" w:rsidP="00BD06E7">
      <w:pPr>
        <w:pStyle w:val="Cuerpo"/>
        <w:numPr>
          <w:ilvl w:val="0"/>
          <w:numId w:val="17"/>
        </w:numPr>
        <w:spacing w:after="240" w:line="270" w:lineRule="atLeast"/>
        <w:ind w:left="426" w:hanging="284"/>
        <w:outlineLvl w:val="0"/>
        <w:rPr>
          <w:rFonts w:ascii="Arial" w:hAnsi="Arial" w:cs="Arial"/>
          <w:b/>
          <w:bCs/>
          <w:noProof/>
          <w:color w:val="auto"/>
          <w:sz w:val="20"/>
          <w:szCs w:val="20"/>
          <w:lang w:val="pt-PT"/>
        </w:rPr>
      </w:pPr>
      <w:r w:rsidRPr="004E33A5">
        <w:rPr>
          <w:rFonts w:ascii="Arial" w:hAnsi="Arial" w:cs="Arial"/>
          <w:b/>
          <w:bCs/>
          <w:noProof/>
          <w:color w:val="auto"/>
          <w:sz w:val="20"/>
          <w:szCs w:val="20"/>
          <w:lang w:val="pt-PT"/>
        </w:rPr>
        <w:t>A Michelin coloca com êxito um empréstimo obrigatório de 209 milhões de euros a 30 anos (28 de setembro de 2015).</w:t>
      </w:r>
    </w:p>
    <w:p w:rsidR="00104E81" w:rsidRPr="004E33A5" w:rsidRDefault="00104E81" w:rsidP="00BD06E7">
      <w:pPr>
        <w:pStyle w:val="Cuerpo"/>
        <w:numPr>
          <w:ilvl w:val="0"/>
          <w:numId w:val="17"/>
        </w:numPr>
        <w:spacing w:after="240" w:line="270" w:lineRule="atLeast"/>
        <w:ind w:left="426" w:hanging="284"/>
        <w:outlineLvl w:val="0"/>
        <w:rPr>
          <w:rFonts w:ascii="Arial" w:hAnsi="Arial" w:cs="Arial"/>
          <w:b/>
          <w:bCs/>
          <w:noProof/>
          <w:color w:val="auto"/>
          <w:sz w:val="20"/>
          <w:szCs w:val="20"/>
          <w:lang w:val="pt-PT"/>
        </w:rPr>
      </w:pPr>
      <w:r w:rsidRPr="004E33A5">
        <w:rPr>
          <w:rFonts w:ascii="Arial" w:hAnsi="Arial"/>
          <w:b/>
          <w:bCs/>
          <w:noProof/>
          <w:color w:val="auto"/>
          <w:sz w:val="20"/>
          <w:szCs w:val="20"/>
          <w:lang w:val="pt-PT"/>
        </w:rPr>
        <w:t>Michelin Tire Care</w:t>
      </w:r>
      <w:r w:rsidRPr="004E33A5">
        <w:rPr>
          <w:rFonts w:ascii="Arial" w:hAnsi="Arial"/>
          <w:b/>
          <w:bCs/>
          <w:noProof/>
          <w:sz w:val="20"/>
          <w:szCs w:val="20"/>
          <w:lang w:val="pt-PT"/>
        </w:rPr>
        <w:t>: lançamento mundial do primeiro conjunto de oferta de serviços digitais e conectados do mercado para as empresas de transportes para assim maximizar a disponibilidade do veículo e o controlo dos custos (5 de outubro de 2015).</w:t>
      </w:r>
    </w:p>
    <w:p w:rsidR="00104E81" w:rsidRPr="004E33A5" w:rsidRDefault="00104E81" w:rsidP="00BD06E7">
      <w:pPr>
        <w:pStyle w:val="Cuerpo"/>
        <w:numPr>
          <w:ilvl w:val="0"/>
          <w:numId w:val="17"/>
        </w:numPr>
        <w:spacing w:after="240" w:line="270" w:lineRule="atLeast"/>
        <w:ind w:left="426" w:hanging="284"/>
        <w:outlineLvl w:val="0"/>
        <w:rPr>
          <w:rFonts w:ascii="Arial" w:hAnsi="Arial" w:cs="Arial"/>
          <w:b/>
          <w:bCs/>
          <w:noProof/>
          <w:color w:val="auto"/>
          <w:sz w:val="20"/>
          <w:szCs w:val="20"/>
          <w:lang w:val="pt-PT"/>
        </w:rPr>
      </w:pPr>
      <w:r w:rsidRPr="004E33A5">
        <w:rPr>
          <w:rFonts w:ascii="Arial" w:hAnsi="Arial" w:cs="Arial"/>
          <w:b/>
          <w:bCs/>
          <w:noProof/>
          <w:color w:val="auto"/>
          <w:sz w:val="20"/>
          <w:szCs w:val="20"/>
          <w:lang w:val="pt-PT"/>
        </w:rPr>
        <w:t>A Michelin reorganiza as suas atividades no Reino Unido, Itália e Alemanha (3 de novembro de 2015).</w:t>
      </w:r>
    </w:p>
    <w:p w:rsidR="00104E81" w:rsidRPr="004E33A5" w:rsidRDefault="00EF2AFA" w:rsidP="00BD06E7">
      <w:pPr>
        <w:pStyle w:val="Cuerpo"/>
        <w:numPr>
          <w:ilvl w:val="0"/>
          <w:numId w:val="17"/>
        </w:numPr>
        <w:spacing w:after="240" w:line="270" w:lineRule="atLeast"/>
        <w:ind w:left="426" w:hanging="284"/>
        <w:outlineLvl w:val="0"/>
        <w:rPr>
          <w:rFonts w:ascii="Arial" w:hAnsi="Arial" w:cs="Arial"/>
          <w:b/>
          <w:bCs/>
          <w:noProof/>
          <w:color w:val="auto"/>
          <w:sz w:val="20"/>
          <w:szCs w:val="20"/>
          <w:lang w:val="pt-PT"/>
        </w:rPr>
      </w:pPr>
      <w:r w:rsidRPr="004E33A5">
        <w:rPr>
          <w:rFonts w:ascii="Arial" w:hAnsi="Arial" w:cs="Arial"/>
          <w:b/>
          <w:bCs/>
          <w:noProof/>
          <w:color w:val="auto"/>
          <w:sz w:val="20"/>
          <w:szCs w:val="20"/>
          <w:lang w:val="pt-PT"/>
        </w:rPr>
        <w:t>Considerando a evolução dos mercados, a Michelin confirma a interrupção do seu projeto de fábrica para Engenharia Civil na Índia (3 de novembro de 2015).</w:t>
      </w:r>
    </w:p>
    <w:p w:rsidR="00104E81" w:rsidRPr="004E33A5" w:rsidRDefault="00421FE2" w:rsidP="00BD06E7">
      <w:pPr>
        <w:pStyle w:val="Cuerpo"/>
        <w:numPr>
          <w:ilvl w:val="0"/>
          <w:numId w:val="17"/>
        </w:numPr>
        <w:spacing w:after="240" w:line="270" w:lineRule="atLeast"/>
        <w:ind w:left="426" w:hanging="284"/>
        <w:outlineLvl w:val="0"/>
        <w:rPr>
          <w:rFonts w:ascii="Arial" w:hAnsi="Arial" w:cs="Arial"/>
          <w:b/>
          <w:bCs/>
          <w:noProof/>
          <w:color w:val="auto"/>
          <w:sz w:val="20"/>
          <w:szCs w:val="20"/>
          <w:lang w:val="pt-PT"/>
        </w:rPr>
      </w:pPr>
      <w:r w:rsidRPr="004E33A5">
        <w:rPr>
          <w:rFonts w:ascii="Arial" w:hAnsi="Arial" w:cs="Arial"/>
          <w:b/>
          <w:bCs/>
          <w:noProof/>
          <w:color w:val="auto"/>
          <w:sz w:val="20"/>
          <w:szCs w:val="20"/>
          <w:lang w:val="pt-PT"/>
        </w:rPr>
        <w:t>Cancelamento de 4.961.534 ações próprias recompradas em 2015, isto é, 2,66% do capital (dezembro de 2015).</w:t>
      </w:r>
    </w:p>
    <w:p w:rsidR="00104E81" w:rsidRPr="004E33A5" w:rsidRDefault="00104E81" w:rsidP="00BD06E7">
      <w:pPr>
        <w:pStyle w:val="Cuerpo"/>
        <w:numPr>
          <w:ilvl w:val="0"/>
          <w:numId w:val="17"/>
        </w:numPr>
        <w:spacing w:after="240" w:line="270" w:lineRule="atLeast"/>
        <w:ind w:left="426" w:hanging="284"/>
        <w:outlineLvl w:val="0"/>
        <w:rPr>
          <w:rFonts w:ascii="Arial" w:hAnsi="Arial" w:cs="Arial"/>
          <w:b/>
          <w:bCs/>
          <w:noProof/>
          <w:color w:val="auto"/>
          <w:sz w:val="20"/>
          <w:szCs w:val="20"/>
          <w:lang w:val="pt-PT"/>
        </w:rPr>
      </w:pPr>
      <w:r w:rsidRPr="004E33A5">
        <w:rPr>
          <w:rFonts w:ascii="Arial" w:hAnsi="Arial" w:cs="Arial"/>
          <w:b/>
          <w:bCs/>
          <w:noProof/>
          <w:color w:val="auto"/>
          <w:sz w:val="20"/>
          <w:szCs w:val="20"/>
          <w:lang w:val="pt-PT"/>
        </w:rPr>
        <w:t>A Michelin lança uma nova fase do seu programa de recompra de ações (8 de janeiro de 2016).</w:t>
      </w:r>
    </w:p>
    <w:p w:rsidR="00CA075F" w:rsidRPr="004E33A5" w:rsidRDefault="00CA075F" w:rsidP="00BD06E7">
      <w:pPr>
        <w:pStyle w:val="Cuerpo"/>
        <w:numPr>
          <w:ilvl w:val="0"/>
          <w:numId w:val="17"/>
        </w:numPr>
        <w:spacing w:after="240" w:line="270" w:lineRule="atLeast"/>
        <w:ind w:left="426" w:hanging="284"/>
        <w:outlineLvl w:val="0"/>
        <w:rPr>
          <w:rFonts w:ascii="Arial" w:hAnsi="Arial" w:cs="Arial"/>
          <w:b/>
          <w:bCs/>
          <w:noProof/>
          <w:color w:val="auto"/>
          <w:sz w:val="20"/>
          <w:szCs w:val="20"/>
          <w:lang w:val="pt-PT"/>
        </w:rPr>
      </w:pPr>
      <w:r w:rsidRPr="004E33A5">
        <w:rPr>
          <w:rFonts w:ascii="Arial" w:hAnsi="Arial" w:cs="Arial"/>
          <w:b/>
          <w:bCs/>
          <w:noProof/>
          <w:color w:val="auto"/>
          <w:sz w:val="20"/>
          <w:szCs w:val="20"/>
          <w:lang w:val="pt-PT"/>
        </w:rPr>
        <w:t>Com a aquisição da BookaTable, a Michelin torna-se no líder europeu de reservas on-line de restaurantes (11 de janeiro de 2016).</w:t>
      </w:r>
    </w:p>
    <w:p w:rsidR="00700DFB" w:rsidRPr="004E33A5" w:rsidRDefault="00700DFB">
      <w:pPr>
        <w:pStyle w:val="Cuerpo"/>
        <w:keepNext/>
        <w:tabs>
          <w:tab w:val="left" w:pos="284"/>
        </w:tabs>
        <w:jc w:val="both"/>
        <w:rPr>
          <w:rFonts w:ascii="Verdana" w:eastAsia="Verdana" w:hAnsi="Verdana" w:cs="Verdana"/>
          <w:noProof/>
          <w:lang w:val="pt-PT"/>
        </w:rPr>
      </w:pPr>
    </w:p>
    <w:p w:rsidR="00700DFB" w:rsidRPr="004E33A5" w:rsidRDefault="009F7ED2">
      <w:pPr>
        <w:pStyle w:val="Cuerpo"/>
        <w:keepNext/>
        <w:pBdr>
          <w:top w:val="single" w:sz="4" w:space="0" w:color="000000"/>
          <w:left w:val="single" w:sz="4" w:space="0" w:color="000000"/>
          <w:bottom w:val="single" w:sz="4" w:space="0" w:color="000000"/>
          <w:right w:val="single" w:sz="4" w:space="0" w:color="000000"/>
        </w:pBdr>
        <w:jc w:val="center"/>
        <w:rPr>
          <w:rFonts w:ascii="Arial" w:eastAsia="Arial" w:hAnsi="Arial" w:cs="Arial"/>
          <w:noProof/>
          <w:sz w:val="20"/>
          <w:szCs w:val="20"/>
          <w:u w:val="single"/>
          <w:lang w:val="pt-PT"/>
        </w:rPr>
      </w:pPr>
      <w:r w:rsidRPr="004E33A5">
        <w:rPr>
          <w:rFonts w:ascii="Arial"/>
          <w:noProof/>
          <w:sz w:val="20"/>
          <w:szCs w:val="20"/>
          <w:lang w:val="pt-PT"/>
        </w:rPr>
        <w:t xml:space="preserve">A lista completa dos fatos destacados de 2015 </w:t>
      </w:r>
      <w:r w:rsidRPr="004E33A5">
        <w:rPr>
          <w:rFonts w:hAnsi="Arial Unicode MS"/>
          <w:noProof/>
          <w:sz w:val="20"/>
          <w:szCs w:val="20"/>
          <w:lang w:val="pt-PT"/>
        </w:rPr>
        <w:t>est</w:t>
      </w:r>
      <w:r w:rsidRPr="004E33A5">
        <w:rPr>
          <w:rFonts w:hAnsi="Arial Unicode MS"/>
          <w:noProof/>
          <w:sz w:val="20"/>
          <w:szCs w:val="20"/>
          <w:lang w:val="pt-PT"/>
        </w:rPr>
        <w:t>á</w:t>
      </w:r>
      <w:r w:rsidRPr="004E33A5">
        <w:rPr>
          <w:rFonts w:hAnsi="Arial Unicode MS"/>
          <w:noProof/>
          <w:sz w:val="20"/>
          <w:szCs w:val="20"/>
          <w:lang w:val="pt-PT"/>
        </w:rPr>
        <w:t xml:space="preserve"> dispon</w:t>
      </w:r>
      <w:r w:rsidRPr="004E33A5">
        <w:rPr>
          <w:rFonts w:hAnsi="Arial Unicode MS"/>
          <w:noProof/>
          <w:sz w:val="20"/>
          <w:szCs w:val="20"/>
          <w:lang w:val="pt-PT"/>
        </w:rPr>
        <w:t>í</w:t>
      </w:r>
      <w:r w:rsidRPr="004E33A5">
        <w:rPr>
          <w:rFonts w:hAnsi="Arial Unicode MS"/>
          <w:noProof/>
          <w:sz w:val="20"/>
          <w:szCs w:val="20"/>
          <w:lang w:val="pt-PT"/>
        </w:rPr>
        <w:t>vel</w:t>
      </w:r>
      <w:r w:rsidRPr="004E33A5">
        <w:rPr>
          <w:noProof/>
          <w:color w:val="000000" w:themeColor="text1"/>
          <w:lang w:val="pt-PT"/>
        </w:rPr>
        <w:t xml:space="preserve"> no Site do Grupo: </w:t>
      </w:r>
      <w:hyperlink r:id="rId9" w:history="1">
        <w:r w:rsidRPr="004E33A5">
          <w:rPr>
            <w:rStyle w:val="Hyperlink0"/>
            <w:noProof/>
            <w:sz w:val="20"/>
            <w:szCs w:val="20"/>
            <w:lang w:val="pt-PT"/>
          </w:rPr>
          <w:t>http://www.michelin.com/corporate/finance</w:t>
        </w:r>
      </w:hyperlink>
    </w:p>
    <w:p w:rsidR="00700DFB" w:rsidRPr="004E33A5" w:rsidRDefault="00700DFB">
      <w:pPr>
        <w:pStyle w:val="Cuerpo"/>
        <w:tabs>
          <w:tab w:val="left" w:pos="360"/>
        </w:tabs>
        <w:jc w:val="both"/>
        <w:rPr>
          <w:rFonts w:ascii="Arial" w:eastAsia="Arial" w:hAnsi="Arial" w:cs="Arial"/>
          <w:b/>
          <w:bCs/>
          <w:smallCaps/>
          <w:noProof/>
          <w:lang w:val="pt-PT"/>
        </w:rPr>
      </w:pPr>
    </w:p>
    <w:p w:rsidR="00C54C87" w:rsidRPr="004E33A5" w:rsidRDefault="00C54C87" w:rsidP="00C54C87">
      <w:pPr>
        <w:pStyle w:val="Cuerpo"/>
        <w:keepNext/>
        <w:rPr>
          <w:rFonts w:ascii="Arial" w:eastAsia="Verdana" w:hAnsi="Arial" w:cs="Arial"/>
          <w:b/>
          <w:bCs/>
          <w:noProof/>
          <w:sz w:val="21"/>
          <w:szCs w:val="21"/>
          <w:lang w:val="pt-PT"/>
        </w:rPr>
      </w:pPr>
      <w:r w:rsidRPr="004E33A5">
        <w:rPr>
          <w:rFonts w:ascii="Arial" w:eastAsia="Verdana" w:hAnsi="Arial" w:cs="Arial"/>
          <w:b/>
          <w:bCs/>
          <w:noProof/>
          <w:sz w:val="21"/>
          <w:szCs w:val="21"/>
          <w:lang w:val="pt-PT"/>
        </w:rPr>
        <w:t>Calendário</w:t>
      </w:r>
    </w:p>
    <w:p w:rsidR="00C54C87" w:rsidRPr="004E33A5" w:rsidRDefault="00C54C87" w:rsidP="00BD06E7">
      <w:pPr>
        <w:pStyle w:val="Cuerpo"/>
        <w:keepNext/>
        <w:numPr>
          <w:ilvl w:val="0"/>
          <w:numId w:val="19"/>
        </w:numPr>
        <w:rPr>
          <w:rFonts w:ascii="Arial" w:eastAsia="Verdana" w:hAnsi="Arial" w:cs="Arial"/>
          <w:b/>
          <w:noProof/>
          <w:sz w:val="21"/>
          <w:szCs w:val="21"/>
          <w:lang w:val="pt-PT"/>
        </w:rPr>
      </w:pPr>
      <w:r w:rsidRPr="004E33A5">
        <w:rPr>
          <w:rFonts w:ascii="Arial" w:eastAsia="Verdana" w:hAnsi="Arial" w:cs="Arial"/>
          <w:b/>
          <w:bCs/>
          <w:noProof/>
          <w:sz w:val="21"/>
          <w:szCs w:val="21"/>
          <w:lang w:val="pt-PT"/>
        </w:rPr>
        <w:t>Informação trimestral em 31 de março de 2016:</w:t>
      </w:r>
    </w:p>
    <w:p w:rsidR="00C54C87" w:rsidRPr="004E33A5" w:rsidRDefault="00C54C87" w:rsidP="00C54C87">
      <w:pPr>
        <w:pStyle w:val="Cuerpo"/>
        <w:keepNext/>
        <w:jc w:val="both"/>
        <w:rPr>
          <w:rFonts w:ascii="Arial" w:eastAsia="Verdana" w:hAnsi="Arial" w:cs="Arial"/>
          <w:noProof/>
          <w:sz w:val="21"/>
          <w:szCs w:val="21"/>
          <w:lang w:val="pt-PT"/>
        </w:rPr>
      </w:pPr>
      <w:r w:rsidRPr="004E33A5">
        <w:rPr>
          <w:rFonts w:ascii="Arial" w:eastAsia="Verdana" w:hAnsi="Arial" w:cs="Arial"/>
          <w:noProof/>
          <w:sz w:val="21"/>
          <w:szCs w:val="21"/>
          <w:lang w:val="pt-PT"/>
        </w:rPr>
        <w:t>Quarta-feira, 20 de abril de 2016, depois do encerramento da Bolsa.</w:t>
      </w:r>
    </w:p>
    <w:p w:rsidR="00C54C87" w:rsidRPr="004E33A5" w:rsidRDefault="00C54C87" w:rsidP="00BD06E7">
      <w:pPr>
        <w:pStyle w:val="Cuerpo"/>
        <w:keepNext/>
        <w:numPr>
          <w:ilvl w:val="0"/>
          <w:numId w:val="19"/>
        </w:numPr>
        <w:rPr>
          <w:rFonts w:ascii="Arial" w:eastAsia="Verdana" w:hAnsi="Arial" w:cs="Arial"/>
          <w:b/>
          <w:noProof/>
          <w:sz w:val="21"/>
          <w:szCs w:val="21"/>
          <w:lang w:val="pt-PT"/>
        </w:rPr>
      </w:pPr>
      <w:r w:rsidRPr="004E33A5">
        <w:rPr>
          <w:rFonts w:ascii="Arial" w:eastAsia="Verdana" w:hAnsi="Arial" w:cs="Arial"/>
          <w:b/>
          <w:bCs/>
          <w:noProof/>
          <w:sz w:val="21"/>
          <w:szCs w:val="21"/>
          <w:lang w:val="pt-PT"/>
        </w:rPr>
        <w:t>Vendas líquidas e resultado a 30 junho de 2016:</w:t>
      </w:r>
    </w:p>
    <w:p w:rsidR="00C54C87" w:rsidRPr="004E33A5" w:rsidRDefault="00C54C87" w:rsidP="00C54C87">
      <w:pPr>
        <w:pStyle w:val="Cuerpo"/>
        <w:keepNext/>
        <w:jc w:val="both"/>
        <w:rPr>
          <w:rFonts w:ascii="Arial" w:eastAsia="Verdana" w:hAnsi="Arial" w:cs="Arial"/>
          <w:noProof/>
          <w:sz w:val="21"/>
          <w:szCs w:val="21"/>
          <w:lang w:val="pt-PT"/>
        </w:rPr>
      </w:pPr>
      <w:r w:rsidRPr="004E33A5">
        <w:rPr>
          <w:rFonts w:ascii="Arial" w:eastAsia="Verdana" w:hAnsi="Arial" w:cs="Arial"/>
          <w:noProof/>
          <w:sz w:val="21"/>
          <w:szCs w:val="21"/>
          <w:lang w:val="pt-PT"/>
        </w:rPr>
        <w:t>Terça-feira, 26 de julho de 2016, antes da abertura da Bolsa.</w:t>
      </w:r>
    </w:p>
    <w:p w:rsidR="00700DFB" w:rsidRPr="004E33A5" w:rsidRDefault="00700DFB">
      <w:pPr>
        <w:pStyle w:val="Cuerpo"/>
        <w:tabs>
          <w:tab w:val="left" w:pos="360"/>
        </w:tabs>
        <w:jc w:val="both"/>
        <w:rPr>
          <w:rFonts w:ascii="Arial" w:eastAsia="Arial" w:hAnsi="Arial" w:cs="Arial"/>
          <w:noProof/>
          <w:sz w:val="21"/>
          <w:szCs w:val="21"/>
          <w:lang w:val="pt-PT"/>
        </w:rPr>
      </w:pPr>
    </w:p>
    <w:p w:rsidR="00C54C87" w:rsidRPr="004E33A5" w:rsidRDefault="00C54C87">
      <w:pPr>
        <w:pStyle w:val="Cuerpo"/>
        <w:keepNext/>
        <w:tabs>
          <w:tab w:val="left" w:pos="360"/>
        </w:tabs>
        <w:jc w:val="center"/>
        <w:rPr>
          <w:rFonts w:ascii="Arial"/>
          <w:b/>
          <w:bCs/>
          <w:noProof/>
          <w:sz w:val="21"/>
          <w:szCs w:val="21"/>
          <w:lang w:val="pt-PT"/>
        </w:rPr>
      </w:pPr>
    </w:p>
    <w:p w:rsidR="00700DFB" w:rsidRPr="004E33A5" w:rsidRDefault="009F7ED2">
      <w:pPr>
        <w:pStyle w:val="Cuerpo"/>
        <w:keepNext/>
        <w:tabs>
          <w:tab w:val="left" w:pos="360"/>
        </w:tabs>
        <w:jc w:val="center"/>
        <w:rPr>
          <w:rFonts w:ascii="Arial" w:eastAsia="Arial" w:hAnsi="Arial" w:cs="Arial"/>
          <w:b/>
          <w:bCs/>
          <w:noProof/>
          <w:sz w:val="20"/>
          <w:szCs w:val="20"/>
          <w:lang w:val="pt-PT"/>
        </w:rPr>
      </w:pPr>
      <w:r w:rsidRPr="004E33A5">
        <w:rPr>
          <w:rFonts w:ascii="Arial"/>
          <w:b/>
          <w:bCs/>
          <w:noProof/>
          <w:sz w:val="20"/>
          <w:szCs w:val="20"/>
          <w:lang w:val="pt-PT"/>
        </w:rPr>
        <w:t>ADVERT</w:t>
      </w:r>
      <w:r w:rsidRPr="004E33A5">
        <w:rPr>
          <w:rFonts w:ascii="Arial"/>
          <w:b/>
          <w:bCs/>
          <w:noProof/>
          <w:sz w:val="20"/>
          <w:szCs w:val="20"/>
          <w:lang w:val="pt-PT"/>
        </w:rPr>
        <w:t>Ê</w:t>
      </w:r>
      <w:r w:rsidRPr="004E33A5">
        <w:rPr>
          <w:rFonts w:ascii="Arial"/>
          <w:b/>
          <w:bCs/>
          <w:noProof/>
          <w:sz w:val="20"/>
          <w:szCs w:val="20"/>
          <w:lang w:val="pt-PT"/>
        </w:rPr>
        <w:t>NCIA</w:t>
      </w:r>
    </w:p>
    <w:p w:rsidR="00700DFB" w:rsidRPr="004E33A5" w:rsidRDefault="009F7ED2" w:rsidP="00584789">
      <w:pPr>
        <w:pStyle w:val="Cuerpo"/>
        <w:keepNext/>
        <w:tabs>
          <w:tab w:val="left" w:pos="360"/>
        </w:tabs>
        <w:jc w:val="both"/>
        <w:rPr>
          <w:rFonts w:ascii="Arial" w:hAnsi="Arial" w:cs="Arial"/>
          <w:b/>
          <w:bCs/>
          <w:i/>
          <w:iCs/>
          <w:noProof/>
          <w:sz w:val="20"/>
          <w:szCs w:val="20"/>
          <w:lang w:val="pt-PT"/>
        </w:rPr>
      </w:pPr>
      <w:r w:rsidRPr="004E33A5">
        <w:rPr>
          <w:rFonts w:ascii="Arial" w:hAnsi="Arial"/>
          <w:b/>
          <w:bCs/>
          <w:i/>
          <w:iCs/>
          <w:noProof/>
          <w:sz w:val="20"/>
          <w:szCs w:val="20"/>
          <w:lang w:val="pt-PT"/>
        </w:rPr>
        <w:t xml:space="preserve">Este comunicado de imprensa não constitui uma oferta de venda ou a solicitação de oferta de compra de ações Michelin. Se quiser mais informação acerca da Michelin, por favor consulte os documentos públicos depositados em l’Autorité des marchés financiers, na França. Igualmente pode consultá-los no nosso site: </w:t>
      </w:r>
      <w:hyperlink r:id="rId10" w:history="1">
        <w:r w:rsidRPr="004E33A5">
          <w:rPr>
            <w:rStyle w:val="Hyperlink1"/>
            <w:noProof/>
            <w:sz w:val="20"/>
            <w:szCs w:val="20"/>
            <w:lang w:val="pt-PT"/>
          </w:rPr>
          <w:t>www.michelin.com</w:t>
        </w:r>
      </w:hyperlink>
      <w:r w:rsidRPr="004E33A5">
        <w:rPr>
          <w:rFonts w:ascii="Arial" w:hAnsi="Arial"/>
          <w:b/>
          <w:bCs/>
          <w:i/>
          <w:iCs/>
          <w:noProof/>
          <w:sz w:val="20"/>
          <w:szCs w:val="20"/>
          <w:lang w:val="pt-PT"/>
        </w:rPr>
        <w:t>.</w:t>
      </w:r>
      <w:r w:rsidRPr="004E33A5">
        <w:rPr>
          <w:rFonts w:ascii="Arial" w:hAnsi="Arial"/>
          <w:noProof/>
          <w:sz w:val="20"/>
          <w:szCs w:val="20"/>
          <w:lang w:val="pt-PT"/>
        </w:rPr>
        <w:t xml:space="preserve"> </w:t>
      </w:r>
      <w:r w:rsidRPr="004E33A5">
        <w:rPr>
          <w:rFonts w:ascii="Arial" w:hAnsi="Arial"/>
          <w:b/>
          <w:bCs/>
          <w:i/>
          <w:iCs/>
          <w:noProof/>
          <w:sz w:val="20"/>
          <w:szCs w:val="20"/>
          <w:lang w:val="pt-PT"/>
        </w:rPr>
        <w:t>Este comunicado pode conter algumas declarações de caráter provisório. Embora a companhia estime que as suas declarações estão baseadas em hipóteses razoáveis na data de publicação do documento, as mesmas estão inerentemente sujeitas a riscos e incertezas que podem fazer com que haja alguma diferença entre os resultados reais e aqueles indicados ou induzidos nestas declarações.</w:t>
      </w:r>
    </w:p>
    <w:p w:rsidR="00584789" w:rsidRPr="004E33A5" w:rsidRDefault="00584789" w:rsidP="00584789">
      <w:pPr>
        <w:pStyle w:val="Cuerpo"/>
        <w:keepNext/>
        <w:tabs>
          <w:tab w:val="left" w:pos="360"/>
        </w:tabs>
        <w:jc w:val="both"/>
        <w:rPr>
          <w:rFonts w:ascii="Arial" w:eastAsia="Verdana" w:hAnsi="Arial" w:cs="Arial"/>
          <w:noProof/>
          <w:sz w:val="21"/>
          <w:szCs w:val="21"/>
          <w:lang w:val="pt-PT"/>
        </w:rPr>
      </w:pPr>
    </w:p>
    <w:p w:rsidR="00C54C87" w:rsidRPr="004E33A5" w:rsidRDefault="00C54C87" w:rsidP="00C54C87">
      <w:pPr>
        <w:pStyle w:val="Cuerpo"/>
        <w:keepNext/>
        <w:tabs>
          <w:tab w:val="left" w:pos="360"/>
        </w:tabs>
        <w:jc w:val="both"/>
        <w:rPr>
          <w:rFonts w:ascii="Arial" w:eastAsia="Verdana" w:hAnsi="Arial" w:cs="Arial"/>
          <w:noProof/>
          <w:lang w:val="pt-PT"/>
        </w:rPr>
      </w:pPr>
    </w:p>
    <w:p w:rsidR="00C54C87" w:rsidRPr="004E33A5" w:rsidRDefault="00C54C87" w:rsidP="00C54C87">
      <w:pPr>
        <w:pStyle w:val="Cuerpo"/>
        <w:keepNext/>
        <w:tabs>
          <w:tab w:val="left" w:pos="360"/>
        </w:tabs>
        <w:jc w:val="both"/>
        <w:rPr>
          <w:rFonts w:ascii="Arial" w:eastAsia="Verdana" w:hAnsi="Arial" w:cs="Arial"/>
          <w:noProof/>
          <w:lang w:val="pt-PT"/>
        </w:rPr>
      </w:pPr>
    </w:p>
    <w:p w:rsidR="005D50E5" w:rsidRPr="004E33A5" w:rsidRDefault="005D50E5" w:rsidP="00C54C87">
      <w:pPr>
        <w:autoSpaceDE w:val="0"/>
        <w:autoSpaceDN w:val="0"/>
        <w:adjustRightInd w:val="0"/>
        <w:spacing w:line="240" w:lineRule="atLeast"/>
        <w:jc w:val="both"/>
        <w:rPr>
          <w:i/>
          <w:noProof/>
          <w:lang w:val="pt-PT"/>
        </w:rPr>
      </w:pPr>
      <w:r w:rsidRPr="004E33A5">
        <w:rPr>
          <w:i/>
          <w:iCs/>
          <w:noProof/>
          <w:lang w:val="pt-PT"/>
        </w:rPr>
        <w:t xml:space="preserve">A missão da </w:t>
      </w:r>
      <w:r w:rsidRPr="004E33A5">
        <w:rPr>
          <w:b/>
          <w:bCs/>
          <w:i/>
          <w:iCs/>
          <w:noProof/>
          <w:lang w:val="pt-PT"/>
        </w:rPr>
        <w:t>Michelin</w:t>
      </w:r>
      <w:r w:rsidRPr="004E33A5">
        <w:rPr>
          <w:i/>
          <w:iCs/>
          <w:noProof/>
          <w:lang w:val="pt-PT"/>
        </w:rPr>
        <w:t>, líder do setor dos pneus, é contribuir de maneira sustentável para a mobilidade das pessoas e dos bens. Por este motivo, o Grupo fabrica, comercializa e distribui pneus para todo o tipo de veículos. A Michelin propõe igualmente serviços digitais inovadores, como a gestão telemática de frotas de veículos e ferramentas de ajuda à mobilidade. De igual forma, edita guias turísticos, de hotéis e restaurantes, mapas e mapas de estradas. O Grupo, que tem a sua sede em Clermont-Ferrand (França), está presente em 170 países, emprega 112 300 pessoas em todo o mundo e dispõe de 68 centros de produção implantados em 17 países diferentes. A Michelin possui um Centro de Tecnologia que se encarrega da investigação e desenvolvimento com implantação na Europa, América do Norte e Ásia  (www.michelin.es).</w:t>
      </w:r>
      <w:r w:rsidRPr="004E33A5">
        <w:rPr>
          <w:noProof/>
          <w:lang w:val="pt-PT"/>
        </w:rPr>
        <w:t xml:space="preserve"> </w:t>
      </w:r>
    </w:p>
    <w:p w:rsidR="00700DFB" w:rsidRPr="004E33A5" w:rsidRDefault="00700DFB" w:rsidP="00C54C87">
      <w:pPr>
        <w:pStyle w:val="Cuerpo"/>
        <w:jc w:val="both"/>
        <w:rPr>
          <w:i/>
          <w:iCs/>
          <w:noProof/>
          <w:lang w:val="pt-PT"/>
        </w:rPr>
      </w:pPr>
    </w:p>
    <w:p w:rsidR="00700DFB" w:rsidRPr="004E33A5" w:rsidRDefault="009F7ED2" w:rsidP="00C54C87">
      <w:pPr>
        <w:pStyle w:val="Piedepgina"/>
        <w:tabs>
          <w:tab w:val="clear" w:pos="8504"/>
          <w:tab w:val="right" w:pos="8478"/>
        </w:tabs>
        <w:outlineLvl w:val="0"/>
        <w:rPr>
          <w:rFonts w:ascii="Arial" w:eastAsia="Arial" w:hAnsi="Arial" w:cs="Arial"/>
          <w:b/>
          <w:bCs/>
          <w:noProof/>
          <w:color w:val="808080"/>
          <w:sz w:val="18"/>
          <w:szCs w:val="18"/>
          <w:u w:color="808080"/>
          <w:lang w:val="pt-PT"/>
        </w:rPr>
      </w:pPr>
      <w:r w:rsidRPr="004E33A5">
        <w:rPr>
          <w:rFonts w:ascii="Arial"/>
          <w:b/>
          <w:bCs/>
          <w:noProof/>
          <w:color w:val="808080"/>
          <w:sz w:val="18"/>
          <w:szCs w:val="18"/>
          <w:u w:color="808080"/>
          <w:lang w:val="pt-PT"/>
        </w:rPr>
        <w:t>DEPARTAMENTO DE COMUNIC</w:t>
      </w:r>
      <w:r w:rsidRPr="004E33A5">
        <w:rPr>
          <w:rFonts w:ascii="Arial" w:hAnsi="Arial" w:cs="Arial"/>
          <w:b/>
          <w:bCs/>
          <w:noProof/>
          <w:color w:val="808080"/>
          <w:sz w:val="18"/>
          <w:szCs w:val="18"/>
          <w:u w:color="808080"/>
          <w:lang w:val="pt-PT"/>
        </w:rPr>
        <w:t>AÇÃ</w:t>
      </w:r>
      <w:r w:rsidRPr="004E33A5">
        <w:rPr>
          <w:rFonts w:ascii="Arial"/>
          <w:b/>
          <w:bCs/>
          <w:noProof/>
          <w:color w:val="808080"/>
          <w:sz w:val="18"/>
          <w:szCs w:val="18"/>
          <w:u w:color="808080"/>
          <w:lang w:val="pt-PT"/>
        </w:rPr>
        <w:t>O</w:t>
      </w:r>
    </w:p>
    <w:p w:rsidR="00700DFB" w:rsidRPr="004E33A5" w:rsidRDefault="009F7ED2">
      <w:pPr>
        <w:pStyle w:val="Piedepgina"/>
        <w:tabs>
          <w:tab w:val="clear" w:pos="8504"/>
          <w:tab w:val="right" w:pos="8478"/>
        </w:tabs>
        <w:outlineLvl w:val="0"/>
        <w:rPr>
          <w:rFonts w:ascii="Arial" w:eastAsia="Arial" w:hAnsi="Arial" w:cs="Arial"/>
          <w:noProof/>
          <w:color w:val="808080"/>
          <w:sz w:val="18"/>
          <w:szCs w:val="18"/>
          <w:u w:color="808080"/>
          <w:lang w:val="pt-PT"/>
        </w:rPr>
      </w:pPr>
      <w:r w:rsidRPr="004E33A5">
        <w:rPr>
          <w:rFonts w:ascii="Arial"/>
          <w:noProof/>
          <w:color w:val="808080"/>
          <w:sz w:val="18"/>
          <w:szCs w:val="18"/>
          <w:u w:color="808080"/>
          <w:lang w:val="pt-PT"/>
        </w:rPr>
        <w:t>Avda. dos Enquartes, 19</w:t>
      </w:r>
    </w:p>
    <w:p w:rsidR="00700DFB" w:rsidRPr="004E33A5" w:rsidRDefault="009F7ED2">
      <w:pPr>
        <w:pStyle w:val="Piedepgina"/>
        <w:tabs>
          <w:tab w:val="clear" w:pos="8504"/>
          <w:tab w:val="right" w:pos="8478"/>
        </w:tabs>
        <w:outlineLvl w:val="0"/>
        <w:rPr>
          <w:rFonts w:ascii="Arial" w:eastAsia="Arial" w:hAnsi="Arial" w:cs="Arial"/>
          <w:noProof/>
          <w:color w:val="808080"/>
          <w:sz w:val="18"/>
          <w:szCs w:val="18"/>
          <w:u w:color="808080"/>
          <w:lang w:val="pt-PT"/>
        </w:rPr>
      </w:pPr>
      <w:r w:rsidRPr="004E33A5">
        <w:rPr>
          <w:rFonts w:ascii="Arial"/>
          <w:noProof/>
          <w:color w:val="808080"/>
          <w:sz w:val="18"/>
          <w:szCs w:val="18"/>
          <w:u w:color="808080"/>
          <w:lang w:val="pt-PT"/>
        </w:rPr>
        <w:t xml:space="preserve">28760 Tres Cantos </w:t>
      </w:r>
      <w:r w:rsidRPr="004E33A5">
        <w:rPr>
          <w:rFonts w:hAnsi="Arial Unicode MS"/>
          <w:noProof/>
          <w:color w:val="808080"/>
          <w:sz w:val="18"/>
          <w:szCs w:val="18"/>
          <w:u w:color="808080"/>
          <w:lang w:val="pt-PT"/>
        </w:rPr>
        <w:t>–</w:t>
      </w:r>
      <w:r w:rsidRPr="004E33A5">
        <w:rPr>
          <w:rFonts w:hAnsi="Arial Unicode MS"/>
          <w:noProof/>
          <w:color w:val="808080"/>
          <w:sz w:val="18"/>
          <w:szCs w:val="18"/>
          <w:u w:color="808080"/>
          <w:lang w:val="pt-PT"/>
        </w:rPr>
        <w:t xml:space="preserve"> </w:t>
      </w:r>
      <w:r w:rsidRPr="004E33A5">
        <w:rPr>
          <w:rFonts w:ascii="Arial"/>
          <w:noProof/>
          <w:color w:val="808080"/>
          <w:sz w:val="18"/>
          <w:szCs w:val="18"/>
          <w:u w:color="808080"/>
          <w:lang w:val="pt-PT"/>
        </w:rPr>
        <w:t xml:space="preserve">Madrid </w:t>
      </w:r>
      <w:r w:rsidRPr="004E33A5">
        <w:rPr>
          <w:rFonts w:hAnsi="Arial Unicode MS"/>
          <w:noProof/>
          <w:color w:val="808080"/>
          <w:sz w:val="18"/>
          <w:szCs w:val="18"/>
          <w:u w:color="808080"/>
          <w:lang w:val="pt-PT"/>
        </w:rPr>
        <w:t>–</w:t>
      </w:r>
      <w:r w:rsidRPr="004E33A5">
        <w:rPr>
          <w:rFonts w:hAnsi="Arial Unicode MS"/>
          <w:noProof/>
          <w:color w:val="808080"/>
          <w:sz w:val="18"/>
          <w:szCs w:val="18"/>
          <w:u w:color="808080"/>
          <w:lang w:val="pt-PT"/>
        </w:rPr>
        <w:t xml:space="preserve"> </w:t>
      </w:r>
      <w:r w:rsidRPr="004E33A5">
        <w:rPr>
          <w:rFonts w:ascii="Arial"/>
          <w:noProof/>
          <w:color w:val="808080"/>
          <w:sz w:val="18"/>
          <w:szCs w:val="18"/>
          <w:u w:color="808080"/>
          <w:lang w:val="pt-PT"/>
        </w:rPr>
        <w:t>ESP</w:t>
      </w:r>
      <w:r w:rsidRPr="004E33A5">
        <w:rPr>
          <w:rFonts w:ascii="Arial" w:hAnsi="Arial" w:cs="Arial"/>
          <w:noProof/>
          <w:color w:val="808080"/>
          <w:sz w:val="18"/>
          <w:szCs w:val="18"/>
          <w:u w:color="808080"/>
          <w:lang w:val="pt-PT"/>
        </w:rPr>
        <w:t>ANH</w:t>
      </w:r>
      <w:r w:rsidRPr="004E33A5">
        <w:rPr>
          <w:rFonts w:ascii="Arial"/>
          <w:noProof/>
          <w:color w:val="808080"/>
          <w:sz w:val="18"/>
          <w:szCs w:val="18"/>
          <w:u w:color="808080"/>
          <w:lang w:val="pt-PT"/>
        </w:rPr>
        <w:t>A</w:t>
      </w:r>
    </w:p>
    <w:p w:rsidR="00700DFB" w:rsidRPr="004E33A5" w:rsidRDefault="009F7ED2">
      <w:pPr>
        <w:pStyle w:val="Cuerpo"/>
        <w:jc w:val="both"/>
        <w:rPr>
          <w:noProof/>
          <w:lang w:val="pt-PT"/>
        </w:rPr>
      </w:pPr>
      <w:r w:rsidRPr="004E33A5">
        <w:rPr>
          <w:rFonts w:ascii="Arial"/>
          <w:noProof/>
          <w:color w:val="808080"/>
          <w:sz w:val="18"/>
          <w:szCs w:val="18"/>
          <w:u w:color="808080"/>
          <w:lang w:val="pt-PT"/>
        </w:rPr>
        <w:t xml:space="preserve">Tel.: 0034 914 105 167 </w:t>
      </w:r>
      <w:r w:rsidRPr="004E33A5">
        <w:rPr>
          <w:rFonts w:hAnsi="Arial Unicode MS"/>
          <w:noProof/>
          <w:color w:val="808080"/>
          <w:sz w:val="18"/>
          <w:szCs w:val="18"/>
          <w:u w:color="808080"/>
          <w:lang w:val="pt-PT"/>
        </w:rPr>
        <w:t>–</w:t>
      </w:r>
      <w:r w:rsidRPr="004E33A5">
        <w:rPr>
          <w:rFonts w:hAnsi="Arial Unicode MS"/>
          <w:noProof/>
          <w:color w:val="808080"/>
          <w:sz w:val="18"/>
          <w:szCs w:val="18"/>
          <w:u w:color="808080"/>
          <w:lang w:val="pt-PT"/>
        </w:rPr>
        <w:t xml:space="preserve"> </w:t>
      </w:r>
      <w:r w:rsidRPr="004E33A5">
        <w:rPr>
          <w:rFonts w:ascii="Arial"/>
          <w:noProof/>
          <w:color w:val="808080"/>
          <w:sz w:val="18"/>
          <w:szCs w:val="18"/>
          <w:u w:color="808080"/>
          <w:lang w:val="pt-PT"/>
        </w:rPr>
        <w:t>Fax: 0034 914 105 293</w:t>
      </w:r>
    </w:p>
    <w:sectPr w:rsidR="00700DFB" w:rsidRPr="004E33A5" w:rsidSect="00B55317">
      <w:type w:val="continuous"/>
      <w:pgSz w:w="11900" w:h="16840"/>
      <w:pgMar w:top="1417" w:right="1701" w:bottom="1417" w:left="1701" w:header="708" w:footer="3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240" w:rsidRDefault="00365240">
      <w:r>
        <w:separator/>
      </w:r>
    </w:p>
  </w:endnote>
  <w:endnote w:type="continuationSeparator" w:id="0">
    <w:p w:rsidR="00365240" w:rsidRDefault="0036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top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59" w:rsidRDefault="00C37359">
    <w:pPr>
      <w:pStyle w:val="Piedepgina"/>
      <w:tabs>
        <w:tab w:val="clear" w:pos="8504"/>
        <w:tab w:val="right" w:pos="8478"/>
      </w:tabs>
    </w:pPr>
    <w:r>
      <w:rPr>
        <w:lang w:val="pt"/>
      </w:rPr>
      <w:fldChar w:fldCharType="begin"/>
    </w:r>
    <w:r>
      <w:rPr>
        <w:lang w:val="pt"/>
      </w:rPr>
      <w:instrText xml:space="preserve"> PAGE </w:instrText>
    </w:r>
    <w:r>
      <w:rPr>
        <w:lang w:val="pt"/>
      </w:rPr>
      <w:fldChar w:fldCharType="separate"/>
    </w:r>
    <w:r w:rsidR="004E33A5">
      <w:rPr>
        <w:noProof/>
        <w:lang w:val="pt"/>
      </w:rPr>
      <w:t>11</w:t>
    </w:r>
    <w:r>
      <w:rPr>
        <w:lang w:val="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240" w:rsidRDefault="00365240">
      <w:r>
        <w:separator/>
      </w:r>
    </w:p>
  </w:footnote>
  <w:footnote w:type="continuationSeparator" w:id="0">
    <w:p w:rsidR="00365240" w:rsidRDefault="00365240">
      <w:r>
        <w:continuationSeparator/>
      </w:r>
    </w:p>
  </w:footnote>
  <w:footnote w:id="1">
    <w:p w:rsidR="00C37359" w:rsidRPr="004E33A5" w:rsidRDefault="00C37359" w:rsidP="009B7D6D">
      <w:pPr>
        <w:pStyle w:val="Textonotapie"/>
        <w:rPr>
          <w:lang w:val="pt-PT"/>
        </w:rPr>
      </w:pPr>
      <w:r>
        <w:rPr>
          <w:rStyle w:val="Refdenotaalpie"/>
          <w:lang w:val="pt"/>
        </w:rPr>
        <w:t>1</w:t>
      </w:r>
      <w:r>
        <w:rPr>
          <w:rStyle w:val="hps"/>
          <w:sz w:val="16"/>
          <w:lang w:val="pt"/>
        </w:rPr>
        <w:t>Cash Flow livre:</w:t>
      </w:r>
      <w:r>
        <w:rPr>
          <w:lang w:val="pt"/>
        </w:rPr>
        <w:t xml:space="preserve"> </w:t>
      </w:r>
      <w:r>
        <w:rPr>
          <w:rStyle w:val="hps"/>
          <w:sz w:val="16"/>
          <w:lang w:val="pt"/>
        </w:rPr>
        <w:t xml:space="preserve">Fluxo de tesouraria em </w:t>
      </w:r>
      <w:r w:rsidRPr="004E33A5">
        <w:rPr>
          <w:rFonts w:hAnsi="Arial"/>
          <w:sz w:val="16"/>
          <w:szCs w:val="16"/>
          <w:lang w:val="pt"/>
        </w:rPr>
        <w:t>atividades operacionais - fluxo de tesouraria em investimentos</w:t>
      </w:r>
      <w:r>
        <w:rPr>
          <w:sz w:val="16"/>
          <w:lang w:val="pt"/>
        </w:rPr>
        <w:t>.</w:t>
      </w:r>
    </w:p>
    <w:p w:rsidR="00C37359" w:rsidRPr="004E33A5" w:rsidRDefault="00C37359" w:rsidP="00694FB4">
      <w:pPr>
        <w:pStyle w:val="Textonotapie"/>
        <w:rPr>
          <w:rStyle w:val="Refdenotaalpie"/>
          <w:lang w:val="pt-PT"/>
        </w:rPr>
      </w:pPr>
      <w:r>
        <w:rPr>
          <w:rStyle w:val="Refdenotaalpie"/>
          <w:lang w:val="pt"/>
        </w:rPr>
        <w:t>2</w:t>
      </w:r>
      <w:r>
        <w:rPr>
          <w:lang w:val="pt"/>
        </w:rPr>
        <w:t xml:space="preserve"> </w:t>
      </w:r>
      <w:r>
        <w:rPr>
          <w:rStyle w:val="hps"/>
          <w:sz w:val="16"/>
          <w:lang w:val="pt"/>
        </w:rPr>
        <w:t>No final do período.</w:t>
      </w:r>
    </w:p>
  </w:footnote>
  <w:footnote w:id="2">
    <w:p w:rsidR="00C37359" w:rsidRPr="004E33A5" w:rsidRDefault="00C37359">
      <w:pPr>
        <w:pStyle w:val="Textonotapie"/>
        <w:rPr>
          <w:rStyle w:val="Refdenotaalpie"/>
          <w:sz w:val="2"/>
          <w:szCs w:val="2"/>
          <w:lang w:val="pt-PT"/>
        </w:rPr>
      </w:pPr>
    </w:p>
  </w:footnote>
  <w:footnote w:id="3">
    <w:p w:rsidR="00C37359" w:rsidRPr="004E33A5" w:rsidRDefault="00C37359">
      <w:pPr>
        <w:pStyle w:val="Textonotapie"/>
        <w:rPr>
          <w:lang w:val="pt-PT"/>
        </w:rPr>
      </w:pPr>
      <w:r>
        <w:rPr>
          <w:rStyle w:val="Refdenotaalpie"/>
          <w:lang w:val="pt"/>
        </w:rPr>
        <w:footnoteRef/>
      </w:r>
      <w:r>
        <w:rPr>
          <w:lang w:val="pt"/>
        </w:rPr>
        <w:t xml:space="preserve"> </w:t>
      </w:r>
      <w:r>
        <w:rPr>
          <w:rStyle w:val="hps"/>
          <w:sz w:val="16"/>
          <w:lang w:val="pt"/>
        </w:rPr>
        <w:t>Dividendo para 2015 submetido à aprovação da assembleia geral de 13 de maio de 2016.</w:t>
      </w:r>
    </w:p>
  </w:footnote>
  <w:footnote w:id="4">
    <w:p w:rsidR="00C37359" w:rsidRPr="004E33A5" w:rsidRDefault="00C37359" w:rsidP="00671A12">
      <w:pPr>
        <w:pStyle w:val="Textonotapie"/>
        <w:rPr>
          <w:lang w:val="pt-PT"/>
        </w:rPr>
      </w:pPr>
      <w:r>
        <w:rPr>
          <w:rStyle w:val="Refdenotaalpie"/>
          <w:sz w:val="32"/>
          <w:vertAlign w:val="baseline"/>
          <w:lang w:val="pt"/>
        </w:rPr>
        <w:sym w:font="Symbol" w:char="F02A"/>
      </w:r>
      <w:r>
        <w:rPr>
          <w:sz w:val="32"/>
          <w:lang w:val="pt"/>
        </w:rPr>
        <w:t xml:space="preserve"> </w:t>
      </w:r>
      <w:r>
        <w:rPr>
          <w:sz w:val="16"/>
          <w:lang w:val="pt"/>
        </w:rPr>
        <w:t>Incluindo a Turquia.</w:t>
      </w:r>
    </w:p>
  </w:footnote>
  <w:footnote w:id="5">
    <w:p w:rsidR="00C37359" w:rsidRPr="004E33A5" w:rsidRDefault="00C37359" w:rsidP="002D4471">
      <w:pPr>
        <w:pStyle w:val="Textonotapie"/>
        <w:rPr>
          <w:lang w:val="pt-PT"/>
        </w:rPr>
      </w:pPr>
    </w:p>
  </w:footnote>
  <w:footnote w:id="6">
    <w:p w:rsidR="00C37359" w:rsidRPr="004E33A5" w:rsidRDefault="00C37359" w:rsidP="00047721">
      <w:pPr>
        <w:pStyle w:val="Textonotapie"/>
        <w:rPr>
          <w:lang w:val="pt-PT"/>
        </w:rPr>
      </w:pPr>
      <w:r>
        <w:rPr>
          <w:rStyle w:val="Refdenotaalpie"/>
          <w:sz w:val="32"/>
          <w:vertAlign w:val="baseline"/>
          <w:lang w:val="pt"/>
        </w:rPr>
        <w:sym w:font="Symbol" w:char="F02A"/>
      </w:r>
      <w:r>
        <w:rPr>
          <w:sz w:val="32"/>
          <w:lang w:val="pt"/>
        </w:rPr>
        <w:t xml:space="preserve"> </w:t>
      </w:r>
      <w:r>
        <w:rPr>
          <w:sz w:val="16"/>
          <w:lang w:val="pt"/>
        </w:rPr>
        <w:t>Incluindo a Turquia.</w:t>
      </w:r>
    </w:p>
  </w:footnote>
  <w:footnote w:id="7">
    <w:p w:rsidR="00C37359" w:rsidRPr="004E33A5" w:rsidRDefault="00C37359" w:rsidP="0097284C">
      <w:pPr>
        <w:pStyle w:val="Textonotapie"/>
        <w:rPr>
          <w:lang w:val="pt-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59" w:rsidRDefault="00C37359">
    <w:pPr>
      <w:pStyle w:val="Encabezado"/>
      <w:tabs>
        <w:tab w:val="clear" w:pos="8504"/>
        <w:tab w:val="right" w:pos="8478"/>
      </w:tabs>
    </w:pPr>
    <w:r>
      <w:rPr>
        <w:noProof/>
        <w:lang w:val="es-ES"/>
      </w:rPr>
      <w:drawing>
        <wp:anchor distT="152400" distB="152400" distL="152400" distR="152400" simplePos="0" relativeHeight="251658240" behindDoc="1" locked="0" layoutInCell="1" allowOverlap="1">
          <wp:simplePos x="0" y="0"/>
          <wp:positionH relativeFrom="page">
            <wp:posOffset>0</wp:posOffset>
          </wp:positionH>
          <wp:positionV relativeFrom="page">
            <wp:posOffset>9765030</wp:posOffset>
          </wp:positionV>
          <wp:extent cx="7556500" cy="838200"/>
          <wp:effectExtent l="0" t="0" r="0" b="0"/>
          <wp:wrapNone/>
          <wp:docPr id="2" name="officeArt object" descr="michelin"/>
          <wp:cNvGraphicFramePr/>
          <a:graphic xmlns:a="http://schemas.openxmlformats.org/drawingml/2006/main">
            <a:graphicData uri="http://schemas.openxmlformats.org/drawingml/2006/picture">
              <pic:pic xmlns:pic="http://schemas.openxmlformats.org/drawingml/2006/picture">
                <pic:nvPicPr>
                  <pic:cNvPr id="1073741825" name="image1.jpeg" descr="michelin"/>
                  <pic:cNvPicPr/>
                </pic:nvPicPr>
                <pic:blipFill>
                  <a:blip r:embed="rId1">
                    <a:extLst/>
                  </a:blip>
                  <a:stretch>
                    <a:fillRect/>
                  </a:stretch>
                </pic:blipFill>
                <pic:spPr>
                  <a:xfrm>
                    <a:off x="0" y="0"/>
                    <a:ext cx="7556500" cy="838200"/>
                  </a:xfrm>
                  <a:prstGeom prst="rect">
                    <a:avLst/>
                  </a:prstGeom>
                  <a:ln w="12700" cap="flat">
                    <a:noFill/>
                    <a:miter lim="400000"/>
                  </a:ln>
                  <a:effectLst/>
                </pic:spPr>
              </pic:pic>
            </a:graphicData>
          </a:graphic>
        </wp:anchor>
      </w:drawing>
    </w:r>
    <w:r>
      <w:rPr>
        <w:rFonts w:ascii="Times New Roman"/>
        <w:lang w:val="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C6D"/>
    <w:multiLevelType w:val="hybridMultilevel"/>
    <w:tmpl w:val="80D03DF8"/>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FA76C5"/>
    <w:multiLevelType w:val="hybridMultilevel"/>
    <w:tmpl w:val="F7306DA4"/>
    <w:lvl w:ilvl="0" w:tplc="946C9C7E">
      <w:start w:val="1"/>
      <w:numFmt w:val="bullet"/>
      <w:lvlText w:val="o"/>
      <w:lvlJc w:val="left"/>
      <w:pPr>
        <w:ind w:left="1777" w:hanging="360"/>
      </w:pPr>
      <w:rPr>
        <w:rFonts w:ascii="Courier New" w:hAnsi="Courier New" w:hint="default"/>
        <w:sz w:val="24"/>
        <w:szCs w:val="24"/>
      </w:rPr>
    </w:lvl>
    <w:lvl w:ilvl="1" w:tplc="0C0A0003">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15:restartNumberingAfterBreak="0">
    <w:nsid w:val="07464670"/>
    <w:multiLevelType w:val="multilevel"/>
    <w:tmpl w:val="D9089278"/>
    <w:styleLink w:val="Lista51"/>
    <w:lvl w:ilvl="0">
      <w:numFmt w:val="bullet"/>
      <w:lvlText w:val="▪"/>
      <w:lvlJc w:val="left"/>
      <w:pPr>
        <w:tabs>
          <w:tab w:val="num" w:pos="291"/>
        </w:tabs>
        <w:ind w:left="291" w:hanging="291"/>
      </w:pPr>
      <w:rPr>
        <w:rFonts w:ascii="Arial" w:eastAsia="Arial" w:hAnsi="Arial" w:cs="Arial"/>
        <w:position w:val="0"/>
        <w:sz w:val="26"/>
        <w:szCs w:val="26"/>
        <w:rtl w:val="0"/>
        <w:lang w:val="es-ES_tradnl"/>
      </w:rPr>
    </w:lvl>
    <w:lvl w:ilvl="1">
      <w:start w:val="1"/>
      <w:numFmt w:val="bullet"/>
      <w:lvlText w:val="o"/>
      <w:lvlJc w:val="left"/>
      <w:pPr>
        <w:tabs>
          <w:tab w:val="num" w:pos="1035"/>
        </w:tabs>
        <w:ind w:left="1035" w:hanging="315"/>
      </w:pPr>
      <w:rPr>
        <w:rFonts w:ascii="Arial" w:eastAsia="Arial" w:hAnsi="Arial" w:cs="Arial"/>
        <w:position w:val="0"/>
        <w:sz w:val="21"/>
        <w:szCs w:val="21"/>
        <w:rtl w:val="0"/>
        <w:lang w:val="es-ES_tradnl"/>
      </w:rPr>
    </w:lvl>
    <w:lvl w:ilvl="2">
      <w:start w:val="1"/>
      <w:numFmt w:val="bullet"/>
      <w:lvlText w:val="▪"/>
      <w:lvlJc w:val="left"/>
      <w:pPr>
        <w:tabs>
          <w:tab w:val="num" w:pos="1755"/>
        </w:tabs>
        <w:ind w:left="1755" w:hanging="315"/>
      </w:pPr>
      <w:rPr>
        <w:rFonts w:ascii="Arial" w:eastAsia="Arial" w:hAnsi="Arial" w:cs="Arial"/>
        <w:position w:val="0"/>
        <w:sz w:val="21"/>
        <w:szCs w:val="21"/>
        <w:rtl w:val="0"/>
        <w:lang w:val="es-ES_tradnl"/>
      </w:rPr>
    </w:lvl>
    <w:lvl w:ilvl="3">
      <w:start w:val="1"/>
      <w:numFmt w:val="bullet"/>
      <w:lvlText w:val="•"/>
      <w:lvlJc w:val="left"/>
      <w:pPr>
        <w:tabs>
          <w:tab w:val="num" w:pos="2475"/>
        </w:tabs>
        <w:ind w:left="2475" w:hanging="315"/>
      </w:pPr>
      <w:rPr>
        <w:rFonts w:ascii="Arial" w:eastAsia="Arial" w:hAnsi="Arial" w:cs="Arial"/>
        <w:position w:val="0"/>
        <w:sz w:val="21"/>
        <w:szCs w:val="21"/>
        <w:rtl w:val="0"/>
        <w:lang w:val="es-ES_tradnl"/>
      </w:rPr>
    </w:lvl>
    <w:lvl w:ilvl="4">
      <w:start w:val="1"/>
      <w:numFmt w:val="bullet"/>
      <w:lvlText w:val="o"/>
      <w:lvlJc w:val="left"/>
      <w:pPr>
        <w:tabs>
          <w:tab w:val="num" w:pos="3195"/>
        </w:tabs>
        <w:ind w:left="3195" w:hanging="315"/>
      </w:pPr>
      <w:rPr>
        <w:rFonts w:ascii="Arial" w:eastAsia="Arial" w:hAnsi="Arial" w:cs="Arial"/>
        <w:position w:val="0"/>
        <w:sz w:val="21"/>
        <w:szCs w:val="21"/>
        <w:rtl w:val="0"/>
        <w:lang w:val="es-ES_tradnl"/>
      </w:rPr>
    </w:lvl>
    <w:lvl w:ilvl="5">
      <w:start w:val="1"/>
      <w:numFmt w:val="bullet"/>
      <w:lvlText w:val="▪"/>
      <w:lvlJc w:val="left"/>
      <w:pPr>
        <w:tabs>
          <w:tab w:val="num" w:pos="3915"/>
        </w:tabs>
        <w:ind w:left="3915" w:hanging="315"/>
      </w:pPr>
      <w:rPr>
        <w:rFonts w:ascii="Arial" w:eastAsia="Arial" w:hAnsi="Arial" w:cs="Arial"/>
        <w:position w:val="0"/>
        <w:sz w:val="21"/>
        <w:szCs w:val="21"/>
        <w:rtl w:val="0"/>
        <w:lang w:val="es-ES_tradnl"/>
      </w:rPr>
    </w:lvl>
    <w:lvl w:ilvl="6">
      <w:start w:val="1"/>
      <w:numFmt w:val="bullet"/>
      <w:lvlText w:val="•"/>
      <w:lvlJc w:val="left"/>
      <w:pPr>
        <w:tabs>
          <w:tab w:val="num" w:pos="4635"/>
        </w:tabs>
        <w:ind w:left="4635" w:hanging="315"/>
      </w:pPr>
      <w:rPr>
        <w:rFonts w:ascii="Arial" w:eastAsia="Arial" w:hAnsi="Arial" w:cs="Arial"/>
        <w:position w:val="0"/>
        <w:sz w:val="21"/>
        <w:szCs w:val="21"/>
        <w:rtl w:val="0"/>
        <w:lang w:val="es-ES_tradnl"/>
      </w:rPr>
    </w:lvl>
    <w:lvl w:ilvl="7">
      <w:start w:val="1"/>
      <w:numFmt w:val="bullet"/>
      <w:lvlText w:val="o"/>
      <w:lvlJc w:val="left"/>
      <w:pPr>
        <w:tabs>
          <w:tab w:val="num" w:pos="5355"/>
        </w:tabs>
        <w:ind w:left="5355" w:hanging="315"/>
      </w:pPr>
      <w:rPr>
        <w:rFonts w:ascii="Arial" w:eastAsia="Arial" w:hAnsi="Arial" w:cs="Arial"/>
        <w:position w:val="0"/>
        <w:sz w:val="21"/>
        <w:szCs w:val="21"/>
        <w:rtl w:val="0"/>
        <w:lang w:val="es-ES_tradnl"/>
      </w:rPr>
    </w:lvl>
    <w:lvl w:ilvl="8">
      <w:start w:val="1"/>
      <w:numFmt w:val="bullet"/>
      <w:lvlText w:val="▪"/>
      <w:lvlJc w:val="left"/>
      <w:pPr>
        <w:tabs>
          <w:tab w:val="num" w:pos="6075"/>
        </w:tabs>
        <w:ind w:left="6075" w:hanging="315"/>
      </w:pPr>
      <w:rPr>
        <w:rFonts w:ascii="Arial" w:eastAsia="Arial" w:hAnsi="Arial" w:cs="Arial"/>
        <w:position w:val="0"/>
        <w:sz w:val="21"/>
        <w:szCs w:val="21"/>
        <w:rtl w:val="0"/>
        <w:lang w:val="es-ES_tradnl"/>
      </w:rPr>
    </w:lvl>
  </w:abstractNum>
  <w:abstractNum w:abstractNumId="3" w15:restartNumberingAfterBreak="0">
    <w:nsid w:val="07E515B0"/>
    <w:multiLevelType w:val="hybridMultilevel"/>
    <w:tmpl w:val="9B00B446"/>
    <w:lvl w:ilvl="0" w:tplc="04090005">
      <w:start w:val="1"/>
      <w:numFmt w:val="bullet"/>
      <w:lvlText w:val=""/>
      <w:lvlJc w:val="left"/>
      <w:pPr>
        <w:ind w:left="782" w:hanging="360"/>
      </w:pPr>
      <w:rPr>
        <w:rFonts w:ascii="Wingdings" w:hAnsi="Wingdings" w:hint="default"/>
      </w:rPr>
    </w:lvl>
    <w:lvl w:ilvl="1" w:tplc="04090003" w:tentative="1">
      <w:start w:val="1"/>
      <w:numFmt w:val="bullet"/>
      <w:lvlText w:val="o"/>
      <w:lvlJc w:val="left"/>
      <w:pPr>
        <w:ind w:left="1502" w:hanging="360"/>
      </w:pPr>
      <w:rPr>
        <w:rFonts w:ascii="Courier New" w:hAnsi="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4" w15:restartNumberingAfterBreak="0">
    <w:nsid w:val="16DE771B"/>
    <w:multiLevelType w:val="hybridMultilevel"/>
    <w:tmpl w:val="54ACC20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9B32C5B"/>
    <w:multiLevelType w:val="multilevel"/>
    <w:tmpl w:val="B2F8859A"/>
    <w:styleLink w:val="List1"/>
    <w:lvl w:ilvl="0">
      <w:start w:val="1"/>
      <w:numFmt w:val="bullet"/>
      <w:lvlText w:val="▪"/>
      <w:lvlJc w:val="left"/>
      <w:pPr>
        <w:tabs>
          <w:tab w:val="num" w:pos="375"/>
        </w:tabs>
        <w:ind w:left="375" w:hanging="375"/>
      </w:pPr>
      <w:rPr>
        <w:rFonts w:ascii="Times" w:eastAsia="Times" w:hAnsi="Times" w:cs="Times"/>
        <w:b/>
        <w:bCs/>
        <w:i/>
        <w:iCs/>
        <w:position w:val="0"/>
        <w:sz w:val="25"/>
        <w:szCs w:val="25"/>
      </w:rPr>
    </w:lvl>
    <w:lvl w:ilvl="1">
      <w:numFmt w:val="bullet"/>
      <w:lvlText w:val="o"/>
      <w:lvlJc w:val="left"/>
      <w:pPr>
        <w:tabs>
          <w:tab w:val="num" w:pos="851"/>
        </w:tabs>
        <w:ind w:left="851" w:hanging="131"/>
      </w:pPr>
      <w:rPr>
        <w:rFonts w:ascii="Times New Roman" w:eastAsia="Times New Roman" w:hAnsi="Times New Roman" w:cs="Times New Roman"/>
        <w:b/>
        <w:bCs/>
        <w:i/>
        <w:iCs/>
        <w:position w:val="0"/>
        <w:sz w:val="24"/>
        <w:szCs w:val="24"/>
      </w:rPr>
    </w:lvl>
    <w:lvl w:ilvl="2">
      <w:start w:val="1"/>
      <w:numFmt w:val="bullet"/>
      <w:lvlText w:val="▪"/>
      <w:lvlJc w:val="left"/>
      <w:pPr>
        <w:tabs>
          <w:tab w:val="num" w:pos="1815"/>
        </w:tabs>
        <w:ind w:left="1815" w:hanging="375"/>
      </w:pPr>
      <w:rPr>
        <w:rFonts w:ascii="Times" w:eastAsia="Times" w:hAnsi="Times" w:cs="Times"/>
        <w:b/>
        <w:bCs/>
        <w:i/>
        <w:iCs/>
        <w:position w:val="0"/>
        <w:sz w:val="25"/>
        <w:szCs w:val="25"/>
      </w:rPr>
    </w:lvl>
    <w:lvl w:ilvl="3">
      <w:start w:val="1"/>
      <w:numFmt w:val="bullet"/>
      <w:lvlText w:val="•"/>
      <w:lvlJc w:val="left"/>
      <w:pPr>
        <w:tabs>
          <w:tab w:val="num" w:pos="2535"/>
        </w:tabs>
        <w:ind w:left="2535" w:hanging="375"/>
      </w:pPr>
      <w:rPr>
        <w:rFonts w:ascii="Times" w:eastAsia="Times" w:hAnsi="Times" w:cs="Times"/>
        <w:b/>
        <w:bCs/>
        <w:i/>
        <w:iCs/>
        <w:position w:val="0"/>
        <w:sz w:val="25"/>
        <w:szCs w:val="25"/>
      </w:rPr>
    </w:lvl>
    <w:lvl w:ilvl="4">
      <w:start w:val="1"/>
      <w:numFmt w:val="bullet"/>
      <w:lvlText w:val="o"/>
      <w:lvlJc w:val="left"/>
      <w:pPr>
        <w:tabs>
          <w:tab w:val="num" w:pos="3255"/>
        </w:tabs>
        <w:ind w:left="3255" w:hanging="375"/>
      </w:pPr>
      <w:rPr>
        <w:rFonts w:ascii="Times" w:eastAsia="Times" w:hAnsi="Times" w:cs="Times"/>
        <w:b/>
        <w:bCs/>
        <w:i/>
        <w:iCs/>
        <w:position w:val="0"/>
        <w:sz w:val="25"/>
        <w:szCs w:val="25"/>
      </w:rPr>
    </w:lvl>
    <w:lvl w:ilvl="5">
      <w:start w:val="1"/>
      <w:numFmt w:val="bullet"/>
      <w:lvlText w:val="▪"/>
      <w:lvlJc w:val="left"/>
      <w:pPr>
        <w:tabs>
          <w:tab w:val="num" w:pos="3975"/>
        </w:tabs>
        <w:ind w:left="3975" w:hanging="375"/>
      </w:pPr>
      <w:rPr>
        <w:rFonts w:ascii="Times" w:eastAsia="Times" w:hAnsi="Times" w:cs="Times"/>
        <w:b/>
        <w:bCs/>
        <w:i/>
        <w:iCs/>
        <w:position w:val="0"/>
        <w:sz w:val="25"/>
        <w:szCs w:val="25"/>
      </w:rPr>
    </w:lvl>
    <w:lvl w:ilvl="6">
      <w:start w:val="1"/>
      <w:numFmt w:val="bullet"/>
      <w:lvlText w:val="•"/>
      <w:lvlJc w:val="left"/>
      <w:pPr>
        <w:tabs>
          <w:tab w:val="num" w:pos="4695"/>
        </w:tabs>
        <w:ind w:left="4695" w:hanging="375"/>
      </w:pPr>
      <w:rPr>
        <w:rFonts w:ascii="Times" w:eastAsia="Times" w:hAnsi="Times" w:cs="Times"/>
        <w:b/>
        <w:bCs/>
        <w:i/>
        <w:iCs/>
        <w:position w:val="0"/>
        <w:sz w:val="25"/>
        <w:szCs w:val="25"/>
      </w:rPr>
    </w:lvl>
    <w:lvl w:ilvl="7">
      <w:start w:val="1"/>
      <w:numFmt w:val="bullet"/>
      <w:lvlText w:val="o"/>
      <w:lvlJc w:val="left"/>
      <w:pPr>
        <w:tabs>
          <w:tab w:val="num" w:pos="5415"/>
        </w:tabs>
        <w:ind w:left="5415" w:hanging="375"/>
      </w:pPr>
      <w:rPr>
        <w:rFonts w:ascii="Times" w:eastAsia="Times" w:hAnsi="Times" w:cs="Times"/>
        <w:b/>
        <w:bCs/>
        <w:i/>
        <w:iCs/>
        <w:position w:val="0"/>
        <w:sz w:val="25"/>
        <w:szCs w:val="25"/>
      </w:rPr>
    </w:lvl>
    <w:lvl w:ilvl="8">
      <w:start w:val="1"/>
      <w:numFmt w:val="bullet"/>
      <w:lvlText w:val="▪"/>
      <w:lvlJc w:val="left"/>
      <w:pPr>
        <w:tabs>
          <w:tab w:val="num" w:pos="6135"/>
        </w:tabs>
        <w:ind w:left="6135" w:hanging="375"/>
      </w:pPr>
      <w:rPr>
        <w:rFonts w:ascii="Times" w:eastAsia="Times" w:hAnsi="Times" w:cs="Times"/>
        <w:b/>
        <w:bCs/>
        <w:i/>
        <w:iCs/>
        <w:position w:val="0"/>
        <w:sz w:val="25"/>
        <w:szCs w:val="25"/>
      </w:rPr>
    </w:lvl>
  </w:abstractNum>
  <w:abstractNum w:abstractNumId="6" w15:restartNumberingAfterBreak="0">
    <w:nsid w:val="1AE4552B"/>
    <w:multiLevelType w:val="multilevel"/>
    <w:tmpl w:val="21CAC65C"/>
    <w:styleLink w:val="List6"/>
    <w:lvl w:ilvl="0">
      <w:numFmt w:val="bullet"/>
      <w:lvlText w:val="➢"/>
      <w:lvlJc w:val="left"/>
      <w:pPr>
        <w:tabs>
          <w:tab w:val="num" w:pos="1080"/>
        </w:tabs>
        <w:ind w:left="1080" w:hanging="360"/>
      </w:pPr>
      <w:rPr>
        <w:rFonts w:ascii="Arial" w:eastAsia="Arial" w:hAnsi="Arial" w:cs="Arial"/>
        <w:b/>
        <w:bCs/>
        <w:position w:val="0"/>
        <w:sz w:val="24"/>
        <w:szCs w:val="24"/>
      </w:rPr>
    </w:lvl>
    <w:lvl w:ilvl="1">
      <w:start w:val="1"/>
      <w:numFmt w:val="bullet"/>
      <w:lvlText w:val="o"/>
      <w:lvlJc w:val="left"/>
      <w:pPr>
        <w:tabs>
          <w:tab w:val="num" w:pos="1755"/>
        </w:tabs>
        <w:ind w:left="1755" w:hanging="315"/>
      </w:pPr>
      <w:rPr>
        <w:rFonts w:ascii="Arial" w:eastAsia="Arial" w:hAnsi="Arial" w:cs="Arial"/>
        <w:b/>
        <w:bCs/>
        <w:position w:val="0"/>
        <w:sz w:val="21"/>
        <w:szCs w:val="21"/>
      </w:rPr>
    </w:lvl>
    <w:lvl w:ilvl="2">
      <w:start w:val="1"/>
      <w:numFmt w:val="bullet"/>
      <w:lvlText w:val="▪"/>
      <w:lvlJc w:val="left"/>
      <w:pPr>
        <w:tabs>
          <w:tab w:val="num" w:pos="2475"/>
        </w:tabs>
        <w:ind w:left="2475" w:hanging="315"/>
      </w:pPr>
      <w:rPr>
        <w:rFonts w:ascii="Arial" w:eastAsia="Arial" w:hAnsi="Arial" w:cs="Arial"/>
        <w:b/>
        <w:bCs/>
        <w:position w:val="0"/>
        <w:sz w:val="21"/>
        <w:szCs w:val="21"/>
      </w:rPr>
    </w:lvl>
    <w:lvl w:ilvl="3">
      <w:start w:val="1"/>
      <w:numFmt w:val="bullet"/>
      <w:lvlText w:val="•"/>
      <w:lvlJc w:val="left"/>
      <w:pPr>
        <w:tabs>
          <w:tab w:val="num" w:pos="3195"/>
        </w:tabs>
        <w:ind w:left="3195" w:hanging="315"/>
      </w:pPr>
      <w:rPr>
        <w:rFonts w:ascii="Arial" w:eastAsia="Arial" w:hAnsi="Arial" w:cs="Arial"/>
        <w:b/>
        <w:bCs/>
        <w:position w:val="0"/>
        <w:sz w:val="21"/>
        <w:szCs w:val="21"/>
      </w:rPr>
    </w:lvl>
    <w:lvl w:ilvl="4">
      <w:start w:val="1"/>
      <w:numFmt w:val="bullet"/>
      <w:lvlText w:val="o"/>
      <w:lvlJc w:val="left"/>
      <w:pPr>
        <w:tabs>
          <w:tab w:val="num" w:pos="3915"/>
        </w:tabs>
        <w:ind w:left="3915" w:hanging="315"/>
      </w:pPr>
      <w:rPr>
        <w:rFonts w:ascii="Arial" w:eastAsia="Arial" w:hAnsi="Arial" w:cs="Arial"/>
        <w:b/>
        <w:bCs/>
        <w:position w:val="0"/>
        <w:sz w:val="21"/>
        <w:szCs w:val="21"/>
      </w:rPr>
    </w:lvl>
    <w:lvl w:ilvl="5">
      <w:start w:val="1"/>
      <w:numFmt w:val="bullet"/>
      <w:lvlText w:val="▪"/>
      <w:lvlJc w:val="left"/>
      <w:pPr>
        <w:tabs>
          <w:tab w:val="num" w:pos="4635"/>
        </w:tabs>
        <w:ind w:left="4635" w:hanging="315"/>
      </w:pPr>
      <w:rPr>
        <w:rFonts w:ascii="Arial" w:eastAsia="Arial" w:hAnsi="Arial" w:cs="Arial"/>
        <w:b/>
        <w:bCs/>
        <w:position w:val="0"/>
        <w:sz w:val="21"/>
        <w:szCs w:val="21"/>
      </w:rPr>
    </w:lvl>
    <w:lvl w:ilvl="6">
      <w:start w:val="1"/>
      <w:numFmt w:val="bullet"/>
      <w:lvlText w:val="•"/>
      <w:lvlJc w:val="left"/>
      <w:pPr>
        <w:tabs>
          <w:tab w:val="num" w:pos="5355"/>
        </w:tabs>
        <w:ind w:left="5355" w:hanging="315"/>
      </w:pPr>
      <w:rPr>
        <w:rFonts w:ascii="Arial" w:eastAsia="Arial" w:hAnsi="Arial" w:cs="Arial"/>
        <w:b/>
        <w:bCs/>
        <w:position w:val="0"/>
        <w:sz w:val="21"/>
        <w:szCs w:val="21"/>
      </w:rPr>
    </w:lvl>
    <w:lvl w:ilvl="7">
      <w:start w:val="1"/>
      <w:numFmt w:val="bullet"/>
      <w:lvlText w:val="o"/>
      <w:lvlJc w:val="left"/>
      <w:pPr>
        <w:tabs>
          <w:tab w:val="num" w:pos="6075"/>
        </w:tabs>
        <w:ind w:left="6075" w:hanging="315"/>
      </w:pPr>
      <w:rPr>
        <w:rFonts w:ascii="Arial" w:eastAsia="Arial" w:hAnsi="Arial" w:cs="Arial"/>
        <w:b/>
        <w:bCs/>
        <w:position w:val="0"/>
        <w:sz w:val="21"/>
        <w:szCs w:val="21"/>
      </w:rPr>
    </w:lvl>
    <w:lvl w:ilvl="8">
      <w:start w:val="1"/>
      <w:numFmt w:val="bullet"/>
      <w:lvlText w:val="▪"/>
      <w:lvlJc w:val="left"/>
      <w:pPr>
        <w:tabs>
          <w:tab w:val="num" w:pos="6795"/>
        </w:tabs>
        <w:ind w:left="6795" w:hanging="315"/>
      </w:pPr>
      <w:rPr>
        <w:rFonts w:ascii="Arial" w:eastAsia="Arial" w:hAnsi="Arial" w:cs="Arial"/>
        <w:b/>
        <w:bCs/>
        <w:position w:val="0"/>
        <w:sz w:val="21"/>
        <w:szCs w:val="21"/>
      </w:rPr>
    </w:lvl>
  </w:abstractNum>
  <w:abstractNum w:abstractNumId="7" w15:restartNumberingAfterBreak="0">
    <w:nsid w:val="1C77403B"/>
    <w:multiLevelType w:val="multilevel"/>
    <w:tmpl w:val="99362DBA"/>
    <w:lvl w:ilvl="0">
      <w:numFmt w:val="bullet"/>
      <w:lvlText w:val="▪"/>
      <w:lvlJc w:val="left"/>
      <w:pPr>
        <w:tabs>
          <w:tab w:val="num" w:pos="360"/>
        </w:tabs>
        <w:ind w:left="360" w:hanging="360"/>
      </w:pPr>
      <w:rPr>
        <w:rFonts w:ascii="Arial" w:eastAsia="Arial" w:hAnsi="Arial" w:cs="Arial"/>
        <w:b/>
        <w:bCs/>
        <w:position w:val="0"/>
        <w:sz w:val="24"/>
        <w:szCs w:val="24"/>
      </w:rPr>
    </w:lvl>
    <w:lvl w:ilvl="1">
      <w:start w:val="1"/>
      <w:numFmt w:val="bullet"/>
      <w:lvlText w:val="o"/>
      <w:lvlJc w:val="left"/>
      <w:pPr>
        <w:tabs>
          <w:tab w:val="num" w:pos="1035"/>
        </w:tabs>
        <w:ind w:left="1035" w:hanging="315"/>
      </w:pPr>
      <w:rPr>
        <w:rFonts w:ascii="Arial" w:eastAsia="Arial" w:hAnsi="Arial" w:cs="Arial"/>
        <w:b/>
        <w:bCs/>
        <w:position w:val="0"/>
        <w:sz w:val="21"/>
        <w:szCs w:val="21"/>
      </w:rPr>
    </w:lvl>
    <w:lvl w:ilvl="2">
      <w:start w:val="1"/>
      <w:numFmt w:val="bullet"/>
      <w:lvlText w:val="▪"/>
      <w:lvlJc w:val="left"/>
      <w:pPr>
        <w:tabs>
          <w:tab w:val="num" w:pos="1755"/>
        </w:tabs>
        <w:ind w:left="1755" w:hanging="315"/>
      </w:pPr>
      <w:rPr>
        <w:rFonts w:ascii="Arial" w:eastAsia="Arial" w:hAnsi="Arial" w:cs="Arial"/>
        <w:b/>
        <w:bCs/>
        <w:position w:val="0"/>
        <w:sz w:val="21"/>
        <w:szCs w:val="21"/>
      </w:rPr>
    </w:lvl>
    <w:lvl w:ilvl="3">
      <w:start w:val="1"/>
      <w:numFmt w:val="bullet"/>
      <w:lvlText w:val="•"/>
      <w:lvlJc w:val="left"/>
      <w:pPr>
        <w:tabs>
          <w:tab w:val="num" w:pos="2475"/>
        </w:tabs>
        <w:ind w:left="2475" w:hanging="315"/>
      </w:pPr>
      <w:rPr>
        <w:rFonts w:ascii="Arial" w:eastAsia="Arial" w:hAnsi="Arial" w:cs="Arial"/>
        <w:b/>
        <w:bCs/>
        <w:position w:val="0"/>
        <w:sz w:val="21"/>
        <w:szCs w:val="21"/>
      </w:rPr>
    </w:lvl>
    <w:lvl w:ilvl="4">
      <w:start w:val="1"/>
      <w:numFmt w:val="bullet"/>
      <w:lvlText w:val="o"/>
      <w:lvlJc w:val="left"/>
      <w:pPr>
        <w:tabs>
          <w:tab w:val="num" w:pos="3195"/>
        </w:tabs>
        <w:ind w:left="3195" w:hanging="315"/>
      </w:pPr>
      <w:rPr>
        <w:rFonts w:ascii="Arial" w:eastAsia="Arial" w:hAnsi="Arial" w:cs="Arial"/>
        <w:b/>
        <w:bCs/>
        <w:position w:val="0"/>
        <w:sz w:val="21"/>
        <w:szCs w:val="21"/>
      </w:rPr>
    </w:lvl>
    <w:lvl w:ilvl="5">
      <w:start w:val="1"/>
      <w:numFmt w:val="bullet"/>
      <w:lvlText w:val="▪"/>
      <w:lvlJc w:val="left"/>
      <w:pPr>
        <w:tabs>
          <w:tab w:val="num" w:pos="3915"/>
        </w:tabs>
        <w:ind w:left="3915" w:hanging="315"/>
      </w:pPr>
      <w:rPr>
        <w:rFonts w:ascii="Arial" w:eastAsia="Arial" w:hAnsi="Arial" w:cs="Arial"/>
        <w:b/>
        <w:bCs/>
        <w:position w:val="0"/>
        <w:sz w:val="21"/>
        <w:szCs w:val="21"/>
      </w:rPr>
    </w:lvl>
    <w:lvl w:ilvl="6">
      <w:start w:val="1"/>
      <w:numFmt w:val="bullet"/>
      <w:lvlText w:val="•"/>
      <w:lvlJc w:val="left"/>
      <w:pPr>
        <w:tabs>
          <w:tab w:val="num" w:pos="4635"/>
        </w:tabs>
        <w:ind w:left="4635" w:hanging="315"/>
      </w:pPr>
      <w:rPr>
        <w:rFonts w:ascii="Arial" w:eastAsia="Arial" w:hAnsi="Arial" w:cs="Arial"/>
        <w:b/>
        <w:bCs/>
        <w:position w:val="0"/>
        <w:sz w:val="21"/>
        <w:szCs w:val="21"/>
      </w:rPr>
    </w:lvl>
    <w:lvl w:ilvl="7">
      <w:start w:val="1"/>
      <w:numFmt w:val="bullet"/>
      <w:lvlText w:val="o"/>
      <w:lvlJc w:val="left"/>
      <w:pPr>
        <w:tabs>
          <w:tab w:val="num" w:pos="5355"/>
        </w:tabs>
        <w:ind w:left="5355" w:hanging="315"/>
      </w:pPr>
      <w:rPr>
        <w:rFonts w:ascii="Arial" w:eastAsia="Arial" w:hAnsi="Arial" w:cs="Arial"/>
        <w:b/>
        <w:bCs/>
        <w:position w:val="0"/>
        <w:sz w:val="21"/>
        <w:szCs w:val="21"/>
      </w:rPr>
    </w:lvl>
    <w:lvl w:ilvl="8">
      <w:start w:val="1"/>
      <w:numFmt w:val="bullet"/>
      <w:lvlText w:val="▪"/>
      <w:lvlJc w:val="left"/>
      <w:pPr>
        <w:tabs>
          <w:tab w:val="num" w:pos="6075"/>
        </w:tabs>
        <w:ind w:left="6075" w:hanging="315"/>
      </w:pPr>
      <w:rPr>
        <w:rFonts w:ascii="Arial" w:eastAsia="Arial" w:hAnsi="Arial" w:cs="Arial"/>
        <w:b/>
        <w:bCs/>
        <w:position w:val="0"/>
        <w:sz w:val="21"/>
        <w:szCs w:val="21"/>
      </w:rPr>
    </w:lvl>
  </w:abstractNum>
  <w:abstractNum w:abstractNumId="8" w15:restartNumberingAfterBreak="0">
    <w:nsid w:val="23064DCB"/>
    <w:multiLevelType w:val="hybridMultilevel"/>
    <w:tmpl w:val="768EC0C2"/>
    <w:lvl w:ilvl="0" w:tplc="0C0A0003">
      <w:start w:val="1"/>
      <w:numFmt w:val="bullet"/>
      <w:lvlText w:val="o"/>
      <w:lvlJc w:val="left"/>
      <w:pPr>
        <w:ind w:left="1571" w:hanging="360"/>
      </w:pPr>
      <w:rPr>
        <w:rFonts w:ascii="Courier New" w:hAnsi="Courier New" w:cs="Courier New" w:hint="default"/>
      </w:rPr>
    </w:lvl>
    <w:lvl w:ilvl="1" w:tplc="0C0A0003">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9" w15:restartNumberingAfterBreak="0">
    <w:nsid w:val="23FC2E1D"/>
    <w:multiLevelType w:val="multilevel"/>
    <w:tmpl w:val="77E070FC"/>
    <w:lvl w:ilvl="0">
      <w:numFmt w:val="bullet"/>
      <w:lvlText w:val="▪"/>
      <w:lvlJc w:val="left"/>
      <w:pPr>
        <w:tabs>
          <w:tab w:val="num" w:pos="360"/>
        </w:tabs>
        <w:ind w:left="360" w:hanging="360"/>
      </w:pPr>
      <w:rPr>
        <w:rFonts w:ascii="Times New Roman" w:eastAsia="Times New Roman" w:hAnsi="Times New Roman" w:cs="Times New Roman"/>
        <w:b/>
        <w:bCs/>
        <w:i/>
        <w:iCs/>
        <w:position w:val="0"/>
        <w:sz w:val="24"/>
        <w:szCs w:val="24"/>
      </w:rPr>
    </w:lvl>
    <w:lvl w:ilvl="1">
      <w:start w:val="1"/>
      <w:numFmt w:val="bullet"/>
      <w:lvlText w:val="o"/>
      <w:lvlJc w:val="left"/>
      <w:pPr>
        <w:tabs>
          <w:tab w:val="num" w:pos="1095"/>
        </w:tabs>
        <w:ind w:left="1095" w:hanging="375"/>
      </w:pPr>
      <w:rPr>
        <w:rFonts w:ascii="Times" w:eastAsia="Times" w:hAnsi="Times" w:cs="Times"/>
        <w:b/>
        <w:bCs/>
        <w:i/>
        <w:iCs/>
        <w:position w:val="0"/>
        <w:sz w:val="25"/>
        <w:szCs w:val="25"/>
      </w:rPr>
    </w:lvl>
    <w:lvl w:ilvl="2">
      <w:start w:val="1"/>
      <w:numFmt w:val="bullet"/>
      <w:lvlText w:val="▪"/>
      <w:lvlJc w:val="left"/>
      <w:pPr>
        <w:tabs>
          <w:tab w:val="num" w:pos="1815"/>
        </w:tabs>
        <w:ind w:left="1815" w:hanging="375"/>
      </w:pPr>
      <w:rPr>
        <w:rFonts w:ascii="Times" w:eastAsia="Times" w:hAnsi="Times" w:cs="Times"/>
        <w:b/>
        <w:bCs/>
        <w:i/>
        <w:iCs/>
        <w:position w:val="0"/>
        <w:sz w:val="25"/>
        <w:szCs w:val="25"/>
      </w:rPr>
    </w:lvl>
    <w:lvl w:ilvl="3">
      <w:start w:val="1"/>
      <w:numFmt w:val="bullet"/>
      <w:lvlText w:val="•"/>
      <w:lvlJc w:val="left"/>
      <w:pPr>
        <w:tabs>
          <w:tab w:val="num" w:pos="2535"/>
        </w:tabs>
        <w:ind w:left="2535" w:hanging="375"/>
      </w:pPr>
      <w:rPr>
        <w:rFonts w:ascii="Times" w:eastAsia="Times" w:hAnsi="Times" w:cs="Times"/>
        <w:b/>
        <w:bCs/>
        <w:i/>
        <w:iCs/>
        <w:position w:val="0"/>
        <w:sz w:val="25"/>
        <w:szCs w:val="25"/>
      </w:rPr>
    </w:lvl>
    <w:lvl w:ilvl="4">
      <w:start w:val="1"/>
      <w:numFmt w:val="bullet"/>
      <w:lvlText w:val="o"/>
      <w:lvlJc w:val="left"/>
      <w:pPr>
        <w:tabs>
          <w:tab w:val="num" w:pos="3255"/>
        </w:tabs>
        <w:ind w:left="3255" w:hanging="375"/>
      </w:pPr>
      <w:rPr>
        <w:rFonts w:ascii="Times" w:eastAsia="Times" w:hAnsi="Times" w:cs="Times"/>
        <w:b/>
        <w:bCs/>
        <w:i/>
        <w:iCs/>
        <w:position w:val="0"/>
        <w:sz w:val="25"/>
        <w:szCs w:val="25"/>
      </w:rPr>
    </w:lvl>
    <w:lvl w:ilvl="5">
      <w:start w:val="1"/>
      <w:numFmt w:val="bullet"/>
      <w:lvlText w:val="▪"/>
      <w:lvlJc w:val="left"/>
      <w:pPr>
        <w:tabs>
          <w:tab w:val="num" w:pos="3975"/>
        </w:tabs>
        <w:ind w:left="3975" w:hanging="375"/>
      </w:pPr>
      <w:rPr>
        <w:rFonts w:ascii="Times" w:eastAsia="Times" w:hAnsi="Times" w:cs="Times"/>
        <w:b/>
        <w:bCs/>
        <w:i/>
        <w:iCs/>
        <w:position w:val="0"/>
        <w:sz w:val="25"/>
        <w:szCs w:val="25"/>
      </w:rPr>
    </w:lvl>
    <w:lvl w:ilvl="6">
      <w:start w:val="1"/>
      <w:numFmt w:val="bullet"/>
      <w:lvlText w:val="•"/>
      <w:lvlJc w:val="left"/>
      <w:pPr>
        <w:tabs>
          <w:tab w:val="num" w:pos="4695"/>
        </w:tabs>
        <w:ind w:left="4695" w:hanging="375"/>
      </w:pPr>
      <w:rPr>
        <w:rFonts w:ascii="Times" w:eastAsia="Times" w:hAnsi="Times" w:cs="Times"/>
        <w:b/>
        <w:bCs/>
        <w:i/>
        <w:iCs/>
        <w:position w:val="0"/>
        <w:sz w:val="25"/>
        <w:szCs w:val="25"/>
      </w:rPr>
    </w:lvl>
    <w:lvl w:ilvl="7">
      <w:start w:val="1"/>
      <w:numFmt w:val="bullet"/>
      <w:lvlText w:val="o"/>
      <w:lvlJc w:val="left"/>
      <w:pPr>
        <w:tabs>
          <w:tab w:val="num" w:pos="5415"/>
        </w:tabs>
        <w:ind w:left="5415" w:hanging="375"/>
      </w:pPr>
      <w:rPr>
        <w:rFonts w:ascii="Times" w:eastAsia="Times" w:hAnsi="Times" w:cs="Times"/>
        <w:b/>
        <w:bCs/>
        <w:i/>
        <w:iCs/>
        <w:position w:val="0"/>
        <w:sz w:val="25"/>
        <w:szCs w:val="25"/>
      </w:rPr>
    </w:lvl>
    <w:lvl w:ilvl="8">
      <w:start w:val="1"/>
      <w:numFmt w:val="bullet"/>
      <w:lvlText w:val="▪"/>
      <w:lvlJc w:val="left"/>
      <w:pPr>
        <w:tabs>
          <w:tab w:val="num" w:pos="6135"/>
        </w:tabs>
        <w:ind w:left="6135" w:hanging="375"/>
      </w:pPr>
      <w:rPr>
        <w:rFonts w:ascii="Times" w:eastAsia="Times" w:hAnsi="Times" w:cs="Times"/>
        <w:b/>
        <w:bCs/>
        <w:i/>
        <w:iCs/>
        <w:position w:val="0"/>
        <w:sz w:val="25"/>
        <w:szCs w:val="25"/>
      </w:rPr>
    </w:lvl>
  </w:abstractNum>
  <w:abstractNum w:abstractNumId="10" w15:restartNumberingAfterBreak="0">
    <w:nsid w:val="29FE1FDA"/>
    <w:multiLevelType w:val="hybridMultilevel"/>
    <w:tmpl w:val="3F4C9B48"/>
    <w:lvl w:ilvl="0" w:tplc="E5D0F60E">
      <w:start w:val="1"/>
      <w:numFmt w:val="bullet"/>
      <w:lvlText w:val=""/>
      <w:lvlJc w:val="left"/>
      <w:pPr>
        <w:ind w:left="720" w:hanging="360"/>
      </w:pPr>
      <w:rPr>
        <w:rFonts w:ascii="Wingdings" w:hAnsi="Wingdings" w:hint="default"/>
        <w:sz w:val="26"/>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9722B5"/>
    <w:multiLevelType w:val="multilevel"/>
    <w:tmpl w:val="6D6A19FE"/>
    <w:lvl w:ilvl="0">
      <w:numFmt w:val="bullet"/>
      <w:lvlText w:val="▪"/>
      <w:lvlJc w:val="left"/>
      <w:pPr>
        <w:tabs>
          <w:tab w:val="num" w:pos="360"/>
        </w:tabs>
        <w:ind w:left="360" w:hanging="360"/>
      </w:pPr>
      <w:rPr>
        <w:rFonts w:ascii="Arial" w:eastAsia="Arial" w:hAnsi="Arial" w:cs="Arial"/>
        <w:b/>
        <w:bCs/>
        <w:position w:val="0"/>
        <w:sz w:val="24"/>
        <w:szCs w:val="24"/>
      </w:rPr>
    </w:lvl>
    <w:lvl w:ilvl="1">
      <w:start w:val="1"/>
      <w:numFmt w:val="bullet"/>
      <w:lvlText w:val="o"/>
      <w:lvlJc w:val="left"/>
      <w:pPr>
        <w:tabs>
          <w:tab w:val="num" w:pos="1035"/>
        </w:tabs>
        <w:ind w:left="1035" w:hanging="315"/>
      </w:pPr>
      <w:rPr>
        <w:rFonts w:ascii="Arial" w:eastAsia="Arial" w:hAnsi="Arial" w:cs="Arial"/>
        <w:b/>
        <w:bCs/>
        <w:position w:val="0"/>
        <w:sz w:val="21"/>
        <w:szCs w:val="21"/>
      </w:rPr>
    </w:lvl>
    <w:lvl w:ilvl="2">
      <w:start w:val="1"/>
      <w:numFmt w:val="bullet"/>
      <w:lvlText w:val="▪"/>
      <w:lvlJc w:val="left"/>
      <w:pPr>
        <w:tabs>
          <w:tab w:val="num" w:pos="1755"/>
        </w:tabs>
        <w:ind w:left="1755" w:hanging="315"/>
      </w:pPr>
      <w:rPr>
        <w:rFonts w:ascii="Arial" w:eastAsia="Arial" w:hAnsi="Arial" w:cs="Arial"/>
        <w:b/>
        <w:bCs/>
        <w:position w:val="0"/>
        <w:sz w:val="21"/>
        <w:szCs w:val="21"/>
      </w:rPr>
    </w:lvl>
    <w:lvl w:ilvl="3">
      <w:start w:val="1"/>
      <w:numFmt w:val="bullet"/>
      <w:lvlText w:val="•"/>
      <w:lvlJc w:val="left"/>
      <w:pPr>
        <w:tabs>
          <w:tab w:val="num" w:pos="2475"/>
        </w:tabs>
        <w:ind w:left="2475" w:hanging="315"/>
      </w:pPr>
      <w:rPr>
        <w:rFonts w:ascii="Arial" w:eastAsia="Arial" w:hAnsi="Arial" w:cs="Arial"/>
        <w:b/>
        <w:bCs/>
        <w:position w:val="0"/>
        <w:sz w:val="21"/>
        <w:szCs w:val="21"/>
      </w:rPr>
    </w:lvl>
    <w:lvl w:ilvl="4">
      <w:start w:val="1"/>
      <w:numFmt w:val="bullet"/>
      <w:lvlText w:val="o"/>
      <w:lvlJc w:val="left"/>
      <w:pPr>
        <w:tabs>
          <w:tab w:val="num" w:pos="3195"/>
        </w:tabs>
        <w:ind w:left="3195" w:hanging="315"/>
      </w:pPr>
      <w:rPr>
        <w:rFonts w:ascii="Arial" w:eastAsia="Arial" w:hAnsi="Arial" w:cs="Arial"/>
        <w:b/>
        <w:bCs/>
        <w:position w:val="0"/>
        <w:sz w:val="21"/>
        <w:szCs w:val="21"/>
      </w:rPr>
    </w:lvl>
    <w:lvl w:ilvl="5">
      <w:start w:val="1"/>
      <w:numFmt w:val="bullet"/>
      <w:lvlText w:val="▪"/>
      <w:lvlJc w:val="left"/>
      <w:pPr>
        <w:tabs>
          <w:tab w:val="num" w:pos="3915"/>
        </w:tabs>
        <w:ind w:left="3915" w:hanging="315"/>
      </w:pPr>
      <w:rPr>
        <w:rFonts w:ascii="Arial" w:eastAsia="Arial" w:hAnsi="Arial" w:cs="Arial"/>
        <w:b/>
        <w:bCs/>
        <w:position w:val="0"/>
        <w:sz w:val="21"/>
        <w:szCs w:val="21"/>
      </w:rPr>
    </w:lvl>
    <w:lvl w:ilvl="6">
      <w:start w:val="1"/>
      <w:numFmt w:val="bullet"/>
      <w:lvlText w:val="•"/>
      <w:lvlJc w:val="left"/>
      <w:pPr>
        <w:tabs>
          <w:tab w:val="num" w:pos="4635"/>
        </w:tabs>
        <w:ind w:left="4635" w:hanging="315"/>
      </w:pPr>
      <w:rPr>
        <w:rFonts w:ascii="Arial" w:eastAsia="Arial" w:hAnsi="Arial" w:cs="Arial"/>
        <w:b/>
        <w:bCs/>
        <w:position w:val="0"/>
        <w:sz w:val="21"/>
        <w:szCs w:val="21"/>
      </w:rPr>
    </w:lvl>
    <w:lvl w:ilvl="7">
      <w:start w:val="1"/>
      <w:numFmt w:val="bullet"/>
      <w:lvlText w:val="o"/>
      <w:lvlJc w:val="left"/>
      <w:pPr>
        <w:tabs>
          <w:tab w:val="num" w:pos="5355"/>
        </w:tabs>
        <w:ind w:left="5355" w:hanging="315"/>
      </w:pPr>
      <w:rPr>
        <w:rFonts w:ascii="Arial" w:eastAsia="Arial" w:hAnsi="Arial" w:cs="Arial"/>
        <w:b/>
        <w:bCs/>
        <w:position w:val="0"/>
        <w:sz w:val="21"/>
        <w:szCs w:val="21"/>
      </w:rPr>
    </w:lvl>
    <w:lvl w:ilvl="8">
      <w:start w:val="1"/>
      <w:numFmt w:val="bullet"/>
      <w:lvlText w:val="▪"/>
      <w:lvlJc w:val="left"/>
      <w:pPr>
        <w:tabs>
          <w:tab w:val="num" w:pos="6075"/>
        </w:tabs>
        <w:ind w:left="6075" w:hanging="315"/>
      </w:pPr>
      <w:rPr>
        <w:rFonts w:ascii="Arial" w:eastAsia="Arial" w:hAnsi="Arial" w:cs="Arial"/>
        <w:b/>
        <w:bCs/>
        <w:position w:val="0"/>
        <w:sz w:val="21"/>
        <w:szCs w:val="21"/>
      </w:rPr>
    </w:lvl>
  </w:abstractNum>
  <w:abstractNum w:abstractNumId="12" w15:restartNumberingAfterBreak="0">
    <w:nsid w:val="2ABB03E8"/>
    <w:multiLevelType w:val="multilevel"/>
    <w:tmpl w:val="3182CB16"/>
    <w:lvl w:ilvl="0">
      <w:numFmt w:val="bullet"/>
      <w:lvlText w:val="▪"/>
      <w:lvlJc w:val="left"/>
      <w:pPr>
        <w:tabs>
          <w:tab w:val="num" w:pos="291"/>
        </w:tabs>
        <w:ind w:left="291" w:hanging="291"/>
      </w:pPr>
      <w:rPr>
        <w:rFonts w:ascii="Verdana" w:eastAsia="Verdana" w:hAnsi="Verdana" w:cs="Verdana"/>
        <w:position w:val="0"/>
        <w:sz w:val="26"/>
        <w:szCs w:val="26"/>
        <w:lang w:val="es-ES_tradnl"/>
      </w:rPr>
    </w:lvl>
    <w:lvl w:ilvl="1">
      <w:start w:val="1"/>
      <w:numFmt w:val="bullet"/>
      <w:lvlText w:val="o"/>
      <w:lvlJc w:val="left"/>
      <w:pPr>
        <w:tabs>
          <w:tab w:val="num" w:pos="1035"/>
        </w:tabs>
        <w:ind w:left="1035" w:hanging="315"/>
      </w:pPr>
      <w:rPr>
        <w:rFonts w:ascii="Arial" w:eastAsia="Arial" w:hAnsi="Arial" w:cs="Arial"/>
        <w:position w:val="0"/>
        <w:sz w:val="21"/>
        <w:szCs w:val="21"/>
        <w:lang w:val="es-ES_tradnl"/>
      </w:rPr>
    </w:lvl>
    <w:lvl w:ilvl="2">
      <w:start w:val="1"/>
      <w:numFmt w:val="bullet"/>
      <w:lvlText w:val="▪"/>
      <w:lvlJc w:val="left"/>
      <w:pPr>
        <w:tabs>
          <w:tab w:val="num" w:pos="1755"/>
        </w:tabs>
        <w:ind w:left="1755" w:hanging="315"/>
      </w:pPr>
      <w:rPr>
        <w:rFonts w:ascii="Arial" w:eastAsia="Arial" w:hAnsi="Arial" w:cs="Arial"/>
        <w:position w:val="0"/>
        <w:sz w:val="21"/>
        <w:szCs w:val="21"/>
        <w:lang w:val="es-ES_tradnl"/>
      </w:rPr>
    </w:lvl>
    <w:lvl w:ilvl="3">
      <w:start w:val="1"/>
      <w:numFmt w:val="bullet"/>
      <w:lvlText w:val="•"/>
      <w:lvlJc w:val="left"/>
      <w:pPr>
        <w:tabs>
          <w:tab w:val="num" w:pos="2475"/>
        </w:tabs>
        <w:ind w:left="2475" w:hanging="315"/>
      </w:pPr>
      <w:rPr>
        <w:rFonts w:ascii="Arial" w:eastAsia="Arial" w:hAnsi="Arial" w:cs="Arial"/>
        <w:position w:val="0"/>
        <w:sz w:val="21"/>
        <w:szCs w:val="21"/>
        <w:lang w:val="es-ES_tradnl"/>
      </w:rPr>
    </w:lvl>
    <w:lvl w:ilvl="4">
      <w:start w:val="1"/>
      <w:numFmt w:val="bullet"/>
      <w:lvlText w:val="o"/>
      <w:lvlJc w:val="left"/>
      <w:pPr>
        <w:tabs>
          <w:tab w:val="num" w:pos="3195"/>
        </w:tabs>
        <w:ind w:left="3195" w:hanging="315"/>
      </w:pPr>
      <w:rPr>
        <w:rFonts w:ascii="Arial" w:eastAsia="Arial" w:hAnsi="Arial" w:cs="Arial"/>
        <w:position w:val="0"/>
        <w:sz w:val="21"/>
        <w:szCs w:val="21"/>
        <w:lang w:val="es-ES_tradnl"/>
      </w:rPr>
    </w:lvl>
    <w:lvl w:ilvl="5">
      <w:start w:val="1"/>
      <w:numFmt w:val="bullet"/>
      <w:lvlText w:val="▪"/>
      <w:lvlJc w:val="left"/>
      <w:pPr>
        <w:tabs>
          <w:tab w:val="num" w:pos="3915"/>
        </w:tabs>
        <w:ind w:left="3915" w:hanging="315"/>
      </w:pPr>
      <w:rPr>
        <w:rFonts w:ascii="Arial" w:eastAsia="Arial" w:hAnsi="Arial" w:cs="Arial"/>
        <w:position w:val="0"/>
        <w:sz w:val="21"/>
        <w:szCs w:val="21"/>
        <w:lang w:val="es-ES_tradnl"/>
      </w:rPr>
    </w:lvl>
    <w:lvl w:ilvl="6">
      <w:start w:val="1"/>
      <w:numFmt w:val="bullet"/>
      <w:lvlText w:val="•"/>
      <w:lvlJc w:val="left"/>
      <w:pPr>
        <w:tabs>
          <w:tab w:val="num" w:pos="4635"/>
        </w:tabs>
        <w:ind w:left="4635" w:hanging="315"/>
      </w:pPr>
      <w:rPr>
        <w:rFonts w:ascii="Arial" w:eastAsia="Arial" w:hAnsi="Arial" w:cs="Arial"/>
        <w:position w:val="0"/>
        <w:sz w:val="21"/>
        <w:szCs w:val="21"/>
        <w:lang w:val="es-ES_tradnl"/>
      </w:rPr>
    </w:lvl>
    <w:lvl w:ilvl="7">
      <w:start w:val="1"/>
      <w:numFmt w:val="bullet"/>
      <w:lvlText w:val="o"/>
      <w:lvlJc w:val="left"/>
      <w:pPr>
        <w:tabs>
          <w:tab w:val="num" w:pos="5355"/>
        </w:tabs>
        <w:ind w:left="5355" w:hanging="315"/>
      </w:pPr>
      <w:rPr>
        <w:rFonts w:ascii="Arial" w:eastAsia="Arial" w:hAnsi="Arial" w:cs="Arial"/>
        <w:position w:val="0"/>
        <w:sz w:val="21"/>
        <w:szCs w:val="21"/>
        <w:lang w:val="es-ES_tradnl"/>
      </w:rPr>
    </w:lvl>
    <w:lvl w:ilvl="8">
      <w:start w:val="1"/>
      <w:numFmt w:val="bullet"/>
      <w:lvlText w:val="▪"/>
      <w:lvlJc w:val="left"/>
      <w:pPr>
        <w:tabs>
          <w:tab w:val="num" w:pos="6075"/>
        </w:tabs>
        <w:ind w:left="6075" w:hanging="315"/>
      </w:pPr>
      <w:rPr>
        <w:rFonts w:ascii="Arial" w:eastAsia="Arial" w:hAnsi="Arial" w:cs="Arial"/>
        <w:position w:val="0"/>
        <w:sz w:val="21"/>
        <w:szCs w:val="21"/>
        <w:lang w:val="es-ES_tradnl"/>
      </w:rPr>
    </w:lvl>
  </w:abstractNum>
  <w:abstractNum w:abstractNumId="13" w15:restartNumberingAfterBreak="0">
    <w:nsid w:val="2F7719DE"/>
    <w:multiLevelType w:val="multilevel"/>
    <w:tmpl w:val="2C98347E"/>
    <w:styleLink w:val="Lista41"/>
    <w:lvl w:ilvl="0">
      <w:numFmt w:val="bullet"/>
      <w:lvlText w:val="▪"/>
      <w:lvlJc w:val="left"/>
      <w:rPr>
        <w:rFonts w:ascii="Arial" w:eastAsia="Arial" w:hAnsi="Arial" w:cs="Arial"/>
        <w:b w:val="0"/>
        <w:bCs w:val="0"/>
        <w:position w:val="0"/>
        <w:rtl w:val="0"/>
        <w:lang w:val="es-ES_tradnl"/>
      </w:rPr>
    </w:lvl>
    <w:lvl w:ilvl="1">
      <w:start w:val="1"/>
      <w:numFmt w:val="bullet"/>
      <w:lvlText w:val="o"/>
      <w:lvlJc w:val="left"/>
      <w:rPr>
        <w:rFonts w:ascii="Arial" w:eastAsia="Arial" w:hAnsi="Arial" w:cs="Arial"/>
        <w:b/>
        <w:bCs/>
        <w:position w:val="0"/>
        <w:rtl w:val="0"/>
        <w:lang w:val="es-ES_tradnl"/>
      </w:rPr>
    </w:lvl>
    <w:lvl w:ilvl="2">
      <w:start w:val="1"/>
      <w:numFmt w:val="bullet"/>
      <w:lvlText w:val="▪"/>
      <w:lvlJc w:val="left"/>
      <w:rPr>
        <w:rFonts w:ascii="Arial" w:eastAsia="Arial" w:hAnsi="Arial" w:cs="Arial"/>
        <w:b/>
        <w:bCs/>
        <w:position w:val="0"/>
        <w:rtl w:val="0"/>
        <w:lang w:val="es-ES_tradnl"/>
      </w:rPr>
    </w:lvl>
    <w:lvl w:ilvl="3">
      <w:start w:val="1"/>
      <w:numFmt w:val="bullet"/>
      <w:lvlText w:val="•"/>
      <w:lvlJc w:val="left"/>
      <w:rPr>
        <w:rFonts w:ascii="Arial" w:eastAsia="Arial" w:hAnsi="Arial" w:cs="Arial"/>
        <w:b/>
        <w:bCs/>
        <w:position w:val="0"/>
        <w:rtl w:val="0"/>
        <w:lang w:val="es-ES_tradnl"/>
      </w:rPr>
    </w:lvl>
    <w:lvl w:ilvl="4">
      <w:start w:val="1"/>
      <w:numFmt w:val="bullet"/>
      <w:lvlText w:val="o"/>
      <w:lvlJc w:val="left"/>
      <w:rPr>
        <w:rFonts w:ascii="Arial" w:eastAsia="Arial" w:hAnsi="Arial" w:cs="Arial"/>
        <w:b/>
        <w:bCs/>
        <w:position w:val="0"/>
        <w:rtl w:val="0"/>
        <w:lang w:val="es-ES_tradnl"/>
      </w:rPr>
    </w:lvl>
    <w:lvl w:ilvl="5">
      <w:start w:val="1"/>
      <w:numFmt w:val="bullet"/>
      <w:lvlText w:val="▪"/>
      <w:lvlJc w:val="left"/>
      <w:rPr>
        <w:rFonts w:ascii="Arial" w:eastAsia="Arial" w:hAnsi="Arial" w:cs="Arial"/>
        <w:b/>
        <w:bCs/>
        <w:position w:val="0"/>
        <w:rtl w:val="0"/>
        <w:lang w:val="es-ES_tradnl"/>
      </w:rPr>
    </w:lvl>
    <w:lvl w:ilvl="6">
      <w:start w:val="1"/>
      <w:numFmt w:val="bullet"/>
      <w:lvlText w:val="•"/>
      <w:lvlJc w:val="left"/>
      <w:rPr>
        <w:rFonts w:ascii="Arial" w:eastAsia="Arial" w:hAnsi="Arial" w:cs="Arial"/>
        <w:b/>
        <w:bCs/>
        <w:position w:val="0"/>
        <w:rtl w:val="0"/>
        <w:lang w:val="es-ES_tradnl"/>
      </w:rPr>
    </w:lvl>
    <w:lvl w:ilvl="7">
      <w:start w:val="1"/>
      <w:numFmt w:val="bullet"/>
      <w:lvlText w:val="o"/>
      <w:lvlJc w:val="left"/>
      <w:rPr>
        <w:rFonts w:ascii="Arial" w:eastAsia="Arial" w:hAnsi="Arial" w:cs="Arial"/>
        <w:b/>
        <w:bCs/>
        <w:position w:val="0"/>
        <w:rtl w:val="0"/>
        <w:lang w:val="es-ES_tradnl"/>
      </w:rPr>
    </w:lvl>
    <w:lvl w:ilvl="8">
      <w:start w:val="1"/>
      <w:numFmt w:val="bullet"/>
      <w:lvlText w:val="▪"/>
      <w:lvlJc w:val="left"/>
      <w:rPr>
        <w:rFonts w:ascii="Arial" w:eastAsia="Arial" w:hAnsi="Arial" w:cs="Arial"/>
        <w:b/>
        <w:bCs/>
        <w:position w:val="0"/>
        <w:rtl w:val="0"/>
        <w:lang w:val="es-ES_tradnl"/>
      </w:rPr>
    </w:lvl>
  </w:abstractNum>
  <w:abstractNum w:abstractNumId="14" w15:restartNumberingAfterBreak="0">
    <w:nsid w:val="443A2D39"/>
    <w:multiLevelType w:val="multilevel"/>
    <w:tmpl w:val="1F44D10E"/>
    <w:lvl w:ilvl="0">
      <w:numFmt w:val="bullet"/>
      <w:lvlText w:val="▪"/>
      <w:lvlJc w:val="left"/>
      <w:pPr>
        <w:tabs>
          <w:tab w:val="num" w:pos="360"/>
        </w:tabs>
        <w:ind w:left="360" w:hanging="360"/>
      </w:pPr>
      <w:rPr>
        <w:rFonts w:ascii="Arial" w:eastAsia="Arial" w:hAnsi="Arial" w:cs="Arial"/>
        <w:b/>
        <w:bCs/>
        <w:position w:val="0"/>
        <w:sz w:val="24"/>
        <w:szCs w:val="24"/>
      </w:rPr>
    </w:lvl>
    <w:lvl w:ilvl="1">
      <w:start w:val="1"/>
      <w:numFmt w:val="bullet"/>
      <w:lvlText w:val="o"/>
      <w:lvlJc w:val="left"/>
      <w:pPr>
        <w:tabs>
          <w:tab w:val="num" w:pos="1035"/>
        </w:tabs>
        <w:ind w:left="1035" w:hanging="315"/>
      </w:pPr>
      <w:rPr>
        <w:rFonts w:ascii="Arial" w:eastAsia="Arial" w:hAnsi="Arial" w:cs="Arial"/>
        <w:b/>
        <w:bCs/>
        <w:position w:val="0"/>
        <w:sz w:val="21"/>
        <w:szCs w:val="21"/>
      </w:rPr>
    </w:lvl>
    <w:lvl w:ilvl="2">
      <w:start w:val="1"/>
      <w:numFmt w:val="bullet"/>
      <w:lvlText w:val="▪"/>
      <w:lvlJc w:val="left"/>
      <w:pPr>
        <w:tabs>
          <w:tab w:val="num" w:pos="1755"/>
        </w:tabs>
        <w:ind w:left="1755" w:hanging="315"/>
      </w:pPr>
      <w:rPr>
        <w:rFonts w:ascii="Arial" w:eastAsia="Arial" w:hAnsi="Arial" w:cs="Arial"/>
        <w:b/>
        <w:bCs/>
        <w:position w:val="0"/>
        <w:sz w:val="21"/>
        <w:szCs w:val="21"/>
      </w:rPr>
    </w:lvl>
    <w:lvl w:ilvl="3">
      <w:start w:val="1"/>
      <w:numFmt w:val="bullet"/>
      <w:lvlText w:val="•"/>
      <w:lvlJc w:val="left"/>
      <w:pPr>
        <w:tabs>
          <w:tab w:val="num" w:pos="2475"/>
        </w:tabs>
        <w:ind w:left="2475" w:hanging="315"/>
      </w:pPr>
      <w:rPr>
        <w:rFonts w:ascii="Arial" w:eastAsia="Arial" w:hAnsi="Arial" w:cs="Arial"/>
        <w:b/>
        <w:bCs/>
        <w:position w:val="0"/>
        <w:sz w:val="21"/>
        <w:szCs w:val="21"/>
      </w:rPr>
    </w:lvl>
    <w:lvl w:ilvl="4">
      <w:start w:val="1"/>
      <w:numFmt w:val="bullet"/>
      <w:lvlText w:val="o"/>
      <w:lvlJc w:val="left"/>
      <w:pPr>
        <w:tabs>
          <w:tab w:val="num" w:pos="3195"/>
        </w:tabs>
        <w:ind w:left="3195" w:hanging="315"/>
      </w:pPr>
      <w:rPr>
        <w:rFonts w:ascii="Arial" w:eastAsia="Arial" w:hAnsi="Arial" w:cs="Arial"/>
        <w:b/>
        <w:bCs/>
        <w:position w:val="0"/>
        <w:sz w:val="21"/>
        <w:szCs w:val="21"/>
      </w:rPr>
    </w:lvl>
    <w:lvl w:ilvl="5">
      <w:start w:val="1"/>
      <w:numFmt w:val="bullet"/>
      <w:lvlText w:val="▪"/>
      <w:lvlJc w:val="left"/>
      <w:pPr>
        <w:tabs>
          <w:tab w:val="num" w:pos="3915"/>
        </w:tabs>
        <w:ind w:left="3915" w:hanging="315"/>
      </w:pPr>
      <w:rPr>
        <w:rFonts w:ascii="Arial" w:eastAsia="Arial" w:hAnsi="Arial" w:cs="Arial"/>
        <w:b/>
        <w:bCs/>
        <w:position w:val="0"/>
        <w:sz w:val="21"/>
        <w:szCs w:val="21"/>
      </w:rPr>
    </w:lvl>
    <w:lvl w:ilvl="6">
      <w:start w:val="1"/>
      <w:numFmt w:val="bullet"/>
      <w:lvlText w:val="•"/>
      <w:lvlJc w:val="left"/>
      <w:pPr>
        <w:tabs>
          <w:tab w:val="num" w:pos="4635"/>
        </w:tabs>
        <w:ind w:left="4635" w:hanging="315"/>
      </w:pPr>
      <w:rPr>
        <w:rFonts w:ascii="Arial" w:eastAsia="Arial" w:hAnsi="Arial" w:cs="Arial"/>
        <w:b/>
        <w:bCs/>
        <w:position w:val="0"/>
        <w:sz w:val="21"/>
        <w:szCs w:val="21"/>
      </w:rPr>
    </w:lvl>
    <w:lvl w:ilvl="7">
      <w:start w:val="1"/>
      <w:numFmt w:val="bullet"/>
      <w:lvlText w:val="o"/>
      <w:lvlJc w:val="left"/>
      <w:pPr>
        <w:tabs>
          <w:tab w:val="num" w:pos="5355"/>
        </w:tabs>
        <w:ind w:left="5355" w:hanging="315"/>
      </w:pPr>
      <w:rPr>
        <w:rFonts w:ascii="Arial" w:eastAsia="Arial" w:hAnsi="Arial" w:cs="Arial"/>
        <w:b/>
        <w:bCs/>
        <w:position w:val="0"/>
        <w:sz w:val="21"/>
        <w:szCs w:val="21"/>
      </w:rPr>
    </w:lvl>
    <w:lvl w:ilvl="8">
      <w:start w:val="1"/>
      <w:numFmt w:val="bullet"/>
      <w:lvlText w:val="▪"/>
      <w:lvlJc w:val="left"/>
      <w:pPr>
        <w:tabs>
          <w:tab w:val="num" w:pos="6075"/>
        </w:tabs>
        <w:ind w:left="6075" w:hanging="315"/>
      </w:pPr>
      <w:rPr>
        <w:rFonts w:ascii="Arial" w:eastAsia="Arial" w:hAnsi="Arial" w:cs="Arial"/>
        <w:b/>
        <w:bCs/>
        <w:position w:val="0"/>
        <w:sz w:val="21"/>
        <w:szCs w:val="21"/>
      </w:rPr>
    </w:lvl>
  </w:abstractNum>
  <w:abstractNum w:abstractNumId="15" w15:restartNumberingAfterBreak="0">
    <w:nsid w:val="4D3F2E16"/>
    <w:multiLevelType w:val="multilevel"/>
    <w:tmpl w:val="6F906278"/>
    <w:lvl w:ilvl="0">
      <w:numFmt w:val="bullet"/>
      <w:lvlText w:val="▪"/>
      <w:lvlJc w:val="left"/>
      <w:pPr>
        <w:tabs>
          <w:tab w:val="num" w:pos="291"/>
        </w:tabs>
        <w:ind w:left="291" w:hanging="291"/>
      </w:pPr>
      <w:rPr>
        <w:rFonts w:ascii="Arial" w:eastAsia="Arial" w:hAnsi="Arial" w:cs="Arial"/>
        <w:position w:val="0"/>
        <w:sz w:val="26"/>
        <w:szCs w:val="26"/>
        <w:rtl w:val="0"/>
        <w:lang w:val="es-ES_tradnl"/>
      </w:rPr>
    </w:lvl>
    <w:lvl w:ilvl="1">
      <w:start w:val="1"/>
      <w:numFmt w:val="bullet"/>
      <w:lvlText w:val="o"/>
      <w:lvlJc w:val="left"/>
      <w:pPr>
        <w:tabs>
          <w:tab w:val="num" w:pos="1035"/>
        </w:tabs>
        <w:ind w:left="1035" w:hanging="315"/>
      </w:pPr>
      <w:rPr>
        <w:rFonts w:ascii="Arial" w:eastAsia="Arial" w:hAnsi="Arial" w:cs="Arial"/>
        <w:position w:val="0"/>
        <w:sz w:val="21"/>
        <w:szCs w:val="21"/>
        <w:rtl w:val="0"/>
        <w:lang w:val="es-ES_tradnl"/>
      </w:rPr>
    </w:lvl>
    <w:lvl w:ilvl="2">
      <w:start w:val="1"/>
      <w:numFmt w:val="bullet"/>
      <w:lvlText w:val="▪"/>
      <w:lvlJc w:val="left"/>
      <w:pPr>
        <w:tabs>
          <w:tab w:val="num" w:pos="1755"/>
        </w:tabs>
        <w:ind w:left="1755" w:hanging="315"/>
      </w:pPr>
      <w:rPr>
        <w:rFonts w:ascii="Arial" w:eastAsia="Arial" w:hAnsi="Arial" w:cs="Arial"/>
        <w:position w:val="0"/>
        <w:sz w:val="21"/>
        <w:szCs w:val="21"/>
        <w:rtl w:val="0"/>
        <w:lang w:val="es-ES_tradnl"/>
      </w:rPr>
    </w:lvl>
    <w:lvl w:ilvl="3">
      <w:start w:val="1"/>
      <w:numFmt w:val="bullet"/>
      <w:lvlText w:val="•"/>
      <w:lvlJc w:val="left"/>
      <w:pPr>
        <w:tabs>
          <w:tab w:val="num" w:pos="2475"/>
        </w:tabs>
        <w:ind w:left="2475" w:hanging="315"/>
      </w:pPr>
      <w:rPr>
        <w:rFonts w:ascii="Arial" w:eastAsia="Arial" w:hAnsi="Arial" w:cs="Arial"/>
        <w:position w:val="0"/>
        <w:sz w:val="21"/>
        <w:szCs w:val="21"/>
        <w:rtl w:val="0"/>
        <w:lang w:val="es-ES_tradnl"/>
      </w:rPr>
    </w:lvl>
    <w:lvl w:ilvl="4">
      <w:start w:val="1"/>
      <w:numFmt w:val="bullet"/>
      <w:lvlText w:val="o"/>
      <w:lvlJc w:val="left"/>
      <w:pPr>
        <w:tabs>
          <w:tab w:val="num" w:pos="3195"/>
        </w:tabs>
        <w:ind w:left="3195" w:hanging="315"/>
      </w:pPr>
      <w:rPr>
        <w:rFonts w:ascii="Arial" w:eastAsia="Arial" w:hAnsi="Arial" w:cs="Arial"/>
        <w:position w:val="0"/>
        <w:sz w:val="21"/>
        <w:szCs w:val="21"/>
        <w:rtl w:val="0"/>
        <w:lang w:val="es-ES_tradnl"/>
      </w:rPr>
    </w:lvl>
    <w:lvl w:ilvl="5">
      <w:start w:val="1"/>
      <w:numFmt w:val="bullet"/>
      <w:lvlText w:val="▪"/>
      <w:lvlJc w:val="left"/>
      <w:pPr>
        <w:tabs>
          <w:tab w:val="num" w:pos="3915"/>
        </w:tabs>
        <w:ind w:left="3915" w:hanging="315"/>
      </w:pPr>
      <w:rPr>
        <w:rFonts w:ascii="Arial" w:eastAsia="Arial" w:hAnsi="Arial" w:cs="Arial"/>
        <w:position w:val="0"/>
        <w:sz w:val="21"/>
        <w:szCs w:val="21"/>
        <w:rtl w:val="0"/>
        <w:lang w:val="es-ES_tradnl"/>
      </w:rPr>
    </w:lvl>
    <w:lvl w:ilvl="6">
      <w:start w:val="1"/>
      <w:numFmt w:val="bullet"/>
      <w:lvlText w:val="•"/>
      <w:lvlJc w:val="left"/>
      <w:pPr>
        <w:tabs>
          <w:tab w:val="num" w:pos="4635"/>
        </w:tabs>
        <w:ind w:left="4635" w:hanging="315"/>
      </w:pPr>
      <w:rPr>
        <w:rFonts w:ascii="Arial" w:eastAsia="Arial" w:hAnsi="Arial" w:cs="Arial"/>
        <w:position w:val="0"/>
        <w:sz w:val="21"/>
        <w:szCs w:val="21"/>
        <w:rtl w:val="0"/>
        <w:lang w:val="es-ES_tradnl"/>
      </w:rPr>
    </w:lvl>
    <w:lvl w:ilvl="7">
      <w:start w:val="1"/>
      <w:numFmt w:val="bullet"/>
      <w:lvlText w:val="o"/>
      <w:lvlJc w:val="left"/>
      <w:pPr>
        <w:tabs>
          <w:tab w:val="num" w:pos="5355"/>
        </w:tabs>
        <w:ind w:left="5355" w:hanging="315"/>
      </w:pPr>
      <w:rPr>
        <w:rFonts w:ascii="Arial" w:eastAsia="Arial" w:hAnsi="Arial" w:cs="Arial"/>
        <w:position w:val="0"/>
        <w:sz w:val="21"/>
        <w:szCs w:val="21"/>
        <w:rtl w:val="0"/>
        <w:lang w:val="es-ES_tradnl"/>
      </w:rPr>
    </w:lvl>
    <w:lvl w:ilvl="8">
      <w:start w:val="1"/>
      <w:numFmt w:val="bullet"/>
      <w:lvlText w:val="▪"/>
      <w:lvlJc w:val="left"/>
      <w:pPr>
        <w:tabs>
          <w:tab w:val="num" w:pos="6075"/>
        </w:tabs>
        <w:ind w:left="6075" w:hanging="315"/>
      </w:pPr>
      <w:rPr>
        <w:rFonts w:ascii="Arial" w:eastAsia="Arial" w:hAnsi="Arial" w:cs="Arial"/>
        <w:position w:val="0"/>
        <w:sz w:val="21"/>
        <w:szCs w:val="21"/>
        <w:rtl w:val="0"/>
        <w:lang w:val="es-ES_tradnl"/>
      </w:rPr>
    </w:lvl>
  </w:abstractNum>
  <w:abstractNum w:abstractNumId="16" w15:restartNumberingAfterBreak="0">
    <w:nsid w:val="741E7DC5"/>
    <w:multiLevelType w:val="multilevel"/>
    <w:tmpl w:val="A7ACF16A"/>
    <w:styleLink w:val="Lista31"/>
    <w:lvl w:ilvl="0">
      <w:numFmt w:val="bullet"/>
      <w:lvlText w:val="o"/>
      <w:lvlJc w:val="left"/>
      <w:rPr>
        <w:position w:val="0"/>
        <w:rtl w:val="0"/>
        <w:lang w:val="es-ES_tradnl"/>
      </w:rPr>
    </w:lvl>
    <w:lvl w:ilvl="1">
      <w:start w:val="1"/>
      <w:numFmt w:val="bullet"/>
      <w:lvlText w:val="o"/>
      <w:lvlJc w:val="left"/>
      <w:rPr>
        <w:position w:val="0"/>
        <w:rtl w:val="0"/>
        <w:lang w:val="es-ES_tradnl"/>
      </w:rPr>
    </w:lvl>
    <w:lvl w:ilvl="2">
      <w:start w:val="1"/>
      <w:numFmt w:val="bullet"/>
      <w:lvlText w:val="▪"/>
      <w:lvlJc w:val="left"/>
      <w:rPr>
        <w:position w:val="0"/>
        <w:rtl w:val="0"/>
        <w:lang w:val="es-ES_tradnl"/>
      </w:rPr>
    </w:lvl>
    <w:lvl w:ilvl="3">
      <w:start w:val="1"/>
      <w:numFmt w:val="bullet"/>
      <w:lvlText w:val="•"/>
      <w:lvlJc w:val="left"/>
      <w:rPr>
        <w:position w:val="0"/>
        <w:rtl w:val="0"/>
        <w:lang w:val="es-ES_tradnl"/>
      </w:rPr>
    </w:lvl>
    <w:lvl w:ilvl="4">
      <w:start w:val="1"/>
      <w:numFmt w:val="bullet"/>
      <w:lvlText w:val="o"/>
      <w:lvlJc w:val="left"/>
      <w:rPr>
        <w:position w:val="0"/>
        <w:rtl w:val="0"/>
        <w:lang w:val="es-ES_tradnl"/>
      </w:rPr>
    </w:lvl>
    <w:lvl w:ilvl="5">
      <w:start w:val="1"/>
      <w:numFmt w:val="bullet"/>
      <w:lvlText w:val="▪"/>
      <w:lvlJc w:val="left"/>
      <w:rPr>
        <w:position w:val="0"/>
        <w:rtl w:val="0"/>
        <w:lang w:val="es-ES_tradnl"/>
      </w:rPr>
    </w:lvl>
    <w:lvl w:ilvl="6">
      <w:start w:val="1"/>
      <w:numFmt w:val="bullet"/>
      <w:lvlText w:val="•"/>
      <w:lvlJc w:val="left"/>
      <w:rPr>
        <w:position w:val="0"/>
        <w:rtl w:val="0"/>
        <w:lang w:val="es-ES_tradnl"/>
      </w:rPr>
    </w:lvl>
    <w:lvl w:ilvl="7">
      <w:start w:val="1"/>
      <w:numFmt w:val="bullet"/>
      <w:lvlText w:val="o"/>
      <w:lvlJc w:val="left"/>
      <w:rPr>
        <w:position w:val="0"/>
        <w:rtl w:val="0"/>
        <w:lang w:val="es-ES_tradnl"/>
      </w:rPr>
    </w:lvl>
    <w:lvl w:ilvl="8">
      <w:start w:val="1"/>
      <w:numFmt w:val="bullet"/>
      <w:lvlText w:val="▪"/>
      <w:lvlJc w:val="left"/>
      <w:rPr>
        <w:position w:val="0"/>
        <w:rtl w:val="0"/>
        <w:lang w:val="es-ES_tradnl"/>
      </w:rPr>
    </w:lvl>
  </w:abstractNum>
  <w:abstractNum w:abstractNumId="17" w15:restartNumberingAfterBreak="0">
    <w:nsid w:val="77571DDB"/>
    <w:multiLevelType w:val="multilevel"/>
    <w:tmpl w:val="0DF60A78"/>
    <w:styleLink w:val="Lista21"/>
    <w:lvl w:ilvl="0">
      <w:numFmt w:val="bullet"/>
      <w:lvlText w:val="▪"/>
      <w:lvlJc w:val="left"/>
      <w:pPr>
        <w:tabs>
          <w:tab w:val="num" w:pos="360"/>
        </w:tabs>
        <w:ind w:left="360" w:hanging="360"/>
      </w:pPr>
      <w:rPr>
        <w:rFonts w:ascii="Arial" w:eastAsia="Arial" w:hAnsi="Arial" w:cs="Arial"/>
        <w:b/>
        <w:bCs/>
        <w:position w:val="0"/>
        <w:sz w:val="24"/>
        <w:szCs w:val="24"/>
      </w:rPr>
    </w:lvl>
    <w:lvl w:ilvl="1">
      <w:start w:val="1"/>
      <w:numFmt w:val="bullet"/>
      <w:lvlText w:val="o"/>
      <w:lvlJc w:val="left"/>
      <w:pPr>
        <w:tabs>
          <w:tab w:val="num" w:pos="1035"/>
        </w:tabs>
        <w:ind w:left="1035" w:hanging="315"/>
      </w:pPr>
      <w:rPr>
        <w:rFonts w:ascii="Arial" w:eastAsia="Arial" w:hAnsi="Arial" w:cs="Arial"/>
        <w:b/>
        <w:bCs/>
        <w:position w:val="0"/>
        <w:sz w:val="21"/>
        <w:szCs w:val="21"/>
      </w:rPr>
    </w:lvl>
    <w:lvl w:ilvl="2">
      <w:start w:val="1"/>
      <w:numFmt w:val="bullet"/>
      <w:lvlText w:val="▪"/>
      <w:lvlJc w:val="left"/>
      <w:pPr>
        <w:tabs>
          <w:tab w:val="num" w:pos="1755"/>
        </w:tabs>
        <w:ind w:left="1755" w:hanging="315"/>
      </w:pPr>
      <w:rPr>
        <w:rFonts w:ascii="Arial" w:eastAsia="Arial" w:hAnsi="Arial" w:cs="Arial"/>
        <w:b/>
        <w:bCs/>
        <w:position w:val="0"/>
        <w:sz w:val="21"/>
        <w:szCs w:val="21"/>
      </w:rPr>
    </w:lvl>
    <w:lvl w:ilvl="3">
      <w:start w:val="1"/>
      <w:numFmt w:val="bullet"/>
      <w:lvlText w:val="•"/>
      <w:lvlJc w:val="left"/>
      <w:pPr>
        <w:tabs>
          <w:tab w:val="num" w:pos="2475"/>
        </w:tabs>
        <w:ind w:left="2475" w:hanging="315"/>
      </w:pPr>
      <w:rPr>
        <w:rFonts w:ascii="Arial" w:eastAsia="Arial" w:hAnsi="Arial" w:cs="Arial"/>
        <w:b/>
        <w:bCs/>
        <w:position w:val="0"/>
        <w:sz w:val="21"/>
        <w:szCs w:val="21"/>
      </w:rPr>
    </w:lvl>
    <w:lvl w:ilvl="4">
      <w:start w:val="1"/>
      <w:numFmt w:val="bullet"/>
      <w:lvlText w:val="o"/>
      <w:lvlJc w:val="left"/>
      <w:pPr>
        <w:tabs>
          <w:tab w:val="num" w:pos="3195"/>
        </w:tabs>
        <w:ind w:left="3195" w:hanging="315"/>
      </w:pPr>
      <w:rPr>
        <w:rFonts w:ascii="Arial" w:eastAsia="Arial" w:hAnsi="Arial" w:cs="Arial"/>
        <w:b/>
        <w:bCs/>
        <w:position w:val="0"/>
        <w:sz w:val="21"/>
        <w:szCs w:val="21"/>
      </w:rPr>
    </w:lvl>
    <w:lvl w:ilvl="5">
      <w:start w:val="1"/>
      <w:numFmt w:val="bullet"/>
      <w:lvlText w:val="▪"/>
      <w:lvlJc w:val="left"/>
      <w:pPr>
        <w:tabs>
          <w:tab w:val="num" w:pos="3915"/>
        </w:tabs>
        <w:ind w:left="3915" w:hanging="315"/>
      </w:pPr>
      <w:rPr>
        <w:rFonts w:ascii="Arial" w:eastAsia="Arial" w:hAnsi="Arial" w:cs="Arial"/>
        <w:b/>
        <w:bCs/>
        <w:position w:val="0"/>
        <w:sz w:val="21"/>
        <w:szCs w:val="21"/>
      </w:rPr>
    </w:lvl>
    <w:lvl w:ilvl="6">
      <w:start w:val="1"/>
      <w:numFmt w:val="bullet"/>
      <w:lvlText w:val="•"/>
      <w:lvlJc w:val="left"/>
      <w:pPr>
        <w:tabs>
          <w:tab w:val="num" w:pos="4635"/>
        </w:tabs>
        <w:ind w:left="4635" w:hanging="315"/>
      </w:pPr>
      <w:rPr>
        <w:rFonts w:ascii="Arial" w:eastAsia="Arial" w:hAnsi="Arial" w:cs="Arial"/>
        <w:b/>
        <w:bCs/>
        <w:position w:val="0"/>
        <w:sz w:val="21"/>
        <w:szCs w:val="21"/>
      </w:rPr>
    </w:lvl>
    <w:lvl w:ilvl="7">
      <w:start w:val="1"/>
      <w:numFmt w:val="bullet"/>
      <w:lvlText w:val="o"/>
      <w:lvlJc w:val="left"/>
      <w:pPr>
        <w:tabs>
          <w:tab w:val="num" w:pos="5355"/>
        </w:tabs>
        <w:ind w:left="5355" w:hanging="315"/>
      </w:pPr>
      <w:rPr>
        <w:rFonts w:ascii="Arial" w:eastAsia="Arial" w:hAnsi="Arial" w:cs="Arial"/>
        <w:b/>
        <w:bCs/>
        <w:position w:val="0"/>
        <w:sz w:val="21"/>
        <w:szCs w:val="21"/>
      </w:rPr>
    </w:lvl>
    <w:lvl w:ilvl="8">
      <w:start w:val="1"/>
      <w:numFmt w:val="bullet"/>
      <w:lvlText w:val="▪"/>
      <w:lvlJc w:val="left"/>
      <w:pPr>
        <w:tabs>
          <w:tab w:val="num" w:pos="6075"/>
        </w:tabs>
        <w:ind w:left="6075" w:hanging="315"/>
      </w:pPr>
      <w:rPr>
        <w:rFonts w:ascii="Arial" w:eastAsia="Arial" w:hAnsi="Arial" w:cs="Arial"/>
        <w:b/>
        <w:bCs/>
        <w:position w:val="0"/>
        <w:sz w:val="21"/>
        <w:szCs w:val="21"/>
      </w:rPr>
    </w:lvl>
  </w:abstractNum>
  <w:abstractNum w:abstractNumId="18" w15:restartNumberingAfterBreak="0">
    <w:nsid w:val="7EAB2B8C"/>
    <w:multiLevelType w:val="multilevel"/>
    <w:tmpl w:val="84007136"/>
    <w:styleLink w:val="List0"/>
    <w:lvl w:ilvl="0">
      <w:numFmt w:val="bullet"/>
      <w:lvlText w:val="▪"/>
      <w:lvlJc w:val="left"/>
      <w:pPr>
        <w:tabs>
          <w:tab w:val="num" w:pos="360"/>
        </w:tabs>
        <w:ind w:left="360" w:hanging="360"/>
      </w:pPr>
      <w:rPr>
        <w:rFonts w:ascii="Times New Roman" w:eastAsia="Times New Roman" w:hAnsi="Times New Roman" w:cs="Times New Roman"/>
        <w:b/>
        <w:bCs/>
        <w:i/>
        <w:iCs/>
        <w:position w:val="0"/>
        <w:sz w:val="24"/>
        <w:szCs w:val="24"/>
      </w:rPr>
    </w:lvl>
    <w:lvl w:ilvl="1">
      <w:start w:val="1"/>
      <w:numFmt w:val="bullet"/>
      <w:lvlText w:val="o"/>
      <w:lvlJc w:val="left"/>
      <w:pPr>
        <w:tabs>
          <w:tab w:val="num" w:pos="1095"/>
        </w:tabs>
        <w:ind w:left="1095" w:hanging="375"/>
      </w:pPr>
      <w:rPr>
        <w:rFonts w:ascii="Times" w:eastAsia="Times" w:hAnsi="Times" w:cs="Times"/>
        <w:b/>
        <w:bCs/>
        <w:i/>
        <w:iCs/>
        <w:position w:val="0"/>
        <w:sz w:val="25"/>
        <w:szCs w:val="25"/>
      </w:rPr>
    </w:lvl>
    <w:lvl w:ilvl="2">
      <w:start w:val="1"/>
      <w:numFmt w:val="bullet"/>
      <w:lvlText w:val="▪"/>
      <w:lvlJc w:val="left"/>
      <w:pPr>
        <w:tabs>
          <w:tab w:val="num" w:pos="1815"/>
        </w:tabs>
        <w:ind w:left="1815" w:hanging="375"/>
      </w:pPr>
      <w:rPr>
        <w:rFonts w:ascii="Times" w:eastAsia="Times" w:hAnsi="Times" w:cs="Times"/>
        <w:b/>
        <w:bCs/>
        <w:i/>
        <w:iCs/>
        <w:position w:val="0"/>
        <w:sz w:val="25"/>
        <w:szCs w:val="25"/>
      </w:rPr>
    </w:lvl>
    <w:lvl w:ilvl="3">
      <w:start w:val="1"/>
      <w:numFmt w:val="bullet"/>
      <w:lvlText w:val="•"/>
      <w:lvlJc w:val="left"/>
      <w:pPr>
        <w:tabs>
          <w:tab w:val="num" w:pos="2535"/>
        </w:tabs>
        <w:ind w:left="2535" w:hanging="375"/>
      </w:pPr>
      <w:rPr>
        <w:rFonts w:ascii="Times" w:eastAsia="Times" w:hAnsi="Times" w:cs="Times"/>
        <w:b/>
        <w:bCs/>
        <w:i/>
        <w:iCs/>
        <w:position w:val="0"/>
        <w:sz w:val="25"/>
        <w:szCs w:val="25"/>
      </w:rPr>
    </w:lvl>
    <w:lvl w:ilvl="4">
      <w:start w:val="1"/>
      <w:numFmt w:val="bullet"/>
      <w:lvlText w:val="o"/>
      <w:lvlJc w:val="left"/>
      <w:pPr>
        <w:tabs>
          <w:tab w:val="num" w:pos="3255"/>
        </w:tabs>
        <w:ind w:left="3255" w:hanging="375"/>
      </w:pPr>
      <w:rPr>
        <w:rFonts w:ascii="Times" w:eastAsia="Times" w:hAnsi="Times" w:cs="Times"/>
        <w:b/>
        <w:bCs/>
        <w:i/>
        <w:iCs/>
        <w:position w:val="0"/>
        <w:sz w:val="25"/>
        <w:szCs w:val="25"/>
      </w:rPr>
    </w:lvl>
    <w:lvl w:ilvl="5">
      <w:start w:val="1"/>
      <w:numFmt w:val="bullet"/>
      <w:lvlText w:val="▪"/>
      <w:lvlJc w:val="left"/>
      <w:pPr>
        <w:tabs>
          <w:tab w:val="num" w:pos="3975"/>
        </w:tabs>
        <w:ind w:left="3975" w:hanging="375"/>
      </w:pPr>
      <w:rPr>
        <w:rFonts w:ascii="Times" w:eastAsia="Times" w:hAnsi="Times" w:cs="Times"/>
        <w:b/>
        <w:bCs/>
        <w:i/>
        <w:iCs/>
        <w:position w:val="0"/>
        <w:sz w:val="25"/>
        <w:szCs w:val="25"/>
      </w:rPr>
    </w:lvl>
    <w:lvl w:ilvl="6">
      <w:start w:val="1"/>
      <w:numFmt w:val="bullet"/>
      <w:lvlText w:val="•"/>
      <w:lvlJc w:val="left"/>
      <w:pPr>
        <w:tabs>
          <w:tab w:val="num" w:pos="4695"/>
        </w:tabs>
        <w:ind w:left="4695" w:hanging="375"/>
      </w:pPr>
      <w:rPr>
        <w:rFonts w:ascii="Times" w:eastAsia="Times" w:hAnsi="Times" w:cs="Times"/>
        <w:b/>
        <w:bCs/>
        <w:i/>
        <w:iCs/>
        <w:position w:val="0"/>
        <w:sz w:val="25"/>
        <w:szCs w:val="25"/>
      </w:rPr>
    </w:lvl>
    <w:lvl w:ilvl="7">
      <w:start w:val="1"/>
      <w:numFmt w:val="bullet"/>
      <w:lvlText w:val="o"/>
      <w:lvlJc w:val="left"/>
      <w:pPr>
        <w:tabs>
          <w:tab w:val="num" w:pos="5415"/>
        </w:tabs>
        <w:ind w:left="5415" w:hanging="375"/>
      </w:pPr>
      <w:rPr>
        <w:rFonts w:ascii="Times" w:eastAsia="Times" w:hAnsi="Times" w:cs="Times"/>
        <w:b/>
        <w:bCs/>
        <w:i/>
        <w:iCs/>
        <w:position w:val="0"/>
        <w:sz w:val="25"/>
        <w:szCs w:val="25"/>
      </w:rPr>
    </w:lvl>
    <w:lvl w:ilvl="8">
      <w:start w:val="1"/>
      <w:numFmt w:val="bullet"/>
      <w:lvlText w:val="▪"/>
      <w:lvlJc w:val="left"/>
      <w:pPr>
        <w:tabs>
          <w:tab w:val="num" w:pos="6135"/>
        </w:tabs>
        <w:ind w:left="6135" w:hanging="375"/>
      </w:pPr>
      <w:rPr>
        <w:rFonts w:ascii="Times" w:eastAsia="Times" w:hAnsi="Times" w:cs="Times"/>
        <w:b/>
        <w:bCs/>
        <w:i/>
        <w:iCs/>
        <w:position w:val="0"/>
        <w:sz w:val="25"/>
        <w:szCs w:val="25"/>
      </w:rPr>
    </w:lvl>
  </w:abstractNum>
  <w:num w:numId="1">
    <w:abstractNumId w:val="9"/>
  </w:num>
  <w:num w:numId="2">
    <w:abstractNumId w:val="5"/>
  </w:num>
  <w:num w:numId="3">
    <w:abstractNumId w:val="18"/>
  </w:num>
  <w:num w:numId="4">
    <w:abstractNumId w:val="11"/>
  </w:num>
  <w:num w:numId="5">
    <w:abstractNumId w:val="14"/>
  </w:num>
  <w:num w:numId="6">
    <w:abstractNumId w:val="7"/>
  </w:num>
  <w:num w:numId="7">
    <w:abstractNumId w:val="17"/>
  </w:num>
  <w:num w:numId="8">
    <w:abstractNumId w:val="16"/>
  </w:num>
  <w:num w:numId="9">
    <w:abstractNumId w:val="13"/>
  </w:num>
  <w:num w:numId="10">
    <w:abstractNumId w:val="12"/>
  </w:num>
  <w:num w:numId="11">
    <w:abstractNumId w:val="15"/>
  </w:num>
  <w:num w:numId="12">
    <w:abstractNumId w:val="2"/>
  </w:num>
  <w:num w:numId="13">
    <w:abstractNumId w:val="6"/>
  </w:num>
  <w:num w:numId="14">
    <w:abstractNumId w:val="8"/>
  </w:num>
  <w:num w:numId="15">
    <w:abstractNumId w:val="1"/>
  </w:num>
  <w:num w:numId="16">
    <w:abstractNumId w:val="10"/>
  </w:num>
  <w:num w:numId="17">
    <w:abstractNumId w:val="4"/>
  </w:num>
  <w:num w:numId="18">
    <w:abstractNumId w:val="3"/>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numFmt w:val="chicago"/>
    <w:footnote w:id="-1"/>
    <w:footnote w:id="0"/>
  </w:footnotePr>
  <w:endnotePr>
    <w:endnote w:id="-1"/>
    <w:endnote w:id="0"/>
  </w:endnotePr>
  <w:compat>
    <w:useFELayout/>
    <w:compatSetting w:name="compatibilityMode" w:uri="http://schemas.microsoft.com/office/word" w:val="14"/>
  </w:compat>
  <w:rsids>
    <w:rsidRoot w:val="00700DFB"/>
    <w:rsid w:val="00012B2E"/>
    <w:rsid w:val="00016A0E"/>
    <w:rsid w:val="00024A90"/>
    <w:rsid w:val="00025359"/>
    <w:rsid w:val="00035D4D"/>
    <w:rsid w:val="00037592"/>
    <w:rsid w:val="00042375"/>
    <w:rsid w:val="000436AD"/>
    <w:rsid w:val="00047721"/>
    <w:rsid w:val="000514EC"/>
    <w:rsid w:val="0005260D"/>
    <w:rsid w:val="00053D7B"/>
    <w:rsid w:val="00071578"/>
    <w:rsid w:val="00072783"/>
    <w:rsid w:val="00091C14"/>
    <w:rsid w:val="00092DA3"/>
    <w:rsid w:val="000A43CB"/>
    <w:rsid w:val="000B59B7"/>
    <w:rsid w:val="000C17A5"/>
    <w:rsid w:val="000C57C8"/>
    <w:rsid w:val="000C5EEC"/>
    <w:rsid w:val="000D1B1B"/>
    <w:rsid w:val="000F08D6"/>
    <w:rsid w:val="00102CCF"/>
    <w:rsid w:val="00104E81"/>
    <w:rsid w:val="00113267"/>
    <w:rsid w:val="00145F71"/>
    <w:rsid w:val="001675EE"/>
    <w:rsid w:val="00175858"/>
    <w:rsid w:val="001816EB"/>
    <w:rsid w:val="001829E7"/>
    <w:rsid w:val="001A770A"/>
    <w:rsid w:val="001B5DA4"/>
    <w:rsid w:val="001C7E89"/>
    <w:rsid w:val="001D47F6"/>
    <w:rsid w:val="001D7312"/>
    <w:rsid w:val="001E5385"/>
    <w:rsid w:val="001F3713"/>
    <w:rsid w:val="00210886"/>
    <w:rsid w:val="00223560"/>
    <w:rsid w:val="00236D40"/>
    <w:rsid w:val="00237EE2"/>
    <w:rsid w:val="00247B3B"/>
    <w:rsid w:val="00250397"/>
    <w:rsid w:val="002852E8"/>
    <w:rsid w:val="00285415"/>
    <w:rsid w:val="00296D86"/>
    <w:rsid w:val="002D4471"/>
    <w:rsid w:val="002F14C0"/>
    <w:rsid w:val="00300257"/>
    <w:rsid w:val="0031310B"/>
    <w:rsid w:val="00316DAC"/>
    <w:rsid w:val="0033236D"/>
    <w:rsid w:val="0033327A"/>
    <w:rsid w:val="00347111"/>
    <w:rsid w:val="00361244"/>
    <w:rsid w:val="00365240"/>
    <w:rsid w:val="0037113C"/>
    <w:rsid w:val="00371F72"/>
    <w:rsid w:val="003761A5"/>
    <w:rsid w:val="003A2EE5"/>
    <w:rsid w:val="003A523A"/>
    <w:rsid w:val="003B4039"/>
    <w:rsid w:val="003B7432"/>
    <w:rsid w:val="003C2B56"/>
    <w:rsid w:val="003C2F8E"/>
    <w:rsid w:val="003C3B27"/>
    <w:rsid w:val="003C5A4F"/>
    <w:rsid w:val="003D5A51"/>
    <w:rsid w:val="003D68DB"/>
    <w:rsid w:val="003E4DEA"/>
    <w:rsid w:val="003F1786"/>
    <w:rsid w:val="00417243"/>
    <w:rsid w:val="004204E7"/>
    <w:rsid w:val="00421FE2"/>
    <w:rsid w:val="00424102"/>
    <w:rsid w:val="004247A7"/>
    <w:rsid w:val="00425642"/>
    <w:rsid w:val="00437353"/>
    <w:rsid w:val="004379D8"/>
    <w:rsid w:val="004517FC"/>
    <w:rsid w:val="00452D30"/>
    <w:rsid w:val="0045691D"/>
    <w:rsid w:val="0047503F"/>
    <w:rsid w:val="00481D62"/>
    <w:rsid w:val="00484473"/>
    <w:rsid w:val="00485081"/>
    <w:rsid w:val="00485A5A"/>
    <w:rsid w:val="0049355D"/>
    <w:rsid w:val="004961B0"/>
    <w:rsid w:val="004A38A0"/>
    <w:rsid w:val="004B45E9"/>
    <w:rsid w:val="004B5AD5"/>
    <w:rsid w:val="004D4E3A"/>
    <w:rsid w:val="004E23DB"/>
    <w:rsid w:val="004E33A5"/>
    <w:rsid w:val="004F19EA"/>
    <w:rsid w:val="004F7D1F"/>
    <w:rsid w:val="00502249"/>
    <w:rsid w:val="00510945"/>
    <w:rsid w:val="005257D0"/>
    <w:rsid w:val="0053319D"/>
    <w:rsid w:val="0054014D"/>
    <w:rsid w:val="005422B6"/>
    <w:rsid w:val="00542B7C"/>
    <w:rsid w:val="005503AB"/>
    <w:rsid w:val="0056077B"/>
    <w:rsid w:val="0056096B"/>
    <w:rsid w:val="00560FF1"/>
    <w:rsid w:val="0056121A"/>
    <w:rsid w:val="00576059"/>
    <w:rsid w:val="00584789"/>
    <w:rsid w:val="00591E54"/>
    <w:rsid w:val="005A74CF"/>
    <w:rsid w:val="005B4C08"/>
    <w:rsid w:val="005D2AED"/>
    <w:rsid w:val="005D4375"/>
    <w:rsid w:val="005D50E5"/>
    <w:rsid w:val="005D76C3"/>
    <w:rsid w:val="005E405B"/>
    <w:rsid w:val="005E62EF"/>
    <w:rsid w:val="005F4BF5"/>
    <w:rsid w:val="006004D8"/>
    <w:rsid w:val="00606747"/>
    <w:rsid w:val="0062048E"/>
    <w:rsid w:val="006310B1"/>
    <w:rsid w:val="00651B65"/>
    <w:rsid w:val="006523F5"/>
    <w:rsid w:val="00654864"/>
    <w:rsid w:val="00663C51"/>
    <w:rsid w:val="00671A12"/>
    <w:rsid w:val="006725C3"/>
    <w:rsid w:val="00674357"/>
    <w:rsid w:val="0067614D"/>
    <w:rsid w:val="00692702"/>
    <w:rsid w:val="00694FB4"/>
    <w:rsid w:val="006A529A"/>
    <w:rsid w:val="006B7FCC"/>
    <w:rsid w:val="006C0AB9"/>
    <w:rsid w:val="006C505E"/>
    <w:rsid w:val="006C6877"/>
    <w:rsid w:val="006C6F6C"/>
    <w:rsid w:val="006E473D"/>
    <w:rsid w:val="006F245F"/>
    <w:rsid w:val="006F356D"/>
    <w:rsid w:val="00700DFB"/>
    <w:rsid w:val="007017BF"/>
    <w:rsid w:val="00724207"/>
    <w:rsid w:val="00730B7D"/>
    <w:rsid w:val="00746332"/>
    <w:rsid w:val="00751788"/>
    <w:rsid w:val="00752071"/>
    <w:rsid w:val="00753154"/>
    <w:rsid w:val="0076449F"/>
    <w:rsid w:val="00764F26"/>
    <w:rsid w:val="007652DD"/>
    <w:rsid w:val="00766726"/>
    <w:rsid w:val="007757DD"/>
    <w:rsid w:val="00793CAB"/>
    <w:rsid w:val="007961AD"/>
    <w:rsid w:val="007C31AE"/>
    <w:rsid w:val="007E37D9"/>
    <w:rsid w:val="007F134F"/>
    <w:rsid w:val="00800EFA"/>
    <w:rsid w:val="00805092"/>
    <w:rsid w:val="0080799F"/>
    <w:rsid w:val="00822BAB"/>
    <w:rsid w:val="00826388"/>
    <w:rsid w:val="00831C38"/>
    <w:rsid w:val="008324C5"/>
    <w:rsid w:val="008326CA"/>
    <w:rsid w:val="0084014F"/>
    <w:rsid w:val="008514D7"/>
    <w:rsid w:val="00857E56"/>
    <w:rsid w:val="00864493"/>
    <w:rsid w:val="008654ED"/>
    <w:rsid w:val="00865F8A"/>
    <w:rsid w:val="00872476"/>
    <w:rsid w:val="008921B1"/>
    <w:rsid w:val="008974D6"/>
    <w:rsid w:val="008A0D96"/>
    <w:rsid w:val="008C2BC6"/>
    <w:rsid w:val="008E37F4"/>
    <w:rsid w:val="008F0AA2"/>
    <w:rsid w:val="0090138D"/>
    <w:rsid w:val="00923198"/>
    <w:rsid w:val="009253CE"/>
    <w:rsid w:val="00937A66"/>
    <w:rsid w:val="00941A6C"/>
    <w:rsid w:val="00944130"/>
    <w:rsid w:val="00956915"/>
    <w:rsid w:val="009577F7"/>
    <w:rsid w:val="009634EB"/>
    <w:rsid w:val="0097284C"/>
    <w:rsid w:val="00972ACA"/>
    <w:rsid w:val="00976041"/>
    <w:rsid w:val="00991CA1"/>
    <w:rsid w:val="009A68DC"/>
    <w:rsid w:val="009B3E87"/>
    <w:rsid w:val="009B7D6D"/>
    <w:rsid w:val="009B7DEF"/>
    <w:rsid w:val="009D7A1E"/>
    <w:rsid w:val="009F698F"/>
    <w:rsid w:val="009F7ED2"/>
    <w:rsid w:val="00A07724"/>
    <w:rsid w:val="00A17DF4"/>
    <w:rsid w:val="00A36981"/>
    <w:rsid w:val="00A43811"/>
    <w:rsid w:val="00A47189"/>
    <w:rsid w:val="00A534DF"/>
    <w:rsid w:val="00A6054B"/>
    <w:rsid w:val="00A630DF"/>
    <w:rsid w:val="00A640DF"/>
    <w:rsid w:val="00A64902"/>
    <w:rsid w:val="00A654DE"/>
    <w:rsid w:val="00A70F65"/>
    <w:rsid w:val="00A90349"/>
    <w:rsid w:val="00AB465B"/>
    <w:rsid w:val="00AC464A"/>
    <w:rsid w:val="00AC69EC"/>
    <w:rsid w:val="00AD3BE0"/>
    <w:rsid w:val="00AE754D"/>
    <w:rsid w:val="00B00899"/>
    <w:rsid w:val="00B06D2C"/>
    <w:rsid w:val="00B13BBC"/>
    <w:rsid w:val="00B36908"/>
    <w:rsid w:val="00B40110"/>
    <w:rsid w:val="00B40E2D"/>
    <w:rsid w:val="00B52060"/>
    <w:rsid w:val="00B55317"/>
    <w:rsid w:val="00B5678C"/>
    <w:rsid w:val="00B56A1E"/>
    <w:rsid w:val="00B9386E"/>
    <w:rsid w:val="00BB5871"/>
    <w:rsid w:val="00BB64B7"/>
    <w:rsid w:val="00BB66A2"/>
    <w:rsid w:val="00BD06E7"/>
    <w:rsid w:val="00BD1C8B"/>
    <w:rsid w:val="00BF0D23"/>
    <w:rsid w:val="00BF33AD"/>
    <w:rsid w:val="00BF49F0"/>
    <w:rsid w:val="00C03CBD"/>
    <w:rsid w:val="00C06DE6"/>
    <w:rsid w:val="00C13636"/>
    <w:rsid w:val="00C1555B"/>
    <w:rsid w:val="00C23AB5"/>
    <w:rsid w:val="00C37359"/>
    <w:rsid w:val="00C447A5"/>
    <w:rsid w:val="00C51627"/>
    <w:rsid w:val="00C51E68"/>
    <w:rsid w:val="00C54C87"/>
    <w:rsid w:val="00C63E4C"/>
    <w:rsid w:val="00C70054"/>
    <w:rsid w:val="00C76547"/>
    <w:rsid w:val="00C86106"/>
    <w:rsid w:val="00C9463D"/>
    <w:rsid w:val="00C95138"/>
    <w:rsid w:val="00C96BA6"/>
    <w:rsid w:val="00C97619"/>
    <w:rsid w:val="00C97E65"/>
    <w:rsid w:val="00CA075F"/>
    <w:rsid w:val="00CC6C47"/>
    <w:rsid w:val="00CD7185"/>
    <w:rsid w:val="00CE27E6"/>
    <w:rsid w:val="00CE4BC4"/>
    <w:rsid w:val="00CF4F5B"/>
    <w:rsid w:val="00CF6FAB"/>
    <w:rsid w:val="00D105C9"/>
    <w:rsid w:val="00D113A0"/>
    <w:rsid w:val="00D154CB"/>
    <w:rsid w:val="00D46DF5"/>
    <w:rsid w:val="00D5131A"/>
    <w:rsid w:val="00D62FDF"/>
    <w:rsid w:val="00D77DFB"/>
    <w:rsid w:val="00D90299"/>
    <w:rsid w:val="00DA1D5B"/>
    <w:rsid w:val="00DA30FA"/>
    <w:rsid w:val="00DC15A6"/>
    <w:rsid w:val="00DC4EE0"/>
    <w:rsid w:val="00DD166A"/>
    <w:rsid w:val="00DE4AE4"/>
    <w:rsid w:val="00DE7CFA"/>
    <w:rsid w:val="00DF34E3"/>
    <w:rsid w:val="00E017E3"/>
    <w:rsid w:val="00E07B9A"/>
    <w:rsid w:val="00E27F87"/>
    <w:rsid w:val="00E32A29"/>
    <w:rsid w:val="00E4389C"/>
    <w:rsid w:val="00E4679C"/>
    <w:rsid w:val="00E47469"/>
    <w:rsid w:val="00E47DE3"/>
    <w:rsid w:val="00E610BD"/>
    <w:rsid w:val="00E6743C"/>
    <w:rsid w:val="00E71316"/>
    <w:rsid w:val="00E80DA7"/>
    <w:rsid w:val="00E82690"/>
    <w:rsid w:val="00E91A1B"/>
    <w:rsid w:val="00E969AB"/>
    <w:rsid w:val="00EA1A0D"/>
    <w:rsid w:val="00EA46E7"/>
    <w:rsid w:val="00EA4FB8"/>
    <w:rsid w:val="00EB2D07"/>
    <w:rsid w:val="00EB5C87"/>
    <w:rsid w:val="00EB7862"/>
    <w:rsid w:val="00EC2B47"/>
    <w:rsid w:val="00EC443A"/>
    <w:rsid w:val="00ED0592"/>
    <w:rsid w:val="00ED786F"/>
    <w:rsid w:val="00EE595C"/>
    <w:rsid w:val="00EF2AFA"/>
    <w:rsid w:val="00EF3B12"/>
    <w:rsid w:val="00EF56D3"/>
    <w:rsid w:val="00EF790C"/>
    <w:rsid w:val="00F01185"/>
    <w:rsid w:val="00F03957"/>
    <w:rsid w:val="00F062C8"/>
    <w:rsid w:val="00F120CB"/>
    <w:rsid w:val="00F126E2"/>
    <w:rsid w:val="00F80DDB"/>
    <w:rsid w:val="00F85E3F"/>
    <w:rsid w:val="00F93FEA"/>
    <w:rsid w:val="00F9716E"/>
    <w:rsid w:val="00FA5A44"/>
    <w:rsid w:val="00FC5CE3"/>
    <w:rsid w:val="00FD5FE0"/>
    <w:rsid w:val="00FE4391"/>
    <w:rsid w:val="00FE5300"/>
    <w:rsid w:val="00FF375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5EB0E"/>
  <w15:docId w15:val="{2B6C65E8-DB4E-4BB7-A047-2EB21C98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_tradnl"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E47DE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Cs/>
      <w:i/>
      <w:caps/>
      <w:color w:val="499BC9" w:themeColor="accent1"/>
      <w:sz w:val="28"/>
      <w:szCs w:val="28"/>
      <w:bdr w:val="none" w:sz="0" w:space="0" w:color="auto"/>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ascii="Cambria" w:eastAsia="Cambria" w:hAnsi="Cambria" w:cs="Cambria"/>
      <w:color w:val="000000"/>
      <w:sz w:val="24"/>
      <w:szCs w:val="24"/>
      <w:u w:color="000000"/>
    </w:rPr>
  </w:style>
  <w:style w:type="paragraph" w:styleId="Piedepgina">
    <w:name w:val="footer"/>
    <w:link w:val="PiedepginaCar"/>
    <w:pPr>
      <w:tabs>
        <w:tab w:val="center" w:pos="4252"/>
        <w:tab w:val="right" w:pos="8504"/>
      </w:tabs>
    </w:pPr>
    <w:rPr>
      <w:rFonts w:ascii="Cambria" w:eastAsia="Cambria" w:hAnsi="Cambria" w:cs="Cambria"/>
      <w:color w:val="000000"/>
      <w:sz w:val="24"/>
      <w:szCs w:val="24"/>
      <w:u w:color="000000"/>
    </w:rPr>
  </w:style>
  <w:style w:type="paragraph" w:customStyle="1" w:styleId="Cuerpo">
    <w:name w:val="Cuerpo"/>
    <w:rPr>
      <w:rFonts w:ascii="Times" w:eastAsia="Times" w:hAnsi="Times" w:cs="Times"/>
      <w:color w:val="000000"/>
      <w:sz w:val="24"/>
      <w:szCs w:val="24"/>
      <w:u w:color="000000"/>
    </w:rPr>
  </w:style>
  <w:style w:type="paragraph" w:customStyle="1" w:styleId="TITULARMICHELIN">
    <w:name w:val="TITULAR MICHELIN"/>
    <w:pPr>
      <w:spacing w:line="360" w:lineRule="exact"/>
    </w:pPr>
    <w:rPr>
      <w:rFonts w:ascii="Times" w:eastAsia="Times" w:hAnsi="Times" w:cs="Times"/>
      <w:b/>
      <w:bCs/>
      <w:color w:val="333399"/>
      <w:sz w:val="40"/>
      <w:szCs w:val="40"/>
      <w:u w:color="333399"/>
    </w:rPr>
  </w:style>
  <w:style w:type="numbering" w:customStyle="1" w:styleId="List0">
    <w:name w:val="List 0"/>
    <w:basedOn w:val="Estiloimportado2"/>
    <w:pPr>
      <w:numPr>
        <w:numId w:val="3"/>
      </w:numPr>
    </w:pPr>
  </w:style>
  <w:style w:type="numbering" w:customStyle="1" w:styleId="Estiloimportado2">
    <w:name w:val="Estilo importado 2"/>
  </w:style>
  <w:style w:type="numbering" w:customStyle="1" w:styleId="List1">
    <w:name w:val="List 1"/>
    <w:basedOn w:val="Estiloimportado2"/>
    <w:pPr>
      <w:numPr>
        <w:numId w:val="2"/>
      </w:numPr>
    </w:pPr>
  </w:style>
  <w:style w:type="paragraph" w:customStyle="1" w:styleId="TextoMichelin">
    <w:name w:val="Texto Michelin"/>
    <w:pPr>
      <w:spacing w:after="240" w:line="270" w:lineRule="atLeast"/>
      <w:jc w:val="both"/>
    </w:pPr>
    <w:rPr>
      <w:rFonts w:ascii="Arial" w:hAnsi="Arial Unicode MS" w:cs="Arial Unicode MS"/>
      <w:color w:val="000000"/>
      <w:sz w:val="21"/>
      <w:szCs w:val="21"/>
      <w:u w:color="000000"/>
    </w:rPr>
  </w:style>
  <w:style w:type="paragraph" w:customStyle="1" w:styleId="LadilloMichelinDossier">
    <w:name w:val="Ladillo Michelin Dossier"/>
    <w:pPr>
      <w:spacing w:before="480" w:after="120" w:line="270" w:lineRule="atLeast"/>
    </w:pPr>
    <w:rPr>
      <w:rFonts w:ascii="Times" w:eastAsia="Times" w:hAnsi="Times" w:cs="Times"/>
      <w:b/>
      <w:bCs/>
      <w:color w:val="000000"/>
      <w:sz w:val="26"/>
      <w:szCs w:val="26"/>
      <w:u w:color="000000"/>
    </w:rPr>
  </w:style>
  <w:style w:type="numbering" w:customStyle="1" w:styleId="Lista21">
    <w:name w:val="Lista 21"/>
    <w:basedOn w:val="Estiloimportado2"/>
    <w:pPr>
      <w:numPr>
        <w:numId w:val="7"/>
      </w:numPr>
    </w:pPr>
  </w:style>
  <w:style w:type="numbering" w:customStyle="1" w:styleId="Lista31">
    <w:name w:val="Lista 31"/>
    <w:basedOn w:val="Estiloimportado3"/>
    <w:pPr>
      <w:numPr>
        <w:numId w:val="8"/>
      </w:numPr>
    </w:pPr>
  </w:style>
  <w:style w:type="numbering" w:customStyle="1" w:styleId="Estiloimportado3">
    <w:name w:val="Estilo importado 3"/>
  </w:style>
  <w:style w:type="numbering" w:customStyle="1" w:styleId="Lista41">
    <w:name w:val="Lista 41"/>
    <w:basedOn w:val="Estiloimportado4"/>
    <w:pPr>
      <w:numPr>
        <w:numId w:val="9"/>
      </w:numPr>
    </w:pPr>
  </w:style>
  <w:style w:type="numbering" w:customStyle="1" w:styleId="Estiloimportado4">
    <w:name w:val="Estilo importado 4"/>
  </w:style>
  <w:style w:type="paragraph" w:customStyle="1" w:styleId="Body1">
    <w:name w:val="Body 1"/>
    <w:pPr>
      <w:outlineLvl w:val="0"/>
    </w:pPr>
    <w:rPr>
      <w:rFonts w:hAnsi="Arial Unicode MS" w:cs="Arial Unicode MS"/>
      <w:color w:val="000000"/>
      <w:sz w:val="24"/>
      <w:szCs w:val="24"/>
      <w:u w:color="000000"/>
    </w:rPr>
  </w:style>
  <w:style w:type="numbering" w:customStyle="1" w:styleId="Lista51">
    <w:name w:val="Lista 51"/>
    <w:basedOn w:val="Estiloimportado2"/>
    <w:pPr>
      <w:numPr>
        <w:numId w:val="12"/>
      </w:numPr>
    </w:pPr>
  </w:style>
  <w:style w:type="numbering" w:customStyle="1" w:styleId="List6">
    <w:name w:val="List 6"/>
    <w:basedOn w:val="Estiloimportado5"/>
    <w:pPr>
      <w:numPr>
        <w:numId w:val="13"/>
      </w:numPr>
    </w:pPr>
  </w:style>
  <w:style w:type="numbering" w:customStyle="1" w:styleId="Estiloimportado5">
    <w:name w:val="Estilo importado 5"/>
  </w:style>
  <w:style w:type="character" w:customStyle="1" w:styleId="Enlace">
    <w:name w:val="Enlace"/>
    <w:rPr>
      <w:color w:val="0000FF"/>
      <w:u w:val="single" w:color="0000FF"/>
    </w:rPr>
  </w:style>
  <w:style w:type="character" w:customStyle="1" w:styleId="Hyperlink0">
    <w:name w:val="Hyperlink.0"/>
    <w:basedOn w:val="Enlace"/>
    <w:rPr>
      <w:rFonts w:ascii="Arial" w:eastAsia="Arial" w:hAnsi="Arial" w:cs="Arial"/>
      <w:color w:val="0000FF"/>
      <w:sz w:val="21"/>
      <w:szCs w:val="21"/>
      <w:u w:val="single" w:color="0000FF"/>
    </w:rPr>
  </w:style>
  <w:style w:type="character" w:styleId="Nmerodepgina">
    <w:name w:val="page number"/>
  </w:style>
  <w:style w:type="character" w:customStyle="1" w:styleId="Hyperlink1">
    <w:name w:val="Hyperlink.1"/>
    <w:basedOn w:val="Nmerodepgina"/>
    <w:rPr>
      <w:rFonts w:ascii="Arial" w:eastAsia="Arial" w:hAnsi="Arial" w:cs="Arial"/>
      <w:b/>
      <w:bCs/>
      <w:i/>
      <w:iCs/>
      <w:color w:val="0000FF"/>
      <w:sz w:val="21"/>
      <w:szCs w:val="21"/>
      <w:u w:val="single" w:color="0000FF"/>
    </w:rPr>
  </w:style>
  <w:style w:type="paragraph" w:customStyle="1" w:styleId="titulocapitulodossier">
    <w:name w:val="titulo capitulo dossier"/>
    <w:pPr>
      <w:spacing w:after="240" w:line="360" w:lineRule="exact"/>
      <w:outlineLvl w:val="0"/>
    </w:pPr>
    <w:rPr>
      <w:rFonts w:ascii="Times" w:eastAsia="Times" w:hAnsi="Times" w:cs="Times"/>
      <w:b/>
      <w:bCs/>
      <w:color w:val="333399"/>
      <w:sz w:val="32"/>
      <w:szCs w:val="32"/>
      <w:u w:color="333399"/>
    </w:rPr>
  </w:style>
  <w:style w:type="paragraph" w:styleId="Textonotapie">
    <w:name w:val="footnote text"/>
    <w:basedOn w:val="Normal"/>
    <w:link w:val="TextonotapieCar"/>
    <w:unhideWhenUsed/>
    <w:rsid w:val="009B7D6D"/>
  </w:style>
  <w:style w:type="character" w:customStyle="1" w:styleId="TextonotapieCar">
    <w:name w:val="Texto nota pie Car"/>
    <w:basedOn w:val="Fuentedeprrafopredeter"/>
    <w:link w:val="Textonotapie"/>
    <w:rsid w:val="009B7D6D"/>
    <w:rPr>
      <w:sz w:val="24"/>
      <w:szCs w:val="24"/>
      <w:lang w:eastAsia="en-US"/>
    </w:rPr>
  </w:style>
  <w:style w:type="character" w:styleId="Refdenotaalpie">
    <w:name w:val="footnote reference"/>
    <w:basedOn w:val="Fuentedeprrafopredeter"/>
    <w:unhideWhenUsed/>
    <w:rsid w:val="009B7D6D"/>
    <w:rPr>
      <w:vertAlign w:val="superscript"/>
    </w:rPr>
  </w:style>
  <w:style w:type="character" w:customStyle="1" w:styleId="hps">
    <w:name w:val="hps"/>
    <w:basedOn w:val="Fuentedeprrafopredeter"/>
    <w:rsid w:val="009B7D6D"/>
  </w:style>
  <w:style w:type="character" w:customStyle="1" w:styleId="PiedepginaCar">
    <w:name w:val="Pie de página Car"/>
    <w:basedOn w:val="Fuentedeprrafopredeter"/>
    <w:link w:val="Piedepgina"/>
    <w:rsid w:val="00F9716E"/>
    <w:rPr>
      <w:rFonts w:ascii="Cambria" w:eastAsia="Cambria" w:hAnsi="Cambria" w:cs="Cambria"/>
      <w:color w:val="000000"/>
      <w:sz w:val="24"/>
      <w:szCs w:val="24"/>
      <w:u w:color="000000"/>
    </w:rPr>
  </w:style>
  <w:style w:type="paragraph" w:styleId="Prrafodelista">
    <w:name w:val="List Paragraph"/>
    <w:basedOn w:val="Normal"/>
    <w:uiPriority w:val="34"/>
    <w:qFormat/>
    <w:rsid w:val="00035D4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Utopia" w:eastAsia="Times New Roman" w:hAnsi="Utopia"/>
      <w:sz w:val="20"/>
      <w:szCs w:val="20"/>
      <w:bdr w:val="none" w:sz="0" w:space="0" w:color="auto"/>
      <w:lang w:val="fr-FR" w:eastAsia="fr-FR"/>
    </w:rPr>
  </w:style>
  <w:style w:type="paragraph" w:styleId="Textonotaalfinal">
    <w:name w:val="endnote text"/>
    <w:basedOn w:val="Normal"/>
    <w:link w:val="TextonotaalfinalCar"/>
    <w:uiPriority w:val="99"/>
    <w:semiHidden/>
    <w:unhideWhenUsed/>
    <w:rsid w:val="00694FB4"/>
  </w:style>
  <w:style w:type="character" w:customStyle="1" w:styleId="TextonotaalfinalCar">
    <w:name w:val="Texto nota al final Car"/>
    <w:basedOn w:val="Fuentedeprrafopredeter"/>
    <w:link w:val="Textonotaalfinal"/>
    <w:uiPriority w:val="99"/>
    <w:semiHidden/>
    <w:rsid w:val="00694FB4"/>
    <w:rPr>
      <w:sz w:val="24"/>
      <w:szCs w:val="24"/>
      <w:lang w:eastAsia="en-US"/>
    </w:rPr>
  </w:style>
  <w:style w:type="character" w:styleId="Refdenotaalfinal">
    <w:name w:val="endnote reference"/>
    <w:basedOn w:val="Fuentedeprrafopredeter"/>
    <w:uiPriority w:val="99"/>
    <w:semiHidden/>
    <w:unhideWhenUsed/>
    <w:rsid w:val="00694FB4"/>
    <w:rPr>
      <w:vertAlign w:val="superscript"/>
    </w:rPr>
  </w:style>
  <w:style w:type="paragraph" w:styleId="Subttulo">
    <w:name w:val="Subtitle"/>
    <w:basedOn w:val="Normal"/>
    <w:next w:val="Normal"/>
    <w:link w:val="SubttuloCar"/>
    <w:uiPriority w:val="11"/>
    <w:qFormat/>
    <w:rsid w:val="00E4389C"/>
    <w:pPr>
      <w:numPr>
        <w:ilvl w:val="1"/>
      </w:numPr>
      <w:pBdr>
        <w:top w:val="none" w:sz="0" w:space="0" w:color="auto"/>
        <w:left w:val="none" w:sz="0" w:space="0" w:color="auto"/>
        <w:bottom w:val="none" w:sz="0" w:space="0" w:color="auto"/>
        <w:right w:val="none" w:sz="0" w:space="0" w:color="auto"/>
        <w:between w:val="none" w:sz="0" w:space="0" w:color="auto"/>
        <w:bar w:val="none" w:sz="0" w:color="auto"/>
      </w:pBdr>
    </w:pPr>
    <w:rPr>
      <w:rFonts w:asciiTheme="majorHAnsi" w:eastAsiaTheme="majorEastAsia" w:hAnsiTheme="majorHAnsi" w:cstheme="majorBidi"/>
      <w:i/>
      <w:iCs/>
      <w:spacing w:val="15"/>
      <w:bdr w:val="none" w:sz="0" w:space="0" w:color="auto"/>
      <w:lang w:val="fr-FR" w:eastAsia="fr-FR"/>
    </w:rPr>
  </w:style>
  <w:style w:type="character" w:customStyle="1" w:styleId="SubttuloCar">
    <w:name w:val="Subtítulo Car"/>
    <w:basedOn w:val="Fuentedeprrafopredeter"/>
    <w:link w:val="Subttulo"/>
    <w:uiPriority w:val="11"/>
    <w:rsid w:val="00E4389C"/>
    <w:rPr>
      <w:rFonts w:asciiTheme="majorHAnsi" w:eastAsiaTheme="majorEastAsia" w:hAnsiTheme="majorHAnsi" w:cstheme="majorBidi"/>
      <w:i/>
      <w:iCs/>
      <w:spacing w:val="15"/>
      <w:sz w:val="24"/>
      <w:szCs w:val="24"/>
      <w:bdr w:val="none" w:sz="0" w:space="0" w:color="auto"/>
      <w:lang w:val="fr-FR" w:eastAsia="fr-FR"/>
    </w:rPr>
  </w:style>
  <w:style w:type="table" w:styleId="Tablaconcuadrcula">
    <w:name w:val="Table Grid"/>
    <w:basedOn w:val="Tablanormal"/>
    <w:uiPriority w:val="59"/>
    <w:rsid w:val="00092DA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47DE3"/>
    <w:rPr>
      <w:rFonts w:asciiTheme="majorHAnsi" w:eastAsiaTheme="majorEastAsia" w:hAnsiTheme="majorHAnsi" w:cstheme="majorBidi"/>
      <w:bCs/>
      <w:i/>
      <w:caps/>
      <w:color w:val="499BC9" w:themeColor="accent1"/>
      <w:sz w:val="28"/>
      <w:szCs w:val="28"/>
      <w:bdr w:val="none" w:sz="0" w:space="0" w:color="auto"/>
      <w:lang w:val="fr-FR" w:eastAsia="fr-FR"/>
    </w:rPr>
  </w:style>
  <w:style w:type="paragraph" w:styleId="Lista2">
    <w:name w:val="List 2"/>
    <w:basedOn w:val="Normal"/>
    <w:uiPriority w:val="99"/>
    <w:semiHidden/>
    <w:unhideWhenUsed/>
    <w:rsid w:val="006F356D"/>
    <w:pPr>
      <w:ind w:left="566" w:hanging="283"/>
      <w:contextualSpacing/>
    </w:pPr>
  </w:style>
  <w:style w:type="paragraph" w:styleId="Textodeglobo">
    <w:name w:val="Balloon Text"/>
    <w:basedOn w:val="Normal"/>
    <w:link w:val="TextodegloboCar"/>
    <w:uiPriority w:val="99"/>
    <w:semiHidden/>
    <w:unhideWhenUsed/>
    <w:rsid w:val="00417243"/>
    <w:rPr>
      <w:rFonts w:ascii="Tahoma" w:hAnsi="Tahoma" w:cs="Tahoma"/>
      <w:sz w:val="16"/>
      <w:szCs w:val="16"/>
    </w:rPr>
  </w:style>
  <w:style w:type="character" w:customStyle="1" w:styleId="TextodegloboCar">
    <w:name w:val="Texto de globo Car"/>
    <w:basedOn w:val="Fuentedeprrafopredeter"/>
    <w:link w:val="Textodeglobo"/>
    <w:uiPriority w:val="99"/>
    <w:semiHidden/>
    <w:rsid w:val="0041724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966615">
      <w:bodyDiv w:val="1"/>
      <w:marLeft w:val="0"/>
      <w:marRight w:val="0"/>
      <w:marTop w:val="0"/>
      <w:marBottom w:val="0"/>
      <w:divBdr>
        <w:top w:val="none" w:sz="0" w:space="0" w:color="auto"/>
        <w:left w:val="none" w:sz="0" w:space="0" w:color="auto"/>
        <w:bottom w:val="none" w:sz="0" w:space="0" w:color="auto"/>
        <w:right w:val="none" w:sz="0" w:space="0" w:color="auto"/>
      </w:divBdr>
    </w:div>
    <w:div w:id="707489955">
      <w:bodyDiv w:val="1"/>
      <w:marLeft w:val="0"/>
      <w:marRight w:val="0"/>
      <w:marTop w:val="0"/>
      <w:marBottom w:val="0"/>
      <w:divBdr>
        <w:top w:val="none" w:sz="0" w:space="0" w:color="auto"/>
        <w:left w:val="none" w:sz="0" w:space="0" w:color="auto"/>
        <w:bottom w:val="none" w:sz="0" w:space="0" w:color="auto"/>
        <w:right w:val="none" w:sz="0" w:space="0" w:color="auto"/>
      </w:divBdr>
    </w:div>
    <w:div w:id="920800424">
      <w:bodyDiv w:val="1"/>
      <w:marLeft w:val="0"/>
      <w:marRight w:val="0"/>
      <w:marTop w:val="0"/>
      <w:marBottom w:val="0"/>
      <w:divBdr>
        <w:top w:val="none" w:sz="0" w:space="0" w:color="auto"/>
        <w:left w:val="none" w:sz="0" w:space="0" w:color="auto"/>
        <w:bottom w:val="none" w:sz="0" w:space="0" w:color="auto"/>
        <w:right w:val="none" w:sz="0" w:space="0" w:color="auto"/>
      </w:divBdr>
    </w:div>
    <w:div w:id="124172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ichelin.com" TargetMode="External"/><Relationship Id="rId4" Type="http://schemas.openxmlformats.org/officeDocument/2006/relationships/webSettings" Target="webSettings.xml"/><Relationship Id="rId9" Type="http://schemas.openxmlformats.org/officeDocument/2006/relationships/hyperlink" Target="http://www.michelin.com/corporate/fin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a:ea typeface="Times"/>
            <a:cs typeface="Time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16</Pages>
  <Words>3963</Words>
  <Characters>21799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Avalon</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Sanchidrian-San-Frutos</dc:creator>
  <cp:lastModifiedBy>Marta</cp:lastModifiedBy>
  <cp:revision>11</cp:revision>
  <cp:lastPrinted>2015-02-11T09:14:00Z</cp:lastPrinted>
  <dcterms:created xsi:type="dcterms:W3CDTF">2016-02-17T10:22:00Z</dcterms:created>
  <dcterms:modified xsi:type="dcterms:W3CDTF">2016-02-22T12:57:00Z</dcterms:modified>
</cp:coreProperties>
</file>