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BF" w:rsidRPr="00850BAB" w:rsidRDefault="009D1A9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color w:val="808080"/>
          <w:sz w:val="24"/>
          <w:szCs w:val="24"/>
        </w:rPr>
      </w:pPr>
      <w:r w:rsidRPr="009D1A9F">
        <w:rPr>
          <w:rFonts w:ascii="Times" w:hAnsi="Times"/>
          <w:noProof/>
          <w:lang/>
        </w:rPr>
        <w:pict>
          <v:group id="Groupe 5" o:spid="_x0000_s1026" style="position:absolute;left:0;text-align:left;margin-left:-46.05pt;margin-top:-69.95pt;width:89.3pt;height:234.05pt;z-index:-251655168" coordsize="1133983,2972435" wrapcoords="20692 -69 19785 1038 3812 1246 3086 1315 2904 19869 1634 21185 1634 21600 1815 21600 2904 21600 21600 831 21963 0 21782 -69 2069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Cbwz8jiAAAACwEAAA8AAAAAAAAAAAAAAAAAfAgAAGRycy9kb3du&#10;cmV2LnhtbFBLBQYAAAAABAAEAPMAAACLCQAAAAA=&#10;">
            <v:shape id="Triangle isocèle 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,2732860l475546,,866399,2594607,,2732860xe" fillcolor="#27509b [3204]" stroked="f" strokeweight="2pt">
              <v:path arrowok="t" o:connecttype="custom" o:connectlocs="0,2635250;474707,0;864870,2501935;0,2635250" o:connectangles="0,0,0,0"/>
            </v:shape>
            <v:line id="Connecteur droit 3" o:spid="_x0000_s1028" style="position:absolute;flip:x;visibility:visibl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<w10:wrap type="tight"/>
          </v:group>
        </w:pict>
      </w:r>
      <w:r w:rsidR="00D17C27">
        <w:rPr>
          <w:rFonts w:ascii="Times" w:hAnsi="Times"/>
          <w:b/>
          <w:bCs/>
          <w:color w:val="808080"/>
          <w:sz w:val="24"/>
          <w:szCs w:val="24"/>
          <w:lang/>
        </w:rPr>
        <w:t>INFORMAÇÃO DE IMPRENSA</w:t>
      </w:r>
      <w:r w:rsidR="00D17C27">
        <w:rPr>
          <w:rFonts w:ascii="Times" w:hAnsi="Times"/>
          <w:color w:val="808080"/>
          <w:sz w:val="24"/>
          <w:szCs w:val="24"/>
          <w:lang/>
        </w:rPr>
        <w:br/>
      </w:r>
      <w:r>
        <w:rPr>
          <w:rFonts w:ascii="Times" w:hAnsi="Times"/>
          <w:color w:val="808080"/>
          <w:sz w:val="24"/>
          <w:szCs w:val="24"/>
          <w:lang/>
        </w:rPr>
        <w:fldChar w:fldCharType="begin"/>
      </w:r>
      <w:r w:rsidR="00D17C27">
        <w:rPr>
          <w:rFonts w:ascii="Times" w:hAnsi="Times"/>
          <w:color w:val="808080"/>
          <w:sz w:val="24"/>
          <w:szCs w:val="24"/>
          <w:lang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/>
        </w:rPr>
        <w:fldChar w:fldCharType="separate"/>
      </w:r>
      <w:r w:rsidR="00704FEF">
        <w:rPr>
          <w:rFonts w:ascii="Times" w:hAnsi="Times"/>
          <w:noProof/>
          <w:color w:val="808080"/>
          <w:sz w:val="24"/>
          <w:szCs w:val="24"/>
          <w:lang/>
        </w:rPr>
        <w:t>28/07/2016</w:t>
      </w:r>
      <w:r>
        <w:rPr>
          <w:rFonts w:ascii="Times" w:hAnsi="Times"/>
          <w:color w:val="808080"/>
          <w:sz w:val="24"/>
          <w:szCs w:val="24"/>
          <w:lang/>
        </w:rPr>
        <w:fldChar w:fldCharType="end"/>
      </w:r>
      <w:r w:rsidR="00D17C27">
        <w:rPr>
          <w:rFonts w:ascii="Times" w:hAnsi="Times"/>
          <w:color w:val="808080"/>
          <w:sz w:val="24"/>
          <w:szCs w:val="24"/>
          <w:lang/>
        </w:rPr>
        <w:br/>
      </w:r>
    </w:p>
    <w:p w:rsidR="00FB3F81" w:rsidRPr="00850BAB" w:rsidRDefault="00FB3F81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</w:p>
    <w:p w:rsidR="00367448" w:rsidRPr="00850BAB" w:rsidRDefault="00130500" w:rsidP="00D61778">
      <w:pPr>
        <w:pStyle w:val="TITULARMICHELIN"/>
        <w:spacing w:after="120"/>
        <w:jc w:val="center"/>
        <w:rPr>
          <w:rFonts w:ascii="Utopia" w:hAnsi="Utopia"/>
          <w:sz w:val="28"/>
        </w:rPr>
      </w:pPr>
      <w:r>
        <w:rPr>
          <w:rFonts w:eastAsia="Arial Unicode MS"/>
          <w:bCs/>
          <w:sz w:val="38"/>
          <w:u w:color="333399"/>
          <w:lang/>
        </w:rPr>
        <w:t>Resultados financeiros do Grupo Michelin</w:t>
      </w:r>
      <w:r>
        <w:rPr>
          <w:rFonts w:eastAsia="Arial Unicode MS"/>
          <w:b w:val="0"/>
          <w:u w:color="333399"/>
          <w:lang/>
        </w:rPr>
        <w:cr/>
      </w:r>
      <w:r>
        <w:rPr>
          <w:rFonts w:eastAsia="Arial Unicode MS"/>
          <w:bCs/>
          <w:sz w:val="28"/>
          <w:u w:color="333399"/>
          <w:lang/>
        </w:rPr>
        <w:t>Informação financeira correspondente a 30 de junho de 2016</w:t>
      </w:r>
    </w:p>
    <w:p w:rsidR="00863BE7" w:rsidRPr="00850BAB" w:rsidRDefault="009D1A9F" w:rsidP="00863BE7">
      <w:pPr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color w:val="000000"/>
          <w:sz w:val="16"/>
          <w:szCs w:val="24"/>
          <w:u w:color="000000"/>
        </w:rPr>
      </w:pPr>
      <w:r w:rsidRPr="009D1A9F">
        <w:rPr>
          <w:rFonts w:ascii="Verdana" w:eastAsia="Arial Unicode MS" w:hAnsi="Verdana"/>
          <w:b/>
          <w:bCs/>
          <w:noProof/>
          <w:color w:val="000000"/>
          <w:sz w:val="16"/>
          <w:u w:color="000000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9" type="#_x0000_t202" style="position:absolute;left:0;text-align:left;margin-left:41.15pt;margin-top:9.3pt;width:413.8pt;height:152.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" filled="f" strokecolor="#27509b [3204]">
            <v:textbox>
              <w:txbxContent>
                <w:p w:rsidR="007C60EC" w:rsidRDefault="007C60EC" w:rsidP="0046553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/>
                    </w:rPr>
                    <w:t>Resultado operacional em atividades correntes de 1.405 milhões de euros, a aumentar em relação ao ano anterior, o que representa 13,7% das vendas líquidas</w:t>
                  </w:r>
                </w:p>
                <w:p w:rsidR="007C60EC" w:rsidRPr="006D53F2" w:rsidRDefault="007C60EC" w:rsidP="0046553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/>
                    </w:rPr>
                    <w:t xml:space="preserve">Volume em crescimento de 2,5%, superior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32"/>
                      <w:szCs w:val="24"/>
                      <w:lang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/>
                    </w:rPr>
                    <w:t>aos mercados.</w:t>
                  </w:r>
                </w:p>
                <w:p w:rsidR="007C60EC" w:rsidRPr="006D53F2" w:rsidRDefault="007C60EC" w:rsidP="00465538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32"/>
                      <w:szCs w:val="24"/>
                      <w:lang/>
                    </w:rPr>
                    <w:t>Confirmadas as tendências para 2016</w:t>
                  </w:r>
                </w:p>
              </w:txbxContent>
            </v:textbox>
            <w10:wrap type="square"/>
          </v:shape>
        </w:pict>
      </w: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</w:p>
    <w:p w:rsidR="00465538" w:rsidRDefault="00465538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</w:p>
    <w:p w:rsidR="00160584" w:rsidRDefault="00160584" w:rsidP="0046553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</w:p>
    <w:p w:rsidR="00160584" w:rsidRPr="00850BAB" w:rsidRDefault="00160584" w:rsidP="00160584">
      <w:pPr>
        <w:numPr>
          <w:ilvl w:val="0"/>
          <w:numId w:val="3"/>
        </w:num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/>
        </w:rPr>
        <w:t xml:space="preserve">Mercados de Ligeiro Camioneta em crescimento, com estáveis em Substituição no segundo trimestre, mercados de </w:t>
      </w:r>
      <w:proofErr w:type="spellStart"/>
      <w:r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/>
        </w:rPr>
        <w:t>Camião</w:t>
      </w:r>
      <w:proofErr w:type="spellEnd"/>
      <w:r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/>
        </w:rPr>
        <w:t xml:space="preserve"> menos dinâmicos e os de Engenharia Civil ainda baixos.</w:t>
      </w:r>
      <w:r>
        <w:rPr>
          <w:rFonts w:ascii="Times" w:eastAsia="Arial Unicode MS" w:hAnsi="Times" w:cs="Times New Roman"/>
          <w:color w:val="000000"/>
          <w:sz w:val="24"/>
          <w:szCs w:val="24"/>
          <w:u w:color="000000"/>
          <w:lang/>
        </w:rPr>
        <w:br/>
      </w:r>
    </w:p>
    <w:p w:rsidR="009D0F3D" w:rsidRPr="00850BAB" w:rsidRDefault="009D0F3D" w:rsidP="009D0F3D">
      <w:pPr>
        <w:numPr>
          <w:ilvl w:val="0"/>
          <w:numId w:val="3"/>
        </w:num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/>
        </w:rPr>
        <w:t xml:space="preserve">Volume em crescimento de 2,5%, superior aos mercados para todas as atividades: em Ligeiro Camioneta (+4%), em </w:t>
      </w:r>
      <w:proofErr w:type="spellStart"/>
      <w:r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/>
        </w:rPr>
        <w:t>Camião</w:t>
      </w:r>
      <w:proofErr w:type="spellEnd"/>
      <w:r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/>
        </w:rPr>
        <w:t xml:space="preserve"> (+1%) e em Especialidades  (-2%).</w:t>
      </w:r>
      <w:r>
        <w:rPr>
          <w:rFonts w:ascii="Times" w:eastAsia="Arial Unicode MS" w:hAnsi="Times" w:cs="Times New Roman"/>
          <w:color w:val="000000"/>
          <w:sz w:val="24"/>
          <w:szCs w:val="24"/>
          <w:u w:color="000000"/>
          <w:lang/>
        </w:rPr>
        <w:br/>
      </w:r>
    </w:p>
    <w:p w:rsidR="0066147D" w:rsidRPr="00850BAB" w:rsidRDefault="00E73D88" w:rsidP="00E73D88">
      <w:pPr>
        <w:numPr>
          <w:ilvl w:val="0"/>
          <w:numId w:val="3"/>
        </w:num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 w:cs="Times New Roman"/>
          <w:b/>
          <w:color w:val="000000"/>
          <w:sz w:val="24"/>
          <w:szCs w:val="24"/>
          <w:u w:color="000000"/>
        </w:rPr>
      </w:pPr>
      <w:r>
        <w:rPr>
          <w:rFonts w:ascii="Times" w:eastAsia="Arial Unicode MS" w:hAnsi="Times" w:cs="Times New Roman"/>
          <w:b/>
          <w:bCs/>
          <w:sz w:val="24"/>
          <w:szCs w:val="24"/>
          <w:u w:color="000000"/>
          <w:lang/>
        </w:rPr>
        <w:t>Resultado operacional em atividades correntes com um grande progresso de 241 milhões de euros com paridades constantes, isto é, 13,7% das vendas líquidas, o que representa uma melhoria de 1,7 pontos graças, especialmente</w:t>
      </w:r>
      <w:r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lang/>
        </w:rPr>
        <w:t>:</w:t>
      </w:r>
      <w:r>
        <w:rPr>
          <w:rFonts w:ascii="Times" w:eastAsia="Arial Unicode MS" w:hAnsi="Times" w:cs="Times New Roman"/>
          <w:color w:val="000000"/>
          <w:sz w:val="24"/>
          <w:szCs w:val="24"/>
          <w:u w:color="000000"/>
          <w:lang/>
        </w:rPr>
        <w:t xml:space="preserve"> </w:t>
      </w:r>
      <w:r>
        <w:rPr>
          <w:rFonts w:ascii="Times" w:eastAsia="Arial Unicode MS" w:hAnsi="Times" w:cs="Times New Roman"/>
          <w:color w:val="000000"/>
          <w:sz w:val="24"/>
          <w:szCs w:val="24"/>
          <w:u w:color="000000"/>
          <w:lang/>
        </w:rPr>
        <w:br/>
      </w:r>
    </w:p>
    <w:p w:rsidR="00F051D4" w:rsidRPr="00850BAB" w:rsidRDefault="00F051D4" w:rsidP="00F051D4">
      <w:pPr>
        <w:numPr>
          <w:ilvl w:val="1"/>
          <w:numId w:val="3"/>
        </w:numPr>
        <w:tabs>
          <w:tab w:val="left" w:pos="1440"/>
        </w:tabs>
        <w:spacing w:after="120" w:line="240" w:lineRule="atLeast"/>
        <w:outlineLvl w:val="0"/>
        <w:rPr>
          <w:rFonts w:ascii="Times" w:eastAsia="Arial Unicode MS" w:hAnsi="Times"/>
          <w:b/>
          <w:color w:val="000000"/>
          <w:sz w:val="24"/>
          <w:szCs w:val="24"/>
          <w:u w:color="000000"/>
        </w:rPr>
      </w:pPr>
      <w:r>
        <w:rPr>
          <w:rFonts w:ascii="Times" w:eastAsia="Arial Unicode MS" w:hAnsi="Times"/>
          <w:b/>
          <w:bCs/>
          <w:color w:val="000000"/>
          <w:sz w:val="24"/>
          <w:szCs w:val="24"/>
          <w:u w:color="000000"/>
          <w:lang/>
        </w:rPr>
        <w:t>Ao efeito positivo do mix de preços/matérias-primas de 115 milhões de euros graças ao seu controlo eficaz e tendo em conta um efeito de base favorável.</w:t>
      </w:r>
    </w:p>
    <w:p w:rsidR="00D67093" w:rsidRPr="00850BAB" w:rsidRDefault="00885AA0" w:rsidP="00273CB2">
      <w:pPr>
        <w:numPr>
          <w:ilvl w:val="1"/>
          <w:numId w:val="3"/>
        </w:numPr>
        <w:tabs>
          <w:tab w:val="left" w:pos="1440"/>
        </w:tabs>
        <w:spacing w:after="120" w:line="240" w:lineRule="atLeast"/>
        <w:outlineLvl w:val="0"/>
        <w:rPr>
          <w:rFonts w:ascii="Times" w:eastAsia="Arial Unicode MS" w:hAnsi="Times"/>
          <w:b/>
          <w:color w:val="000000"/>
          <w:sz w:val="24"/>
          <w:szCs w:val="24"/>
          <w:u w:color="000000"/>
        </w:rPr>
      </w:pPr>
      <w:r>
        <w:rPr>
          <w:rFonts w:ascii="Times" w:eastAsia="Arial Unicode MS" w:hAnsi="Times"/>
          <w:b/>
          <w:bCs/>
          <w:color w:val="000000"/>
          <w:sz w:val="24"/>
          <w:szCs w:val="24"/>
          <w:u w:color="000000"/>
          <w:lang/>
        </w:rPr>
        <w:t>Ao plano de competitividade: ganhos de 155 milhões de euros que permitem, como se previa, compensar a inflação dos custos de produção e das despesas gerais.</w:t>
      </w:r>
    </w:p>
    <w:p w:rsidR="00A44458" w:rsidRDefault="00A44458" w:rsidP="00A44458">
      <w:pPr>
        <w:numPr>
          <w:ilvl w:val="0"/>
          <w:numId w:val="3"/>
        </w:num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 w:cs="Times New Roman"/>
          <w:b/>
          <w:bCs/>
          <w:sz w:val="24"/>
          <w:szCs w:val="24"/>
          <w:u w:color="000000"/>
        </w:rPr>
      </w:pPr>
      <w:proofErr w:type="spellStart"/>
      <w:r>
        <w:rPr>
          <w:rFonts w:ascii="Times" w:eastAsia="Arial Unicode MS" w:hAnsi="Times"/>
          <w:b/>
          <w:bCs/>
          <w:i/>
          <w:iCs/>
          <w:sz w:val="24"/>
          <w:szCs w:val="24"/>
          <w:u w:color="000000"/>
          <w:lang/>
        </w:rPr>
        <w:t>Cash</w:t>
      </w:r>
      <w:proofErr w:type="spellEnd"/>
      <w:r>
        <w:rPr>
          <w:rFonts w:ascii="Times" w:eastAsia="Arial Unicode MS" w:hAnsi="Times"/>
          <w:b/>
          <w:bCs/>
          <w:i/>
          <w:iCs/>
          <w:sz w:val="24"/>
          <w:szCs w:val="24"/>
          <w:u w:color="000000"/>
          <w:lang/>
        </w:rPr>
        <w:t xml:space="preserve"> </w:t>
      </w:r>
      <w:proofErr w:type="spellStart"/>
      <w:r>
        <w:rPr>
          <w:rFonts w:ascii="Times" w:eastAsia="Arial Unicode MS" w:hAnsi="Times"/>
          <w:b/>
          <w:bCs/>
          <w:i/>
          <w:iCs/>
          <w:sz w:val="24"/>
          <w:szCs w:val="24"/>
          <w:u w:color="000000"/>
          <w:lang/>
        </w:rPr>
        <w:t>flow</w:t>
      </w:r>
      <w:proofErr w:type="spellEnd"/>
      <w:r>
        <w:rPr>
          <w:rFonts w:ascii="Times" w:eastAsia="Arial Unicode MS" w:hAnsi="Times"/>
          <w:b/>
          <w:bCs/>
          <w:sz w:val="24"/>
          <w:szCs w:val="24"/>
          <w:u w:color="000000"/>
          <w:lang/>
        </w:rPr>
        <w:t xml:space="preserve"> livre positivo</w:t>
      </w:r>
      <w:r>
        <w:rPr>
          <w:rFonts w:ascii="Times" w:eastAsia="Arial Unicode MS" w:hAnsi="Times"/>
          <w:b/>
          <w:bCs/>
          <w:color w:val="000000"/>
          <w:sz w:val="24"/>
          <w:szCs w:val="24"/>
          <w:u w:color="000000"/>
          <w:lang/>
        </w:rPr>
        <w:t xml:space="preserve"> de 8 milhões de euros, uma melhoria </w:t>
      </w:r>
      <w:r>
        <w:rPr>
          <w:rFonts w:ascii="Times" w:eastAsia="Arial Unicode MS" w:hAnsi="Times"/>
          <w:b/>
          <w:bCs/>
          <w:sz w:val="24"/>
          <w:szCs w:val="24"/>
          <w:u w:color="000000"/>
          <w:lang/>
        </w:rPr>
        <w:t>de 108 milhões de euros em relação ao primeiro semestre de 2015, excluindo aquisições.</w:t>
      </w:r>
    </w:p>
    <w:p w:rsidR="000D0572" w:rsidRPr="00850BAB" w:rsidRDefault="000D0572" w:rsidP="000D0572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 w:cs="Times New Roman"/>
          <w:b/>
          <w:bCs/>
          <w:sz w:val="24"/>
          <w:szCs w:val="24"/>
          <w:u w:color="000000"/>
        </w:rPr>
      </w:pPr>
    </w:p>
    <w:p w:rsidR="00AF3B9F" w:rsidRPr="00850BAB" w:rsidRDefault="00146D52" w:rsidP="00FB3F81">
      <w:pPr>
        <w:numPr>
          <w:ilvl w:val="0"/>
          <w:numId w:val="3"/>
        </w:num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 w:cs="Times New Roman"/>
          <w:b/>
          <w:bCs/>
          <w:sz w:val="24"/>
          <w:szCs w:val="24"/>
          <w:u w:color="000000"/>
        </w:rPr>
      </w:pPr>
      <w:r>
        <w:rPr>
          <w:rFonts w:ascii="Times" w:eastAsia="Arial Unicode MS" w:hAnsi="Times" w:cs="Times New Roman"/>
          <w:b/>
          <w:bCs/>
          <w:sz w:val="24"/>
          <w:szCs w:val="24"/>
          <w:u w:color="000000"/>
          <w:lang/>
        </w:rPr>
        <w:t>Recompra de ações de 150 milhões de euros realizada no primeiro semestre, lançamento previsto de uma segunda fase de 150 milhões de euros no segundo semestre.</w:t>
      </w:r>
    </w:p>
    <w:p w:rsidR="00701B37" w:rsidRPr="00850BAB" w:rsidRDefault="00684A90" w:rsidP="00813242">
      <w:pPr>
        <w:spacing w:before="196"/>
        <w:ind w:left="258" w:right="731"/>
        <w:jc w:val="both"/>
        <w:rPr>
          <w:b/>
          <w:sz w:val="21"/>
          <w:szCs w:val="21"/>
        </w:rPr>
      </w:pPr>
      <w:r>
        <w:rPr>
          <w:sz w:val="21"/>
          <w:szCs w:val="21"/>
          <w:lang/>
        </w:rPr>
        <w:br w:type="column"/>
      </w:r>
      <w:r>
        <w:rPr>
          <w:b/>
          <w:bCs/>
          <w:sz w:val="21"/>
          <w:szCs w:val="21"/>
          <w:lang/>
        </w:rPr>
        <w:lastRenderedPageBreak/>
        <w:t xml:space="preserve">Jean-Dominique </w:t>
      </w:r>
      <w:proofErr w:type="spellStart"/>
      <w:r>
        <w:rPr>
          <w:b/>
          <w:bCs/>
          <w:sz w:val="21"/>
          <w:szCs w:val="21"/>
          <w:lang/>
        </w:rPr>
        <w:t>Senard</w:t>
      </w:r>
      <w:proofErr w:type="spellEnd"/>
      <w:r>
        <w:rPr>
          <w:b/>
          <w:bCs/>
          <w:sz w:val="21"/>
          <w:szCs w:val="21"/>
          <w:lang/>
        </w:rPr>
        <w:t>, presidente do Grupo Michelin, declarou: «</w:t>
      </w:r>
      <w:r>
        <w:rPr>
          <w:b/>
          <w:bCs/>
          <w:i/>
          <w:iCs/>
          <w:sz w:val="21"/>
          <w:szCs w:val="21"/>
          <w:lang/>
        </w:rPr>
        <w:t xml:space="preserve">No primeiro semestre, o Grupo Michelin obteve um elevado resultado </w:t>
      </w:r>
      <w:proofErr w:type="spellStart"/>
      <w:r>
        <w:rPr>
          <w:b/>
          <w:bCs/>
          <w:i/>
          <w:iCs/>
          <w:sz w:val="21"/>
          <w:szCs w:val="21"/>
          <w:lang/>
        </w:rPr>
        <w:t>económico</w:t>
      </w:r>
      <w:proofErr w:type="spellEnd"/>
      <w:r>
        <w:rPr>
          <w:b/>
          <w:bCs/>
          <w:i/>
          <w:iCs/>
          <w:sz w:val="21"/>
          <w:szCs w:val="21"/>
          <w:lang/>
        </w:rPr>
        <w:t xml:space="preserve"> que beneficia da qualidade da sua oferta de pneus e serviços, do eficaz controlo do equilíbrio entre crescimento e preço, assim como dos esforços em competitividade. Nos mercados competitivos, a nossa empresa está cada vez mais concentrada nas quatro áreas de melhoria fixadas ao serviço dos objetivos estratégicos: a qualidade de serviço para os nossos clientes, a simplificação dos nossos modos de funcionamento, a expansão da nossa oferta digital e a contínua responsabilização das nossas equipas.</w:t>
      </w:r>
    </w:p>
    <w:p w:rsidR="003E37E3" w:rsidRPr="00850BAB" w:rsidRDefault="003E37E3" w:rsidP="00A4445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/>
          <w:b/>
          <w:sz w:val="24"/>
          <w:szCs w:val="24"/>
          <w:u w:color="000000"/>
        </w:rPr>
      </w:pPr>
    </w:p>
    <w:p w:rsidR="003E37E3" w:rsidRPr="00850BAB" w:rsidRDefault="003E37E3" w:rsidP="003E37E3">
      <w:pPr>
        <w:pStyle w:val="Cuerpo"/>
        <w:spacing w:after="240" w:line="270" w:lineRule="atLeast"/>
        <w:jc w:val="both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  <w:lang/>
        </w:rPr>
        <w:t>Perspetivas</w:t>
      </w:r>
      <w:proofErr w:type="spellEnd"/>
      <w:r>
        <w:rPr>
          <w:rFonts w:ascii="Arial" w:hAnsi="Arial"/>
          <w:b/>
          <w:bCs/>
          <w:sz w:val="28"/>
          <w:szCs w:val="28"/>
          <w:lang/>
        </w:rPr>
        <w:t xml:space="preserve"> </w:t>
      </w:r>
    </w:p>
    <w:p w:rsidR="00FC4396" w:rsidRPr="00850BAB" w:rsidRDefault="003E37E3" w:rsidP="003E37E3">
      <w:pPr>
        <w:spacing w:before="65"/>
        <w:ind w:right="-3"/>
        <w:jc w:val="both"/>
        <w:rPr>
          <w:rFonts w:ascii="Arial" w:eastAsia="Verdana" w:hAnsi="Arial" w:cs="Arial"/>
          <w:b/>
          <w:bCs/>
          <w:sz w:val="21"/>
          <w:szCs w:val="21"/>
        </w:rPr>
      </w:pPr>
      <w:r>
        <w:rPr>
          <w:rFonts w:ascii="Arial" w:eastAsia="Verdana" w:hAnsi="Arial" w:cs="Arial"/>
          <w:b/>
          <w:bCs/>
          <w:sz w:val="21"/>
          <w:szCs w:val="21"/>
          <w:lang/>
        </w:rPr>
        <w:t xml:space="preserve">Para o resto do ano 2016, os mercados de Ligeiro Camioneta e </w:t>
      </w:r>
      <w:proofErr w:type="spellStart"/>
      <w:r>
        <w:rPr>
          <w:rFonts w:ascii="Arial" w:eastAsia="Verdana" w:hAnsi="Arial" w:cs="Arial"/>
          <w:b/>
          <w:bCs/>
          <w:sz w:val="21"/>
          <w:szCs w:val="21"/>
          <w:lang/>
        </w:rPr>
        <w:t>Camião</w:t>
      </w:r>
      <w:proofErr w:type="spellEnd"/>
      <w:r>
        <w:rPr>
          <w:rFonts w:ascii="Arial" w:eastAsia="Verdana" w:hAnsi="Arial" w:cs="Arial"/>
          <w:b/>
          <w:bCs/>
          <w:sz w:val="21"/>
          <w:szCs w:val="21"/>
          <w:lang/>
        </w:rPr>
        <w:t xml:space="preserve"> deveriam mostrar-se menos dinâmicos na América do Norte e na Europa, enquanto deveriam permanecer em evolução em Ligeiro Camioneta na China. O mercado de pneus de Especialidades deveria continuar influenciado pelo fim de libertação dos stocks das companhias mineiras.</w:t>
      </w:r>
    </w:p>
    <w:p w:rsidR="00306C94" w:rsidRPr="00850BAB" w:rsidRDefault="00194B0B" w:rsidP="003E37E3">
      <w:pPr>
        <w:spacing w:before="65"/>
        <w:ind w:right="-3"/>
        <w:jc w:val="both"/>
        <w:rPr>
          <w:rFonts w:ascii="Arial" w:eastAsia="Verdana" w:hAnsi="Arial" w:cs="Arial"/>
          <w:b/>
          <w:bCs/>
          <w:sz w:val="21"/>
          <w:szCs w:val="21"/>
        </w:rPr>
      </w:pPr>
      <w:r>
        <w:rPr>
          <w:rFonts w:ascii="Arial" w:eastAsia="Verdana" w:hAnsi="Arial" w:cs="Arial"/>
          <w:b/>
          <w:bCs/>
          <w:sz w:val="21"/>
          <w:szCs w:val="21"/>
          <w:lang/>
        </w:rPr>
        <w:t>Neste contexto, o controlo da margem no segundo semestre deveria permitir a produção de um efeito positivo do mix de preços/matérias-primas.</w:t>
      </w:r>
    </w:p>
    <w:p w:rsidR="00607B16" w:rsidRPr="00850BAB" w:rsidRDefault="005F6CE7" w:rsidP="00AF3B9F">
      <w:pPr>
        <w:spacing w:before="65"/>
        <w:ind w:right="-3"/>
        <w:jc w:val="both"/>
        <w:rPr>
          <w:rFonts w:ascii="Arial" w:eastAsia="Verdana" w:hAnsi="Arial" w:cs="Arial"/>
          <w:b/>
          <w:bCs/>
          <w:sz w:val="21"/>
          <w:szCs w:val="21"/>
        </w:rPr>
      </w:pPr>
      <w:r>
        <w:rPr>
          <w:rFonts w:ascii="Arial" w:eastAsia="Verdana" w:hAnsi="Arial" w:cs="Arial"/>
          <w:b/>
          <w:bCs/>
          <w:sz w:val="21"/>
          <w:szCs w:val="21"/>
          <w:lang/>
        </w:rPr>
        <w:t xml:space="preserve">Sendo assim, para o ano de 2016, a Michelin confirma os seus objetivos de crescimento dos volumes superior à evolução mundial dos mercados, um resultado operacional nas atividades correntes em aumento, excluindo o efeito do câmbio, e a produção de um </w:t>
      </w:r>
      <w:proofErr w:type="spellStart"/>
      <w:r>
        <w:rPr>
          <w:rFonts w:ascii="Arial" w:eastAsia="Verdana" w:hAnsi="Arial" w:cs="Arial"/>
          <w:b/>
          <w:bCs/>
          <w:i/>
          <w:iCs/>
          <w:sz w:val="21"/>
          <w:szCs w:val="21"/>
          <w:lang/>
        </w:rPr>
        <w:t>cash</w:t>
      </w:r>
      <w:proofErr w:type="spellEnd"/>
      <w:r>
        <w:rPr>
          <w:rFonts w:ascii="Arial" w:eastAsia="Verdana" w:hAnsi="Arial" w:cs="Arial"/>
          <w:b/>
          <w:bCs/>
          <w:i/>
          <w:iCs/>
          <w:sz w:val="21"/>
          <w:szCs w:val="21"/>
          <w:lang/>
        </w:rPr>
        <w:t xml:space="preserve"> </w:t>
      </w:r>
      <w:proofErr w:type="spellStart"/>
      <w:r>
        <w:rPr>
          <w:rFonts w:ascii="Arial" w:eastAsia="Verdana" w:hAnsi="Arial" w:cs="Arial"/>
          <w:b/>
          <w:bCs/>
          <w:i/>
          <w:iCs/>
          <w:sz w:val="21"/>
          <w:szCs w:val="21"/>
          <w:lang/>
        </w:rPr>
        <w:t>flow</w:t>
      </w:r>
      <w:proofErr w:type="spellEnd"/>
      <w:r>
        <w:rPr>
          <w:rFonts w:ascii="Arial" w:eastAsia="Verdana" w:hAnsi="Arial" w:cs="Arial"/>
          <w:b/>
          <w:bCs/>
          <w:sz w:val="21"/>
          <w:szCs w:val="21"/>
          <w:lang/>
        </w:rPr>
        <w:t xml:space="preserve"> livre estrutural superior a 800 milhões de euros.</w:t>
      </w:r>
    </w:p>
    <w:p w:rsidR="00607B16" w:rsidRPr="00850BAB" w:rsidRDefault="00607B16" w:rsidP="00A44458">
      <w:pPr>
        <w:tabs>
          <w:tab w:val="left" w:pos="284"/>
        </w:tabs>
        <w:adjustRightInd w:val="0"/>
        <w:snapToGrid w:val="0"/>
        <w:spacing w:after="0" w:line="240" w:lineRule="auto"/>
        <w:ind w:left="720"/>
        <w:rPr>
          <w:rFonts w:ascii="Times" w:eastAsia="Arial Unicode MS" w:hAnsi="Times"/>
          <w:b/>
          <w:sz w:val="24"/>
          <w:szCs w:val="24"/>
          <w:u w:color="000000"/>
        </w:rPr>
      </w:pPr>
    </w:p>
    <w:p w:rsidR="00607B16" w:rsidRPr="00850BAB" w:rsidRDefault="00607B16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AF3B9F" w:rsidRPr="00850BAB" w:rsidRDefault="00AF3B9F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AF3B9F" w:rsidRPr="00850BAB" w:rsidRDefault="00AF3B9F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AF3B9F" w:rsidRPr="00850BAB" w:rsidRDefault="00AF3B9F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AF3B9F" w:rsidRPr="00850BAB" w:rsidRDefault="00AF3B9F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AF3B9F" w:rsidRPr="00850BAB" w:rsidRDefault="00AF3B9F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667144" w:rsidRPr="00850BAB" w:rsidRDefault="00667144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667144" w:rsidRPr="00850BAB" w:rsidRDefault="00667144" w:rsidP="00AF3B9F">
      <w:pPr>
        <w:tabs>
          <w:tab w:val="left" w:pos="284"/>
        </w:tabs>
        <w:adjustRightInd w:val="0"/>
        <w:snapToGrid w:val="0"/>
        <w:spacing w:after="0" w:line="240" w:lineRule="auto"/>
        <w:rPr>
          <w:rFonts w:ascii="Times" w:eastAsia="Arial Unicode MS" w:hAnsi="Times"/>
          <w:b/>
          <w:sz w:val="24"/>
          <w:szCs w:val="24"/>
          <w:u w:color="000000"/>
        </w:rPr>
      </w:pPr>
    </w:p>
    <w:p w:rsidR="00704FEF" w:rsidRDefault="00704FEF">
      <w:pPr>
        <w:rPr>
          <w:rFonts w:ascii="Times" w:eastAsia="Arial Unicode MS" w:hAnsi="Times"/>
          <w:b/>
          <w:sz w:val="24"/>
          <w:szCs w:val="24"/>
          <w:u w:color="000000"/>
        </w:rPr>
      </w:pPr>
      <w:r>
        <w:rPr>
          <w:rFonts w:ascii="Times" w:eastAsia="Arial Unicode MS" w:hAnsi="Times"/>
          <w:b/>
          <w:sz w:val="24"/>
          <w:szCs w:val="24"/>
          <w:u w:color="000000"/>
        </w:rPr>
        <w:br w:type="page"/>
      </w:r>
    </w:p>
    <w:tbl>
      <w:tblPr>
        <w:tblW w:w="8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2"/>
        <w:gridCol w:w="2126"/>
        <w:gridCol w:w="2284"/>
      </w:tblGrid>
      <w:tr w:rsidR="002775D3" w:rsidRPr="00850BAB" w:rsidTr="002775D3">
        <w:trPr>
          <w:jc w:val="center"/>
        </w:trPr>
        <w:tc>
          <w:tcPr>
            <w:tcW w:w="4082" w:type="dxa"/>
            <w:shd w:val="clear" w:color="auto" w:fill="BCBCBC" w:themeFill="accent6" w:themeFillTint="66"/>
          </w:tcPr>
          <w:p w:rsidR="002775D3" w:rsidRPr="00850BAB" w:rsidRDefault="002775D3" w:rsidP="002775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/>
              </w:rPr>
              <w:lastRenderedPageBreak/>
              <w:t>(EM MILHÕES DE EUROS)</w:t>
            </w:r>
          </w:p>
        </w:tc>
        <w:tc>
          <w:tcPr>
            <w:tcW w:w="2126" w:type="dxa"/>
            <w:shd w:val="clear" w:color="auto" w:fill="BCBCBC" w:themeFill="accent6" w:themeFillTint="66"/>
          </w:tcPr>
          <w:p w:rsidR="002775D3" w:rsidRPr="00850BAB" w:rsidRDefault="002775D3" w:rsidP="002775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/>
              </w:rPr>
              <w:t xml:space="preserve">Primeiro semestre </w:t>
            </w:r>
            <w:r>
              <w:rPr>
                <w:rFonts w:ascii="Arial" w:hAnsi="Arial"/>
                <w:sz w:val="20"/>
                <w:szCs w:val="20"/>
                <w:lang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  <w:lang/>
              </w:rPr>
              <w:t>de 2016</w:t>
            </w:r>
          </w:p>
        </w:tc>
        <w:tc>
          <w:tcPr>
            <w:tcW w:w="2284" w:type="dxa"/>
            <w:shd w:val="clear" w:color="auto" w:fill="BCBCBC" w:themeFill="accent6" w:themeFillTint="66"/>
          </w:tcPr>
          <w:p w:rsidR="002775D3" w:rsidRPr="00850BAB" w:rsidRDefault="002775D3" w:rsidP="002775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/>
              </w:rPr>
              <w:t xml:space="preserve">Primeiro semestre </w:t>
            </w:r>
            <w:r>
              <w:rPr>
                <w:rFonts w:ascii="Arial" w:hAnsi="Arial"/>
                <w:sz w:val="20"/>
                <w:szCs w:val="20"/>
                <w:lang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  <w:lang/>
              </w:rPr>
              <w:t>de 2015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>Vendas líquidas</w:t>
            </w:r>
          </w:p>
        </w:tc>
        <w:tc>
          <w:tcPr>
            <w:tcW w:w="2126" w:type="dxa"/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10.292</w:t>
            </w:r>
          </w:p>
        </w:tc>
        <w:tc>
          <w:tcPr>
            <w:tcW w:w="2284" w:type="dxa"/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10.497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</w:tcPr>
          <w:p w:rsidR="00667144" w:rsidRPr="00850BAB" w:rsidRDefault="00667144" w:rsidP="0077314C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 xml:space="preserve">EBITDA </w:t>
            </w: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br/>
              <w:t>em atividades correntes</w:t>
            </w:r>
          </w:p>
        </w:tc>
        <w:tc>
          <w:tcPr>
            <w:tcW w:w="2126" w:type="dxa"/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2.085</w:t>
            </w:r>
          </w:p>
        </w:tc>
        <w:tc>
          <w:tcPr>
            <w:tcW w:w="2284" w:type="dxa"/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1.913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7314C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 xml:space="preserve">Margem de </w:t>
            </w:r>
            <w:proofErr w:type="spellStart"/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>ebitda</w:t>
            </w:r>
            <w:proofErr w:type="spellEnd"/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 xml:space="preserve"> </w:t>
            </w: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br/>
              <w:t>em atividades correntes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20,3%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18,2%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</w:tcPr>
          <w:p w:rsidR="00667144" w:rsidRPr="00850BAB" w:rsidRDefault="00667144" w:rsidP="0077314C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 xml:space="preserve">Resultado operacional </w:t>
            </w: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br/>
              <w:t>em atividades correntes</w:t>
            </w:r>
            <w:r>
              <w:rPr>
                <w:rStyle w:val="Refdenotaalpie"/>
                <w:rFonts w:eastAsia="Times New Roman" w:cs="Arial"/>
                <w:smallCaps/>
                <w:sz w:val="28"/>
                <w:szCs w:val="28"/>
                <w:lang/>
              </w:rPr>
              <w:footnoteReference w:id="1"/>
            </w:r>
          </w:p>
        </w:tc>
        <w:tc>
          <w:tcPr>
            <w:tcW w:w="2126" w:type="dxa"/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1.405</w:t>
            </w:r>
          </w:p>
        </w:tc>
        <w:tc>
          <w:tcPr>
            <w:tcW w:w="2284" w:type="dxa"/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1.262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</w:tcPr>
          <w:p w:rsidR="00667144" w:rsidRPr="00850BAB" w:rsidRDefault="00667144" w:rsidP="0077314C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 xml:space="preserve">Margem operacional </w:t>
            </w: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br/>
              <w:t>em atividades correntes</w:t>
            </w:r>
          </w:p>
        </w:tc>
        <w:tc>
          <w:tcPr>
            <w:tcW w:w="2126" w:type="dxa"/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13,7%</w:t>
            </w:r>
          </w:p>
        </w:tc>
        <w:tc>
          <w:tcPr>
            <w:tcW w:w="2284" w:type="dxa"/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12,0%</w:t>
            </w:r>
          </w:p>
        </w:tc>
      </w:tr>
      <w:tr w:rsidR="00667144" w:rsidRPr="00850BAB" w:rsidTr="007B356A">
        <w:trPr>
          <w:trHeight w:val="530"/>
          <w:jc w:val="center"/>
        </w:trPr>
        <w:tc>
          <w:tcPr>
            <w:tcW w:w="4082" w:type="dxa"/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 xml:space="preserve">Ligeiro, camioneta e distribuição associada </w:t>
            </w:r>
          </w:p>
        </w:tc>
        <w:tc>
          <w:tcPr>
            <w:tcW w:w="2126" w:type="dxa"/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13,8%</w:t>
            </w:r>
          </w:p>
        </w:tc>
        <w:tc>
          <w:tcPr>
            <w:tcW w:w="2284" w:type="dxa"/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10,8%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>Camião</w:t>
            </w:r>
            <w:proofErr w:type="spellEnd"/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 xml:space="preserve"> e distribuição associada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9,9%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9,6%</w:t>
            </w:r>
          </w:p>
        </w:tc>
      </w:tr>
      <w:tr w:rsidR="00667144" w:rsidRPr="00850BAB" w:rsidTr="00257CAA">
        <w:trPr>
          <w:trHeight w:val="339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>Atividades de especialidades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20,6%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21,5%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C60EC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>Produtos e cargas operacionais excetuando atividades correntes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-51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257CAA">
            <w:pPr>
              <w:pStyle w:val="Prrafodelista"/>
              <w:tabs>
                <w:tab w:val="left" w:pos="360"/>
              </w:tabs>
              <w:spacing w:after="240" w:line="270" w:lineRule="atLeast"/>
              <w:jc w:val="center"/>
              <w:rPr>
                <w:rFonts w:ascii="Arial" w:eastAsia="Arial Unicode MS" w:hAnsi="Arial" w:cs="Arial"/>
                <w:b/>
                <w:bCs/>
                <w:bdr w:val="ni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-17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>Resultado operacional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1.354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904AC0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1.245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 xml:space="preserve">Resultado líquido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769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707</w:t>
            </w:r>
          </w:p>
        </w:tc>
      </w:tr>
      <w:tr w:rsidR="00667144" w:rsidRPr="00850BAB" w:rsidTr="007B356A">
        <w:trPr>
          <w:trHeight w:val="529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>Resultado por ação</w:t>
            </w:r>
            <w:r>
              <w:rPr>
                <w:rFonts w:eastAsia="Times New Roman" w:cs="Arial"/>
                <w:smallCaps/>
                <w:sz w:val="18"/>
                <w:szCs w:val="18"/>
                <w:vertAlign w:val="superscript"/>
                <w:lang/>
              </w:rPr>
              <w:t>1</w:t>
            </w: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 xml:space="preserve"> (em euros)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4,24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3,79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>Investimentos, exceto aquisições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632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rFonts w:eastAsia="Times New Roman" w:cs="Arial"/>
                <w:bCs/>
                <w:smallCaps/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>Endividamento líquido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1.719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1.798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>Percentagem de endividamento líquido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18%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7C60EC" w:rsidP="007B356A">
            <w:pPr>
              <w:pStyle w:val="TextoMichelin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 xml:space="preserve">Compromissos com o pessoal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5.273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4.780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>Cash</w:t>
            </w:r>
            <w:proofErr w:type="spellEnd"/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 xml:space="preserve"> </w:t>
            </w:r>
            <w:proofErr w:type="spellStart"/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>flow</w:t>
            </w:r>
            <w:proofErr w:type="spellEnd"/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 xml:space="preserve"> livre</w:t>
            </w:r>
            <w:r>
              <w:rPr>
                <w:rStyle w:val="Refdenotaalpie"/>
                <w:rFonts w:cs="Arial"/>
                <w:sz w:val="18"/>
                <w:szCs w:val="18"/>
                <w:lang/>
              </w:rPr>
              <w:t>2</w:t>
            </w:r>
            <w:r>
              <w:rPr>
                <w:rStyle w:val="Refdenotaalpie"/>
                <w:rFonts w:cs="Arial"/>
                <w:sz w:val="18"/>
                <w:szCs w:val="18"/>
                <w:vertAlign w:val="baseline"/>
                <w:lang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-219</w:t>
            </w:r>
          </w:p>
        </w:tc>
      </w:tr>
      <w:tr w:rsidR="00667144" w:rsidRPr="00850BAB" w:rsidTr="007B356A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pStyle w:val="TextoMichelin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/>
                <w:smallCaps/>
                <w:sz w:val="18"/>
                <w:szCs w:val="18"/>
                <w:lang/>
              </w:rPr>
              <w:t>Empregados</w:t>
            </w:r>
            <w:r>
              <w:rPr>
                <w:rStyle w:val="Refdenotaalpie"/>
                <w:rFonts w:cs="Arial"/>
                <w:sz w:val="18"/>
                <w:szCs w:val="18"/>
                <w:lang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112.400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850BAB" w:rsidRDefault="00667144" w:rsidP="007B356A">
            <w:pPr>
              <w:tabs>
                <w:tab w:val="left" w:pos="360"/>
              </w:tabs>
              <w:spacing w:after="24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112.600</w:t>
            </w:r>
          </w:p>
        </w:tc>
      </w:tr>
    </w:tbl>
    <w:p w:rsidR="00FB3F81" w:rsidRPr="00850BAB" w:rsidRDefault="00FB3F81" w:rsidP="00EC4FF4">
      <w:pPr>
        <w:spacing w:after="240" w:line="360" w:lineRule="exact"/>
        <w:outlineLvl w:val="0"/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</w:rPr>
      </w:pPr>
    </w:p>
    <w:p w:rsidR="00EC4FF4" w:rsidRPr="00850BAB" w:rsidRDefault="00EC4FF4" w:rsidP="00EC4FF4">
      <w:pPr>
        <w:spacing w:after="240" w:line="360" w:lineRule="exact"/>
        <w:outlineLvl w:val="0"/>
        <w:rPr>
          <w:rFonts w:ascii="Times New Roman" w:eastAsia="Arial Unicode MS" w:hAnsi="Times New Roman" w:cs="Times New Roman"/>
          <w:b/>
          <w:color w:val="333399"/>
          <w:sz w:val="40"/>
          <w:szCs w:val="24"/>
          <w:u w:color="333399"/>
        </w:rPr>
      </w:pPr>
      <w:r>
        <w:rPr>
          <w:rFonts w:ascii="Times New Roman" w:eastAsia="Arial Unicode MS" w:hAnsi="Times New Roman" w:cs="Times New Roman"/>
          <w:b/>
          <w:bCs/>
          <w:color w:val="333399"/>
          <w:sz w:val="40"/>
          <w:szCs w:val="24"/>
          <w:u w:color="333399"/>
          <w:lang/>
        </w:rPr>
        <w:t>Evolução do mercado</w:t>
      </w:r>
    </w:p>
    <w:p w:rsidR="00EC4FF4" w:rsidRPr="00850BAB" w:rsidRDefault="00EC4FF4" w:rsidP="00EC4FF4">
      <w:pPr>
        <w:spacing w:before="480" w:after="120" w:line="270" w:lineRule="atLeast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4"/>
          <w:u w:color="000000"/>
          <w:lang/>
        </w:rPr>
        <w:lastRenderedPageBreak/>
        <w:t>Ligeiro Camioneta</w:t>
      </w:r>
    </w:p>
    <w:tbl>
      <w:tblPr>
        <w:tblW w:w="9817" w:type="dxa"/>
        <w:jc w:val="center"/>
        <w:shd w:val="clear" w:color="auto" w:fill="FFFFFF"/>
        <w:tblLayout w:type="fixed"/>
        <w:tblLook w:val="0000"/>
      </w:tblPr>
      <w:tblGrid>
        <w:gridCol w:w="1963"/>
        <w:gridCol w:w="993"/>
        <w:gridCol w:w="1275"/>
        <w:gridCol w:w="1065"/>
        <w:gridCol w:w="1159"/>
        <w:gridCol w:w="993"/>
        <w:gridCol w:w="1255"/>
        <w:gridCol w:w="1114"/>
      </w:tblGrid>
      <w:tr w:rsidR="002A1304" w:rsidRPr="00850BAB" w:rsidTr="00A3508D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C25554">
            <w:pPr>
              <w:pStyle w:val="LadilloMichelinDossier"/>
              <w:spacing w:before="0" w:after="0"/>
              <w:jc w:val="center"/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>Primeiro semestre</w:t>
            </w:r>
          </w:p>
          <w:p w:rsidR="002A1304" w:rsidRPr="00732D22" w:rsidRDefault="002A1304" w:rsidP="00C7464F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 Unicode MS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2016/2015</w:t>
            </w:r>
            <w:r>
              <w:rPr>
                <w:rFonts w:ascii="Arial" w:hAnsi="Arial"/>
                <w:sz w:val="18"/>
                <w:szCs w:val="18"/>
                <w:lang/>
              </w:rPr>
              <w:br/>
            </w: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(nº de pneus)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FB328F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Europa com Rússia e CEI</w:t>
            </w:r>
            <w:r>
              <w:rPr>
                <w:rStyle w:val="Refdenotaalpie"/>
                <w:rFonts w:ascii="Arial" w:hAnsi="Arial"/>
                <w:b/>
                <w:bCs/>
                <w:sz w:val="18"/>
                <w:szCs w:val="18"/>
                <w:lang/>
              </w:rPr>
              <w:footnoteReference w:customMarkFollows="1" w:id="2"/>
              <w:t xml:space="preserve"> </w:t>
            </w:r>
            <w:r>
              <w:rPr>
                <w:rStyle w:val="Refdenotaalpie"/>
                <w:rFonts w:ascii="Arial" w:hAnsi="Arial"/>
                <w:sz w:val="18"/>
                <w:szCs w:val="18"/>
                <w:vertAlign w:val="baseline"/>
                <w:lang/>
              </w:rPr>
              <w:sym w:font="Symbol" w:char="F02A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DE2E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" w:hAnsi="Arial" w:cs="Times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Times" w:hAnsi="Arial" w:cs="Times"/>
                <w:b/>
                <w:bCs/>
                <w:color w:val="000000"/>
                <w:sz w:val="18"/>
                <w:szCs w:val="18"/>
                <w:u w:color="000000"/>
                <w:lang/>
              </w:rPr>
              <w:t>Europa</w:t>
            </w:r>
          </w:p>
          <w:p w:rsidR="002A1304" w:rsidRPr="00732D2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 xml:space="preserve">sem a Rússia </w:t>
            </w:r>
            <w:r>
              <w:rPr>
                <w:rFonts w:ascii="Arial" w:hAnsi="Arial"/>
                <w:sz w:val="18"/>
                <w:szCs w:val="18"/>
                <w:lang/>
              </w:rPr>
              <w:br/>
            </w: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nem CEI*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 xml:space="preserve">América </w:t>
            </w:r>
            <w:r>
              <w:rPr>
                <w:rFonts w:ascii="Arial" w:hAnsi="Arial"/>
                <w:sz w:val="18"/>
                <w:szCs w:val="18"/>
                <w:lang/>
              </w:rPr>
              <w:br/>
            </w: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do Norte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DE2EF3">
            <w:pPr>
              <w:pStyle w:val="LadilloMichelinDossier"/>
              <w:spacing w:before="0" w:after="0" w:line="240" w:lineRule="auto"/>
              <w:jc w:val="center"/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>Ásia</w:t>
            </w:r>
          </w:p>
          <w:p w:rsidR="002A1304" w:rsidRPr="00732D2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(sem a Índia)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 xml:space="preserve">América </w:t>
            </w:r>
            <w:r>
              <w:rPr>
                <w:rFonts w:ascii="Arial" w:hAnsi="Arial"/>
                <w:sz w:val="18"/>
                <w:szCs w:val="18"/>
                <w:lang/>
              </w:rPr>
              <w:br/>
            </w: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do Sul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304" w:rsidRPr="00732D2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África/Índia/</w:t>
            </w:r>
            <w:r>
              <w:rPr>
                <w:rFonts w:ascii="Arial" w:hAnsi="Arial"/>
                <w:sz w:val="18"/>
                <w:szCs w:val="18"/>
                <w:lang/>
              </w:rPr>
              <w:br/>
            </w: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Médio Oriente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A1304" w:rsidRPr="00732D22" w:rsidRDefault="002A1304" w:rsidP="00DE2EF3">
            <w:pPr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Total</w:t>
            </w:r>
          </w:p>
        </w:tc>
      </w:tr>
      <w:tr w:rsidR="00067840" w:rsidRPr="00850BAB" w:rsidTr="00A3508D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EC4FF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Arial Unicode MS" w:hAnsi="Arial" w:cs="Times New Roman"/>
                <w:color w:val="000000"/>
                <w:sz w:val="18"/>
                <w:szCs w:val="18"/>
                <w:u w:color="000000"/>
                <w:lang/>
              </w:rPr>
              <w:cr/>
              <w:t>Primeiros equipamentos</w:t>
            </w:r>
          </w:p>
          <w:p w:rsidR="00067840" w:rsidRPr="00732D22" w:rsidRDefault="00067840" w:rsidP="00EC4FF4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color w:val="000000"/>
                <w:sz w:val="18"/>
                <w:szCs w:val="18"/>
                <w:u w:color="000000"/>
              </w:rPr>
            </w:pPr>
          </w:p>
          <w:p w:rsidR="00067840" w:rsidRPr="00732D22" w:rsidRDefault="00067840" w:rsidP="00EC4FF4">
            <w:pPr>
              <w:spacing w:after="0" w:line="240" w:lineRule="auto"/>
              <w:jc w:val="center"/>
              <w:outlineLvl w:val="0"/>
              <w:rPr>
                <w:rFonts w:ascii="Arial" w:eastAsia="Arial Unicode MS" w:hAnsi="Arial Unicode MS" w:cs="Times New Roman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Arial Unicode MS" w:hAnsi="Arial" w:cs="Times New Roman"/>
                <w:color w:val="000000"/>
                <w:sz w:val="18"/>
                <w:szCs w:val="18"/>
                <w:u w:color="000000"/>
                <w:lang/>
              </w:rPr>
              <w:cr/>
              <w:t>Substituição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06784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067840" w:rsidP="0006784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+5%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067840" w:rsidP="00067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06784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732D22" w:rsidP="00067840">
            <w:pPr>
              <w:pStyle w:val="TableParagraph"/>
              <w:ind w:left="26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 +7%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067840" w:rsidP="00067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+3%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06784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067840" w:rsidP="00067840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     +3%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067840" w:rsidP="00067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+2%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06784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732D22" w:rsidP="00067840">
            <w:pPr>
              <w:pStyle w:val="TableParagraph"/>
              <w:ind w:right="16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  +2%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067840" w:rsidP="00067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06784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067840" w:rsidP="0006784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-19 %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067840" w:rsidP="00067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-1 %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7840" w:rsidRPr="00732D22" w:rsidRDefault="00067840" w:rsidP="0006784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067840" w:rsidP="0006784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+7%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067840" w:rsidP="00067840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+4%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E02" w:rsidRPr="00732D22" w:rsidRDefault="00375E02" w:rsidP="00375E0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732D22" w:rsidP="00375E02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+2%</w:t>
            </w:r>
          </w:p>
          <w:p w:rsidR="00067840" w:rsidRPr="00732D22" w:rsidRDefault="00067840" w:rsidP="0006784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840" w:rsidRPr="00732D22" w:rsidRDefault="00067840" w:rsidP="00375E02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+3%</w:t>
            </w:r>
          </w:p>
        </w:tc>
      </w:tr>
    </w:tbl>
    <w:p w:rsidR="00EC4FF4" w:rsidRPr="00850BAB" w:rsidRDefault="00EC4FF4" w:rsidP="000E2F83">
      <w:pPr>
        <w:spacing w:after="240" w:line="240" w:lineRule="auto"/>
        <w:jc w:val="both"/>
        <w:outlineLvl w:val="0"/>
        <w:rPr>
          <w:rFonts w:ascii="Arial" w:eastAsia="Arial Unicode MS" w:hAnsi="Arial" w:cs="Times New Roman"/>
          <w:color w:val="000000"/>
          <w:sz w:val="16"/>
          <w:szCs w:val="24"/>
          <w:u w:color="000000"/>
        </w:rPr>
      </w:pPr>
    </w:p>
    <w:tbl>
      <w:tblPr>
        <w:tblW w:w="9817" w:type="dxa"/>
        <w:jc w:val="center"/>
        <w:shd w:val="clear" w:color="auto" w:fill="FFFFFF"/>
        <w:tblLayout w:type="fixed"/>
        <w:tblLook w:val="0000"/>
      </w:tblPr>
      <w:tblGrid>
        <w:gridCol w:w="1963"/>
        <w:gridCol w:w="993"/>
        <w:gridCol w:w="1275"/>
        <w:gridCol w:w="1065"/>
        <w:gridCol w:w="1159"/>
        <w:gridCol w:w="993"/>
        <w:gridCol w:w="1255"/>
        <w:gridCol w:w="1114"/>
      </w:tblGrid>
      <w:tr w:rsidR="00734929" w:rsidRPr="00850BAB" w:rsidTr="007B356A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0C0162" w:rsidP="007B356A">
            <w:pPr>
              <w:pStyle w:val="LadilloMichelinDossier"/>
              <w:spacing w:before="0" w:after="0"/>
              <w:jc w:val="center"/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>Segundo trimestre</w:t>
            </w:r>
          </w:p>
          <w:p w:rsidR="00734929" w:rsidRPr="00732D22" w:rsidRDefault="00734929" w:rsidP="007B356A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 Unicode MS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2016/2015</w:t>
            </w:r>
            <w:r>
              <w:rPr>
                <w:rFonts w:ascii="Arial" w:hAnsi="Arial"/>
                <w:sz w:val="18"/>
                <w:szCs w:val="18"/>
                <w:lang/>
              </w:rPr>
              <w:br/>
            </w: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(nº de pneus)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Europa com Rússia e CEI</w:t>
            </w:r>
            <w:r>
              <w:rPr>
                <w:rStyle w:val="Refdenotaalpie"/>
                <w:rFonts w:ascii="Arial" w:hAnsi="Arial"/>
                <w:b/>
                <w:bCs/>
                <w:sz w:val="18"/>
                <w:szCs w:val="18"/>
                <w:lang/>
              </w:rPr>
              <w:footnoteReference w:customMarkFollows="1" w:id="3"/>
              <w:t xml:space="preserve"> </w:t>
            </w:r>
            <w:r>
              <w:rPr>
                <w:rStyle w:val="Refdenotaalpie"/>
                <w:rFonts w:ascii="Arial" w:hAnsi="Arial"/>
                <w:sz w:val="18"/>
                <w:szCs w:val="18"/>
                <w:vertAlign w:val="baseline"/>
                <w:lang/>
              </w:rPr>
              <w:sym w:font="Symbol" w:char="F02A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734929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" w:hAnsi="Arial" w:cs="Times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Times" w:hAnsi="Arial" w:cs="Times"/>
                <w:b/>
                <w:bCs/>
                <w:color w:val="000000"/>
                <w:sz w:val="18"/>
                <w:szCs w:val="18"/>
                <w:u w:color="000000"/>
                <w:lang/>
              </w:rPr>
              <w:t>Europa</w:t>
            </w:r>
          </w:p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 xml:space="preserve">sem a Rússia </w:t>
            </w:r>
            <w:r>
              <w:rPr>
                <w:rFonts w:ascii="Arial" w:hAnsi="Arial"/>
                <w:sz w:val="18"/>
                <w:szCs w:val="18"/>
                <w:lang/>
              </w:rPr>
              <w:br/>
            </w: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nem CEI*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 xml:space="preserve">América </w:t>
            </w:r>
            <w:r>
              <w:rPr>
                <w:rFonts w:ascii="Arial" w:hAnsi="Arial"/>
                <w:sz w:val="18"/>
                <w:szCs w:val="18"/>
                <w:lang/>
              </w:rPr>
              <w:br/>
            </w: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do Norte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734929" w:rsidP="007B356A">
            <w:pPr>
              <w:pStyle w:val="LadilloMichelinDossier"/>
              <w:spacing w:before="0" w:after="0" w:line="240" w:lineRule="auto"/>
              <w:jc w:val="center"/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>Ásia</w:t>
            </w:r>
          </w:p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(sem a Índia)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 xml:space="preserve">América </w:t>
            </w:r>
            <w:r>
              <w:rPr>
                <w:rFonts w:ascii="Arial" w:hAnsi="Arial"/>
                <w:sz w:val="18"/>
                <w:szCs w:val="18"/>
                <w:lang/>
              </w:rPr>
              <w:br/>
            </w: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do Sul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África/Índia/</w:t>
            </w:r>
            <w:r>
              <w:rPr>
                <w:rFonts w:ascii="Arial" w:hAnsi="Arial"/>
                <w:sz w:val="18"/>
                <w:szCs w:val="18"/>
                <w:lang/>
              </w:rPr>
              <w:br/>
            </w: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Médio Oriente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34929" w:rsidRPr="00732D22" w:rsidRDefault="00734929" w:rsidP="007B356A">
            <w:pPr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Total</w:t>
            </w:r>
          </w:p>
        </w:tc>
      </w:tr>
      <w:tr w:rsidR="000C0162" w:rsidRPr="00850BAB" w:rsidTr="007B356A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Arial Unicode MS" w:hAnsi="Arial" w:cs="Times New Roman"/>
                <w:color w:val="000000"/>
                <w:sz w:val="18"/>
                <w:szCs w:val="18"/>
                <w:u w:color="000000"/>
                <w:lang/>
              </w:rPr>
              <w:cr/>
              <w:t>Primeiros equipamentos</w:t>
            </w:r>
          </w:p>
          <w:p w:rsidR="000C0162" w:rsidRPr="00732D22" w:rsidRDefault="000C0162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Times New Roman"/>
                <w:color w:val="000000"/>
                <w:sz w:val="18"/>
                <w:szCs w:val="18"/>
                <w:u w:color="000000"/>
              </w:rPr>
            </w:pPr>
          </w:p>
          <w:p w:rsidR="000C0162" w:rsidRPr="00732D22" w:rsidRDefault="000C0162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 Unicode MS" w:cs="Times New Roman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Arial Unicode MS" w:hAnsi="Arial" w:cs="Times New Roman"/>
                <w:color w:val="000000"/>
                <w:sz w:val="18"/>
                <w:szCs w:val="18"/>
                <w:u w:color="000000"/>
                <w:lang/>
              </w:rPr>
              <w:cr/>
              <w:t>Substituição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36435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0C0162" w:rsidP="00732D22">
            <w:pPr>
              <w:pStyle w:val="TableParagraph"/>
              <w:ind w:left="2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+8%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0C0162" w:rsidP="003643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/>
              </w:rPr>
              <w:t>-0%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36435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0C0162" w:rsidP="00732D22">
            <w:pPr>
              <w:pStyle w:val="TableParagraph"/>
              <w:ind w:left="26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+9%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0C0162" w:rsidP="003643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/>
              </w:rPr>
              <w:t>+2%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36435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0C0162" w:rsidP="00732D22">
            <w:pPr>
              <w:pStyle w:val="TableParagraph"/>
              <w:ind w:left="31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+2%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0C0162" w:rsidP="003643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/>
              </w:rPr>
              <w:t>-2%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36435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0C0162" w:rsidP="00732D22">
            <w:pPr>
              <w:pStyle w:val="TableParagraph"/>
              <w:ind w:left="314" w:right="16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+3%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0C0162" w:rsidP="003643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/>
              </w:rPr>
              <w:t>+4%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36435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0C0162" w:rsidP="00732D22">
            <w:pPr>
              <w:pStyle w:val="TableParagraph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-16%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0C0162" w:rsidP="003643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/>
              </w:rPr>
              <w:t>-1%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C0162" w:rsidRPr="00732D22" w:rsidRDefault="000C0162" w:rsidP="0036435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0C0162" w:rsidP="00732D22">
            <w:pPr>
              <w:pStyle w:val="TableParagraph"/>
              <w:ind w:left="31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+6%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0C0162" w:rsidP="0036435A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/>
              </w:rPr>
              <w:t>+4%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62" w:rsidRPr="00732D22" w:rsidRDefault="000C0162" w:rsidP="0036435A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732D22" w:rsidP="0036435A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+3%</w:t>
            </w:r>
          </w:p>
          <w:p w:rsidR="000C0162" w:rsidRPr="00732D22" w:rsidRDefault="000C0162" w:rsidP="0036435A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162" w:rsidRPr="00732D22" w:rsidRDefault="000C0162" w:rsidP="0036435A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/>
              </w:rPr>
              <w:t>+0%</w:t>
            </w:r>
          </w:p>
        </w:tc>
      </w:tr>
    </w:tbl>
    <w:p w:rsidR="00734929" w:rsidRPr="00850BAB" w:rsidRDefault="004A7D2B" w:rsidP="00C7464F">
      <w:pPr>
        <w:spacing w:after="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/>
        </w:rPr>
        <w:t>*Incluindo a Turquia</w:t>
      </w:r>
    </w:p>
    <w:p w:rsidR="00734929" w:rsidRPr="00850BAB" w:rsidRDefault="00734929" w:rsidP="00C7464F">
      <w:pPr>
        <w:spacing w:after="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734929" w:rsidRPr="00850BAB" w:rsidRDefault="00734929" w:rsidP="002F4C81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0E2F83" w:rsidRPr="00850BAB" w:rsidRDefault="008549C8" w:rsidP="007C60EC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mercado mundial de pneus de Ligeiro Camioneta, em Primeiros Equipamentos e Substitui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cresceu 2% em unidades, no primeiro semestre de 2016.</w:t>
      </w:r>
    </w:p>
    <w:p w:rsidR="00C7464F" w:rsidRPr="00850BAB" w:rsidRDefault="00C7464F" w:rsidP="00C7464F">
      <w:pPr>
        <w:spacing w:after="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C7464F" w:rsidRPr="00850BAB" w:rsidRDefault="00C7464F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</w:rPr>
      </w:pPr>
    </w:p>
    <w:p w:rsidR="00EC4FF4" w:rsidRPr="00850BAB" w:rsidRDefault="00EC4FF4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" w:cs="Times New Roman"/>
          <w:b/>
          <w:color w:val="000000"/>
          <w:sz w:val="26"/>
          <w:szCs w:val="24"/>
          <w:u w:val="single"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Primeiros Equipamentos</w:t>
      </w:r>
    </w:p>
    <w:p w:rsidR="000E2F83" w:rsidRPr="00850BAB" w:rsidRDefault="000E2F83" w:rsidP="000E2F83">
      <w:pPr>
        <w:numPr>
          <w:ilvl w:val="1"/>
          <w:numId w:val="11"/>
        </w:numPr>
        <w:spacing w:before="120"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Os mercados continuam a crescer na Europa Ocidental, Am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rica do Norte, China, (+6%) e na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frica,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ndia e M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dio Oriente.</w:t>
      </w:r>
    </w:p>
    <w:p w:rsidR="000E2F83" w:rsidRPr="00850BAB" w:rsidRDefault="0033144C" w:rsidP="000E2F83">
      <w:pPr>
        <w:numPr>
          <w:ilvl w:val="1"/>
          <w:numId w:val="11"/>
        </w:numPr>
        <w:spacing w:before="120"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Os mercados da Am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rica do Sul (-19%), de ASEAN, do Jap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e Coreia do Sul (-3%) e da Europa do Leste (-21%) continuam com n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veis historicamente baixos.</w:t>
      </w:r>
    </w:p>
    <w:p w:rsidR="000E2F83" w:rsidRPr="00850BAB" w:rsidRDefault="000E2F83" w:rsidP="002E4085">
      <w:pPr>
        <w:spacing w:before="120" w:after="0" w:line="240" w:lineRule="auto"/>
        <w:ind w:left="709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EC4FF4" w:rsidRPr="00850BAB" w:rsidRDefault="00EC4FF4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Substituição</w:t>
      </w:r>
    </w:p>
    <w:p w:rsidR="00782936" w:rsidRPr="00850BAB" w:rsidRDefault="00782936" w:rsidP="00782936">
      <w:pPr>
        <w:numPr>
          <w:ilvl w:val="1"/>
          <w:numId w:val="11"/>
        </w:numPr>
        <w:tabs>
          <w:tab w:val="clear" w:pos="1772"/>
          <w:tab w:val="num" w:pos="1701"/>
        </w:tabs>
        <w:spacing w:before="120"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A procura aumentou em todas as zonas geogr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ficas, exceto nos mercados da Am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rica do Sul (Brasil -4%) e da Europa do Leste (-4%), que refletem um ambiente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econ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ó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mico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deprimido.</w:t>
      </w:r>
    </w:p>
    <w:p w:rsidR="002E4085" w:rsidRPr="00850BAB" w:rsidRDefault="001D4B10" w:rsidP="001D4B10">
      <w:pPr>
        <w:numPr>
          <w:ilvl w:val="1"/>
          <w:numId w:val="11"/>
        </w:numPr>
        <w:tabs>
          <w:tab w:val="clear" w:pos="1772"/>
          <w:tab w:val="num" w:pos="1701"/>
        </w:tabs>
        <w:spacing w:before="120"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>
        <w:rPr>
          <w:rFonts w:ascii="Arial" w:eastAsia="Arial Unicode MS" w:hAnsi="Arial" w:cs="Times New Roman"/>
          <w:sz w:val="21"/>
          <w:szCs w:val="24"/>
          <w:u w:color="000000"/>
          <w:lang/>
        </w:rPr>
        <w:t>O mercado teve um crescimento sustentado na China (+8%).</w:t>
      </w:r>
    </w:p>
    <w:p w:rsidR="00561801" w:rsidRPr="00850BAB" w:rsidRDefault="00561801" w:rsidP="00561801">
      <w:pPr>
        <w:numPr>
          <w:ilvl w:val="1"/>
          <w:numId w:val="11"/>
        </w:numPr>
        <w:tabs>
          <w:tab w:val="clear" w:pos="1772"/>
          <w:tab w:val="num" w:pos="1701"/>
        </w:tabs>
        <w:spacing w:before="120" w:after="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A procura tem tend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ê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ncia a estabilizar-se perto do final do semestre na Am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rica do Norte e na Europa, devido a uma alta base de compara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o e aos stocks de pneus.</w:t>
      </w:r>
    </w:p>
    <w:p w:rsidR="00EC4FF4" w:rsidRPr="00850BAB" w:rsidRDefault="00EC4FF4" w:rsidP="00CD032D">
      <w:pPr>
        <w:spacing w:after="0" w:line="240" w:lineRule="auto"/>
        <w:ind w:left="709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EC4FF4" w:rsidRPr="00850BAB" w:rsidRDefault="00EC4FF4" w:rsidP="00EC4FF4">
      <w:pPr>
        <w:spacing w:after="0" w:line="240" w:lineRule="auto"/>
        <w:ind w:left="1134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704FEF" w:rsidRDefault="00704FEF">
      <w:pPr>
        <w:rPr>
          <w:rFonts w:ascii="Times New Roman" w:eastAsia="Arial Unicode MS" w:hAnsi="Times" w:cs="Times New Roman"/>
          <w:b/>
          <w:bCs/>
          <w:color w:val="000000"/>
          <w:sz w:val="26"/>
          <w:szCs w:val="24"/>
          <w:u w:color="000000"/>
          <w:lang/>
        </w:rPr>
      </w:pPr>
      <w:r>
        <w:rPr>
          <w:rFonts w:ascii="Times New Roman" w:eastAsia="Arial Unicode MS" w:hAnsi="Times" w:cs="Times New Roman"/>
          <w:b/>
          <w:bCs/>
          <w:color w:val="000000"/>
          <w:sz w:val="26"/>
          <w:szCs w:val="24"/>
          <w:u w:color="000000"/>
          <w:lang/>
        </w:rPr>
        <w:br w:type="page"/>
      </w:r>
    </w:p>
    <w:p w:rsidR="00EC4FF4" w:rsidRPr="00850BAB" w:rsidRDefault="00EC4FF4" w:rsidP="00EC4FF4">
      <w:pPr>
        <w:spacing w:after="0" w:line="240" w:lineRule="auto"/>
        <w:outlineLvl w:val="0"/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</w:rPr>
      </w:pPr>
      <w:proofErr w:type="spellStart"/>
      <w:r>
        <w:rPr>
          <w:rFonts w:ascii="Times New Roman" w:eastAsia="Arial Unicode MS" w:hAnsi="Times" w:cs="Times New Roman"/>
          <w:b/>
          <w:bCs/>
          <w:color w:val="000000"/>
          <w:sz w:val="26"/>
          <w:szCs w:val="24"/>
          <w:u w:color="000000"/>
          <w:lang/>
        </w:rPr>
        <w:lastRenderedPageBreak/>
        <w:t>Cami</w:t>
      </w:r>
      <w:r>
        <w:rPr>
          <w:rFonts w:ascii="Times New Roman" w:eastAsia="Arial Unicode MS" w:hAnsi="Times" w:cs="Times New Roman"/>
          <w:b/>
          <w:bCs/>
          <w:color w:val="000000"/>
          <w:sz w:val="26"/>
          <w:szCs w:val="24"/>
          <w:u w:color="000000"/>
          <w:lang/>
        </w:rPr>
        <w:t>ã</w:t>
      </w:r>
      <w:r>
        <w:rPr>
          <w:rFonts w:ascii="Times New Roman" w:eastAsia="Arial Unicode MS" w:hAnsi="Times" w:cs="Times New Roman"/>
          <w:b/>
          <w:bCs/>
          <w:color w:val="000000"/>
          <w:sz w:val="26"/>
          <w:szCs w:val="24"/>
          <w:u w:color="000000"/>
          <w:lang/>
        </w:rPr>
        <w:t>o</w:t>
      </w:r>
      <w:proofErr w:type="spellEnd"/>
    </w:p>
    <w:p w:rsidR="00EC4FF4" w:rsidRPr="00850BAB" w:rsidRDefault="00EC4FF4" w:rsidP="00EC4FF4">
      <w:pPr>
        <w:spacing w:after="0" w:line="240" w:lineRule="auto"/>
        <w:outlineLvl w:val="0"/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</w:rPr>
      </w:pPr>
    </w:p>
    <w:tbl>
      <w:tblPr>
        <w:tblW w:w="9817" w:type="dxa"/>
        <w:jc w:val="center"/>
        <w:shd w:val="clear" w:color="auto" w:fill="FFFFFF"/>
        <w:tblLayout w:type="fixed"/>
        <w:tblLook w:val="0000"/>
      </w:tblPr>
      <w:tblGrid>
        <w:gridCol w:w="1963"/>
        <w:gridCol w:w="993"/>
        <w:gridCol w:w="1275"/>
        <w:gridCol w:w="1065"/>
        <w:gridCol w:w="1159"/>
        <w:gridCol w:w="993"/>
        <w:gridCol w:w="1255"/>
        <w:gridCol w:w="1114"/>
      </w:tblGrid>
      <w:tr w:rsidR="002F4C81" w:rsidRPr="00810AC8" w:rsidTr="007B356A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pStyle w:val="LadilloMichelinDossier"/>
              <w:spacing w:before="0" w:after="0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Primeiro semestre</w:t>
            </w:r>
          </w:p>
          <w:p w:rsidR="002F4C81" w:rsidRPr="00810AC8" w:rsidRDefault="002F4C81" w:rsidP="007B356A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2016/2015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(nº de pneus)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Europa com Rússia e CEI</w:t>
            </w:r>
            <w:r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  <w:lang/>
              </w:rPr>
              <w:footnoteReference w:customMarkFollows="1" w:id="4"/>
              <w:t xml:space="preserve"> </w:t>
            </w:r>
            <w:r>
              <w:rPr>
                <w:rStyle w:val="Refdenotaalpie"/>
                <w:rFonts w:ascii="Arial" w:hAnsi="Arial" w:cs="Arial"/>
                <w:sz w:val="18"/>
                <w:szCs w:val="18"/>
                <w:vertAlign w:val="baseline"/>
                <w:lang/>
              </w:rPr>
              <w:sym w:font="Symbol" w:char="F02A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18"/>
                <w:szCs w:val="18"/>
                <w:u w:color="000000"/>
                <w:lang/>
              </w:rPr>
              <w:t>Europa</w:t>
            </w:r>
          </w:p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sem a Rússia 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nem CEI*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América 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 Norte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pStyle w:val="LadilloMichelinDossier"/>
              <w:spacing w:before="0" w:after="0"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Ásia</w:t>
            </w:r>
          </w:p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(sem a Índia)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América 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 Sul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África/Índia/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Médio Oriente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Total</w:t>
            </w:r>
          </w:p>
        </w:tc>
      </w:tr>
      <w:tr w:rsidR="00236DFB" w:rsidRPr="00810AC8" w:rsidTr="007B356A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/>
              </w:rPr>
              <w:cr/>
              <w:t>Primeiros equipamentos</w:t>
            </w:r>
          </w:p>
          <w:p w:rsidR="00236DFB" w:rsidRPr="00810AC8" w:rsidRDefault="00236DFB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</w:p>
          <w:p w:rsidR="00236DFB" w:rsidRPr="00810AC8" w:rsidRDefault="00236DFB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/>
              </w:rPr>
              <w:cr/>
              <w:t>Substituição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pStyle w:val="TableParagraph"/>
              <w:ind w:left="2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+5%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6F76AF" w:rsidP="007B356A">
            <w:pPr>
              <w:pStyle w:val="TableParagraph"/>
              <w:ind w:left="26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  +6%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+5%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pStyle w:val="TableParagraph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-12%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+2%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pStyle w:val="TableParagraph"/>
              <w:ind w:left="314" w:right="16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+1%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pStyle w:val="TableParagraph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-25%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-1%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6F76AF" w:rsidP="007B356A">
            <w:pPr>
              <w:pStyle w:val="TableParagraph"/>
              <w:ind w:left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 +13%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+0%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B" w:rsidRPr="00810AC8" w:rsidRDefault="00236DFB" w:rsidP="00236DF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236DFB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+0%</w:t>
            </w:r>
          </w:p>
          <w:p w:rsidR="00236DFB" w:rsidRPr="00810AC8" w:rsidRDefault="00236DFB" w:rsidP="00236DFB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236DFB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-2%</w:t>
            </w:r>
          </w:p>
        </w:tc>
      </w:tr>
    </w:tbl>
    <w:p w:rsidR="002F4C81" w:rsidRPr="00810AC8" w:rsidRDefault="002F4C81" w:rsidP="00EC4FF4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18"/>
          <w:szCs w:val="18"/>
          <w:u w:color="000000"/>
        </w:rPr>
      </w:pPr>
    </w:p>
    <w:tbl>
      <w:tblPr>
        <w:tblW w:w="9817" w:type="dxa"/>
        <w:jc w:val="center"/>
        <w:shd w:val="clear" w:color="auto" w:fill="FFFFFF"/>
        <w:tblLayout w:type="fixed"/>
        <w:tblLook w:val="0000"/>
      </w:tblPr>
      <w:tblGrid>
        <w:gridCol w:w="1963"/>
        <w:gridCol w:w="993"/>
        <w:gridCol w:w="1275"/>
        <w:gridCol w:w="1065"/>
        <w:gridCol w:w="1144"/>
        <w:gridCol w:w="1008"/>
        <w:gridCol w:w="1255"/>
        <w:gridCol w:w="1114"/>
      </w:tblGrid>
      <w:tr w:rsidR="002F4C81" w:rsidRPr="00810AC8" w:rsidTr="00810AC8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pStyle w:val="LadilloMichelinDossier"/>
              <w:spacing w:before="0" w:after="0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Segundo trimestre</w:t>
            </w:r>
          </w:p>
          <w:p w:rsidR="002F4C81" w:rsidRPr="00810AC8" w:rsidRDefault="002F4C81" w:rsidP="007B356A">
            <w:pPr>
              <w:spacing w:after="0" w:line="270" w:lineRule="atLeast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2016/2015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(nº de pneus)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Europa com Rússia e CEI</w:t>
            </w:r>
            <w:r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  <w:lang/>
              </w:rPr>
              <w:footnoteReference w:customMarkFollows="1" w:id="5"/>
              <w:t xml:space="preserve"> </w:t>
            </w:r>
            <w:r>
              <w:rPr>
                <w:rStyle w:val="Refdenotaalpie"/>
                <w:rFonts w:ascii="Arial" w:hAnsi="Arial" w:cs="Arial"/>
                <w:sz w:val="18"/>
                <w:szCs w:val="18"/>
                <w:vertAlign w:val="baseline"/>
                <w:lang/>
              </w:rPr>
              <w:sym w:font="Symbol" w:char="F02A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Times" w:hAnsi="Arial" w:cs="Arial"/>
                <w:b/>
                <w:bCs/>
                <w:color w:val="000000"/>
                <w:sz w:val="18"/>
                <w:szCs w:val="18"/>
                <w:u w:color="000000"/>
                <w:lang/>
              </w:rPr>
              <w:t>Europa</w:t>
            </w:r>
          </w:p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sem a Rússia 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nem CEI*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América 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 Norte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pStyle w:val="LadilloMichelinDossier"/>
              <w:spacing w:before="0" w:after="0" w:line="240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Ásia</w:t>
            </w:r>
          </w:p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(sem a Índia)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América 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 Sul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África/Índia/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Médio Oriente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F4C81" w:rsidRPr="00810AC8" w:rsidRDefault="002F4C81" w:rsidP="007B356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Total</w:t>
            </w:r>
          </w:p>
        </w:tc>
      </w:tr>
      <w:tr w:rsidR="00236DFB" w:rsidRPr="00810AC8" w:rsidTr="00810AC8">
        <w:trPr>
          <w:cantSplit/>
          <w:trHeight w:val="911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/>
              </w:rPr>
              <w:cr/>
              <w:t>Primeiros equipamentos</w:t>
            </w:r>
          </w:p>
          <w:p w:rsidR="00236DFB" w:rsidRPr="00810AC8" w:rsidRDefault="00236DFB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</w:p>
          <w:p w:rsidR="00236DFB" w:rsidRPr="00810AC8" w:rsidRDefault="00236DFB" w:rsidP="007B356A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lang/>
              </w:rPr>
              <w:cr/>
              <w:t>Substituição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pStyle w:val="TableParagraph"/>
              <w:ind w:left="2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+5%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6F76AF" w:rsidP="007B356A">
            <w:pPr>
              <w:pStyle w:val="TableParagraph"/>
              <w:ind w:left="26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  +5%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+4%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pStyle w:val="TableParagraph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-12%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-1 %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pStyle w:val="TableParagraph"/>
              <w:ind w:left="314" w:right="16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+3%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-5%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pStyle w:val="TableParagraph"/>
              <w:ind w:left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-12%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+1%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6F76AF" w:rsidP="007B356A">
            <w:pPr>
              <w:pStyle w:val="TableParagraph"/>
              <w:ind w:left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 +11%</w:t>
            </w:r>
          </w:p>
          <w:p w:rsidR="00236DFB" w:rsidRPr="00810AC8" w:rsidRDefault="00236DFB" w:rsidP="007B356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7B356A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+0%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DFB" w:rsidRPr="00810AC8" w:rsidRDefault="00236DFB" w:rsidP="007B356A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236DFB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+1%</w:t>
            </w:r>
          </w:p>
          <w:p w:rsidR="00236DFB" w:rsidRPr="00810AC8" w:rsidRDefault="00236DFB" w:rsidP="00236DFB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DFB" w:rsidRPr="00810AC8" w:rsidRDefault="00236DFB" w:rsidP="00236DFB">
            <w:pPr>
              <w:tabs>
                <w:tab w:val="left" w:pos="1168"/>
              </w:tabs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napToGrid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-2%</w:t>
            </w:r>
          </w:p>
        </w:tc>
      </w:tr>
    </w:tbl>
    <w:p w:rsidR="00EC4FF4" w:rsidRPr="00850BAB" w:rsidRDefault="000E1479" w:rsidP="00EC4FF4">
      <w:pPr>
        <w:spacing w:after="240" w:line="270" w:lineRule="atLeast"/>
        <w:outlineLvl w:val="0"/>
        <w:rPr>
          <w:rFonts w:ascii="Arial" w:eastAsia="Arial Unicode MS" w:hAnsi="Arial Unicode MS" w:cs="Times New Roman"/>
          <w:color w:val="000000"/>
          <w:sz w:val="16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16"/>
          <w:szCs w:val="24"/>
          <w:u w:color="000000"/>
          <w:lang/>
        </w:rPr>
        <w:t>* Incluindo a Turquia</w:t>
      </w:r>
    </w:p>
    <w:p w:rsidR="003653ED" w:rsidRPr="00850BAB" w:rsidRDefault="003653ED" w:rsidP="003653ED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O mercado mundial de pneus para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Cami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novos, Primeiros Equipamentos e Substitui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o, reduziu-se 1% em unidades no primeiro semestre de 2016, os mercados de recauchutagem tamb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m diminu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ram, acima de tudo na Europa.</w:t>
      </w:r>
    </w:p>
    <w:p w:rsidR="00BE27E7" w:rsidRPr="00850BAB" w:rsidRDefault="00BE27E7" w:rsidP="003653ED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462EB1" w:rsidRPr="00850BAB" w:rsidRDefault="00462EB1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</w:rPr>
      </w:pPr>
    </w:p>
    <w:p w:rsidR="00EC4FF4" w:rsidRPr="00850BAB" w:rsidRDefault="00EC4FF4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" w:cs="Times New Roman"/>
          <w:b/>
          <w:color w:val="000000"/>
          <w:sz w:val="26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Primeiros Equipamentos</w:t>
      </w:r>
    </w:p>
    <w:p w:rsidR="007D6EBC" w:rsidRPr="00850BAB" w:rsidRDefault="007D6EBC" w:rsidP="007D6EBC">
      <w:pPr>
        <w:numPr>
          <w:ilvl w:val="1"/>
          <w:numId w:val="11"/>
        </w:numPr>
        <w:spacing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Na Europa Ocidental a procura continua a crescer.</w:t>
      </w:r>
    </w:p>
    <w:p w:rsidR="00C81A3D" w:rsidRPr="00850BAB" w:rsidRDefault="00C81A3D" w:rsidP="00C81A3D">
      <w:pPr>
        <w:numPr>
          <w:ilvl w:val="1"/>
          <w:numId w:val="11"/>
        </w:numPr>
        <w:spacing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Como se esperava, o mercado norte-americano continua a descer devido ao forte rejuvenescimento das frotas de ve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culos observado j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 xml:space="preserve"> h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 xml:space="preserve"> uns anos</w:t>
      </w:r>
    </w:p>
    <w:p w:rsidR="007D6EBC" w:rsidRPr="00850BAB" w:rsidRDefault="007D6EBC" w:rsidP="0095608E">
      <w:pPr>
        <w:numPr>
          <w:ilvl w:val="1"/>
          <w:numId w:val="11"/>
        </w:numPr>
        <w:spacing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>
        <w:rPr>
          <w:rFonts w:ascii="Arial" w:eastAsia="Arial Unicode MS" w:hAnsi="Arial" w:cs="Times New Roman"/>
          <w:sz w:val="21"/>
          <w:szCs w:val="24"/>
          <w:u w:color="000000"/>
          <w:lang/>
        </w:rPr>
        <w:t>A procura aumenta 3% na China e o mercado cresce bastante na Índia (+21%).</w:t>
      </w:r>
    </w:p>
    <w:p w:rsidR="00EC4FF4" w:rsidRPr="00850BAB" w:rsidRDefault="00EC4FF4" w:rsidP="00EC4FF4">
      <w:pPr>
        <w:tabs>
          <w:tab w:val="left" w:pos="360"/>
        </w:tabs>
        <w:spacing w:after="0" w:line="270" w:lineRule="atLeast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</w:rPr>
      </w:pPr>
    </w:p>
    <w:p w:rsidR="00EC4FF4" w:rsidRPr="00850BAB" w:rsidRDefault="00EC4FF4" w:rsidP="007E4601">
      <w:pPr>
        <w:spacing w:before="120" w:line="240" w:lineRule="auto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Substituição</w:t>
      </w:r>
    </w:p>
    <w:p w:rsidR="0095608E" w:rsidRPr="00850BAB" w:rsidRDefault="0095608E" w:rsidP="0095608E">
      <w:pPr>
        <w:numPr>
          <w:ilvl w:val="1"/>
          <w:numId w:val="11"/>
        </w:numPr>
        <w:spacing w:before="12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A procura continua din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â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mica na Europa, enquanto o segmento de pneus recauchutados sofre a concorr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ê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ncia dos pneus asi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ticos de gama b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sica.</w:t>
      </w:r>
    </w:p>
    <w:p w:rsidR="006113A2" w:rsidRPr="00850BAB" w:rsidRDefault="0095608E" w:rsidP="006113A2">
      <w:pPr>
        <w:numPr>
          <w:ilvl w:val="1"/>
          <w:numId w:val="11"/>
        </w:numPr>
        <w:spacing w:before="12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Na Am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rica do Norte, apesar das importa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çõ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 xml:space="preserve">es de pneus chineses, sustentadas pela </w:t>
      </w:r>
      <w:proofErr w:type="spellStart"/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perspetiva</w:t>
      </w:r>
      <w:proofErr w:type="spellEnd"/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 xml:space="preserve"> das barreiras alfandeg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rias nos EUA, o mercado estabilizou-se no segundo trimestre em n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veis altos, num contexto de stocks elevados na distribui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sz w:val="21"/>
          <w:szCs w:val="24"/>
          <w:u w:color="000000"/>
          <w:lang/>
        </w:rPr>
        <w:t>o.</w:t>
      </w:r>
    </w:p>
    <w:p w:rsidR="0095608E" w:rsidRPr="00850BAB" w:rsidRDefault="004C76E3" w:rsidP="0095608E">
      <w:pPr>
        <w:numPr>
          <w:ilvl w:val="1"/>
          <w:numId w:val="11"/>
        </w:numPr>
        <w:spacing w:before="120" w:line="240" w:lineRule="auto"/>
        <w:ind w:left="1134" w:hanging="425"/>
        <w:jc w:val="both"/>
        <w:outlineLvl w:val="0"/>
        <w:rPr>
          <w:rFonts w:ascii="Arial" w:eastAsia="Arial Unicode MS" w:hAnsi="Arial Unicode MS" w:cs="Times New Roman"/>
          <w:sz w:val="21"/>
          <w:szCs w:val="24"/>
          <w:u w:color="000000"/>
        </w:rPr>
      </w:pPr>
      <w:r>
        <w:rPr>
          <w:rFonts w:ascii="Arial" w:eastAsia="Arial Unicode MS" w:hAnsi="Arial" w:cs="Times New Roman"/>
          <w:sz w:val="21"/>
          <w:szCs w:val="24"/>
          <w:u w:color="000000"/>
          <w:lang/>
        </w:rPr>
        <w:t>Nos novos mercados a procura cai, na China (-8%), Tailândia (-11%), enquanto se estabiliza no Brasil e na Índia.</w:t>
      </w:r>
    </w:p>
    <w:p w:rsidR="001F7BDE" w:rsidRDefault="001F7BDE" w:rsidP="00EC4FF4">
      <w:pPr>
        <w:spacing w:before="480" w:after="240" w:line="270" w:lineRule="atLeast"/>
        <w:outlineLvl w:val="0"/>
        <w:rPr>
          <w:rFonts w:ascii="Times New Roman" w:eastAsia="Arial Unicode MS" w:hAnsi="Times" w:cs="Times New Roman"/>
          <w:b/>
          <w:bCs/>
          <w:color w:val="000000"/>
          <w:sz w:val="26"/>
          <w:szCs w:val="24"/>
          <w:u w:color="000000"/>
          <w:lang/>
        </w:rPr>
      </w:pPr>
    </w:p>
    <w:p w:rsidR="00EC4FF4" w:rsidRPr="00850BAB" w:rsidRDefault="00EC4FF4" w:rsidP="00EC4FF4">
      <w:pPr>
        <w:spacing w:before="480" w:after="240" w:line="270" w:lineRule="atLeast"/>
        <w:outlineLvl w:val="0"/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</w:rPr>
      </w:pPr>
      <w:r>
        <w:rPr>
          <w:rFonts w:ascii="Times New Roman" w:eastAsia="Arial Unicode MS" w:hAnsi="Times" w:cs="Times New Roman"/>
          <w:b/>
          <w:bCs/>
          <w:color w:val="000000"/>
          <w:sz w:val="26"/>
          <w:szCs w:val="24"/>
          <w:u w:color="000000"/>
          <w:lang/>
        </w:rPr>
        <w:lastRenderedPageBreak/>
        <w:t>Pneus de especialidades</w:t>
      </w:r>
    </w:p>
    <w:p w:rsidR="00F1201F" w:rsidRPr="00850BAB" w:rsidRDefault="00EC4FF4" w:rsidP="00414864">
      <w:pPr>
        <w:numPr>
          <w:ilvl w:val="0"/>
          <w:numId w:val="10"/>
        </w:numPr>
        <w:tabs>
          <w:tab w:val="left" w:pos="360"/>
        </w:tabs>
        <w:spacing w:after="120" w:line="270" w:lineRule="atLeast"/>
        <w:ind w:hanging="332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cs="Times New Roman"/>
          <w:b/>
          <w:bCs/>
          <w:color w:val="000000"/>
          <w:sz w:val="21"/>
          <w:szCs w:val="24"/>
          <w:u w:color="000000"/>
          <w:lang/>
        </w:rPr>
        <w:t>Engenharia civil:</w:t>
      </w:r>
      <w:r>
        <w:rPr>
          <w:rFonts w:ascii="Arial" w:eastAsia="Arial Unicode MS" w:cs="Times New Roman"/>
          <w:color w:val="000000"/>
          <w:sz w:val="21"/>
          <w:szCs w:val="24"/>
          <w:u w:color="000000"/>
          <w:lang/>
        </w:rPr>
        <w:t xml:space="preserve"> O mercado de pneus para minaria diminui significativamente por terceiro ano consecutivo, penalizado pela forte diminuiç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ã</w:t>
      </w:r>
      <w:r>
        <w:rPr>
          <w:rFonts w:ascii="Arial" w:eastAsia="Arial Unicode MS" w:cs="Times New Roman"/>
          <w:color w:val="000000"/>
          <w:sz w:val="21"/>
          <w:szCs w:val="24"/>
          <w:u w:color="000000"/>
          <w:lang/>
        </w:rPr>
        <w:t>o do stock das companhias mineiras num contexto de extração estabilizado.</w:t>
      </w:r>
    </w:p>
    <w:p w:rsidR="002C6DC9" w:rsidRPr="00850BAB" w:rsidRDefault="002C6DC9" w:rsidP="002C6DC9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Os mercados de Primeiros Equipamentos caem nas zonas maduras devido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à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pouca procura e aos stocks de maquinaria. O mercado chin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ê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s tamb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m est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a descer depois de uma acentuada queda em 2015.</w:t>
      </w:r>
    </w:p>
    <w:p w:rsidR="00414864" w:rsidRPr="00850BAB" w:rsidRDefault="007231CF" w:rsidP="00414864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Os mercados de pneus para infraestruturas e pedreiras est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o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à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espera da evolu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da distribui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o.</w:t>
      </w:r>
    </w:p>
    <w:p w:rsidR="008C3AD4" w:rsidRPr="00850BAB" w:rsidRDefault="00EC4FF4" w:rsidP="00E56159">
      <w:pPr>
        <w:numPr>
          <w:ilvl w:val="0"/>
          <w:numId w:val="10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/>
        </w:rPr>
        <w:t xml:space="preserve">Agricultura: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Ap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ó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s uma forte queda em 2015, os mercados de Primeiros Equipamentos est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em recupera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nos mercados maduros, impulsionados pela procura de tratores de pequena pot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ê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ncia. As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perspetivas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para os pr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ó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ximos meses v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o-se manter mal orientadas.</w:t>
      </w:r>
    </w:p>
    <w:p w:rsidR="00AB66E4" w:rsidRPr="00850BAB" w:rsidRDefault="00154EBB" w:rsidP="00427C26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Ap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ó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s uma descida em 2015, os mercados de Substitui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mant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ê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m-se globalmente est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veis nos pa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ses maduros. Os mercados da Am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rica do Sul permanecem bastante penalizados pelo ambiente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econ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ó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mico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.</w:t>
      </w:r>
    </w:p>
    <w:p w:rsidR="00067B06" w:rsidRDefault="00EC4FF4" w:rsidP="00067B06">
      <w:pPr>
        <w:numPr>
          <w:ilvl w:val="0"/>
          <w:numId w:val="10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/>
        </w:rPr>
        <w:t>Duas rodas: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Os mercados de moto e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scooter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est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a subir na Europa pelo quarto ano consecutivo, animados pela subida das compras da distribui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o. Na Am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rica do Norte passam por um retrocesso acentuado, enquanto nos novos mercados permanecem bem orientados gra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as ao segmento </w:t>
      </w:r>
      <w:proofErr w:type="spellStart"/>
      <w:r>
        <w:rPr>
          <w:rFonts w:ascii="Arial" w:eastAsia="Arial Unicode MS" w:hAnsi="Arial Unicode MS" w:cs="Times New Roman"/>
          <w:i/>
          <w:iCs/>
          <w:color w:val="000000"/>
          <w:sz w:val="21"/>
          <w:szCs w:val="24"/>
          <w:u w:color="000000"/>
          <w:lang/>
        </w:rPr>
        <w:t>Commuting</w:t>
      </w:r>
      <w:proofErr w:type="spellEnd"/>
      <w:r>
        <w:rPr>
          <w:rFonts w:ascii="Arial" w:eastAsia="Arial Unicode MS" w:hAnsi="Arial Unicode MS" w:cs="Times New Roman"/>
          <w:i/>
          <w:iCs/>
          <w:color w:val="000000"/>
          <w:sz w:val="21"/>
          <w:szCs w:val="24"/>
          <w:u w:color="000000"/>
          <w:lang/>
        </w:rPr>
        <w:t>.</w:t>
      </w:r>
    </w:p>
    <w:p w:rsidR="00067B06" w:rsidRPr="00067B06" w:rsidRDefault="00EC4FF4" w:rsidP="00067B06">
      <w:pPr>
        <w:numPr>
          <w:ilvl w:val="0"/>
          <w:numId w:val="10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cs="Times New Roman"/>
          <w:b/>
          <w:bCs/>
          <w:color w:val="000000"/>
          <w:sz w:val="21"/>
          <w:szCs w:val="24"/>
          <w:u w:color="000000"/>
          <w:lang/>
        </w:rPr>
        <w:t>Avião:</w:t>
      </w:r>
      <w:r>
        <w:rPr>
          <w:rFonts w:ascii="Arial" w:eastAsia="Arial Unicode MS" w:cs="Times New Roman"/>
          <w:color w:val="000000"/>
          <w:sz w:val="21"/>
          <w:szCs w:val="24"/>
          <w:u w:color="000000"/>
          <w:lang/>
        </w:rPr>
        <w:t xml:space="preserve"> O mercado de pneus para aviões comerciais continua o seu crescimento, impulsionado pelo aumento no tráfego de passageiros. </w:t>
      </w:r>
    </w:p>
    <w:p w:rsidR="00067B06" w:rsidRDefault="00067B06" w:rsidP="00067B06">
      <w:pPr>
        <w:tabs>
          <w:tab w:val="left" w:pos="360"/>
        </w:tabs>
        <w:spacing w:after="240" w:line="360" w:lineRule="exact"/>
        <w:jc w:val="both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</w:rPr>
      </w:pPr>
    </w:p>
    <w:p w:rsidR="00EC4FF4" w:rsidRPr="00067B06" w:rsidRDefault="00F323F1" w:rsidP="00067B06">
      <w:pPr>
        <w:tabs>
          <w:tab w:val="left" w:pos="360"/>
        </w:tabs>
        <w:spacing w:after="240" w:line="360" w:lineRule="exact"/>
        <w:jc w:val="both"/>
        <w:outlineLvl w:val="0"/>
        <w:rPr>
          <w:rFonts w:ascii="Times New Roman" w:eastAsia="Arial Unicode MS" w:hAnsi="Times New Roman" w:cs="Times New Roman"/>
          <w:b/>
          <w:color w:val="333399"/>
          <w:sz w:val="40"/>
          <w:szCs w:val="24"/>
          <w:u w:color="333399"/>
        </w:rPr>
      </w:pPr>
      <w:r>
        <w:rPr>
          <w:rFonts w:ascii="Times New Roman" w:eastAsia="Arial Unicode MS" w:hAnsi="Times New Roman" w:cs="Times New Roman"/>
          <w:b/>
          <w:bCs/>
          <w:color w:val="333399"/>
          <w:sz w:val="40"/>
          <w:szCs w:val="24"/>
          <w:u w:color="333399"/>
          <w:lang/>
        </w:rPr>
        <w:t>Atividades e vendas líquidas da Michelin</w:t>
      </w:r>
    </w:p>
    <w:p w:rsidR="00F323F1" w:rsidRDefault="00F323F1" w:rsidP="00F323F1">
      <w:pPr>
        <w:pStyle w:val="LadilloMichelinDossier"/>
        <w:rPr>
          <w:rFonts w:ascii="Arial" w:eastAsia="Arial Unicode MS" w:hAnsi="Arial Unicode MS" w:cs="Times New Roman"/>
          <w:bCs w:val="0"/>
          <w:sz w:val="21"/>
          <w:szCs w:val="24"/>
        </w:rPr>
      </w:pPr>
      <w:r>
        <w:rPr>
          <w:lang/>
        </w:rPr>
        <w:t>Vendas líquidas</w:t>
      </w:r>
    </w:p>
    <w:p w:rsidR="00EC4FF4" w:rsidRPr="00850BAB" w:rsidRDefault="00EC4FF4" w:rsidP="00EC4FF4">
      <w:pPr>
        <w:spacing w:after="240" w:line="270" w:lineRule="atLeast"/>
        <w:jc w:val="both"/>
        <w:outlineLvl w:val="0"/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Nos seis primeiros meses do ano, as vendas 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quidas ascenderam a 10.292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euros, com uma descida de 2,0% em rela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ao mesmo per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odo de 2015, devido ao efeito dos seguintes fatores:</w:t>
      </w:r>
    </w:p>
    <w:p w:rsidR="00E65BDA" w:rsidRPr="00F323F1" w:rsidRDefault="00B956C0" w:rsidP="00E65BDA">
      <w:pPr>
        <w:numPr>
          <w:ilvl w:val="0"/>
          <w:numId w:val="12"/>
        </w:numPr>
        <w:spacing w:after="24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O crescimento dos volumes de 2,5%, superior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à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evolu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dos mercados em cada segmento de produtos, reflete o rendimento da marca MICHELIN e o dinamismo das outras marcas.</w:t>
      </w:r>
    </w:p>
    <w:p w:rsidR="00EC4FF4" w:rsidRDefault="00EC4FF4" w:rsidP="00F97823">
      <w:pPr>
        <w:numPr>
          <w:ilvl w:val="0"/>
          <w:numId w:val="12"/>
        </w:numPr>
        <w:spacing w:after="240" w:line="270" w:lineRule="atLeast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efeito negativo do mix de pre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os de 2,1%: a metade do efeito do pre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(-163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es de euros) corresponde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à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aplica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das cl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usulas de indexa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e ao efeito do mix (-61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es de euros), o que reflete o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ê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xito cont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nuo da estrat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gia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premium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da marca MICHELIN, muito compensado pelos efeitos desfavor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veis do aumento das outras marcas, pelo crescimento relativo de Primeiros Equipamentos e Substitui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o e pela descida das atividades de Engenharia Civil. </w:t>
      </w:r>
    </w:p>
    <w:p w:rsidR="00F97823" w:rsidRPr="00850BAB" w:rsidRDefault="003C0B07" w:rsidP="00375CDA">
      <w:pPr>
        <w:numPr>
          <w:ilvl w:val="0"/>
          <w:numId w:val="12"/>
        </w:numPr>
        <w:spacing w:after="60"/>
        <w:jc w:val="both"/>
        <w:outlineLvl w:val="0"/>
        <w:rPr>
          <w:rFonts w:ascii="Arial" w:eastAsia="Times New Roman" w:hAnsi="Arial"/>
          <w:sz w:val="21"/>
          <w:szCs w:val="20"/>
        </w:rPr>
      </w:pPr>
      <w:r>
        <w:rPr>
          <w:rFonts w:ascii="Arial" w:hAnsi="Arial"/>
          <w:sz w:val="21"/>
          <w:szCs w:val="20"/>
          <w:lang/>
        </w:rPr>
        <w:t>Uma variação favorável no perímetro de consolidação (+</w:t>
      </w:r>
      <w:r>
        <w:rPr>
          <w:rFonts w:ascii="Arial" w:hAnsi="Arial"/>
          <w:color w:val="000000"/>
          <w:sz w:val="21"/>
          <w:szCs w:val="21"/>
          <w:u w:color="000000"/>
          <w:lang/>
        </w:rPr>
        <w:t xml:space="preserve">0,5%), </w:t>
      </w:r>
      <w:r>
        <w:rPr>
          <w:rFonts w:ascii="Arial" w:hAnsi="Arial"/>
          <w:sz w:val="21"/>
          <w:szCs w:val="20"/>
          <w:lang/>
        </w:rPr>
        <w:t xml:space="preserve">que corresponde principalmente à integração do </w:t>
      </w:r>
      <w:proofErr w:type="spellStart"/>
      <w:r>
        <w:rPr>
          <w:rFonts w:ascii="Arial" w:hAnsi="Arial"/>
          <w:sz w:val="21"/>
          <w:szCs w:val="20"/>
          <w:lang/>
        </w:rPr>
        <w:t>grossista</w:t>
      </w:r>
      <w:proofErr w:type="spellEnd"/>
      <w:r>
        <w:rPr>
          <w:rFonts w:ascii="Arial" w:hAnsi="Arial"/>
          <w:sz w:val="21"/>
          <w:szCs w:val="20"/>
          <w:lang/>
        </w:rPr>
        <w:t xml:space="preserve"> alemão </w:t>
      </w:r>
      <w:r>
        <w:rPr>
          <w:rFonts w:ascii="Arial" w:hAnsi="Arial"/>
          <w:color w:val="000000"/>
          <w:sz w:val="21"/>
          <w:szCs w:val="21"/>
          <w:u w:color="000000"/>
          <w:lang/>
        </w:rPr>
        <w:t xml:space="preserve">Meyer </w:t>
      </w:r>
      <w:proofErr w:type="spellStart"/>
      <w:r>
        <w:rPr>
          <w:rFonts w:ascii="Arial" w:hAnsi="Arial"/>
          <w:color w:val="000000"/>
          <w:sz w:val="21"/>
          <w:szCs w:val="21"/>
          <w:u w:color="000000"/>
          <w:lang/>
        </w:rPr>
        <w:t>Lissendorf</w:t>
      </w:r>
      <w:proofErr w:type="spellEnd"/>
      <w:r>
        <w:rPr>
          <w:rFonts w:ascii="Arial" w:hAnsi="Arial"/>
          <w:color w:val="000000"/>
          <w:sz w:val="21"/>
          <w:szCs w:val="21"/>
          <w:u w:color="000000"/>
          <w:lang/>
        </w:rPr>
        <w:t xml:space="preserve">, </w:t>
      </w:r>
      <w:r>
        <w:rPr>
          <w:rFonts w:ascii="Arial" w:hAnsi="Arial"/>
          <w:sz w:val="21"/>
          <w:szCs w:val="20"/>
          <w:lang/>
        </w:rPr>
        <w:t>de</w:t>
      </w:r>
      <w:r>
        <w:rPr>
          <w:rFonts w:ascii="Verdana" w:hAnsi="Verdana"/>
          <w:sz w:val="18"/>
          <w:szCs w:val="18"/>
          <w:lang/>
        </w:rPr>
        <w:t xml:space="preserve"> </w:t>
      </w:r>
      <w:proofErr w:type="spellStart"/>
      <w:r>
        <w:rPr>
          <w:rFonts w:ascii="Arial" w:hAnsi="Arial"/>
          <w:sz w:val="21"/>
          <w:szCs w:val="20"/>
          <w:lang/>
        </w:rPr>
        <w:t>Blackcircles</w:t>
      </w:r>
      <w:proofErr w:type="spellEnd"/>
      <w:r>
        <w:rPr>
          <w:rFonts w:ascii="Arial" w:hAnsi="Arial"/>
          <w:sz w:val="21"/>
          <w:szCs w:val="20"/>
          <w:lang/>
        </w:rPr>
        <w:t xml:space="preserve">, número 1 da venda de </w:t>
      </w:r>
      <w:r>
        <w:rPr>
          <w:rFonts w:ascii="Arial" w:hAnsi="Arial"/>
          <w:sz w:val="21"/>
          <w:szCs w:val="20"/>
          <w:lang/>
        </w:rPr>
        <w:lastRenderedPageBreak/>
        <w:t xml:space="preserve">pneus pela Internet no Reino Unido e da </w:t>
      </w:r>
      <w:proofErr w:type="spellStart"/>
      <w:r>
        <w:rPr>
          <w:rFonts w:ascii="Arial" w:hAnsi="Arial"/>
          <w:sz w:val="21"/>
          <w:szCs w:val="20"/>
          <w:lang/>
        </w:rPr>
        <w:t>BookaTable</w:t>
      </w:r>
      <w:proofErr w:type="spellEnd"/>
      <w:r>
        <w:rPr>
          <w:rFonts w:ascii="Arial" w:hAnsi="Arial"/>
          <w:sz w:val="21"/>
          <w:szCs w:val="20"/>
          <w:lang/>
        </w:rPr>
        <w:t>, líder europeu de reservas on-line de restaurantes.</w:t>
      </w:r>
    </w:p>
    <w:p w:rsidR="00850BAB" w:rsidRPr="00F323F1" w:rsidRDefault="00850BAB" w:rsidP="00850BAB">
      <w:pPr>
        <w:numPr>
          <w:ilvl w:val="0"/>
          <w:numId w:val="12"/>
        </w:numPr>
        <w:spacing w:after="60" w:line="240" w:lineRule="auto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color w:val="000000"/>
          <w:sz w:val="21"/>
          <w:szCs w:val="24"/>
          <w:u w:color="000000"/>
          <w:lang/>
        </w:rPr>
        <w:t>O impacto negativo das paridades de câmbio (-2,8%).</w:t>
      </w:r>
    </w:p>
    <w:p w:rsidR="00F323F1" w:rsidRPr="00F323F1" w:rsidRDefault="00F323F1" w:rsidP="00F323F1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after="120" w:line="270" w:lineRule="atLeast"/>
        <w:rPr>
          <w:rFonts w:ascii="Times" w:eastAsia="Times" w:hAnsi="Times" w:cs="Times"/>
          <w:b/>
          <w:bCs/>
          <w:color w:val="000000"/>
          <w:sz w:val="26"/>
          <w:szCs w:val="26"/>
          <w:u w:color="000000"/>
          <w:bdr w:val="nil"/>
        </w:rPr>
      </w:pPr>
      <w:r>
        <w:rPr>
          <w:rFonts w:ascii="Times" w:eastAsia="Times" w:hAnsi="Times" w:cs="Times"/>
          <w:b/>
          <w:bCs/>
          <w:color w:val="000000"/>
          <w:sz w:val="26"/>
          <w:szCs w:val="26"/>
          <w:u w:color="000000"/>
          <w:bdr w:val="nil"/>
          <w:lang/>
        </w:rPr>
        <w:t>Resultados</w:t>
      </w:r>
    </w:p>
    <w:p w:rsidR="00F323F1" w:rsidRPr="00F323F1" w:rsidRDefault="00A5782F" w:rsidP="00F323F1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/>
        </w:rPr>
        <w:t xml:space="preserve">O resultado operacional do Grupo em atividades correntes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atinge os 1.405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es de euros, isto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, 13,7% das vendas 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quidas, em compara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com os 1.262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 e o 12,0% do primeiro semestre de 2015.</w:t>
      </w:r>
    </w:p>
    <w:p w:rsidR="009C76D4" w:rsidRDefault="009C76D4" w:rsidP="00F323F1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Para facilitar a compreens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e a an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lise do resultado operacional, o Grupo decidiu modificar o enunciado do ponto de gest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"Resultado operacional antes de produtos e cargas n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recorrentes" para "Resultado operacional em atividades correntes" e especificou a sua defini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o.</w:t>
      </w:r>
    </w:p>
    <w:p w:rsidR="00131CD9" w:rsidRPr="00131CD9" w:rsidRDefault="00B342E2" w:rsidP="00131CD9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O resultado operacional em atividades correntes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regista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o efeito do aumento dos volumes (+159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euros) e o efeito 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quido do mix de pre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os/mat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rias-primas (+115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euros), reflexo do eficaz controlo dos pre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os em Substitui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e das cl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usulas de indexa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o, bastante compensado pelo efeito favor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vel das mat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rias-primas (+339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euros). A continuidade do plano de competitividade (+155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euros) permite, como se tinha antecipado, absorver a infla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dos custos de produ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e as despesas gerais (-142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euros). Excluindo o impacto desfavor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vel das varia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cambio (-98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euros), o resultado operacional em atividades correntes cresce bastante (241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es de euros). Por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ú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ltimo, para al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m de outros efeitos (+3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euros), a amortiza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aumentou 49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euros.</w:t>
      </w:r>
    </w:p>
    <w:p w:rsidR="009D5FE5" w:rsidRPr="00B21EC4" w:rsidRDefault="009D5FE5" w:rsidP="00B21EC4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Os produtos e cargas operacionais excluindo atividades correntes de 51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es de euros correspondem principalmente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à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s despesas de reestrutura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relacionadas com os projetos de adapta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da organiza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o das atividades do Grupo em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Clermont-Ferrand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.</w:t>
      </w:r>
    </w:p>
    <w:p w:rsidR="00F323F1" w:rsidRPr="00F323F1" w:rsidRDefault="000E6B2A" w:rsidP="00F323F1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bCs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O resultado líquido atinge um lucro de 769 milhões de euros.</w:t>
      </w:r>
    </w:p>
    <w:p w:rsidR="00F323F1" w:rsidRDefault="00F323F1" w:rsidP="004E54D0">
      <w:pPr>
        <w:tabs>
          <w:tab w:val="left" w:pos="360"/>
        </w:tabs>
        <w:spacing w:before="120" w:after="120" w:line="270" w:lineRule="atLeast"/>
        <w:ind w:left="335"/>
        <w:outlineLvl w:val="0"/>
        <w:rPr>
          <w:rFonts w:ascii="Arial" w:eastAsia="Arial Unicode MS" w:hAnsi="Arial Unicode MS" w:cs="Times New Roman"/>
          <w:b/>
          <w:color w:val="000000"/>
          <w:sz w:val="21"/>
          <w:szCs w:val="24"/>
          <w:u w:color="000000"/>
        </w:rPr>
      </w:pPr>
    </w:p>
    <w:p w:rsidR="000E6B2A" w:rsidRDefault="000E6B2A" w:rsidP="004E54D0">
      <w:pPr>
        <w:tabs>
          <w:tab w:val="left" w:pos="360"/>
        </w:tabs>
        <w:spacing w:before="120" w:after="120" w:line="270" w:lineRule="atLeast"/>
        <w:ind w:left="335"/>
        <w:outlineLvl w:val="0"/>
        <w:rPr>
          <w:rFonts w:ascii="Times" w:eastAsia="Times" w:hAnsi="Times" w:cs="Times"/>
          <w:b/>
          <w:bCs/>
          <w:color w:val="000000"/>
          <w:sz w:val="26"/>
          <w:szCs w:val="26"/>
          <w:u w:color="000000"/>
          <w:bdr w:val="nil"/>
        </w:rPr>
      </w:pPr>
      <w:r>
        <w:rPr>
          <w:rFonts w:ascii="Times" w:eastAsia="Times" w:hAnsi="Times" w:cs="Times"/>
          <w:b/>
          <w:bCs/>
          <w:color w:val="000000"/>
          <w:sz w:val="26"/>
          <w:szCs w:val="26"/>
          <w:u w:color="000000"/>
          <w:bdr w:val="nil"/>
          <w:lang/>
        </w:rPr>
        <w:t>Posição financeira líquida</w:t>
      </w:r>
    </w:p>
    <w:p w:rsidR="000E6B2A" w:rsidRPr="000E6B2A" w:rsidRDefault="00690120" w:rsidP="000E6B2A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No primeiro semestre de 2016, o </w:t>
      </w:r>
      <w:proofErr w:type="spellStart"/>
      <w:r>
        <w:rPr>
          <w:rFonts w:ascii="Arial" w:eastAsia="Arial Unicode MS" w:hAnsi="Arial Unicode MS" w:cs="Times New Roman"/>
          <w:b/>
          <w:bCs/>
          <w:i/>
          <w:iCs/>
          <w:color w:val="000000"/>
          <w:sz w:val="21"/>
          <w:szCs w:val="24"/>
          <w:u w:color="000000"/>
          <w:lang/>
        </w:rPr>
        <w:t>cash</w:t>
      </w:r>
      <w:proofErr w:type="spellEnd"/>
      <w:r>
        <w:rPr>
          <w:rFonts w:ascii="Arial" w:eastAsia="Arial Unicode MS" w:hAnsi="Arial Unicode MS" w:cs="Times New Roman"/>
          <w:b/>
          <w:bCs/>
          <w:i/>
          <w:iCs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eastAsia="Arial Unicode MS" w:hAnsi="Arial Unicode MS" w:cs="Times New Roman"/>
          <w:b/>
          <w:bCs/>
          <w:i/>
          <w:iCs/>
          <w:color w:val="000000"/>
          <w:sz w:val="21"/>
          <w:szCs w:val="24"/>
          <w:u w:color="000000"/>
          <w:lang/>
        </w:rPr>
        <w:t>flow</w:t>
      </w:r>
      <w:proofErr w:type="spellEnd"/>
      <w:r>
        <w:rPr>
          <w:rFonts w:ascii="Arial" w:eastAsia="Arial Unicode MS" w:hAnsi="Arial Unicode MS" w:cs="Times New Roman"/>
          <w:b/>
          <w:bCs/>
          <w:i/>
          <w:iCs/>
          <w:color w:val="000000"/>
          <w:sz w:val="21"/>
          <w:szCs w:val="24"/>
          <w:u w:color="000000"/>
          <w:lang/>
        </w:rPr>
        <w:t xml:space="preserve"> </w:t>
      </w:r>
      <w:r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/>
        </w:rPr>
        <w:t>livre atinge um resultado positivo de 8 milh</w:t>
      </w:r>
      <w:r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/>
        </w:rPr>
        <w:t>es de euros,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com um crescimento de 108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 em rela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ao mesmo per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odo de 2015, excluindo aquisi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es. Os investimentos elevam-se a 623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euros.</w:t>
      </w:r>
    </w:p>
    <w:p w:rsidR="00C05CCB" w:rsidRPr="00ED2E57" w:rsidRDefault="00742D4D" w:rsidP="00ED2E57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Em 30 de junho de 2016, tendo especialmente em conta o </w:t>
      </w:r>
      <w:proofErr w:type="spellStart"/>
      <w:r>
        <w:rPr>
          <w:rFonts w:ascii="Arial" w:eastAsia="Arial Unicode MS" w:hAnsi="Arial Unicode MS" w:cs="Times New Roman"/>
          <w:i/>
          <w:iCs/>
          <w:color w:val="000000"/>
          <w:sz w:val="21"/>
          <w:szCs w:val="24"/>
          <w:u w:color="000000"/>
          <w:lang/>
        </w:rPr>
        <w:t>cash</w:t>
      </w:r>
      <w:proofErr w:type="spellEnd"/>
      <w:r>
        <w:rPr>
          <w:rFonts w:ascii="Arial" w:eastAsia="Arial Unicode MS" w:hAnsi="Arial Unicode MS" w:cs="Times New Roman"/>
          <w:i/>
          <w:iCs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eastAsia="Arial Unicode MS" w:hAnsi="Arial Unicode MS" w:cs="Times New Roman"/>
          <w:i/>
          <w:iCs/>
          <w:color w:val="000000"/>
          <w:sz w:val="21"/>
          <w:szCs w:val="24"/>
          <w:u w:color="000000"/>
          <w:lang/>
        </w:rPr>
        <w:t>flow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livre positivo, o pagamento de dividendos (515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euros) e a recompra de 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(150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es de euros) o Grupo tem um </w:t>
      </w:r>
      <w:proofErr w:type="spellStart"/>
      <w:r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/>
        </w:rPr>
        <w:t>r</w:t>
      </w:r>
      <w:r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/>
        </w:rPr>
        <w:t>cio</w:t>
      </w:r>
      <w:proofErr w:type="spellEnd"/>
      <w:r>
        <w:rPr>
          <w:rFonts w:ascii="Arial" w:eastAsia="Arial Unicode MS" w:hAnsi="Arial Unicode MS" w:cs="Times New Roman"/>
          <w:b/>
          <w:bCs/>
          <w:color w:val="000000"/>
          <w:sz w:val="21"/>
          <w:szCs w:val="24"/>
          <w:u w:color="000000"/>
          <w:lang/>
        </w:rPr>
        <w:t xml:space="preserve"> de endividamento de 18%,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vel em compara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com o obtido em 30 de junho de 2015, que corresponde a um endividamento financeiro 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quido de 1.719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es de euros, contra o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br/>
        <w:t>11% e os 1.008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final de dezembro de 2015.</w:t>
      </w:r>
    </w:p>
    <w:p w:rsidR="004E54D0" w:rsidRPr="00850BAB" w:rsidRDefault="004E54D0" w:rsidP="004E54D0">
      <w:pPr>
        <w:tabs>
          <w:tab w:val="left" w:pos="360"/>
        </w:tabs>
        <w:spacing w:before="120" w:after="120" w:line="270" w:lineRule="atLeast"/>
        <w:ind w:left="335"/>
        <w:outlineLvl w:val="0"/>
        <w:rPr>
          <w:rFonts w:ascii="Times" w:eastAsia="Arial Unicode MS" w:hAnsi="Times" w:cs="Times New Roman"/>
          <w:color w:val="000000"/>
          <w:sz w:val="21"/>
          <w:szCs w:val="24"/>
          <w:u w:color="000000"/>
        </w:rPr>
      </w:pPr>
      <w:r>
        <w:rPr>
          <w:rFonts w:ascii="Times" w:eastAsia="Arial Unicode MS" w:hAnsi="Times"/>
          <w:b/>
          <w:bCs/>
          <w:color w:val="000000"/>
          <w:sz w:val="26"/>
          <w:u w:color="000000"/>
          <w:lang/>
        </w:rPr>
        <w:t>Informação por segmento</w:t>
      </w:r>
    </w:p>
    <w:tbl>
      <w:tblPr>
        <w:tblW w:w="9039" w:type="dxa"/>
        <w:jc w:val="center"/>
        <w:shd w:val="clear" w:color="auto" w:fill="FFFFFF"/>
        <w:tblLayout w:type="fixed"/>
        <w:tblLook w:val="0000"/>
      </w:tblPr>
      <w:tblGrid>
        <w:gridCol w:w="2235"/>
        <w:gridCol w:w="1134"/>
        <w:gridCol w:w="1134"/>
        <w:gridCol w:w="1134"/>
        <w:gridCol w:w="1134"/>
        <w:gridCol w:w="1134"/>
        <w:gridCol w:w="1134"/>
      </w:tblGrid>
      <w:tr w:rsidR="004E54D0" w:rsidRPr="00850BAB" w:rsidTr="007B356A">
        <w:trPr>
          <w:cantSplit/>
          <w:trHeight w:val="355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E54D0" w:rsidRPr="00850BAB" w:rsidRDefault="004E54D0" w:rsidP="007B356A">
            <w:pPr>
              <w:pStyle w:val="Body1"/>
              <w:keepNext/>
              <w:jc w:val="center"/>
              <w:rPr>
                <w:rFonts w:ascii="Arial" w:hAnsi="Arial"/>
                <w:sz w:val="20"/>
              </w:rPr>
            </w:pPr>
          </w:p>
          <w:p w:rsidR="004E54D0" w:rsidRPr="00850BAB" w:rsidRDefault="004E54D0" w:rsidP="007B356A">
            <w:pPr>
              <w:pStyle w:val="Body1"/>
              <w:keepNext/>
              <w:spacing w:after="120"/>
              <w:jc w:val="center"/>
              <w:rPr>
                <w:rFonts w:ascii="Arial" w:hAnsi="Arial Unicode MS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  <w:lang/>
              </w:rPr>
              <w:t>Milhões de euros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E54D0" w:rsidRPr="00850BAB" w:rsidRDefault="004E54D0" w:rsidP="007B356A">
            <w:pPr>
              <w:pStyle w:val="Body1"/>
              <w:keepNext/>
              <w:spacing w:after="120"/>
              <w:jc w:val="center"/>
              <w:rPr>
                <w:rFonts w:ascii="Arial" w:hAnsi="Arial Unicode MS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  <w:lang/>
              </w:rPr>
              <w:t>Vendas líquidas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E54D0" w:rsidRPr="00850BAB" w:rsidRDefault="004E54D0" w:rsidP="009E6A27">
            <w:pPr>
              <w:pStyle w:val="Body1"/>
              <w:keepNext/>
              <w:spacing w:after="120"/>
              <w:jc w:val="center"/>
              <w:rPr>
                <w:rFonts w:ascii="Arial" w:hAnsi="Arial Unicode MS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  <w:lang/>
              </w:rPr>
              <w:t xml:space="preserve">Resultado operacional </w:t>
            </w:r>
            <w:r>
              <w:rPr>
                <w:rFonts w:ascii="Arial" w:hAnsi="Arial"/>
                <w:smallCaps/>
                <w:sz w:val="20"/>
                <w:lang/>
              </w:rPr>
              <w:br/>
              <w:t xml:space="preserve">em atividades correntes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E54D0" w:rsidRPr="00850BAB" w:rsidRDefault="004E54D0" w:rsidP="009E6A27">
            <w:pPr>
              <w:pStyle w:val="Body1"/>
              <w:keepNext/>
              <w:spacing w:after="120"/>
              <w:jc w:val="center"/>
              <w:rPr>
                <w:rFonts w:ascii="Arial" w:hAnsi="Arial Unicode MS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  <w:lang/>
              </w:rPr>
              <w:t xml:space="preserve">Margem operacional </w:t>
            </w:r>
            <w:r>
              <w:rPr>
                <w:rFonts w:ascii="Arial" w:hAnsi="Arial"/>
                <w:smallCaps/>
                <w:sz w:val="20"/>
                <w:lang/>
              </w:rPr>
              <w:br/>
              <w:t>em atividades correntes</w:t>
            </w:r>
          </w:p>
        </w:tc>
      </w:tr>
      <w:tr w:rsidR="00502EF0" w:rsidRPr="00502EF0" w:rsidTr="007B356A">
        <w:trPr>
          <w:cantSplit/>
          <w:trHeight w:val="679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7B356A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502EF0">
            <w:pPr>
              <w:pStyle w:val="Body1"/>
              <w:keepNext/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/>
              </w:rPr>
              <w:t>primeiro semestre 2016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502EF0">
            <w:pPr>
              <w:pStyle w:val="Body1"/>
              <w:keepNext/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/>
              </w:rPr>
              <w:t>primeiro semestre 2015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7B356A">
            <w:pPr>
              <w:pStyle w:val="Body1"/>
              <w:keepNext/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/>
              </w:rPr>
              <w:t>primeiro semestre 2016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7B356A">
            <w:pPr>
              <w:pStyle w:val="Body1"/>
              <w:keepNext/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/>
              </w:rPr>
              <w:t>primeiro semestre 2015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7B356A">
            <w:pPr>
              <w:pStyle w:val="Body1"/>
              <w:keepNext/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/>
              </w:rPr>
              <w:t>primeiro semestre 2016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02EF0" w:rsidRPr="00502EF0" w:rsidRDefault="00502EF0" w:rsidP="007B356A">
            <w:pPr>
              <w:pStyle w:val="Body1"/>
              <w:keepNext/>
              <w:spacing w:after="12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/>
              </w:rPr>
              <w:t>primeiro semestre 2015</w:t>
            </w:r>
          </w:p>
        </w:tc>
      </w:tr>
      <w:tr w:rsidR="00462A65" w:rsidRPr="00502EF0" w:rsidTr="007B356A">
        <w:trPr>
          <w:cantSplit/>
          <w:trHeight w:val="355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7B356A">
            <w:pPr>
              <w:pStyle w:val="Body1"/>
              <w:spacing w:after="12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/>
              </w:rPr>
              <w:t>ligeiro camioneta e distribuição associada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704FEF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62A65" w:rsidRPr="00502EF0" w:rsidRDefault="00462A65" w:rsidP="00502EF0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5.916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502EF0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5.860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814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13,8%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10,8%</w:t>
            </w:r>
          </w:p>
        </w:tc>
      </w:tr>
      <w:tr w:rsidR="00462A65" w:rsidRPr="00502EF0" w:rsidTr="007B356A">
        <w:trPr>
          <w:cantSplit/>
          <w:trHeight w:val="355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7B356A">
            <w:pPr>
              <w:pStyle w:val="Body1"/>
              <w:spacing w:after="120"/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  <w:szCs w:val="18"/>
                <w:lang/>
              </w:rPr>
              <w:t>camião</w:t>
            </w:r>
            <w:proofErr w:type="spellEnd"/>
            <w:r>
              <w:rPr>
                <w:rFonts w:ascii="Arial" w:hAnsi="Arial" w:cs="Arial"/>
                <w:smallCaps/>
                <w:sz w:val="18"/>
                <w:szCs w:val="18"/>
                <w:lang/>
              </w:rPr>
              <w:t xml:space="preserve"> e distribuição associada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502EF0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2.907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502EF0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3.068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9,9%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9,6%</w:t>
            </w:r>
          </w:p>
        </w:tc>
      </w:tr>
      <w:tr w:rsidR="00462A65" w:rsidRPr="00502EF0" w:rsidTr="007B356A">
        <w:trPr>
          <w:cantSplit/>
          <w:trHeight w:val="504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7B356A">
            <w:pPr>
              <w:pStyle w:val="Body1"/>
              <w:spacing w:after="12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/>
              </w:rPr>
              <w:t>atividades de especialidades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502EF0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1.469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502EF0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1.569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20,6%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375CDA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21,5%</w:t>
            </w:r>
          </w:p>
        </w:tc>
      </w:tr>
      <w:tr w:rsidR="00462A65" w:rsidRPr="00502EF0" w:rsidTr="007B356A">
        <w:trPr>
          <w:cantSplit/>
          <w:trHeight w:val="355"/>
          <w:jc w:val="center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7B356A">
            <w:pPr>
              <w:pStyle w:val="Body1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/>
              </w:rPr>
              <w:t>grupo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462A65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10.292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462A65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10.497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462A65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1.405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462A65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1.262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13,7%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62A65" w:rsidRPr="00502EF0" w:rsidRDefault="00462A65" w:rsidP="007B356A">
            <w:pPr>
              <w:pStyle w:val="Body1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12,0%</w:t>
            </w:r>
          </w:p>
        </w:tc>
      </w:tr>
    </w:tbl>
    <w:p w:rsidR="004E54D0" w:rsidRPr="00850BAB" w:rsidRDefault="004E54D0" w:rsidP="004E54D0">
      <w:pPr>
        <w:tabs>
          <w:tab w:val="left" w:pos="360"/>
        </w:tabs>
        <w:spacing w:before="120" w:after="120" w:line="270" w:lineRule="atLeast"/>
        <w:ind w:left="335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9F01EB" w:rsidRPr="009F01EB" w:rsidRDefault="009F01EB" w:rsidP="009F01EB">
      <w:pPr>
        <w:spacing w:after="240" w:line="270" w:lineRule="atLeast"/>
        <w:ind w:firstLine="360"/>
        <w:jc w:val="both"/>
        <w:outlineLvl w:val="0"/>
        <w:rPr>
          <w:rFonts w:ascii="Arial" w:eastAsia="Arial Unicode MS" w:hAnsi="Arial" w:cs="Times New Roman"/>
          <w:b/>
          <w:color w:val="000000"/>
          <w:sz w:val="26"/>
          <w:szCs w:val="24"/>
          <w:u w:color="000000"/>
        </w:rPr>
      </w:pPr>
      <w:r>
        <w:rPr>
          <w:rFonts w:ascii="Arial" w:eastAsia="Arial Unicode MS" w:hAnsi="Arial" w:cs="Arial"/>
          <w:b/>
          <w:bCs/>
          <w:color w:val="000000"/>
          <w:sz w:val="21"/>
          <w:szCs w:val="24"/>
          <w:u w:color="000000"/>
          <w:lang/>
        </w:rPr>
        <w:t xml:space="preserve">Ligeiro camioneta </w:t>
      </w:r>
    </w:p>
    <w:p w:rsidR="009F01EB" w:rsidRPr="009F01EB" w:rsidRDefault="00B4757B" w:rsidP="009F01EB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/>
          <w:color w:val="000000"/>
          <w:sz w:val="21"/>
          <w:u w:color="000000"/>
          <w:lang/>
        </w:rPr>
        <w:t>As vendas l</w:t>
      </w:r>
      <w:r>
        <w:rPr>
          <w:rFonts w:ascii="Arial" w:eastAsia="Arial Unicode MS" w:hAnsi="Arial Unicode MS"/>
          <w:color w:val="000000"/>
          <w:sz w:val="21"/>
          <w:u w:color="000000"/>
          <w:lang/>
        </w:rPr>
        <w:t>í</w:t>
      </w:r>
      <w:r>
        <w:rPr>
          <w:rFonts w:ascii="Arial" w:eastAsia="Arial Unicode MS" w:hAnsi="Arial Unicode MS"/>
          <w:color w:val="000000"/>
          <w:sz w:val="21"/>
          <w:u w:color="000000"/>
          <w:lang/>
        </w:rPr>
        <w:t xml:space="preserve">quidas do segmento de Ligeiro Camioneta atingem os 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5.916 milh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es de euros, em compara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o com os 5.860 milh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 xml:space="preserve">es do primeiro semestre de 2015, isto 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, um aumento de 1,0%.</w:t>
      </w:r>
    </w:p>
    <w:p w:rsidR="009F01EB" w:rsidRPr="009F01EB" w:rsidRDefault="00C74C8C" w:rsidP="009F01EB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resultado operacional em atividades correntes determina-se em 814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es de euros, isto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, 13,8% das vendas 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quidas, em compara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com os 632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 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 e o 10,8% do primeiro semestre de 2015.</w:t>
      </w:r>
    </w:p>
    <w:p w:rsidR="0012412F" w:rsidRPr="00636742" w:rsidRDefault="0012412F" w:rsidP="00636742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Este aumento de tr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ê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s pontos na margem operacional nas atividades correntes reflete o robusto rendimento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econ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ó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mico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principalmente ligado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à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grande redu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dos custos das mat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rias-primas em rela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o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à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base de compara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de 2015, que a evolu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dos pre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os s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ó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atenuou parcialmente. A melhoria do resultado operacional tamb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m reflete o crescimento de 4%, superior ao do mercado (+2%), e a melhoria da competitividade industrial.</w:t>
      </w:r>
    </w:p>
    <w:p w:rsidR="00A05F67" w:rsidRPr="009F01EB" w:rsidRDefault="00A05F67" w:rsidP="009F01EB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636742" w:rsidRPr="00667114" w:rsidRDefault="00636742" w:rsidP="00636742">
      <w:pPr>
        <w:spacing w:after="240" w:line="270" w:lineRule="atLeast"/>
        <w:ind w:left="360"/>
        <w:jc w:val="both"/>
        <w:outlineLvl w:val="0"/>
        <w:rPr>
          <w:rFonts w:ascii="Arial" w:eastAsia="Arial Unicode MS" w:hAnsi="Arial" w:cs="Arial"/>
          <w:b/>
          <w:color w:val="000000"/>
          <w:sz w:val="21"/>
          <w:u w:color="000000"/>
        </w:rPr>
      </w:pPr>
      <w:proofErr w:type="spellStart"/>
      <w:r>
        <w:rPr>
          <w:rFonts w:ascii="Arial" w:eastAsia="Arial Unicode MS" w:hAnsi="Arial" w:cs="Arial"/>
          <w:b/>
          <w:bCs/>
          <w:color w:val="000000"/>
          <w:sz w:val="21"/>
          <w:u w:color="000000"/>
          <w:lang/>
        </w:rPr>
        <w:t>Camião</w:t>
      </w:r>
      <w:proofErr w:type="spellEnd"/>
      <w:r>
        <w:rPr>
          <w:rFonts w:ascii="Arial" w:eastAsia="Arial Unicode MS" w:hAnsi="Arial" w:cs="Arial"/>
          <w:b/>
          <w:bCs/>
          <w:color w:val="000000"/>
          <w:sz w:val="21"/>
          <w:u w:color="000000"/>
          <w:lang/>
        </w:rPr>
        <w:t xml:space="preserve"> </w:t>
      </w:r>
    </w:p>
    <w:p w:rsidR="00636742" w:rsidRPr="00262858" w:rsidRDefault="00636742" w:rsidP="00636742">
      <w:pPr>
        <w:spacing w:after="240" w:line="270" w:lineRule="atLeast"/>
        <w:ind w:left="360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>
        <w:rPr>
          <w:rFonts w:ascii="Arial" w:eastAsia="Arial Unicode MS" w:hAnsi="Arial Unicode MS"/>
          <w:color w:val="000000"/>
          <w:sz w:val="21"/>
          <w:u w:color="000000"/>
          <w:lang/>
        </w:rPr>
        <w:t>As vendas l</w:t>
      </w:r>
      <w:r>
        <w:rPr>
          <w:rFonts w:ascii="Arial" w:eastAsia="Arial Unicode MS" w:hAnsi="Arial Unicode MS"/>
          <w:color w:val="000000"/>
          <w:sz w:val="21"/>
          <w:u w:color="000000"/>
          <w:lang/>
        </w:rPr>
        <w:t>í</w:t>
      </w:r>
      <w:r>
        <w:rPr>
          <w:rFonts w:ascii="Arial" w:eastAsia="Arial Unicode MS" w:hAnsi="Arial Unicode MS"/>
          <w:color w:val="000000"/>
          <w:sz w:val="21"/>
          <w:u w:color="000000"/>
          <w:lang/>
        </w:rPr>
        <w:t xml:space="preserve">quidas do segmento </w:t>
      </w:r>
      <w:proofErr w:type="spellStart"/>
      <w:r>
        <w:rPr>
          <w:rFonts w:ascii="Arial" w:eastAsia="Arial Unicode MS" w:hAnsi="Arial Unicode MS"/>
          <w:color w:val="000000"/>
          <w:sz w:val="21"/>
          <w:u w:color="000000"/>
          <w:lang/>
        </w:rPr>
        <w:t>Cami</w:t>
      </w:r>
      <w:r>
        <w:rPr>
          <w:rFonts w:ascii="Arial" w:eastAsia="Arial Unicode MS" w:hAnsi="Arial Unicode MS"/>
          <w:color w:val="000000"/>
          <w:sz w:val="21"/>
          <w:u w:color="000000"/>
          <w:lang/>
        </w:rPr>
        <w:t>ã</w:t>
      </w:r>
      <w:r w:rsidR="001F7BDE">
        <w:rPr>
          <w:rFonts w:ascii="Arial" w:eastAsia="Arial Unicode MS" w:hAnsi="Arial Unicode MS"/>
          <w:color w:val="000000"/>
          <w:sz w:val="21"/>
          <w:u w:color="000000"/>
          <w:lang/>
        </w:rPr>
        <w:t>o</w:t>
      </w:r>
      <w:proofErr w:type="spellEnd"/>
      <w:r w:rsidR="001F7BDE">
        <w:rPr>
          <w:rFonts w:ascii="Arial" w:eastAsia="Arial Unicode MS" w:hAnsi="Arial Unicode MS"/>
          <w:color w:val="000000"/>
          <w:sz w:val="21"/>
          <w:u w:color="000000"/>
          <w:lang/>
        </w:rPr>
        <w:t xml:space="preserve"> atingem os 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 xml:space="preserve">2.907 </w:t>
      </w:r>
      <w:r>
        <w:rPr>
          <w:rFonts w:ascii="Arial" w:eastAsia="Arial Unicode MS" w:hAnsi="Arial Unicode MS"/>
          <w:color w:val="000000"/>
          <w:sz w:val="21"/>
          <w:u w:color="000000"/>
          <w:lang/>
        </w:rPr>
        <w:t>milh</w:t>
      </w:r>
      <w:r>
        <w:rPr>
          <w:rFonts w:ascii="Arial" w:eastAsia="Arial Unicode MS" w:hAnsi="Arial Unicode MS"/>
          <w:color w:val="000000"/>
          <w:sz w:val="21"/>
          <w:u w:color="000000"/>
          <w:lang/>
        </w:rPr>
        <w:t>õ</w:t>
      </w:r>
      <w:r>
        <w:rPr>
          <w:rFonts w:ascii="Arial" w:eastAsia="Arial Unicode MS" w:hAnsi="Arial Unicode MS"/>
          <w:color w:val="000000"/>
          <w:sz w:val="21"/>
          <w:u w:color="000000"/>
          <w:lang/>
        </w:rPr>
        <w:t>es de euros, em compara</w:t>
      </w:r>
      <w:r>
        <w:rPr>
          <w:rFonts w:ascii="Arial" w:eastAsia="Arial Unicode MS" w:hAnsi="Arial Unicode MS"/>
          <w:color w:val="000000"/>
          <w:sz w:val="21"/>
          <w:u w:color="000000"/>
          <w:lang/>
        </w:rPr>
        <w:t>çã</w:t>
      </w:r>
      <w:r>
        <w:rPr>
          <w:rFonts w:ascii="Arial" w:eastAsia="Arial Unicode MS" w:hAnsi="Arial Unicode MS"/>
          <w:color w:val="000000"/>
          <w:sz w:val="21"/>
          <w:u w:color="000000"/>
          <w:lang/>
        </w:rPr>
        <w:t xml:space="preserve">o com os 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3.068</w:t>
      </w:r>
      <w:r>
        <w:rPr>
          <w:rFonts w:ascii="Arial" w:eastAsia="Arial Unicode MS" w:hAnsi="Arial Unicode MS"/>
          <w:color w:val="000000"/>
          <w:sz w:val="21"/>
          <w:u w:color="000000"/>
          <w:lang/>
        </w:rPr>
        <w:t xml:space="preserve"> milh</w:t>
      </w:r>
      <w:r>
        <w:rPr>
          <w:rFonts w:ascii="Arial" w:eastAsia="Arial Unicode MS" w:hAnsi="Arial Unicode MS"/>
          <w:color w:val="000000"/>
          <w:sz w:val="21"/>
          <w:u w:color="000000"/>
          <w:lang/>
        </w:rPr>
        <w:t>õ</w:t>
      </w:r>
      <w:r>
        <w:rPr>
          <w:rFonts w:ascii="Arial" w:eastAsia="Arial Unicode MS" w:hAnsi="Arial Unicode MS"/>
          <w:color w:val="000000"/>
          <w:sz w:val="21"/>
          <w:u w:color="000000"/>
          <w:lang/>
        </w:rPr>
        <w:t>es dos seis primeiros meses de 2015.</w:t>
      </w:r>
    </w:p>
    <w:p w:rsidR="00636742" w:rsidRPr="001706BF" w:rsidRDefault="00636742" w:rsidP="00636742">
      <w:pPr>
        <w:spacing w:after="240" w:line="270" w:lineRule="atLeast"/>
        <w:ind w:left="360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O resultado operacional em atividades correntes foi de 288 milh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es de euros, o que representa 9,9% das vendas l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quidas, em compara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o com os 293 milh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es de euros e o 9,6% das vendas l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/>
          <w:color w:val="000000"/>
          <w:sz w:val="21"/>
          <w:szCs w:val="24"/>
          <w:u w:color="000000"/>
          <w:lang/>
        </w:rPr>
        <w:t xml:space="preserve">quidas do primeiro semestre de 2015. </w:t>
      </w:r>
    </w:p>
    <w:p w:rsidR="00704FEF" w:rsidRDefault="007140B6" w:rsidP="009266B9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" w:cs="Arial"/>
          <w:color w:val="000000"/>
          <w:sz w:val="21"/>
          <w:szCs w:val="24"/>
          <w:u w:color="000000"/>
          <w:lang/>
        </w:rPr>
      </w:pPr>
      <w:r>
        <w:rPr>
          <w:rFonts w:ascii="Arial" w:eastAsia="Arial Unicode MS" w:hAnsi="Arial" w:cs="Arial"/>
          <w:color w:val="000000"/>
          <w:sz w:val="21"/>
          <w:szCs w:val="24"/>
          <w:u w:color="000000"/>
          <w:lang/>
        </w:rPr>
        <w:t xml:space="preserve">Esta ligeira melhoria da rentabilidade, num contexto de paridades desfavoráveis e de mercados a descer, reflete principalmente a </w:t>
      </w:r>
      <w:proofErr w:type="spellStart"/>
      <w:r>
        <w:rPr>
          <w:rFonts w:ascii="Arial" w:eastAsia="Arial Unicode MS" w:hAnsi="Arial" w:cs="Arial"/>
          <w:color w:val="000000"/>
          <w:sz w:val="21"/>
          <w:szCs w:val="24"/>
          <w:u w:color="000000"/>
          <w:lang/>
        </w:rPr>
        <w:t>resiliência</w:t>
      </w:r>
      <w:proofErr w:type="spellEnd"/>
      <w:r>
        <w:rPr>
          <w:rFonts w:ascii="Arial" w:eastAsia="Arial Unicode MS" w:hAnsi="Arial" w:cs="Arial"/>
          <w:color w:val="000000"/>
          <w:sz w:val="21"/>
          <w:szCs w:val="24"/>
          <w:u w:color="000000"/>
          <w:lang/>
        </w:rPr>
        <w:t xml:space="preserve"> dos volumes, em crescimento de 1%, graças especialmente ao êxito de atividade de Primeiros Equipamentos e às novas gamas intermédias lançadas nos mercados emergentes e na América do Norte. A boa gestão da atividade, sobretudo no posicionamento de preços, o crescimento da oferta do mercado e o controlo das despesas, também contribuiu para continuar com a recuperação da rentabilidade.</w:t>
      </w:r>
    </w:p>
    <w:p w:rsidR="00704FEF" w:rsidRDefault="00704FEF">
      <w:pPr>
        <w:rPr>
          <w:rFonts w:ascii="Arial" w:eastAsia="Arial Unicode MS" w:hAnsi="Arial" w:cs="Arial"/>
          <w:color w:val="000000"/>
          <w:sz w:val="21"/>
          <w:szCs w:val="24"/>
          <w:u w:color="000000"/>
          <w:lang/>
        </w:rPr>
      </w:pPr>
      <w:r>
        <w:rPr>
          <w:rFonts w:ascii="Arial" w:eastAsia="Arial Unicode MS" w:hAnsi="Arial" w:cs="Arial"/>
          <w:color w:val="000000"/>
          <w:sz w:val="21"/>
          <w:szCs w:val="24"/>
          <w:u w:color="000000"/>
          <w:lang/>
        </w:rPr>
        <w:br w:type="page"/>
      </w:r>
    </w:p>
    <w:p w:rsidR="00A05F67" w:rsidRPr="00A05F67" w:rsidRDefault="0053497E" w:rsidP="00A05F67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" w:cs="Arial"/>
          <w:b/>
          <w:color w:val="000000"/>
          <w:sz w:val="21"/>
          <w:szCs w:val="24"/>
          <w:u w:color="000000"/>
        </w:rPr>
      </w:pPr>
      <w:bookmarkStart w:id="0" w:name="_GoBack"/>
      <w:bookmarkEnd w:id="0"/>
      <w:r>
        <w:rPr>
          <w:rFonts w:ascii="Arial" w:eastAsia="Arial Unicode MS" w:hAnsi="Arial" w:cs="Arial"/>
          <w:b/>
          <w:bCs/>
          <w:color w:val="000000"/>
          <w:sz w:val="21"/>
          <w:szCs w:val="24"/>
          <w:u w:color="000000"/>
          <w:lang/>
        </w:rPr>
        <w:lastRenderedPageBreak/>
        <w:t>Atividades de Especialidades</w:t>
      </w:r>
    </w:p>
    <w:p w:rsidR="00BD71AD" w:rsidRPr="00BD71AD" w:rsidRDefault="00BD71AD" w:rsidP="00BD71AD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As vendas 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quidas do segmento de Atividades de Especialidades atingiram 1.469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euros, em compara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com os 1.569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es de euros de finais de junho de 2015. </w:t>
      </w:r>
    </w:p>
    <w:p w:rsidR="00BD71AD" w:rsidRPr="00BD71AD" w:rsidRDefault="00BD71AD" w:rsidP="00BD71AD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resultado operacional do Grupo em atividades correntes atinge os 303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es de euros, isto 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, 20,6% das vendas 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quidas, em compara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com os 337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 e o 21,5% do primeiro semestre de 2015.</w:t>
      </w:r>
    </w:p>
    <w:p w:rsidR="001C2241" w:rsidRPr="001C2241" w:rsidRDefault="001C2241" w:rsidP="001C2241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Al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m do efeito limitado das paridades, esta boa resist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ê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ncia da margem operacional reflete principalmente o efeito dos ajustes de pre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os relacionados com as cl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á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usulas de indexa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num contexto de retrocesso dos custos das mat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rias-primas, assim como a queda de 2% dos volumes num mercado em retrocesso entre 2% e 5% para o conjunto do ano.</w:t>
      </w:r>
    </w:p>
    <w:p w:rsidR="001C2241" w:rsidRPr="00A05F67" w:rsidRDefault="001C2241" w:rsidP="00A05F67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A05F67" w:rsidRDefault="00A05F67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</w:rPr>
      </w:pPr>
    </w:p>
    <w:p w:rsidR="00E856EE" w:rsidRDefault="00E856EE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</w:rPr>
      </w:pPr>
    </w:p>
    <w:p w:rsidR="00E856EE" w:rsidRDefault="00E856EE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</w:rPr>
      </w:pPr>
    </w:p>
    <w:p w:rsidR="00E856EE" w:rsidRDefault="00E856EE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</w:rPr>
      </w:pPr>
    </w:p>
    <w:p w:rsidR="00E856EE" w:rsidRDefault="00E856EE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</w:rPr>
      </w:pPr>
    </w:p>
    <w:p w:rsidR="0014083F" w:rsidRPr="0014083F" w:rsidRDefault="0014083F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bCs/>
          <w:color w:val="333399"/>
          <w:sz w:val="40"/>
          <w:szCs w:val="24"/>
          <w:u w:color="333399"/>
        </w:rPr>
      </w:pPr>
      <w:proofErr w:type="spellStart"/>
      <w:r>
        <w:rPr>
          <w:rFonts w:ascii="Times New Roman" w:eastAsia="Arial Unicode MS" w:hAnsi="Times" w:cs="Times New Roman"/>
          <w:b/>
          <w:bCs/>
          <w:color w:val="333399"/>
          <w:sz w:val="40"/>
          <w:szCs w:val="24"/>
          <w:u w:color="333399"/>
          <w:lang/>
        </w:rPr>
        <w:t>Compagnie</w:t>
      </w:r>
      <w:proofErr w:type="spellEnd"/>
      <w:r>
        <w:rPr>
          <w:rFonts w:ascii="Times New Roman" w:eastAsia="Arial Unicode MS" w:hAnsi="Times" w:cs="Times New Roman"/>
          <w:b/>
          <w:bCs/>
          <w:color w:val="333399"/>
          <w:sz w:val="40"/>
          <w:szCs w:val="24"/>
          <w:u w:color="333399"/>
          <w:lang/>
        </w:rPr>
        <w:t xml:space="preserve"> </w:t>
      </w:r>
      <w:proofErr w:type="spellStart"/>
      <w:r>
        <w:rPr>
          <w:rFonts w:ascii="Times" w:eastAsia="Arial Unicode MS" w:hAnsi="Times" w:cs="Times New Roman"/>
          <w:b/>
          <w:bCs/>
          <w:color w:val="333399"/>
          <w:sz w:val="40"/>
          <w:szCs w:val="24"/>
          <w:u w:color="333399"/>
          <w:lang/>
        </w:rPr>
        <w:t>Générale</w:t>
      </w:r>
      <w:proofErr w:type="spellEnd"/>
      <w:r>
        <w:rPr>
          <w:rFonts w:ascii="Times" w:eastAsia="Arial Unicode MS" w:hAnsi="Times" w:cs="Times New Roman"/>
          <w:b/>
          <w:bCs/>
          <w:color w:val="333399"/>
          <w:sz w:val="40"/>
          <w:szCs w:val="24"/>
          <w:u w:color="333399"/>
          <w:lang/>
        </w:rPr>
        <w:t xml:space="preserve"> </w:t>
      </w:r>
      <w:proofErr w:type="spellStart"/>
      <w:r>
        <w:rPr>
          <w:rFonts w:ascii="Times" w:eastAsia="Arial Unicode MS" w:hAnsi="Times" w:cs="Times New Roman"/>
          <w:b/>
          <w:bCs/>
          <w:color w:val="333399"/>
          <w:sz w:val="40"/>
          <w:szCs w:val="24"/>
          <w:u w:color="333399"/>
          <w:lang/>
        </w:rPr>
        <w:t>des</w:t>
      </w:r>
      <w:proofErr w:type="spellEnd"/>
      <w:r>
        <w:rPr>
          <w:rFonts w:ascii="Times" w:eastAsia="Arial Unicode MS" w:hAnsi="Times" w:cs="Times New Roman"/>
          <w:b/>
          <w:bCs/>
          <w:color w:val="333399"/>
          <w:sz w:val="40"/>
          <w:szCs w:val="24"/>
          <w:u w:color="333399"/>
          <w:lang/>
        </w:rPr>
        <w:t xml:space="preserve"> </w:t>
      </w:r>
      <w:proofErr w:type="spellStart"/>
      <w:r>
        <w:rPr>
          <w:rFonts w:ascii="Times" w:eastAsia="Arial Unicode MS" w:hAnsi="Times" w:cs="Times New Roman"/>
          <w:b/>
          <w:bCs/>
          <w:color w:val="333399"/>
          <w:sz w:val="40"/>
          <w:szCs w:val="24"/>
          <w:u w:color="333399"/>
          <w:lang/>
        </w:rPr>
        <w:t>Etablissements</w:t>
      </w:r>
      <w:proofErr w:type="spellEnd"/>
      <w:r>
        <w:rPr>
          <w:rFonts w:ascii="Times New Roman" w:eastAsia="Arial Unicode MS" w:hAnsi="Times" w:cs="Times New Roman"/>
          <w:b/>
          <w:bCs/>
          <w:color w:val="333399"/>
          <w:sz w:val="40"/>
          <w:szCs w:val="24"/>
          <w:u w:color="333399"/>
          <w:lang/>
        </w:rPr>
        <w:t xml:space="preserve"> Michelin</w:t>
      </w:r>
    </w:p>
    <w:p w:rsidR="0014083F" w:rsidRPr="0014083F" w:rsidRDefault="0014083F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A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Compagnie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G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n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é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rale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des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Etablissements</w:t>
      </w:r>
      <w:proofErr w:type="spellEnd"/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 Michelin teve um lucro de 1.338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 no primeiro semestre de 2016, em grande progresso em rela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çã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aos 555 milh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õ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es de euros de lucro do mesmo per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í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odo de 2015. </w:t>
      </w:r>
    </w:p>
    <w:p w:rsidR="0014083F" w:rsidRPr="0014083F" w:rsidRDefault="0014083F" w:rsidP="0014083F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As contas foram apresentadas ao Conselho de Vigil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â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ncia na reuni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ã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o de 22 de julho de 2016. Os procedimentos de auditoria foram realizados e o relat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ó</w:t>
      </w: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 xml:space="preserve">rio de auditoria foi emitido em 25 de julho de 2016. </w:t>
      </w:r>
    </w:p>
    <w:p w:rsidR="0014083F" w:rsidRPr="0014083F" w:rsidRDefault="0014083F" w:rsidP="00012724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14083F" w:rsidRPr="0014083F" w:rsidRDefault="0014083F" w:rsidP="00012724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14083F" w:rsidRDefault="0014083F" w:rsidP="00012724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</w:rPr>
      </w:pPr>
    </w:p>
    <w:p w:rsidR="00F95B59" w:rsidRDefault="00F95B59" w:rsidP="00012724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Times New Roman" w:eastAsia="Arial Unicode MS" w:hAnsi="Arial Unicode MS" w:cs="Times New Roman"/>
          <w:b/>
          <w:color w:val="333399"/>
          <w:sz w:val="40"/>
          <w:szCs w:val="24"/>
          <w:u w:color="333399"/>
        </w:rPr>
      </w:pPr>
    </w:p>
    <w:p w:rsidR="00EC4FF4" w:rsidRPr="00850BAB" w:rsidRDefault="00F77A96" w:rsidP="00012724">
      <w:pPr>
        <w:tabs>
          <w:tab w:val="left" w:pos="360"/>
        </w:tabs>
        <w:spacing w:before="120" w:after="120" w:line="270" w:lineRule="atLeast"/>
        <w:ind w:left="335"/>
        <w:jc w:val="both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333399"/>
          <w:sz w:val="40"/>
          <w:szCs w:val="24"/>
          <w:u w:color="333399"/>
          <w:lang/>
        </w:rPr>
        <w:br w:type="column"/>
      </w:r>
      <w:r>
        <w:rPr>
          <w:rFonts w:ascii="Times New Roman" w:eastAsia="Arial Unicode MS" w:hAnsi="Times New Roman" w:cs="Times New Roman"/>
          <w:b/>
          <w:bCs/>
          <w:color w:val="333399"/>
          <w:sz w:val="40"/>
          <w:szCs w:val="24"/>
          <w:u w:color="333399"/>
          <w:lang/>
        </w:rPr>
        <w:lastRenderedPageBreak/>
        <w:t>Fatos destacados do primeiro semestre de 2016</w:t>
      </w:r>
    </w:p>
    <w:p w:rsidR="00EC4FF4" w:rsidRPr="00850BAB" w:rsidRDefault="005F6592" w:rsidP="005F6592">
      <w:pPr>
        <w:pStyle w:val="Cuerpo"/>
        <w:numPr>
          <w:ilvl w:val="0"/>
          <w:numId w:val="29"/>
        </w:numPr>
        <w:spacing w:after="240" w:line="270" w:lineRule="atLeast"/>
        <w:outlineLvl w:val="0"/>
        <w:rPr>
          <w:rFonts w:ascii="Arial" w:hAnsi="Arial" w:cs="Arial"/>
          <w:b/>
          <w:bCs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1"/>
          <w:szCs w:val="21"/>
          <w:lang/>
        </w:rPr>
        <w:t xml:space="preserve">Com a aquisição da </w:t>
      </w:r>
      <w:proofErr w:type="spellStart"/>
      <w:r>
        <w:rPr>
          <w:rFonts w:ascii="Arial" w:hAnsi="Arial" w:cs="Arial"/>
          <w:b/>
          <w:bCs/>
          <w:color w:val="auto"/>
          <w:sz w:val="21"/>
          <w:szCs w:val="21"/>
          <w:lang/>
        </w:rPr>
        <w:t>BookaTable</w:t>
      </w:r>
      <w:proofErr w:type="spellEnd"/>
      <w:r>
        <w:rPr>
          <w:rFonts w:ascii="Arial" w:hAnsi="Arial" w:cs="Arial"/>
          <w:b/>
          <w:bCs/>
          <w:color w:val="auto"/>
          <w:sz w:val="21"/>
          <w:szCs w:val="21"/>
          <w:lang/>
        </w:rPr>
        <w:t>, a Michelin torna-se no líder europeu de reservas on-line de restaurantes (11 de janeiro de 2016).</w:t>
      </w:r>
    </w:p>
    <w:p w:rsidR="005F6592" w:rsidRPr="00850BAB" w:rsidRDefault="00EC4FF4" w:rsidP="005F6592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 xml:space="preserve">Michelin </w:t>
      </w:r>
      <w:proofErr w:type="spellStart"/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>MICHELIN</w:t>
      </w:r>
      <w:proofErr w:type="spellEnd"/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>Pilot</w:t>
      </w:r>
      <w:proofErr w:type="spellEnd"/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 xml:space="preserve"> Sport</w:t>
      </w:r>
      <w:r>
        <w:rPr>
          <w:rFonts w:ascii="Arial" w:hAnsi="Arial"/>
          <w:b/>
          <w:bCs/>
          <w:color w:val="000000"/>
          <w:sz w:val="21"/>
          <w:szCs w:val="24"/>
          <w:u w:color="000000"/>
          <w:vertAlign w:val="superscript"/>
          <w:lang/>
        </w:rPr>
        <w:t>4</w:t>
      </w:r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 xml:space="preserve">, uma nova geração de pneus para </w:t>
      </w:r>
      <w:proofErr w:type="spellStart"/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>berlinas</w:t>
      </w:r>
      <w:proofErr w:type="spellEnd"/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>premium</w:t>
      </w:r>
      <w:proofErr w:type="spellEnd"/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 xml:space="preserve"> e desportivas (12 </w:t>
      </w:r>
      <w:r>
        <w:rPr>
          <w:rFonts w:ascii="Arial" w:hAnsi="Arial"/>
          <w:b/>
          <w:bCs/>
          <w:color w:val="auto"/>
          <w:sz w:val="21"/>
          <w:szCs w:val="21"/>
          <w:lang/>
        </w:rPr>
        <w:t xml:space="preserve">de janeiro de </w:t>
      </w:r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>2016).</w:t>
      </w:r>
    </w:p>
    <w:p w:rsidR="0063466B" w:rsidRPr="00850BAB" w:rsidRDefault="0063466B" w:rsidP="0063466B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>O MICHELIN</w:t>
      </w:r>
      <w:r>
        <w:rPr>
          <w:rFonts w:ascii="Arial" w:hAnsi="Arial"/>
          <w:b/>
          <w:bCs/>
          <w:color w:val="000000"/>
          <w:sz w:val="21"/>
          <w:szCs w:val="24"/>
          <w:u w:color="000000"/>
          <w:vertAlign w:val="superscript"/>
          <w:lang/>
        </w:rPr>
        <w:t>®</w:t>
      </w:r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>Pilot</w:t>
      </w:r>
      <w:proofErr w:type="spellEnd"/>
      <w:r>
        <w:rPr>
          <w:rFonts w:ascii="Arial" w:hAnsi="Arial"/>
          <w:b/>
          <w:bCs/>
          <w:color w:val="000000"/>
          <w:sz w:val="21"/>
          <w:szCs w:val="24"/>
          <w:u w:color="000000"/>
          <w:vertAlign w:val="superscript"/>
          <w:lang/>
        </w:rPr>
        <w:t>®</w:t>
      </w:r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 xml:space="preserve"> Sport </w:t>
      </w:r>
      <w:proofErr w:type="spellStart"/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>All-Season</w:t>
      </w:r>
      <w:proofErr w:type="spellEnd"/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 xml:space="preserve"> 3+™, apresentado em Detroit (15 </w:t>
      </w:r>
      <w:r>
        <w:rPr>
          <w:rFonts w:ascii="Arial" w:hAnsi="Arial"/>
          <w:b/>
          <w:bCs/>
          <w:color w:val="auto"/>
          <w:sz w:val="21"/>
          <w:szCs w:val="21"/>
          <w:lang/>
        </w:rPr>
        <w:t xml:space="preserve">de janeiro de </w:t>
      </w:r>
      <w:r>
        <w:rPr>
          <w:rFonts w:ascii="Arial" w:hAnsi="Arial"/>
          <w:b/>
          <w:bCs/>
          <w:color w:val="000000"/>
          <w:sz w:val="21"/>
          <w:szCs w:val="24"/>
          <w:u w:color="000000"/>
          <w:lang/>
        </w:rPr>
        <w:t>2016).</w:t>
      </w:r>
    </w:p>
    <w:p w:rsidR="00EC4FF4" w:rsidRPr="00850BAB" w:rsidRDefault="00934D92" w:rsidP="00934D92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A Michelin recebe o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prémio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Gold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Class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Sustainability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2016, a mais alta distinção outorgada pelo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Dow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Jones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Sustainability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World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Index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(DJSI) (15 de fevereiro de 2016)  </w:t>
      </w:r>
    </w:p>
    <w:p w:rsidR="00105F82" w:rsidRPr="00850BAB" w:rsidRDefault="00EC4FF4" w:rsidP="00105F82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A Michelin lança a última versão da sua gama de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Camião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MICHELIN X LINE ENERGY Z na América do Norte (28 de fevereiro de 2016).</w:t>
      </w:r>
    </w:p>
    <w:p w:rsidR="00A917F9" w:rsidRPr="00850BAB" w:rsidRDefault="00105F82" w:rsidP="00A917F9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A Michelin confirma a transparência da sua política de testes de pneus  </w:t>
      </w:r>
      <w:r>
        <w:rPr>
          <w:rFonts w:ascii="Arial" w:eastAsia="Arial Unicode MS" w:hAnsi="Arial" w:cs="Times New Roman"/>
          <w:color w:val="000000"/>
          <w:sz w:val="21"/>
          <w:szCs w:val="24"/>
          <w:u w:color="000000"/>
          <w:lang/>
        </w:rPr>
        <w:br/>
      </w: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(26 de fevereiro de 2016).</w:t>
      </w:r>
    </w:p>
    <w:p w:rsidR="00A917F9" w:rsidRPr="00850BAB" w:rsidRDefault="008929EB" w:rsidP="00105F82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A Michelin adapta a organização das suas atividades em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Clermont-Ferrand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 </w:t>
      </w:r>
      <w:r>
        <w:rPr>
          <w:rFonts w:ascii="Arial" w:eastAsia="Arial Unicode MS" w:hAnsi="Arial" w:cs="Times New Roman"/>
          <w:color w:val="000000"/>
          <w:sz w:val="21"/>
          <w:szCs w:val="24"/>
          <w:u w:color="000000"/>
          <w:lang/>
        </w:rPr>
        <w:br/>
      </w: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(1 de março de 2016).</w:t>
      </w:r>
    </w:p>
    <w:p w:rsidR="00EC4FF4" w:rsidRPr="00850BAB" w:rsidRDefault="00660D1E" w:rsidP="005F4E0A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A classificação mundial de 2016 do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Reputation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Institute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(que avalia a reputação das empresas) situa a Michelin no 15º posto, 1ª empresa francesa e 1º fornecedor do sector automóvel (24 de março de 2016).</w:t>
      </w:r>
    </w:p>
    <w:p w:rsidR="00ED5140" w:rsidRPr="00ED5140" w:rsidRDefault="00ED5140" w:rsidP="00ED5140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MICHELIN X® WORKS™, uma oferta destinada aos profissionais da construção para melhorar a produtividade e construir o futuro (18 de abril de 2016).</w:t>
      </w:r>
    </w:p>
    <w:p w:rsidR="00E600E8" w:rsidRPr="00850BAB" w:rsidRDefault="00E65E38" w:rsidP="00E600E8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O Grupo PSA concede à Michelin o seu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prémio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“Responsabilidade Social e Meio-ambiental” </w:t>
      </w:r>
      <w:r>
        <w:rPr>
          <w:rFonts w:ascii="Arial" w:eastAsia="Arial Unicode MS" w:hAnsi="Arial" w:cs="Times New Roman"/>
          <w:color w:val="000000"/>
          <w:sz w:val="21"/>
          <w:szCs w:val="24"/>
          <w:u w:color="000000"/>
          <w:lang/>
        </w:rPr>
        <w:br/>
      </w: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(2 de junho de 2016).</w:t>
      </w:r>
    </w:p>
    <w:p w:rsidR="002B28C3" w:rsidRPr="002B28C3" w:rsidRDefault="002B28C3" w:rsidP="002B28C3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Com motivo do Dia do Investidor, no Centro de Tecnologia de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Ladoux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(França), a Michelin apresenta a sua visão estratégica, os seus objetivos de crescimento e o seu plano de competitividade de 1.200 milhões de euros para o horizonte de 2020 (6 de junho de 2016).</w:t>
      </w:r>
    </w:p>
    <w:p w:rsidR="00E600E8" w:rsidRPr="00850BAB" w:rsidRDefault="00E600E8" w:rsidP="00607B16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Michelin e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Harley-Davidson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, um êxito de prestígio: A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Harley-Davidson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começa a distribuir pneus MICHELIN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Scorcher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 na sua rede  (8 de junho de 2016).</w:t>
      </w:r>
    </w:p>
    <w:p w:rsidR="00E600E8" w:rsidRPr="00850BAB" w:rsidRDefault="00C6083A" w:rsidP="00607B16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Novo centro de produção de pneus de topo de gama no México (4 de julho de 2016).</w:t>
      </w:r>
    </w:p>
    <w:p w:rsidR="00E600E8" w:rsidRPr="00850BAB" w:rsidRDefault="00E600E8" w:rsidP="00E600E8">
      <w:pPr>
        <w:numPr>
          <w:ilvl w:val="0"/>
          <w:numId w:val="29"/>
        </w:num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 xml:space="preserve">A Michelin e a </w:t>
      </w:r>
      <w:proofErr w:type="spellStart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Aviall</w:t>
      </w:r>
      <w:proofErr w:type="spellEnd"/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, filial da Boeing, anunciam a assinatura de um acordo de colaboração estratégica (12 de julho de 2016).</w:t>
      </w:r>
    </w:p>
    <w:p w:rsidR="00EC4FF4" w:rsidRPr="00850BAB" w:rsidRDefault="00EC4FF4" w:rsidP="00EC4FF4">
      <w:pPr>
        <w:tabs>
          <w:tab w:val="left" w:pos="284"/>
        </w:tabs>
        <w:adjustRightInd w:val="0"/>
        <w:snapToGrid w:val="0"/>
        <w:spacing w:after="0" w:line="240" w:lineRule="auto"/>
        <w:ind w:left="360"/>
        <w:jc w:val="both"/>
        <w:rPr>
          <w:rFonts w:ascii="Verdana" w:eastAsia="Times New Roman" w:hAnsi="Verdana" w:cs="Arial"/>
          <w:b/>
          <w:color w:val="auto"/>
          <w:sz w:val="18"/>
          <w:szCs w:val="18"/>
        </w:rPr>
      </w:pPr>
    </w:p>
    <w:p w:rsidR="00EC4FF4" w:rsidRPr="00850BAB" w:rsidRDefault="00EC4FF4" w:rsidP="00EC4FF4">
      <w:pPr>
        <w:spacing w:after="240" w:line="270" w:lineRule="atLeast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</w:p>
    <w:p w:rsidR="00EC4FF4" w:rsidRPr="00850BAB" w:rsidRDefault="00EC4FF4" w:rsidP="00EC4FF4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1"/>
          <w:szCs w:val="24"/>
          <w:u w:val="single" w:color="000000"/>
        </w:rPr>
      </w:pPr>
      <w:r>
        <w:rPr>
          <w:rFonts w:ascii="Arial" w:cs="Arial"/>
          <w:color w:val="000000"/>
          <w:sz w:val="21"/>
          <w:szCs w:val="24"/>
          <w:u w:color="000000"/>
          <w:lang/>
        </w:rPr>
        <w:t xml:space="preserve">A lista completa dos fatos destacados do primeiro semestre de 2016 </w:t>
      </w:r>
      <w:r>
        <w:rPr>
          <w:rFonts w:ascii="Arial" w:cs="Arial"/>
          <w:color w:val="000000"/>
          <w:sz w:val="21"/>
          <w:szCs w:val="24"/>
          <w:u w:color="000000"/>
          <w:lang/>
        </w:rPr>
        <w:cr/>
        <w:t xml:space="preserve">está disponível no site do Grupo: </w:t>
      </w:r>
      <w:hyperlink r:id="rId8">
        <w:r>
          <w:rPr>
            <w:rFonts w:ascii="Arial" w:hAnsi="Arial" w:cs="Arial"/>
            <w:color w:val="0000FF"/>
            <w:sz w:val="21"/>
            <w:szCs w:val="21"/>
            <w:u w:val="single"/>
            <w:lang/>
          </w:rPr>
          <w:t>http://</w:t>
        </w:r>
      </w:hyperlink>
      <w:hyperlink r:id="rId9">
        <w:r>
          <w:rPr>
            <w:rFonts w:ascii="Arial" w:hAnsi="Arial" w:cs="Arial"/>
            <w:color w:val="0000FF"/>
            <w:sz w:val="21"/>
            <w:szCs w:val="21"/>
            <w:u w:val="single"/>
            <w:lang/>
          </w:rPr>
          <w:t>www.michelin.com/fre</w:t>
        </w:r>
      </w:hyperlink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color w:val="000000"/>
          <w:sz w:val="16"/>
          <w:szCs w:val="24"/>
          <w:u w:color="000000"/>
        </w:rPr>
      </w:pP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color w:val="000000"/>
          <w:sz w:val="16"/>
          <w:szCs w:val="24"/>
          <w:u w:color="000000"/>
        </w:rPr>
      </w:pP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Verdana" w:eastAsia="Arial Unicode MS" w:hAnsi="Verdana" w:cs="Times New Roman"/>
          <w:b/>
          <w:color w:val="000000"/>
          <w:sz w:val="16"/>
          <w:szCs w:val="24"/>
          <w:u w:color="000000"/>
        </w:rPr>
      </w:pPr>
    </w:p>
    <w:p w:rsidR="00EC4FF4" w:rsidRPr="00850BAB" w:rsidRDefault="00EC4FF4" w:rsidP="00EC4FF4">
      <w:pPr>
        <w:spacing w:after="0" w:line="240" w:lineRule="auto"/>
        <w:rPr>
          <w:rFonts w:ascii="Times New Roman" w:eastAsia="Arial Unicode MS" w:hAnsi="Arial Unicode MS" w:cs="Times New Roman"/>
          <w:b/>
          <w:color w:val="000000"/>
          <w:sz w:val="26"/>
          <w:szCs w:val="24"/>
          <w:u w:color="000000"/>
        </w:rPr>
      </w:pPr>
      <w:r>
        <w:rPr>
          <w:rFonts w:ascii="Times New Roman" w:eastAsia="Times New Roman" w:hAnsi="Arial Unicode MS" w:cs="Times New Roman"/>
          <w:b/>
          <w:bCs/>
          <w:color w:val="auto"/>
          <w:sz w:val="26"/>
          <w:szCs w:val="24"/>
          <w:lang/>
        </w:rPr>
        <w:br w:type="page"/>
      </w: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4"/>
          <w:u w:color="000000"/>
          <w:lang/>
        </w:rPr>
        <w:lastRenderedPageBreak/>
        <w:t>CALENDÁRIO PARA O INVESTIDOR</w:t>
      </w: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4"/>
          <w:u w:color="000000"/>
        </w:rPr>
      </w:pPr>
    </w:p>
    <w:p w:rsidR="00EC4FF4" w:rsidRPr="00850BAB" w:rsidRDefault="006C4468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Informação trimestral em 30 de setembro de 2016:</w:t>
      </w:r>
    </w:p>
    <w:p w:rsidR="00EC4FF4" w:rsidRPr="00850BAB" w:rsidRDefault="006C4468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 Unicode MS" w:cs="Times New Roman"/>
          <w:color w:val="000000"/>
          <w:sz w:val="21"/>
          <w:szCs w:val="24"/>
          <w:u w:color="000000"/>
          <w:lang/>
        </w:rPr>
        <w:t>Quarta-feira, 19 de outubro de 2016, depois do encerramento da Bolsa</w:t>
      </w: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1"/>
          <w:szCs w:val="24"/>
          <w:u w:color="000000"/>
        </w:rPr>
      </w:pPr>
    </w:p>
    <w:p w:rsidR="00EC4FF4" w:rsidRPr="00850BAB" w:rsidRDefault="006C4468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Vendas líquidas e resultados a 31 de dezembro de 2016:</w:t>
      </w:r>
    </w:p>
    <w:p w:rsidR="00EC4FF4" w:rsidRPr="00850BAB" w:rsidRDefault="006C4468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color w:val="000000"/>
          <w:sz w:val="21"/>
          <w:szCs w:val="24"/>
          <w:u w:color="000000"/>
          <w:lang/>
        </w:rPr>
        <w:t>Terça-feira, 14 de fevereiro de 2017, antes da abertura da Bolsa.</w:t>
      </w:r>
      <w:r>
        <w:rPr>
          <w:rFonts w:ascii="Arial" w:eastAsia="Arial Unicode MS" w:hAnsi="Arial" w:cs="Times New Roman"/>
          <w:color w:val="000000"/>
          <w:sz w:val="21"/>
          <w:szCs w:val="24"/>
          <w:u w:color="000000"/>
          <w:lang/>
        </w:rPr>
        <w:cr/>
      </w:r>
      <w:r>
        <w:rPr>
          <w:rFonts w:ascii="Arial" w:eastAsia="Arial Unicode MS" w:hAnsi="Arial" w:cs="Times New Roman"/>
          <w:color w:val="000000"/>
          <w:sz w:val="21"/>
          <w:szCs w:val="24"/>
          <w:u w:color="000000"/>
          <w:lang/>
        </w:rPr>
        <w:cr/>
      </w:r>
    </w:p>
    <w:p w:rsidR="00E600E8" w:rsidRPr="00850BAB" w:rsidRDefault="00E600E8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E600E8" w:rsidRPr="00850BAB" w:rsidRDefault="00E600E8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 Unicode MS" w:cs="Times New Roman"/>
          <w:color w:val="000000"/>
          <w:sz w:val="21"/>
          <w:szCs w:val="24"/>
          <w:u w:color="000000"/>
        </w:rPr>
      </w:pP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Arial Unicode MS" w:hAnsi="Arial" w:cs="Times New Roman"/>
          <w:b/>
          <w:color w:val="000000"/>
          <w:sz w:val="21"/>
          <w:szCs w:val="24"/>
          <w:u w:color="000000"/>
        </w:rPr>
      </w:pPr>
      <w:r>
        <w:rPr>
          <w:rFonts w:ascii="Arial" w:eastAsia="Arial Unicode MS" w:hAnsi="Arial" w:cs="Times New Roman"/>
          <w:b/>
          <w:bCs/>
          <w:color w:val="000000"/>
          <w:sz w:val="21"/>
          <w:szCs w:val="24"/>
          <w:u w:color="000000"/>
          <w:lang/>
        </w:rPr>
        <w:t>ADVERTÊNCIA</w:t>
      </w: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Verdana" w:eastAsia="Arial Unicode MS" w:hAnsi="Verdana" w:cs="Times New Roman"/>
          <w:color w:val="000000"/>
          <w:sz w:val="16"/>
          <w:szCs w:val="24"/>
          <w:u w:color="000000"/>
        </w:rPr>
      </w:pPr>
    </w:p>
    <w:p w:rsidR="00EC4FF4" w:rsidRPr="00850BAB" w:rsidRDefault="00EC4FF4" w:rsidP="00EC4FF4">
      <w:pPr>
        <w:keepNext/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</w:pPr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>Este comunicado de imprensa não constitui uma oferta de venda ou a solicitação de oferta de compra de ações Michelin. Se quiser mais informação  acerca da Michelin, por favor consulte os documentos p</w:t>
      </w:r>
      <w:r>
        <w:rPr>
          <w:rFonts w:ascii="Arial" w:hAnsi="Arial" w:cs="Arial"/>
          <w:b/>
          <w:bCs/>
          <w:i/>
          <w:iCs/>
          <w:color w:val="000000"/>
          <w:sz w:val="21"/>
          <w:szCs w:val="24"/>
          <w:u w:color="000000"/>
          <w:lang/>
        </w:rPr>
        <w:t>ú</w:t>
      </w:r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 xml:space="preserve">blicos depositados em </w:t>
      </w:r>
      <w:proofErr w:type="spellStart"/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>l’Autorité</w:t>
      </w:r>
      <w:proofErr w:type="spellEnd"/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>des</w:t>
      </w:r>
      <w:proofErr w:type="spellEnd"/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>March</w:t>
      </w:r>
      <w:r>
        <w:rPr>
          <w:rFonts w:ascii="Arial" w:hAnsi="Arial" w:cs="Arial"/>
          <w:b/>
          <w:bCs/>
          <w:i/>
          <w:iCs/>
          <w:color w:val="000000"/>
          <w:sz w:val="21"/>
          <w:szCs w:val="24"/>
          <w:u w:color="000000"/>
          <w:lang/>
        </w:rPr>
        <w:t>é</w:t>
      </w:r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>s</w:t>
      </w:r>
      <w:proofErr w:type="spellEnd"/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 xml:space="preserve"> </w:t>
      </w:r>
      <w:proofErr w:type="spellStart"/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>Financiers</w:t>
      </w:r>
      <w:proofErr w:type="spellEnd"/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>, em França.</w:t>
      </w:r>
      <w:r>
        <w:rPr>
          <w:rFonts w:ascii="Arial" w:cs="Arial"/>
          <w:color w:val="000000"/>
          <w:sz w:val="21"/>
          <w:szCs w:val="24"/>
          <w:u w:color="000000"/>
          <w:lang/>
        </w:rPr>
        <w:t xml:space="preserve"> </w:t>
      </w:r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 xml:space="preserve">Igualmente pode consultá-los no nosso site: </w:t>
      </w:r>
      <w:hyperlink r:id="rId10">
        <w:r>
          <w:rPr>
            <w:rFonts w:ascii="Arial" w:hAnsi="Arial" w:cs="Arial"/>
            <w:b/>
            <w:bCs/>
            <w:i/>
            <w:iCs/>
            <w:color w:val="0000FF"/>
            <w:sz w:val="21"/>
            <w:szCs w:val="21"/>
            <w:lang/>
          </w:rPr>
          <w:t>www.michelin.com</w:t>
        </w:r>
      </w:hyperlink>
      <w:r>
        <w:rPr>
          <w:rFonts w:ascii="Arial" w:hAnsi="Arial" w:cs="Arial"/>
          <w:b/>
          <w:bCs/>
          <w:i/>
          <w:iCs/>
          <w:color w:val="0000FF"/>
          <w:sz w:val="21"/>
          <w:szCs w:val="21"/>
          <w:u w:val="single"/>
          <w:lang/>
        </w:rPr>
        <w:t>/fre</w:t>
      </w:r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>.</w:t>
      </w:r>
      <w:r>
        <w:rPr>
          <w:rFonts w:ascii="Arial" w:cs="Arial"/>
          <w:color w:val="000000"/>
          <w:sz w:val="21"/>
          <w:szCs w:val="24"/>
          <w:u w:color="000000"/>
          <w:lang/>
        </w:rPr>
        <w:t xml:space="preserve"> </w:t>
      </w:r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>Este comunicado pode conter algumas declarações de caráter provisório.</w:t>
      </w:r>
      <w:r>
        <w:rPr>
          <w:rFonts w:ascii="Arial" w:cs="Arial"/>
          <w:color w:val="000000"/>
          <w:sz w:val="21"/>
          <w:szCs w:val="24"/>
          <w:u w:color="000000"/>
          <w:lang/>
        </w:rPr>
        <w:t xml:space="preserve"> </w:t>
      </w:r>
      <w:r>
        <w:rPr>
          <w:rFonts w:ascii="Arial" w:cs="Arial"/>
          <w:b/>
          <w:bCs/>
          <w:i/>
          <w:iCs/>
          <w:color w:val="000000"/>
          <w:sz w:val="21"/>
          <w:szCs w:val="24"/>
          <w:u w:color="000000"/>
          <w:lang/>
        </w:rPr>
        <w:t>Embora a companhia estime que as suas declarações estão baseadas em hipóteses razoáveis na data de publicação do documento, as mesmas estão inerentemente sujeitas a riscos e incertezas que podem fazer com que haja alguma diferença entre os resultados reais e aqueles indicados ou induzidos nestas declarações.</w:t>
      </w:r>
      <w:r>
        <w:rPr>
          <w:rFonts w:ascii="Arial" w:cs="Arial"/>
          <w:color w:val="000000"/>
          <w:sz w:val="21"/>
          <w:szCs w:val="24"/>
          <w:u w:color="000000"/>
          <w:lang/>
        </w:rPr>
        <w:t xml:space="preserve">   </w:t>
      </w:r>
    </w:p>
    <w:p w:rsidR="00492B97" w:rsidRPr="00850BAB" w:rsidRDefault="00492B97" w:rsidP="00863BE7">
      <w:pPr>
        <w:pStyle w:val="TextoMichelin"/>
        <w:rPr>
          <w:rFonts w:ascii="Times New Roman" w:eastAsia="Times New Roman" w:hAnsi="Times New Roman"/>
          <w:b/>
          <w:sz w:val="32"/>
        </w:rPr>
      </w:pPr>
    </w:p>
    <w:p w:rsidR="00492B97" w:rsidRPr="00850BAB" w:rsidRDefault="00492B97" w:rsidP="00863BE7">
      <w:pPr>
        <w:pStyle w:val="TextoMichelin"/>
        <w:rPr>
          <w:rFonts w:ascii="Times New Roman" w:eastAsia="Times New Roman" w:hAnsi="Times New Roman"/>
          <w:b/>
          <w:sz w:val="32"/>
        </w:rPr>
      </w:pPr>
    </w:p>
    <w:p w:rsidR="00492B97" w:rsidRPr="00850BAB" w:rsidRDefault="00492B97" w:rsidP="00863BE7">
      <w:pPr>
        <w:pStyle w:val="TextoMichelin"/>
        <w:rPr>
          <w:rFonts w:ascii="Times New Roman" w:eastAsia="Times New Roman" w:hAnsi="Times New Roman"/>
          <w:b/>
          <w:sz w:val="32"/>
        </w:rPr>
      </w:pPr>
    </w:p>
    <w:p w:rsidR="00B075E4" w:rsidRPr="00850BAB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:rsidR="00B830BF" w:rsidRPr="00850BAB" w:rsidRDefault="00B830BF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/>
          <w:i/>
          <w:iCs/>
          <w:color w:val="auto"/>
          <w:sz w:val="24"/>
          <w:szCs w:val="24"/>
          <w:lang/>
        </w:rPr>
        <w:t xml:space="preserve">A missão da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>
        <w:rPr>
          <w:rFonts w:ascii="Times" w:eastAsia="Times" w:hAnsi="Times"/>
          <w:i/>
          <w:iCs/>
          <w:color w:val="auto"/>
          <w:sz w:val="24"/>
          <w:szCs w:val="24"/>
          <w:lang/>
        </w:rPr>
        <w:t>Clermont-Ferrand</w:t>
      </w:r>
      <w:proofErr w:type="spellEnd"/>
      <w:r>
        <w:rPr>
          <w:rFonts w:ascii="Times" w:eastAsia="Times" w:hAnsi="Times"/>
          <w:i/>
          <w:iCs/>
          <w:color w:val="auto"/>
          <w:sz w:val="24"/>
          <w:szCs w:val="24"/>
          <w:lang/>
        </w:rPr>
        <w:t xml:space="preserve"> (França), está presente em 170 países, emprega 111.700 pessoas em todo o mundo e dispõe de 68 centros de produção implantados em 17 países diferentes. A Michelin possui um Centro de Tecnologia que se encarrega da investigação e desenvolvimento com implantação na Europa, América e Ásia (www.michelin.es).</w:t>
      </w:r>
      <w:r>
        <w:rPr>
          <w:rFonts w:ascii="Times" w:eastAsia="Times" w:hAnsi="Times"/>
          <w:color w:val="auto"/>
          <w:sz w:val="24"/>
          <w:szCs w:val="24"/>
          <w:lang/>
        </w:rPr>
        <w:t xml:space="preserve"> </w:t>
      </w:r>
    </w:p>
    <w:p w:rsidR="00B830BF" w:rsidRPr="00850BA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B830BF" w:rsidRPr="00850BA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0600E8" w:rsidRPr="00850BAB" w:rsidRDefault="000600E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0600E8" w:rsidRPr="00850BAB" w:rsidRDefault="000600E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B830BF" w:rsidRPr="00850BA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B830BF" w:rsidRPr="00850BA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/>
        </w:rPr>
        <w:t>DEPARTAMENTO DE COMUNICAÇÃO</w:t>
      </w:r>
    </w:p>
    <w:p w:rsidR="00B830BF" w:rsidRPr="00850BA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>Avda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 xml:space="preserve">. de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>Los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 xml:space="preserve">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>Encuartes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>, 19</w:t>
      </w:r>
    </w:p>
    <w:p w:rsidR="00B830BF" w:rsidRPr="00850BA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 xml:space="preserve">28760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>Tres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/>
        </w:rPr>
        <w:t xml:space="preserve"> Cantos – Madrid – ESPANHA</w:t>
      </w:r>
    </w:p>
    <w:p w:rsidR="00E8447A" w:rsidRPr="00850BAB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/>
        </w:rPr>
        <w:t>Tel.: 0034 914 105 167 – Fax: 0034 914 105 293</w:t>
      </w:r>
    </w:p>
    <w:sectPr w:rsidR="00E8447A" w:rsidRPr="00850BAB" w:rsidSect="00704FEF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type w:val="continuous"/>
      <w:pgSz w:w="11906" w:h="16838"/>
      <w:pgMar w:top="1135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3E" w:rsidRDefault="008C3C3E" w:rsidP="00DB4D9F">
      <w:pPr>
        <w:spacing w:after="0" w:line="240" w:lineRule="auto"/>
      </w:pPr>
      <w:r>
        <w:separator/>
      </w:r>
    </w:p>
  </w:endnote>
  <w:endnote w:type="continuationSeparator" w:id="0">
    <w:p w:rsidR="008C3C3E" w:rsidRDefault="008C3C3E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EC" w:rsidRDefault="009D1A9F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/>
      </w:rPr>
      <w:fldChar w:fldCharType="begin"/>
    </w:r>
    <w:r w:rsidR="007C60EC">
      <w:rPr>
        <w:rStyle w:val="Nmerodepgina"/>
        <w:lang/>
      </w:rPr>
      <w:instrText xml:space="preserve">PAGE  </w:instrText>
    </w:r>
    <w:r>
      <w:rPr>
        <w:rStyle w:val="Nmerodepgina"/>
        <w:lang/>
      </w:rPr>
      <w:fldChar w:fldCharType="end"/>
    </w:r>
  </w:p>
  <w:p w:rsidR="007C60EC" w:rsidRDefault="007C60EC" w:rsidP="00B2182F">
    <w:pPr>
      <w:pStyle w:val="Piedepgina"/>
      <w:ind w:firstLine="360"/>
    </w:pPr>
  </w:p>
  <w:p w:rsidR="007C60EC" w:rsidRDefault="007C60EC"/>
  <w:p w:rsidR="007C60EC" w:rsidRDefault="007C60EC"/>
  <w:p w:rsidR="007C60EC" w:rsidRDefault="007C60EC"/>
  <w:p w:rsidR="007C60EC" w:rsidRDefault="007C60EC"/>
  <w:p w:rsidR="007C60EC" w:rsidRDefault="007C60EC"/>
  <w:p w:rsidR="007C60EC" w:rsidRDefault="007C60EC"/>
  <w:p w:rsidR="007C60EC" w:rsidRDefault="007C60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EC" w:rsidRDefault="009D1A9F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/>
      </w:rPr>
      <w:fldChar w:fldCharType="begin"/>
    </w:r>
    <w:r w:rsidR="007C60EC">
      <w:rPr>
        <w:rStyle w:val="Nmerodepgina"/>
        <w:lang/>
      </w:rPr>
      <w:instrText xml:space="preserve">PAGE  </w:instrText>
    </w:r>
    <w:r>
      <w:rPr>
        <w:rStyle w:val="Nmerodepgina"/>
        <w:lang/>
      </w:rPr>
      <w:fldChar w:fldCharType="separate"/>
    </w:r>
    <w:r w:rsidR="00704FEF">
      <w:rPr>
        <w:rStyle w:val="Nmerodepgina"/>
        <w:noProof/>
        <w:lang/>
      </w:rPr>
      <w:t>11</w:t>
    </w:r>
    <w:r>
      <w:rPr>
        <w:rStyle w:val="Nmerodepgina"/>
        <w:lang/>
      </w:rPr>
      <w:fldChar w:fldCharType="end"/>
    </w:r>
  </w:p>
  <w:p w:rsidR="007C60EC" w:rsidRDefault="007C60EC" w:rsidP="00976CA5">
    <w:pPr>
      <w:pStyle w:val="Piedepgina"/>
    </w:pPr>
  </w:p>
  <w:p w:rsidR="007C60EC" w:rsidRDefault="009D1A9F">
    <w:r w:rsidRPr="009D1A9F">
      <w:rPr>
        <w:noProof/>
        <w:lang/>
      </w:rPr>
      <w:pict>
        <v:group id="Agrupar 2" o:spid="_x0000_s2048" style="position:absolute;margin-left:353.05pt;margin-top:15.25pt;width:164.4pt;height:69.7pt;z-index:251661312" coordsize="2087880,885190" wrapcoords="3058 0 -99 20903 -99 21368 21699 21368 21699 0 3058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">
          <v:shape id="Rectangle 6" o:spid="_x0000_s2050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l2416175,r,1028700l,1028700,377825,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49" type="#_x0000_t75" style="position:absolute;left:498764;top:193964;width:1454400;height:454777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p w:rsidR="007C60EC" w:rsidRDefault="007C60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3E" w:rsidRDefault="008C3C3E" w:rsidP="00DB4D9F">
      <w:pPr>
        <w:spacing w:after="0" w:line="240" w:lineRule="auto"/>
      </w:pPr>
      <w:r>
        <w:separator/>
      </w:r>
    </w:p>
  </w:footnote>
  <w:footnote w:type="continuationSeparator" w:id="0">
    <w:p w:rsidR="008C3C3E" w:rsidRDefault="008C3C3E" w:rsidP="00DB4D9F">
      <w:pPr>
        <w:spacing w:after="0" w:line="240" w:lineRule="auto"/>
      </w:pPr>
      <w:r>
        <w:continuationSeparator/>
      </w:r>
    </w:p>
  </w:footnote>
  <w:footnote w:id="1">
    <w:p w:rsidR="007C60EC" w:rsidRPr="00030C4A" w:rsidRDefault="007C60EC" w:rsidP="00667144">
      <w:pPr>
        <w:pStyle w:val="Textonotapie"/>
        <w:rPr>
          <w:rStyle w:val="Refdenotaalpie"/>
          <w:sz w:val="14"/>
          <w:szCs w:val="14"/>
        </w:rPr>
      </w:pPr>
      <w:r>
        <w:rPr>
          <w:rStyle w:val="Refdenotaalpie"/>
          <w:rFonts w:ascii="Arial" w:hAnsi="Arial" w:cs="Arial"/>
          <w:lang/>
        </w:rPr>
        <w:footnoteRef/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sz w:val="14"/>
          <w:szCs w:val="14"/>
          <w:lang/>
        </w:rPr>
        <w:t>Para facilitar a compreensão e a análise do resultado operacional, o Grupo decidiu modificar a redação do ponto de gestão "Resultado operacional antes de produtos e cargas não recorrentes" para "Resultado operacional em atividades correntes" e especificou a sua</w:t>
      </w:r>
      <w:r>
        <w:rPr>
          <w:rStyle w:val="Refdenotaalpie"/>
          <w:rFonts w:ascii="Arial" w:hAnsi="Arial" w:cs="Arial"/>
          <w:sz w:val="14"/>
          <w:szCs w:val="14"/>
          <w:vertAlign w:val="baseline"/>
          <w:lang/>
        </w:rPr>
        <w:t xml:space="preserve"> definição.</w:t>
      </w:r>
    </w:p>
    <w:p w:rsidR="007C60EC" w:rsidRPr="00E522B3" w:rsidRDefault="007C60EC" w:rsidP="00667144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Arial" w:hAnsi="Arial" w:cs="Arial"/>
          <w:sz w:val="14"/>
          <w:szCs w:val="14"/>
          <w:lang/>
        </w:rPr>
        <w:t xml:space="preserve">1 </w:t>
      </w:r>
      <w:r>
        <w:rPr>
          <w:rFonts w:ascii="Arial" w:hAnsi="Arial" w:cs="Arial"/>
          <w:sz w:val="14"/>
          <w:szCs w:val="14"/>
          <w:lang/>
        </w:rPr>
        <w:t>Atribuível ao Grupo.</w:t>
      </w:r>
    </w:p>
    <w:p w:rsidR="007C60EC" w:rsidRPr="00E522B3" w:rsidRDefault="007C60EC" w:rsidP="00667144">
      <w:pPr>
        <w:pStyle w:val="Textonotapi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/>
        </w:rPr>
        <w:t xml:space="preserve">2 </w:t>
      </w:r>
      <w:proofErr w:type="spellStart"/>
      <w:r>
        <w:rPr>
          <w:rFonts w:ascii="Arial" w:hAnsi="Arial" w:cs="Arial"/>
          <w:sz w:val="14"/>
          <w:szCs w:val="14"/>
          <w:lang/>
        </w:rPr>
        <w:t>Cash</w:t>
      </w:r>
      <w:proofErr w:type="spellEnd"/>
      <w:r>
        <w:rPr>
          <w:rFonts w:ascii="Arial" w:hAnsi="Arial" w:cs="Arial"/>
          <w:sz w:val="14"/>
          <w:szCs w:val="14"/>
          <w:lang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/>
        </w:rPr>
        <w:t>Flow</w:t>
      </w:r>
      <w:proofErr w:type="spellEnd"/>
      <w:r>
        <w:rPr>
          <w:rFonts w:ascii="Arial" w:hAnsi="Arial" w:cs="Arial"/>
          <w:sz w:val="14"/>
          <w:szCs w:val="14"/>
          <w:lang/>
        </w:rPr>
        <w:t xml:space="preserve"> livre: Fluxo de tesouraria em atividades operacionais - fluxo de tesouraria em investimentos. Fluxo de tesouraria em outros ativos financeiros, antes de distribuição.</w:t>
      </w:r>
    </w:p>
    <w:p w:rsidR="007C60EC" w:rsidRPr="00E522B3" w:rsidRDefault="007C60EC" w:rsidP="00667144">
      <w:pPr>
        <w:pStyle w:val="Textonotapi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/>
        </w:rPr>
        <w:t>3 No final do período.</w:t>
      </w:r>
    </w:p>
    <w:p w:rsidR="007C60EC" w:rsidRPr="009D0753" w:rsidRDefault="007C60EC" w:rsidP="00667144">
      <w:pPr>
        <w:pStyle w:val="Textonotapie"/>
        <w:rPr>
          <w:rFonts w:ascii="Arial" w:hAnsi="Arial" w:cs="Arial"/>
          <w:vertAlign w:val="superscript"/>
        </w:rPr>
      </w:pPr>
    </w:p>
  </w:footnote>
  <w:footnote w:id="2">
    <w:p w:rsidR="007C60EC" w:rsidRDefault="007C60EC" w:rsidP="009A2BD3">
      <w:pPr>
        <w:pStyle w:val="Textonotapie"/>
      </w:pPr>
    </w:p>
  </w:footnote>
  <w:footnote w:id="3">
    <w:p w:rsidR="007C60EC" w:rsidRDefault="007C60EC" w:rsidP="00734929">
      <w:pPr>
        <w:pStyle w:val="Textonotapie"/>
      </w:pPr>
    </w:p>
  </w:footnote>
  <w:footnote w:id="4">
    <w:p w:rsidR="007C60EC" w:rsidRDefault="007C60EC" w:rsidP="002F4C81">
      <w:pPr>
        <w:pStyle w:val="Textonotapie"/>
      </w:pPr>
    </w:p>
  </w:footnote>
  <w:footnote w:id="5">
    <w:p w:rsidR="007C60EC" w:rsidRDefault="007C60EC" w:rsidP="002F4C81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EC" w:rsidRDefault="009D1A9F" w:rsidP="009A2BD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/>
      </w:rPr>
      <w:fldChar w:fldCharType="begin"/>
    </w:r>
    <w:r w:rsidR="007C60EC">
      <w:rPr>
        <w:rStyle w:val="Nmerodepgina"/>
        <w:lang/>
      </w:rPr>
      <w:instrText xml:space="preserve">PAGE  </w:instrText>
    </w:r>
    <w:r>
      <w:rPr>
        <w:rStyle w:val="Nmerodepgina"/>
        <w:lang/>
      </w:rPr>
      <w:fldChar w:fldCharType="end"/>
    </w:r>
  </w:p>
  <w:p w:rsidR="007C60EC" w:rsidRDefault="007C60EC" w:rsidP="00E96089">
    <w:pPr>
      <w:pStyle w:val="Encabezado"/>
      <w:ind w:firstLine="360"/>
    </w:pPr>
  </w:p>
  <w:p w:rsidR="007C60EC" w:rsidRDefault="007C60EC"/>
  <w:p w:rsidR="007C60EC" w:rsidRDefault="007C60EC"/>
  <w:p w:rsidR="007C60EC" w:rsidRDefault="007C60EC"/>
  <w:p w:rsidR="007C60EC" w:rsidRDefault="007C60EC"/>
  <w:p w:rsidR="007C60EC" w:rsidRDefault="007C60EC"/>
  <w:p w:rsidR="007C60EC" w:rsidRDefault="007C60EC"/>
  <w:p w:rsidR="007C60EC" w:rsidRDefault="007C60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EC" w:rsidRDefault="007C60EC" w:rsidP="00D17C27">
    <w:pPr>
      <w:pStyle w:val="Encabezado"/>
      <w:tabs>
        <w:tab w:val="clear" w:pos="4536"/>
        <w:tab w:val="clear" w:pos="9072"/>
        <w:tab w:val="left" w:pos="968"/>
      </w:tabs>
      <w:ind w:firstLine="360"/>
    </w:pPr>
  </w:p>
  <w:p w:rsidR="007C60EC" w:rsidRDefault="007C60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000001B"/>
    <w:multiLevelType w:val="multilevel"/>
    <w:tmpl w:val="894EE88D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</w:abstractNum>
  <w:abstractNum w:abstractNumId="2">
    <w:nsid w:val="00543DF3"/>
    <w:multiLevelType w:val="hybridMultilevel"/>
    <w:tmpl w:val="8F983830"/>
    <w:lvl w:ilvl="0" w:tplc="EAB60B0C">
      <w:start w:val="1"/>
      <w:numFmt w:val="bullet"/>
      <w:lvlText w:val=""/>
      <w:lvlJc w:val="left"/>
      <w:pPr>
        <w:ind w:left="44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1" w:tplc="1BE8F782">
      <w:start w:val="1"/>
      <w:numFmt w:val="bullet"/>
      <w:lvlText w:val="o"/>
      <w:lvlJc w:val="left"/>
      <w:pPr>
        <w:ind w:left="8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E59C4CB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265ABA56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4" w:tplc="EAE4B786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361650C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CB8416B4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5AA4AF88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710A205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">
    <w:nsid w:val="034C31FE"/>
    <w:multiLevelType w:val="hybridMultilevel"/>
    <w:tmpl w:val="50B82A16"/>
    <w:lvl w:ilvl="0" w:tplc="D2827FC0">
      <w:start w:val="1"/>
      <w:numFmt w:val="bullet"/>
      <w:lvlText w:val=""/>
      <w:lvlJc w:val="left"/>
      <w:pPr>
        <w:ind w:left="401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5A01CB0">
      <w:start w:val="1"/>
      <w:numFmt w:val="bullet"/>
      <w:lvlText w:val="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0D804330">
      <w:start w:val="1"/>
      <w:numFmt w:val="bullet"/>
      <w:lvlText w:val="•"/>
      <w:lvlJc w:val="left"/>
      <w:pPr>
        <w:ind w:left="1907" w:hanging="281"/>
      </w:pPr>
      <w:rPr>
        <w:rFonts w:hint="default"/>
      </w:rPr>
    </w:lvl>
    <w:lvl w:ilvl="3" w:tplc="EEC0EFA4">
      <w:start w:val="1"/>
      <w:numFmt w:val="bullet"/>
      <w:lvlText w:val="•"/>
      <w:lvlJc w:val="left"/>
      <w:pPr>
        <w:ind w:left="2994" w:hanging="281"/>
      </w:pPr>
      <w:rPr>
        <w:rFonts w:hint="default"/>
      </w:rPr>
    </w:lvl>
    <w:lvl w:ilvl="4" w:tplc="1C7E4C84">
      <w:start w:val="1"/>
      <w:numFmt w:val="bullet"/>
      <w:lvlText w:val="•"/>
      <w:lvlJc w:val="left"/>
      <w:pPr>
        <w:ind w:left="4082" w:hanging="281"/>
      </w:pPr>
      <w:rPr>
        <w:rFonts w:hint="default"/>
      </w:rPr>
    </w:lvl>
    <w:lvl w:ilvl="5" w:tplc="CACA5598">
      <w:start w:val="1"/>
      <w:numFmt w:val="bullet"/>
      <w:lvlText w:val="•"/>
      <w:lvlJc w:val="left"/>
      <w:pPr>
        <w:ind w:left="5169" w:hanging="281"/>
      </w:pPr>
      <w:rPr>
        <w:rFonts w:hint="default"/>
      </w:rPr>
    </w:lvl>
    <w:lvl w:ilvl="6" w:tplc="19F06DFE">
      <w:start w:val="1"/>
      <w:numFmt w:val="bullet"/>
      <w:lvlText w:val="•"/>
      <w:lvlJc w:val="left"/>
      <w:pPr>
        <w:ind w:left="6256" w:hanging="281"/>
      </w:pPr>
      <w:rPr>
        <w:rFonts w:hint="default"/>
      </w:rPr>
    </w:lvl>
    <w:lvl w:ilvl="7" w:tplc="2710DC92">
      <w:start w:val="1"/>
      <w:numFmt w:val="bullet"/>
      <w:lvlText w:val="•"/>
      <w:lvlJc w:val="left"/>
      <w:pPr>
        <w:ind w:left="7344" w:hanging="281"/>
      </w:pPr>
      <w:rPr>
        <w:rFonts w:hint="default"/>
      </w:rPr>
    </w:lvl>
    <w:lvl w:ilvl="8" w:tplc="779041A0">
      <w:start w:val="1"/>
      <w:numFmt w:val="bullet"/>
      <w:lvlText w:val="•"/>
      <w:lvlJc w:val="left"/>
      <w:pPr>
        <w:ind w:left="8431" w:hanging="281"/>
      </w:pPr>
      <w:rPr>
        <w:rFonts w:hint="default"/>
      </w:rPr>
    </w:lvl>
  </w:abstractNum>
  <w:abstractNum w:abstractNumId="4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515B0"/>
    <w:multiLevelType w:val="hybridMultilevel"/>
    <w:tmpl w:val="9B00B446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0CDD2C7C"/>
    <w:multiLevelType w:val="hybridMultilevel"/>
    <w:tmpl w:val="96864290"/>
    <w:lvl w:ilvl="0" w:tplc="F4F270F2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92AE9BB4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2" w:tplc="BDC85D5A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3" w:tplc="CDD63D4E">
      <w:start w:val="1"/>
      <w:numFmt w:val="bullet"/>
      <w:lvlText w:val="•"/>
      <w:lvlJc w:val="left"/>
      <w:pPr>
        <w:ind w:left="3837" w:hanging="284"/>
      </w:pPr>
      <w:rPr>
        <w:rFonts w:hint="default"/>
      </w:rPr>
    </w:lvl>
    <w:lvl w:ilvl="4" w:tplc="403EFEA6">
      <w:start w:val="1"/>
      <w:numFmt w:val="bullet"/>
      <w:lvlText w:val="•"/>
      <w:lvlJc w:val="left"/>
      <w:pPr>
        <w:ind w:left="4809" w:hanging="284"/>
      </w:pPr>
      <w:rPr>
        <w:rFonts w:hint="default"/>
      </w:rPr>
    </w:lvl>
    <w:lvl w:ilvl="5" w:tplc="B688F19E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CAF0F0BE">
      <w:start w:val="1"/>
      <w:numFmt w:val="bullet"/>
      <w:lvlText w:val="•"/>
      <w:lvlJc w:val="left"/>
      <w:pPr>
        <w:ind w:left="6754" w:hanging="284"/>
      </w:pPr>
      <w:rPr>
        <w:rFonts w:hint="default"/>
      </w:rPr>
    </w:lvl>
    <w:lvl w:ilvl="7" w:tplc="4C6421FE">
      <w:start w:val="1"/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707E093C">
      <w:start w:val="1"/>
      <w:numFmt w:val="bullet"/>
      <w:lvlText w:val="•"/>
      <w:lvlJc w:val="left"/>
      <w:pPr>
        <w:ind w:left="8699" w:hanging="284"/>
      </w:pPr>
      <w:rPr>
        <w:rFonts w:hint="default"/>
      </w:rPr>
    </w:lvl>
  </w:abstractNum>
  <w:abstractNum w:abstractNumId="7">
    <w:nsid w:val="0D6755E0"/>
    <w:multiLevelType w:val="hybridMultilevel"/>
    <w:tmpl w:val="82DCBEF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E771B"/>
    <w:multiLevelType w:val="hybridMultilevel"/>
    <w:tmpl w:val="54ACC20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F39A3"/>
    <w:multiLevelType w:val="hybridMultilevel"/>
    <w:tmpl w:val="A0742314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B7101"/>
    <w:multiLevelType w:val="hybridMultilevel"/>
    <w:tmpl w:val="2848B00E"/>
    <w:lvl w:ilvl="0" w:tplc="882CA938">
      <w:start w:val="1"/>
      <w:numFmt w:val="bullet"/>
      <w:lvlText w:val=""/>
      <w:lvlJc w:val="left"/>
      <w:pPr>
        <w:ind w:left="467" w:hanging="351"/>
      </w:pPr>
      <w:rPr>
        <w:rFonts w:ascii="Wingdings" w:eastAsia="Wingdings" w:hAnsi="Wingdings" w:hint="default"/>
        <w:w w:val="100"/>
        <w:sz w:val="20"/>
        <w:szCs w:val="20"/>
      </w:rPr>
    </w:lvl>
    <w:lvl w:ilvl="1" w:tplc="57A26F1A">
      <w:start w:val="1"/>
      <w:numFmt w:val="bullet"/>
      <w:lvlText w:val=""/>
      <w:lvlJc w:val="left"/>
      <w:pPr>
        <w:ind w:left="82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2" w:tplc="A77CCADA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B88E8DFA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59989C4E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F1504A78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6B1C756C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3F90D5C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B703664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1">
    <w:nsid w:val="29FE1FDA"/>
    <w:multiLevelType w:val="hybridMultilevel"/>
    <w:tmpl w:val="3F4C9B48"/>
    <w:lvl w:ilvl="0" w:tplc="E5D0F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80D40"/>
    <w:multiLevelType w:val="hybridMultilevel"/>
    <w:tmpl w:val="E7F0AA60"/>
    <w:lvl w:ilvl="0" w:tplc="A53A3C64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37E018FC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D21C2A0E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EA00871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377E66B0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F418BC66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39225712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A20047E0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  <w:lvl w:ilvl="8" w:tplc="B06C9CF4">
      <w:start w:val="1"/>
      <w:numFmt w:val="bullet"/>
      <w:lvlText w:val="•"/>
      <w:lvlJc w:val="left"/>
      <w:pPr>
        <w:ind w:left="8687" w:hanging="360"/>
      </w:pPr>
      <w:rPr>
        <w:rFonts w:hint="default"/>
      </w:rPr>
    </w:lvl>
  </w:abstractNum>
  <w:abstractNum w:abstractNumId="13">
    <w:nsid w:val="2F2B35A4"/>
    <w:multiLevelType w:val="hybridMultilevel"/>
    <w:tmpl w:val="66B0FA44"/>
    <w:lvl w:ilvl="0" w:tplc="19DE991C">
      <w:start w:val="5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40992"/>
    <w:multiLevelType w:val="hybridMultilevel"/>
    <w:tmpl w:val="A8A08332"/>
    <w:lvl w:ilvl="0" w:tplc="BDA29550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AB684F9C">
      <w:start w:val="1"/>
      <w:numFmt w:val="bullet"/>
      <w:lvlText w:val="•"/>
      <w:lvlJc w:val="left"/>
      <w:pPr>
        <w:ind w:left="2234" w:hanging="356"/>
      </w:pPr>
      <w:rPr>
        <w:rFonts w:hint="default"/>
      </w:rPr>
    </w:lvl>
    <w:lvl w:ilvl="2" w:tplc="85C8B9B2">
      <w:start w:val="1"/>
      <w:numFmt w:val="bullet"/>
      <w:lvlText w:val="•"/>
      <w:lvlJc w:val="left"/>
      <w:pPr>
        <w:ind w:left="3168" w:hanging="356"/>
      </w:pPr>
      <w:rPr>
        <w:rFonts w:hint="default"/>
      </w:rPr>
    </w:lvl>
    <w:lvl w:ilvl="3" w:tplc="7C9A9844">
      <w:start w:val="1"/>
      <w:numFmt w:val="bullet"/>
      <w:lvlText w:val="•"/>
      <w:lvlJc w:val="left"/>
      <w:pPr>
        <w:ind w:left="4103" w:hanging="356"/>
      </w:pPr>
      <w:rPr>
        <w:rFonts w:hint="default"/>
      </w:rPr>
    </w:lvl>
    <w:lvl w:ilvl="4" w:tplc="DE38857C">
      <w:start w:val="1"/>
      <w:numFmt w:val="bullet"/>
      <w:lvlText w:val="•"/>
      <w:lvlJc w:val="left"/>
      <w:pPr>
        <w:ind w:left="5037" w:hanging="356"/>
      </w:pPr>
      <w:rPr>
        <w:rFonts w:hint="default"/>
      </w:rPr>
    </w:lvl>
    <w:lvl w:ilvl="5" w:tplc="6B38D68E">
      <w:start w:val="1"/>
      <w:numFmt w:val="bullet"/>
      <w:lvlText w:val="•"/>
      <w:lvlJc w:val="left"/>
      <w:pPr>
        <w:ind w:left="5972" w:hanging="356"/>
      </w:pPr>
      <w:rPr>
        <w:rFonts w:hint="default"/>
      </w:rPr>
    </w:lvl>
    <w:lvl w:ilvl="6" w:tplc="9940C002">
      <w:start w:val="1"/>
      <w:numFmt w:val="bullet"/>
      <w:lvlText w:val="•"/>
      <w:lvlJc w:val="left"/>
      <w:pPr>
        <w:ind w:left="6906" w:hanging="356"/>
      </w:pPr>
      <w:rPr>
        <w:rFonts w:hint="default"/>
      </w:rPr>
    </w:lvl>
    <w:lvl w:ilvl="7" w:tplc="A1ACC618">
      <w:start w:val="1"/>
      <w:numFmt w:val="bullet"/>
      <w:lvlText w:val="•"/>
      <w:lvlJc w:val="left"/>
      <w:pPr>
        <w:ind w:left="7840" w:hanging="356"/>
      </w:pPr>
      <w:rPr>
        <w:rFonts w:hint="default"/>
      </w:rPr>
    </w:lvl>
    <w:lvl w:ilvl="8" w:tplc="3DFAFEFA">
      <w:start w:val="1"/>
      <w:numFmt w:val="bullet"/>
      <w:lvlText w:val="•"/>
      <w:lvlJc w:val="left"/>
      <w:pPr>
        <w:ind w:left="8775" w:hanging="356"/>
      </w:pPr>
      <w:rPr>
        <w:rFonts w:hint="default"/>
      </w:rPr>
    </w:lvl>
  </w:abstractNum>
  <w:abstractNum w:abstractNumId="15">
    <w:nsid w:val="35B936DA"/>
    <w:multiLevelType w:val="hybridMultilevel"/>
    <w:tmpl w:val="F928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56B59"/>
    <w:multiLevelType w:val="hybridMultilevel"/>
    <w:tmpl w:val="05B66E64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7635BC"/>
    <w:multiLevelType w:val="hybridMultilevel"/>
    <w:tmpl w:val="3C8C183E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967D0"/>
    <w:multiLevelType w:val="hybridMultilevel"/>
    <w:tmpl w:val="A6AC7CEC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C3D38"/>
    <w:multiLevelType w:val="hybridMultilevel"/>
    <w:tmpl w:val="8EF84664"/>
    <w:lvl w:ilvl="0" w:tplc="FF52B398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4132931E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763668A0">
      <w:start w:val="1"/>
      <w:numFmt w:val="bullet"/>
      <w:lvlText w:val="•"/>
      <w:lvlJc w:val="left"/>
      <w:pPr>
        <w:ind w:left="2338" w:hanging="356"/>
      </w:pPr>
      <w:rPr>
        <w:rFonts w:hint="default"/>
      </w:rPr>
    </w:lvl>
    <w:lvl w:ilvl="3" w:tplc="3F2CD9EC">
      <w:start w:val="1"/>
      <w:numFmt w:val="bullet"/>
      <w:lvlText w:val="•"/>
      <w:lvlJc w:val="left"/>
      <w:pPr>
        <w:ind w:left="3376" w:hanging="356"/>
      </w:pPr>
      <w:rPr>
        <w:rFonts w:hint="default"/>
      </w:rPr>
    </w:lvl>
    <w:lvl w:ilvl="4" w:tplc="D696E100">
      <w:start w:val="1"/>
      <w:numFmt w:val="bullet"/>
      <w:lvlText w:val="•"/>
      <w:lvlJc w:val="left"/>
      <w:pPr>
        <w:ind w:left="4414" w:hanging="356"/>
      </w:pPr>
      <w:rPr>
        <w:rFonts w:hint="default"/>
      </w:rPr>
    </w:lvl>
    <w:lvl w:ilvl="5" w:tplc="66BA8660">
      <w:start w:val="1"/>
      <w:numFmt w:val="bullet"/>
      <w:lvlText w:val="•"/>
      <w:lvlJc w:val="left"/>
      <w:pPr>
        <w:ind w:left="5452" w:hanging="356"/>
      </w:pPr>
      <w:rPr>
        <w:rFonts w:hint="default"/>
      </w:rPr>
    </w:lvl>
    <w:lvl w:ilvl="6" w:tplc="8CF28148">
      <w:start w:val="1"/>
      <w:numFmt w:val="bullet"/>
      <w:lvlText w:val="•"/>
      <w:lvlJc w:val="left"/>
      <w:pPr>
        <w:ind w:left="6491" w:hanging="356"/>
      </w:pPr>
      <w:rPr>
        <w:rFonts w:hint="default"/>
      </w:rPr>
    </w:lvl>
    <w:lvl w:ilvl="7" w:tplc="2A020410">
      <w:start w:val="1"/>
      <w:numFmt w:val="bullet"/>
      <w:lvlText w:val="•"/>
      <w:lvlJc w:val="left"/>
      <w:pPr>
        <w:ind w:left="7529" w:hanging="356"/>
      </w:pPr>
      <w:rPr>
        <w:rFonts w:hint="default"/>
      </w:rPr>
    </w:lvl>
    <w:lvl w:ilvl="8" w:tplc="1A742A70">
      <w:start w:val="1"/>
      <w:numFmt w:val="bullet"/>
      <w:lvlText w:val="•"/>
      <w:lvlJc w:val="left"/>
      <w:pPr>
        <w:ind w:left="8567" w:hanging="356"/>
      </w:pPr>
      <w:rPr>
        <w:rFonts w:hint="default"/>
      </w:rPr>
    </w:lvl>
  </w:abstractNum>
  <w:abstractNum w:abstractNumId="20">
    <w:nsid w:val="58E103EA"/>
    <w:multiLevelType w:val="hybridMultilevel"/>
    <w:tmpl w:val="AEA698C6"/>
    <w:lvl w:ilvl="0" w:tplc="7E3C33C8">
      <w:start w:val="1"/>
      <w:numFmt w:val="bullet"/>
      <w:lvlText w:val="*"/>
      <w:lvlJc w:val="left"/>
      <w:pPr>
        <w:ind w:left="714" w:hanging="178"/>
      </w:pPr>
      <w:rPr>
        <w:rFonts w:ascii="Verdana" w:eastAsia="Verdana" w:hAnsi="Verdana" w:hint="default"/>
        <w:w w:val="101"/>
        <w:sz w:val="18"/>
        <w:szCs w:val="18"/>
      </w:rPr>
    </w:lvl>
    <w:lvl w:ilvl="1" w:tplc="CE4A68EC">
      <w:start w:val="1"/>
      <w:numFmt w:val="bullet"/>
      <w:lvlText w:val=""/>
      <w:lvlJc w:val="left"/>
      <w:pPr>
        <w:ind w:left="124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8624EDA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90F0AC10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4" w:tplc="80A81A92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B4FC9466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B3F657D8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66183A30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ACA4998C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1">
    <w:nsid w:val="63992DAA"/>
    <w:multiLevelType w:val="hybridMultilevel"/>
    <w:tmpl w:val="17B607B8"/>
    <w:lvl w:ilvl="0" w:tplc="6A40B960">
      <w:start w:val="1"/>
      <w:numFmt w:val="bullet"/>
      <w:lvlText w:val=""/>
      <w:lvlJc w:val="left"/>
      <w:pPr>
        <w:ind w:left="576" w:hanging="284"/>
      </w:pPr>
      <w:rPr>
        <w:rFonts w:ascii="Wingdings" w:eastAsia="Wingdings" w:hAnsi="Wingdings" w:hint="default"/>
        <w:w w:val="101"/>
        <w:sz w:val="18"/>
        <w:szCs w:val="18"/>
      </w:rPr>
    </w:lvl>
    <w:lvl w:ilvl="1" w:tplc="3850C3CC">
      <w:start w:val="1"/>
      <w:numFmt w:val="bullet"/>
      <w:lvlText w:val=""/>
      <w:lvlJc w:val="left"/>
      <w:pPr>
        <w:ind w:left="1120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0DCED848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F058F1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75B6256A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B4386A7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AB6CF3C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0728E76E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04322DD8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22">
    <w:nsid w:val="63C25832"/>
    <w:multiLevelType w:val="multilevel"/>
    <w:tmpl w:val="5FDC1038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6C61EA"/>
    <w:multiLevelType w:val="hybridMultilevel"/>
    <w:tmpl w:val="C7605998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CDC0561"/>
    <w:multiLevelType w:val="hybridMultilevel"/>
    <w:tmpl w:val="376C8E16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BA7A05"/>
    <w:multiLevelType w:val="hybridMultilevel"/>
    <w:tmpl w:val="B56453C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401DE"/>
    <w:multiLevelType w:val="hybridMultilevel"/>
    <w:tmpl w:val="AE8A8FA8"/>
    <w:lvl w:ilvl="0" w:tplc="A2F05EC4">
      <w:start w:val="1"/>
      <w:numFmt w:val="bullet"/>
      <w:lvlText w:val=""/>
      <w:lvlJc w:val="left"/>
      <w:pPr>
        <w:ind w:left="578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8CA955C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8F52B558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816436EE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9ABE086E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AD261518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9536B74C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8722963C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0D6E82DC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</w:abstractNum>
  <w:abstractNum w:abstractNumId="27">
    <w:nsid w:val="741E7DC5"/>
    <w:multiLevelType w:val="multilevel"/>
    <w:tmpl w:val="A7ACF16A"/>
    <w:styleLink w:val="Lista31"/>
    <w:lvl w:ilvl="0">
      <w:numFmt w:val="bullet"/>
      <w:lvlText w:val="o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8">
    <w:nsid w:val="75F102D5"/>
    <w:multiLevelType w:val="hybridMultilevel"/>
    <w:tmpl w:val="AAB68622"/>
    <w:lvl w:ilvl="0" w:tplc="3CC01BD0">
      <w:start w:val="1"/>
      <w:numFmt w:val="bullet"/>
      <w:lvlText w:val=""/>
      <w:lvlJc w:val="left"/>
      <w:pPr>
        <w:ind w:left="827" w:hanging="361"/>
      </w:pPr>
      <w:rPr>
        <w:rFonts w:ascii="Wingdings" w:eastAsia="Wingdings" w:hAnsi="Wingdings" w:hint="default"/>
        <w:w w:val="100"/>
        <w:sz w:val="20"/>
        <w:szCs w:val="20"/>
      </w:rPr>
    </w:lvl>
    <w:lvl w:ilvl="1" w:tplc="3CC2403C">
      <w:start w:val="1"/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BA168130">
      <w:start w:val="1"/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799CBB5C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4" w:tplc="602602EC">
      <w:start w:val="1"/>
      <w:numFmt w:val="bullet"/>
      <w:lvlText w:val="•"/>
      <w:lvlJc w:val="left"/>
      <w:pPr>
        <w:ind w:left="4709" w:hanging="361"/>
      </w:pPr>
      <w:rPr>
        <w:rFonts w:hint="default"/>
      </w:rPr>
    </w:lvl>
    <w:lvl w:ilvl="5" w:tplc="8A02D222">
      <w:start w:val="1"/>
      <w:numFmt w:val="bullet"/>
      <w:lvlText w:val="•"/>
      <w:lvlJc w:val="left"/>
      <w:pPr>
        <w:ind w:left="5682" w:hanging="361"/>
      </w:pPr>
      <w:rPr>
        <w:rFonts w:hint="default"/>
      </w:rPr>
    </w:lvl>
    <w:lvl w:ilvl="6" w:tplc="ED0C64F0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 w:tplc="B1D24136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1D4C3FDA">
      <w:start w:val="1"/>
      <w:numFmt w:val="bullet"/>
      <w:lvlText w:val="•"/>
      <w:lvlJc w:val="left"/>
      <w:pPr>
        <w:ind w:left="8599" w:hanging="361"/>
      </w:pPr>
      <w:rPr>
        <w:rFonts w:hint="default"/>
      </w:rPr>
    </w:lvl>
  </w:abstractNum>
  <w:abstractNum w:abstractNumId="29">
    <w:nsid w:val="784F5108"/>
    <w:multiLevelType w:val="hybridMultilevel"/>
    <w:tmpl w:val="AB1E3058"/>
    <w:lvl w:ilvl="0" w:tplc="EEBE95EA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  <w:color w:val="auto"/>
      </w:rPr>
    </w:lvl>
    <w:lvl w:ilvl="1" w:tplc="EEBE95EA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0">
    <w:nsid w:val="791F6CCF"/>
    <w:multiLevelType w:val="hybridMultilevel"/>
    <w:tmpl w:val="32F69524"/>
    <w:lvl w:ilvl="0" w:tplc="EF22AF26">
      <w:start w:val="1"/>
      <w:numFmt w:val="bullet"/>
      <w:lvlText w:val="*"/>
      <w:lvlJc w:val="left"/>
      <w:pPr>
        <w:ind w:left="106" w:hanging="202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F652610E">
      <w:start w:val="1"/>
      <w:numFmt w:val="bullet"/>
      <w:lvlText w:val=""/>
      <w:lvlJc w:val="left"/>
      <w:pPr>
        <w:ind w:left="821" w:hanging="284"/>
      </w:pPr>
      <w:rPr>
        <w:rFonts w:ascii="Wingdings" w:eastAsia="Wingdings" w:hAnsi="Wingdings" w:cs="Wingdings" w:hint="default"/>
        <w:w w:val="99"/>
      </w:rPr>
    </w:lvl>
    <w:lvl w:ilvl="2" w:tplc="CE7ADB88">
      <w:start w:val="1"/>
      <w:numFmt w:val="bullet"/>
      <w:lvlText w:val=""/>
      <w:lvlJc w:val="left"/>
      <w:pPr>
        <w:ind w:left="1246" w:hanging="281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3" w:tplc="73782A10">
      <w:start w:val="1"/>
      <w:numFmt w:val="bullet"/>
      <w:lvlText w:val="•"/>
      <w:lvlJc w:val="left"/>
      <w:pPr>
        <w:ind w:left="2320" w:hanging="281"/>
      </w:pPr>
      <w:rPr>
        <w:rFonts w:hint="default"/>
      </w:rPr>
    </w:lvl>
    <w:lvl w:ilvl="4" w:tplc="2888756A">
      <w:start w:val="1"/>
      <w:numFmt w:val="bullet"/>
      <w:lvlText w:val="•"/>
      <w:lvlJc w:val="left"/>
      <w:pPr>
        <w:ind w:left="3401" w:hanging="281"/>
      </w:pPr>
      <w:rPr>
        <w:rFonts w:hint="default"/>
      </w:rPr>
    </w:lvl>
    <w:lvl w:ilvl="5" w:tplc="EC004F4C">
      <w:start w:val="1"/>
      <w:numFmt w:val="bullet"/>
      <w:lvlText w:val="•"/>
      <w:lvlJc w:val="left"/>
      <w:pPr>
        <w:ind w:left="4482" w:hanging="281"/>
      </w:pPr>
      <w:rPr>
        <w:rFonts w:hint="default"/>
      </w:rPr>
    </w:lvl>
    <w:lvl w:ilvl="6" w:tplc="B008B76A">
      <w:start w:val="1"/>
      <w:numFmt w:val="bullet"/>
      <w:lvlText w:val="•"/>
      <w:lvlJc w:val="left"/>
      <w:pPr>
        <w:ind w:left="5563" w:hanging="281"/>
      </w:pPr>
      <w:rPr>
        <w:rFonts w:hint="default"/>
      </w:rPr>
    </w:lvl>
    <w:lvl w:ilvl="7" w:tplc="130278C0">
      <w:start w:val="1"/>
      <w:numFmt w:val="bullet"/>
      <w:lvlText w:val="•"/>
      <w:lvlJc w:val="left"/>
      <w:pPr>
        <w:ind w:left="6644" w:hanging="281"/>
      </w:pPr>
      <w:rPr>
        <w:rFonts w:hint="default"/>
      </w:rPr>
    </w:lvl>
    <w:lvl w:ilvl="8" w:tplc="DE60AB2A">
      <w:start w:val="1"/>
      <w:numFmt w:val="bullet"/>
      <w:lvlText w:val="•"/>
      <w:lvlJc w:val="left"/>
      <w:pPr>
        <w:ind w:left="7724" w:hanging="281"/>
      </w:pPr>
      <w:rPr>
        <w:rFonts w:hint="default"/>
      </w:rPr>
    </w:lvl>
  </w:abstractNum>
  <w:abstractNum w:abstractNumId="31">
    <w:nsid w:val="7A991D65"/>
    <w:multiLevelType w:val="hybridMultilevel"/>
    <w:tmpl w:val="BCC67F9A"/>
    <w:lvl w:ilvl="0" w:tplc="D2F0B6DA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7286EA50">
      <w:start w:val="1"/>
      <w:numFmt w:val="bullet"/>
      <w:lvlText w:val=""/>
      <w:lvlJc w:val="left"/>
      <w:pPr>
        <w:ind w:left="819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180691C">
      <w:start w:val="1"/>
      <w:numFmt w:val="bullet"/>
      <w:lvlText w:val="•"/>
      <w:lvlJc w:val="left"/>
      <w:pPr>
        <w:ind w:left="1916" w:hanging="284"/>
      </w:pPr>
      <w:rPr>
        <w:rFonts w:hint="default"/>
      </w:rPr>
    </w:lvl>
    <w:lvl w:ilvl="3" w:tplc="F54AA628">
      <w:start w:val="1"/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D7383246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 w:tplc="0052A672">
      <w:start w:val="1"/>
      <w:numFmt w:val="bullet"/>
      <w:lvlText w:val="•"/>
      <w:lvlJc w:val="left"/>
      <w:pPr>
        <w:ind w:left="5204" w:hanging="284"/>
      </w:pPr>
      <w:rPr>
        <w:rFonts w:hint="default"/>
      </w:rPr>
    </w:lvl>
    <w:lvl w:ilvl="6" w:tplc="0406BADA">
      <w:start w:val="1"/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E3DAA592">
      <w:start w:val="1"/>
      <w:numFmt w:val="bullet"/>
      <w:lvlText w:val="•"/>
      <w:lvlJc w:val="left"/>
      <w:pPr>
        <w:ind w:left="7396" w:hanging="284"/>
      </w:pPr>
      <w:rPr>
        <w:rFonts w:hint="default"/>
      </w:rPr>
    </w:lvl>
    <w:lvl w:ilvl="8" w:tplc="7F08F504">
      <w:start w:val="1"/>
      <w:numFmt w:val="bullet"/>
      <w:lvlText w:val="•"/>
      <w:lvlJc w:val="left"/>
      <w:pPr>
        <w:ind w:left="8492" w:hanging="284"/>
      </w:pPr>
      <w:rPr>
        <w:rFonts w:hint="default"/>
      </w:rPr>
    </w:lvl>
  </w:abstractNum>
  <w:abstractNum w:abstractNumId="32">
    <w:nsid w:val="7C565385"/>
    <w:multiLevelType w:val="hybridMultilevel"/>
    <w:tmpl w:val="C1BAA972"/>
    <w:lvl w:ilvl="0" w:tplc="0D4686F2">
      <w:start w:val="1"/>
      <w:numFmt w:val="bullet"/>
      <w:lvlText w:val=""/>
      <w:lvlJc w:val="left"/>
      <w:pPr>
        <w:ind w:left="618" w:hanging="284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9D1838C8">
      <w:start w:val="1"/>
      <w:numFmt w:val="bullet"/>
      <w:lvlText w:val="o"/>
      <w:lvlJc w:val="left"/>
      <w:pPr>
        <w:ind w:left="1698" w:hanging="360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B9D6B736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3B36E32A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816A44C2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5" w:tplc="45369224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0546A70C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7" w:tplc="0AFA66D8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E5BC180E">
      <w:start w:val="1"/>
      <w:numFmt w:val="bullet"/>
      <w:lvlText w:val="•"/>
      <w:lvlJc w:val="left"/>
      <w:pPr>
        <w:ind w:left="8736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4"/>
  </w:num>
  <w:num w:numId="5">
    <w:abstractNumId w:val="16"/>
  </w:num>
  <w:num w:numId="6">
    <w:abstractNumId w:val="12"/>
  </w:num>
  <w:num w:numId="7">
    <w:abstractNumId w:val="10"/>
  </w:num>
  <w:num w:numId="8">
    <w:abstractNumId w:val="31"/>
  </w:num>
  <w:num w:numId="9">
    <w:abstractNumId w:val="27"/>
  </w:num>
  <w:num w:numId="10">
    <w:abstractNumId w:val="0"/>
  </w:num>
  <w:num w:numId="11">
    <w:abstractNumId w:val="29"/>
  </w:num>
  <w:num w:numId="12">
    <w:abstractNumId w:val="23"/>
  </w:num>
  <w:num w:numId="13">
    <w:abstractNumId w:val="9"/>
  </w:num>
  <w:num w:numId="14">
    <w:abstractNumId w:val="17"/>
  </w:num>
  <w:num w:numId="15">
    <w:abstractNumId w:val="18"/>
  </w:num>
  <w:num w:numId="16">
    <w:abstractNumId w:val="22"/>
  </w:num>
  <w:num w:numId="17">
    <w:abstractNumId w:val="13"/>
  </w:num>
  <w:num w:numId="18">
    <w:abstractNumId w:val="20"/>
  </w:num>
  <w:num w:numId="19">
    <w:abstractNumId w:val="14"/>
  </w:num>
  <w:num w:numId="20">
    <w:abstractNumId w:val="19"/>
  </w:num>
  <w:num w:numId="21">
    <w:abstractNumId w:val="6"/>
  </w:num>
  <w:num w:numId="22">
    <w:abstractNumId w:val="11"/>
  </w:num>
  <w:num w:numId="23">
    <w:abstractNumId w:val="28"/>
  </w:num>
  <w:num w:numId="24">
    <w:abstractNumId w:val="5"/>
  </w:num>
  <w:num w:numId="25">
    <w:abstractNumId w:val="2"/>
  </w:num>
  <w:num w:numId="26">
    <w:abstractNumId w:val="21"/>
  </w:num>
  <w:num w:numId="27">
    <w:abstractNumId w:val="8"/>
  </w:num>
  <w:num w:numId="28">
    <w:abstractNumId w:val="25"/>
  </w:num>
  <w:num w:numId="29">
    <w:abstractNumId w:val="7"/>
  </w:num>
  <w:num w:numId="30">
    <w:abstractNumId w:val="32"/>
  </w:num>
  <w:num w:numId="31">
    <w:abstractNumId w:val="3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2A4D36"/>
    <w:rsid w:val="00002378"/>
    <w:rsid w:val="00012724"/>
    <w:rsid w:val="00014B86"/>
    <w:rsid w:val="00030C4A"/>
    <w:rsid w:val="00033662"/>
    <w:rsid w:val="00033C91"/>
    <w:rsid w:val="0003762B"/>
    <w:rsid w:val="00037F46"/>
    <w:rsid w:val="0005783D"/>
    <w:rsid w:val="000600E8"/>
    <w:rsid w:val="00067840"/>
    <w:rsid w:val="00067B06"/>
    <w:rsid w:val="00084655"/>
    <w:rsid w:val="00091A0B"/>
    <w:rsid w:val="00094650"/>
    <w:rsid w:val="0009503B"/>
    <w:rsid w:val="0009680A"/>
    <w:rsid w:val="00097EB8"/>
    <w:rsid w:val="000A5A3B"/>
    <w:rsid w:val="000C0162"/>
    <w:rsid w:val="000C2B6D"/>
    <w:rsid w:val="000C358D"/>
    <w:rsid w:val="000C7179"/>
    <w:rsid w:val="000D0572"/>
    <w:rsid w:val="000E04DF"/>
    <w:rsid w:val="000E1479"/>
    <w:rsid w:val="000E1686"/>
    <w:rsid w:val="000E2F83"/>
    <w:rsid w:val="000E6B2A"/>
    <w:rsid w:val="00101FBD"/>
    <w:rsid w:val="00102BAB"/>
    <w:rsid w:val="00105F82"/>
    <w:rsid w:val="00115048"/>
    <w:rsid w:val="00123103"/>
    <w:rsid w:val="00123975"/>
    <w:rsid w:val="0012412F"/>
    <w:rsid w:val="00127F4F"/>
    <w:rsid w:val="00130500"/>
    <w:rsid w:val="00131CD9"/>
    <w:rsid w:val="0014083F"/>
    <w:rsid w:val="00145F25"/>
    <w:rsid w:val="00146D52"/>
    <w:rsid w:val="00147975"/>
    <w:rsid w:val="00154EBB"/>
    <w:rsid w:val="00160584"/>
    <w:rsid w:val="00161819"/>
    <w:rsid w:val="00175826"/>
    <w:rsid w:val="00176B05"/>
    <w:rsid w:val="00180B8A"/>
    <w:rsid w:val="00194B0B"/>
    <w:rsid w:val="001A10B9"/>
    <w:rsid w:val="001A43BE"/>
    <w:rsid w:val="001B1732"/>
    <w:rsid w:val="001B393C"/>
    <w:rsid w:val="001C2241"/>
    <w:rsid w:val="001C6529"/>
    <w:rsid w:val="001D4B10"/>
    <w:rsid w:val="001F1CBC"/>
    <w:rsid w:val="001F5AAD"/>
    <w:rsid w:val="001F7B6E"/>
    <w:rsid w:val="001F7BDE"/>
    <w:rsid w:val="002060B1"/>
    <w:rsid w:val="002123CC"/>
    <w:rsid w:val="0021470D"/>
    <w:rsid w:val="00215170"/>
    <w:rsid w:val="002169B0"/>
    <w:rsid w:val="0021757D"/>
    <w:rsid w:val="002177ED"/>
    <w:rsid w:val="00220A35"/>
    <w:rsid w:val="00220FC6"/>
    <w:rsid w:val="00222A55"/>
    <w:rsid w:val="00222E2E"/>
    <w:rsid w:val="002271F9"/>
    <w:rsid w:val="00232FC2"/>
    <w:rsid w:val="00236DFB"/>
    <w:rsid w:val="0024297B"/>
    <w:rsid w:val="00253EF7"/>
    <w:rsid w:val="00257CAA"/>
    <w:rsid w:val="0026068D"/>
    <w:rsid w:val="00273CB2"/>
    <w:rsid w:val="002775D3"/>
    <w:rsid w:val="00284FC3"/>
    <w:rsid w:val="002A1304"/>
    <w:rsid w:val="002A259C"/>
    <w:rsid w:val="002A4D36"/>
    <w:rsid w:val="002B28C3"/>
    <w:rsid w:val="002B4FD1"/>
    <w:rsid w:val="002C3A90"/>
    <w:rsid w:val="002C6DC9"/>
    <w:rsid w:val="002D6228"/>
    <w:rsid w:val="002E4085"/>
    <w:rsid w:val="002E623F"/>
    <w:rsid w:val="002F4C81"/>
    <w:rsid w:val="003006CF"/>
    <w:rsid w:val="00306C94"/>
    <w:rsid w:val="003109AD"/>
    <w:rsid w:val="003145B7"/>
    <w:rsid w:val="003260D2"/>
    <w:rsid w:val="0033144C"/>
    <w:rsid w:val="0034180F"/>
    <w:rsid w:val="00341A3D"/>
    <w:rsid w:val="00346B80"/>
    <w:rsid w:val="00352665"/>
    <w:rsid w:val="0036435A"/>
    <w:rsid w:val="003653ED"/>
    <w:rsid w:val="00367448"/>
    <w:rsid w:val="0037058F"/>
    <w:rsid w:val="00375CDA"/>
    <w:rsid w:val="00375E02"/>
    <w:rsid w:val="0038715D"/>
    <w:rsid w:val="00393F75"/>
    <w:rsid w:val="003A100E"/>
    <w:rsid w:val="003A4F23"/>
    <w:rsid w:val="003C0883"/>
    <w:rsid w:val="003C0B07"/>
    <w:rsid w:val="003D2B9E"/>
    <w:rsid w:val="003D3E5D"/>
    <w:rsid w:val="003D3F33"/>
    <w:rsid w:val="003E267C"/>
    <w:rsid w:val="003E37E3"/>
    <w:rsid w:val="003E58DC"/>
    <w:rsid w:val="003F32BB"/>
    <w:rsid w:val="00406413"/>
    <w:rsid w:val="004106C8"/>
    <w:rsid w:val="00414864"/>
    <w:rsid w:val="0042694D"/>
    <w:rsid w:val="00427C26"/>
    <w:rsid w:val="004543D2"/>
    <w:rsid w:val="00455E8E"/>
    <w:rsid w:val="0046189C"/>
    <w:rsid w:val="00462A65"/>
    <w:rsid w:val="00462EB1"/>
    <w:rsid w:val="00465538"/>
    <w:rsid w:val="00465A14"/>
    <w:rsid w:val="0047159D"/>
    <w:rsid w:val="0048145D"/>
    <w:rsid w:val="004847DD"/>
    <w:rsid w:val="00485D7A"/>
    <w:rsid w:val="004878AE"/>
    <w:rsid w:val="00492B97"/>
    <w:rsid w:val="004A1FE3"/>
    <w:rsid w:val="004A48A8"/>
    <w:rsid w:val="004A544D"/>
    <w:rsid w:val="004A7D2B"/>
    <w:rsid w:val="004B1A61"/>
    <w:rsid w:val="004B4DC0"/>
    <w:rsid w:val="004C4A3E"/>
    <w:rsid w:val="004C76E3"/>
    <w:rsid w:val="004E3117"/>
    <w:rsid w:val="004E54D0"/>
    <w:rsid w:val="004E5EE0"/>
    <w:rsid w:val="004E7902"/>
    <w:rsid w:val="004F08DE"/>
    <w:rsid w:val="004F0942"/>
    <w:rsid w:val="004F115F"/>
    <w:rsid w:val="004F296D"/>
    <w:rsid w:val="004F30AF"/>
    <w:rsid w:val="004F7EF1"/>
    <w:rsid w:val="00502EF0"/>
    <w:rsid w:val="00504B03"/>
    <w:rsid w:val="005118F5"/>
    <w:rsid w:val="005314DC"/>
    <w:rsid w:val="00533D65"/>
    <w:rsid w:val="0053497E"/>
    <w:rsid w:val="0053570C"/>
    <w:rsid w:val="005357CE"/>
    <w:rsid w:val="0053677F"/>
    <w:rsid w:val="00546A89"/>
    <w:rsid w:val="00547CBB"/>
    <w:rsid w:val="005513F6"/>
    <w:rsid w:val="0055335C"/>
    <w:rsid w:val="00561801"/>
    <w:rsid w:val="00561967"/>
    <w:rsid w:val="005863AC"/>
    <w:rsid w:val="00590E0C"/>
    <w:rsid w:val="005950E2"/>
    <w:rsid w:val="005B3B34"/>
    <w:rsid w:val="005B3CC3"/>
    <w:rsid w:val="005E3F0B"/>
    <w:rsid w:val="005F4E0A"/>
    <w:rsid w:val="005F6592"/>
    <w:rsid w:val="005F6CE7"/>
    <w:rsid w:val="00602624"/>
    <w:rsid w:val="0060498A"/>
    <w:rsid w:val="00607B16"/>
    <w:rsid w:val="00610773"/>
    <w:rsid w:val="006113A2"/>
    <w:rsid w:val="00617BCE"/>
    <w:rsid w:val="00617F0A"/>
    <w:rsid w:val="006251A5"/>
    <w:rsid w:val="00625895"/>
    <w:rsid w:val="00626E54"/>
    <w:rsid w:val="00631B6A"/>
    <w:rsid w:val="006330B1"/>
    <w:rsid w:val="0063466B"/>
    <w:rsid w:val="00636742"/>
    <w:rsid w:val="00642718"/>
    <w:rsid w:val="00650D5C"/>
    <w:rsid w:val="00660D1E"/>
    <w:rsid w:val="0066147D"/>
    <w:rsid w:val="00667144"/>
    <w:rsid w:val="00671BBE"/>
    <w:rsid w:val="0067605D"/>
    <w:rsid w:val="00684A90"/>
    <w:rsid w:val="00690120"/>
    <w:rsid w:val="00693545"/>
    <w:rsid w:val="006A3865"/>
    <w:rsid w:val="006A7EE8"/>
    <w:rsid w:val="006B244C"/>
    <w:rsid w:val="006C440C"/>
    <w:rsid w:val="006C4468"/>
    <w:rsid w:val="006D53F2"/>
    <w:rsid w:val="006F76AF"/>
    <w:rsid w:val="007010F1"/>
    <w:rsid w:val="007015BD"/>
    <w:rsid w:val="00701B37"/>
    <w:rsid w:val="0070229B"/>
    <w:rsid w:val="00704FEF"/>
    <w:rsid w:val="00706E3B"/>
    <w:rsid w:val="00707028"/>
    <w:rsid w:val="007108B2"/>
    <w:rsid w:val="0071272E"/>
    <w:rsid w:val="007128E4"/>
    <w:rsid w:val="007140B6"/>
    <w:rsid w:val="007207ED"/>
    <w:rsid w:val="007231CF"/>
    <w:rsid w:val="00724E17"/>
    <w:rsid w:val="00731E99"/>
    <w:rsid w:val="00732028"/>
    <w:rsid w:val="00732D22"/>
    <w:rsid w:val="00734929"/>
    <w:rsid w:val="007418E4"/>
    <w:rsid w:val="00742D4D"/>
    <w:rsid w:val="00747189"/>
    <w:rsid w:val="00750BFF"/>
    <w:rsid w:val="00751C66"/>
    <w:rsid w:val="007546FC"/>
    <w:rsid w:val="00755283"/>
    <w:rsid w:val="007553E8"/>
    <w:rsid w:val="0076538A"/>
    <w:rsid w:val="00772E32"/>
    <w:rsid w:val="0077314C"/>
    <w:rsid w:val="00773600"/>
    <w:rsid w:val="0077610A"/>
    <w:rsid w:val="007764AF"/>
    <w:rsid w:val="00782936"/>
    <w:rsid w:val="007852A5"/>
    <w:rsid w:val="0079049F"/>
    <w:rsid w:val="00793F2B"/>
    <w:rsid w:val="00795446"/>
    <w:rsid w:val="007A7AD9"/>
    <w:rsid w:val="007B356A"/>
    <w:rsid w:val="007C1170"/>
    <w:rsid w:val="007C3B66"/>
    <w:rsid w:val="007C3F2C"/>
    <w:rsid w:val="007C60EC"/>
    <w:rsid w:val="007C6C97"/>
    <w:rsid w:val="007D6EBC"/>
    <w:rsid w:val="007E23F9"/>
    <w:rsid w:val="007E37D3"/>
    <w:rsid w:val="007E4601"/>
    <w:rsid w:val="007F4ADC"/>
    <w:rsid w:val="0080417E"/>
    <w:rsid w:val="0080665C"/>
    <w:rsid w:val="00810AC8"/>
    <w:rsid w:val="00811DAA"/>
    <w:rsid w:val="00813242"/>
    <w:rsid w:val="008140D2"/>
    <w:rsid w:val="00815E2E"/>
    <w:rsid w:val="00820BF2"/>
    <w:rsid w:val="00830E82"/>
    <w:rsid w:val="00840BCF"/>
    <w:rsid w:val="008442A1"/>
    <w:rsid w:val="00847AF5"/>
    <w:rsid w:val="00850BAB"/>
    <w:rsid w:val="00851CA3"/>
    <w:rsid w:val="008549C8"/>
    <w:rsid w:val="00856BD9"/>
    <w:rsid w:val="00857020"/>
    <w:rsid w:val="00863BE7"/>
    <w:rsid w:val="00865CAB"/>
    <w:rsid w:val="00872E5D"/>
    <w:rsid w:val="00873083"/>
    <w:rsid w:val="00885AA0"/>
    <w:rsid w:val="00892798"/>
    <w:rsid w:val="008929EB"/>
    <w:rsid w:val="008C3AD4"/>
    <w:rsid w:val="008C3C3E"/>
    <w:rsid w:val="008D3B2B"/>
    <w:rsid w:val="008D6F39"/>
    <w:rsid w:val="008F1296"/>
    <w:rsid w:val="008F1A5F"/>
    <w:rsid w:val="008F213D"/>
    <w:rsid w:val="008F7FDF"/>
    <w:rsid w:val="009040DA"/>
    <w:rsid w:val="00904AC0"/>
    <w:rsid w:val="00906328"/>
    <w:rsid w:val="00911678"/>
    <w:rsid w:val="00913DBE"/>
    <w:rsid w:val="00916F2E"/>
    <w:rsid w:val="00917812"/>
    <w:rsid w:val="009266B9"/>
    <w:rsid w:val="00934D92"/>
    <w:rsid w:val="00935981"/>
    <w:rsid w:val="00944ACE"/>
    <w:rsid w:val="00951E3C"/>
    <w:rsid w:val="0095608E"/>
    <w:rsid w:val="009616E3"/>
    <w:rsid w:val="00963239"/>
    <w:rsid w:val="009661A6"/>
    <w:rsid w:val="00970FD8"/>
    <w:rsid w:val="009729C9"/>
    <w:rsid w:val="00976CA5"/>
    <w:rsid w:val="009805FB"/>
    <w:rsid w:val="00983009"/>
    <w:rsid w:val="00992024"/>
    <w:rsid w:val="00994659"/>
    <w:rsid w:val="009A2BD3"/>
    <w:rsid w:val="009B1916"/>
    <w:rsid w:val="009B22D1"/>
    <w:rsid w:val="009C76D4"/>
    <w:rsid w:val="009D0325"/>
    <w:rsid w:val="009D0753"/>
    <w:rsid w:val="009D0F3D"/>
    <w:rsid w:val="009D1A9F"/>
    <w:rsid w:val="009D5FE5"/>
    <w:rsid w:val="009E6A27"/>
    <w:rsid w:val="009F01EB"/>
    <w:rsid w:val="009F0B5A"/>
    <w:rsid w:val="009F0FE8"/>
    <w:rsid w:val="009F138B"/>
    <w:rsid w:val="009F3BBE"/>
    <w:rsid w:val="00A057F6"/>
    <w:rsid w:val="00A05F67"/>
    <w:rsid w:val="00A20300"/>
    <w:rsid w:val="00A23CC1"/>
    <w:rsid w:val="00A23E41"/>
    <w:rsid w:val="00A30AA1"/>
    <w:rsid w:val="00A30D7E"/>
    <w:rsid w:val="00A3508D"/>
    <w:rsid w:val="00A43540"/>
    <w:rsid w:val="00A44458"/>
    <w:rsid w:val="00A52918"/>
    <w:rsid w:val="00A52A41"/>
    <w:rsid w:val="00A5782F"/>
    <w:rsid w:val="00A57C5E"/>
    <w:rsid w:val="00A71077"/>
    <w:rsid w:val="00A72ED4"/>
    <w:rsid w:val="00A74346"/>
    <w:rsid w:val="00A760A4"/>
    <w:rsid w:val="00A77517"/>
    <w:rsid w:val="00A838CF"/>
    <w:rsid w:val="00A90E3A"/>
    <w:rsid w:val="00A917F9"/>
    <w:rsid w:val="00A93130"/>
    <w:rsid w:val="00AA3061"/>
    <w:rsid w:val="00AB1FE9"/>
    <w:rsid w:val="00AB26C3"/>
    <w:rsid w:val="00AB66E4"/>
    <w:rsid w:val="00AC3CCE"/>
    <w:rsid w:val="00AD4489"/>
    <w:rsid w:val="00AD5009"/>
    <w:rsid w:val="00AF121D"/>
    <w:rsid w:val="00AF1369"/>
    <w:rsid w:val="00AF3143"/>
    <w:rsid w:val="00AF3B9F"/>
    <w:rsid w:val="00B07577"/>
    <w:rsid w:val="00B075E4"/>
    <w:rsid w:val="00B10709"/>
    <w:rsid w:val="00B2182F"/>
    <w:rsid w:val="00B21EC4"/>
    <w:rsid w:val="00B325EC"/>
    <w:rsid w:val="00B342E2"/>
    <w:rsid w:val="00B3695E"/>
    <w:rsid w:val="00B375F2"/>
    <w:rsid w:val="00B40AE0"/>
    <w:rsid w:val="00B4757B"/>
    <w:rsid w:val="00B53C54"/>
    <w:rsid w:val="00B60ABD"/>
    <w:rsid w:val="00B64159"/>
    <w:rsid w:val="00B7292F"/>
    <w:rsid w:val="00B74697"/>
    <w:rsid w:val="00B77BBE"/>
    <w:rsid w:val="00B830BF"/>
    <w:rsid w:val="00B84B73"/>
    <w:rsid w:val="00B84C25"/>
    <w:rsid w:val="00B91E9E"/>
    <w:rsid w:val="00B95151"/>
    <w:rsid w:val="00B956C0"/>
    <w:rsid w:val="00BA1E74"/>
    <w:rsid w:val="00BA7017"/>
    <w:rsid w:val="00BB7E70"/>
    <w:rsid w:val="00BC074E"/>
    <w:rsid w:val="00BD71AD"/>
    <w:rsid w:val="00BD7DA3"/>
    <w:rsid w:val="00BE27E7"/>
    <w:rsid w:val="00BE7E2D"/>
    <w:rsid w:val="00BF1CBC"/>
    <w:rsid w:val="00C00A99"/>
    <w:rsid w:val="00C01D98"/>
    <w:rsid w:val="00C05CCB"/>
    <w:rsid w:val="00C14F87"/>
    <w:rsid w:val="00C215AA"/>
    <w:rsid w:val="00C25554"/>
    <w:rsid w:val="00C370FF"/>
    <w:rsid w:val="00C37383"/>
    <w:rsid w:val="00C37F41"/>
    <w:rsid w:val="00C425BB"/>
    <w:rsid w:val="00C47F6A"/>
    <w:rsid w:val="00C51309"/>
    <w:rsid w:val="00C52A29"/>
    <w:rsid w:val="00C57E09"/>
    <w:rsid w:val="00C6083A"/>
    <w:rsid w:val="00C66345"/>
    <w:rsid w:val="00C71BF3"/>
    <w:rsid w:val="00C7464F"/>
    <w:rsid w:val="00C74C8C"/>
    <w:rsid w:val="00C765BD"/>
    <w:rsid w:val="00C81A3D"/>
    <w:rsid w:val="00C8676F"/>
    <w:rsid w:val="00CA7E8C"/>
    <w:rsid w:val="00CB698E"/>
    <w:rsid w:val="00CC52BE"/>
    <w:rsid w:val="00CD032D"/>
    <w:rsid w:val="00CD0692"/>
    <w:rsid w:val="00CD7B92"/>
    <w:rsid w:val="00CF205F"/>
    <w:rsid w:val="00D058FE"/>
    <w:rsid w:val="00D1484B"/>
    <w:rsid w:val="00D17C27"/>
    <w:rsid w:val="00D17FB5"/>
    <w:rsid w:val="00D2535D"/>
    <w:rsid w:val="00D257B0"/>
    <w:rsid w:val="00D259AC"/>
    <w:rsid w:val="00D45114"/>
    <w:rsid w:val="00D51012"/>
    <w:rsid w:val="00D61778"/>
    <w:rsid w:val="00D67093"/>
    <w:rsid w:val="00D7053B"/>
    <w:rsid w:val="00D73C97"/>
    <w:rsid w:val="00D80DA9"/>
    <w:rsid w:val="00D80F9D"/>
    <w:rsid w:val="00D81720"/>
    <w:rsid w:val="00D85D24"/>
    <w:rsid w:val="00D86027"/>
    <w:rsid w:val="00D912D0"/>
    <w:rsid w:val="00D93655"/>
    <w:rsid w:val="00D9743A"/>
    <w:rsid w:val="00DA41D4"/>
    <w:rsid w:val="00DB4D9F"/>
    <w:rsid w:val="00DE01FF"/>
    <w:rsid w:val="00DE08A0"/>
    <w:rsid w:val="00DE1005"/>
    <w:rsid w:val="00DE2EF3"/>
    <w:rsid w:val="00DE3A77"/>
    <w:rsid w:val="00DF1394"/>
    <w:rsid w:val="00E010D4"/>
    <w:rsid w:val="00E17E16"/>
    <w:rsid w:val="00E24C64"/>
    <w:rsid w:val="00E27589"/>
    <w:rsid w:val="00E42585"/>
    <w:rsid w:val="00E522B3"/>
    <w:rsid w:val="00E56159"/>
    <w:rsid w:val="00E5703A"/>
    <w:rsid w:val="00E600E8"/>
    <w:rsid w:val="00E65BDA"/>
    <w:rsid w:val="00E65E38"/>
    <w:rsid w:val="00E7074C"/>
    <w:rsid w:val="00E73D88"/>
    <w:rsid w:val="00E74DA1"/>
    <w:rsid w:val="00E8447A"/>
    <w:rsid w:val="00E856EE"/>
    <w:rsid w:val="00E86A6F"/>
    <w:rsid w:val="00E96089"/>
    <w:rsid w:val="00E97DBD"/>
    <w:rsid w:val="00EA087E"/>
    <w:rsid w:val="00EA4769"/>
    <w:rsid w:val="00EB0070"/>
    <w:rsid w:val="00EB3013"/>
    <w:rsid w:val="00EB32D1"/>
    <w:rsid w:val="00EC4FF4"/>
    <w:rsid w:val="00ED2E57"/>
    <w:rsid w:val="00ED5140"/>
    <w:rsid w:val="00EE25F1"/>
    <w:rsid w:val="00EE28E8"/>
    <w:rsid w:val="00EF1397"/>
    <w:rsid w:val="00EF1F04"/>
    <w:rsid w:val="00EF4EEE"/>
    <w:rsid w:val="00F050DF"/>
    <w:rsid w:val="00F051D4"/>
    <w:rsid w:val="00F1201F"/>
    <w:rsid w:val="00F124D3"/>
    <w:rsid w:val="00F323F1"/>
    <w:rsid w:val="00F3334C"/>
    <w:rsid w:val="00F35C30"/>
    <w:rsid w:val="00F4122D"/>
    <w:rsid w:val="00F414B3"/>
    <w:rsid w:val="00F41ED5"/>
    <w:rsid w:val="00F5302E"/>
    <w:rsid w:val="00F54482"/>
    <w:rsid w:val="00F611E1"/>
    <w:rsid w:val="00F77A96"/>
    <w:rsid w:val="00F91473"/>
    <w:rsid w:val="00F95B59"/>
    <w:rsid w:val="00F97823"/>
    <w:rsid w:val="00FA0985"/>
    <w:rsid w:val="00FA21FA"/>
    <w:rsid w:val="00FA66B8"/>
    <w:rsid w:val="00FA6D7F"/>
    <w:rsid w:val="00FA7EC1"/>
    <w:rsid w:val="00FB328F"/>
    <w:rsid w:val="00FB3F81"/>
    <w:rsid w:val="00FB7798"/>
    <w:rsid w:val="00FC4396"/>
    <w:rsid w:val="00FC68D9"/>
    <w:rsid w:val="00FC76A6"/>
    <w:rsid w:val="00FC7EB5"/>
    <w:rsid w:val="00FD0F3B"/>
    <w:rsid w:val="00FD5407"/>
    <w:rsid w:val="00FE0A8F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8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0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3B73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customStyle="1" w:styleId="ImportWordListStyleDefinition8">
    <w:name w:val="Import Word List Style Definition 8"/>
    <w:rsid w:val="00863BE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1"/>
    <w:qFormat/>
    <w:rsid w:val="00750BFF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Cuerpo">
    <w:name w:val="Cuerpo"/>
    <w:rsid w:val="00EC4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a31">
    <w:name w:val="Lista 31"/>
    <w:basedOn w:val="Sinlista"/>
    <w:rsid w:val="00EC4FF4"/>
    <w:pPr>
      <w:numPr>
        <w:numId w:val="9"/>
      </w:numPr>
    </w:pPr>
  </w:style>
  <w:style w:type="paragraph" w:customStyle="1" w:styleId="TableParagraph">
    <w:name w:val="Table Paragraph"/>
    <w:basedOn w:val="Normal"/>
    <w:uiPriority w:val="1"/>
    <w:qFormat/>
    <w:rsid w:val="00D259AC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LadilloMichelinDossier">
    <w:name w:val="Ladillo Michelin Dossier"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before="480" w:after="120" w:line="270" w:lineRule="atLeast"/>
    </w:pPr>
    <w:rPr>
      <w:rFonts w:ascii="Times" w:eastAsia="Times" w:hAnsi="Times" w:cs="Times"/>
      <w:b/>
      <w:bCs/>
      <w:color w:val="000000"/>
      <w:sz w:val="26"/>
      <w:szCs w:val="26"/>
      <w:u w:color="000000"/>
      <w:bdr w:val="nil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i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C25554"/>
    <w:rPr>
      <w:rFonts w:ascii="Times New Roman" w:eastAsia="Arial Unicode MS" w:hAnsi="Times New Roman" w:cs="Times New Roman"/>
      <w:sz w:val="24"/>
      <w:szCs w:val="24"/>
      <w:bdr w:val="nil"/>
      <w:lang w:val="es-ES_tradnl" w:eastAsia="en-US"/>
    </w:rPr>
  </w:style>
  <w:style w:type="character" w:styleId="Refdenotaalpie">
    <w:name w:val="footnote reference"/>
    <w:basedOn w:val="Fuentedeprrafopredeter"/>
    <w:unhideWhenUsed/>
    <w:rsid w:val="00C25554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C7464F"/>
    <w:pPr>
      <w:widowControl w:val="0"/>
      <w:spacing w:after="0" w:line="240" w:lineRule="auto"/>
      <w:ind w:left="817" w:hanging="360"/>
    </w:pPr>
    <w:rPr>
      <w:rFonts w:ascii="Verdana" w:eastAsia="Verdana" w:hAnsi="Verdan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64F"/>
    <w:rPr>
      <w:rFonts w:ascii="Verdana" w:eastAsia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7DD"/>
    <w:rPr>
      <w:rFonts w:ascii="Tahoma" w:hAnsi="Tahoma" w:cs="Tahoma"/>
      <w:color w:val="262626" w:themeColor="text1"/>
      <w:sz w:val="16"/>
      <w:szCs w:val="1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00E8"/>
    <w:rPr>
      <w:rFonts w:asciiTheme="majorHAnsi" w:eastAsiaTheme="majorEastAsia" w:hAnsiTheme="majorHAnsi" w:cstheme="majorBidi"/>
      <w:i/>
      <w:iCs/>
      <w:color w:val="1D3B73" w:themeColor="accent1" w:themeShade="BF"/>
      <w:lang w:val="es-ES"/>
    </w:rPr>
  </w:style>
  <w:style w:type="character" w:customStyle="1" w:styleId="hps">
    <w:name w:val="hps"/>
    <w:basedOn w:val="Fuentedeprrafopredeter"/>
    <w:rsid w:val="00607B16"/>
  </w:style>
  <w:style w:type="paragraph" w:customStyle="1" w:styleId="Body1">
    <w:name w:val="Body 1"/>
    <w:rsid w:val="004E54D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com/f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cheli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com/fr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10EE-FA9D-426D-9646-EE64514A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portrait.dotm</Template>
  <TotalTime>0</TotalTime>
  <Pages>11</Pages>
  <Words>2993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luis</cp:lastModifiedBy>
  <cp:revision>5</cp:revision>
  <cp:lastPrinted>2016-07-28T13:03:00Z</cp:lastPrinted>
  <dcterms:created xsi:type="dcterms:W3CDTF">2016-07-28T13:03:00Z</dcterms:created>
  <dcterms:modified xsi:type="dcterms:W3CDTF">2016-07-28T15:03:00Z</dcterms:modified>
</cp:coreProperties>
</file>