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AA08" w14:textId="7EB485CA" w:rsidR="009E0228" w:rsidRPr="00183B99" w:rsidRDefault="009E0228" w:rsidP="00183B99">
      <w:pPr>
        <w:pStyle w:val="Ttulo1"/>
        <w:spacing w:after="230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  <w:lang w:val="pt"/>
        </w:rPr>
        <w:t>INFORMAÇÃO DE IMPRENSA</w:t>
      </w:r>
      <w:r>
        <w:rPr>
          <w:rFonts w:ascii="Times New Roman" w:hAnsi="Times New Roman"/>
          <w:b w:val="0"/>
          <w:sz w:val="22"/>
          <w:lang w:val="pt"/>
        </w:rPr>
        <w:cr/>
        <w:t>2</w:t>
      </w:r>
      <w:r w:rsidR="004B49ED">
        <w:rPr>
          <w:rFonts w:ascii="Times New Roman" w:hAnsi="Times New Roman"/>
          <w:b w:val="0"/>
          <w:sz w:val="22"/>
          <w:lang w:val="pt"/>
        </w:rPr>
        <w:t>5</w:t>
      </w:r>
      <w:r>
        <w:rPr>
          <w:rFonts w:ascii="Times New Roman" w:hAnsi="Times New Roman"/>
          <w:b w:val="0"/>
          <w:sz w:val="22"/>
          <w:lang w:val="pt"/>
        </w:rPr>
        <w:t>/10/2016</w:t>
      </w:r>
    </w:p>
    <w:p w14:paraId="51A2C527" w14:textId="77777777" w:rsidR="009E0228" w:rsidRPr="00AF0A0F" w:rsidRDefault="009E0228" w:rsidP="00706302">
      <w:pPr>
        <w:spacing w:after="120" w:line="360" w:lineRule="exact"/>
        <w:jc w:val="center"/>
        <w:outlineLvl w:val="0"/>
        <w:rPr>
          <w:rFonts w:eastAsia="Arial Unicode MS"/>
          <w:b/>
          <w:color w:val="333399"/>
          <w:sz w:val="28"/>
          <w:u w:color="333399"/>
        </w:rPr>
      </w:pPr>
      <w:r>
        <w:rPr>
          <w:b/>
          <w:bCs/>
          <w:color w:val="333399"/>
          <w:sz w:val="38"/>
          <w:u w:color="333399"/>
          <w:lang w:val="pt"/>
        </w:rPr>
        <w:t>Resultados financeiros do Grupo Michelin</w:t>
      </w:r>
      <w:r>
        <w:rPr>
          <w:color w:val="333399"/>
          <w:sz w:val="40"/>
          <w:u w:color="333399"/>
          <w:lang w:val="pt"/>
        </w:rPr>
        <w:cr/>
      </w:r>
      <w:r>
        <w:rPr>
          <w:b/>
          <w:bCs/>
          <w:color w:val="365F91"/>
          <w:sz w:val="28"/>
          <w:u w:color="365F91"/>
          <w:lang w:val="pt"/>
        </w:rPr>
        <w:t xml:space="preserve"> </w:t>
      </w:r>
      <w:r>
        <w:rPr>
          <w:b/>
          <w:bCs/>
          <w:color w:val="333399"/>
          <w:sz w:val="28"/>
          <w:u w:color="333399"/>
          <w:lang w:val="pt"/>
        </w:rPr>
        <w:t>Informação financeira correspondente a 30 de setembro de 2016</w:t>
      </w:r>
      <w:bookmarkStart w:id="0" w:name="_GoBack"/>
      <w:bookmarkEnd w:id="0"/>
    </w:p>
    <w:p w14:paraId="6C72579C" w14:textId="77777777" w:rsidR="00706302" w:rsidRPr="00183B99" w:rsidRDefault="00706302" w:rsidP="00706302">
      <w:pPr>
        <w:pStyle w:val="Body1"/>
        <w:jc w:val="both"/>
        <w:rPr>
          <w:rFonts w:ascii="Verdana" w:hAnsi="Verdana"/>
          <w:b/>
          <w:sz w:val="22"/>
          <w:szCs w:val="28"/>
        </w:rPr>
      </w:pPr>
    </w:p>
    <w:p w14:paraId="7997F1D5" w14:textId="77777777" w:rsidR="00560131" w:rsidRDefault="005979FB" w:rsidP="002D75FB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  <w:lang w:val="pt"/>
        </w:rPr>
        <w:t xml:space="preserve">9 primeiros meses de 2016: Vendas líquidas de 15.500 milhões de euros, </w:t>
      </w:r>
    </w:p>
    <w:p w14:paraId="55256373" w14:textId="77777777" w:rsidR="00C63C58" w:rsidRPr="00183B99" w:rsidRDefault="002A38DD" w:rsidP="002D75FB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  <w:lang w:val="pt"/>
        </w:rPr>
        <w:t xml:space="preserve">graças a um crescimento dos volumes superior aos mercados e a uma política de preços que valoriza a inovação do produto </w:t>
      </w:r>
    </w:p>
    <w:p w14:paraId="16652259" w14:textId="77777777" w:rsidR="00183B99" w:rsidRPr="00183B99" w:rsidRDefault="00706302" w:rsidP="00183B99">
      <w:pPr>
        <w:pStyle w:val="Bod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28"/>
          <w:szCs w:val="32"/>
        </w:rPr>
      </w:pPr>
      <w:r>
        <w:rPr>
          <w:sz w:val="16"/>
          <w:szCs w:val="18"/>
          <w:lang w:val="pt"/>
        </w:rPr>
        <w:br/>
      </w:r>
      <w:r>
        <w:rPr>
          <w:b/>
          <w:bCs/>
          <w:sz w:val="28"/>
          <w:szCs w:val="32"/>
          <w:lang w:val="pt"/>
        </w:rPr>
        <w:t>Perspetivas para 2016 confirmadas</w:t>
      </w:r>
    </w:p>
    <w:p w14:paraId="40E37591" w14:textId="77777777" w:rsidR="00183B99" w:rsidRPr="00183B99" w:rsidRDefault="00183B99" w:rsidP="00183B99">
      <w:pPr>
        <w:tabs>
          <w:tab w:val="left" w:pos="284"/>
        </w:tabs>
        <w:adjustRightInd w:val="0"/>
        <w:snapToGrid w:val="0"/>
        <w:ind w:left="720"/>
        <w:jc w:val="both"/>
        <w:rPr>
          <w:rFonts w:eastAsia="Arial Unicode MS"/>
          <w:b/>
          <w:color w:val="000000"/>
          <w:u w:color="000000"/>
        </w:rPr>
      </w:pPr>
    </w:p>
    <w:p w14:paraId="71220F38" w14:textId="77777777" w:rsidR="00026A50" w:rsidRPr="00183B99" w:rsidRDefault="00E466B8" w:rsidP="00026A50">
      <w:pPr>
        <w:numPr>
          <w:ilvl w:val="0"/>
          <w:numId w:val="18"/>
        </w:numPr>
        <w:tabs>
          <w:tab w:val="left" w:pos="284"/>
        </w:tabs>
        <w:adjustRightInd w:val="0"/>
        <w:snapToGrid w:val="0"/>
        <w:jc w:val="both"/>
        <w:rPr>
          <w:rFonts w:eastAsia="Arial Unicode MS"/>
          <w:b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>Volumes no fim de setembro a subir de 1,4%, superior aos mercados:</w:t>
      </w:r>
    </w:p>
    <w:p w14:paraId="42AEC57D" w14:textId="77777777" w:rsidR="00026A50" w:rsidRPr="00183B99" w:rsidRDefault="00A6520D" w:rsidP="00026A50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>Estabilização ou leve contração no terceiro trimestre da procura de Ligeiro Camioneta e Camião nos mercados maduros.</w:t>
      </w:r>
    </w:p>
    <w:p w14:paraId="45DB26D9" w14:textId="77777777" w:rsidR="00933905" w:rsidRPr="00183B99" w:rsidRDefault="007500E5" w:rsidP="00933905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>Situação variável nos novos mercados, com uma procura chinesa muito dinâmica em Ligeiro Camioneta e uma contração acentuada na América do Sul.</w:t>
      </w:r>
    </w:p>
    <w:p w14:paraId="036E35E4" w14:textId="77777777" w:rsidR="00C4381E" w:rsidRPr="00183B99" w:rsidRDefault="00C121BD" w:rsidP="00DE75B5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>Mercados de especialidades marcados pela desaceleração do segmento Agrícola, a diminuição da procura em Primeiros Equipamentos em Engenharia Civil e a continuação da redução de stock das empresas mineiras.</w:t>
      </w:r>
    </w:p>
    <w:p w14:paraId="36162440" w14:textId="77777777" w:rsidR="00D919C9" w:rsidRPr="00183B99" w:rsidRDefault="00D07CF5" w:rsidP="007D04FB">
      <w:pPr>
        <w:numPr>
          <w:ilvl w:val="0"/>
          <w:numId w:val="18"/>
        </w:numPr>
        <w:tabs>
          <w:tab w:val="left" w:pos="284"/>
        </w:tabs>
        <w:adjustRightInd w:val="0"/>
        <w:snapToGrid w:val="0"/>
        <w:jc w:val="both"/>
        <w:rPr>
          <w:rFonts w:eastAsia="Arial Unicode MS"/>
          <w:b/>
          <w:bCs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 xml:space="preserve">Efeito do mix de preços - 1,7%, a melhorar graças a: </w:t>
      </w:r>
    </w:p>
    <w:p w14:paraId="0A797C7A" w14:textId="77777777" w:rsidR="00DE75B5" w:rsidRPr="00183B99" w:rsidRDefault="00610F64" w:rsidP="00DE75B5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 xml:space="preserve">Una política de preços que valoriza a liderança tecnológica do Grupo. </w:t>
      </w:r>
    </w:p>
    <w:p w14:paraId="71A903E6" w14:textId="77777777" w:rsidR="00DE75B5" w:rsidRPr="00183B99" w:rsidRDefault="00610F64" w:rsidP="00DE75B5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sz w:val="22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>O êxito das novas ofertas ao serviço do cliente.</w:t>
      </w:r>
    </w:p>
    <w:p w14:paraId="7C077581" w14:textId="77777777" w:rsidR="00DE75B5" w:rsidRPr="00AF0A0F" w:rsidRDefault="007A609C" w:rsidP="007A609C">
      <w:pPr>
        <w:numPr>
          <w:ilvl w:val="1"/>
          <w:numId w:val="18"/>
        </w:numPr>
        <w:tabs>
          <w:tab w:val="left" w:pos="1440"/>
        </w:tabs>
        <w:spacing w:after="120" w:line="240" w:lineRule="atLeast"/>
        <w:outlineLvl w:val="0"/>
        <w:rPr>
          <w:rFonts w:eastAsia="Arial Unicode MS"/>
          <w:b/>
          <w:color w:val="000000"/>
          <w:u w:color="000000"/>
        </w:rPr>
      </w:pPr>
      <w:r>
        <w:rPr>
          <w:rFonts w:eastAsia="Arial Unicode MS"/>
          <w:b/>
          <w:bCs/>
          <w:color w:val="000000"/>
          <w:sz w:val="22"/>
          <w:u w:color="000000"/>
          <w:lang w:val="pt"/>
        </w:rPr>
        <w:t>Em particular, os volumes crescem 11% no segmento Premium de 17 polegadas e superiores.</w:t>
      </w:r>
    </w:p>
    <w:tbl>
      <w:tblPr>
        <w:tblW w:w="9259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078"/>
        <w:gridCol w:w="992"/>
        <w:gridCol w:w="1354"/>
        <w:gridCol w:w="1134"/>
        <w:gridCol w:w="1023"/>
        <w:gridCol w:w="1387"/>
      </w:tblGrid>
      <w:tr w:rsidR="00EE3FD1" w:rsidRPr="00AF0A0F" w14:paraId="1153702E" w14:textId="77777777" w:rsidTr="00543ABE">
        <w:tc>
          <w:tcPr>
            <w:tcW w:w="2291" w:type="dxa"/>
            <w:shd w:val="clear" w:color="auto" w:fill="E6E6E6"/>
          </w:tcPr>
          <w:p w14:paraId="4533C5E2" w14:textId="77777777" w:rsidR="00EE3FD1" w:rsidRPr="00AF0A0F" w:rsidRDefault="00EE3FD1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pt"/>
              </w:rPr>
              <w:t>VENDAS LÍQUIDAS (milhões de euros)</w:t>
            </w:r>
          </w:p>
        </w:tc>
        <w:tc>
          <w:tcPr>
            <w:tcW w:w="3424" w:type="dxa"/>
            <w:gridSpan w:val="3"/>
            <w:shd w:val="clear" w:color="auto" w:fill="E6E6E6"/>
          </w:tcPr>
          <w:p w14:paraId="6E3B37DB" w14:textId="77777777" w:rsidR="00EE3FD1" w:rsidRPr="00AF0A0F" w:rsidRDefault="00EE3FD1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 xml:space="preserve">3º trimestre </w:t>
            </w:r>
          </w:p>
        </w:tc>
        <w:tc>
          <w:tcPr>
            <w:tcW w:w="3544" w:type="dxa"/>
            <w:gridSpan w:val="3"/>
            <w:shd w:val="clear" w:color="auto" w:fill="E6E6E6"/>
          </w:tcPr>
          <w:p w14:paraId="70DAB4B5" w14:textId="77777777" w:rsidR="00EE3FD1" w:rsidRPr="00AF0A0F" w:rsidRDefault="00EE3FD1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 xml:space="preserve">Nove primeiros meses </w:t>
            </w:r>
          </w:p>
        </w:tc>
      </w:tr>
      <w:tr w:rsidR="00D75C43" w:rsidRPr="00AF0A0F" w14:paraId="6FA07590" w14:textId="77777777" w:rsidTr="00D75C43">
        <w:tc>
          <w:tcPr>
            <w:tcW w:w="2291" w:type="dxa"/>
            <w:shd w:val="clear" w:color="auto" w:fill="E6E6E6"/>
          </w:tcPr>
          <w:p w14:paraId="490341E4" w14:textId="77777777" w:rsidR="00EE3FD1" w:rsidRPr="00AF0A0F" w:rsidRDefault="00EE3FD1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E6E6E6"/>
          </w:tcPr>
          <w:p w14:paraId="1D03B5FA" w14:textId="77777777" w:rsidR="00EE3FD1" w:rsidRPr="00AF0A0F" w:rsidRDefault="00EE3FD1" w:rsidP="00D75C4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pt"/>
              </w:rPr>
              <w:t>2016</w:t>
            </w:r>
          </w:p>
        </w:tc>
        <w:tc>
          <w:tcPr>
            <w:tcW w:w="992" w:type="dxa"/>
            <w:shd w:val="clear" w:color="auto" w:fill="E6E6E6"/>
          </w:tcPr>
          <w:p w14:paraId="3268EBBF" w14:textId="77777777" w:rsidR="00EE3FD1" w:rsidRPr="00AF0A0F" w:rsidRDefault="00EE3FD1" w:rsidP="00D75C4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pt"/>
              </w:rPr>
              <w:t>2015</w:t>
            </w:r>
          </w:p>
        </w:tc>
        <w:tc>
          <w:tcPr>
            <w:tcW w:w="1354" w:type="dxa"/>
            <w:shd w:val="clear" w:color="auto" w:fill="E6E6E6"/>
          </w:tcPr>
          <w:p w14:paraId="7E28D380" w14:textId="77777777" w:rsidR="00EE3FD1" w:rsidRPr="00AF0A0F" w:rsidRDefault="00EE3FD1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pt"/>
              </w:rPr>
              <w:t>% Variação</w:t>
            </w:r>
          </w:p>
        </w:tc>
        <w:tc>
          <w:tcPr>
            <w:tcW w:w="1134" w:type="dxa"/>
            <w:shd w:val="clear" w:color="auto" w:fill="E6E6E6"/>
          </w:tcPr>
          <w:p w14:paraId="7F46E2E3" w14:textId="77777777" w:rsidR="00EE3FD1" w:rsidRPr="00AF0A0F" w:rsidRDefault="00EE3FD1" w:rsidP="00D75C4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pt"/>
              </w:rPr>
              <w:t>2016</w:t>
            </w:r>
          </w:p>
        </w:tc>
        <w:tc>
          <w:tcPr>
            <w:tcW w:w="1023" w:type="dxa"/>
            <w:shd w:val="clear" w:color="auto" w:fill="E6E6E6"/>
          </w:tcPr>
          <w:p w14:paraId="5D7B1560" w14:textId="77777777" w:rsidR="00EE3FD1" w:rsidRPr="00AF0A0F" w:rsidRDefault="00EE3FD1" w:rsidP="00D75C4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pt"/>
              </w:rPr>
              <w:t>2015</w:t>
            </w:r>
          </w:p>
        </w:tc>
        <w:tc>
          <w:tcPr>
            <w:tcW w:w="1387" w:type="dxa"/>
            <w:shd w:val="clear" w:color="auto" w:fill="E6E6E6"/>
          </w:tcPr>
          <w:p w14:paraId="55EFE7E7" w14:textId="77777777" w:rsidR="00EE3FD1" w:rsidRPr="00AF0A0F" w:rsidRDefault="00EE3FD1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pt"/>
              </w:rPr>
              <w:t>% Variação</w:t>
            </w:r>
          </w:p>
        </w:tc>
      </w:tr>
      <w:tr w:rsidR="00D75C43" w:rsidRPr="00AF0A0F" w14:paraId="75DFBA44" w14:textId="77777777" w:rsidTr="00D75C43">
        <w:tc>
          <w:tcPr>
            <w:tcW w:w="2291" w:type="dxa"/>
          </w:tcPr>
          <w:p w14:paraId="79CAFDAF" w14:textId="77777777" w:rsidR="00D75C43" w:rsidRPr="00AF0A0F" w:rsidRDefault="00D75C43" w:rsidP="00B059C0">
            <w:pPr>
              <w:pStyle w:val="TableParagraph"/>
              <w:spacing w:before="29"/>
              <w:ind w:left="109" w:right="112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pt"/>
              </w:rPr>
              <w:t xml:space="preserve">LIGEIRO, CAMIONETA E DISTRIBUIÇÃO ASSOCIADA </w:t>
            </w:r>
          </w:p>
        </w:tc>
        <w:tc>
          <w:tcPr>
            <w:tcW w:w="1078" w:type="dxa"/>
          </w:tcPr>
          <w:p w14:paraId="7B7323D2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2.964</w:t>
            </w:r>
          </w:p>
        </w:tc>
        <w:tc>
          <w:tcPr>
            <w:tcW w:w="992" w:type="dxa"/>
          </w:tcPr>
          <w:p w14:paraId="0B323C3C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2.978</w:t>
            </w:r>
          </w:p>
        </w:tc>
        <w:tc>
          <w:tcPr>
            <w:tcW w:w="1354" w:type="dxa"/>
          </w:tcPr>
          <w:p w14:paraId="213D7089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- 0,5%</w:t>
            </w:r>
          </w:p>
        </w:tc>
        <w:tc>
          <w:tcPr>
            <w:tcW w:w="1134" w:type="dxa"/>
          </w:tcPr>
          <w:p w14:paraId="4D130E16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8.880</w:t>
            </w:r>
          </w:p>
        </w:tc>
        <w:tc>
          <w:tcPr>
            <w:tcW w:w="1023" w:type="dxa"/>
          </w:tcPr>
          <w:p w14:paraId="6F10456B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8.838</w:t>
            </w:r>
          </w:p>
        </w:tc>
        <w:tc>
          <w:tcPr>
            <w:tcW w:w="1387" w:type="dxa"/>
          </w:tcPr>
          <w:p w14:paraId="5E441B7F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+0,5%</w:t>
            </w:r>
          </w:p>
        </w:tc>
      </w:tr>
      <w:tr w:rsidR="00D75C43" w:rsidRPr="00AF0A0F" w14:paraId="5D1ED0E4" w14:textId="77777777" w:rsidTr="00D75C43">
        <w:tc>
          <w:tcPr>
            <w:tcW w:w="2291" w:type="dxa"/>
          </w:tcPr>
          <w:p w14:paraId="22F9A875" w14:textId="77777777" w:rsidR="00D75C43" w:rsidRPr="00AF0A0F" w:rsidRDefault="00D75C43" w:rsidP="00B059C0">
            <w:pPr>
              <w:pStyle w:val="TableParagraph"/>
              <w:spacing w:before="29"/>
              <w:ind w:left="109" w:right="112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pt"/>
              </w:rPr>
              <w:t>CAMIÃO E DISTRIBUIÇÃO ASSOCIADA</w:t>
            </w:r>
          </w:p>
        </w:tc>
        <w:tc>
          <w:tcPr>
            <w:tcW w:w="1078" w:type="dxa"/>
          </w:tcPr>
          <w:p w14:paraId="5EC05DC1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1.533</w:t>
            </w:r>
          </w:p>
        </w:tc>
        <w:tc>
          <w:tcPr>
            <w:tcW w:w="992" w:type="dxa"/>
          </w:tcPr>
          <w:p w14:paraId="14D9995F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1.607</w:t>
            </w:r>
          </w:p>
        </w:tc>
        <w:tc>
          <w:tcPr>
            <w:tcW w:w="1354" w:type="dxa"/>
          </w:tcPr>
          <w:p w14:paraId="7ADD8655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- 4,6%</w:t>
            </w:r>
          </w:p>
        </w:tc>
        <w:tc>
          <w:tcPr>
            <w:tcW w:w="1134" w:type="dxa"/>
          </w:tcPr>
          <w:p w14:paraId="1F776D42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4.440</w:t>
            </w:r>
          </w:p>
        </w:tc>
        <w:tc>
          <w:tcPr>
            <w:tcW w:w="1023" w:type="dxa"/>
          </w:tcPr>
          <w:p w14:paraId="43A7328D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4.675</w:t>
            </w:r>
          </w:p>
        </w:tc>
        <w:tc>
          <w:tcPr>
            <w:tcW w:w="1387" w:type="dxa"/>
          </w:tcPr>
          <w:p w14:paraId="004B2032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- 5,0%</w:t>
            </w:r>
          </w:p>
        </w:tc>
      </w:tr>
      <w:tr w:rsidR="00D75C43" w:rsidRPr="00AF0A0F" w14:paraId="2860637A" w14:textId="77777777" w:rsidTr="00D75C43">
        <w:tc>
          <w:tcPr>
            <w:tcW w:w="2291" w:type="dxa"/>
          </w:tcPr>
          <w:p w14:paraId="0240938C" w14:textId="77777777" w:rsidR="00D75C43" w:rsidRPr="00AF0A0F" w:rsidRDefault="00D75C43" w:rsidP="00B059C0">
            <w:pPr>
              <w:pStyle w:val="TableParagraph"/>
              <w:spacing w:before="29"/>
              <w:ind w:left="109" w:right="112"/>
              <w:rPr>
                <w:bCs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pt"/>
              </w:rPr>
              <w:t>ATIVIDADES DE ESPECIALIDADES</w:t>
            </w:r>
            <w:r>
              <w:rPr>
                <w:smallCaps/>
                <w:sz w:val="16"/>
                <w:szCs w:val="16"/>
                <w:vertAlign w:val="superscript"/>
                <w:lang w:val="pt"/>
              </w:rPr>
              <w:t>1</w:t>
            </w:r>
          </w:p>
        </w:tc>
        <w:tc>
          <w:tcPr>
            <w:tcW w:w="1078" w:type="dxa"/>
          </w:tcPr>
          <w:p w14:paraId="02692620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682</w:t>
            </w:r>
          </w:p>
        </w:tc>
        <w:tc>
          <w:tcPr>
            <w:tcW w:w="992" w:type="dxa"/>
          </w:tcPr>
          <w:p w14:paraId="16E838F3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725</w:t>
            </w:r>
          </w:p>
        </w:tc>
        <w:tc>
          <w:tcPr>
            <w:tcW w:w="1354" w:type="dxa"/>
          </w:tcPr>
          <w:p w14:paraId="65DD89E7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- 5,9%</w:t>
            </w:r>
          </w:p>
        </w:tc>
        <w:tc>
          <w:tcPr>
            <w:tcW w:w="1134" w:type="dxa"/>
          </w:tcPr>
          <w:p w14:paraId="7F004E01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2.151</w:t>
            </w:r>
          </w:p>
        </w:tc>
        <w:tc>
          <w:tcPr>
            <w:tcW w:w="1023" w:type="dxa"/>
          </w:tcPr>
          <w:p w14:paraId="49BD8A5A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2.294</w:t>
            </w:r>
          </w:p>
        </w:tc>
        <w:tc>
          <w:tcPr>
            <w:tcW w:w="1387" w:type="dxa"/>
          </w:tcPr>
          <w:p w14:paraId="077180A1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- 6,2%</w:t>
            </w:r>
          </w:p>
        </w:tc>
      </w:tr>
      <w:tr w:rsidR="00D75C43" w:rsidRPr="00AF0A0F" w14:paraId="299952B1" w14:textId="77777777" w:rsidTr="00D75C43">
        <w:tc>
          <w:tcPr>
            <w:tcW w:w="2291" w:type="dxa"/>
          </w:tcPr>
          <w:p w14:paraId="14D501A3" w14:textId="77777777" w:rsidR="00D75C43" w:rsidRPr="00AF0A0F" w:rsidRDefault="00D75C43" w:rsidP="00E54EED">
            <w:pPr>
              <w:pStyle w:val="TableParagraph"/>
              <w:spacing w:before="29"/>
              <w:ind w:left="109" w:right="112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lang w:val="pt"/>
              </w:rPr>
              <w:t>TOTAL GRUPO</w:t>
            </w:r>
          </w:p>
          <w:p w14:paraId="4AAC742D" w14:textId="77777777" w:rsidR="00D75C43" w:rsidRPr="00AF0A0F" w:rsidRDefault="00D75C43" w:rsidP="00543AB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078" w:type="dxa"/>
          </w:tcPr>
          <w:p w14:paraId="54F1B165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5.179</w:t>
            </w:r>
          </w:p>
        </w:tc>
        <w:tc>
          <w:tcPr>
            <w:tcW w:w="992" w:type="dxa"/>
          </w:tcPr>
          <w:p w14:paraId="572F61BB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5.310</w:t>
            </w:r>
          </w:p>
        </w:tc>
        <w:tc>
          <w:tcPr>
            <w:tcW w:w="1354" w:type="dxa"/>
          </w:tcPr>
          <w:p w14:paraId="4FC52E4E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- 2,5%</w:t>
            </w:r>
          </w:p>
        </w:tc>
        <w:tc>
          <w:tcPr>
            <w:tcW w:w="1134" w:type="dxa"/>
          </w:tcPr>
          <w:p w14:paraId="5A8E4B57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15.471</w:t>
            </w:r>
          </w:p>
        </w:tc>
        <w:tc>
          <w:tcPr>
            <w:tcW w:w="1023" w:type="dxa"/>
          </w:tcPr>
          <w:p w14:paraId="1FED1CC1" w14:textId="77777777" w:rsidR="00D75C43" w:rsidRPr="00AF0A0F" w:rsidRDefault="00E54EED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15.806</w:t>
            </w:r>
          </w:p>
        </w:tc>
        <w:tc>
          <w:tcPr>
            <w:tcW w:w="1387" w:type="dxa"/>
          </w:tcPr>
          <w:p w14:paraId="6674CAEA" w14:textId="77777777" w:rsidR="00D75C43" w:rsidRPr="00AF0A0F" w:rsidRDefault="00D75C43" w:rsidP="00543ABE">
            <w:pPr>
              <w:pStyle w:val="LadilloMichelinDossier"/>
              <w:spacing w:before="0" w:after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lang w:val="pt"/>
              </w:rPr>
              <w:t>- 2,1%</w:t>
            </w:r>
          </w:p>
        </w:tc>
      </w:tr>
    </w:tbl>
    <w:p w14:paraId="7A06286A" w14:textId="77777777" w:rsidR="00E03981" w:rsidRPr="00AF0A0F" w:rsidRDefault="00E03981" w:rsidP="00E03981">
      <w:pPr>
        <w:pStyle w:val="Body1"/>
        <w:spacing w:after="240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sz w:val="16"/>
          <w:szCs w:val="16"/>
          <w:lang w:val="pt"/>
        </w:rPr>
        <w:t xml:space="preserve">            </w:t>
      </w:r>
      <w:r>
        <w:rPr>
          <w:rFonts w:ascii="Arial" w:hAnsi="Arial" w:cs="Arial"/>
          <w:sz w:val="16"/>
          <w:szCs w:val="16"/>
          <w:vertAlign w:val="superscript"/>
          <w:lang w:val="pt"/>
        </w:rPr>
        <w:t>1</w:t>
      </w:r>
      <w:r>
        <w:rPr>
          <w:rFonts w:ascii="Arial" w:hAnsi="Arial" w:cs="Arial"/>
          <w:sz w:val="16"/>
          <w:szCs w:val="16"/>
          <w:lang w:val="pt"/>
        </w:rPr>
        <w:t xml:space="preserve"> </w:t>
      </w:r>
      <w:r>
        <w:rPr>
          <w:rStyle w:val="hps"/>
          <w:sz w:val="16"/>
          <w:lang w:val="pt"/>
        </w:rPr>
        <w:t xml:space="preserve"> Pneus de engenharia civil, agrícolas, duas rodas e avião; Michelin Travel Partner e Michelin Lifestyle.</w:t>
      </w:r>
    </w:p>
    <w:p w14:paraId="59495BB9" w14:textId="77777777" w:rsidR="00D919C9" w:rsidRPr="00183B99" w:rsidRDefault="00D919C9" w:rsidP="00061D75">
      <w:pPr>
        <w:pStyle w:val="Body1"/>
        <w:numPr>
          <w:ilvl w:val="0"/>
          <w:numId w:val="28"/>
        </w:numPr>
        <w:spacing w:after="240"/>
        <w:jc w:val="both"/>
        <w:rPr>
          <w:rFonts w:ascii="Arial" w:hAnsi="Arial" w:cs="Arial"/>
          <w:b/>
          <w:color w:val="auto"/>
          <w:szCs w:val="28"/>
        </w:rPr>
      </w:pPr>
      <w:r>
        <w:rPr>
          <w:rFonts w:ascii="Arial" w:hAnsi="Arial" w:cs="Arial"/>
          <w:b/>
          <w:bCs/>
          <w:color w:val="auto"/>
          <w:szCs w:val="28"/>
          <w:lang w:val="pt"/>
        </w:rPr>
        <w:t>Perspetivas 2016 confirmadas</w:t>
      </w:r>
    </w:p>
    <w:p w14:paraId="6E50B3BA" w14:textId="77777777" w:rsidR="00327643" w:rsidRPr="00AF0A0F" w:rsidRDefault="00327643" w:rsidP="00327643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>
        <w:rPr>
          <w:rFonts w:ascii="Arial" w:eastAsia="Arial Unicode MS" w:hAnsi="Arial" w:cs="Arial"/>
          <w:b/>
          <w:bCs/>
          <w:color w:val="000000"/>
          <w:sz w:val="21"/>
          <w:u w:color="000000"/>
          <w:lang w:val="pt"/>
        </w:rPr>
        <w:t>Para o fim deste ano, os mercados deveriam seguir as tendências observadas no fim de setembro.</w:t>
      </w:r>
    </w:p>
    <w:p w14:paraId="290BD983" w14:textId="77777777" w:rsidR="00017C6A" w:rsidRPr="00AF0A0F" w:rsidRDefault="00017C6A" w:rsidP="00017C6A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>
        <w:rPr>
          <w:rFonts w:ascii="Arial" w:eastAsia="Arial Unicode MS" w:hAnsi="Arial" w:cs="Arial"/>
          <w:b/>
          <w:bCs/>
          <w:color w:val="000000"/>
          <w:sz w:val="21"/>
          <w:u w:color="000000"/>
          <w:lang w:val="pt"/>
        </w:rPr>
        <w:t>Neste ambiente de mercado, tendo em conta a continuação da sua estratégia de preços e de um efeito das matérias-primas estimado em +550 milhões de euros, o Grupo deveria conseguir um efeito líquido do mix de preço/matérias-primas positivo no ano, de mais de 150 milhões de euros.</w:t>
      </w:r>
    </w:p>
    <w:p w14:paraId="46A442A4" w14:textId="77777777" w:rsidR="00BD4BCA" w:rsidRPr="00AF0A0F" w:rsidRDefault="00D778CC" w:rsidP="00BD4BCA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" w:cs="Arial"/>
          <w:b/>
          <w:color w:val="000000"/>
          <w:sz w:val="21"/>
          <w:u w:color="000000"/>
        </w:rPr>
      </w:pPr>
      <w:r>
        <w:rPr>
          <w:rFonts w:ascii="Arial" w:eastAsia="Arial Unicode MS" w:hAnsi="Arial" w:cs="Arial"/>
          <w:b/>
          <w:bCs/>
          <w:color w:val="000000"/>
          <w:sz w:val="21"/>
          <w:u w:color="000000"/>
          <w:lang w:val="pt"/>
        </w:rPr>
        <w:t xml:space="preserve">Para o conjunto de 2016, a Michelin confirma os seus objetivos de crescimento dos volumes superior à evolução mundial dos mercados, com um resultado operacional nas atividades correntes em crescimento, excluindo o impacto de divisas, e a produção de </w:t>
      </w:r>
      <w:r>
        <w:rPr>
          <w:rFonts w:ascii="Arial" w:eastAsia="Arial Unicode MS" w:hAnsi="Arial" w:cs="Arial"/>
          <w:b/>
          <w:bCs/>
          <w:i/>
          <w:iCs/>
          <w:color w:val="000000"/>
          <w:sz w:val="21"/>
          <w:u w:color="000000"/>
          <w:lang w:val="pt"/>
        </w:rPr>
        <w:t xml:space="preserve">cash flow </w:t>
      </w:r>
      <w:r>
        <w:rPr>
          <w:rFonts w:ascii="Arial" w:eastAsia="Arial Unicode MS" w:hAnsi="Arial" w:cs="Arial"/>
          <w:b/>
          <w:bCs/>
          <w:color w:val="000000"/>
          <w:sz w:val="21"/>
          <w:u w:color="000000"/>
          <w:lang w:val="pt"/>
        </w:rPr>
        <w:t>livre estrutural de mais de 800 milhões de euros.</w:t>
      </w:r>
    </w:p>
    <w:p w14:paraId="269D756E" w14:textId="77777777" w:rsidR="000646AE" w:rsidRPr="00183B99" w:rsidRDefault="000646AE" w:rsidP="00992838">
      <w:pPr>
        <w:pStyle w:val="Body1"/>
        <w:spacing w:after="240"/>
        <w:jc w:val="both"/>
        <w:rPr>
          <w:b/>
          <w:color w:val="333399"/>
          <w:sz w:val="36"/>
          <w:u w:color="333399"/>
        </w:rPr>
      </w:pPr>
      <w:r>
        <w:rPr>
          <w:b/>
          <w:bCs/>
          <w:color w:val="333399"/>
          <w:sz w:val="36"/>
          <w:u w:color="333399"/>
          <w:lang w:val="pt"/>
        </w:rPr>
        <w:lastRenderedPageBreak/>
        <w:t>Evolução do mercado</w:t>
      </w:r>
    </w:p>
    <w:p w14:paraId="01AECD5D" w14:textId="77777777" w:rsidR="00992838" w:rsidRPr="00183B99" w:rsidRDefault="00992838" w:rsidP="00992838">
      <w:pPr>
        <w:spacing w:after="240" w:line="360" w:lineRule="exact"/>
        <w:outlineLvl w:val="0"/>
        <w:rPr>
          <w:rFonts w:eastAsia="Arial Unicode MS"/>
          <w:b/>
          <w:color w:val="333399"/>
          <w:sz w:val="36"/>
          <w:u w:color="333399"/>
        </w:rPr>
      </w:pPr>
      <w:r>
        <w:rPr>
          <w:rFonts w:eastAsia="Arial Unicode MS"/>
          <w:b/>
          <w:bCs/>
          <w:color w:val="000000"/>
          <w:u w:color="000000"/>
          <w:lang w:val="pt"/>
        </w:rPr>
        <w:t>Ligeiro e Camioneta</w:t>
      </w:r>
    </w:p>
    <w:tbl>
      <w:tblPr>
        <w:tblpPr w:leftFromText="141" w:rightFromText="141" w:vertAnchor="text" w:horzAnchor="page" w:tblpX="1121" w:tblpY="20"/>
        <w:tblW w:w="1021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1412"/>
        <w:gridCol w:w="1100"/>
        <w:gridCol w:w="1100"/>
        <w:gridCol w:w="1060"/>
        <w:gridCol w:w="993"/>
        <w:gridCol w:w="1701"/>
        <w:gridCol w:w="997"/>
      </w:tblGrid>
      <w:tr w:rsidR="00992838" w:rsidRPr="00183B99" w14:paraId="57152CF1" w14:textId="77777777" w:rsidTr="00183B99">
        <w:trPr>
          <w:cantSplit/>
          <w:trHeight w:val="75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091871" w14:textId="77777777" w:rsidR="00992838" w:rsidRPr="00183B99" w:rsidRDefault="00992838" w:rsidP="00992838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Nove meses</w:t>
            </w:r>
            <w:r>
              <w:rPr>
                <w:rFonts w:ascii="Arial" w:eastAsia="Arial Unicode MS" w:hAnsi="Arial Unicode MS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2016/2015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br/>
              <w:t>(N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º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 xml:space="preserve"> de pneus)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FB6E9C" w14:textId="77777777" w:rsidR="00992838" w:rsidRPr="00183B99" w:rsidRDefault="00720480" w:rsidP="0072048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com a Rússia e CEI*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CF330E" w14:textId="77777777" w:rsidR="00992838" w:rsidRPr="00183B99" w:rsidRDefault="00992838" w:rsidP="00543AB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sem a Rússia e CEI*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E69EDE" w14:textId="77777777" w:rsidR="00992838" w:rsidRPr="00183B99" w:rsidRDefault="00992838" w:rsidP="00543AB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América 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Norte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696B02" w14:textId="77777777" w:rsidR="00992838" w:rsidRPr="00183B99" w:rsidRDefault="00992838" w:rsidP="00543AB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Ásia</w:t>
            </w:r>
          </w:p>
          <w:p w14:paraId="393B2D0E" w14:textId="77777777" w:rsidR="00992838" w:rsidRPr="00183B99" w:rsidRDefault="00992838" w:rsidP="0072048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(sem a Índia)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3C3958" w14:textId="77777777" w:rsidR="00992838" w:rsidRPr="00183B99" w:rsidRDefault="00992838" w:rsidP="00543AB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América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70B4D7" w14:textId="77777777" w:rsidR="00992838" w:rsidRPr="00183B99" w:rsidRDefault="00992838" w:rsidP="00543AB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África/Índia/ Médio Oriente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D68E13" w14:textId="77777777" w:rsidR="00992838" w:rsidRPr="00183B99" w:rsidRDefault="00992838" w:rsidP="00543ABE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Total</w:t>
            </w:r>
          </w:p>
        </w:tc>
      </w:tr>
      <w:tr w:rsidR="00992838" w:rsidRPr="00183B99" w14:paraId="64864931" w14:textId="77777777" w:rsidTr="00183B99">
        <w:trPr>
          <w:cantSplit/>
          <w:trHeight w:val="7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6A02AC" w14:textId="77777777" w:rsidR="00992838" w:rsidRPr="00183B99" w:rsidRDefault="00992838" w:rsidP="00543ABE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Primeiros Equipamentos</w:t>
            </w:r>
          </w:p>
          <w:p w14:paraId="17F57A9F" w14:textId="77777777" w:rsidR="00992838" w:rsidRPr="00183B99" w:rsidRDefault="00992838" w:rsidP="00543ABE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</w:rPr>
            </w:pPr>
          </w:p>
          <w:p w14:paraId="3F6DDC16" w14:textId="77777777" w:rsidR="00992838" w:rsidRPr="00183B99" w:rsidRDefault="00992838" w:rsidP="00543ABE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Substituição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A105EA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</w:p>
          <w:p w14:paraId="606CDE9D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+4%</w:t>
            </w:r>
          </w:p>
          <w:p w14:paraId="4BA50992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156D0C65" w14:textId="77777777" w:rsidR="00992838" w:rsidRPr="00183B99" w:rsidRDefault="00992838" w:rsidP="009005B9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+ 1%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136D1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</w:p>
          <w:p w14:paraId="5F20A546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+5%</w:t>
            </w:r>
          </w:p>
          <w:p w14:paraId="027154DC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50D13B03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+ 3%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D1B9B0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</w:p>
          <w:p w14:paraId="59CD4604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+2%</w:t>
            </w:r>
          </w:p>
          <w:p w14:paraId="3303E052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36C16D9A" w14:textId="77777777" w:rsidR="00992838" w:rsidRPr="00183B99" w:rsidRDefault="00992838" w:rsidP="00543ABE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+ 1%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966F2F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</w:p>
          <w:p w14:paraId="6734276D" w14:textId="77777777" w:rsidR="00992838" w:rsidRPr="00183B99" w:rsidRDefault="002136A1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+5%</w:t>
            </w:r>
          </w:p>
          <w:p w14:paraId="56D97A21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702F35A7" w14:textId="77777777" w:rsidR="00992838" w:rsidRPr="00183B99" w:rsidRDefault="00992838" w:rsidP="002136A1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+ 4%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2A368F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  <w:highlight w:val="yellow"/>
              </w:rPr>
            </w:pPr>
          </w:p>
          <w:p w14:paraId="147C0590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- 16%</w:t>
            </w:r>
          </w:p>
          <w:p w14:paraId="74EE1138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6C177C1D" w14:textId="77777777" w:rsidR="00992838" w:rsidRPr="00183B99" w:rsidRDefault="002136A1" w:rsidP="002136A1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- 4%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015E98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  <w:highlight w:val="yellow"/>
              </w:rPr>
            </w:pPr>
          </w:p>
          <w:p w14:paraId="3B96C303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+ 8%</w:t>
            </w:r>
          </w:p>
          <w:p w14:paraId="21C4231B" w14:textId="77777777" w:rsidR="00992838" w:rsidRPr="00183B99" w:rsidRDefault="00992838" w:rsidP="00543ABE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7C83948D" w14:textId="77777777" w:rsidR="00992838" w:rsidRPr="00183B99" w:rsidRDefault="00992838" w:rsidP="00543ABE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+4%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E6EBF1" w14:textId="77777777" w:rsidR="00992838" w:rsidRPr="00183B99" w:rsidRDefault="00992838" w:rsidP="00543ABE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  <w:highlight w:val="yellow"/>
              </w:rPr>
            </w:pPr>
          </w:p>
          <w:p w14:paraId="5BF66D2B" w14:textId="77777777" w:rsidR="00992838" w:rsidRPr="00183B99" w:rsidRDefault="00992838" w:rsidP="00543ABE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+4%</w:t>
            </w:r>
          </w:p>
          <w:p w14:paraId="17C6E4B0" w14:textId="77777777" w:rsidR="00992838" w:rsidRPr="00183B99" w:rsidRDefault="00992838" w:rsidP="00543ABE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</w:p>
          <w:p w14:paraId="443FF427" w14:textId="77777777" w:rsidR="00992838" w:rsidRPr="00183B99" w:rsidRDefault="00992838" w:rsidP="00543ABE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eastAsia="MS Mincho" w:hAnsi="Verdana" w:cs="Arial"/>
                <w:b/>
                <w:bCs/>
                <w:snapToGrid w:val="0"/>
                <w:sz w:val="16"/>
                <w:szCs w:val="18"/>
                <w:lang w:val="pt"/>
              </w:rPr>
              <w:t>+2%</w:t>
            </w:r>
          </w:p>
        </w:tc>
      </w:tr>
    </w:tbl>
    <w:p w14:paraId="0EB2D284" w14:textId="77777777" w:rsidR="00992838" w:rsidRPr="00183B99" w:rsidRDefault="00992838" w:rsidP="00992838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4"/>
          <w:u w:color="000000"/>
        </w:rPr>
      </w:pPr>
      <w:r>
        <w:rPr>
          <w:rFonts w:ascii="Arial" w:eastAsia="Arial Unicode MS" w:hAnsi="Arial Unicode MS"/>
          <w:color w:val="000000"/>
          <w:sz w:val="14"/>
          <w:u w:color="000000"/>
          <w:lang w:val="pt"/>
        </w:rPr>
        <w:t>*Incluindo a Turquia</w:t>
      </w:r>
    </w:p>
    <w:tbl>
      <w:tblPr>
        <w:tblpPr w:leftFromText="141" w:rightFromText="141" w:vertAnchor="text" w:horzAnchor="margin" w:tblpY="22"/>
        <w:tblW w:w="102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1418"/>
        <w:gridCol w:w="1114"/>
        <w:gridCol w:w="1090"/>
        <w:gridCol w:w="1056"/>
        <w:gridCol w:w="1026"/>
        <w:gridCol w:w="1667"/>
        <w:gridCol w:w="997"/>
      </w:tblGrid>
      <w:tr w:rsidR="00183B99" w:rsidRPr="00183B99" w14:paraId="765AE34F" w14:textId="77777777" w:rsidTr="00183B99">
        <w:trPr>
          <w:cantSplit/>
          <w:trHeight w:val="7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42D323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Terceiro trimestre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2016/2015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br/>
              <w:t>(N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º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 xml:space="preserve"> de pneus)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AAE6F8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com a Rússia e CEI*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6B784F" w14:textId="77777777" w:rsidR="00183B99" w:rsidRPr="00183B99" w:rsidRDefault="00183B99" w:rsidP="00183B99">
            <w:pPr>
              <w:jc w:val="center"/>
              <w:rPr>
                <w:rFonts w:ascii="Arial" w:eastAsia="Arial Unicode MS" w:hAnsi="Arial"/>
                <w:sz w:val="16"/>
                <w:szCs w:val="18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sem a Rússia e CEI*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F33BBA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América 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Norte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471DEC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Ásia</w:t>
            </w:r>
          </w:p>
          <w:p w14:paraId="4053A7EC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(sem a Índia)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DE39F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América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Sul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F23145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África/Índia/ Médio Oriente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58C3C2" w14:textId="77777777" w:rsidR="00183B99" w:rsidRPr="00183B99" w:rsidRDefault="00183B99" w:rsidP="00183B9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Total</w:t>
            </w:r>
          </w:p>
        </w:tc>
      </w:tr>
      <w:tr w:rsidR="00183B99" w:rsidRPr="00183B99" w14:paraId="07738B97" w14:textId="77777777" w:rsidTr="00183B99">
        <w:trPr>
          <w:cantSplit/>
          <w:trHeight w:val="7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CF4058" w14:textId="77777777" w:rsidR="00183B99" w:rsidRPr="00183B99" w:rsidRDefault="00183B99" w:rsidP="00183B99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Primeiros Equipamentos</w:t>
            </w:r>
          </w:p>
          <w:p w14:paraId="04E42027" w14:textId="77777777" w:rsidR="00183B99" w:rsidRPr="00183B99" w:rsidRDefault="00183B99" w:rsidP="00183B99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</w:rPr>
            </w:pPr>
          </w:p>
          <w:p w14:paraId="3EB223C7" w14:textId="77777777" w:rsidR="00183B99" w:rsidRPr="00183B99" w:rsidRDefault="00183B99" w:rsidP="00183B99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Substituição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135831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282B33E8" w14:textId="77777777" w:rsidR="00183B99" w:rsidRPr="00183B99" w:rsidRDefault="00183B99" w:rsidP="00183B99">
            <w:pPr>
              <w:tabs>
                <w:tab w:val="left" w:pos="284"/>
              </w:tabs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+1%</w:t>
            </w:r>
          </w:p>
          <w:p w14:paraId="1C731889" w14:textId="77777777" w:rsidR="00183B99" w:rsidRPr="00183B99" w:rsidRDefault="00183B99" w:rsidP="00183B99">
            <w:pPr>
              <w:tabs>
                <w:tab w:val="left" w:pos="284"/>
              </w:tabs>
              <w:jc w:val="center"/>
              <w:rPr>
                <w:rFonts w:ascii="Verdana"/>
                <w:b/>
                <w:sz w:val="16"/>
              </w:rPr>
            </w:pPr>
          </w:p>
          <w:p w14:paraId="0680FDAA" w14:textId="77777777" w:rsidR="00183B99" w:rsidRPr="00183B99" w:rsidRDefault="00183B99" w:rsidP="00183B99">
            <w:pPr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-0%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01796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BE58B24" w14:textId="77777777" w:rsidR="00183B99" w:rsidRPr="00183B99" w:rsidRDefault="00183B99" w:rsidP="00183B99">
            <w:pPr>
              <w:tabs>
                <w:tab w:val="left" w:pos="284"/>
              </w:tabs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+0%</w:t>
            </w:r>
            <w:r>
              <w:rPr>
                <w:rFonts w:ascii="Verdana" w:hAnsi="Verdana"/>
                <w:sz w:val="16"/>
                <w:lang w:val="pt"/>
              </w:rPr>
              <w:br/>
            </w:r>
          </w:p>
          <w:p w14:paraId="7017C003" w14:textId="77777777" w:rsidR="00183B99" w:rsidRPr="00183B99" w:rsidRDefault="00183B99" w:rsidP="00183B99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+1%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2E2E6C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8B7BE7A" w14:textId="77777777" w:rsidR="00183B99" w:rsidRPr="00183B99" w:rsidRDefault="00183B99" w:rsidP="00183B99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+1%</w:t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b/>
                <w:bCs/>
                <w:sz w:val="16"/>
                <w:lang w:val="pt"/>
              </w:rPr>
              <w:t>+1%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130E9B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2244AAC" w14:textId="77777777" w:rsidR="00183B99" w:rsidRPr="00183B99" w:rsidRDefault="00183B99" w:rsidP="00183B99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+12%</w:t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b/>
                <w:bCs/>
                <w:sz w:val="16"/>
                <w:lang w:val="pt"/>
              </w:rPr>
              <w:t>+3%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514D6D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B141721" w14:textId="77777777" w:rsidR="00183B99" w:rsidRPr="00183B99" w:rsidRDefault="00183B99" w:rsidP="00183B99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- 10%</w:t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b/>
                <w:bCs/>
                <w:sz w:val="16"/>
                <w:lang w:val="pt"/>
              </w:rPr>
              <w:t>-2%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C8373D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7FBE85E" w14:textId="77777777" w:rsidR="00183B99" w:rsidRPr="00183B99" w:rsidRDefault="00183B99" w:rsidP="00183B99">
            <w:pPr>
              <w:keepNext/>
              <w:tabs>
                <w:tab w:val="left" w:pos="284"/>
              </w:tabs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+9%</w:t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b/>
                <w:bCs/>
                <w:sz w:val="16"/>
                <w:lang w:val="pt"/>
              </w:rPr>
              <w:t>+4%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0E2362" w14:textId="77777777" w:rsidR="00183B99" w:rsidRPr="00183B99" w:rsidRDefault="00183B99" w:rsidP="00183B99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57703A25" w14:textId="77777777" w:rsidR="00183B99" w:rsidRPr="00183B99" w:rsidRDefault="00183B99" w:rsidP="00183B99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Arial" w:eastAsia="MS Mincho" w:hAnsi="Arial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lang w:val="pt"/>
              </w:rPr>
              <w:t>+6%</w:t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sz w:val="16"/>
                <w:lang w:val="pt"/>
              </w:rPr>
              <w:br/>
            </w:r>
            <w:r>
              <w:rPr>
                <w:rFonts w:ascii="Verdana" w:hAnsi="Verdana"/>
                <w:b/>
                <w:bCs/>
                <w:sz w:val="16"/>
                <w:lang w:val="pt"/>
              </w:rPr>
              <w:t>+1%</w:t>
            </w:r>
          </w:p>
        </w:tc>
      </w:tr>
    </w:tbl>
    <w:p w14:paraId="76BED3C7" w14:textId="77777777" w:rsidR="00FC0406" w:rsidRDefault="00992838" w:rsidP="00992838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color w:val="000000"/>
          <w:sz w:val="14"/>
          <w:u w:color="000000"/>
        </w:rPr>
      </w:pPr>
      <w:r>
        <w:rPr>
          <w:rFonts w:ascii="Arial" w:eastAsia="Arial Unicode MS" w:hAnsi="Arial Unicode MS"/>
          <w:color w:val="000000"/>
          <w:sz w:val="14"/>
          <w:u w:color="000000"/>
          <w:lang w:val="pt"/>
        </w:rPr>
        <w:t>*Incluindo a Turquia</w:t>
      </w:r>
    </w:p>
    <w:p w14:paraId="11CF74C7" w14:textId="77777777" w:rsidR="00992838" w:rsidRPr="00183B99" w:rsidRDefault="00992838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</w:p>
    <w:p w14:paraId="5EBFB6F4" w14:textId="77777777" w:rsidR="00215542" w:rsidRPr="00183B99" w:rsidRDefault="00215542" w:rsidP="00215542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mercado mundial de pneus de Ligeiro Camioneta, em Primeiros Equipamentos e Substitui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o, cresceu 2% em unidades em 30 de setembro de 2016.</w:t>
      </w:r>
    </w:p>
    <w:p w14:paraId="7BDAA579" w14:textId="77777777" w:rsidR="00992838" w:rsidRPr="00183B99" w:rsidRDefault="00215542" w:rsidP="00215542">
      <w:pPr>
        <w:tabs>
          <w:tab w:val="left" w:pos="214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b/>
          <w:bCs/>
          <w:lang w:val="pt"/>
        </w:rPr>
        <w:tab/>
      </w:r>
    </w:p>
    <w:p w14:paraId="0E0B164F" w14:textId="77777777" w:rsidR="00506EB7" w:rsidRPr="00183B99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Primeiros Equipamentos</w:t>
      </w:r>
    </w:p>
    <w:p w14:paraId="5A639835" w14:textId="77777777" w:rsidR="00651ED4" w:rsidRPr="00183B99" w:rsidRDefault="00055CB4" w:rsidP="00E105C3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Mercado crescente na Europa, sem a 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ú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ssia e CEI, impulsionado pela subida nos pa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ses do Sul da Europa. A procura na Europa do Leste em grande descida (- 10%).</w:t>
      </w:r>
    </w:p>
    <w:p w14:paraId="39D31C58" w14:textId="77777777" w:rsidR="00506EB7" w:rsidRPr="00183B99" w:rsidRDefault="00F8669D" w:rsidP="00F8669D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A procura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Norte estabiliza-se num 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vel alto, em linha com as matricula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es.</w:t>
      </w:r>
    </w:p>
    <w:p w14:paraId="72F335CE" w14:textId="77777777" w:rsidR="00F8669D" w:rsidRPr="00183B99" w:rsidRDefault="007B2C99" w:rsidP="00A21A6E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Mercado din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â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mico na China (+11%), estimulado pelas ajudas governamentais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à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 vendas de ve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culos pequenos e marcado pelo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xito do segmento SUV. Mercados em contra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o: - 2% no Jap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o, - 8% na Coreia e - 3% em ASEAN.</w:t>
      </w:r>
    </w:p>
    <w:p w14:paraId="776417DE" w14:textId="77777777" w:rsidR="00004660" w:rsidRPr="00183B99" w:rsidRDefault="00CD022F" w:rsidP="004F26DE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mercados da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Sul continuam a cair bastante, embora no terceiro trimestre se constate uma reativa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na Argentina e uma menor degrada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no Brasil.</w:t>
      </w:r>
    </w:p>
    <w:p w14:paraId="55F49F8D" w14:textId="77777777" w:rsidR="00506EB7" w:rsidRPr="00183B99" w:rsidRDefault="00506EB7" w:rsidP="00F8669D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2499C076" w14:textId="77777777" w:rsidR="00506EB7" w:rsidRPr="00183B99" w:rsidRDefault="000646AE" w:rsidP="00FA256C">
      <w:pPr>
        <w:spacing w:after="240" w:line="270" w:lineRule="atLeast"/>
        <w:ind w:firstLine="709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Substituição</w:t>
      </w:r>
    </w:p>
    <w:p w14:paraId="39793959" w14:textId="77777777" w:rsidR="00506EB7" w:rsidRPr="00183B99" w:rsidRDefault="00D90C3A" w:rsidP="000E3156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No trimestre, procura med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ocre nas zonas maduras sob o efeito, por um lado, da situa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de espera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Norte e no segmento de pneus de inverno na Europa e, por outro, do aumento das importa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de pneus de terceira linha.</w:t>
      </w:r>
    </w:p>
    <w:p w14:paraId="7A99D3EF" w14:textId="77777777" w:rsidR="003759F7" w:rsidRPr="00183B99" w:rsidRDefault="003759F7" w:rsidP="000E3156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Na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sia, sem a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ndia, forte crescimento na China (+8% nos nove meses) de acordo com as previs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econ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ó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micas para 2016. Procura vari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vel para o resto da zona: dinamismo em ASEAN e mercado em contra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de 2% no Jap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o.</w:t>
      </w:r>
    </w:p>
    <w:p w14:paraId="7A647866" w14:textId="77777777" w:rsidR="00343B93" w:rsidRPr="00183B99" w:rsidRDefault="00343B93" w:rsidP="00343B93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Queda do mercado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rica do Sul devido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à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pouca procura no Brasil (- 4% nos primeiros nove meses), num ambiente econ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ó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mico deprimido. No terceiro trimestre, aumento das quotas de importa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na Argentina. Boa resist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ncia do segmento Premium.</w:t>
      </w:r>
    </w:p>
    <w:p w14:paraId="7B6BD591" w14:textId="77777777" w:rsidR="00D41181" w:rsidRPr="00183B99" w:rsidRDefault="00D41181" w:rsidP="00D41181">
      <w:pPr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72ED06E5" w14:textId="77777777" w:rsidR="00D41181" w:rsidRPr="00183B99" w:rsidRDefault="00D41181" w:rsidP="00D41181">
      <w:pPr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0A2E7CB3" w14:textId="77777777" w:rsidR="000646AE" w:rsidRPr="00183B99" w:rsidRDefault="000646AE" w:rsidP="00D41181">
      <w:pPr>
        <w:outlineLvl w:val="0"/>
        <w:rPr>
          <w:rFonts w:ascii="Arial" w:eastAsia="Arial Unicode MS" w:hAnsi="Arial Unicode MS"/>
          <w:color w:val="000000"/>
          <w:sz w:val="14"/>
          <w:u w:color="000000"/>
        </w:rPr>
      </w:pPr>
      <w:r>
        <w:rPr>
          <w:rFonts w:ascii="Times" w:eastAsia="Arial Unicode MS" w:hAnsi="Times"/>
          <w:b/>
          <w:bCs/>
          <w:color w:val="000000"/>
          <w:u w:color="000000"/>
          <w:lang w:val="pt"/>
        </w:rPr>
        <w:t>Camião</w:t>
      </w:r>
      <w:r>
        <w:rPr>
          <w:rFonts w:eastAsia="Arial Unicode MS" w:hAnsi="Times"/>
          <w:b/>
          <w:bCs/>
          <w:color w:val="000000"/>
          <w:u w:color="000000"/>
          <w:lang w:val="pt"/>
        </w:rPr>
        <w:t xml:space="preserve"> </w:t>
      </w:r>
      <w:r>
        <w:rPr>
          <w:rFonts w:ascii="Arial" w:eastAsia="Arial Unicode MS" w:hAnsi="Times"/>
          <w:color w:val="000000"/>
          <w:sz w:val="14"/>
          <w:u w:color="000000"/>
          <w:lang w:val="pt"/>
        </w:rPr>
        <w:t>(Mercados radial e diagonal)</w:t>
      </w:r>
    </w:p>
    <w:p w14:paraId="34729C18" w14:textId="77777777" w:rsidR="00833A90" w:rsidRPr="00183B99" w:rsidRDefault="00833A90" w:rsidP="00D41181">
      <w:pPr>
        <w:outlineLvl w:val="0"/>
        <w:rPr>
          <w:rFonts w:eastAsia="Arial Unicode MS" w:hAnsi="Arial Unicode MS"/>
          <w:b/>
          <w:color w:val="000000"/>
          <w:u w:color="000000"/>
        </w:rPr>
      </w:pPr>
    </w:p>
    <w:tbl>
      <w:tblPr>
        <w:tblpPr w:leftFromText="141" w:rightFromText="141" w:vertAnchor="text" w:horzAnchor="page" w:tblpX="1121" w:tblpY="20"/>
        <w:tblW w:w="1021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1412"/>
        <w:gridCol w:w="1100"/>
        <w:gridCol w:w="1100"/>
        <w:gridCol w:w="1060"/>
        <w:gridCol w:w="993"/>
        <w:gridCol w:w="1701"/>
        <w:gridCol w:w="997"/>
      </w:tblGrid>
      <w:tr w:rsidR="00833A90" w:rsidRPr="00183B99" w14:paraId="6DF93567" w14:textId="77777777" w:rsidTr="00BB34FD">
        <w:trPr>
          <w:cantSplit/>
          <w:trHeight w:val="7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DB1FFC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lastRenderedPageBreak/>
              <w:t>Nove meses</w:t>
            </w:r>
            <w:r>
              <w:rPr>
                <w:rFonts w:ascii="Arial" w:eastAsia="Arial Unicode MS" w:hAnsi="Arial Unicode MS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2016/2015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br/>
              <w:t>(N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º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 xml:space="preserve"> pneus)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6C32B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incluindo a Rússia e CEI*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59FA13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sem a Rússia e CEI*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DB8040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América 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Norte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D3C675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Ásia</w:t>
            </w:r>
          </w:p>
          <w:p w14:paraId="55713A9D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(excluindo </w:t>
            </w: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a Índia)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E27724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América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01A5AD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África/Índia/ Médio Oriente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3DB298" w14:textId="77777777" w:rsidR="00833A90" w:rsidRPr="00183B99" w:rsidRDefault="00833A90" w:rsidP="00833A90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Total</w:t>
            </w:r>
          </w:p>
        </w:tc>
      </w:tr>
      <w:tr w:rsidR="0065240E" w:rsidRPr="00183B99" w14:paraId="5FB0CFB2" w14:textId="77777777" w:rsidTr="00515B68">
        <w:trPr>
          <w:cantSplit/>
          <w:trHeight w:val="5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829580" w14:textId="77777777" w:rsidR="0065240E" w:rsidRPr="00183B99" w:rsidRDefault="0065240E" w:rsidP="00833A90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Primeiros Equipamentos</w:t>
            </w:r>
          </w:p>
          <w:p w14:paraId="08AE0454" w14:textId="77777777" w:rsidR="0065240E" w:rsidRPr="00183B99" w:rsidRDefault="0065240E" w:rsidP="00833A90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E8C02B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16"/>
                <w:szCs w:val="18"/>
              </w:rPr>
            </w:pPr>
          </w:p>
          <w:p w14:paraId="7A20E731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+4%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523E22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16"/>
                <w:szCs w:val="18"/>
              </w:rPr>
            </w:pPr>
          </w:p>
          <w:p w14:paraId="7D267796" w14:textId="77777777" w:rsidR="0065240E" w:rsidRPr="00183B99" w:rsidRDefault="0065240E" w:rsidP="00833A90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+4%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C6C282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16"/>
                <w:szCs w:val="18"/>
              </w:rPr>
            </w:pPr>
          </w:p>
          <w:p w14:paraId="2F20C95F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-16%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DA1AAE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16"/>
                <w:szCs w:val="18"/>
              </w:rPr>
            </w:pPr>
          </w:p>
          <w:p w14:paraId="253E3E88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F1BF85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16"/>
                <w:szCs w:val="18"/>
              </w:rPr>
            </w:pPr>
          </w:p>
          <w:p w14:paraId="584D4288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- 21%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FE46DB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16"/>
                <w:szCs w:val="18"/>
              </w:rPr>
            </w:pPr>
          </w:p>
          <w:p w14:paraId="03F1052C" w14:textId="77777777" w:rsidR="0065240E" w:rsidRPr="00183B99" w:rsidRDefault="0065240E" w:rsidP="000C5F06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+8%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012A5" w14:textId="77777777" w:rsidR="0065240E" w:rsidRPr="00183B99" w:rsidRDefault="0065240E" w:rsidP="00543ABE">
            <w:pPr>
              <w:pStyle w:val="TableParagraph"/>
              <w:spacing w:before="2"/>
              <w:jc w:val="left"/>
              <w:rPr>
                <w:rFonts w:ascii="Verdana" w:hAnsi="Verdana" w:cs="Arial"/>
                <w:sz w:val="20"/>
              </w:rPr>
            </w:pPr>
          </w:p>
          <w:p w14:paraId="10B81D7C" w14:textId="77777777" w:rsidR="0065240E" w:rsidRPr="00183B99" w:rsidRDefault="0065240E" w:rsidP="00833A90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-1 %</w:t>
            </w:r>
          </w:p>
          <w:p w14:paraId="024FD3D9" w14:textId="77777777" w:rsidR="0065240E" w:rsidRPr="00183B99" w:rsidRDefault="0065240E" w:rsidP="00833A90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hAnsi="Verdana" w:cs="Arial"/>
                <w:b/>
                <w:sz w:val="16"/>
              </w:rPr>
            </w:pPr>
          </w:p>
          <w:p w14:paraId="4B7EEF58" w14:textId="77777777" w:rsidR="0065240E" w:rsidRPr="00183B99" w:rsidRDefault="0065240E" w:rsidP="00833A90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-2%</w:t>
            </w:r>
          </w:p>
        </w:tc>
      </w:tr>
      <w:tr w:rsidR="0065240E" w:rsidRPr="00183B99" w14:paraId="3C274461" w14:textId="77777777" w:rsidTr="00BB34FD">
        <w:trPr>
          <w:cantSplit/>
          <w:trHeight w:val="172"/>
        </w:trPr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1CD082" w14:textId="77777777" w:rsidR="0065240E" w:rsidRPr="00183B99" w:rsidRDefault="0065240E" w:rsidP="00833A90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Substituição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77D3D4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+4%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66C99" w14:textId="77777777" w:rsidR="0065240E" w:rsidRPr="00183B99" w:rsidRDefault="0065240E" w:rsidP="00833A90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+4%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80D15F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+2%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ECEE4B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-5%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7EA9B6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-0%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416557" w14:textId="77777777" w:rsidR="0065240E" w:rsidRPr="00183B99" w:rsidRDefault="0065240E" w:rsidP="00833A90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8"/>
                <w:lang w:val="pt"/>
              </w:rPr>
              <w:t>-1 %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D97341" w14:textId="77777777" w:rsidR="0065240E" w:rsidRPr="00183B99" w:rsidRDefault="0065240E" w:rsidP="00833A90">
            <w:pPr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trike/>
                <w:snapToGrid w:val="0"/>
                <w:sz w:val="16"/>
                <w:szCs w:val="18"/>
                <w:highlight w:val="yellow"/>
              </w:rPr>
            </w:pPr>
          </w:p>
        </w:tc>
      </w:tr>
    </w:tbl>
    <w:tbl>
      <w:tblPr>
        <w:tblpPr w:leftFromText="141" w:rightFromText="141" w:vertAnchor="text" w:horzAnchor="page" w:tblpX="1116" w:tblpY="2887"/>
        <w:tblW w:w="102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1418"/>
        <w:gridCol w:w="1114"/>
        <w:gridCol w:w="1090"/>
        <w:gridCol w:w="1056"/>
        <w:gridCol w:w="1026"/>
        <w:gridCol w:w="1667"/>
        <w:gridCol w:w="997"/>
      </w:tblGrid>
      <w:tr w:rsidR="00833A90" w:rsidRPr="00183B99" w14:paraId="2BC5D504" w14:textId="77777777" w:rsidTr="00BB34FD">
        <w:trPr>
          <w:cantSplit/>
          <w:trHeight w:val="90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706D1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Terceiro trimestre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2016/2015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cr/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br/>
              <w:t>(N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>º</w:t>
            </w:r>
            <w:r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  <w:lang w:val="pt"/>
              </w:rPr>
              <w:t xml:space="preserve"> pneus)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4D6800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incluindo a Rússia e CEI*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29BAD4E" w14:textId="77777777" w:rsidR="00833A90" w:rsidRPr="00183B99" w:rsidRDefault="00833A90" w:rsidP="00B22E49">
            <w:pPr>
              <w:jc w:val="center"/>
              <w:rPr>
                <w:rFonts w:ascii="Arial" w:eastAsia="Arial Unicode MS" w:hAnsi="Arial"/>
                <w:sz w:val="16"/>
                <w:szCs w:val="18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Europa, sem a Rússia e CEI*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452FD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América 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Norte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00A2F4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Ásia</w:t>
            </w:r>
          </w:p>
          <w:p w14:paraId="3A784BF9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 xml:space="preserve">(excluindo </w:t>
            </w: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a Índia)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07676D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América</w:t>
            </w:r>
            <w:r>
              <w:rPr>
                <w:rFonts w:ascii="Arial" w:hAnsi="Arial"/>
                <w:color w:val="000000"/>
                <w:sz w:val="16"/>
                <w:szCs w:val="18"/>
                <w:u w:color="000000"/>
                <w:lang w:val="pt"/>
              </w:rPr>
              <w:br/>
            </w:r>
            <w:r>
              <w:rPr>
                <w:rFonts w:ascii="Arial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do Sul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177D84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África/Índia/ Médio Oriente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36FE47" w14:textId="77777777" w:rsidR="00833A90" w:rsidRPr="00183B99" w:rsidRDefault="00833A90" w:rsidP="00B22E49">
            <w:pPr>
              <w:spacing w:line="270" w:lineRule="atLeast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b/>
                <w:bCs/>
                <w:color w:val="000000"/>
                <w:sz w:val="16"/>
                <w:szCs w:val="18"/>
                <w:u w:color="000000"/>
                <w:lang w:val="pt"/>
              </w:rPr>
              <w:t>Total</w:t>
            </w:r>
          </w:p>
        </w:tc>
      </w:tr>
      <w:tr w:rsidR="00FD6D02" w:rsidRPr="00183B99" w14:paraId="762C716D" w14:textId="77777777" w:rsidTr="00515B68">
        <w:trPr>
          <w:cantSplit/>
          <w:trHeight w:val="6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89D198" w14:textId="77777777" w:rsidR="00FD6D02" w:rsidRPr="00183B99" w:rsidRDefault="00FD6D02" w:rsidP="00BB34FD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Primeiros Equipamentos</w:t>
            </w:r>
          </w:p>
          <w:p w14:paraId="453A9793" w14:textId="77777777" w:rsidR="00FD6D02" w:rsidRPr="00183B99" w:rsidRDefault="00FD6D02" w:rsidP="00B22E49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D5B6B2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68CEB1C3" w14:textId="77777777" w:rsidR="00FD6D02" w:rsidRPr="00183B99" w:rsidRDefault="00FD6D02" w:rsidP="00B22E49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-0%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8683A5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2F7529CF" w14:textId="77777777" w:rsidR="00FD6D02" w:rsidRPr="00183B99" w:rsidRDefault="00FD6D02" w:rsidP="00B22E49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-1 %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D1AE03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530D6B53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- 21%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DB3EDF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2A07C42F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+2%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FE0A62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5AE0F3C4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- 6%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F49FD1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7DA3C0D5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299628" w14:textId="77777777" w:rsidR="00FD6D02" w:rsidRPr="00183B99" w:rsidRDefault="00FD6D02" w:rsidP="00543ABE">
            <w:pPr>
              <w:pStyle w:val="TableParagraph"/>
              <w:spacing w:before="9"/>
              <w:jc w:val="left"/>
              <w:rPr>
                <w:rFonts w:ascii="Verdana" w:hAnsi="Verdana" w:cs="Arial"/>
                <w:sz w:val="20"/>
              </w:rPr>
            </w:pPr>
          </w:p>
          <w:p w14:paraId="6C7240CA" w14:textId="77777777" w:rsidR="00FD6D02" w:rsidRPr="00183B99" w:rsidRDefault="00FD6D02" w:rsidP="00FD6D02">
            <w:pPr>
              <w:keepNext/>
              <w:tabs>
                <w:tab w:val="left" w:pos="1168"/>
              </w:tabs>
              <w:ind w:right="-108"/>
              <w:jc w:val="center"/>
              <w:rPr>
                <w:rFonts w:ascii="Verdana" w:eastAsia="MS Mincho" w:hAnsi="Verdana" w:cs="Arial"/>
                <w:b/>
                <w:snapToGrid w:val="0"/>
                <w:sz w:val="16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-3%</w:t>
            </w:r>
          </w:p>
        </w:tc>
      </w:tr>
      <w:tr w:rsidR="00FD6D02" w:rsidRPr="00183B99" w14:paraId="799312EB" w14:textId="77777777" w:rsidTr="00BB34FD">
        <w:trPr>
          <w:cantSplit/>
          <w:trHeight w:val="20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08601B" w14:textId="77777777" w:rsidR="00FD6D02" w:rsidRPr="00183B99" w:rsidRDefault="00FD6D02" w:rsidP="00B22E49">
            <w:pPr>
              <w:jc w:val="center"/>
              <w:outlineLvl w:val="0"/>
              <w:rPr>
                <w:rFonts w:ascii="Arial" w:eastAsia="Arial Unicode MS" w:hAnsi="Arial Unicode MS"/>
                <w:color w:val="000000"/>
                <w:sz w:val="16"/>
                <w:szCs w:val="18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16"/>
                <w:szCs w:val="18"/>
                <w:u w:color="000000"/>
                <w:lang w:val="pt"/>
              </w:rPr>
              <w:cr/>
              <w:t>Substituição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5BA8E0" w14:textId="77777777" w:rsidR="00FD6D02" w:rsidRPr="00183B99" w:rsidRDefault="00FD6D02" w:rsidP="00B22E49">
            <w:pPr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+3%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6A74A2" w14:textId="77777777" w:rsidR="00FD6D02" w:rsidRPr="00183B99" w:rsidRDefault="00FD6D02" w:rsidP="00B22E49">
            <w:pPr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+1%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097433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- 7%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BB7A0E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- 4%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464767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+0%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2DE580" w14:textId="77777777" w:rsidR="00FD6D02" w:rsidRPr="00183B99" w:rsidRDefault="00FD6D02" w:rsidP="00B22E49">
            <w:pPr>
              <w:keepNext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-1 %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CA4A58" w14:textId="77777777" w:rsidR="00FD6D02" w:rsidRPr="00183B99" w:rsidRDefault="00FD6D02" w:rsidP="00FD6D02">
            <w:pPr>
              <w:pStyle w:val="TableParagraph"/>
              <w:spacing w:before="9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bCs/>
                <w:sz w:val="16"/>
                <w:lang w:val="pt"/>
              </w:rPr>
              <w:t>-3%</w:t>
            </w:r>
          </w:p>
        </w:tc>
      </w:tr>
    </w:tbl>
    <w:p w14:paraId="1A49B25E" w14:textId="77777777" w:rsidR="00833A90" w:rsidRPr="00183B99" w:rsidRDefault="00833A90" w:rsidP="00833A9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color w:val="000000"/>
          <w:sz w:val="14"/>
          <w:u w:color="000000"/>
        </w:rPr>
      </w:pPr>
      <w:r>
        <w:rPr>
          <w:rFonts w:ascii="Arial" w:eastAsia="Arial Unicode MS" w:hAnsi="Arial Unicode MS"/>
          <w:color w:val="000000"/>
          <w:sz w:val="14"/>
          <w:u w:color="000000"/>
          <w:lang w:val="pt"/>
        </w:rPr>
        <w:t>*Incluindo a Turquia</w:t>
      </w:r>
    </w:p>
    <w:p w14:paraId="184C7055" w14:textId="77777777" w:rsidR="00833A90" w:rsidRPr="00BB34FD" w:rsidRDefault="006D4DA5" w:rsidP="00BB34FD">
      <w:pPr>
        <w:spacing w:after="240" w:line="270" w:lineRule="atLeast"/>
        <w:jc w:val="both"/>
        <w:outlineLvl w:val="0"/>
        <w:rPr>
          <w:rFonts w:ascii="Arial" w:eastAsia="Arial Unicode MS" w:hAnsi="Arial"/>
          <w:color w:val="000000"/>
          <w:sz w:val="14"/>
          <w:u w:color="000000"/>
        </w:rPr>
      </w:pPr>
      <w:r>
        <w:rPr>
          <w:rFonts w:ascii="Arial" w:eastAsia="Arial Unicode MS" w:hAnsi="Arial Unicode MS"/>
          <w:color w:val="000000"/>
          <w:sz w:val="14"/>
          <w:u w:color="000000"/>
          <w:lang w:val="pt"/>
        </w:rPr>
        <w:t>*Incluindo a Turquia</w:t>
      </w:r>
    </w:p>
    <w:p w14:paraId="477E187D" w14:textId="77777777" w:rsidR="00CD5638" w:rsidRPr="00183B99" w:rsidRDefault="00CD5638" w:rsidP="0080515C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/>
          <w:color w:val="000000"/>
          <w:sz w:val="20"/>
          <w:u w:color="000000"/>
          <w:lang w:val="pt"/>
        </w:rPr>
        <w:t>O mercado mundial de pneus para Cami</w:t>
      </w:r>
      <w:r>
        <w:rPr>
          <w:rFonts w:ascii="Arial"/>
          <w:color w:val="000000"/>
          <w:sz w:val="20"/>
          <w:u w:color="000000"/>
          <w:lang w:val="pt"/>
        </w:rPr>
        <w:t>õ</w:t>
      </w:r>
      <w:r>
        <w:rPr>
          <w:rFonts w:ascii="Arial"/>
          <w:color w:val="000000"/>
          <w:sz w:val="20"/>
          <w:u w:color="000000"/>
          <w:lang w:val="pt"/>
        </w:rPr>
        <w:t>es novos, Primeiros Equipamentos e Substitui</w:t>
      </w:r>
      <w:r>
        <w:rPr>
          <w:rFonts w:ascii="Arial"/>
          <w:color w:val="000000"/>
          <w:sz w:val="20"/>
          <w:u w:color="000000"/>
          <w:lang w:val="pt"/>
        </w:rPr>
        <w:t>çã</w:t>
      </w:r>
      <w:r>
        <w:rPr>
          <w:rFonts w:ascii="Arial"/>
          <w:color w:val="000000"/>
          <w:sz w:val="20"/>
          <w:u w:color="000000"/>
          <w:lang w:val="pt"/>
        </w:rPr>
        <w:t>o reduziu-se 2% em unidades no fim de setembro de 2016. Os mercados de recauchutado tamb</w:t>
      </w:r>
      <w:r>
        <w:rPr>
          <w:rFonts w:ascii="Arial"/>
          <w:color w:val="000000"/>
          <w:sz w:val="20"/>
          <w:u w:color="000000"/>
          <w:lang w:val="pt"/>
        </w:rPr>
        <w:t>é</w:t>
      </w:r>
      <w:r>
        <w:rPr>
          <w:rFonts w:ascii="Arial"/>
          <w:color w:val="000000"/>
          <w:sz w:val="20"/>
          <w:u w:color="000000"/>
          <w:lang w:val="pt"/>
        </w:rPr>
        <w:t>m diminu</w:t>
      </w:r>
      <w:r>
        <w:rPr>
          <w:rFonts w:ascii="Arial"/>
          <w:color w:val="000000"/>
          <w:sz w:val="20"/>
          <w:u w:color="000000"/>
          <w:lang w:val="pt"/>
        </w:rPr>
        <w:t>í</w:t>
      </w:r>
      <w:r>
        <w:rPr>
          <w:rFonts w:ascii="Arial"/>
          <w:color w:val="000000"/>
          <w:sz w:val="20"/>
          <w:u w:color="000000"/>
          <w:lang w:val="pt"/>
        </w:rPr>
        <w:t>ram, sobretudo na Europa.</w:t>
      </w:r>
      <w:r>
        <w:rPr>
          <w:rFonts w:ascii="Arial" w:hAnsi="Arial"/>
          <w:sz w:val="18"/>
          <w:szCs w:val="20"/>
          <w:lang w:val="pt"/>
        </w:rPr>
        <w:t xml:space="preserve"> </w:t>
      </w:r>
    </w:p>
    <w:p w14:paraId="4B7E424F" w14:textId="77777777" w:rsidR="00387E1B" w:rsidRPr="00183B99" w:rsidRDefault="00DD4DB4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b/>
          <w:bCs/>
          <w:lang w:val="pt"/>
        </w:rPr>
        <w:tab/>
      </w:r>
    </w:p>
    <w:p w14:paraId="45C2B4CE" w14:textId="77777777" w:rsidR="000646AE" w:rsidRPr="00183B99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"/>
          <w:b/>
          <w:color w:val="000000"/>
          <w:u w:color="000000"/>
        </w:rPr>
      </w:pP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Primeiros Equipamentos</w:t>
      </w:r>
    </w:p>
    <w:p w14:paraId="599F1016" w14:textId="77777777" w:rsidR="008C21D8" w:rsidRPr="00183B99" w:rsidRDefault="008C21D8" w:rsidP="008C21D8">
      <w:pPr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4639003F" w14:textId="77777777" w:rsidR="009341AD" w:rsidRPr="00183B99" w:rsidRDefault="004112FB" w:rsidP="00BB34FD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  <w:lang w:val="pt"/>
        </w:rPr>
        <w:t>Mercado em crescimento sustentado na Europa Ocidental (+4%) e em aumento na Europa do Leste (+3%).</w:t>
      </w:r>
    </w:p>
    <w:p w14:paraId="13CB4C14" w14:textId="77777777" w:rsidR="009341AD" w:rsidRPr="00183B99" w:rsidRDefault="004112FB" w:rsidP="00BB34FD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Procura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Norte afetada pelo reajustamento das frotas de cami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es, como se esperava.</w:t>
      </w:r>
    </w:p>
    <w:p w14:paraId="793250E9" w14:textId="77777777" w:rsidR="009341AD" w:rsidRPr="00183B99" w:rsidRDefault="00DC4FFE" w:rsidP="00BB34FD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Mercado a subir bastante na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ndia (+12%) e estabiliza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da procura na China (+3%).</w:t>
      </w:r>
    </w:p>
    <w:p w14:paraId="1A56FCF3" w14:textId="77777777" w:rsidR="009341AD" w:rsidRDefault="00E57A4D" w:rsidP="00BB34FD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No Brasil, mercado em contra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de 21% num contexto econ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ó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mico dif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cil.</w:t>
      </w:r>
    </w:p>
    <w:p w14:paraId="1632A4F6" w14:textId="77777777" w:rsidR="00BB34FD" w:rsidRPr="00183B99" w:rsidRDefault="00BB34FD" w:rsidP="00BB34FD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2FEF2B10" w14:textId="77777777" w:rsidR="00582348" w:rsidRPr="00183B99" w:rsidRDefault="000646AE" w:rsidP="000212B0">
      <w:pPr>
        <w:tabs>
          <w:tab w:val="left" w:pos="360"/>
        </w:tabs>
        <w:spacing w:line="270" w:lineRule="atLeast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Substituição</w:t>
      </w:r>
    </w:p>
    <w:p w14:paraId="0553D969" w14:textId="77777777" w:rsidR="00582348" w:rsidRPr="00183B99" w:rsidRDefault="00582348" w:rsidP="00582348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7CC84764" w14:textId="77777777" w:rsidR="00582348" w:rsidRPr="00BB34FD" w:rsidRDefault="00151B90" w:rsidP="00405DEA">
      <w:pPr>
        <w:numPr>
          <w:ilvl w:val="1"/>
          <w:numId w:val="17"/>
        </w:numPr>
        <w:tabs>
          <w:tab w:val="clear" w:pos="1772"/>
        </w:tabs>
        <w:spacing w:before="100" w:beforeAutospacing="1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mercado da Europa Ocidental cresce 4% no fim de setembro, animado pela evolu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dos fretes (toneladas/km) e das importa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de pneus de low cost que competem com os pneus recauchutados. Aumento consider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vel da procura na 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ú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ssia (+11% no fim de setembro) e na Ucr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â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nia.</w:t>
      </w:r>
    </w:p>
    <w:p w14:paraId="2A67B4A6" w14:textId="77777777" w:rsidR="00813AD8" w:rsidRPr="00BB34FD" w:rsidRDefault="00613DC2" w:rsidP="00405DEA">
      <w:pPr>
        <w:numPr>
          <w:ilvl w:val="1"/>
          <w:numId w:val="17"/>
        </w:numPr>
        <w:tabs>
          <w:tab w:val="clear" w:pos="1772"/>
        </w:tabs>
        <w:spacing w:before="100" w:beforeAutospacing="1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Norte a procura v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-se penalizada no terceiro trimestre (- 7%) devido ao adiantamento das compras antes do ver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pelo an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ú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ncio dos novas taxas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à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 importa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de pneus da China.</w:t>
      </w:r>
    </w:p>
    <w:p w14:paraId="678A1EBE" w14:textId="77777777" w:rsidR="00405DEA" w:rsidRPr="00405DEA" w:rsidRDefault="00BD716E" w:rsidP="00405DEA">
      <w:pPr>
        <w:numPr>
          <w:ilvl w:val="1"/>
          <w:numId w:val="17"/>
        </w:numPr>
        <w:tabs>
          <w:tab w:val="clear" w:pos="1772"/>
        </w:tabs>
        <w:spacing w:before="100" w:beforeAutospacing="1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Continua a queda na China (- 6% nos nove meses e - 4% no terceiro trimestre), num ambiente econ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ó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mico menos favor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vel, enquanto as empresas de transporte continuam a procurar competitividade. </w:t>
      </w:r>
    </w:p>
    <w:p w14:paraId="38CA4214" w14:textId="77777777" w:rsidR="00D10B30" w:rsidRDefault="002D562D" w:rsidP="00405DEA">
      <w:pPr>
        <w:numPr>
          <w:ilvl w:val="1"/>
          <w:numId w:val="17"/>
        </w:numPr>
        <w:tabs>
          <w:tab w:val="clear" w:pos="1772"/>
        </w:tabs>
        <w:spacing w:before="100" w:beforeAutospacing="1"/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  <w:lang w:val="pt"/>
        </w:rPr>
        <w:t>No Brasil, a procura continua estável (+1% nos nove meses) em níveis baixos.</w:t>
      </w:r>
    </w:p>
    <w:p w14:paraId="4255D80D" w14:textId="77777777" w:rsidR="00BB34FD" w:rsidRPr="00BB34FD" w:rsidRDefault="00BB34FD" w:rsidP="00BB34FD">
      <w:pPr>
        <w:ind w:left="1134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724E3BF1" w14:textId="77777777" w:rsidR="00DF6CC2" w:rsidRPr="00183B99" w:rsidRDefault="00E97FC6" w:rsidP="00DD4DB4">
      <w:pPr>
        <w:spacing w:before="480" w:after="240" w:line="270" w:lineRule="atLeast"/>
        <w:ind w:firstLine="332"/>
        <w:outlineLvl w:val="0"/>
        <w:rPr>
          <w:rFonts w:eastAsia="Arial Unicode MS" w:hAnsi="Arial Unicode MS"/>
          <w:b/>
          <w:color w:val="000000"/>
          <w:u w:color="000000"/>
        </w:rPr>
      </w:pPr>
      <w:r>
        <w:rPr>
          <w:rFonts w:eastAsia="Arial Unicode MS"/>
          <w:b/>
          <w:bCs/>
          <w:color w:val="000000"/>
          <w:u w:color="000000"/>
          <w:lang w:val="pt"/>
        </w:rPr>
        <w:br w:type="column"/>
      </w:r>
      <w:r w:rsidR="000646AE">
        <w:rPr>
          <w:rFonts w:eastAsia="Arial Unicode MS"/>
          <w:b/>
          <w:bCs/>
          <w:color w:val="000000"/>
          <w:u w:color="000000"/>
          <w:lang w:val="pt"/>
        </w:rPr>
        <w:lastRenderedPageBreak/>
        <w:t>Pneus de especialidades</w:t>
      </w:r>
    </w:p>
    <w:p w14:paraId="3E5E88DB" w14:textId="77777777" w:rsidR="005D7415" w:rsidRPr="00183B99" w:rsidRDefault="000646AE" w:rsidP="00532144">
      <w:pPr>
        <w:numPr>
          <w:ilvl w:val="0"/>
          <w:numId w:val="9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/>
          <w:b/>
          <w:bCs/>
          <w:color w:val="000000"/>
          <w:sz w:val="20"/>
          <w:u w:color="000000"/>
          <w:lang w:val="pt"/>
        </w:rPr>
        <w:t>Engenharia civil:</w:t>
      </w:r>
      <w:r>
        <w:rPr>
          <w:rFonts w:ascii="Arial" w:eastAsia="Arial Unicode MS"/>
          <w:color w:val="000000"/>
          <w:sz w:val="20"/>
          <w:u w:color="000000"/>
          <w:lang w:val="pt"/>
        </w:rPr>
        <w:t xml:space="preserve"> O mercado de pneus para minar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i</w:t>
      </w:r>
      <w:r>
        <w:rPr>
          <w:rFonts w:ascii="Arial" w:eastAsia="Arial Unicode MS"/>
          <w:color w:val="000000"/>
          <w:sz w:val="20"/>
          <w:u w:color="000000"/>
          <w:lang w:val="pt"/>
        </w:rPr>
        <w:t xml:space="preserve">a desce significativamente por terceiro ano consecutivo, </w:t>
      </w:r>
      <w:r>
        <w:rPr>
          <w:rFonts w:ascii="Arial" w:eastAsia="Arial Unicode MS"/>
          <w:sz w:val="20"/>
          <w:u w:color="000000"/>
          <w:lang w:val="pt"/>
        </w:rPr>
        <w:t>penalizado pela diminui</w:t>
      </w:r>
      <w:r>
        <w:rPr>
          <w:rFonts w:ascii="Arial" w:eastAsia="Arial Unicode MS"/>
          <w:sz w:val="20"/>
          <w:u w:color="000000"/>
          <w:lang w:val="pt"/>
        </w:rPr>
        <w:t>çã</w:t>
      </w:r>
      <w:r>
        <w:rPr>
          <w:rFonts w:ascii="Arial" w:eastAsia="Arial Unicode MS"/>
          <w:sz w:val="20"/>
          <w:u w:color="000000"/>
          <w:lang w:val="pt"/>
        </w:rPr>
        <w:t>o dos stocks nas minas, num contexto econ</w:t>
      </w:r>
      <w:r>
        <w:rPr>
          <w:rFonts w:ascii="Arial" w:eastAsia="Arial Unicode MS" w:hAnsi="Arial Unicode MS"/>
          <w:sz w:val="20"/>
          <w:u w:color="000000"/>
          <w:lang w:val="pt"/>
        </w:rPr>
        <w:t>ó</w:t>
      </w:r>
      <w:r>
        <w:rPr>
          <w:rFonts w:ascii="Arial" w:eastAsia="Arial Unicode MS"/>
          <w:sz w:val="20"/>
          <w:u w:color="000000"/>
          <w:lang w:val="pt"/>
        </w:rPr>
        <w:t>mico estabilizado. Este fen</w:t>
      </w:r>
      <w:r>
        <w:rPr>
          <w:rFonts w:ascii="Arial" w:eastAsia="Arial Unicode MS" w:hAnsi="Arial Unicode MS"/>
          <w:sz w:val="20"/>
          <w:u w:color="000000"/>
          <w:lang w:val="pt"/>
        </w:rPr>
        <w:t>ó</w:t>
      </w:r>
      <w:r>
        <w:rPr>
          <w:rFonts w:ascii="Arial" w:eastAsia="Arial Unicode MS"/>
          <w:sz w:val="20"/>
          <w:u w:color="000000"/>
          <w:lang w:val="pt"/>
        </w:rPr>
        <w:t>meno de redu</w:t>
      </w:r>
      <w:r>
        <w:rPr>
          <w:rFonts w:ascii="Arial" w:eastAsia="Arial Unicode MS"/>
          <w:sz w:val="20"/>
          <w:u w:color="000000"/>
          <w:lang w:val="pt"/>
        </w:rPr>
        <w:t>çã</w:t>
      </w:r>
      <w:r>
        <w:rPr>
          <w:rFonts w:ascii="Arial" w:eastAsia="Arial Unicode MS"/>
          <w:sz w:val="20"/>
          <w:u w:color="000000"/>
          <w:lang w:val="pt"/>
        </w:rPr>
        <w:t>o de stock dever</w:t>
      </w:r>
      <w:r>
        <w:rPr>
          <w:rFonts w:ascii="Arial" w:eastAsia="Arial Unicode MS" w:hAnsi="Arial Unicode MS"/>
          <w:sz w:val="20"/>
          <w:u w:color="000000"/>
          <w:lang w:val="pt"/>
        </w:rPr>
        <w:t>ia</w:t>
      </w:r>
      <w:r>
        <w:rPr>
          <w:rFonts w:ascii="Arial" w:eastAsia="Arial Unicode MS"/>
          <w:sz w:val="20"/>
          <w:u w:color="000000"/>
          <w:lang w:val="pt"/>
        </w:rPr>
        <w:t xml:space="preserve"> terminar no fim do ano</w:t>
      </w:r>
    </w:p>
    <w:p w14:paraId="4BB52096" w14:textId="77777777" w:rsidR="005D54B7" w:rsidRPr="00183B99" w:rsidRDefault="00055CB4" w:rsidP="005D54B7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mercados de Primeiros Equipamentos caem nas zonas maduras devido a uma procura fraca. O mercado chin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 tamb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 desce este ano depois de um forte crescimento em 2015.</w:t>
      </w:r>
    </w:p>
    <w:p w14:paraId="7EAFEAF6" w14:textId="77777777" w:rsidR="00262732" w:rsidRPr="00183B99" w:rsidRDefault="00262732" w:rsidP="00262732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mercados de pneus para infraestruturas e pedreiras est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em contra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o, sofrendo a situa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do ritmo de espera da distribui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o.</w:t>
      </w:r>
    </w:p>
    <w:p w14:paraId="3DD5E2B8" w14:textId="77777777" w:rsidR="00264A0F" w:rsidRPr="00183B99" w:rsidRDefault="000646AE" w:rsidP="00E02CCB">
      <w:pPr>
        <w:numPr>
          <w:ilvl w:val="0"/>
          <w:numId w:val="9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 xml:space="preserve">Agricultura: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Animado pelos tratores de pequena pot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ncia, o mercado de Primeiros Equipamentos teve uma ligeira recupera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nos pa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ses maduros, depois de uma grande queda em 2015. No terceiro trimestre tiveram uma acentuada queda.</w:t>
      </w:r>
    </w:p>
    <w:p w14:paraId="5167705A" w14:textId="77777777" w:rsidR="008030CA" w:rsidRPr="00183B99" w:rsidRDefault="00264A0F" w:rsidP="008030CA">
      <w:pPr>
        <w:tabs>
          <w:tab w:val="left" w:pos="360"/>
        </w:tabs>
        <w:spacing w:after="120" w:line="270" w:lineRule="atLeast"/>
        <w:ind w:left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mercado de Substitui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desceu globalmente nos pa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ses maduros, afetados pelos baixos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dos produtos agr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colas.</w:t>
      </w:r>
    </w:p>
    <w:p w14:paraId="084E1FCA" w14:textId="77777777" w:rsidR="006B6BAA" w:rsidRPr="00183B99" w:rsidRDefault="000646AE" w:rsidP="006B6BAA">
      <w:pPr>
        <w:numPr>
          <w:ilvl w:val="0"/>
          <w:numId w:val="9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Duas rodas: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Os mercados de Moto registaram um crescimento na Europa por quarto ano consecutivo devido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à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subida das compras da distribui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o. Descem significativamente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Norte, enquanto os mercados emergentes permanecem globalmente bem orientados.</w:t>
      </w:r>
    </w:p>
    <w:p w14:paraId="38263BDC" w14:textId="77777777" w:rsidR="00D67E4D" w:rsidRPr="00183B99" w:rsidRDefault="000646AE" w:rsidP="004955C1">
      <w:pPr>
        <w:numPr>
          <w:ilvl w:val="0"/>
          <w:numId w:val="9"/>
        </w:numPr>
        <w:tabs>
          <w:tab w:val="left" w:pos="360"/>
        </w:tabs>
        <w:spacing w:after="120" w:line="270" w:lineRule="atLeast"/>
        <w:ind w:hanging="332"/>
        <w:jc w:val="both"/>
        <w:outlineLvl w:val="0"/>
        <w:rPr>
          <w:rFonts w:ascii="Arial" w:eastAsia="Arial Unicode MS" w:hAnsi="Arial"/>
          <w:color w:val="000000"/>
          <w:u w:color="000000"/>
        </w:rPr>
      </w:pPr>
      <w:r>
        <w:rPr>
          <w:rFonts w:ascii="Arial" w:eastAsia="Arial Unicode MS"/>
          <w:b/>
          <w:bCs/>
          <w:color w:val="000000"/>
          <w:sz w:val="20"/>
          <w:u w:color="000000"/>
          <w:lang w:val="pt"/>
        </w:rPr>
        <w:t>Avi</w:t>
      </w: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ã</w:t>
      </w:r>
      <w:r>
        <w:rPr>
          <w:rFonts w:ascii="Arial" w:eastAsia="Arial Unicode MS"/>
          <w:b/>
          <w:bCs/>
          <w:color w:val="000000"/>
          <w:sz w:val="20"/>
          <w:u w:color="000000"/>
          <w:lang w:val="pt"/>
        </w:rPr>
        <w:t>o:</w:t>
      </w:r>
      <w:r>
        <w:rPr>
          <w:rFonts w:ascii="Arial" w:eastAsia="Arial Unicode MS"/>
          <w:color w:val="000000"/>
          <w:sz w:val="20"/>
          <w:u w:color="000000"/>
          <w:lang w:val="pt"/>
        </w:rPr>
        <w:t xml:space="preserve"> O mercado de pneus para avi</w:t>
      </w:r>
      <w:r>
        <w:rPr>
          <w:rFonts w:ascii="Arial" w:eastAsia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/>
          <w:color w:val="000000"/>
          <w:sz w:val="20"/>
          <w:u w:color="000000"/>
          <w:lang w:val="pt"/>
        </w:rPr>
        <w:t>es comerciais continua o seu crescimento, impulsionado pelo aumento no tr</w:t>
      </w:r>
      <w:r>
        <w:rPr>
          <w:rFonts w:ascii="Arial" w:eastAsia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/>
          <w:color w:val="000000"/>
          <w:sz w:val="20"/>
          <w:u w:color="000000"/>
          <w:lang w:val="pt"/>
        </w:rPr>
        <w:t>fego de passageiros.</w:t>
      </w:r>
    </w:p>
    <w:p w14:paraId="2DD33898" w14:textId="77777777" w:rsidR="000646AE" w:rsidRPr="00183B99" w:rsidRDefault="000646AE" w:rsidP="00B619F7">
      <w:pPr>
        <w:spacing w:after="240" w:line="360" w:lineRule="exact"/>
        <w:ind w:left="332"/>
        <w:outlineLvl w:val="0"/>
        <w:rPr>
          <w:rFonts w:eastAsia="Arial Unicode MS"/>
          <w:b/>
          <w:color w:val="333399"/>
          <w:sz w:val="36"/>
          <w:u w:color="333399"/>
        </w:rPr>
      </w:pPr>
      <w:r>
        <w:rPr>
          <w:rFonts w:eastAsia="Arial Unicode MS"/>
          <w:color w:val="333399"/>
          <w:sz w:val="36"/>
          <w:u w:color="333399"/>
          <w:lang w:val="pt"/>
        </w:rPr>
        <w:br w:type="column"/>
      </w:r>
      <w:r>
        <w:rPr>
          <w:rFonts w:eastAsia="Arial Unicode MS"/>
          <w:b/>
          <w:bCs/>
          <w:color w:val="333399"/>
          <w:sz w:val="36"/>
          <w:u w:color="333399"/>
          <w:lang w:val="pt"/>
        </w:rPr>
        <w:lastRenderedPageBreak/>
        <w:t>Vendas líquidas da Michelin</w:t>
      </w:r>
    </w:p>
    <w:p w14:paraId="1B2EF89C" w14:textId="77777777" w:rsidR="000C7DC3" w:rsidRPr="00183B99" w:rsidRDefault="000C7DC3" w:rsidP="000C7DC3">
      <w:pPr>
        <w:spacing w:before="480" w:after="120" w:line="270" w:lineRule="atLeast"/>
        <w:ind w:firstLine="332"/>
        <w:outlineLvl w:val="0"/>
        <w:rPr>
          <w:rFonts w:eastAsia="Arial Unicode MS" w:hAnsi="Arial Unicode MS"/>
          <w:b/>
          <w:color w:val="000000"/>
          <w:u w:color="000000"/>
        </w:rPr>
      </w:pPr>
      <w:r>
        <w:rPr>
          <w:rFonts w:eastAsia="Arial Unicode MS"/>
          <w:b/>
          <w:bCs/>
          <w:color w:val="000000"/>
          <w:u w:color="000000"/>
          <w:lang w:val="pt"/>
        </w:rPr>
        <w:t>Evolução global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417"/>
        <w:gridCol w:w="1276"/>
        <w:gridCol w:w="1418"/>
      </w:tblGrid>
      <w:tr w:rsidR="000C7DC3" w:rsidRPr="00183B99" w14:paraId="776619BA" w14:textId="77777777" w:rsidTr="0060216D">
        <w:trPr>
          <w:trHeight w:val="433"/>
          <w:jc w:val="center"/>
        </w:trPr>
        <w:tc>
          <w:tcPr>
            <w:tcW w:w="3510" w:type="dxa"/>
            <w:shd w:val="clear" w:color="auto" w:fill="E6E6E6"/>
          </w:tcPr>
          <w:p w14:paraId="740446E5" w14:textId="77777777" w:rsidR="000C7DC3" w:rsidRPr="00183B99" w:rsidRDefault="000C7DC3" w:rsidP="0060216D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0"/>
                <w:szCs w:val="18"/>
                <w:lang w:val="pt"/>
              </w:rPr>
              <w:t>(milhões de euros)</w:t>
            </w:r>
          </w:p>
        </w:tc>
        <w:tc>
          <w:tcPr>
            <w:tcW w:w="2835" w:type="dxa"/>
            <w:gridSpan w:val="2"/>
            <w:shd w:val="clear" w:color="auto" w:fill="E6E6E6"/>
          </w:tcPr>
          <w:p w14:paraId="6320B14E" w14:textId="77777777" w:rsidR="000C7DC3" w:rsidRPr="00183B99" w:rsidRDefault="000C7DC3" w:rsidP="0060216D">
            <w:pPr>
              <w:tabs>
                <w:tab w:val="left" w:pos="360"/>
              </w:tabs>
              <w:jc w:val="center"/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Arial" w:hAnsi="Arial" w:cs="Arial"/>
                <w:sz w:val="20"/>
                <w:szCs w:val="18"/>
                <w:lang w:val="pt"/>
              </w:rPr>
              <w:t>3º trimestre 2016</w:t>
            </w:r>
          </w:p>
          <w:p w14:paraId="783EEFC0" w14:textId="77777777" w:rsidR="000C7DC3" w:rsidRPr="00183B99" w:rsidRDefault="000C7DC3" w:rsidP="0060216D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smallCaps/>
                <w:sz w:val="16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E6E6E6"/>
          </w:tcPr>
          <w:p w14:paraId="2180809A" w14:textId="77777777" w:rsidR="000C7DC3" w:rsidRPr="00183B99" w:rsidRDefault="000C7DC3" w:rsidP="0060216D">
            <w:pPr>
              <w:tabs>
                <w:tab w:val="left" w:pos="360"/>
              </w:tabs>
              <w:jc w:val="center"/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Arial" w:hAnsi="Arial" w:cs="Arial"/>
                <w:sz w:val="20"/>
                <w:szCs w:val="18"/>
                <w:lang w:val="pt"/>
              </w:rPr>
              <w:t>Nove primeiros meses 2016</w:t>
            </w:r>
          </w:p>
          <w:p w14:paraId="59D2647E" w14:textId="77777777" w:rsidR="000C7DC3" w:rsidRPr="00183B99" w:rsidRDefault="000C7DC3" w:rsidP="0060216D">
            <w:pPr>
              <w:tabs>
                <w:tab w:val="left" w:pos="360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0C7DC3" w:rsidRPr="00183B99" w14:paraId="12273595" w14:textId="77777777" w:rsidTr="0060216D">
        <w:trPr>
          <w:jc w:val="center"/>
        </w:trPr>
        <w:tc>
          <w:tcPr>
            <w:tcW w:w="3510" w:type="dxa"/>
          </w:tcPr>
          <w:p w14:paraId="22F5DA40" w14:textId="77777777" w:rsidR="000C7DC3" w:rsidRPr="00183B99" w:rsidRDefault="000C7DC3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eastAsia="Times New Roman" w:hAnsi="Arial" w:cs="Arial"/>
                <w:b w:val="0"/>
                <w:smallCaps/>
                <w:sz w:val="20"/>
                <w:szCs w:val="18"/>
                <w:lang w:val="pt"/>
              </w:rPr>
              <w:t xml:space="preserve">VENDAS LÍQUIDAS </w:t>
            </w:r>
          </w:p>
        </w:tc>
        <w:tc>
          <w:tcPr>
            <w:tcW w:w="2835" w:type="dxa"/>
            <w:gridSpan w:val="2"/>
          </w:tcPr>
          <w:p w14:paraId="4CC28F75" w14:textId="77777777" w:rsidR="000C7DC3" w:rsidRPr="00183B99" w:rsidRDefault="000C7DC3" w:rsidP="000C7DC3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5.179</w:t>
            </w:r>
          </w:p>
        </w:tc>
        <w:tc>
          <w:tcPr>
            <w:tcW w:w="2694" w:type="dxa"/>
            <w:gridSpan w:val="2"/>
          </w:tcPr>
          <w:p w14:paraId="5F065CE9" w14:textId="77777777" w:rsidR="000C7DC3" w:rsidRPr="00183B99" w:rsidRDefault="000C7DC3" w:rsidP="000C7DC3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15.471</w:t>
            </w:r>
          </w:p>
        </w:tc>
      </w:tr>
      <w:tr w:rsidR="000C7DC3" w:rsidRPr="00183B99" w14:paraId="7AFD6EBA" w14:textId="77777777" w:rsidTr="0060216D">
        <w:trPr>
          <w:jc w:val="center"/>
        </w:trPr>
        <w:tc>
          <w:tcPr>
            <w:tcW w:w="3510" w:type="dxa"/>
          </w:tcPr>
          <w:p w14:paraId="053F4DEE" w14:textId="77777777" w:rsidR="000C7DC3" w:rsidRPr="00183B99" w:rsidRDefault="000C7DC3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  <w:p w14:paraId="689D4ACC" w14:textId="77777777" w:rsidR="000C7DC3" w:rsidRPr="00183B99" w:rsidRDefault="000C7DC3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2835" w:type="dxa"/>
            <w:gridSpan w:val="2"/>
          </w:tcPr>
          <w:p w14:paraId="754B5BCF" w14:textId="77777777" w:rsidR="000C7DC3" w:rsidRPr="00183B99" w:rsidRDefault="000C7DC3" w:rsidP="0060216D">
            <w:pPr>
              <w:pStyle w:val="LadilloMichelinDossier"/>
              <w:spacing w:before="0" w:after="0"/>
              <w:jc w:val="center"/>
              <w:rPr>
                <w:rFonts w:ascii="Arial" w:hAnsi="Arial"/>
                <w:b w:val="0"/>
                <w:bCs/>
                <w:sz w:val="18"/>
                <w:szCs w:val="20"/>
              </w:rPr>
            </w:pPr>
            <w:r>
              <w:rPr>
                <w:rFonts w:ascii="Arial" w:hAnsi="Arial"/>
                <w:b w:val="0"/>
                <w:sz w:val="18"/>
                <w:szCs w:val="20"/>
                <w:lang w:val="pt"/>
              </w:rPr>
              <w:t>Variação</w:t>
            </w:r>
          </w:p>
          <w:p w14:paraId="670DFD06" w14:textId="77777777" w:rsidR="000C7DC3" w:rsidRPr="00183B99" w:rsidRDefault="000C7DC3" w:rsidP="000C7DC3">
            <w:pPr>
              <w:pStyle w:val="LadilloMichelinDossier"/>
              <w:spacing w:before="0" w:after="0"/>
              <w:jc w:val="center"/>
              <w:rPr>
                <w:rFonts w:ascii="Arial" w:hAnsi="Arial"/>
                <w:b w:val="0"/>
                <w:bCs/>
                <w:sz w:val="18"/>
                <w:szCs w:val="20"/>
              </w:rPr>
            </w:pPr>
            <w:r>
              <w:rPr>
                <w:rFonts w:ascii="Arial" w:hAnsi="Arial"/>
                <w:b w:val="0"/>
                <w:sz w:val="18"/>
                <w:szCs w:val="20"/>
                <w:lang w:val="pt"/>
              </w:rPr>
              <w:t>T3 2016 / T3 2015</w:t>
            </w:r>
          </w:p>
        </w:tc>
        <w:tc>
          <w:tcPr>
            <w:tcW w:w="2694" w:type="dxa"/>
            <w:gridSpan w:val="2"/>
          </w:tcPr>
          <w:p w14:paraId="1EB0AD84" w14:textId="77777777" w:rsidR="000C7DC3" w:rsidRPr="00183B99" w:rsidRDefault="000C7DC3" w:rsidP="000C7DC3">
            <w:pPr>
              <w:pStyle w:val="LadilloMichelinDossier"/>
              <w:spacing w:before="0" w:after="0"/>
              <w:jc w:val="center"/>
              <w:rPr>
                <w:rFonts w:ascii="Arial" w:hAnsi="Arial"/>
                <w:b w:val="0"/>
                <w:bCs/>
                <w:sz w:val="18"/>
                <w:szCs w:val="20"/>
              </w:rPr>
            </w:pPr>
            <w:r>
              <w:rPr>
                <w:rFonts w:ascii="Arial" w:hAnsi="Arial"/>
                <w:b w:val="0"/>
                <w:sz w:val="18"/>
                <w:szCs w:val="20"/>
                <w:lang w:val="pt"/>
              </w:rPr>
              <w:t xml:space="preserve">Variação </w:t>
            </w:r>
            <w:r>
              <w:rPr>
                <w:rFonts w:ascii="Arial" w:hAnsi="Arial"/>
                <w:b w:val="0"/>
                <w:sz w:val="18"/>
                <w:szCs w:val="20"/>
                <w:lang w:val="pt"/>
              </w:rPr>
              <w:br/>
              <w:t>9 meses 2016 / 2015</w:t>
            </w:r>
          </w:p>
        </w:tc>
      </w:tr>
      <w:tr w:rsidR="00D9308C" w:rsidRPr="00183B99" w14:paraId="13F0D13D" w14:textId="77777777" w:rsidTr="0060216D">
        <w:trPr>
          <w:jc w:val="center"/>
        </w:trPr>
        <w:tc>
          <w:tcPr>
            <w:tcW w:w="3510" w:type="dxa"/>
          </w:tcPr>
          <w:p w14:paraId="678DC43D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sz w:val="18"/>
                <w:lang w:val="pt"/>
              </w:rPr>
              <w:t>Variação total</w:t>
            </w:r>
          </w:p>
          <w:p w14:paraId="44AE3CF0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1418" w:type="dxa"/>
          </w:tcPr>
          <w:p w14:paraId="6B64A8CA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- 131</w:t>
            </w:r>
          </w:p>
        </w:tc>
        <w:tc>
          <w:tcPr>
            <w:tcW w:w="1417" w:type="dxa"/>
          </w:tcPr>
          <w:p w14:paraId="0FAC32EA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- 2,5%</w:t>
            </w:r>
          </w:p>
        </w:tc>
        <w:tc>
          <w:tcPr>
            <w:tcW w:w="1276" w:type="dxa"/>
          </w:tcPr>
          <w:p w14:paraId="5C29F347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- 335</w:t>
            </w:r>
          </w:p>
        </w:tc>
        <w:tc>
          <w:tcPr>
            <w:tcW w:w="1418" w:type="dxa"/>
          </w:tcPr>
          <w:p w14:paraId="5066D471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- 2,1%</w:t>
            </w:r>
          </w:p>
        </w:tc>
      </w:tr>
      <w:tr w:rsidR="00D9308C" w:rsidRPr="00183B99" w14:paraId="437885A6" w14:textId="77777777" w:rsidTr="0060216D">
        <w:trPr>
          <w:jc w:val="center"/>
        </w:trPr>
        <w:tc>
          <w:tcPr>
            <w:tcW w:w="3510" w:type="dxa"/>
          </w:tcPr>
          <w:p w14:paraId="1897D100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sz w:val="18"/>
                <w:lang w:val="pt"/>
              </w:rPr>
              <w:t>Volumes</w:t>
            </w:r>
            <w:r>
              <w:rPr>
                <w:rFonts w:ascii="Arial" w:hAnsi="Arial"/>
                <w:b w:val="0"/>
                <w:color w:val="000000"/>
                <w:sz w:val="18"/>
                <w:szCs w:val="20"/>
                <w:u w:color="000000"/>
                <w:lang w:val="pt"/>
              </w:rPr>
              <w:t>*</w:t>
            </w:r>
          </w:p>
          <w:p w14:paraId="1339BD8D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1418" w:type="dxa"/>
          </w:tcPr>
          <w:p w14:paraId="292987D1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- 50</w:t>
            </w:r>
          </w:p>
        </w:tc>
        <w:tc>
          <w:tcPr>
            <w:tcW w:w="1417" w:type="dxa"/>
          </w:tcPr>
          <w:p w14:paraId="394C1C3E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- 0,9%</w:t>
            </w:r>
          </w:p>
        </w:tc>
        <w:tc>
          <w:tcPr>
            <w:tcW w:w="1276" w:type="dxa"/>
          </w:tcPr>
          <w:p w14:paraId="37E43CA8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+217</w:t>
            </w:r>
          </w:p>
        </w:tc>
        <w:tc>
          <w:tcPr>
            <w:tcW w:w="1418" w:type="dxa"/>
          </w:tcPr>
          <w:p w14:paraId="49F7D378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+1,4%</w:t>
            </w:r>
          </w:p>
        </w:tc>
      </w:tr>
      <w:tr w:rsidR="00D9308C" w:rsidRPr="00183B99" w14:paraId="14C4E74E" w14:textId="77777777" w:rsidTr="0060216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018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sz w:val="18"/>
                <w:lang w:val="pt"/>
              </w:rPr>
              <w:t xml:space="preserve">           Mix/preços</w:t>
            </w:r>
          </w:p>
          <w:p w14:paraId="40F21394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AB6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FB6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98E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E85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- 1,7%</w:t>
            </w:r>
          </w:p>
        </w:tc>
      </w:tr>
      <w:tr w:rsidR="00D9308C" w:rsidRPr="00183B99" w14:paraId="66DA5923" w14:textId="77777777" w:rsidTr="0060216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DA5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sz w:val="18"/>
                <w:lang w:val="pt"/>
              </w:rPr>
              <w:t xml:space="preserve">           Variação taxa de câmbio</w:t>
            </w:r>
          </w:p>
          <w:p w14:paraId="1A1779A1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48A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DD0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992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B0C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- 2,3%</w:t>
            </w:r>
          </w:p>
        </w:tc>
      </w:tr>
      <w:tr w:rsidR="00D9308C" w:rsidRPr="00183B99" w14:paraId="53E7A53D" w14:textId="77777777" w:rsidTr="0060216D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33E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sz w:val="18"/>
                <w:lang w:val="pt"/>
              </w:rPr>
              <w:t xml:space="preserve">           Variação no perímetro </w:t>
            </w:r>
            <w:r>
              <w:rPr>
                <w:rFonts w:ascii="Arial" w:hAnsi="Arial"/>
                <w:b w:val="0"/>
                <w:sz w:val="18"/>
                <w:lang w:val="pt"/>
              </w:rPr>
              <w:br/>
              <w:t xml:space="preserve">           de consolidação </w:t>
            </w:r>
          </w:p>
          <w:p w14:paraId="020F9136" w14:textId="77777777" w:rsidR="00D9308C" w:rsidRPr="00183B99" w:rsidRDefault="00D9308C" w:rsidP="0060216D">
            <w:pPr>
              <w:pStyle w:val="LadilloMichelinDossier"/>
              <w:spacing w:before="0" w:after="0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65F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+38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E55E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+0,5%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33C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+86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7B3" w14:textId="77777777" w:rsidR="00D9308C" w:rsidRPr="00183B99" w:rsidRDefault="00D9308C" w:rsidP="0060216D">
            <w:pPr>
              <w:pStyle w:val="LadilloMichelinDossier"/>
              <w:spacing w:before="0" w:after="0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lang w:val="pt"/>
              </w:rPr>
              <w:t>+0,5%</w:t>
            </w:r>
          </w:p>
        </w:tc>
      </w:tr>
    </w:tbl>
    <w:p w14:paraId="78BAEE9F" w14:textId="77777777" w:rsidR="000C7DC3" w:rsidRPr="00183B99" w:rsidRDefault="000C7DC3" w:rsidP="000C7DC3">
      <w:pPr>
        <w:spacing w:after="240" w:line="270" w:lineRule="atLeast"/>
        <w:jc w:val="both"/>
        <w:outlineLvl w:val="0"/>
        <w:rPr>
          <w:rFonts w:ascii="Arial" w:eastAsia="Arial Unicode MS" w:hAnsi="Arial Unicode MS"/>
          <w:bCs/>
          <w:color w:val="000000"/>
          <w:sz w:val="14"/>
          <w:szCs w:val="16"/>
          <w:u w:color="000000"/>
        </w:rPr>
      </w:pPr>
      <w:r>
        <w:rPr>
          <w:rFonts w:ascii="Arial" w:eastAsia="Arial Unicode MS" w:hAnsi="Arial"/>
          <w:color w:val="000000"/>
          <w:sz w:val="14"/>
          <w:szCs w:val="16"/>
          <w:u w:color="000000"/>
          <w:lang w:val="pt"/>
        </w:rPr>
        <w:tab/>
        <w:t>* Toneladas</w:t>
      </w:r>
    </w:p>
    <w:p w14:paraId="36614552" w14:textId="77777777" w:rsidR="0036624C" w:rsidRPr="00183B99" w:rsidRDefault="00E7478E" w:rsidP="006B241F">
      <w:pPr>
        <w:pStyle w:val="Prrafodelista"/>
        <w:spacing w:after="200"/>
        <w:ind w:left="782"/>
        <w:jc w:val="both"/>
        <w:rPr>
          <w:rFonts w:ascii="Arial" w:hAnsi="Arial"/>
          <w:b/>
          <w:bCs/>
          <w:iCs/>
        </w:rPr>
      </w:pPr>
      <w:r>
        <w:rPr>
          <w:rFonts w:ascii="Arial" w:eastAsia="Arial Unicode MS" w:hAnsi="Arial Unicode MS"/>
          <w:color w:val="000000"/>
          <w:u w:color="000000"/>
          <w:lang w:val="pt"/>
        </w:rPr>
        <w:t>Nos nove primeiros meses do ano, as vendas l</w:t>
      </w:r>
      <w:r>
        <w:rPr>
          <w:rFonts w:ascii="Arial" w:eastAsia="Arial Unicode MS" w:hAnsi="Arial Unicode MS"/>
          <w:color w:val="00000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u w:color="000000"/>
          <w:lang w:val="pt"/>
        </w:rPr>
        <w:t>quidas alcan</w:t>
      </w:r>
      <w:r>
        <w:rPr>
          <w:rFonts w:ascii="Arial" w:eastAsia="Arial Unicode MS" w:hAnsi="Arial Unicode MS"/>
          <w:color w:val="00000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u w:color="000000"/>
          <w:lang w:val="pt"/>
        </w:rPr>
        <w:t>am os 15.471 milh</w:t>
      </w:r>
      <w:r>
        <w:rPr>
          <w:rFonts w:ascii="Arial" w:eastAsia="Arial Unicode MS" w:hAnsi="Arial Unicode MS"/>
          <w:color w:val="00000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u w:color="000000"/>
          <w:lang w:val="pt"/>
        </w:rPr>
        <w:t>es de euros, com uma contra</w:t>
      </w:r>
      <w:r>
        <w:rPr>
          <w:rFonts w:ascii="Arial" w:eastAsia="Arial Unicode MS" w:hAnsi="Arial Unicode MS"/>
          <w:color w:val="00000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u w:color="000000"/>
          <w:lang w:val="pt"/>
        </w:rPr>
        <w:t>o de 2,1%, em rela</w:t>
      </w:r>
      <w:r>
        <w:rPr>
          <w:rFonts w:ascii="Arial" w:eastAsia="Arial Unicode MS" w:hAnsi="Arial Unicode MS"/>
          <w:color w:val="00000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u w:color="000000"/>
          <w:lang w:val="pt"/>
        </w:rPr>
        <w:t>o ao mesmo per</w:t>
      </w:r>
      <w:r>
        <w:rPr>
          <w:rFonts w:ascii="Arial" w:eastAsia="Arial Unicode MS" w:hAnsi="Arial Unicode MS"/>
          <w:color w:val="00000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u w:color="000000"/>
          <w:lang w:val="pt"/>
        </w:rPr>
        <w:t>odo de 2015, sob o efeito dos seguintes fatores:</w:t>
      </w:r>
      <w:r>
        <w:rPr>
          <w:rFonts w:ascii="Arial" w:eastAsia="Arial Unicode MS" w:hAnsi="Arial Unicode MS"/>
          <w:color w:val="000000"/>
          <w:u w:color="000000"/>
          <w:lang w:val="pt"/>
        </w:rPr>
        <w:br/>
      </w:r>
    </w:p>
    <w:p w14:paraId="4CAD227F" w14:textId="77777777" w:rsidR="00347235" w:rsidRPr="00183B99" w:rsidRDefault="0036624C" w:rsidP="0036624C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lang w:val="pt"/>
        </w:rPr>
        <w:t>O crescimento de 1,4% dos volumes</w:t>
      </w:r>
      <w:r>
        <w:rPr>
          <w:rFonts w:ascii="Arial" w:hAnsi="Arial"/>
          <w:lang w:val="pt"/>
        </w:rPr>
        <w:t xml:space="preserve"> até ao fim de setembro, superior à evolução dos mercados, com um terceiro trimestre que avança menos na Europa face a um contexto de preços extremamente competitivo.</w:t>
      </w:r>
      <w:r>
        <w:rPr>
          <w:rFonts w:ascii="Arial" w:hAnsi="Arial"/>
          <w:b/>
          <w:bCs/>
          <w:sz w:val="18"/>
          <w:szCs w:val="22"/>
          <w:lang w:val="pt"/>
        </w:rPr>
        <w:t xml:space="preserve"> </w:t>
      </w:r>
    </w:p>
    <w:p w14:paraId="29113575" w14:textId="77777777" w:rsidR="0036624C" w:rsidRPr="00183B99" w:rsidRDefault="0036624C" w:rsidP="0036624C">
      <w:pPr>
        <w:pStyle w:val="Prrafodelista"/>
        <w:ind w:left="782"/>
        <w:jc w:val="both"/>
        <w:rPr>
          <w:rFonts w:ascii="Arial" w:hAnsi="Arial"/>
          <w:bCs/>
        </w:rPr>
      </w:pPr>
    </w:p>
    <w:p w14:paraId="143CA2BF" w14:textId="77777777" w:rsidR="00FF1DEB" w:rsidRPr="00183B99" w:rsidRDefault="0036624C" w:rsidP="00D10143">
      <w:pPr>
        <w:pStyle w:val="Prrafodelista"/>
        <w:numPr>
          <w:ilvl w:val="0"/>
          <w:numId w:val="32"/>
        </w:numPr>
        <w:spacing w:after="200" w:line="270" w:lineRule="atLeast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lang w:val="pt"/>
        </w:rPr>
        <w:t>O efeito do mix de preços (- 1,7% nos nove meses)</w:t>
      </w:r>
      <w:r>
        <w:rPr>
          <w:rFonts w:ascii="Arial" w:hAnsi="Arial"/>
          <w:lang w:val="pt"/>
        </w:rPr>
        <w:t>, que melhora em relação ao primeiro semestre, reflete a política de preços do Grupo de valorizar a marca MICHELIN e a sua liderança tecnológica. O efeito preço atinge um montante de - 258 milhões de euros, cuja metade corresponde à aplicação das cláusulas de indexação. O efeito do mix (17 milhões de euros) reflete o êxito da estratégia premium da marca MICHELIN, compensado pelo mix de marcas, pelo crescimento relativo em Primeiros Equipamentos e Substituição e pela descida das atividades de Engenharia Civil. No terceiro trimestre o efeito mix progride, impulsionado pelo rendimento no segmento Premium, assim como pela melhoria do mix de marcas de Ligeiro e do mix das diversas atividades do Grupo.</w:t>
      </w:r>
    </w:p>
    <w:p w14:paraId="753C39AC" w14:textId="77777777" w:rsidR="0036624C" w:rsidRPr="00183B99" w:rsidRDefault="0036624C" w:rsidP="00847A6D">
      <w:pPr>
        <w:pStyle w:val="Prrafodelista"/>
        <w:spacing w:after="200" w:line="270" w:lineRule="atLeast"/>
        <w:ind w:left="782"/>
        <w:jc w:val="both"/>
        <w:rPr>
          <w:rFonts w:ascii="Arial" w:hAnsi="Arial"/>
          <w:bCs/>
        </w:rPr>
      </w:pPr>
    </w:p>
    <w:p w14:paraId="227D75D8" w14:textId="77777777" w:rsidR="00713D91" w:rsidRPr="00183B99" w:rsidRDefault="0036624C" w:rsidP="00713D91">
      <w:pPr>
        <w:pStyle w:val="Prrafodelista"/>
        <w:numPr>
          <w:ilvl w:val="0"/>
          <w:numId w:val="32"/>
        </w:numPr>
        <w:spacing w:after="200" w:line="27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  <w:lang w:val="pt"/>
        </w:rPr>
        <w:t xml:space="preserve">O forte impacto desfavorável </w:t>
      </w:r>
      <w:r>
        <w:rPr>
          <w:rFonts w:ascii="Arial" w:hAnsi="Arial"/>
          <w:b/>
          <w:bCs/>
          <w:szCs w:val="24"/>
          <w:lang w:val="pt"/>
        </w:rPr>
        <w:t xml:space="preserve">das taxas de câmbio </w:t>
      </w:r>
      <w:r>
        <w:rPr>
          <w:rFonts w:ascii="Arial" w:hAnsi="Arial"/>
          <w:b/>
          <w:bCs/>
          <w:lang w:val="pt"/>
        </w:rPr>
        <w:t>(+ 2,3% no fim de setembro)</w:t>
      </w:r>
      <w:r>
        <w:rPr>
          <w:rFonts w:ascii="Arial" w:hAnsi="Arial"/>
          <w:lang w:val="pt"/>
        </w:rPr>
        <w:t xml:space="preserve"> está relacionado com as variações do euro face às principais divisas com que opera o Grupo.</w:t>
      </w:r>
    </w:p>
    <w:p w14:paraId="421EAAC6" w14:textId="77777777" w:rsidR="0036624C" w:rsidRPr="00183B99" w:rsidRDefault="0036624C" w:rsidP="0062639C">
      <w:pPr>
        <w:pStyle w:val="Prrafodelista"/>
        <w:spacing w:after="200" w:line="270" w:lineRule="atLeast"/>
        <w:ind w:left="782"/>
        <w:jc w:val="both"/>
        <w:rPr>
          <w:rFonts w:ascii="Arial" w:hAnsi="Arial"/>
          <w:bCs/>
        </w:rPr>
      </w:pPr>
    </w:p>
    <w:p w14:paraId="2D8A3676" w14:textId="77777777" w:rsidR="0036624C" w:rsidRPr="00183B99" w:rsidRDefault="0036624C" w:rsidP="0036624C">
      <w:pPr>
        <w:pStyle w:val="Prrafodelista"/>
        <w:numPr>
          <w:ilvl w:val="0"/>
          <w:numId w:val="32"/>
        </w:numPr>
        <w:spacing w:after="200" w:line="270" w:lineRule="atLeast"/>
        <w:jc w:val="both"/>
        <w:rPr>
          <w:rFonts w:ascii="Arial" w:hAnsi="Arial"/>
        </w:rPr>
      </w:pPr>
      <w:r>
        <w:rPr>
          <w:rFonts w:ascii="Arial" w:hAnsi="Arial"/>
          <w:lang w:val="pt"/>
        </w:rPr>
        <w:t>A variação no perímetro de consolidação favorável de 0,5% corresponde à integração do grossista alemão Meyer Lissendorf, de Blackcircles, número 1 da venda de pneus pela Internet no Reino Unido e da BookaTable, líder europeu de reservas on-line de restaurantes.</w:t>
      </w:r>
    </w:p>
    <w:p w14:paraId="2A58201D" w14:textId="77777777" w:rsidR="0036624C" w:rsidRPr="00183B99" w:rsidRDefault="0036624C" w:rsidP="0036624C">
      <w:pPr>
        <w:pStyle w:val="Prrafodelista"/>
        <w:spacing w:after="200" w:line="270" w:lineRule="atLeast"/>
        <w:ind w:left="782"/>
        <w:jc w:val="both"/>
        <w:rPr>
          <w:rFonts w:ascii="Arial" w:hAnsi="Arial"/>
          <w:bCs/>
        </w:rPr>
      </w:pPr>
    </w:p>
    <w:p w14:paraId="11D4CACF" w14:textId="77777777" w:rsidR="006B241F" w:rsidRDefault="006B241F">
      <w:pPr>
        <w:rPr>
          <w:rFonts w:ascii="Times" w:eastAsia="Arial Unicode MS" w:hAnsi="Times"/>
          <w:b/>
          <w:color w:val="000000"/>
          <w:u w:color="000000"/>
        </w:rPr>
      </w:pPr>
      <w:r>
        <w:rPr>
          <w:rFonts w:ascii="Times" w:eastAsia="Arial Unicode MS" w:hAnsi="Times"/>
          <w:b/>
          <w:bCs/>
          <w:color w:val="000000"/>
          <w:u w:color="000000"/>
          <w:lang w:val="pt"/>
        </w:rPr>
        <w:br w:type="page"/>
      </w:r>
    </w:p>
    <w:p w14:paraId="2B752B9C" w14:textId="77777777" w:rsidR="00E7478E" w:rsidRPr="00183B99" w:rsidRDefault="00BB7577" w:rsidP="00E7478E">
      <w:pPr>
        <w:spacing w:after="240" w:line="270" w:lineRule="atLeast"/>
        <w:ind w:left="360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Times" w:eastAsia="Arial Unicode MS" w:hAnsi="Times"/>
          <w:b/>
          <w:bCs/>
          <w:color w:val="000000"/>
          <w:u w:color="000000"/>
          <w:lang w:val="pt"/>
        </w:rPr>
        <w:lastRenderedPageBreak/>
        <w:t>Vendas líquidas por segmento</w:t>
      </w:r>
    </w:p>
    <w:p w14:paraId="4916D34B" w14:textId="77777777" w:rsidR="00D97C30" w:rsidRPr="00AD2F4C" w:rsidRDefault="000646AE" w:rsidP="00AD2F4C">
      <w:pPr>
        <w:spacing w:before="240" w:after="120"/>
        <w:ind w:firstLine="335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Ligeiro camioneta e distribui</w:t>
      </w: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o associada</w:t>
      </w:r>
    </w:p>
    <w:p w14:paraId="0BB4B300" w14:textId="77777777" w:rsidR="00961D25" w:rsidRPr="00183B99" w:rsidRDefault="00961D25" w:rsidP="003D260E">
      <w:pPr>
        <w:spacing w:after="240"/>
        <w:ind w:left="360"/>
        <w:jc w:val="both"/>
        <w:rPr>
          <w:rFonts w:ascii="Arial" w:hAnsi="Arial Unicode MS"/>
          <w:bCs/>
          <w:sz w:val="20"/>
        </w:rPr>
      </w:pPr>
      <w:r>
        <w:rPr>
          <w:rFonts w:ascii="Arial" w:hAnsi="Arial Unicode MS"/>
          <w:color w:val="000000"/>
          <w:sz w:val="20"/>
          <w:u w:color="000000"/>
          <w:lang w:val="pt"/>
        </w:rPr>
        <w:t>Para os nove primeiros meses de 2016, e tendo em conta o efeito desfavor</w:t>
      </w:r>
      <w:r>
        <w:rPr>
          <w:rFonts w:ascii="Arial" w:hAnsi="Arial Unicode MS"/>
          <w:color w:val="000000"/>
          <w:sz w:val="20"/>
          <w:u w:color="000000"/>
          <w:lang w:val="pt"/>
        </w:rPr>
        <w:t>á</w:t>
      </w:r>
      <w:r>
        <w:rPr>
          <w:rFonts w:ascii="Arial" w:hAnsi="Arial Unicode MS"/>
          <w:color w:val="000000"/>
          <w:sz w:val="20"/>
          <w:u w:color="000000"/>
          <w:lang w:val="pt"/>
        </w:rPr>
        <w:t>vel das taxas de c</w:t>
      </w:r>
      <w:r>
        <w:rPr>
          <w:rFonts w:ascii="Arial" w:hAnsi="Arial Unicode MS"/>
          <w:color w:val="000000"/>
          <w:sz w:val="20"/>
          <w:u w:color="000000"/>
          <w:lang w:val="pt"/>
        </w:rPr>
        <w:t>â</w:t>
      </w:r>
      <w:r>
        <w:rPr>
          <w:rFonts w:ascii="Arial" w:hAnsi="Arial Unicode MS"/>
          <w:color w:val="000000"/>
          <w:sz w:val="20"/>
          <w:u w:color="000000"/>
          <w:lang w:val="pt"/>
        </w:rPr>
        <w:t>mbio, as vendas l</w:t>
      </w:r>
      <w:r>
        <w:rPr>
          <w:rFonts w:ascii="Arial" w:hAnsi="Arial Unicode MS"/>
          <w:color w:val="000000"/>
          <w:sz w:val="20"/>
          <w:u w:color="000000"/>
          <w:lang w:val="pt"/>
        </w:rPr>
        <w:t>í</w:t>
      </w:r>
      <w:r>
        <w:rPr>
          <w:rFonts w:ascii="Arial" w:hAnsi="Arial Unicode MS"/>
          <w:color w:val="000000"/>
          <w:sz w:val="20"/>
          <w:u w:color="000000"/>
          <w:lang w:val="pt"/>
        </w:rPr>
        <w:t xml:space="preserve">quidas aumentam para </w:t>
      </w:r>
      <w:r>
        <w:rPr>
          <w:rFonts w:ascii="Arial" w:hAnsi="Arial Unicode MS"/>
          <w:sz w:val="20"/>
          <w:lang w:val="pt"/>
        </w:rPr>
        <w:t>8.880 milh</w:t>
      </w:r>
      <w:r>
        <w:rPr>
          <w:rFonts w:ascii="Arial" w:hAnsi="Arial Unicode MS"/>
          <w:sz w:val="20"/>
          <w:lang w:val="pt"/>
        </w:rPr>
        <w:t>õ</w:t>
      </w:r>
      <w:r>
        <w:rPr>
          <w:rFonts w:ascii="Arial" w:hAnsi="Arial Unicode MS"/>
          <w:sz w:val="20"/>
          <w:lang w:val="pt"/>
        </w:rPr>
        <w:t>es de euros, o que pressup</w:t>
      </w:r>
      <w:r>
        <w:rPr>
          <w:rFonts w:ascii="Arial" w:hAnsi="Arial Unicode MS"/>
          <w:sz w:val="20"/>
          <w:lang w:val="pt"/>
        </w:rPr>
        <w:t>õ</w:t>
      </w:r>
      <w:r>
        <w:rPr>
          <w:rFonts w:ascii="Arial" w:hAnsi="Arial Unicode MS"/>
          <w:sz w:val="20"/>
          <w:lang w:val="pt"/>
        </w:rPr>
        <w:t>e um crescimento de 0,5% em rela</w:t>
      </w:r>
      <w:r>
        <w:rPr>
          <w:rFonts w:ascii="Arial" w:hAnsi="Arial Unicode MS"/>
          <w:sz w:val="20"/>
          <w:lang w:val="pt"/>
        </w:rPr>
        <w:t>çã</w:t>
      </w:r>
      <w:r>
        <w:rPr>
          <w:rFonts w:ascii="Arial" w:hAnsi="Arial Unicode MS"/>
          <w:sz w:val="20"/>
          <w:lang w:val="pt"/>
        </w:rPr>
        <w:t>o aos 8.838 milh</w:t>
      </w:r>
      <w:r>
        <w:rPr>
          <w:rFonts w:ascii="Arial" w:hAnsi="Arial Unicode MS"/>
          <w:sz w:val="20"/>
          <w:lang w:val="pt"/>
        </w:rPr>
        <w:t>õ</w:t>
      </w:r>
      <w:r>
        <w:rPr>
          <w:rFonts w:ascii="Arial" w:hAnsi="Arial Unicode MS"/>
          <w:sz w:val="20"/>
          <w:lang w:val="pt"/>
        </w:rPr>
        <w:t>es do mesmo per</w:t>
      </w:r>
      <w:r>
        <w:rPr>
          <w:rFonts w:ascii="Arial" w:hAnsi="Arial Unicode MS"/>
          <w:sz w:val="20"/>
          <w:lang w:val="pt"/>
        </w:rPr>
        <w:t>í</w:t>
      </w:r>
      <w:r>
        <w:rPr>
          <w:rFonts w:ascii="Arial" w:hAnsi="Arial Unicode MS"/>
          <w:sz w:val="20"/>
          <w:lang w:val="pt"/>
        </w:rPr>
        <w:t>odo de 2015.</w:t>
      </w:r>
    </w:p>
    <w:p w14:paraId="2E43B6CE" w14:textId="77777777" w:rsidR="007238FE" w:rsidRPr="00183B99" w:rsidRDefault="007238FE" w:rsidP="00AD2F4C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volumes de Ligeiro Camioneta crescem 2,5% at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ao fim de setembro. O crescimento do terceiro trimestre v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-se penalizado pelas tens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sobre os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na Europa. Globalmente, o Grupo melhora as suas posi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nos mercados de Primeiros Equipamentos, no segmento de 18 polegadas e superiores, assim como no conjunto das regi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emergentes.</w:t>
      </w:r>
    </w:p>
    <w:p w14:paraId="76C8D253" w14:textId="77777777" w:rsidR="007238FE" w:rsidRPr="00183B99" w:rsidRDefault="007238FE" w:rsidP="00AD2F4C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efeito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reflete o impacto das cl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usulas das mat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rias-primas em Primeiros Equipamentos e a valoriza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o dos produtos do Grupo. </w:t>
      </w:r>
    </w:p>
    <w:p w14:paraId="1139C406" w14:textId="77777777" w:rsidR="00035660" w:rsidRPr="00183B99" w:rsidRDefault="00AD2F4C" w:rsidP="00AD2F4C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efeito mix mant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m-se favor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vel, o crescimento da marca MICHELIN no segmento de 18 polegadas e superior permite compensar os efeitos menos favor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veis do aumento dos volumes em terceira linha, em Primeiros Equipamentos e nos pa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ses emergentes.</w:t>
      </w:r>
    </w:p>
    <w:p w14:paraId="7021D60B" w14:textId="77777777" w:rsidR="000646AE" w:rsidRPr="00AD2F4C" w:rsidRDefault="000646AE" w:rsidP="00AD2F4C">
      <w:pPr>
        <w:spacing w:before="240" w:after="120"/>
        <w:ind w:firstLine="335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Cami</w:t>
      </w: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ã</w:t>
      </w: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o e distribui</w:t>
      </w: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o associada</w:t>
      </w:r>
    </w:p>
    <w:p w14:paraId="5D1D6938" w14:textId="77777777" w:rsidR="00422EFB" w:rsidRPr="00183B99" w:rsidRDefault="00422EFB" w:rsidP="003D260E">
      <w:pPr>
        <w:spacing w:after="240"/>
        <w:ind w:left="360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No fim de setembro, considerando o efeito desfavor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vel das taxas de c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â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mbio, as vendas l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quidas atingem os 4.440 milh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de euros, numa contra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de 5,0% em compara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com os 4.675 milh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dos nove primeiros meses de 2015.</w:t>
      </w:r>
    </w:p>
    <w:p w14:paraId="4C5A61AF" w14:textId="77777777" w:rsidR="007C432B" w:rsidRPr="00183B99" w:rsidRDefault="00422EFB" w:rsidP="00AD2F4C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bCs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volumes da atividade de Cami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possuem uma boa resist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ncia, com uma subida de 0,3%, num mercado mundial em contra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de 2%, gra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as ao bom comportamento da marca MICHELIN no segmento Premium e ao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ê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xito das novas gamas BFGoodrich e </w:t>
      </w:r>
      <w:r>
        <w:rPr>
          <w:rFonts w:ascii="Arial" w:eastAsia="Arial Unicode MS" w:hAnsi="Arial Unicode MS"/>
          <w:i/>
          <w:iCs/>
          <w:color w:val="000000"/>
          <w:sz w:val="20"/>
          <w:u w:color="000000"/>
          <w:lang w:val="pt"/>
        </w:rPr>
        <w:t xml:space="preserve">Intermediate,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lan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adas em regi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õ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es emergentes e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rica do Norte.</w:t>
      </w:r>
    </w:p>
    <w:p w14:paraId="42625655" w14:textId="77777777" w:rsidR="00C23420" w:rsidRPr="00183B99" w:rsidRDefault="00C23420" w:rsidP="00AD2F4C">
      <w:pPr>
        <w:numPr>
          <w:ilvl w:val="1"/>
          <w:numId w:val="17"/>
        </w:numPr>
        <w:tabs>
          <w:tab w:val="clear" w:pos="1772"/>
        </w:tabs>
        <w:ind w:left="1134" w:hanging="425"/>
        <w:jc w:val="both"/>
        <w:outlineLvl w:val="0"/>
        <w:rPr>
          <w:rFonts w:ascii="Arial" w:eastAsia="Arial Unicode MS" w:hAnsi="Arial Unicode MS"/>
          <w:bCs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efeito negativo dos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corresponde principalmente aos ajustamentos de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decididos na Am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rica do Norte, assim como 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à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aplica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das cl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usulas de indexa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 nos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das mat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rias-primas.</w:t>
      </w:r>
    </w:p>
    <w:p w14:paraId="5196D9F6" w14:textId="77777777" w:rsidR="00422EFB" w:rsidRPr="00183B99" w:rsidRDefault="00422EFB" w:rsidP="00AD2F4C">
      <w:pPr>
        <w:spacing w:before="240" w:after="120"/>
        <w:ind w:firstLine="335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Pneus de especialidades</w:t>
      </w:r>
    </w:p>
    <w:p w14:paraId="23349F77" w14:textId="77777777" w:rsidR="00422EFB" w:rsidRPr="00183B99" w:rsidRDefault="00422EFB" w:rsidP="003D260E">
      <w:pPr>
        <w:spacing w:after="240"/>
        <w:ind w:left="332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hAnsi="Arial Unicode MS"/>
          <w:color w:val="000000"/>
          <w:sz w:val="20"/>
          <w:u w:color="000000"/>
          <w:lang w:val="pt"/>
        </w:rPr>
        <w:t>Nos nove primeiros meses do ano, as vendas l</w:t>
      </w:r>
      <w:r>
        <w:rPr>
          <w:rFonts w:ascii="Arial" w:hAnsi="Arial Unicode MS"/>
          <w:color w:val="000000"/>
          <w:sz w:val="20"/>
          <w:u w:color="000000"/>
          <w:lang w:val="pt"/>
        </w:rPr>
        <w:t>í</w:t>
      </w:r>
      <w:r>
        <w:rPr>
          <w:rFonts w:ascii="Arial" w:hAnsi="Arial Unicode MS"/>
          <w:color w:val="000000"/>
          <w:sz w:val="20"/>
          <w:u w:color="000000"/>
          <w:lang w:val="pt"/>
        </w:rPr>
        <w:t>quidas de Atividades de Especialidades atingiram os 2.151 milh</w:t>
      </w:r>
      <w:r>
        <w:rPr>
          <w:rFonts w:ascii="Arial" w:hAnsi="Arial Unicode MS"/>
          <w:color w:val="000000"/>
          <w:sz w:val="20"/>
          <w:u w:color="000000"/>
          <w:lang w:val="pt"/>
        </w:rPr>
        <w:t>õ</w:t>
      </w:r>
      <w:r>
        <w:rPr>
          <w:rFonts w:ascii="Arial" w:hAnsi="Arial Unicode MS"/>
          <w:color w:val="000000"/>
          <w:sz w:val="20"/>
          <w:u w:color="000000"/>
          <w:lang w:val="pt"/>
        </w:rPr>
        <w:t>es de euros, uma descida de 6,2% em rela</w:t>
      </w:r>
      <w:r>
        <w:rPr>
          <w:rFonts w:ascii="Arial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hAnsi="Arial Unicode MS"/>
          <w:color w:val="000000"/>
          <w:sz w:val="20"/>
          <w:u w:color="000000"/>
          <w:lang w:val="pt"/>
        </w:rPr>
        <w:t>o aos 2.294 milh</w:t>
      </w:r>
      <w:r>
        <w:rPr>
          <w:rFonts w:ascii="Arial" w:hAnsi="Arial Unicode MS"/>
          <w:color w:val="000000"/>
          <w:sz w:val="20"/>
          <w:u w:color="000000"/>
          <w:lang w:val="pt"/>
        </w:rPr>
        <w:t>õ</w:t>
      </w:r>
      <w:r>
        <w:rPr>
          <w:rFonts w:ascii="Arial" w:hAnsi="Arial Unicode MS"/>
          <w:color w:val="000000"/>
          <w:sz w:val="20"/>
          <w:u w:color="000000"/>
          <w:lang w:val="pt"/>
        </w:rPr>
        <w:t>es at</w:t>
      </w:r>
      <w:r>
        <w:rPr>
          <w:rFonts w:ascii="Arial" w:hAnsi="Arial Unicode MS"/>
          <w:color w:val="000000"/>
          <w:sz w:val="20"/>
          <w:u w:color="000000"/>
          <w:lang w:val="pt"/>
        </w:rPr>
        <w:t>é</w:t>
      </w:r>
      <w:r>
        <w:rPr>
          <w:rFonts w:ascii="Arial" w:hAnsi="Arial Unicode MS"/>
          <w:color w:val="000000"/>
          <w:sz w:val="20"/>
          <w:u w:color="000000"/>
          <w:lang w:val="pt"/>
        </w:rPr>
        <w:t xml:space="preserve"> setembro de 2015. Esta varia</w:t>
      </w:r>
      <w:r>
        <w:rPr>
          <w:rFonts w:ascii="Arial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hAnsi="Arial Unicode MS"/>
          <w:color w:val="000000"/>
          <w:sz w:val="20"/>
          <w:u w:color="000000"/>
          <w:lang w:val="pt"/>
        </w:rPr>
        <w:t>o combina um efeito ligeiramente favor</w:t>
      </w:r>
      <w:r>
        <w:rPr>
          <w:rFonts w:ascii="Arial" w:hAnsi="Arial Unicode MS"/>
          <w:color w:val="000000"/>
          <w:sz w:val="20"/>
          <w:u w:color="000000"/>
          <w:lang w:val="pt"/>
        </w:rPr>
        <w:t>á</w:t>
      </w:r>
      <w:r>
        <w:rPr>
          <w:rFonts w:ascii="Arial" w:hAnsi="Arial Unicode MS"/>
          <w:color w:val="000000"/>
          <w:sz w:val="20"/>
          <w:u w:color="000000"/>
          <w:lang w:val="pt"/>
        </w:rPr>
        <w:t>vel das paridades de c</w:t>
      </w:r>
      <w:r>
        <w:rPr>
          <w:rFonts w:ascii="Arial" w:hAnsi="Arial Unicode MS"/>
          <w:color w:val="000000"/>
          <w:sz w:val="20"/>
          <w:u w:color="000000"/>
          <w:lang w:val="pt"/>
        </w:rPr>
        <w:t>â</w:t>
      </w:r>
      <w:r>
        <w:rPr>
          <w:rFonts w:ascii="Arial" w:hAnsi="Arial Unicode MS"/>
          <w:color w:val="000000"/>
          <w:sz w:val="20"/>
          <w:u w:color="000000"/>
          <w:lang w:val="pt"/>
        </w:rPr>
        <w:t>mbio, dos ajustes de pre</w:t>
      </w:r>
      <w:r>
        <w:rPr>
          <w:rFonts w:ascii="Arial" w:hAnsi="Arial Unicode MS"/>
          <w:color w:val="000000"/>
          <w:sz w:val="20"/>
          <w:u w:color="000000"/>
          <w:lang w:val="pt"/>
        </w:rPr>
        <w:t>ç</w:t>
      </w:r>
      <w:r>
        <w:rPr>
          <w:rFonts w:ascii="Arial" w:hAnsi="Arial Unicode MS"/>
          <w:color w:val="000000"/>
          <w:sz w:val="20"/>
          <w:u w:color="000000"/>
          <w:lang w:val="pt"/>
        </w:rPr>
        <w:t xml:space="preserve">os relacionados com as </w:t>
      </w:r>
      <w:r>
        <w:rPr>
          <w:rFonts w:ascii="Arial" w:hAnsi="Arial Unicode MS"/>
          <w:sz w:val="20"/>
          <w:lang w:val="pt"/>
        </w:rPr>
        <w:t>cl</w:t>
      </w:r>
      <w:r>
        <w:rPr>
          <w:rFonts w:ascii="Arial" w:hAnsi="Arial Unicode MS"/>
          <w:sz w:val="20"/>
          <w:lang w:val="pt"/>
        </w:rPr>
        <w:t>á</w:t>
      </w:r>
      <w:r>
        <w:rPr>
          <w:rFonts w:ascii="Arial" w:hAnsi="Arial Unicode MS"/>
          <w:sz w:val="20"/>
          <w:lang w:val="pt"/>
        </w:rPr>
        <w:t>usulas de indexa</w:t>
      </w:r>
      <w:r>
        <w:rPr>
          <w:rFonts w:ascii="Arial" w:hAnsi="Arial Unicode MS"/>
          <w:sz w:val="20"/>
          <w:lang w:val="pt"/>
        </w:rPr>
        <w:t>çã</w:t>
      </w:r>
      <w:r>
        <w:rPr>
          <w:rFonts w:ascii="Arial" w:hAnsi="Arial Unicode MS"/>
          <w:sz w:val="20"/>
          <w:lang w:val="pt"/>
        </w:rPr>
        <w:t>o dos pre</w:t>
      </w:r>
      <w:r>
        <w:rPr>
          <w:rFonts w:ascii="Arial" w:hAnsi="Arial Unicode MS"/>
          <w:sz w:val="20"/>
          <w:lang w:val="pt"/>
        </w:rPr>
        <w:t>ç</w:t>
      </w:r>
      <w:r>
        <w:rPr>
          <w:rFonts w:ascii="Arial" w:hAnsi="Arial Unicode MS"/>
          <w:sz w:val="20"/>
          <w:lang w:val="pt"/>
        </w:rPr>
        <w:t>os das mat</w:t>
      </w:r>
      <w:r>
        <w:rPr>
          <w:rFonts w:ascii="Arial" w:hAnsi="Arial Unicode MS"/>
          <w:sz w:val="20"/>
          <w:lang w:val="pt"/>
        </w:rPr>
        <w:t>é</w:t>
      </w:r>
      <w:r>
        <w:rPr>
          <w:rFonts w:ascii="Arial" w:hAnsi="Arial Unicode MS"/>
          <w:sz w:val="20"/>
          <w:lang w:val="pt"/>
        </w:rPr>
        <w:t xml:space="preserve">rias-primas e dos volumes a descer </w:t>
      </w:r>
      <w:r>
        <w:rPr>
          <w:rFonts w:ascii="Arial" w:hAnsi="Arial Unicode MS"/>
          <w:color w:val="000000"/>
          <w:sz w:val="20"/>
          <w:u w:color="000000"/>
          <w:lang w:val="pt"/>
        </w:rPr>
        <w:t> </w:t>
      </w:r>
      <w:r>
        <w:rPr>
          <w:rFonts w:ascii="Arial" w:hAnsi="Arial Unicode MS"/>
          <w:color w:val="000000"/>
          <w:sz w:val="20"/>
          <w:u w:color="000000"/>
          <w:lang w:val="pt"/>
        </w:rPr>
        <w:t>2,3% nos mercados em contra</w:t>
      </w:r>
      <w:r>
        <w:rPr>
          <w:rFonts w:ascii="Arial" w:hAnsi="Arial Unicode MS"/>
          <w:color w:val="000000"/>
          <w:sz w:val="20"/>
          <w:u w:color="000000"/>
          <w:lang w:val="pt"/>
        </w:rPr>
        <w:t>çã</w:t>
      </w:r>
      <w:r>
        <w:rPr>
          <w:rFonts w:ascii="Arial" w:hAnsi="Arial Unicode MS"/>
          <w:color w:val="000000"/>
          <w:sz w:val="20"/>
          <w:u w:color="000000"/>
          <w:lang w:val="pt"/>
        </w:rPr>
        <w:t>o.</w:t>
      </w:r>
    </w:p>
    <w:p w14:paraId="34D65DB1" w14:textId="77777777" w:rsidR="00422EFB" w:rsidRPr="00183B99" w:rsidRDefault="00422EFB" w:rsidP="00AD2F4C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/>
          <w:b/>
          <w:bCs/>
          <w:color w:val="000000"/>
          <w:sz w:val="20"/>
          <w:u w:color="000000"/>
          <w:lang w:val="pt"/>
        </w:rPr>
        <w:t>Engenharia civil:</w:t>
      </w:r>
      <w:r>
        <w:rPr>
          <w:rFonts w:ascii="Arial" w:eastAsia="Arial Unicode MS"/>
          <w:color w:val="000000"/>
          <w:sz w:val="20"/>
          <w:u w:color="000000"/>
          <w:lang w:val="pt"/>
        </w:rPr>
        <w:t xml:space="preserve"> as vendas l</w:t>
      </w:r>
      <w:r>
        <w:rPr>
          <w:rFonts w:ascii="Arial" w:eastAsia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/>
          <w:color w:val="000000"/>
          <w:sz w:val="20"/>
          <w:u w:color="000000"/>
          <w:lang w:val="pt"/>
        </w:rPr>
        <w:t>quidas contraem, penalizadas pelo efeito desfavor</w:t>
      </w:r>
      <w:r>
        <w:rPr>
          <w:rFonts w:ascii="Arial" w:eastAsia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/>
          <w:color w:val="000000"/>
          <w:sz w:val="20"/>
          <w:u w:color="000000"/>
          <w:lang w:val="pt"/>
        </w:rPr>
        <w:t>vel das cl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/>
          <w:color w:val="000000"/>
          <w:sz w:val="20"/>
          <w:u w:color="000000"/>
          <w:lang w:val="pt"/>
        </w:rPr>
        <w:t>usulas das mat</w:t>
      </w:r>
      <w:r>
        <w:rPr>
          <w:rFonts w:ascii="Arial" w:eastAsia="Arial Unicode MS"/>
          <w:color w:val="000000"/>
          <w:sz w:val="20"/>
          <w:u w:color="000000"/>
          <w:lang w:val="pt"/>
        </w:rPr>
        <w:t>é</w:t>
      </w:r>
      <w:r>
        <w:rPr>
          <w:rFonts w:ascii="Arial" w:eastAsia="Arial Unicode MS"/>
          <w:color w:val="000000"/>
          <w:sz w:val="20"/>
          <w:u w:color="000000"/>
          <w:lang w:val="pt"/>
        </w:rPr>
        <w:t>rias-primas e pela diminui</w:t>
      </w:r>
      <w:r>
        <w:rPr>
          <w:rFonts w:ascii="Arial" w:eastAsia="Arial Unicode MS"/>
          <w:color w:val="000000"/>
          <w:sz w:val="20"/>
          <w:u w:color="000000"/>
          <w:lang w:val="pt"/>
        </w:rPr>
        <w:t>çã</w:t>
      </w:r>
      <w:r>
        <w:rPr>
          <w:rFonts w:ascii="Arial" w:eastAsia="Arial Unicode MS"/>
          <w:color w:val="000000"/>
          <w:sz w:val="20"/>
          <w:u w:color="000000"/>
          <w:lang w:val="pt"/>
        </w:rPr>
        <w:t>o dos volumes vendidos.</w:t>
      </w:r>
    </w:p>
    <w:p w14:paraId="1ED51164" w14:textId="77777777" w:rsidR="00422EFB" w:rsidRPr="00183B99" w:rsidRDefault="00422EFB" w:rsidP="00AD2F4C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Agricultura: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as vendas caem pelo efeito negativo das descidas de pre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os e das taxas de c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â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mbio. Os volumes permanecem est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veis.</w:t>
      </w:r>
    </w:p>
    <w:p w14:paraId="6F08E4BE" w14:textId="77777777" w:rsidR="00797E80" w:rsidRPr="00183B99" w:rsidRDefault="00422EFB" w:rsidP="00AD2F4C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bCs/>
          <w:color w:val="000000"/>
          <w:sz w:val="20"/>
          <w:u w:color="000000"/>
          <w:lang w:val="pt"/>
        </w:rPr>
        <w:t>Duas rodas: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as vendas l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quidas aumentam, impulsionadas pelo segmento </w:t>
      </w:r>
      <w:r>
        <w:rPr>
          <w:rFonts w:ascii="Arial" w:eastAsia="Arial Unicode MS" w:hAnsi="Arial Unicode MS"/>
          <w:i/>
          <w:iCs/>
          <w:color w:val="000000"/>
          <w:sz w:val="20"/>
          <w:u w:color="000000"/>
          <w:lang w:val="pt"/>
        </w:rPr>
        <w:t>commuting e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 xml:space="preserve"> pelos pa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ses emergentes, o crescimento dos volumes compensa o impacto desfavor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vel do mix geogr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á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fico e das taxas de c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â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mbio.</w:t>
      </w:r>
    </w:p>
    <w:p w14:paraId="433C4ECD" w14:textId="77777777" w:rsidR="00422EFB" w:rsidRPr="00183B99" w:rsidRDefault="00422EFB" w:rsidP="00AD2F4C">
      <w:pPr>
        <w:numPr>
          <w:ilvl w:val="1"/>
          <w:numId w:val="17"/>
        </w:numPr>
        <w:tabs>
          <w:tab w:val="clear" w:pos="1772"/>
          <w:tab w:val="num" w:pos="1080"/>
        </w:tabs>
        <w:ind w:left="1134" w:hanging="425"/>
        <w:jc w:val="both"/>
        <w:outlineLvl w:val="0"/>
        <w:rPr>
          <w:rFonts w:ascii="Arial" w:eastAsia="Arial Unicode MS" w:hAnsi="Arial Unicode MS"/>
          <w:b/>
          <w:color w:val="000000"/>
          <w:sz w:val="20"/>
          <w:u w:color="000000"/>
        </w:rPr>
      </w:pPr>
      <w:r>
        <w:rPr>
          <w:rFonts w:ascii="Arial" w:eastAsia="Arial Unicode MS"/>
          <w:b/>
          <w:bCs/>
          <w:color w:val="000000"/>
          <w:sz w:val="20"/>
          <w:u w:color="000000"/>
          <w:lang w:val="pt"/>
        </w:rPr>
        <w:t>Avi</w:t>
      </w: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ã</w:t>
      </w:r>
      <w:r>
        <w:rPr>
          <w:rFonts w:ascii="Arial" w:eastAsia="Arial Unicode MS"/>
          <w:b/>
          <w:bCs/>
          <w:color w:val="000000"/>
          <w:sz w:val="20"/>
          <w:u w:color="000000"/>
          <w:lang w:val="pt"/>
        </w:rPr>
        <w:t xml:space="preserve">o: as </w:t>
      </w:r>
      <w:r>
        <w:rPr>
          <w:rFonts w:ascii="Arial" w:eastAsia="Arial Unicode MS"/>
          <w:color w:val="000000"/>
          <w:sz w:val="20"/>
          <w:u w:color="000000"/>
          <w:lang w:val="pt"/>
        </w:rPr>
        <w:t>vendas l</w:t>
      </w:r>
      <w:r>
        <w:rPr>
          <w:rFonts w:ascii="Arial" w:eastAsia="Arial Unicode MS"/>
          <w:color w:val="000000"/>
          <w:sz w:val="20"/>
          <w:u w:color="000000"/>
          <w:lang w:val="pt"/>
        </w:rPr>
        <w:t>í</w:t>
      </w:r>
      <w:r>
        <w:rPr>
          <w:rFonts w:ascii="Arial" w:eastAsia="Arial Unicode MS"/>
          <w:color w:val="000000"/>
          <w:sz w:val="20"/>
          <w:u w:color="000000"/>
          <w:lang w:val="pt"/>
        </w:rPr>
        <w:t>quidas est</w:t>
      </w:r>
      <w:r>
        <w:rPr>
          <w:rFonts w:ascii="Arial" w:eastAsia="Arial Unicode MS" w:hAnsi="Arial Unicode MS"/>
          <w:color w:val="000000"/>
          <w:sz w:val="20"/>
          <w:u w:color="000000"/>
          <w:lang w:val="pt"/>
        </w:rPr>
        <w:t>ã</w:t>
      </w:r>
      <w:r>
        <w:rPr>
          <w:rFonts w:ascii="Arial" w:eastAsia="Arial Unicode MS"/>
          <w:color w:val="000000"/>
          <w:sz w:val="20"/>
          <w:u w:color="000000"/>
          <w:lang w:val="pt"/>
        </w:rPr>
        <w:t>o a subir, gra</w:t>
      </w:r>
      <w:r>
        <w:rPr>
          <w:rFonts w:ascii="Arial" w:eastAsia="Arial Unicode MS"/>
          <w:color w:val="000000"/>
          <w:sz w:val="20"/>
          <w:u w:color="000000"/>
          <w:lang w:val="pt"/>
        </w:rPr>
        <w:t>ç</w:t>
      </w:r>
      <w:r>
        <w:rPr>
          <w:rFonts w:ascii="Arial" w:eastAsia="Arial Unicode MS"/>
          <w:color w:val="000000"/>
          <w:sz w:val="20"/>
          <w:u w:color="000000"/>
          <w:lang w:val="pt"/>
        </w:rPr>
        <w:t>as ao aumento dos volumes.</w:t>
      </w:r>
    </w:p>
    <w:p w14:paraId="7BA7D906" w14:textId="77777777" w:rsidR="000646AE" w:rsidRPr="00183B99" w:rsidRDefault="000646AE">
      <w:pPr>
        <w:spacing w:after="240" w:line="360" w:lineRule="exact"/>
        <w:outlineLvl w:val="0"/>
        <w:rPr>
          <w:rFonts w:eastAsia="Arial Unicode MS"/>
          <w:b/>
          <w:color w:val="333399"/>
          <w:sz w:val="36"/>
          <w:u w:color="333399"/>
        </w:rPr>
      </w:pPr>
      <w:r>
        <w:rPr>
          <w:rFonts w:eastAsia="Arial Unicode MS"/>
          <w:color w:val="333399"/>
          <w:sz w:val="36"/>
          <w:u w:color="333399"/>
          <w:lang w:val="pt"/>
        </w:rPr>
        <w:br w:type="column"/>
      </w:r>
      <w:r>
        <w:rPr>
          <w:rFonts w:eastAsia="Arial Unicode MS"/>
          <w:b/>
          <w:bCs/>
          <w:color w:val="333399"/>
          <w:sz w:val="36"/>
          <w:u w:color="333399"/>
          <w:lang w:val="pt"/>
        </w:rPr>
        <w:lastRenderedPageBreak/>
        <w:t>Fatos destacados do terceiro trimestre de 2016</w:t>
      </w:r>
    </w:p>
    <w:p w14:paraId="713DB11D" w14:textId="77777777" w:rsidR="00E61B50" w:rsidRPr="00183B99" w:rsidRDefault="00E61B50" w:rsidP="00E61B50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Nova fábrica de pneus de ligeiro de topo de gama no México (4 de julho de 2016)</w:t>
      </w:r>
    </w:p>
    <w:p w14:paraId="66C0A224" w14:textId="77777777" w:rsidR="00E61B50" w:rsidRPr="00183B99" w:rsidRDefault="00E61B50" w:rsidP="00E61B50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A Michelin e a Aviall, filial da Boeing, anunciam a assinatura de um acordo de colaboração estratégica (12 de julho de 2016).</w:t>
      </w:r>
    </w:p>
    <w:p w14:paraId="07191B9E" w14:textId="77777777" w:rsidR="00ED34DF" w:rsidRPr="00183B99" w:rsidRDefault="003020F7" w:rsidP="00ED34DF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Continua o programa de recompra de ações Michelin (1 de agosto de 2016)</w:t>
      </w:r>
    </w:p>
    <w:p w14:paraId="69453C63" w14:textId="77777777" w:rsidR="003020F7" w:rsidRPr="00183B99" w:rsidRDefault="003020F7" w:rsidP="003020F7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A aquisição da Levorin, especialista local em pneus de moto, reforça a presença da Michelin no Brasil (26 de agosto de 2016)</w:t>
      </w:r>
    </w:p>
    <w:p w14:paraId="202A8074" w14:textId="77777777" w:rsidR="00E61B50" w:rsidRPr="00183B99" w:rsidRDefault="003020F7" w:rsidP="003020F7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O pneu de camião MICHELIN X GUARD lança-se na China (31 de agosto de 2016)</w:t>
      </w:r>
    </w:p>
    <w:p w14:paraId="198E977E" w14:textId="77777777" w:rsidR="00E61B50" w:rsidRPr="00183B99" w:rsidRDefault="00E61B50" w:rsidP="00E61B50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Fórmula-E 2016/2017 - Os novos pneus MICHELIN Pilot Sport EV2 superam os testes de pré-época com êxito (12 de setembro de 2016)</w:t>
      </w:r>
    </w:p>
    <w:p w14:paraId="0E567CD7" w14:textId="77777777" w:rsidR="00E61B50" w:rsidRPr="00183B99" w:rsidRDefault="00BF7C5C" w:rsidP="00E61B50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Novo plano de ações para os empregados (15 de setembro de 2016)</w:t>
      </w:r>
    </w:p>
    <w:p w14:paraId="27000332" w14:textId="77777777" w:rsidR="00BF7C5C" w:rsidRPr="00183B99" w:rsidRDefault="00BF7C5C" w:rsidP="00BF7C5C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O Grupo inaugura um novo campus de I +D no centro de inovação Michelin (16 de setembro de 2016)</w:t>
      </w:r>
    </w:p>
    <w:p w14:paraId="46876CC1" w14:textId="77777777" w:rsidR="00AA7581" w:rsidRPr="00183B99" w:rsidRDefault="00AA7581" w:rsidP="00AA7581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MICHELIN XDR3: A inovação ao serviço da mina (16 de setembro de 2016)</w:t>
      </w:r>
    </w:p>
    <w:p w14:paraId="54640EEA" w14:textId="77777777" w:rsidR="00E61B50" w:rsidRPr="00183B99" w:rsidRDefault="002911D4" w:rsidP="002911D4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A ENGIE une-se à Michelin no capital da Symbio FCell, especialista europeu em pilhas de combustível (19 de setembro de 2016)</w:t>
      </w:r>
    </w:p>
    <w:p w14:paraId="1D9D08F1" w14:textId="77777777" w:rsidR="00E61B50" w:rsidRPr="00183B99" w:rsidRDefault="00E61B50" w:rsidP="00E61B50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O guia MICHELIN faz escala em Xangai (21 de setembro de 2016)</w:t>
      </w:r>
    </w:p>
    <w:p w14:paraId="2C6CC88A" w14:textId="77777777" w:rsidR="00E61B50" w:rsidRPr="00183B99" w:rsidRDefault="00572A32" w:rsidP="00E61B50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Novo MICHELIN CrossClimate+, segurança em todas as condições, do primeiro ao último quilómetro (1 de outubro de 2016)</w:t>
      </w:r>
    </w:p>
    <w:p w14:paraId="64561871" w14:textId="77777777" w:rsidR="00E61B50" w:rsidRPr="00183B99" w:rsidRDefault="00E61B50" w:rsidP="00A81367">
      <w:pPr>
        <w:numPr>
          <w:ilvl w:val="0"/>
          <w:numId w:val="21"/>
        </w:numPr>
        <w:spacing w:after="240" w:line="270" w:lineRule="atLeast"/>
        <w:ind w:left="771" w:hanging="411"/>
        <w:outlineLvl w:val="0"/>
        <w:rPr>
          <w:rFonts w:ascii="Arial" w:eastAsia="Arial Unicode MS" w:hAnsi="Arial"/>
          <w:b/>
          <w:color w:val="000000" w:themeColor="text1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 w:themeColor="text1"/>
          <w:sz w:val="20"/>
          <w:u w:color="000000"/>
          <w:lang w:val="pt"/>
        </w:rPr>
        <w:t>MICHELIN Pilot Sport4 S, primeiro em todos os âmbitos (1 de outubro de 2016)</w:t>
      </w:r>
    </w:p>
    <w:p w14:paraId="55F49DBC" w14:textId="77777777" w:rsidR="00854B74" w:rsidRPr="00183B99" w:rsidRDefault="00854B74" w:rsidP="00854B74">
      <w:pPr>
        <w:spacing w:after="240" w:line="270" w:lineRule="atLeast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14:paraId="24542AB6" w14:textId="77777777" w:rsidR="00854B74" w:rsidRPr="00183B99" w:rsidRDefault="00854B74" w:rsidP="00854B74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0"/>
        <w:rPr>
          <w:rFonts w:ascii="Arial" w:eastAsia="Arial Unicode MS" w:hAnsi="Arial"/>
          <w:color w:val="000000"/>
          <w:sz w:val="20"/>
          <w:u w:val="single" w:color="000000"/>
        </w:rPr>
      </w:pPr>
      <w:r>
        <w:rPr>
          <w:rFonts w:ascii="Arial" w:cs="Arial"/>
          <w:color w:val="000000"/>
          <w:sz w:val="20"/>
          <w:u w:color="000000"/>
          <w:lang w:val="pt"/>
        </w:rPr>
        <w:t xml:space="preserve">A lista completa dos fatos destacados do terceiro trimestre de 2016 </w:t>
      </w:r>
      <w:r>
        <w:rPr>
          <w:rFonts w:ascii="Arial" w:cs="Arial"/>
          <w:color w:val="000000"/>
          <w:sz w:val="20"/>
          <w:u w:color="000000"/>
          <w:lang w:val="pt"/>
        </w:rPr>
        <w:cr/>
        <w:t>est</w:t>
      </w:r>
      <w:r>
        <w:rPr>
          <w:rFonts w:ascii="Arial" w:cs="Arial"/>
          <w:color w:val="000000"/>
          <w:sz w:val="20"/>
          <w:u w:color="000000"/>
          <w:lang w:val="pt"/>
        </w:rPr>
        <w:t>á</w:t>
      </w:r>
      <w:r>
        <w:rPr>
          <w:rFonts w:ascii="Arial" w:cs="Arial"/>
          <w:color w:val="000000"/>
          <w:sz w:val="20"/>
          <w:u w:color="000000"/>
          <w:lang w:val="pt"/>
        </w:rPr>
        <w:t xml:space="preserve"> dispon</w:t>
      </w:r>
      <w:r>
        <w:rPr>
          <w:rFonts w:ascii="Arial" w:cs="Arial"/>
          <w:color w:val="000000"/>
          <w:sz w:val="20"/>
          <w:u w:color="000000"/>
          <w:lang w:val="pt"/>
        </w:rPr>
        <w:t>í</w:t>
      </w:r>
      <w:r>
        <w:rPr>
          <w:rFonts w:ascii="Arial" w:cs="Arial"/>
          <w:color w:val="000000"/>
          <w:sz w:val="20"/>
          <w:u w:color="000000"/>
          <w:lang w:val="pt"/>
        </w:rPr>
        <w:t xml:space="preserve">vel no site do Grupo: </w:t>
      </w:r>
      <w:hyperlink r:id="rId7">
        <w:r>
          <w:rPr>
            <w:rFonts w:ascii="Arial" w:hAnsi="Arial" w:cs="Arial"/>
            <w:color w:val="0000FF"/>
            <w:sz w:val="20"/>
            <w:szCs w:val="21"/>
            <w:u w:val="single"/>
            <w:lang w:val="pt"/>
          </w:rPr>
          <w:t>http://</w:t>
        </w:r>
      </w:hyperlink>
      <w:hyperlink r:id="rId8">
        <w:r>
          <w:rPr>
            <w:rFonts w:ascii="Arial" w:hAnsi="Arial" w:cs="Arial"/>
            <w:color w:val="0000FF"/>
            <w:sz w:val="20"/>
            <w:szCs w:val="21"/>
            <w:u w:val="single"/>
            <w:lang w:val="pt"/>
          </w:rPr>
          <w:t>www.michelin.com/fre</w:t>
        </w:r>
      </w:hyperlink>
    </w:p>
    <w:p w14:paraId="4BF753CB" w14:textId="77777777" w:rsidR="00854B74" w:rsidRPr="00183B99" w:rsidRDefault="00854B74" w:rsidP="00854B74">
      <w:pPr>
        <w:keepNext/>
        <w:tabs>
          <w:tab w:val="left" w:pos="360"/>
        </w:tabs>
        <w:jc w:val="center"/>
        <w:outlineLvl w:val="0"/>
        <w:rPr>
          <w:rFonts w:ascii="Verdana" w:eastAsia="Arial Unicode MS" w:hAnsi="Verdana"/>
          <w:b/>
          <w:color w:val="000000"/>
          <w:sz w:val="14"/>
          <w:u w:color="000000"/>
        </w:rPr>
      </w:pPr>
    </w:p>
    <w:p w14:paraId="6A567E1E" w14:textId="77777777" w:rsidR="00854B74" w:rsidRPr="00183B99" w:rsidRDefault="00854B74" w:rsidP="00854B74">
      <w:pPr>
        <w:keepNext/>
        <w:tabs>
          <w:tab w:val="left" w:pos="360"/>
        </w:tabs>
        <w:jc w:val="center"/>
        <w:outlineLvl w:val="0"/>
        <w:rPr>
          <w:rFonts w:ascii="Verdana" w:eastAsia="Arial Unicode MS" w:hAnsi="Verdana"/>
          <w:b/>
          <w:color w:val="000000"/>
          <w:sz w:val="14"/>
          <w:u w:color="000000"/>
        </w:rPr>
      </w:pPr>
    </w:p>
    <w:p w14:paraId="133129E8" w14:textId="77777777" w:rsidR="00854B74" w:rsidRPr="00183B99" w:rsidRDefault="00854B74" w:rsidP="00854B74">
      <w:pPr>
        <w:keepNext/>
        <w:tabs>
          <w:tab w:val="left" w:pos="360"/>
        </w:tabs>
        <w:jc w:val="center"/>
        <w:outlineLvl w:val="0"/>
        <w:rPr>
          <w:rFonts w:ascii="Verdana" w:eastAsia="Arial Unicode MS" w:hAnsi="Verdana"/>
          <w:b/>
          <w:color w:val="000000"/>
          <w:sz w:val="14"/>
          <w:u w:color="000000"/>
        </w:rPr>
      </w:pPr>
    </w:p>
    <w:p w14:paraId="60215710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7A15D9F9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33582B81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5889CC0D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396606E9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1A23D99C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6C5FFBA7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39462889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538DD4C7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0328BB4D" w14:textId="77777777" w:rsidR="00E61B50" w:rsidRPr="00183B99" w:rsidRDefault="00E61B50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4CA626C1" w14:textId="77777777" w:rsidR="00A81367" w:rsidRPr="00183B99" w:rsidRDefault="00A81367" w:rsidP="00201B1C">
      <w:pPr>
        <w:rPr>
          <w:rFonts w:eastAsia="Arial Unicode MS" w:hAnsi="Arial Unicode MS"/>
          <w:b/>
          <w:color w:val="000000"/>
          <w:u w:color="000000"/>
        </w:rPr>
      </w:pPr>
    </w:p>
    <w:p w14:paraId="1D299348" w14:textId="77777777" w:rsidR="003D260E" w:rsidRDefault="003D260E">
      <w:pPr>
        <w:rPr>
          <w:rFonts w:eastAsia="Arial Unicode MS" w:hAnsi="Arial Unicode MS"/>
          <w:b/>
          <w:color w:val="000000"/>
          <w:u w:color="000000"/>
        </w:rPr>
      </w:pPr>
      <w:r>
        <w:rPr>
          <w:rFonts w:eastAsia="Arial Unicode MS" w:hAnsi="Arial Unicode MS"/>
          <w:b/>
          <w:bCs/>
          <w:color w:val="000000"/>
          <w:u w:color="000000"/>
          <w:lang w:val="pt"/>
        </w:rPr>
        <w:br w:type="page"/>
      </w:r>
    </w:p>
    <w:p w14:paraId="5F04017A" w14:textId="77777777" w:rsidR="00854B74" w:rsidRPr="00183B99" w:rsidRDefault="00854B74" w:rsidP="00201B1C">
      <w:pPr>
        <w:rPr>
          <w:rFonts w:eastAsia="Arial Unicode MS"/>
          <w:b/>
          <w:color w:val="000000"/>
          <w:u w:color="000000"/>
        </w:rPr>
      </w:pPr>
      <w:r>
        <w:rPr>
          <w:rFonts w:eastAsia="Arial Unicode MS"/>
          <w:b/>
          <w:bCs/>
          <w:color w:val="000000"/>
          <w:u w:color="000000"/>
          <w:lang w:val="pt"/>
        </w:rPr>
        <w:lastRenderedPageBreak/>
        <w:t>CALENDÁRIO PARA O INVESTIDOR</w:t>
      </w:r>
    </w:p>
    <w:p w14:paraId="37B99ABC" w14:textId="77777777" w:rsidR="00854B74" w:rsidRPr="00183B99" w:rsidRDefault="00854B74" w:rsidP="00854B74">
      <w:pPr>
        <w:keepNext/>
        <w:tabs>
          <w:tab w:val="left" w:pos="360"/>
        </w:tabs>
        <w:outlineLvl w:val="0"/>
        <w:rPr>
          <w:rFonts w:eastAsia="Arial Unicode MS"/>
          <w:b/>
          <w:color w:val="000000"/>
          <w:u w:color="000000"/>
        </w:rPr>
      </w:pPr>
    </w:p>
    <w:p w14:paraId="6671E9F9" w14:textId="77777777" w:rsidR="00854B74" w:rsidRPr="00183B99" w:rsidRDefault="00854B74" w:rsidP="00854B74">
      <w:pPr>
        <w:keepNext/>
        <w:tabs>
          <w:tab w:val="left" w:pos="360"/>
        </w:tabs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Vendas líquidas e resultados em 31 de dezembro de 2016:</w:t>
      </w:r>
    </w:p>
    <w:p w14:paraId="3B29E0D4" w14:textId="77777777" w:rsidR="00201B1C" w:rsidRPr="00183B99" w:rsidRDefault="00854B74" w:rsidP="00201B1C">
      <w:pPr>
        <w:keepNext/>
        <w:tabs>
          <w:tab w:val="left" w:pos="360"/>
        </w:tabs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  <w:lang w:val="pt"/>
        </w:rPr>
        <w:t>Terça-feira, 14 de fevereiro de 2017, antes da abertura da Bolsa de Paris.</w:t>
      </w:r>
      <w:r>
        <w:rPr>
          <w:rFonts w:ascii="Arial" w:eastAsia="Arial Unicode MS" w:hAnsi="Arial"/>
          <w:color w:val="000000"/>
          <w:sz w:val="20"/>
          <w:u w:color="000000"/>
          <w:lang w:val="pt"/>
        </w:rPr>
        <w:cr/>
      </w:r>
      <w:r>
        <w:rPr>
          <w:rFonts w:ascii="Arial" w:eastAsia="Arial Unicode MS" w:hAnsi="Arial"/>
          <w:color w:val="000000"/>
          <w:sz w:val="20"/>
          <w:u w:color="000000"/>
          <w:lang w:val="pt"/>
        </w:rPr>
        <w:cr/>
      </w: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Informação trimestral em 31 de março de 2017:</w:t>
      </w:r>
    </w:p>
    <w:p w14:paraId="50A30A05" w14:textId="77777777" w:rsidR="00201B1C" w:rsidRPr="00183B99" w:rsidRDefault="00201B1C" w:rsidP="00201B1C">
      <w:pPr>
        <w:keepNext/>
        <w:tabs>
          <w:tab w:val="left" w:pos="360"/>
        </w:tabs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  <w:lang w:val="pt"/>
        </w:rPr>
        <w:t>20 de abril de 2017, depois do encerramento da Bolsa de Paris.</w:t>
      </w:r>
    </w:p>
    <w:p w14:paraId="19C435F7" w14:textId="77777777" w:rsidR="00854B74" w:rsidRPr="00183B99" w:rsidRDefault="00854B74" w:rsidP="00854B74">
      <w:pPr>
        <w:keepNext/>
        <w:tabs>
          <w:tab w:val="left" w:pos="360"/>
        </w:tabs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1756F789" w14:textId="77777777" w:rsidR="00854B74" w:rsidRPr="00183B99" w:rsidRDefault="00854B74" w:rsidP="00854B74">
      <w:pPr>
        <w:keepNext/>
        <w:tabs>
          <w:tab w:val="left" w:pos="360"/>
        </w:tabs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7E62FC16" w14:textId="77777777" w:rsidR="00A81367" w:rsidRPr="00183B99" w:rsidRDefault="00A81367" w:rsidP="00854B74">
      <w:pPr>
        <w:keepNext/>
        <w:tabs>
          <w:tab w:val="left" w:pos="360"/>
        </w:tabs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366DD679" w14:textId="77777777" w:rsidR="00A81367" w:rsidRPr="00183B99" w:rsidRDefault="00A81367" w:rsidP="00854B74">
      <w:pPr>
        <w:keepNext/>
        <w:tabs>
          <w:tab w:val="left" w:pos="360"/>
        </w:tabs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2EC9AAD0" w14:textId="77777777" w:rsidR="00854B74" w:rsidRPr="00183B99" w:rsidRDefault="00854B74" w:rsidP="00854B74">
      <w:pPr>
        <w:keepNext/>
        <w:tabs>
          <w:tab w:val="left" w:pos="360"/>
        </w:tabs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09AAB2A6" w14:textId="77777777" w:rsidR="00854B74" w:rsidRPr="00183B99" w:rsidRDefault="00854B74" w:rsidP="00854B74">
      <w:pPr>
        <w:keepNext/>
        <w:tabs>
          <w:tab w:val="left" w:pos="360"/>
        </w:tabs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"/>
          <w:b/>
          <w:bCs/>
          <w:color w:val="000000"/>
          <w:sz w:val="20"/>
          <w:u w:color="000000"/>
          <w:lang w:val="pt"/>
        </w:rPr>
        <w:t>ADVERTÊNCIA</w:t>
      </w:r>
    </w:p>
    <w:p w14:paraId="74944FE9" w14:textId="77777777" w:rsidR="00854B74" w:rsidRPr="00183B99" w:rsidRDefault="00854B74" w:rsidP="00854B74">
      <w:pPr>
        <w:keepNext/>
        <w:tabs>
          <w:tab w:val="left" w:pos="360"/>
        </w:tabs>
        <w:jc w:val="both"/>
        <w:outlineLvl w:val="0"/>
        <w:rPr>
          <w:rFonts w:ascii="Verdana" w:eastAsia="Arial Unicode MS" w:hAnsi="Verdana"/>
          <w:color w:val="000000"/>
          <w:sz w:val="14"/>
          <w:u w:color="000000"/>
        </w:rPr>
      </w:pPr>
    </w:p>
    <w:p w14:paraId="78CA9407" w14:textId="77777777" w:rsidR="00854B74" w:rsidRPr="00183B99" w:rsidRDefault="00854B74" w:rsidP="00854B74">
      <w:pPr>
        <w:keepNext/>
        <w:tabs>
          <w:tab w:val="left" w:pos="360"/>
        </w:tabs>
        <w:jc w:val="both"/>
        <w:outlineLvl w:val="0"/>
        <w:rPr>
          <w:rFonts w:eastAsia="Arial Unicode MS"/>
          <w:i/>
          <w:color w:val="000000"/>
          <w:sz w:val="22"/>
          <w:u w:color="000000"/>
        </w:rPr>
      </w:pP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>Este comunicado de imprensa n</w:t>
      </w: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>ã</w:t>
      </w: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>o constitui uma oferta de venda ou a solicita</w:t>
      </w: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>çã</w:t>
      </w: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>o de oferta de compra de a</w:t>
      </w: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>çõ</w:t>
      </w:r>
      <w:r>
        <w:rPr>
          <w:rFonts w:ascii="Arial" w:cs="Arial"/>
          <w:b/>
          <w:bCs/>
          <w:i/>
          <w:iCs/>
          <w:color w:val="000000"/>
          <w:sz w:val="20"/>
          <w:u w:color="000000"/>
          <w:lang w:val="pt"/>
        </w:rPr>
        <w:t xml:space="preserve">es Michelin. 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>Se quiser mais informação  acerca da Michelin, por favor consulte os documentos p</w:t>
      </w:r>
      <w:r>
        <w:rPr>
          <w:rFonts w:ascii="Arial" w:hAnsi="Arial" w:cs="Arial"/>
          <w:b/>
          <w:bCs/>
          <w:i/>
          <w:iCs/>
          <w:color w:val="000000"/>
          <w:sz w:val="20"/>
          <w:u w:color="000000"/>
          <w:lang w:val="pt"/>
        </w:rPr>
        <w:t>ú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>blicos depositados em l’Autorité des March</w:t>
      </w:r>
      <w:r>
        <w:rPr>
          <w:rFonts w:ascii="Arial" w:hAnsi="Arial" w:cs="Arial"/>
          <w:b/>
          <w:bCs/>
          <w:i/>
          <w:iCs/>
          <w:color w:val="000000"/>
          <w:sz w:val="20"/>
          <w:u w:color="000000"/>
          <w:lang w:val="pt"/>
        </w:rPr>
        <w:t>é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>s Financiers, em França.</w:t>
      </w:r>
      <w:r>
        <w:rPr>
          <w:rFonts w:ascii="Helvetica" w:eastAsia="Arial Unicode MS" w:hAnsi="Helvetica"/>
          <w:noProof/>
          <w:color w:val="000000"/>
          <w:u w:color="000000"/>
          <w:lang w:val="pt"/>
        </w:rPr>
        <w:t xml:space="preserve"> 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 xml:space="preserve">Igualmente pode consultá-los no nosso site: </w:t>
      </w:r>
      <w:hyperlink r:id="rId9">
        <w:r>
          <w:rPr>
            <w:rFonts w:ascii="Arial" w:hAnsi="Arial" w:cs="Arial"/>
            <w:b/>
            <w:bCs/>
            <w:i/>
            <w:iCs/>
            <w:color w:val="0000FF"/>
            <w:sz w:val="20"/>
            <w:szCs w:val="21"/>
            <w:lang w:val="pt"/>
          </w:rPr>
          <w:t>www.michelin.com</w:t>
        </w:r>
      </w:hyperlink>
      <w:r>
        <w:rPr>
          <w:rFonts w:ascii="Arial" w:hAnsi="Arial" w:cs="Arial"/>
          <w:b/>
          <w:bCs/>
          <w:i/>
          <w:iCs/>
          <w:color w:val="0000FF"/>
          <w:sz w:val="20"/>
          <w:szCs w:val="21"/>
          <w:u w:val="single"/>
          <w:lang w:val="pt"/>
        </w:rPr>
        <w:t>/fre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>.</w:t>
      </w:r>
      <w:r>
        <w:rPr>
          <w:rFonts w:ascii="Helvetica" w:eastAsia="Arial Unicode MS" w:hAnsi="Helvetica"/>
          <w:noProof/>
          <w:color w:val="000000"/>
          <w:u w:color="000000"/>
          <w:lang w:val="pt"/>
        </w:rPr>
        <w:t xml:space="preserve"> 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>Este comunicado pode conter algumas declarações de caráter provisório.</w:t>
      </w:r>
      <w:r>
        <w:rPr>
          <w:rFonts w:ascii="Helvetica" w:eastAsia="Arial Unicode MS" w:hAnsi="Helvetica"/>
          <w:noProof/>
          <w:color w:val="000000"/>
          <w:u w:color="000000"/>
          <w:lang w:val="pt"/>
        </w:rPr>
        <w:t xml:space="preserve"> </w:t>
      </w:r>
      <w:r>
        <w:rPr>
          <w:rFonts w:ascii="Helvetica" w:eastAsia="Arial Unicode MS" w:hAnsi="Helvetica"/>
          <w:b/>
          <w:bCs/>
          <w:i/>
          <w:iCs/>
          <w:noProof/>
          <w:color w:val="000000"/>
          <w:u w:color="000000"/>
          <w:lang w:val="pt"/>
        </w:rPr>
        <w:t>Embora a companhia estime que as suas declarações estão baseadas em hipóteses razoáveis na data de publicação do documento, as mesmas estão inerentemente sujeitas a riscos e incertezas que podem fazer com que haja alguma diferença entre os resultados reais e aqueles indicados ou induzidos nestas declarações.</w:t>
      </w:r>
      <w:r>
        <w:rPr>
          <w:rFonts w:ascii="Helvetica" w:eastAsia="Arial Unicode MS" w:hAnsi="Helvetica"/>
          <w:noProof/>
          <w:color w:val="000000"/>
          <w:u w:color="000000"/>
          <w:lang w:val="pt"/>
        </w:rPr>
        <w:t xml:space="preserve">   </w:t>
      </w:r>
    </w:p>
    <w:p w14:paraId="0E9DD073" w14:textId="77777777" w:rsidR="00854B74" w:rsidRPr="00183B99" w:rsidRDefault="00854B74" w:rsidP="00854B74">
      <w:pPr>
        <w:pStyle w:val="TextoMichelin"/>
        <w:rPr>
          <w:rFonts w:ascii="Times New Roman" w:eastAsia="Times New Roman" w:hAnsi="Times New Roman"/>
          <w:b/>
          <w:sz w:val="28"/>
        </w:rPr>
      </w:pPr>
    </w:p>
    <w:p w14:paraId="575281A6" w14:textId="77777777" w:rsidR="00A81367" w:rsidRPr="00183B99" w:rsidRDefault="00A81367" w:rsidP="00854B74">
      <w:pPr>
        <w:pStyle w:val="TextoMichelin"/>
        <w:rPr>
          <w:rFonts w:ascii="Times New Roman" w:eastAsia="Times New Roman" w:hAnsi="Times New Roman"/>
          <w:b/>
          <w:sz w:val="28"/>
        </w:rPr>
      </w:pPr>
    </w:p>
    <w:p w14:paraId="1344AE26" w14:textId="77777777" w:rsidR="00A81367" w:rsidRPr="00183B99" w:rsidRDefault="00A81367" w:rsidP="00854B74">
      <w:pPr>
        <w:pStyle w:val="TextoMichelin"/>
        <w:rPr>
          <w:rFonts w:ascii="Times New Roman" w:eastAsia="Times New Roman" w:hAnsi="Times New Roman"/>
          <w:b/>
          <w:sz w:val="28"/>
        </w:rPr>
      </w:pPr>
    </w:p>
    <w:p w14:paraId="4CD9B069" w14:textId="77777777" w:rsidR="00FA6D43" w:rsidRPr="00183B99" w:rsidRDefault="00FA6D43" w:rsidP="00FA6D43">
      <w:pPr>
        <w:autoSpaceDE w:val="0"/>
        <w:autoSpaceDN w:val="0"/>
        <w:adjustRightInd w:val="0"/>
        <w:spacing w:line="240" w:lineRule="atLeast"/>
        <w:jc w:val="both"/>
        <w:rPr>
          <w:rFonts w:ascii="Times" w:eastAsia="Times" w:hAnsi="Times"/>
          <w:i/>
          <w:sz w:val="22"/>
        </w:rPr>
      </w:pPr>
      <w:r>
        <w:rPr>
          <w:rFonts w:ascii="Times" w:eastAsia="Times" w:hAnsi="Times"/>
          <w:i/>
          <w:iCs/>
          <w:sz w:val="22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sz w:val="22"/>
          <w:lang w:val="pt"/>
        </w:rPr>
        <w:t>Michelin</w:t>
      </w:r>
      <w:r>
        <w:rPr>
          <w:rFonts w:ascii="Times" w:eastAsia="Times" w:hAnsi="Times"/>
          <w:i/>
          <w:iCs/>
          <w:sz w:val="22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5651865B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/>
          <w:bCs/>
          <w:color w:val="808080"/>
          <w:sz w:val="16"/>
          <w:szCs w:val="18"/>
        </w:rPr>
      </w:pPr>
    </w:p>
    <w:p w14:paraId="109C4593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/>
          <w:bCs/>
          <w:color w:val="808080"/>
          <w:sz w:val="16"/>
          <w:szCs w:val="18"/>
        </w:rPr>
      </w:pPr>
    </w:p>
    <w:p w14:paraId="5625DD2F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/>
          <w:bCs/>
          <w:color w:val="808080"/>
          <w:sz w:val="16"/>
          <w:szCs w:val="18"/>
        </w:rPr>
      </w:pPr>
    </w:p>
    <w:p w14:paraId="05A34A8A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/>
          <w:bCs/>
          <w:color w:val="808080"/>
          <w:sz w:val="16"/>
          <w:szCs w:val="18"/>
        </w:rPr>
      </w:pPr>
    </w:p>
    <w:p w14:paraId="646F4A46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/>
          <w:bCs/>
          <w:color w:val="808080"/>
          <w:sz w:val="16"/>
          <w:szCs w:val="18"/>
        </w:rPr>
      </w:pPr>
      <w:r>
        <w:rPr>
          <w:rFonts w:ascii="Arial" w:hAnsi="Arial"/>
          <w:b/>
          <w:bCs/>
          <w:color w:val="808080"/>
          <w:sz w:val="16"/>
          <w:szCs w:val="18"/>
          <w:lang w:val="pt"/>
        </w:rPr>
        <w:t>DEPARTAMENTO DE COMUNICAÇÃO</w:t>
      </w:r>
    </w:p>
    <w:p w14:paraId="1C815DD6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Cs/>
          <w:color w:val="808080"/>
          <w:sz w:val="16"/>
          <w:szCs w:val="18"/>
        </w:rPr>
      </w:pPr>
      <w:r>
        <w:rPr>
          <w:rFonts w:ascii="Arial" w:hAnsi="Arial"/>
          <w:color w:val="808080"/>
          <w:sz w:val="16"/>
          <w:szCs w:val="18"/>
          <w:lang w:val="pt"/>
        </w:rPr>
        <w:t>Avda. de Los Encuartes, 19</w:t>
      </w:r>
    </w:p>
    <w:p w14:paraId="29F99EA1" w14:textId="77777777" w:rsidR="00FA6D43" w:rsidRPr="00183B99" w:rsidRDefault="00FA6D43" w:rsidP="00FA6D43">
      <w:pPr>
        <w:tabs>
          <w:tab w:val="center" w:pos="4252"/>
          <w:tab w:val="right" w:pos="8504"/>
        </w:tabs>
        <w:outlineLvl w:val="0"/>
        <w:rPr>
          <w:rFonts w:ascii="Arial" w:hAnsi="Arial"/>
          <w:bCs/>
          <w:color w:val="808080"/>
          <w:sz w:val="16"/>
          <w:szCs w:val="18"/>
        </w:rPr>
      </w:pPr>
      <w:r>
        <w:rPr>
          <w:rFonts w:ascii="Arial" w:hAnsi="Arial"/>
          <w:color w:val="808080"/>
          <w:sz w:val="16"/>
          <w:szCs w:val="18"/>
          <w:lang w:val="pt"/>
        </w:rPr>
        <w:t>28760 Tres Cantos – Madrid – ESPANHA</w:t>
      </w:r>
    </w:p>
    <w:p w14:paraId="68474FB1" w14:textId="77777777" w:rsidR="00FA6D43" w:rsidRPr="00183B99" w:rsidRDefault="00FA6D43" w:rsidP="00FA6D43">
      <w:pPr>
        <w:jc w:val="both"/>
        <w:rPr>
          <w:rFonts w:ascii="Arial" w:eastAsia="Times" w:hAnsi="Arial"/>
          <w:bCs/>
          <w:color w:val="808080"/>
          <w:sz w:val="16"/>
          <w:szCs w:val="18"/>
        </w:rPr>
      </w:pPr>
      <w:r>
        <w:rPr>
          <w:rFonts w:ascii="Arial" w:eastAsia="Times" w:hAnsi="Arial"/>
          <w:color w:val="808080"/>
          <w:sz w:val="16"/>
          <w:szCs w:val="18"/>
          <w:lang w:val="pt"/>
        </w:rPr>
        <w:t>Tel.: 0034 914 105 167 – Fax: 0034 914 105 293</w:t>
      </w:r>
    </w:p>
    <w:p w14:paraId="12C924E7" w14:textId="77777777" w:rsidR="000646AE" w:rsidRPr="00183B99" w:rsidRDefault="000646AE" w:rsidP="00FA6D43">
      <w:pPr>
        <w:autoSpaceDE w:val="0"/>
        <w:autoSpaceDN w:val="0"/>
        <w:adjustRightInd w:val="0"/>
        <w:spacing w:line="240" w:lineRule="atLeast"/>
        <w:jc w:val="both"/>
        <w:rPr>
          <w:rFonts w:ascii="Arial" w:eastAsia="Arial Unicode MS" w:hAnsi="Arial"/>
          <w:color w:val="808080"/>
          <w:sz w:val="16"/>
          <w:u w:color="808080"/>
        </w:rPr>
      </w:pPr>
    </w:p>
    <w:sectPr w:rsidR="000646AE" w:rsidRPr="00183B99" w:rsidSect="00183B99">
      <w:headerReference w:type="default" r:id="rId10"/>
      <w:footerReference w:type="default" r:id="rId11"/>
      <w:pgSz w:w="11900" w:h="16840"/>
      <w:pgMar w:top="851" w:right="1080" w:bottom="1440" w:left="1134" w:header="142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281C" w14:textId="77777777" w:rsidR="00E7292D" w:rsidRDefault="00E7292D">
      <w:r>
        <w:separator/>
      </w:r>
    </w:p>
  </w:endnote>
  <w:endnote w:type="continuationSeparator" w:id="0">
    <w:p w14:paraId="037CE9BA" w14:textId="77777777" w:rsidR="00E7292D" w:rsidRDefault="00E7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Utop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FA16" w14:textId="77777777" w:rsidR="00543ABE" w:rsidRDefault="00543ABE">
    <w:pPr>
      <w:tabs>
        <w:tab w:val="center" w:pos="4252"/>
        <w:tab w:val="right" w:pos="8478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noProof/>
        <w:color w:val="000000"/>
        <w:u w:color="000000"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1F8AB355" wp14:editId="270E7782">
          <wp:simplePos x="0" y="0"/>
          <wp:positionH relativeFrom="page">
            <wp:posOffset>-368300</wp:posOffset>
          </wp:positionH>
          <wp:positionV relativeFrom="page">
            <wp:posOffset>9798050</wp:posOffset>
          </wp:positionV>
          <wp:extent cx="7942580" cy="824865"/>
          <wp:effectExtent l="25400" t="0" r="0" b="0"/>
          <wp:wrapTight wrapText="bothSides">
            <wp:wrapPolygon edited="0">
              <wp:start x="16440" y="3991"/>
              <wp:lineTo x="-69" y="12637"/>
              <wp:lineTo x="-69" y="13968"/>
              <wp:lineTo x="16509" y="14633"/>
              <wp:lineTo x="16509" y="15963"/>
              <wp:lineTo x="16854" y="16628"/>
              <wp:lineTo x="17822" y="16628"/>
              <wp:lineTo x="18098" y="16628"/>
              <wp:lineTo x="19756" y="16628"/>
              <wp:lineTo x="21068" y="15963"/>
              <wp:lineTo x="21137" y="8647"/>
              <wp:lineTo x="20585" y="6651"/>
              <wp:lineTo x="17200" y="3991"/>
              <wp:lineTo x="16440" y="3991"/>
            </wp:wrapPolygon>
          </wp:wrapTight>
          <wp:docPr id="2" name="Picture 2" descr="image1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-small"/>
                  <pic:cNvPicPr>
                    <a:picLocks noChangeAspect="1"/>
                  </pic:cNvPicPr>
                </pic:nvPicPr>
                <pic:blipFill>
                  <a:blip r:embed="rId1"/>
                  <a:srcRect l="23410" t="-33527" r="-2672" b="-35133"/>
                  <a:stretch>
                    <a:fillRect/>
                  </a:stretch>
                </pic:blipFill>
                <pic:spPr bwMode="auto">
                  <a:xfrm>
                    <a:off x="0" y="0"/>
                    <a:ext cx="7942580" cy="82486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eastAsia="Arial Unicode MS" w:hAnsi="Helvetica"/>
        <w:color w:val="000000"/>
        <w:u w:color="000000"/>
        <w:lang w:val="pt"/>
      </w:rPr>
      <w:fldChar w:fldCharType="begin"/>
    </w:r>
    <w:r>
      <w:rPr>
        <w:rFonts w:ascii="Helvetica" w:eastAsia="Arial Unicode MS" w:hAnsi="Helvetica"/>
        <w:color w:val="000000"/>
        <w:u w:color="000000"/>
        <w:lang w:val="pt"/>
      </w:rPr>
      <w:instrText xml:space="preserve"> PAGE </w:instrText>
    </w:r>
    <w:r>
      <w:rPr>
        <w:rFonts w:ascii="Helvetica" w:eastAsia="Arial Unicode MS" w:hAnsi="Helvetica"/>
        <w:color w:val="000000"/>
        <w:u w:color="000000"/>
        <w:lang w:val="pt"/>
      </w:rPr>
      <w:fldChar w:fldCharType="separate"/>
    </w:r>
    <w:r w:rsidR="004B49ED">
      <w:rPr>
        <w:rFonts w:ascii="Helvetica" w:eastAsia="Arial Unicode MS" w:hAnsi="Helvetica"/>
        <w:noProof/>
        <w:color w:val="000000"/>
        <w:u w:color="000000"/>
        <w:lang w:val="pt"/>
      </w:rPr>
      <w:t>1</w:t>
    </w:r>
    <w:r>
      <w:rPr>
        <w:rFonts w:ascii="Helvetica" w:eastAsia="Arial Unicode MS" w:hAnsi="Helvetica"/>
        <w:color w:val="000000"/>
        <w:u w:color="000000"/>
        <w:lang w:val="pt"/>
      </w:rPr>
      <w:fldChar w:fldCharType="end"/>
    </w:r>
  </w:p>
  <w:p w14:paraId="2001E9F9" w14:textId="77777777" w:rsidR="00543ABE" w:rsidRDefault="00543ABE"/>
  <w:p w14:paraId="0479AFFB" w14:textId="77777777" w:rsidR="00543ABE" w:rsidRDefault="00543A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13AC" w14:textId="77777777" w:rsidR="00E7292D" w:rsidRDefault="00E7292D">
      <w:r>
        <w:separator/>
      </w:r>
    </w:p>
  </w:footnote>
  <w:footnote w:type="continuationSeparator" w:id="0">
    <w:p w14:paraId="5030D9DE" w14:textId="77777777" w:rsidR="00E7292D" w:rsidRDefault="00E72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720F3" w14:textId="77777777" w:rsidR="00543ABE" w:rsidRDefault="00543ABE">
    <w:pPr>
      <w:pStyle w:val="Encabezado"/>
    </w:pPr>
  </w:p>
  <w:p w14:paraId="3537DBF3" w14:textId="77777777" w:rsidR="00543ABE" w:rsidRDefault="00543ABE"/>
  <w:p w14:paraId="3AFDD2AB" w14:textId="77777777" w:rsidR="00543ABE" w:rsidRDefault="00543AB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pStyle w:val="List1"/>
      <w:lvlText w:val="•"/>
      <w:lvlJc w:val="left"/>
      <w:pPr>
        <w:tabs>
          <w:tab w:val="num" w:pos="346"/>
        </w:tabs>
        <w:ind w:left="3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Lista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a3"/>
      <w:lvlText w:val="•"/>
      <w:lvlJc w:val="left"/>
      <w:pPr>
        <w:tabs>
          <w:tab w:val="num" w:pos="346"/>
        </w:tabs>
        <w:ind w:left="346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/>
        <w:caps w:val="0"/>
        <w:smallCaps w:val="0"/>
        <w:strike w:val="0"/>
        <w:dstrike w:val="0"/>
        <w:color w:val="000000"/>
        <w:kern w:val="0"/>
        <w:position w:val="0"/>
        <w:sz w:val="25"/>
        <w:u w:val="none" w:color="333399"/>
        <w:vertAlign w:val="baseline"/>
        <w:rtl w:val="0"/>
        <w:em w:val="none"/>
        <w:lang w:val="es-ES_tradnl"/>
      </w:rPr>
    </w:lvl>
  </w:abstractNum>
  <w:abstractNum w:abstractNumId="5">
    <w:nsid w:val="0000000A"/>
    <w:multiLevelType w:val="multilevel"/>
    <w:tmpl w:val="894EE87C"/>
    <w:lvl w:ilvl="0">
      <w:start w:val="1"/>
      <w:numFmt w:val="bullet"/>
      <w:pStyle w:val="Lista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46"/>
        </w:tabs>
        <w:ind w:left="346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C"/>
    <w:multiLevelType w:val="multilevel"/>
    <w:tmpl w:val="894EE87E"/>
    <w:lvl w:ilvl="0">
      <w:start w:val="1"/>
      <w:numFmt w:val="bullet"/>
      <w:pStyle w:val="Lista5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lvlText w:val="•"/>
      <w:lvlJc w:val="left"/>
      <w:pPr>
        <w:tabs>
          <w:tab w:val="num" w:pos="332"/>
        </w:tabs>
        <w:ind w:left="332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9">
    <w:nsid w:val="0000000F"/>
    <w:multiLevelType w:val="multilevel"/>
    <w:tmpl w:val="894EE881"/>
    <w:lvl w:ilvl="0">
      <w:start w:val="1"/>
      <w:numFmt w:val="bullet"/>
      <w:pStyle w:val="List6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32"/>
        </w:tabs>
        <w:ind w:left="332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0">
    <w:nsid w:val="0000001A"/>
    <w:multiLevelType w:val="multilevel"/>
    <w:tmpl w:val="894EE88C"/>
    <w:lvl w:ilvl="0">
      <w:start w:val="1"/>
      <w:numFmt w:val="bullet"/>
      <w:pStyle w:val="List7"/>
      <w:lvlText w:val="•"/>
      <w:lvlJc w:val="left"/>
      <w:pPr>
        <w:tabs>
          <w:tab w:val="num" w:pos="411"/>
        </w:tabs>
        <w:ind w:left="411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B"/>
    <w:multiLevelType w:val="multilevel"/>
    <w:tmpl w:val="894EE88D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12">
    <w:nsid w:val="0000001F"/>
    <w:multiLevelType w:val="multilevel"/>
    <w:tmpl w:val="894EE891"/>
    <w:lvl w:ilvl="0">
      <w:start w:val="1"/>
      <w:numFmt w:val="bullet"/>
      <w:pStyle w:val="List8"/>
      <w:lvlText w:val="•"/>
      <w:lvlJc w:val="left"/>
      <w:pPr>
        <w:tabs>
          <w:tab w:val="num" w:pos="332"/>
        </w:tabs>
        <w:ind w:left="3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20"/>
    <w:multiLevelType w:val="multilevel"/>
    <w:tmpl w:val="894EE892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6"/>
        <w:u w:val="none" w:color="000000"/>
        <w:vertAlign w:val="baseline"/>
        <w:rtl w:val="0"/>
        <w:em w:val="none"/>
        <w:lang w:val="es-ES_tradnl"/>
      </w:rPr>
    </w:lvl>
  </w:abstractNum>
  <w:abstractNum w:abstractNumId="14">
    <w:nsid w:val="00000024"/>
    <w:multiLevelType w:val="multilevel"/>
    <w:tmpl w:val="894EE896"/>
    <w:lvl w:ilvl="0">
      <w:start w:val="1"/>
      <w:numFmt w:val="bullet"/>
      <w:pStyle w:val="List9"/>
      <w:lvlText w:val="•"/>
      <w:lvlJc w:val="left"/>
      <w:pPr>
        <w:tabs>
          <w:tab w:val="num" w:pos="411"/>
        </w:tabs>
        <w:ind w:left="411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25"/>
    <w:multiLevelType w:val="multilevel"/>
    <w:tmpl w:val="894EE897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1"/>
        <w:u w:val="none" w:color="000000"/>
        <w:vertAlign w:val="baseline"/>
        <w:rtl w:val="0"/>
        <w:em w:val="none"/>
        <w:lang w:val="es-ES_tradnl"/>
      </w:rPr>
    </w:lvl>
  </w:abstractNum>
  <w:abstractNum w:abstractNumId="16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21E6901"/>
    <w:multiLevelType w:val="hybridMultilevel"/>
    <w:tmpl w:val="2E14298A"/>
    <w:lvl w:ilvl="0" w:tplc="DB980760">
      <w:numFmt w:val="bullet"/>
      <w:lvlText w:val="•"/>
      <w:lvlJc w:val="left"/>
      <w:pPr>
        <w:ind w:left="826" w:hanging="356"/>
      </w:pPr>
      <w:rPr>
        <w:rFonts w:ascii="Wingdings" w:eastAsia="Wingdings" w:hAnsi="Wingdings" w:cs="Wingdings" w:hint="default"/>
        <w:w w:val="91"/>
        <w:sz w:val="20"/>
        <w:szCs w:val="20"/>
      </w:rPr>
    </w:lvl>
    <w:lvl w:ilvl="1" w:tplc="5DF27F04">
      <w:numFmt w:val="bullet"/>
      <w:lvlText w:val="•"/>
      <w:lvlJc w:val="left"/>
      <w:pPr>
        <w:ind w:left="1792" w:hanging="356"/>
      </w:pPr>
      <w:rPr>
        <w:rFonts w:hint="default"/>
      </w:rPr>
    </w:lvl>
    <w:lvl w:ilvl="2" w:tplc="35E61B10">
      <w:numFmt w:val="bullet"/>
      <w:lvlText w:val="•"/>
      <w:lvlJc w:val="left"/>
      <w:pPr>
        <w:ind w:left="2764" w:hanging="356"/>
      </w:pPr>
      <w:rPr>
        <w:rFonts w:hint="default"/>
      </w:rPr>
    </w:lvl>
    <w:lvl w:ilvl="3" w:tplc="A7120CA2">
      <w:numFmt w:val="bullet"/>
      <w:lvlText w:val="•"/>
      <w:lvlJc w:val="left"/>
      <w:pPr>
        <w:ind w:left="3736" w:hanging="356"/>
      </w:pPr>
      <w:rPr>
        <w:rFonts w:hint="default"/>
      </w:rPr>
    </w:lvl>
    <w:lvl w:ilvl="4" w:tplc="10BC5842">
      <w:numFmt w:val="bullet"/>
      <w:lvlText w:val="•"/>
      <w:lvlJc w:val="left"/>
      <w:pPr>
        <w:ind w:left="4708" w:hanging="356"/>
      </w:pPr>
      <w:rPr>
        <w:rFonts w:hint="default"/>
      </w:rPr>
    </w:lvl>
    <w:lvl w:ilvl="5" w:tplc="57782CDC">
      <w:numFmt w:val="bullet"/>
      <w:lvlText w:val="•"/>
      <w:lvlJc w:val="left"/>
      <w:pPr>
        <w:ind w:left="5680" w:hanging="356"/>
      </w:pPr>
      <w:rPr>
        <w:rFonts w:hint="default"/>
      </w:rPr>
    </w:lvl>
    <w:lvl w:ilvl="6" w:tplc="5C96822A">
      <w:numFmt w:val="bullet"/>
      <w:lvlText w:val="•"/>
      <w:lvlJc w:val="left"/>
      <w:pPr>
        <w:ind w:left="6652" w:hanging="356"/>
      </w:pPr>
      <w:rPr>
        <w:rFonts w:hint="default"/>
      </w:rPr>
    </w:lvl>
    <w:lvl w:ilvl="7" w:tplc="03308E68">
      <w:numFmt w:val="bullet"/>
      <w:lvlText w:val="•"/>
      <w:lvlJc w:val="left"/>
      <w:pPr>
        <w:ind w:left="7624" w:hanging="356"/>
      </w:pPr>
      <w:rPr>
        <w:rFonts w:hint="default"/>
      </w:rPr>
    </w:lvl>
    <w:lvl w:ilvl="8" w:tplc="D17E6348">
      <w:numFmt w:val="bullet"/>
      <w:lvlText w:val="•"/>
      <w:lvlJc w:val="left"/>
      <w:pPr>
        <w:ind w:left="8596" w:hanging="356"/>
      </w:pPr>
      <w:rPr>
        <w:rFonts w:hint="default"/>
      </w:rPr>
    </w:lvl>
  </w:abstractNum>
  <w:abstractNum w:abstractNumId="19">
    <w:nsid w:val="07E515B0"/>
    <w:multiLevelType w:val="hybridMultilevel"/>
    <w:tmpl w:val="9B00B446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1E9203AE"/>
    <w:multiLevelType w:val="hybridMultilevel"/>
    <w:tmpl w:val="C414BE78"/>
    <w:lvl w:ilvl="0" w:tplc="878C82E2">
      <w:numFmt w:val="bullet"/>
      <w:lvlText w:val="o"/>
      <w:lvlJc w:val="left"/>
      <w:pPr>
        <w:ind w:left="541" w:hanging="284"/>
      </w:pPr>
      <w:rPr>
        <w:rFonts w:hint="default"/>
        <w:w w:val="99"/>
      </w:rPr>
    </w:lvl>
    <w:lvl w:ilvl="1" w:tplc="A4108D92">
      <w:numFmt w:val="bullet"/>
      <w:lvlText w:val="o"/>
      <w:lvlJc w:val="left"/>
      <w:pPr>
        <w:ind w:left="1698" w:hanging="360"/>
      </w:pPr>
      <w:rPr>
        <w:rFonts w:ascii="Courier" w:eastAsia="Courier" w:hAnsi="Courier" w:cs="Courier" w:hint="default"/>
        <w:w w:val="99"/>
        <w:sz w:val="18"/>
        <w:szCs w:val="18"/>
      </w:rPr>
    </w:lvl>
    <w:lvl w:ilvl="2" w:tplc="A20662C0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E3C6E080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23946EA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56880484"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9A1EFF0C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FA16BA4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FF34FC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1">
    <w:nsid w:val="23A53CC9"/>
    <w:multiLevelType w:val="hybridMultilevel"/>
    <w:tmpl w:val="53A2D1C0"/>
    <w:lvl w:ilvl="0" w:tplc="65781E26">
      <w:numFmt w:val="bullet"/>
      <w:lvlText w:val="o"/>
      <w:lvlJc w:val="left"/>
      <w:pPr>
        <w:ind w:left="1698" w:hanging="360"/>
      </w:pPr>
      <w:rPr>
        <w:rFonts w:ascii="Courier" w:eastAsia="Courier" w:hAnsi="Courier" w:cs="Courier" w:hint="default"/>
        <w:w w:val="99"/>
        <w:sz w:val="18"/>
        <w:szCs w:val="18"/>
      </w:rPr>
    </w:lvl>
    <w:lvl w:ilvl="1" w:tplc="E4D8F08A">
      <w:numFmt w:val="bullet"/>
      <w:lvlText w:val="•"/>
      <w:lvlJc w:val="left"/>
      <w:pPr>
        <w:ind w:left="2598" w:hanging="360"/>
      </w:pPr>
      <w:rPr>
        <w:rFonts w:hint="default"/>
      </w:rPr>
    </w:lvl>
    <w:lvl w:ilvl="2" w:tplc="6CFC6710">
      <w:numFmt w:val="bullet"/>
      <w:lvlText w:val="•"/>
      <w:lvlJc w:val="left"/>
      <w:pPr>
        <w:ind w:left="3496" w:hanging="360"/>
      </w:pPr>
      <w:rPr>
        <w:rFonts w:hint="default"/>
      </w:rPr>
    </w:lvl>
    <w:lvl w:ilvl="3" w:tplc="4F64FD5C">
      <w:numFmt w:val="bullet"/>
      <w:lvlText w:val="•"/>
      <w:lvlJc w:val="left"/>
      <w:pPr>
        <w:ind w:left="4394" w:hanging="360"/>
      </w:pPr>
      <w:rPr>
        <w:rFonts w:hint="default"/>
      </w:rPr>
    </w:lvl>
    <w:lvl w:ilvl="4" w:tplc="7996D59C">
      <w:numFmt w:val="bullet"/>
      <w:lvlText w:val="•"/>
      <w:lvlJc w:val="left"/>
      <w:pPr>
        <w:ind w:left="5292" w:hanging="360"/>
      </w:pPr>
      <w:rPr>
        <w:rFonts w:hint="default"/>
      </w:rPr>
    </w:lvl>
    <w:lvl w:ilvl="5" w:tplc="3B12881A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CA7813B0"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B8588E6C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538A6C6A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2">
    <w:nsid w:val="34DE7957"/>
    <w:multiLevelType w:val="hybridMultilevel"/>
    <w:tmpl w:val="89C83120"/>
    <w:lvl w:ilvl="0" w:tplc="1EA605C0">
      <w:numFmt w:val="bullet"/>
      <w:lvlText w:val="•"/>
      <w:lvlJc w:val="left"/>
      <w:pPr>
        <w:ind w:left="926" w:hanging="281"/>
      </w:pPr>
      <w:rPr>
        <w:rFonts w:ascii="Wingdings" w:eastAsia="Wingdings" w:hAnsi="Wingdings" w:cs="Wingdings" w:hint="default"/>
        <w:w w:val="91"/>
        <w:sz w:val="20"/>
        <w:szCs w:val="20"/>
      </w:rPr>
    </w:lvl>
    <w:lvl w:ilvl="1" w:tplc="D42E6470">
      <w:numFmt w:val="bullet"/>
      <w:lvlText w:val="•"/>
      <w:lvlJc w:val="left"/>
      <w:pPr>
        <w:ind w:left="1892" w:hanging="281"/>
      </w:pPr>
      <w:rPr>
        <w:rFonts w:hint="default"/>
      </w:rPr>
    </w:lvl>
    <w:lvl w:ilvl="2" w:tplc="74627350">
      <w:numFmt w:val="bullet"/>
      <w:lvlText w:val="•"/>
      <w:lvlJc w:val="left"/>
      <w:pPr>
        <w:ind w:left="2864" w:hanging="281"/>
      </w:pPr>
      <w:rPr>
        <w:rFonts w:hint="default"/>
      </w:rPr>
    </w:lvl>
    <w:lvl w:ilvl="3" w:tplc="56C66510">
      <w:numFmt w:val="bullet"/>
      <w:lvlText w:val="•"/>
      <w:lvlJc w:val="left"/>
      <w:pPr>
        <w:ind w:left="3836" w:hanging="281"/>
      </w:pPr>
      <w:rPr>
        <w:rFonts w:hint="default"/>
      </w:rPr>
    </w:lvl>
    <w:lvl w:ilvl="4" w:tplc="7BD299D8">
      <w:numFmt w:val="bullet"/>
      <w:lvlText w:val="•"/>
      <w:lvlJc w:val="left"/>
      <w:pPr>
        <w:ind w:left="4808" w:hanging="281"/>
      </w:pPr>
      <w:rPr>
        <w:rFonts w:hint="default"/>
      </w:rPr>
    </w:lvl>
    <w:lvl w:ilvl="5" w:tplc="59AC83C2">
      <w:numFmt w:val="bullet"/>
      <w:lvlText w:val="•"/>
      <w:lvlJc w:val="left"/>
      <w:pPr>
        <w:ind w:left="5780" w:hanging="281"/>
      </w:pPr>
      <w:rPr>
        <w:rFonts w:hint="default"/>
      </w:rPr>
    </w:lvl>
    <w:lvl w:ilvl="6" w:tplc="0850664E">
      <w:numFmt w:val="bullet"/>
      <w:lvlText w:val="•"/>
      <w:lvlJc w:val="left"/>
      <w:pPr>
        <w:ind w:left="6752" w:hanging="281"/>
      </w:pPr>
      <w:rPr>
        <w:rFonts w:hint="default"/>
      </w:rPr>
    </w:lvl>
    <w:lvl w:ilvl="7" w:tplc="5AB099B6">
      <w:numFmt w:val="bullet"/>
      <w:lvlText w:val="•"/>
      <w:lvlJc w:val="left"/>
      <w:pPr>
        <w:ind w:left="7724" w:hanging="281"/>
      </w:pPr>
      <w:rPr>
        <w:rFonts w:hint="default"/>
      </w:rPr>
    </w:lvl>
    <w:lvl w:ilvl="8" w:tplc="805E009A">
      <w:numFmt w:val="bullet"/>
      <w:lvlText w:val="•"/>
      <w:lvlJc w:val="left"/>
      <w:pPr>
        <w:ind w:left="8696" w:hanging="281"/>
      </w:pPr>
      <w:rPr>
        <w:rFonts w:hint="default"/>
      </w:rPr>
    </w:lvl>
  </w:abstractNum>
  <w:abstractNum w:abstractNumId="23">
    <w:nsid w:val="35B936DA"/>
    <w:multiLevelType w:val="hybridMultilevel"/>
    <w:tmpl w:val="3D26524E"/>
    <w:lvl w:ilvl="0" w:tplc="CB32B6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635BC"/>
    <w:multiLevelType w:val="hybridMultilevel"/>
    <w:tmpl w:val="3C8C183E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20CBF"/>
    <w:multiLevelType w:val="hybridMultilevel"/>
    <w:tmpl w:val="768E85F0"/>
    <w:lvl w:ilvl="0" w:tplc="D878EEDA">
      <w:numFmt w:val="bullet"/>
      <w:lvlText w:val="o"/>
      <w:lvlJc w:val="left"/>
      <w:pPr>
        <w:ind w:left="468" w:hanging="35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566EA8E">
      <w:numFmt w:val="bullet"/>
      <w:lvlText w:val="•"/>
      <w:lvlJc w:val="left"/>
      <w:pPr>
        <w:ind w:left="826" w:hanging="284"/>
      </w:pPr>
      <w:rPr>
        <w:rFonts w:ascii="Wingdings" w:eastAsia="Wingdings" w:hAnsi="Wingdings" w:cs="Wingdings" w:hint="default"/>
        <w:w w:val="91"/>
        <w:sz w:val="24"/>
        <w:szCs w:val="24"/>
      </w:rPr>
    </w:lvl>
    <w:lvl w:ilvl="2" w:tplc="0C6CE9DC">
      <w:numFmt w:val="bullet"/>
      <w:lvlText w:val="o"/>
      <w:lvlJc w:val="left"/>
      <w:pPr>
        <w:ind w:left="1198" w:hanging="360"/>
      </w:pPr>
      <w:rPr>
        <w:rFonts w:ascii="Courier" w:eastAsia="Courier" w:hAnsi="Courier" w:cs="Courier" w:hint="default"/>
        <w:w w:val="99"/>
        <w:sz w:val="20"/>
        <w:szCs w:val="20"/>
      </w:rPr>
    </w:lvl>
    <w:lvl w:ilvl="3" w:tplc="45D66F46"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2D661DA8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06CE80F6">
      <w:numFmt w:val="bullet"/>
      <w:lvlText w:val="•"/>
      <w:lvlJc w:val="left"/>
      <w:pPr>
        <w:ind w:left="4702" w:hanging="360"/>
      </w:pPr>
      <w:rPr>
        <w:rFonts w:hint="default"/>
      </w:rPr>
    </w:lvl>
    <w:lvl w:ilvl="6" w:tplc="BD3E760E"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5CDE2A1C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E1BED26A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26">
    <w:nsid w:val="47A967D0"/>
    <w:multiLevelType w:val="hybridMultilevel"/>
    <w:tmpl w:val="A6AC7CEC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426CB"/>
    <w:multiLevelType w:val="hybridMultilevel"/>
    <w:tmpl w:val="C332E2DE"/>
    <w:lvl w:ilvl="0" w:tplc="F8E61DD6">
      <w:numFmt w:val="bullet"/>
      <w:lvlText w:val="*"/>
      <w:lvlJc w:val="left"/>
      <w:pPr>
        <w:ind w:left="716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E86F2B2">
      <w:numFmt w:val="bullet"/>
      <w:lvlText w:val="•"/>
      <w:lvlJc w:val="left"/>
      <w:pPr>
        <w:ind w:left="1246" w:hanging="281"/>
      </w:pPr>
      <w:rPr>
        <w:rFonts w:ascii="Wingdings" w:eastAsia="Wingdings" w:hAnsi="Wingdings" w:cs="Wingdings" w:hint="default"/>
        <w:w w:val="91"/>
        <w:sz w:val="20"/>
        <w:szCs w:val="20"/>
      </w:rPr>
    </w:lvl>
    <w:lvl w:ilvl="2" w:tplc="1AACC1F0">
      <w:numFmt w:val="bullet"/>
      <w:lvlText w:val="o"/>
      <w:lvlJc w:val="left"/>
      <w:pPr>
        <w:ind w:left="1618" w:hanging="360"/>
      </w:pPr>
      <w:rPr>
        <w:rFonts w:ascii="Courier" w:eastAsia="Courier" w:hAnsi="Courier" w:cs="Courier" w:hint="default"/>
        <w:w w:val="99"/>
        <w:sz w:val="20"/>
        <w:szCs w:val="20"/>
      </w:rPr>
    </w:lvl>
    <w:lvl w:ilvl="3" w:tplc="9FA65034">
      <w:numFmt w:val="bullet"/>
      <w:lvlText w:val="-"/>
      <w:lvlJc w:val="left"/>
      <w:pPr>
        <w:ind w:left="1779" w:hanging="16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517A3292">
      <w:numFmt w:val="bullet"/>
      <w:lvlText w:val="•"/>
      <w:lvlJc w:val="left"/>
      <w:pPr>
        <w:ind w:left="3091" w:hanging="161"/>
      </w:pPr>
      <w:rPr>
        <w:rFonts w:hint="default"/>
      </w:rPr>
    </w:lvl>
    <w:lvl w:ilvl="5" w:tplc="692E921C">
      <w:numFmt w:val="bullet"/>
      <w:lvlText w:val="•"/>
      <w:lvlJc w:val="left"/>
      <w:pPr>
        <w:ind w:left="4402" w:hanging="161"/>
      </w:pPr>
      <w:rPr>
        <w:rFonts w:hint="default"/>
      </w:rPr>
    </w:lvl>
    <w:lvl w:ilvl="6" w:tplc="A4F03B24">
      <w:numFmt w:val="bullet"/>
      <w:lvlText w:val="•"/>
      <w:lvlJc w:val="left"/>
      <w:pPr>
        <w:ind w:left="5714" w:hanging="161"/>
      </w:pPr>
      <w:rPr>
        <w:rFonts w:hint="default"/>
      </w:rPr>
    </w:lvl>
    <w:lvl w:ilvl="7" w:tplc="63B6ACBC">
      <w:numFmt w:val="bullet"/>
      <w:lvlText w:val="•"/>
      <w:lvlJc w:val="left"/>
      <w:pPr>
        <w:ind w:left="7025" w:hanging="161"/>
      </w:pPr>
      <w:rPr>
        <w:rFonts w:hint="default"/>
      </w:rPr>
    </w:lvl>
    <w:lvl w:ilvl="8" w:tplc="545CA4A4">
      <w:numFmt w:val="bullet"/>
      <w:lvlText w:val="•"/>
      <w:lvlJc w:val="left"/>
      <w:pPr>
        <w:ind w:left="8337" w:hanging="161"/>
      </w:pPr>
      <w:rPr>
        <w:rFonts w:hint="default"/>
      </w:rPr>
    </w:lvl>
  </w:abstractNum>
  <w:abstractNum w:abstractNumId="28">
    <w:nsid w:val="50B33423"/>
    <w:multiLevelType w:val="hybridMultilevel"/>
    <w:tmpl w:val="B92E8D52"/>
    <w:lvl w:ilvl="0" w:tplc="CB32B6C2">
      <w:start w:val="1"/>
      <w:numFmt w:val="bullet"/>
      <w:lvlText w:val=""/>
      <w:lvlJc w:val="left"/>
      <w:pPr>
        <w:ind w:left="105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9">
    <w:nsid w:val="52AD749C"/>
    <w:multiLevelType w:val="hybridMultilevel"/>
    <w:tmpl w:val="BBF64E9A"/>
    <w:lvl w:ilvl="0" w:tplc="C56AF252">
      <w:numFmt w:val="bullet"/>
      <w:lvlText w:val="•"/>
      <w:lvlJc w:val="left"/>
      <w:pPr>
        <w:ind w:left="478" w:hanging="360"/>
      </w:pPr>
      <w:rPr>
        <w:rFonts w:hint="default"/>
        <w:w w:val="91"/>
      </w:rPr>
    </w:lvl>
    <w:lvl w:ilvl="1" w:tplc="C360E3EA">
      <w:numFmt w:val="bullet"/>
      <w:lvlText w:val="o"/>
      <w:lvlJc w:val="left"/>
      <w:pPr>
        <w:ind w:left="818" w:hanging="360"/>
      </w:pPr>
      <w:rPr>
        <w:rFonts w:ascii="Courier" w:eastAsia="Courier" w:hAnsi="Courier" w:cs="Courier" w:hint="default"/>
        <w:w w:val="99"/>
        <w:sz w:val="20"/>
        <w:szCs w:val="20"/>
      </w:rPr>
    </w:lvl>
    <w:lvl w:ilvl="2" w:tplc="4A728874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3140E14C"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7BAB1C2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DBCE1176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2926FBF4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57A83EA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9C29726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30">
    <w:nsid w:val="63C25832"/>
    <w:multiLevelType w:val="multilevel"/>
    <w:tmpl w:val="5FDC1038"/>
    <w:lvl w:ilvl="0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6C61EA"/>
    <w:multiLevelType w:val="hybridMultilevel"/>
    <w:tmpl w:val="C7605998"/>
    <w:lvl w:ilvl="0" w:tplc="A678CB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CD5831"/>
    <w:multiLevelType w:val="multilevel"/>
    <w:tmpl w:val="71CAD4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F5108"/>
    <w:multiLevelType w:val="hybridMultilevel"/>
    <w:tmpl w:val="AB1E3058"/>
    <w:lvl w:ilvl="0" w:tplc="EEBE95EA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  <w:color w:val="auto"/>
      </w:rPr>
    </w:lvl>
    <w:lvl w:ilvl="1" w:tplc="EEBE95EA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23"/>
  </w:num>
  <w:num w:numId="19">
    <w:abstractNumId w:val="24"/>
  </w:num>
  <w:num w:numId="20">
    <w:abstractNumId w:val="26"/>
  </w:num>
  <w:num w:numId="21">
    <w:abstractNumId w:val="30"/>
  </w:num>
  <w:num w:numId="22">
    <w:abstractNumId w:val="16"/>
  </w:num>
  <w:num w:numId="23">
    <w:abstractNumId w:val="17"/>
  </w:num>
  <w:num w:numId="24">
    <w:abstractNumId w:val="31"/>
  </w:num>
  <w:num w:numId="25">
    <w:abstractNumId w:val="21"/>
  </w:num>
  <w:num w:numId="26">
    <w:abstractNumId w:val="20"/>
  </w:num>
  <w:num w:numId="27">
    <w:abstractNumId w:val="32"/>
  </w:num>
  <w:num w:numId="28">
    <w:abstractNumId w:val="28"/>
  </w:num>
  <w:num w:numId="29">
    <w:abstractNumId w:val="25"/>
  </w:num>
  <w:num w:numId="30">
    <w:abstractNumId w:val="27"/>
  </w:num>
  <w:num w:numId="31">
    <w:abstractNumId w:val="22"/>
  </w:num>
  <w:num w:numId="32">
    <w:abstractNumId w:val="19"/>
  </w:num>
  <w:num w:numId="33">
    <w:abstractNumId w:val="18"/>
  </w:num>
  <w:num w:numId="3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4660"/>
    <w:rsid w:val="00004A74"/>
    <w:rsid w:val="0001515C"/>
    <w:rsid w:val="00015D58"/>
    <w:rsid w:val="00017C6A"/>
    <w:rsid w:val="000212B0"/>
    <w:rsid w:val="00026A50"/>
    <w:rsid w:val="00027A5C"/>
    <w:rsid w:val="00031970"/>
    <w:rsid w:val="00035660"/>
    <w:rsid w:val="00037A49"/>
    <w:rsid w:val="00037E54"/>
    <w:rsid w:val="000431EA"/>
    <w:rsid w:val="000447E8"/>
    <w:rsid w:val="000472D0"/>
    <w:rsid w:val="000534B0"/>
    <w:rsid w:val="00053A62"/>
    <w:rsid w:val="00055CB2"/>
    <w:rsid w:val="00055CB4"/>
    <w:rsid w:val="00061D75"/>
    <w:rsid w:val="000646AE"/>
    <w:rsid w:val="000671DD"/>
    <w:rsid w:val="00071266"/>
    <w:rsid w:val="00077F83"/>
    <w:rsid w:val="000808CE"/>
    <w:rsid w:val="00082210"/>
    <w:rsid w:val="000836BA"/>
    <w:rsid w:val="0008403B"/>
    <w:rsid w:val="000871BD"/>
    <w:rsid w:val="0009233D"/>
    <w:rsid w:val="000923D7"/>
    <w:rsid w:val="000A24ED"/>
    <w:rsid w:val="000A411E"/>
    <w:rsid w:val="000A608A"/>
    <w:rsid w:val="000A674F"/>
    <w:rsid w:val="000A7A57"/>
    <w:rsid w:val="000A7F08"/>
    <w:rsid w:val="000B38D3"/>
    <w:rsid w:val="000B7985"/>
    <w:rsid w:val="000B7C73"/>
    <w:rsid w:val="000C0CB7"/>
    <w:rsid w:val="000C19F8"/>
    <w:rsid w:val="000C209C"/>
    <w:rsid w:val="000C5F06"/>
    <w:rsid w:val="000C7A0E"/>
    <w:rsid w:val="000C7A63"/>
    <w:rsid w:val="000C7DC3"/>
    <w:rsid w:val="000D2A2A"/>
    <w:rsid w:val="000D396E"/>
    <w:rsid w:val="000D4CDB"/>
    <w:rsid w:val="000D7C48"/>
    <w:rsid w:val="000E1E31"/>
    <w:rsid w:val="000E2281"/>
    <w:rsid w:val="000E2F71"/>
    <w:rsid w:val="000E3156"/>
    <w:rsid w:val="000E3520"/>
    <w:rsid w:val="000F3B0C"/>
    <w:rsid w:val="000F6F00"/>
    <w:rsid w:val="000F7784"/>
    <w:rsid w:val="00104A4F"/>
    <w:rsid w:val="0010548F"/>
    <w:rsid w:val="0010570C"/>
    <w:rsid w:val="001107AB"/>
    <w:rsid w:val="00114BF7"/>
    <w:rsid w:val="00114DA8"/>
    <w:rsid w:val="00116C4C"/>
    <w:rsid w:val="0012238C"/>
    <w:rsid w:val="00130A31"/>
    <w:rsid w:val="00135F98"/>
    <w:rsid w:val="0014329B"/>
    <w:rsid w:val="00151B90"/>
    <w:rsid w:val="0015593B"/>
    <w:rsid w:val="00155D1C"/>
    <w:rsid w:val="00156AE1"/>
    <w:rsid w:val="0016101B"/>
    <w:rsid w:val="00166113"/>
    <w:rsid w:val="001663F1"/>
    <w:rsid w:val="0016701B"/>
    <w:rsid w:val="00167642"/>
    <w:rsid w:val="001706BF"/>
    <w:rsid w:val="0017100F"/>
    <w:rsid w:val="001726A6"/>
    <w:rsid w:val="0017411C"/>
    <w:rsid w:val="00183B99"/>
    <w:rsid w:val="00184291"/>
    <w:rsid w:val="00187A8E"/>
    <w:rsid w:val="00195F38"/>
    <w:rsid w:val="001A002A"/>
    <w:rsid w:val="001A365D"/>
    <w:rsid w:val="001A36C2"/>
    <w:rsid w:val="001B122D"/>
    <w:rsid w:val="001B2207"/>
    <w:rsid w:val="001B339A"/>
    <w:rsid w:val="001B5CFA"/>
    <w:rsid w:val="001B6809"/>
    <w:rsid w:val="001B7B69"/>
    <w:rsid w:val="001C6445"/>
    <w:rsid w:val="001C6B4E"/>
    <w:rsid w:val="001D1773"/>
    <w:rsid w:val="001D3420"/>
    <w:rsid w:val="001D474B"/>
    <w:rsid w:val="001D7BE6"/>
    <w:rsid w:val="001E1D37"/>
    <w:rsid w:val="001E21F7"/>
    <w:rsid w:val="001E45C3"/>
    <w:rsid w:val="001F4E56"/>
    <w:rsid w:val="001F5C62"/>
    <w:rsid w:val="001F71AA"/>
    <w:rsid w:val="00201A30"/>
    <w:rsid w:val="00201B1C"/>
    <w:rsid w:val="00203C89"/>
    <w:rsid w:val="00204E5F"/>
    <w:rsid w:val="0020500A"/>
    <w:rsid w:val="002106D9"/>
    <w:rsid w:val="00211D48"/>
    <w:rsid w:val="002136A1"/>
    <w:rsid w:val="00215542"/>
    <w:rsid w:val="00221807"/>
    <w:rsid w:val="00222258"/>
    <w:rsid w:val="00222EDE"/>
    <w:rsid w:val="00224BB6"/>
    <w:rsid w:val="00230C31"/>
    <w:rsid w:val="00230CBA"/>
    <w:rsid w:val="002331BD"/>
    <w:rsid w:val="00234418"/>
    <w:rsid w:val="00234421"/>
    <w:rsid w:val="00250055"/>
    <w:rsid w:val="00253716"/>
    <w:rsid w:val="00257C6C"/>
    <w:rsid w:val="002615BA"/>
    <w:rsid w:val="00262732"/>
    <w:rsid w:val="00262858"/>
    <w:rsid w:val="00263C29"/>
    <w:rsid w:val="00264A0F"/>
    <w:rsid w:val="00266420"/>
    <w:rsid w:val="00267D1C"/>
    <w:rsid w:val="00267DEA"/>
    <w:rsid w:val="002718A0"/>
    <w:rsid w:val="00273272"/>
    <w:rsid w:val="002756DE"/>
    <w:rsid w:val="00280503"/>
    <w:rsid w:val="00280C03"/>
    <w:rsid w:val="00280F55"/>
    <w:rsid w:val="002828BD"/>
    <w:rsid w:val="00283C98"/>
    <w:rsid w:val="00287EE2"/>
    <w:rsid w:val="0029019C"/>
    <w:rsid w:val="002911D4"/>
    <w:rsid w:val="00291A0F"/>
    <w:rsid w:val="00291DA3"/>
    <w:rsid w:val="0029209E"/>
    <w:rsid w:val="00293E44"/>
    <w:rsid w:val="00295DF0"/>
    <w:rsid w:val="002A38DD"/>
    <w:rsid w:val="002A3C93"/>
    <w:rsid w:val="002A77D9"/>
    <w:rsid w:val="002B0E5E"/>
    <w:rsid w:val="002B38B4"/>
    <w:rsid w:val="002B3A52"/>
    <w:rsid w:val="002B7A5F"/>
    <w:rsid w:val="002C0B39"/>
    <w:rsid w:val="002D3602"/>
    <w:rsid w:val="002D55B2"/>
    <w:rsid w:val="002D562D"/>
    <w:rsid w:val="002D6851"/>
    <w:rsid w:val="002D75FB"/>
    <w:rsid w:val="002D7EDF"/>
    <w:rsid w:val="002E1DC3"/>
    <w:rsid w:val="002E3AC1"/>
    <w:rsid w:val="002E5612"/>
    <w:rsid w:val="002F3266"/>
    <w:rsid w:val="003020F7"/>
    <w:rsid w:val="003146AE"/>
    <w:rsid w:val="00321320"/>
    <w:rsid w:val="0032250B"/>
    <w:rsid w:val="00327200"/>
    <w:rsid w:val="00327643"/>
    <w:rsid w:val="003315CC"/>
    <w:rsid w:val="00332C12"/>
    <w:rsid w:val="00343B93"/>
    <w:rsid w:val="003441E1"/>
    <w:rsid w:val="00346C83"/>
    <w:rsid w:val="00347235"/>
    <w:rsid w:val="00350AF0"/>
    <w:rsid w:val="00351043"/>
    <w:rsid w:val="00354076"/>
    <w:rsid w:val="00361494"/>
    <w:rsid w:val="003621F5"/>
    <w:rsid w:val="0036624C"/>
    <w:rsid w:val="003709AA"/>
    <w:rsid w:val="00370F99"/>
    <w:rsid w:val="0037229E"/>
    <w:rsid w:val="003759F7"/>
    <w:rsid w:val="0037695B"/>
    <w:rsid w:val="0038181F"/>
    <w:rsid w:val="00381993"/>
    <w:rsid w:val="0038233D"/>
    <w:rsid w:val="003843DE"/>
    <w:rsid w:val="0038543F"/>
    <w:rsid w:val="00386804"/>
    <w:rsid w:val="0038772A"/>
    <w:rsid w:val="00387E1B"/>
    <w:rsid w:val="00390789"/>
    <w:rsid w:val="00393719"/>
    <w:rsid w:val="00397C3C"/>
    <w:rsid w:val="003A139B"/>
    <w:rsid w:val="003A208C"/>
    <w:rsid w:val="003A6672"/>
    <w:rsid w:val="003A6CFE"/>
    <w:rsid w:val="003B0C6E"/>
    <w:rsid w:val="003B2890"/>
    <w:rsid w:val="003B3786"/>
    <w:rsid w:val="003B549C"/>
    <w:rsid w:val="003B5BC7"/>
    <w:rsid w:val="003B6A1C"/>
    <w:rsid w:val="003B78CC"/>
    <w:rsid w:val="003C39AD"/>
    <w:rsid w:val="003C7009"/>
    <w:rsid w:val="003C7BE9"/>
    <w:rsid w:val="003D260E"/>
    <w:rsid w:val="003F1AEE"/>
    <w:rsid w:val="003F2C20"/>
    <w:rsid w:val="003F39C3"/>
    <w:rsid w:val="003F499A"/>
    <w:rsid w:val="003F53B8"/>
    <w:rsid w:val="003F6626"/>
    <w:rsid w:val="004007A4"/>
    <w:rsid w:val="00402FCA"/>
    <w:rsid w:val="00403E40"/>
    <w:rsid w:val="00404D83"/>
    <w:rsid w:val="00405DEA"/>
    <w:rsid w:val="004112FB"/>
    <w:rsid w:val="0041341A"/>
    <w:rsid w:val="00414F9B"/>
    <w:rsid w:val="00420B25"/>
    <w:rsid w:val="004210F0"/>
    <w:rsid w:val="00422EFB"/>
    <w:rsid w:val="00424DF0"/>
    <w:rsid w:val="00444B1F"/>
    <w:rsid w:val="004469BE"/>
    <w:rsid w:val="00453B1F"/>
    <w:rsid w:val="00456746"/>
    <w:rsid w:val="00460698"/>
    <w:rsid w:val="004641FE"/>
    <w:rsid w:val="004709EC"/>
    <w:rsid w:val="00472F82"/>
    <w:rsid w:val="00477E87"/>
    <w:rsid w:val="00480954"/>
    <w:rsid w:val="0048189C"/>
    <w:rsid w:val="004843B9"/>
    <w:rsid w:val="00484DEA"/>
    <w:rsid w:val="0049200E"/>
    <w:rsid w:val="004955C1"/>
    <w:rsid w:val="00497C71"/>
    <w:rsid w:val="004A169E"/>
    <w:rsid w:val="004A21F1"/>
    <w:rsid w:val="004A4151"/>
    <w:rsid w:val="004B2273"/>
    <w:rsid w:val="004B35FD"/>
    <w:rsid w:val="004B49ED"/>
    <w:rsid w:val="004C04A8"/>
    <w:rsid w:val="004C57AF"/>
    <w:rsid w:val="004D3B49"/>
    <w:rsid w:val="004D69E7"/>
    <w:rsid w:val="004E3322"/>
    <w:rsid w:val="004E7893"/>
    <w:rsid w:val="004F0C3F"/>
    <w:rsid w:val="004F12AF"/>
    <w:rsid w:val="004F26DE"/>
    <w:rsid w:val="004F4938"/>
    <w:rsid w:val="004F5939"/>
    <w:rsid w:val="004F7188"/>
    <w:rsid w:val="004F7BF4"/>
    <w:rsid w:val="00500096"/>
    <w:rsid w:val="00506EB7"/>
    <w:rsid w:val="00507678"/>
    <w:rsid w:val="00511924"/>
    <w:rsid w:val="00515B68"/>
    <w:rsid w:val="0051732B"/>
    <w:rsid w:val="0052347D"/>
    <w:rsid w:val="00524E51"/>
    <w:rsid w:val="0052655C"/>
    <w:rsid w:val="005300BD"/>
    <w:rsid w:val="0053169F"/>
    <w:rsid w:val="00532144"/>
    <w:rsid w:val="00543ABE"/>
    <w:rsid w:val="0054419B"/>
    <w:rsid w:val="00550E8F"/>
    <w:rsid w:val="005529EA"/>
    <w:rsid w:val="00554CFA"/>
    <w:rsid w:val="00560131"/>
    <w:rsid w:val="00561D4F"/>
    <w:rsid w:val="005637BC"/>
    <w:rsid w:val="00571C7E"/>
    <w:rsid w:val="00572A32"/>
    <w:rsid w:val="00572CB3"/>
    <w:rsid w:val="00575248"/>
    <w:rsid w:val="0057584D"/>
    <w:rsid w:val="00582348"/>
    <w:rsid w:val="005857EE"/>
    <w:rsid w:val="00590EB7"/>
    <w:rsid w:val="00590FA8"/>
    <w:rsid w:val="005941BE"/>
    <w:rsid w:val="00595414"/>
    <w:rsid w:val="00596501"/>
    <w:rsid w:val="005979FB"/>
    <w:rsid w:val="005A1A71"/>
    <w:rsid w:val="005A31DF"/>
    <w:rsid w:val="005A6102"/>
    <w:rsid w:val="005B1438"/>
    <w:rsid w:val="005C07FF"/>
    <w:rsid w:val="005D54B7"/>
    <w:rsid w:val="005D7415"/>
    <w:rsid w:val="005D7E6D"/>
    <w:rsid w:val="005E02ED"/>
    <w:rsid w:val="005E1F3A"/>
    <w:rsid w:val="005E4638"/>
    <w:rsid w:val="005E57BA"/>
    <w:rsid w:val="005F1DC1"/>
    <w:rsid w:val="005F28D6"/>
    <w:rsid w:val="005F2BDA"/>
    <w:rsid w:val="005F54E7"/>
    <w:rsid w:val="0060145A"/>
    <w:rsid w:val="00610930"/>
    <w:rsid w:val="00610F64"/>
    <w:rsid w:val="006113B0"/>
    <w:rsid w:val="00613DC2"/>
    <w:rsid w:val="00614072"/>
    <w:rsid w:val="00616A1B"/>
    <w:rsid w:val="00616EFD"/>
    <w:rsid w:val="00617D1A"/>
    <w:rsid w:val="00620AC7"/>
    <w:rsid w:val="006215D1"/>
    <w:rsid w:val="00626189"/>
    <w:rsid w:val="0062639C"/>
    <w:rsid w:val="00634761"/>
    <w:rsid w:val="00641AA9"/>
    <w:rsid w:val="006445AD"/>
    <w:rsid w:val="00651ED4"/>
    <w:rsid w:val="0065240E"/>
    <w:rsid w:val="00653136"/>
    <w:rsid w:val="0065501A"/>
    <w:rsid w:val="00656A9E"/>
    <w:rsid w:val="00667114"/>
    <w:rsid w:val="00671672"/>
    <w:rsid w:val="00672F5B"/>
    <w:rsid w:val="00676093"/>
    <w:rsid w:val="00682BF0"/>
    <w:rsid w:val="00683564"/>
    <w:rsid w:val="00687E1F"/>
    <w:rsid w:val="006954DD"/>
    <w:rsid w:val="006965E7"/>
    <w:rsid w:val="00696C28"/>
    <w:rsid w:val="006A16EA"/>
    <w:rsid w:val="006A19C7"/>
    <w:rsid w:val="006B241F"/>
    <w:rsid w:val="006B4DCD"/>
    <w:rsid w:val="006B6BAA"/>
    <w:rsid w:val="006B7A34"/>
    <w:rsid w:val="006C247F"/>
    <w:rsid w:val="006C4156"/>
    <w:rsid w:val="006C4A05"/>
    <w:rsid w:val="006D4DA5"/>
    <w:rsid w:val="006D542C"/>
    <w:rsid w:val="006D61F3"/>
    <w:rsid w:val="006E505D"/>
    <w:rsid w:val="006E770C"/>
    <w:rsid w:val="006F12CC"/>
    <w:rsid w:val="006F1446"/>
    <w:rsid w:val="006F1637"/>
    <w:rsid w:val="00703BA8"/>
    <w:rsid w:val="00706302"/>
    <w:rsid w:val="00710D50"/>
    <w:rsid w:val="00712B39"/>
    <w:rsid w:val="00713D91"/>
    <w:rsid w:val="007173CD"/>
    <w:rsid w:val="00720480"/>
    <w:rsid w:val="00720D51"/>
    <w:rsid w:val="00722DEF"/>
    <w:rsid w:val="007238FE"/>
    <w:rsid w:val="007329ED"/>
    <w:rsid w:val="007350A3"/>
    <w:rsid w:val="00735BD5"/>
    <w:rsid w:val="0074488E"/>
    <w:rsid w:val="00746212"/>
    <w:rsid w:val="007500E5"/>
    <w:rsid w:val="007518D9"/>
    <w:rsid w:val="00756E49"/>
    <w:rsid w:val="00760AE6"/>
    <w:rsid w:val="00761864"/>
    <w:rsid w:val="007648BC"/>
    <w:rsid w:val="00764D90"/>
    <w:rsid w:val="00770583"/>
    <w:rsid w:val="00771FA6"/>
    <w:rsid w:val="00772109"/>
    <w:rsid w:val="007753ED"/>
    <w:rsid w:val="007868CA"/>
    <w:rsid w:val="00786A7C"/>
    <w:rsid w:val="00792114"/>
    <w:rsid w:val="00793022"/>
    <w:rsid w:val="00796BFA"/>
    <w:rsid w:val="00797E80"/>
    <w:rsid w:val="007A488B"/>
    <w:rsid w:val="007A609C"/>
    <w:rsid w:val="007B01A6"/>
    <w:rsid w:val="007B2C99"/>
    <w:rsid w:val="007B2E11"/>
    <w:rsid w:val="007B3726"/>
    <w:rsid w:val="007B3A7C"/>
    <w:rsid w:val="007B4759"/>
    <w:rsid w:val="007C0BDE"/>
    <w:rsid w:val="007C285E"/>
    <w:rsid w:val="007C432B"/>
    <w:rsid w:val="007C45DE"/>
    <w:rsid w:val="007C5F16"/>
    <w:rsid w:val="007D04FB"/>
    <w:rsid w:val="007D111E"/>
    <w:rsid w:val="007D1A8B"/>
    <w:rsid w:val="007D5D2C"/>
    <w:rsid w:val="007D6617"/>
    <w:rsid w:val="007E43D7"/>
    <w:rsid w:val="007F0A59"/>
    <w:rsid w:val="007F1D79"/>
    <w:rsid w:val="007F40A6"/>
    <w:rsid w:val="007F4E85"/>
    <w:rsid w:val="007F56F2"/>
    <w:rsid w:val="007F5CAE"/>
    <w:rsid w:val="0080013F"/>
    <w:rsid w:val="00800651"/>
    <w:rsid w:val="008030CA"/>
    <w:rsid w:val="0080515C"/>
    <w:rsid w:val="00810E67"/>
    <w:rsid w:val="008128D9"/>
    <w:rsid w:val="00813AD8"/>
    <w:rsid w:val="00813B91"/>
    <w:rsid w:val="00814446"/>
    <w:rsid w:val="00814F79"/>
    <w:rsid w:val="00820060"/>
    <w:rsid w:val="00827D5A"/>
    <w:rsid w:val="00831B66"/>
    <w:rsid w:val="00832C3C"/>
    <w:rsid w:val="00833A90"/>
    <w:rsid w:val="00836999"/>
    <w:rsid w:val="00837616"/>
    <w:rsid w:val="00843355"/>
    <w:rsid w:val="00847A6D"/>
    <w:rsid w:val="00851819"/>
    <w:rsid w:val="00854B74"/>
    <w:rsid w:val="00860C04"/>
    <w:rsid w:val="00864242"/>
    <w:rsid w:val="008652C6"/>
    <w:rsid w:val="00866749"/>
    <w:rsid w:val="0087099D"/>
    <w:rsid w:val="00877261"/>
    <w:rsid w:val="00880356"/>
    <w:rsid w:val="00894C11"/>
    <w:rsid w:val="00896070"/>
    <w:rsid w:val="008A2EFA"/>
    <w:rsid w:val="008A6D0A"/>
    <w:rsid w:val="008A7B19"/>
    <w:rsid w:val="008B2ABF"/>
    <w:rsid w:val="008B5B76"/>
    <w:rsid w:val="008C0CF9"/>
    <w:rsid w:val="008C21D8"/>
    <w:rsid w:val="008C6DF9"/>
    <w:rsid w:val="008D243B"/>
    <w:rsid w:val="008E29E5"/>
    <w:rsid w:val="008E2C17"/>
    <w:rsid w:val="008E4C8F"/>
    <w:rsid w:val="008E54CD"/>
    <w:rsid w:val="008F36AB"/>
    <w:rsid w:val="008F64EF"/>
    <w:rsid w:val="009005B9"/>
    <w:rsid w:val="00903856"/>
    <w:rsid w:val="009076FF"/>
    <w:rsid w:val="00910775"/>
    <w:rsid w:val="009127D4"/>
    <w:rsid w:val="00912894"/>
    <w:rsid w:val="00912FC3"/>
    <w:rsid w:val="009136F3"/>
    <w:rsid w:val="009149D2"/>
    <w:rsid w:val="0092005A"/>
    <w:rsid w:val="009232D4"/>
    <w:rsid w:val="00925F8A"/>
    <w:rsid w:val="00927746"/>
    <w:rsid w:val="00933905"/>
    <w:rsid w:val="0093418A"/>
    <w:rsid w:val="009341AD"/>
    <w:rsid w:val="009353D1"/>
    <w:rsid w:val="0094111E"/>
    <w:rsid w:val="009439DF"/>
    <w:rsid w:val="00950773"/>
    <w:rsid w:val="0095431B"/>
    <w:rsid w:val="009551F5"/>
    <w:rsid w:val="00957410"/>
    <w:rsid w:val="00960785"/>
    <w:rsid w:val="00961D25"/>
    <w:rsid w:val="00964CB9"/>
    <w:rsid w:val="00965AE4"/>
    <w:rsid w:val="00970CFF"/>
    <w:rsid w:val="00971311"/>
    <w:rsid w:val="009729D3"/>
    <w:rsid w:val="0097549B"/>
    <w:rsid w:val="009758CA"/>
    <w:rsid w:val="00980695"/>
    <w:rsid w:val="0098085B"/>
    <w:rsid w:val="00981BB2"/>
    <w:rsid w:val="00992838"/>
    <w:rsid w:val="00993435"/>
    <w:rsid w:val="00993620"/>
    <w:rsid w:val="00996B74"/>
    <w:rsid w:val="00997641"/>
    <w:rsid w:val="009A0075"/>
    <w:rsid w:val="009A00C4"/>
    <w:rsid w:val="009A07E6"/>
    <w:rsid w:val="009B1EE9"/>
    <w:rsid w:val="009B559C"/>
    <w:rsid w:val="009B7C10"/>
    <w:rsid w:val="009C2007"/>
    <w:rsid w:val="009C36C7"/>
    <w:rsid w:val="009C3CA3"/>
    <w:rsid w:val="009C6710"/>
    <w:rsid w:val="009D1F3B"/>
    <w:rsid w:val="009D2C27"/>
    <w:rsid w:val="009D6E14"/>
    <w:rsid w:val="009E0228"/>
    <w:rsid w:val="009E6963"/>
    <w:rsid w:val="009E7EC3"/>
    <w:rsid w:val="009F5E8D"/>
    <w:rsid w:val="009F7821"/>
    <w:rsid w:val="00A167B8"/>
    <w:rsid w:val="00A21A6E"/>
    <w:rsid w:val="00A22C83"/>
    <w:rsid w:val="00A25CFB"/>
    <w:rsid w:val="00A30AA7"/>
    <w:rsid w:val="00A326AC"/>
    <w:rsid w:val="00A36295"/>
    <w:rsid w:val="00A37133"/>
    <w:rsid w:val="00A42B33"/>
    <w:rsid w:val="00A556E4"/>
    <w:rsid w:val="00A63FFC"/>
    <w:rsid w:val="00A6520D"/>
    <w:rsid w:val="00A706D8"/>
    <w:rsid w:val="00A708FC"/>
    <w:rsid w:val="00A727A3"/>
    <w:rsid w:val="00A7689F"/>
    <w:rsid w:val="00A81367"/>
    <w:rsid w:val="00A853CC"/>
    <w:rsid w:val="00A854CD"/>
    <w:rsid w:val="00A86466"/>
    <w:rsid w:val="00A90558"/>
    <w:rsid w:val="00A91B7C"/>
    <w:rsid w:val="00A92B78"/>
    <w:rsid w:val="00A96C96"/>
    <w:rsid w:val="00AA40ED"/>
    <w:rsid w:val="00AA47BF"/>
    <w:rsid w:val="00AA7581"/>
    <w:rsid w:val="00AA7FB9"/>
    <w:rsid w:val="00AB18ED"/>
    <w:rsid w:val="00AB4095"/>
    <w:rsid w:val="00AB5017"/>
    <w:rsid w:val="00AC11BE"/>
    <w:rsid w:val="00AC1579"/>
    <w:rsid w:val="00AC4C28"/>
    <w:rsid w:val="00AD236A"/>
    <w:rsid w:val="00AD2F4C"/>
    <w:rsid w:val="00AD4F3B"/>
    <w:rsid w:val="00AD7FE2"/>
    <w:rsid w:val="00AE30BA"/>
    <w:rsid w:val="00AE5E3F"/>
    <w:rsid w:val="00AE7F83"/>
    <w:rsid w:val="00AF0A0F"/>
    <w:rsid w:val="00AF34B3"/>
    <w:rsid w:val="00B006B9"/>
    <w:rsid w:val="00B01DCA"/>
    <w:rsid w:val="00B040F5"/>
    <w:rsid w:val="00B059C0"/>
    <w:rsid w:val="00B05AE6"/>
    <w:rsid w:val="00B103EB"/>
    <w:rsid w:val="00B143FE"/>
    <w:rsid w:val="00B1562F"/>
    <w:rsid w:val="00B165FC"/>
    <w:rsid w:val="00B22E49"/>
    <w:rsid w:val="00B275D1"/>
    <w:rsid w:val="00B32398"/>
    <w:rsid w:val="00B3569F"/>
    <w:rsid w:val="00B37B17"/>
    <w:rsid w:val="00B50406"/>
    <w:rsid w:val="00B531B7"/>
    <w:rsid w:val="00B54C86"/>
    <w:rsid w:val="00B60433"/>
    <w:rsid w:val="00B60D40"/>
    <w:rsid w:val="00B61357"/>
    <w:rsid w:val="00B619F7"/>
    <w:rsid w:val="00B63966"/>
    <w:rsid w:val="00B648F3"/>
    <w:rsid w:val="00B66F49"/>
    <w:rsid w:val="00B71129"/>
    <w:rsid w:val="00B72CE4"/>
    <w:rsid w:val="00B76FE2"/>
    <w:rsid w:val="00B82FAC"/>
    <w:rsid w:val="00B83FBB"/>
    <w:rsid w:val="00B87AD6"/>
    <w:rsid w:val="00B927C1"/>
    <w:rsid w:val="00B938A4"/>
    <w:rsid w:val="00B9393A"/>
    <w:rsid w:val="00B94631"/>
    <w:rsid w:val="00B96066"/>
    <w:rsid w:val="00BA535F"/>
    <w:rsid w:val="00BA713B"/>
    <w:rsid w:val="00BB1EE7"/>
    <w:rsid w:val="00BB34FD"/>
    <w:rsid w:val="00BB4554"/>
    <w:rsid w:val="00BB4583"/>
    <w:rsid w:val="00BB5A30"/>
    <w:rsid w:val="00BB68EA"/>
    <w:rsid w:val="00BB7577"/>
    <w:rsid w:val="00BC2821"/>
    <w:rsid w:val="00BC3B8B"/>
    <w:rsid w:val="00BC46BA"/>
    <w:rsid w:val="00BC53DE"/>
    <w:rsid w:val="00BC66B4"/>
    <w:rsid w:val="00BC7A7E"/>
    <w:rsid w:val="00BD0B8F"/>
    <w:rsid w:val="00BD177C"/>
    <w:rsid w:val="00BD2532"/>
    <w:rsid w:val="00BD4BCA"/>
    <w:rsid w:val="00BD716E"/>
    <w:rsid w:val="00BE48DC"/>
    <w:rsid w:val="00BE5629"/>
    <w:rsid w:val="00BF0D94"/>
    <w:rsid w:val="00BF7C5C"/>
    <w:rsid w:val="00C02B96"/>
    <w:rsid w:val="00C040C7"/>
    <w:rsid w:val="00C047E4"/>
    <w:rsid w:val="00C11F00"/>
    <w:rsid w:val="00C121BD"/>
    <w:rsid w:val="00C166B2"/>
    <w:rsid w:val="00C17A88"/>
    <w:rsid w:val="00C230E0"/>
    <w:rsid w:val="00C23420"/>
    <w:rsid w:val="00C238AA"/>
    <w:rsid w:val="00C30949"/>
    <w:rsid w:val="00C324BF"/>
    <w:rsid w:val="00C354DE"/>
    <w:rsid w:val="00C35790"/>
    <w:rsid w:val="00C43619"/>
    <w:rsid w:val="00C4381E"/>
    <w:rsid w:val="00C44E99"/>
    <w:rsid w:val="00C50E25"/>
    <w:rsid w:val="00C61A9B"/>
    <w:rsid w:val="00C62939"/>
    <w:rsid w:val="00C63244"/>
    <w:rsid w:val="00C63C58"/>
    <w:rsid w:val="00C82948"/>
    <w:rsid w:val="00C83A9B"/>
    <w:rsid w:val="00C90675"/>
    <w:rsid w:val="00CA0260"/>
    <w:rsid w:val="00CA2535"/>
    <w:rsid w:val="00CA43CD"/>
    <w:rsid w:val="00CA6E0C"/>
    <w:rsid w:val="00CA72FE"/>
    <w:rsid w:val="00CB0BE7"/>
    <w:rsid w:val="00CB5812"/>
    <w:rsid w:val="00CC2618"/>
    <w:rsid w:val="00CC3151"/>
    <w:rsid w:val="00CD022F"/>
    <w:rsid w:val="00CD5638"/>
    <w:rsid w:val="00CD57CC"/>
    <w:rsid w:val="00CE70B4"/>
    <w:rsid w:val="00CE7B75"/>
    <w:rsid w:val="00CF054C"/>
    <w:rsid w:val="00CF3927"/>
    <w:rsid w:val="00CF4093"/>
    <w:rsid w:val="00CF4252"/>
    <w:rsid w:val="00D032E1"/>
    <w:rsid w:val="00D04780"/>
    <w:rsid w:val="00D07CF5"/>
    <w:rsid w:val="00D10B30"/>
    <w:rsid w:val="00D11146"/>
    <w:rsid w:val="00D12FF9"/>
    <w:rsid w:val="00D24585"/>
    <w:rsid w:val="00D25CD6"/>
    <w:rsid w:val="00D2612E"/>
    <w:rsid w:val="00D30AAB"/>
    <w:rsid w:val="00D30D6A"/>
    <w:rsid w:val="00D40DF9"/>
    <w:rsid w:val="00D41181"/>
    <w:rsid w:val="00D42F6B"/>
    <w:rsid w:val="00D45A04"/>
    <w:rsid w:val="00D47471"/>
    <w:rsid w:val="00D477C0"/>
    <w:rsid w:val="00D515AC"/>
    <w:rsid w:val="00D55286"/>
    <w:rsid w:val="00D55AF7"/>
    <w:rsid w:val="00D66D3D"/>
    <w:rsid w:val="00D67E4D"/>
    <w:rsid w:val="00D7041B"/>
    <w:rsid w:val="00D715F5"/>
    <w:rsid w:val="00D72D23"/>
    <w:rsid w:val="00D73183"/>
    <w:rsid w:val="00D75C43"/>
    <w:rsid w:val="00D76151"/>
    <w:rsid w:val="00D76F7F"/>
    <w:rsid w:val="00D778CC"/>
    <w:rsid w:val="00D85609"/>
    <w:rsid w:val="00D90C3A"/>
    <w:rsid w:val="00D919C9"/>
    <w:rsid w:val="00D9308C"/>
    <w:rsid w:val="00D947C9"/>
    <w:rsid w:val="00D94D33"/>
    <w:rsid w:val="00D964DF"/>
    <w:rsid w:val="00D97C30"/>
    <w:rsid w:val="00DA3B3E"/>
    <w:rsid w:val="00DA5632"/>
    <w:rsid w:val="00DB5216"/>
    <w:rsid w:val="00DB67EA"/>
    <w:rsid w:val="00DB7F98"/>
    <w:rsid w:val="00DC01C8"/>
    <w:rsid w:val="00DC3A67"/>
    <w:rsid w:val="00DC4FFE"/>
    <w:rsid w:val="00DC68EA"/>
    <w:rsid w:val="00DD0847"/>
    <w:rsid w:val="00DD19BF"/>
    <w:rsid w:val="00DD24A5"/>
    <w:rsid w:val="00DD3BA2"/>
    <w:rsid w:val="00DD4DB4"/>
    <w:rsid w:val="00DD7E65"/>
    <w:rsid w:val="00DD7EC9"/>
    <w:rsid w:val="00DE0BE8"/>
    <w:rsid w:val="00DE160C"/>
    <w:rsid w:val="00DE2B87"/>
    <w:rsid w:val="00DE3944"/>
    <w:rsid w:val="00DE4B32"/>
    <w:rsid w:val="00DE75B5"/>
    <w:rsid w:val="00DE7880"/>
    <w:rsid w:val="00DF40C0"/>
    <w:rsid w:val="00DF40C2"/>
    <w:rsid w:val="00DF517F"/>
    <w:rsid w:val="00DF66B9"/>
    <w:rsid w:val="00DF6CC2"/>
    <w:rsid w:val="00DF7371"/>
    <w:rsid w:val="00E02CCB"/>
    <w:rsid w:val="00E02F61"/>
    <w:rsid w:val="00E03981"/>
    <w:rsid w:val="00E05EAD"/>
    <w:rsid w:val="00E105C3"/>
    <w:rsid w:val="00E1742D"/>
    <w:rsid w:val="00E178FE"/>
    <w:rsid w:val="00E21785"/>
    <w:rsid w:val="00E25E4C"/>
    <w:rsid w:val="00E26683"/>
    <w:rsid w:val="00E42AB2"/>
    <w:rsid w:val="00E42D63"/>
    <w:rsid w:val="00E44321"/>
    <w:rsid w:val="00E45FB3"/>
    <w:rsid w:val="00E466B8"/>
    <w:rsid w:val="00E471C7"/>
    <w:rsid w:val="00E47253"/>
    <w:rsid w:val="00E52962"/>
    <w:rsid w:val="00E53F3C"/>
    <w:rsid w:val="00E54EED"/>
    <w:rsid w:val="00E57A4D"/>
    <w:rsid w:val="00E61B50"/>
    <w:rsid w:val="00E64A1A"/>
    <w:rsid w:val="00E7292D"/>
    <w:rsid w:val="00E7478E"/>
    <w:rsid w:val="00E75784"/>
    <w:rsid w:val="00E75EB1"/>
    <w:rsid w:val="00E76375"/>
    <w:rsid w:val="00E81F4D"/>
    <w:rsid w:val="00E96464"/>
    <w:rsid w:val="00E97FC6"/>
    <w:rsid w:val="00EA02B4"/>
    <w:rsid w:val="00EA55CE"/>
    <w:rsid w:val="00EA6892"/>
    <w:rsid w:val="00EA7436"/>
    <w:rsid w:val="00EB0B51"/>
    <w:rsid w:val="00EB7EE2"/>
    <w:rsid w:val="00EC2D3A"/>
    <w:rsid w:val="00EC3F5E"/>
    <w:rsid w:val="00EC4672"/>
    <w:rsid w:val="00ED34DF"/>
    <w:rsid w:val="00EE3FD1"/>
    <w:rsid w:val="00EE70E5"/>
    <w:rsid w:val="00EF4F7D"/>
    <w:rsid w:val="00EF578D"/>
    <w:rsid w:val="00EF7A42"/>
    <w:rsid w:val="00EF7AF1"/>
    <w:rsid w:val="00F020F5"/>
    <w:rsid w:val="00F02DB3"/>
    <w:rsid w:val="00F0775A"/>
    <w:rsid w:val="00F07A10"/>
    <w:rsid w:val="00F1182D"/>
    <w:rsid w:val="00F123D2"/>
    <w:rsid w:val="00F1570E"/>
    <w:rsid w:val="00F15F68"/>
    <w:rsid w:val="00F17354"/>
    <w:rsid w:val="00F206F4"/>
    <w:rsid w:val="00F2071D"/>
    <w:rsid w:val="00F34600"/>
    <w:rsid w:val="00F37542"/>
    <w:rsid w:val="00F42EE3"/>
    <w:rsid w:val="00F437AD"/>
    <w:rsid w:val="00F46262"/>
    <w:rsid w:val="00F50C0E"/>
    <w:rsid w:val="00F52BF4"/>
    <w:rsid w:val="00F54A4F"/>
    <w:rsid w:val="00F56BE0"/>
    <w:rsid w:val="00F62D80"/>
    <w:rsid w:val="00F634F6"/>
    <w:rsid w:val="00F64744"/>
    <w:rsid w:val="00F65BDC"/>
    <w:rsid w:val="00F67809"/>
    <w:rsid w:val="00F70870"/>
    <w:rsid w:val="00F72CED"/>
    <w:rsid w:val="00F74EA6"/>
    <w:rsid w:val="00F77BEC"/>
    <w:rsid w:val="00F8669D"/>
    <w:rsid w:val="00F939A6"/>
    <w:rsid w:val="00F9699C"/>
    <w:rsid w:val="00FA0878"/>
    <w:rsid w:val="00FA0A8D"/>
    <w:rsid w:val="00FA1E38"/>
    <w:rsid w:val="00FA256C"/>
    <w:rsid w:val="00FA440C"/>
    <w:rsid w:val="00FA60DF"/>
    <w:rsid w:val="00FA6173"/>
    <w:rsid w:val="00FA6D43"/>
    <w:rsid w:val="00FB211D"/>
    <w:rsid w:val="00FB462C"/>
    <w:rsid w:val="00FB4768"/>
    <w:rsid w:val="00FB536C"/>
    <w:rsid w:val="00FB5E9C"/>
    <w:rsid w:val="00FC0406"/>
    <w:rsid w:val="00FC4E78"/>
    <w:rsid w:val="00FC749D"/>
    <w:rsid w:val="00FD5683"/>
    <w:rsid w:val="00FD59AF"/>
    <w:rsid w:val="00FD68CB"/>
    <w:rsid w:val="00FD6D02"/>
    <w:rsid w:val="00FE0BAA"/>
    <w:rsid w:val="00FF1DEB"/>
    <w:rsid w:val="00FF1E4E"/>
    <w:rsid w:val="00FF4577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5EC04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72CE4"/>
    <w:rPr>
      <w:lang w:val="es-ES"/>
    </w:rPr>
  </w:style>
  <w:style w:type="paragraph" w:styleId="Ttulo1">
    <w:name w:val="heading 1"/>
    <w:next w:val="Unknown0"/>
    <w:qFormat/>
    <w:rsid w:val="00B72CE4"/>
    <w:pPr>
      <w:keepNext/>
      <w:jc w:val="right"/>
      <w:outlineLvl w:val="0"/>
    </w:pPr>
    <w:rPr>
      <w:rFonts w:ascii="Helvetica" w:eastAsia="Arial Unicode MS" w:hAnsi="Helvetica"/>
      <w:b/>
      <w:color w:val="808080"/>
      <w:u w:color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0">
    <w:name w:val="Unknown 0"/>
    <w:semiHidden/>
    <w:rsid w:val="00B72CE4"/>
    <w:pPr>
      <w:outlineLvl w:val="0"/>
    </w:pPr>
    <w:rPr>
      <w:rFonts w:eastAsia="Arial Unicode MS"/>
      <w:color w:val="000000"/>
      <w:u w:color="000000"/>
    </w:rPr>
  </w:style>
  <w:style w:type="paragraph" w:customStyle="1" w:styleId="Body1">
    <w:name w:val="Body 1"/>
    <w:rsid w:val="00B72CE4"/>
    <w:pPr>
      <w:outlineLvl w:val="0"/>
    </w:pPr>
    <w:rPr>
      <w:rFonts w:eastAsia="Arial Unicode MS"/>
      <w:color w:val="000000"/>
      <w:u w:color="000000"/>
    </w:rPr>
  </w:style>
  <w:style w:type="paragraph" w:customStyle="1" w:styleId="List1">
    <w:name w:val="List 1"/>
    <w:basedOn w:val="ImportWordListStyleDefinition4"/>
    <w:semiHidden/>
    <w:rsid w:val="00B72CE4"/>
    <w:pPr>
      <w:numPr>
        <w:numId w:val="1"/>
      </w:numPr>
    </w:pPr>
  </w:style>
  <w:style w:type="paragraph" w:customStyle="1" w:styleId="ImportWordListStyleDefinition4">
    <w:name w:val="Import Word List Style Definition 4"/>
    <w:autoRedefine/>
    <w:rsid w:val="00B72CE4"/>
    <w:pPr>
      <w:numPr>
        <w:numId w:val="2"/>
      </w:numPr>
    </w:pPr>
  </w:style>
  <w:style w:type="paragraph" w:styleId="Lista2">
    <w:name w:val="List 2"/>
    <w:basedOn w:val="ImportWordListStyleDefinition4"/>
    <w:semiHidden/>
    <w:rsid w:val="00B72CE4"/>
    <w:pPr>
      <w:numPr>
        <w:numId w:val="3"/>
      </w:numPr>
    </w:pPr>
  </w:style>
  <w:style w:type="paragraph" w:styleId="Lista3">
    <w:name w:val="List 3"/>
    <w:basedOn w:val="ImportWordListStyleDefinition12"/>
    <w:semiHidden/>
    <w:rsid w:val="00B72CE4"/>
    <w:pPr>
      <w:numPr>
        <w:numId w:val="4"/>
      </w:numPr>
    </w:pPr>
  </w:style>
  <w:style w:type="paragraph" w:customStyle="1" w:styleId="ImportWordListStyleDefinition12">
    <w:name w:val="Import Word List Style Definition 12"/>
    <w:rsid w:val="00B72CE4"/>
    <w:pPr>
      <w:numPr>
        <w:numId w:val="5"/>
      </w:numPr>
    </w:pPr>
  </w:style>
  <w:style w:type="paragraph" w:styleId="Lista4">
    <w:name w:val="List 4"/>
    <w:basedOn w:val="ImportWordListStyleDefinition12"/>
    <w:semiHidden/>
    <w:rsid w:val="00B72CE4"/>
    <w:pPr>
      <w:numPr>
        <w:numId w:val="6"/>
      </w:numPr>
    </w:pPr>
  </w:style>
  <w:style w:type="paragraph" w:styleId="Lista5">
    <w:name w:val="List 5"/>
    <w:basedOn w:val="ImportWordListStyleDefinition7"/>
    <w:semiHidden/>
    <w:rsid w:val="00B72CE4"/>
    <w:pPr>
      <w:numPr>
        <w:numId w:val="7"/>
      </w:numPr>
    </w:pPr>
  </w:style>
  <w:style w:type="paragraph" w:customStyle="1" w:styleId="ImportWordListStyleDefinition7">
    <w:name w:val="Import Word List Style Definition 7"/>
    <w:rsid w:val="00B72CE4"/>
    <w:pPr>
      <w:numPr>
        <w:numId w:val="8"/>
      </w:numPr>
    </w:pPr>
  </w:style>
  <w:style w:type="paragraph" w:customStyle="1" w:styleId="List6">
    <w:name w:val="List 6"/>
    <w:basedOn w:val="ImportWordListStyleDefinition7"/>
    <w:semiHidden/>
    <w:rsid w:val="00B72CE4"/>
    <w:pPr>
      <w:numPr>
        <w:numId w:val="10"/>
      </w:numPr>
    </w:pPr>
  </w:style>
  <w:style w:type="paragraph" w:customStyle="1" w:styleId="List7">
    <w:name w:val="List 7"/>
    <w:basedOn w:val="ImportWordListStyleDefinition8"/>
    <w:semiHidden/>
    <w:rsid w:val="00B72CE4"/>
    <w:pPr>
      <w:numPr>
        <w:numId w:val="11"/>
      </w:numPr>
    </w:pPr>
  </w:style>
  <w:style w:type="paragraph" w:customStyle="1" w:styleId="ImportWordListStyleDefinition8">
    <w:name w:val="Import Word List Style Definition 8"/>
    <w:rsid w:val="00B72CE4"/>
    <w:pPr>
      <w:numPr>
        <w:numId w:val="12"/>
      </w:numPr>
    </w:pPr>
  </w:style>
  <w:style w:type="paragraph" w:customStyle="1" w:styleId="List8">
    <w:name w:val="List 8"/>
    <w:basedOn w:val="ImportWordListStyleDefinition10"/>
    <w:semiHidden/>
    <w:rsid w:val="00B72CE4"/>
    <w:pPr>
      <w:numPr>
        <w:numId w:val="13"/>
      </w:numPr>
    </w:pPr>
  </w:style>
  <w:style w:type="paragraph" w:customStyle="1" w:styleId="ImportWordListStyleDefinition10">
    <w:name w:val="Import Word List Style Definition 10"/>
    <w:rsid w:val="00B72CE4"/>
    <w:pPr>
      <w:numPr>
        <w:numId w:val="14"/>
      </w:numPr>
    </w:pPr>
  </w:style>
  <w:style w:type="paragraph" w:customStyle="1" w:styleId="List9">
    <w:name w:val="List 9"/>
    <w:basedOn w:val="ImportWordListStyleDefinition1"/>
    <w:semiHidden/>
    <w:rsid w:val="00B72CE4"/>
    <w:pPr>
      <w:numPr>
        <w:numId w:val="15"/>
      </w:numPr>
    </w:pPr>
  </w:style>
  <w:style w:type="paragraph" w:customStyle="1" w:styleId="ImportWordListStyleDefinition1">
    <w:name w:val="Import Word List Style Definition 1"/>
    <w:rsid w:val="00B72CE4"/>
    <w:pPr>
      <w:numPr>
        <w:numId w:val="16"/>
      </w:numPr>
    </w:pPr>
  </w:style>
  <w:style w:type="character" w:styleId="Hipervnculo">
    <w:name w:val="Hyperlink"/>
    <w:rsid w:val="00B72CE4"/>
    <w:rPr>
      <w:rFonts w:ascii="Arial" w:eastAsia="Arial Unicode MS" w:hAnsi="Arial"/>
      <w:b/>
      <w:i/>
      <w:sz w:val="21"/>
    </w:rPr>
  </w:style>
  <w:style w:type="paragraph" w:styleId="Encabezado">
    <w:name w:val="header"/>
    <w:basedOn w:val="Normal"/>
    <w:link w:val="EncabezadoCar"/>
    <w:locked/>
    <w:rsid w:val="00EC2D3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C2D3A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locked/>
    <w:rsid w:val="00EC2D3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C2D3A"/>
    <w:rPr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D97C30"/>
    <w:pPr>
      <w:suppressAutoHyphens/>
      <w:spacing w:after="120"/>
      <w:jc w:val="both"/>
    </w:pPr>
    <w:rPr>
      <w:rFonts w:ascii="Frutiger 45 Light" w:eastAsia="MS Mincho" w:hAnsi="Frutiger 45 Light" w:cs="Frutiger 45 Light"/>
      <w:b/>
      <w:bCs/>
      <w:snapToGrid w:val="0"/>
      <w:u w:val="single"/>
      <w:lang w:eastAsia="ja-JP"/>
    </w:rPr>
  </w:style>
  <w:style w:type="character" w:customStyle="1" w:styleId="Textoindependiente3Car">
    <w:name w:val="Texto independiente 3 Car"/>
    <w:basedOn w:val="Fuentedeprrafopredeter"/>
    <w:link w:val="Textoindependiente3"/>
    <w:rsid w:val="00D97C30"/>
    <w:rPr>
      <w:rFonts w:ascii="Frutiger 45 Light" w:eastAsia="MS Mincho" w:hAnsi="Frutiger 45 Light" w:cs="Frutiger 45 Light"/>
      <w:b/>
      <w:bCs/>
      <w:snapToGrid w:val="0"/>
      <w:sz w:val="24"/>
      <w:szCs w:val="24"/>
      <w:u w:val="single"/>
      <w:lang w:val="en-US" w:eastAsia="ja-JP"/>
    </w:rPr>
  </w:style>
  <w:style w:type="paragraph" w:styleId="Prrafodelista">
    <w:name w:val="List Paragraph"/>
    <w:basedOn w:val="Normal"/>
    <w:uiPriority w:val="34"/>
    <w:qFormat/>
    <w:rsid w:val="00D947C9"/>
    <w:pPr>
      <w:ind w:left="720"/>
      <w:contextualSpacing/>
    </w:pPr>
    <w:rPr>
      <w:rFonts w:ascii="Utopia" w:hAnsi="Utopia"/>
      <w:sz w:val="20"/>
      <w:szCs w:val="20"/>
      <w:lang w:val="fr-FR" w:eastAsia="fr-FR"/>
    </w:rPr>
  </w:style>
  <w:style w:type="paragraph" w:styleId="Textodeglobo">
    <w:name w:val="Balloon Text"/>
    <w:basedOn w:val="Normal"/>
    <w:link w:val="TextodegloboCar"/>
    <w:rsid w:val="00413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341A"/>
    <w:rPr>
      <w:rFonts w:ascii="Tahoma" w:hAnsi="Tahoma" w:cs="Tahoma"/>
      <w:sz w:val="16"/>
      <w:szCs w:val="16"/>
    </w:rPr>
  </w:style>
  <w:style w:type="paragraph" w:customStyle="1" w:styleId="ImportWordListStyleDefinition17">
    <w:name w:val="Import Word List Style Definition 17"/>
    <w:rsid w:val="009149D2"/>
    <w:pPr>
      <w:tabs>
        <w:tab w:val="num" w:pos="332"/>
      </w:tabs>
      <w:ind w:left="332"/>
    </w:pPr>
    <w:rPr>
      <w:sz w:val="20"/>
      <w:szCs w:val="20"/>
    </w:rPr>
  </w:style>
  <w:style w:type="character" w:customStyle="1" w:styleId="hps">
    <w:name w:val="hps"/>
    <w:basedOn w:val="Fuentedeprrafopredeter"/>
    <w:rsid w:val="0094111E"/>
  </w:style>
  <w:style w:type="paragraph" w:customStyle="1" w:styleId="TextoMichelin">
    <w:name w:val="Texto Michelin"/>
    <w:basedOn w:val="Normal"/>
    <w:rsid w:val="00854B74"/>
    <w:pPr>
      <w:spacing w:after="240" w:line="270" w:lineRule="atLeast"/>
      <w:jc w:val="both"/>
    </w:pPr>
    <w:rPr>
      <w:rFonts w:ascii="Arial" w:eastAsia="Times" w:hAnsi="Arial"/>
      <w:sz w:val="21"/>
      <w:lang w:eastAsia="fr-FR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63C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C58"/>
  </w:style>
  <w:style w:type="table" w:customStyle="1" w:styleId="TableNormal">
    <w:name w:val="Table Normal"/>
    <w:uiPriority w:val="2"/>
    <w:semiHidden/>
    <w:unhideWhenUsed/>
    <w:qFormat/>
    <w:rsid w:val="00D30A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0AAB"/>
    <w:pPr>
      <w:widowControl w:val="0"/>
      <w:autoSpaceDE w:val="0"/>
      <w:autoSpaceDN w:val="0"/>
      <w:spacing w:before="1"/>
      <w:jc w:val="center"/>
    </w:pPr>
    <w:rPr>
      <w:rFonts w:ascii="Helvetica" w:eastAsia="Helvetica" w:hAnsi="Helvetica" w:cs="Helvetica"/>
      <w:sz w:val="22"/>
      <w:szCs w:val="22"/>
    </w:rPr>
  </w:style>
  <w:style w:type="paragraph" w:customStyle="1" w:styleId="LadilloMichelinDossier">
    <w:name w:val="Ladillo Michelin Dossier"/>
    <w:basedOn w:val="Normal"/>
    <w:rsid w:val="00EE3FD1"/>
    <w:pPr>
      <w:spacing w:before="480" w:after="120" w:line="270" w:lineRule="atLeast"/>
    </w:pPr>
    <w:rPr>
      <w:rFonts w:ascii="Times" w:eastAsia="Times" w:hAnsi="Times"/>
      <w:b/>
      <w:sz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elin.com/fre" TargetMode="External"/><Relationship Id="rId8" Type="http://schemas.openxmlformats.org/officeDocument/2006/relationships/hyperlink" Target="http://www.michelin.com/fre" TargetMode="External"/><Relationship Id="rId9" Type="http://schemas.openxmlformats.org/officeDocument/2006/relationships/hyperlink" Target="http://www.michelin.com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2514</Words>
  <Characters>13828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Avalon</Company>
  <LinksUpToDate>false</LinksUpToDate>
  <CharactersWithSpaces>16310</CharactersWithSpaces>
  <SharedDoc>false</SharedDoc>
  <HLinks>
    <vt:vector size="12" baseType="variant">
      <vt:variant>
        <vt:i4>6815837</vt:i4>
      </vt:variant>
      <vt:variant>
        <vt:i4>3</vt:i4>
      </vt:variant>
      <vt:variant>
        <vt:i4>0</vt:i4>
      </vt:variant>
      <vt:variant>
        <vt:i4>5</vt:i4>
      </vt:variant>
      <vt:variant>
        <vt:lpwstr>http://www.michelin.com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http://www.michelin.com/corporate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 Avalon</cp:lastModifiedBy>
  <cp:revision>3</cp:revision>
  <cp:lastPrinted>2016-10-25T10:15:00Z</cp:lastPrinted>
  <dcterms:created xsi:type="dcterms:W3CDTF">2016-10-25T10:14:00Z</dcterms:created>
  <dcterms:modified xsi:type="dcterms:W3CDTF">2016-10-25T10:15:00Z</dcterms:modified>
</cp:coreProperties>
</file>