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FC607" w14:textId="77777777" w:rsidR="007F65D7" w:rsidRPr="00443F28" w:rsidRDefault="007F65D7" w:rsidP="004E4610">
      <w:pPr>
        <w:pStyle w:val="Sinespaciado"/>
        <w:jc w:val="right"/>
        <w:rPr>
          <w:rFonts w:ascii="Times" w:eastAsia="Times" w:hAnsi="Times" w:cs="Times"/>
          <w:b/>
          <w:color w:val="808080"/>
          <w:sz w:val="24"/>
          <w:szCs w:val="24"/>
        </w:rPr>
      </w:pPr>
      <w:r>
        <w:rPr>
          <w:rFonts w:ascii="Times" w:eastAsia="Times" w:hAnsi="Times" w:cs="Times"/>
          <w:b/>
          <w:bCs/>
          <w:color w:val="808080"/>
          <w:sz w:val="24"/>
          <w:szCs w:val="24"/>
          <w:lang w:val="pt"/>
        </w:rPr>
        <w:t>INFORMAÇÃO DE IMPRENSA</w:t>
      </w:r>
      <w:r>
        <w:rPr>
          <w:rFonts w:ascii="Times" w:eastAsia="Times" w:hAnsi="Times" w:cs="Times"/>
          <w:color w:val="808080"/>
          <w:sz w:val="24"/>
          <w:szCs w:val="24"/>
          <w:lang w:val="pt"/>
        </w:rPr>
        <w:br/>
      </w:r>
      <w:r w:rsidR="006E0D8C" w:rsidRPr="00443F28">
        <w:rPr>
          <w:rFonts w:ascii="Times" w:eastAsia="Times" w:hAnsi="Times" w:cs="Times"/>
          <w:color w:val="808080"/>
          <w:sz w:val="24"/>
          <w:szCs w:val="24"/>
          <w:lang w:val="es-ES"/>
        </w:rPr>
        <w:t>2</w:t>
      </w:r>
      <w:r w:rsidR="006E0D8C">
        <w:rPr>
          <w:rFonts w:ascii="Times" w:eastAsia="Times" w:hAnsi="Times" w:cs="Times"/>
          <w:color w:val="808080"/>
          <w:sz w:val="24"/>
          <w:szCs w:val="24"/>
          <w:lang w:val="es-ES"/>
        </w:rPr>
        <w:t>5</w:t>
      </w:r>
      <w:r w:rsidR="006E0D8C" w:rsidRPr="00443F28">
        <w:rPr>
          <w:rFonts w:ascii="Times" w:eastAsia="Times" w:hAnsi="Times" w:cs="Times"/>
          <w:color w:val="808080"/>
          <w:sz w:val="24"/>
          <w:szCs w:val="24"/>
          <w:lang w:val="es-ES"/>
        </w:rPr>
        <w:t>/11/2016</w:t>
      </w:r>
    </w:p>
    <w:p w14:paraId="3C2CB656" w14:textId="77777777" w:rsidR="007F65D7" w:rsidRPr="002738F6" w:rsidRDefault="007F65D7" w:rsidP="007F65D7">
      <w:pPr>
        <w:spacing w:after="230" w:line="360" w:lineRule="exact"/>
        <w:rPr>
          <w:rFonts w:ascii="Arial" w:eastAsia="Times" w:hAnsi="Arial" w:cs="Arial"/>
          <w:b/>
          <w:snapToGrid w:val="0"/>
          <w:color w:val="333399"/>
          <w:sz w:val="40"/>
          <w:szCs w:val="26"/>
        </w:rPr>
      </w:pPr>
    </w:p>
    <w:p w14:paraId="1A5BD923" w14:textId="77777777" w:rsidR="007F65D7" w:rsidRPr="002738F6" w:rsidRDefault="007F65D7" w:rsidP="007F65D7">
      <w:pPr>
        <w:spacing w:after="120" w:line="360" w:lineRule="exact"/>
        <w:rPr>
          <w:rFonts w:ascii="Times" w:eastAsia="Times" w:hAnsi="Times" w:cs="Times New Roman"/>
          <w:b/>
          <w:snapToGrid w:val="0"/>
          <w:color w:val="333399"/>
          <w:sz w:val="40"/>
          <w:szCs w:val="26"/>
        </w:rPr>
      </w:pPr>
      <w:bookmarkStart w:id="0" w:name="_GoBack"/>
      <w:bookmarkEnd w:id="0"/>
    </w:p>
    <w:p w14:paraId="50A5C9AA" w14:textId="77777777" w:rsidR="00285C36" w:rsidRDefault="00285C36" w:rsidP="00285C36">
      <w:pPr>
        <w:autoSpaceDE w:val="0"/>
        <w:autoSpaceDN w:val="0"/>
        <w:adjustRightInd w:val="0"/>
        <w:spacing w:after="0" w:line="240" w:lineRule="auto"/>
        <w:rPr>
          <w:rFonts w:ascii="Times-Bold" w:hAnsi="Times-Bold" w:cs="Times-Bold"/>
          <w:b/>
          <w:bCs/>
          <w:color w:val="33339A"/>
          <w:sz w:val="40"/>
          <w:szCs w:val="40"/>
        </w:rPr>
      </w:pPr>
      <w:r>
        <w:rPr>
          <w:rFonts w:ascii="Times-Bold" w:hAnsi="Times-Bold" w:cs="Times-Bold"/>
          <w:b/>
          <w:bCs/>
          <w:color w:val="33339A"/>
          <w:sz w:val="40"/>
          <w:szCs w:val="40"/>
          <w:lang w:val="pt"/>
        </w:rPr>
        <w:t>O guia MICHELIN Espanha &amp; Portugal 2017</w:t>
      </w:r>
    </w:p>
    <w:p w14:paraId="03365035" w14:textId="77777777" w:rsidR="00285C36" w:rsidRDefault="00285C36" w:rsidP="00285C36">
      <w:pPr>
        <w:autoSpaceDE w:val="0"/>
        <w:autoSpaceDN w:val="0"/>
        <w:adjustRightInd w:val="0"/>
        <w:spacing w:after="0" w:line="240" w:lineRule="auto"/>
        <w:jc w:val="both"/>
        <w:rPr>
          <w:rFonts w:ascii="Times-BoldItalic" w:hAnsi="Times-BoldItalic" w:cs="Times-BoldItalic"/>
          <w:b/>
          <w:bCs/>
          <w:i/>
          <w:iCs/>
          <w:color w:val="33339A"/>
          <w:sz w:val="25"/>
          <w:szCs w:val="25"/>
        </w:rPr>
      </w:pPr>
    </w:p>
    <w:p w14:paraId="55AFC5BD" w14:textId="77777777" w:rsidR="00285C36" w:rsidRDefault="00285C36" w:rsidP="00285C36">
      <w:pPr>
        <w:autoSpaceDE w:val="0"/>
        <w:autoSpaceDN w:val="0"/>
        <w:adjustRightInd w:val="0"/>
        <w:spacing w:after="0" w:line="240" w:lineRule="auto"/>
        <w:jc w:val="both"/>
        <w:rPr>
          <w:rFonts w:ascii="Times-BoldItalic" w:hAnsi="Times-BoldItalic" w:cs="Times-BoldItalic"/>
          <w:b/>
          <w:bCs/>
          <w:i/>
          <w:iCs/>
          <w:color w:val="33339A"/>
          <w:sz w:val="25"/>
          <w:szCs w:val="25"/>
        </w:rPr>
      </w:pPr>
      <w:r>
        <w:rPr>
          <w:rFonts w:ascii="Times-BoldItalic" w:hAnsi="Times-BoldItalic"/>
          <w:b/>
          <w:bCs/>
          <w:i/>
          <w:iCs/>
          <w:color w:val="33339A"/>
          <w:sz w:val="25"/>
          <w:szCs w:val="25"/>
          <w:lang w:val="pt"/>
        </w:rPr>
        <w:t xml:space="preserve">Personalidade, criatividade e inegável talento nos fogões! A gastronomia de Espanha e Portugal está no auge, o que se traduz numa seleção com 9 restaurantes de </w:t>
      </w:r>
      <w:r>
        <w:rPr>
          <w:rFonts w:ascii="Annuels" w:hAnsi="Annuels"/>
          <w:color w:val="FF0000"/>
          <w:sz w:val="28"/>
          <w:szCs w:val="28"/>
          <w:lang w:val="pt"/>
        </w:rPr>
        <w:t>o</w:t>
      </w:r>
      <w:r>
        <w:rPr>
          <w:rFonts w:ascii="Times-BoldItalic" w:hAnsi="Times-BoldItalic"/>
          <w:b/>
          <w:bCs/>
          <w:i/>
          <w:iCs/>
          <w:color w:val="33339A"/>
          <w:sz w:val="25"/>
          <w:szCs w:val="25"/>
          <w:lang w:val="pt"/>
        </w:rPr>
        <w:t>, 28 de</w:t>
      </w:r>
      <w:r>
        <w:rPr>
          <w:rFonts w:ascii="ArialMT" w:hAnsi="ArialMT"/>
          <w:color w:val="000000"/>
          <w:sz w:val="21"/>
          <w:szCs w:val="21"/>
          <w:lang w:val="pt"/>
        </w:rPr>
        <w:t xml:space="preserve"> </w:t>
      </w:r>
      <w:r>
        <w:rPr>
          <w:rFonts w:ascii="Annuels" w:hAnsi="Annuels"/>
          <w:color w:val="FF0000"/>
          <w:sz w:val="28"/>
          <w:szCs w:val="28"/>
          <w:lang w:val="pt"/>
        </w:rPr>
        <w:t>n</w:t>
      </w:r>
      <w:r>
        <w:rPr>
          <w:rFonts w:ascii="Times-BoldItalic" w:hAnsi="Times-BoldItalic"/>
          <w:b/>
          <w:bCs/>
          <w:i/>
          <w:iCs/>
          <w:color w:val="33339A"/>
          <w:sz w:val="25"/>
          <w:szCs w:val="25"/>
          <w:lang w:val="pt"/>
        </w:rPr>
        <w:t xml:space="preserve"> e 166 na categoria de</w:t>
      </w:r>
      <w:r>
        <w:rPr>
          <w:rFonts w:ascii="ArialMT" w:hAnsi="ArialMT"/>
          <w:color w:val="000000"/>
          <w:sz w:val="21"/>
          <w:szCs w:val="21"/>
          <w:lang w:val="pt"/>
        </w:rPr>
        <w:t xml:space="preserve"> </w:t>
      </w:r>
      <w:r>
        <w:rPr>
          <w:rFonts w:ascii="Annuels" w:hAnsi="Annuels"/>
          <w:color w:val="FF0000"/>
          <w:sz w:val="28"/>
          <w:szCs w:val="28"/>
          <w:lang w:val="pt"/>
        </w:rPr>
        <w:t>m</w:t>
      </w:r>
      <w:r>
        <w:rPr>
          <w:rFonts w:ascii="Times-BoldItalic" w:hAnsi="Times-BoldItalic"/>
          <w:b/>
          <w:bCs/>
          <w:i/>
          <w:iCs/>
          <w:color w:val="33339A"/>
          <w:sz w:val="25"/>
          <w:szCs w:val="25"/>
          <w:lang w:val="pt"/>
        </w:rPr>
        <w:t>.</w:t>
      </w:r>
    </w:p>
    <w:p w14:paraId="5341BE40" w14:textId="77777777" w:rsidR="00285C36" w:rsidRDefault="00285C36" w:rsidP="00285C36">
      <w:pPr>
        <w:autoSpaceDE w:val="0"/>
        <w:autoSpaceDN w:val="0"/>
        <w:adjustRightInd w:val="0"/>
        <w:spacing w:after="0" w:line="240" w:lineRule="auto"/>
        <w:jc w:val="both"/>
        <w:rPr>
          <w:rFonts w:ascii="Times-BoldItalic" w:hAnsi="Times-BoldItalic" w:cs="Times-BoldItalic"/>
          <w:b/>
          <w:bCs/>
          <w:i/>
          <w:iCs/>
          <w:color w:val="33339A"/>
          <w:sz w:val="25"/>
          <w:szCs w:val="25"/>
        </w:rPr>
      </w:pPr>
    </w:p>
    <w:p w14:paraId="1C2C7EE2" w14:textId="77777777" w:rsidR="00285C36" w:rsidRPr="00285C36" w:rsidRDefault="00285C36" w:rsidP="00285C36">
      <w:pPr>
        <w:pStyle w:val="TextoMichelin"/>
        <w:rPr>
          <w:bCs/>
          <w:szCs w:val="21"/>
        </w:rPr>
      </w:pPr>
      <w:r>
        <w:rPr>
          <w:szCs w:val="21"/>
          <w:lang w:val="pt"/>
        </w:rPr>
        <w:t xml:space="preserve">Nesta edição, a inédita perseide de </w:t>
      </w:r>
      <w:r>
        <w:rPr>
          <w:i/>
          <w:iCs/>
          <w:szCs w:val="21"/>
          <w:lang w:val="pt"/>
        </w:rPr>
        <w:t>macarons</w:t>
      </w:r>
      <w:r>
        <w:rPr>
          <w:szCs w:val="21"/>
          <w:lang w:val="pt"/>
        </w:rPr>
        <w:t xml:space="preserve"> (estrelas MICHELIN) viu-se acompanhada por toda uma série de mudanças no fundo e forma da publicação. Assistimos ao nascimento de um guia MICHELIN mais visual, mais intuitivo, mais moderno… e, sobretudo, mais gastronómico que nunca, pois agora são os restaurantes os protagonistas. No mesmo encontrará uma organização diferente, algum estabelecimento que nos roubou o coração nada mais abrir e até uma nova distinção, “o prato MICHELIN” </w:t>
      </w:r>
      <w:r>
        <w:rPr>
          <w:rFonts w:ascii="Annuels" w:hAnsi="Annuels"/>
          <w:color w:val="FF0000"/>
          <w:sz w:val="28"/>
          <w:szCs w:val="28"/>
          <w:lang w:val="pt"/>
        </w:rPr>
        <w:t>‹</w:t>
      </w:r>
      <w:r>
        <w:rPr>
          <w:szCs w:val="21"/>
          <w:lang w:val="pt"/>
        </w:rPr>
        <w:t>; este símbolo, que constata uma cozinha de qualidade, apenas pretende pôr de manifesto que só o simples facto de estar selecionado é um reconhecimento ao trabalho e serviço oferecido nessa casa.</w:t>
      </w:r>
    </w:p>
    <w:p w14:paraId="720C7193" w14:textId="77777777" w:rsidR="00285C36" w:rsidRPr="00285C36" w:rsidRDefault="00285C36" w:rsidP="00285C36">
      <w:pPr>
        <w:pStyle w:val="TextoMichelin"/>
        <w:rPr>
          <w:bCs/>
          <w:szCs w:val="21"/>
        </w:rPr>
      </w:pPr>
      <w:r>
        <w:rPr>
          <w:szCs w:val="21"/>
          <w:lang w:val="pt"/>
        </w:rPr>
        <w:t>O guia MICHELIN Espanha &amp; Portugal 2017 apresenta a sua seleção de estabelecimentos com a cozinha de melhor qualidade constatada em ambos os países, que são classificados com as conhecidas “estrelas da boa mesa”:</w:t>
      </w:r>
    </w:p>
    <w:p w14:paraId="626E0D8F" w14:textId="77777777" w:rsidR="00285C36" w:rsidRPr="00285C36" w:rsidRDefault="00285C36" w:rsidP="00285C36">
      <w:pPr>
        <w:pStyle w:val="TextoMichelin"/>
        <w:rPr>
          <w:bCs/>
          <w:szCs w:val="21"/>
        </w:rPr>
      </w:pPr>
      <w:r>
        <w:rPr>
          <w:rFonts w:ascii="Annuels" w:hAnsi="Annuels"/>
          <w:color w:val="FF0000"/>
          <w:sz w:val="28"/>
          <w:szCs w:val="28"/>
          <w:lang w:val="pt"/>
        </w:rPr>
        <w:t>o</w:t>
      </w:r>
      <w:r>
        <w:rPr>
          <w:szCs w:val="21"/>
          <w:lang w:val="pt"/>
        </w:rPr>
        <w:t xml:space="preserve"> Uma cozinha única. Justifica a viagem!</w:t>
      </w:r>
    </w:p>
    <w:p w14:paraId="330B1C37" w14:textId="77777777" w:rsidR="00285C36" w:rsidRPr="00285C36" w:rsidRDefault="00285C36" w:rsidP="00285C36">
      <w:pPr>
        <w:pStyle w:val="TextoMichelin"/>
        <w:rPr>
          <w:bCs/>
          <w:szCs w:val="21"/>
        </w:rPr>
      </w:pPr>
      <w:r>
        <w:rPr>
          <w:rFonts w:ascii="Annuels" w:hAnsi="Annuels"/>
          <w:color w:val="FF0000"/>
          <w:sz w:val="28"/>
          <w:szCs w:val="28"/>
          <w:lang w:val="pt"/>
        </w:rPr>
        <w:t xml:space="preserve">n </w:t>
      </w:r>
      <w:r>
        <w:rPr>
          <w:szCs w:val="21"/>
          <w:lang w:val="pt"/>
        </w:rPr>
        <w:t>Uma cozinha excecional. Merece a pena um desvio!</w:t>
      </w:r>
    </w:p>
    <w:p w14:paraId="4C4627B9" w14:textId="77777777" w:rsidR="00285C36" w:rsidRPr="00285C36" w:rsidRDefault="00285C36" w:rsidP="00285C36">
      <w:pPr>
        <w:pStyle w:val="TextoMichelin"/>
        <w:rPr>
          <w:bCs/>
          <w:szCs w:val="21"/>
        </w:rPr>
      </w:pPr>
      <w:r>
        <w:rPr>
          <w:rFonts w:ascii="Annuels" w:hAnsi="Annuels"/>
          <w:color w:val="FF0000"/>
          <w:sz w:val="28"/>
          <w:szCs w:val="28"/>
          <w:lang w:val="pt"/>
        </w:rPr>
        <w:t xml:space="preserve">m </w:t>
      </w:r>
      <w:r>
        <w:rPr>
          <w:szCs w:val="21"/>
          <w:lang w:val="pt"/>
        </w:rPr>
        <w:t>Uma cozinha muito refinada. Compensa parar!</w:t>
      </w:r>
    </w:p>
    <w:p w14:paraId="3A6EB175" w14:textId="77777777" w:rsidR="00285C36" w:rsidRPr="00285C36" w:rsidRDefault="00285C36" w:rsidP="00285C36">
      <w:pPr>
        <w:pStyle w:val="TextoMichelin"/>
        <w:rPr>
          <w:bCs/>
          <w:szCs w:val="21"/>
        </w:rPr>
      </w:pPr>
      <w:r>
        <w:rPr>
          <w:szCs w:val="21"/>
          <w:lang w:val="pt"/>
        </w:rPr>
        <w:t xml:space="preserve">A máxima distinção outorgada pelo guia MICHELIN em reconhecimento à excelência gastronómica, as desejadas </w:t>
      </w:r>
      <w:r>
        <w:rPr>
          <w:rFonts w:ascii="Annuels" w:hAnsi="Annuels"/>
          <w:color w:val="FF0000"/>
          <w:sz w:val="28"/>
          <w:szCs w:val="28"/>
          <w:lang w:val="pt"/>
        </w:rPr>
        <w:t>o</w:t>
      </w:r>
      <w:r>
        <w:rPr>
          <w:szCs w:val="21"/>
          <w:lang w:val="pt"/>
        </w:rPr>
        <w:t>, elevam este ano a nove o número de estabelecimentos galardoados com a incorporação de</w:t>
      </w:r>
      <w:r>
        <w:rPr>
          <w:b/>
          <w:bCs/>
          <w:szCs w:val="21"/>
          <w:lang w:val="pt"/>
        </w:rPr>
        <w:t xml:space="preserve"> Lasarte </w:t>
      </w:r>
      <w:r>
        <w:rPr>
          <w:szCs w:val="21"/>
          <w:lang w:val="pt"/>
        </w:rPr>
        <w:t xml:space="preserve">(Barcelona); aqui o chefe Paolo Casagrande surpreendeu-nos com uns pratos de inusitada elegância, tanto nos sabores como nas combinações, sendo também reconhecível nos mesmos a personalíssima impronta de Martín Berasategui e do seu grupo.  O resto dos restaurantes distinguidos com esta categoria </w:t>
      </w:r>
      <w:r>
        <w:rPr>
          <w:b/>
          <w:bCs/>
          <w:szCs w:val="21"/>
          <w:lang w:val="pt"/>
        </w:rPr>
        <w:t xml:space="preserve">(Akelaŕe, Arzak, Azurmendi, DiverXO, El Celler de Can Roca, Martín Berasategui, Quique Dacosta </w:t>
      </w:r>
      <w:r>
        <w:rPr>
          <w:szCs w:val="21"/>
          <w:lang w:val="pt"/>
        </w:rPr>
        <w:t>e</w:t>
      </w:r>
      <w:r>
        <w:rPr>
          <w:b/>
          <w:bCs/>
          <w:szCs w:val="21"/>
          <w:lang w:val="pt"/>
        </w:rPr>
        <w:t xml:space="preserve"> Sant Pau) </w:t>
      </w:r>
      <w:r>
        <w:rPr>
          <w:szCs w:val="21"/>
          <w:lang w:val="pt"/>
        </w:rPr>
        <w:t>continuam a oferecer umas experiências gastronómicas sumamente singulares e completas, por isso renovam a sua distinção.</w:t>
      </w:r>
    </w:p>
    <w:p w14:paraId="439AB9C2" w14:textId="77777777" w:rsidR="00285C36" w:rsidRPr="00285C36" w:rsidRDefault="00285C36" w:rsidP="00285C36">
      <w:pPr>
        <w:pStyle w:val="TextoMichelin"/>
        <w:rPr>
          <w:bCs/>
          <w:szCs w:val="21"/>
        </w:rPr>
      </w:pPr>
      <w:r>
        <w:rPr>
          <w:szCs w:val="21"/>
          <w:lang w:val="pt"/>
        </w:rPr>
        <w:t xml:space="preserve">Na secção de </w:t>
      </w:r>
      <w:r>
        <w:rPr>
          <w:rFonts w:ascii="Annuels" w:hAnsi="Annuels"/>
          <w:color w:val="FF0000"/>
          <w:sz w:val="28"/>
          <w:szCs w:val="28"/>
          <w:lang w:val="pt"/>
        </w:rPr>
        <w:t>n</w:t>
      </w:r>
      <w:r>
        <w:rPr>
          <w:szCs w:val="21"/>
          <w:lang w:val="pt"/>
        </w:rPr>
        <w:t xml:space="preserve">, que para esta edição soma 28 estabelecimentos citados (23 em Espanha e 5 em Portugal), também encontramos interessantes novidades, concretamente </w:t>
      </w:r>
      <w:r>
        <w:rPr>
          <w:b/>
          <w:bCs/>
          <w:szCs w:val="21"/>
          <w:lang w:val="pt"/>
        </w:rPr>
        <w:t xml:space="preserve">L’Escaleta </w:t>
      </w:r>
      <w:r>
        <w:rPr>
          <w:szCs w:val="21"/>
          <w:lang w:val="pt"/>
        </w:rPr>
        <w:t xml:space="preserve">em Cocentaina (Alicante), </w:t>
      </w:r>
      <w:r>
        <w:rPr>
          <w:b/>
          <w:bCs/>
          <w:szCs w:val="21"/>
          <w:lang w:val="pt"/>
        </w:rPr>
        <w:t>DSTAgE</w:t>
      </w:r>
      <w:r>
        <w:rPr>
          <w:szCs w:val="21"/>
          <w:lang w:val="pt"/>
        </w:rPr>
        <w:t xml:space="preserve"> em Madrid, </w:t>
      </w:r>
      <w:r>
        <w:rPr>
          <w:b/>
          <w:bCs/>
          <w:szCs w:val="21"/>
          <w:lang w:val="pt"/>
        </w:rPr>
        <w:t>Annua</w:t>
      </w:r>
      <w:r>
        <w:rPr>
          <w:szCs w:val="21"/>
          <w:lang w:val="pt"/>
        </w:rPr>
        <w:t xml:space="preserve"> em San Vicente de la Barquera (Cantábria), o </w:t>
      </w:r>
      <w:r>
        <w:rPr>
          <w:b/>
          <w:bCs/>
          <w:szCs w:val="21"/>
          <w:lang w:val="pt"/>
        </w:rPr>
        <w:t>Cenador de Amós</w:t>
      </w:r>
      <w:r>
        <w:rPr>
          <w:szCs w:val="21"/>
          <w:lang w:val="pt"/>
        </w:rPr>
        <w:t xml:space="preserve"> em Villaverde de Pontones (Cantábria), </w:t>
      </w:r>
      <w:r>
        <w:rPr>
          <w:b/>
          <w:bCs/>
          <w:szCs w:val="21"/>
          <w:lang w:val="pt"/>
        </w:rPr>
        <w:t>BonAmb</w:t>
      </w:r>
      <w:r>
        <w:rPr>
          <w:szCs w:val="21"/>
          <w:lang w:val="pt"/>
        </w:rPr>
        <w:t xml:space="preserve"> em Xàbia (Alicante) e, pelo lado de Portugal, </w:t>
      </w:r>
      <w:r>
        <w:rPr>
          <w:b/>
          <w:bCs/>
          <w:szCs w:val="21"/>
          <w:lang w:val="pt"/>
        </w:rPr>
        <w:t xml:space="preserve">Il Gallo d’Oro </w:t>
      </w:r>
      <w:r>
        <w:rPr>
          <w:szCs w:val="21"/>
          <w:lang w:val="pt"/>
        </w:rPr>
        <w:t xml:space="preserve">no Funchal (Madeira) e </w:t>
      </w:r>
      <w:r>
        <w:rPr>
          <w:b/>
          <w:bCs/>
          <w:szCs w:val="21"/>
          <w:lang w:val="pt"/>
        </w:rPr>
        <w:t>The Yeatman</w:t>
      </w:r>
      <w:r>
        <w:rPr>
          <w:szCs w:val="21"/>
          <w:lang w:val="pt"/>
        </w:rPr>
        <w:t xml:space="preserve"> em Vila Nova de Gaia (Porto).</w:t>
      </w:r>
    </w:p>
    <w:p w14:paraId="21D522AB" w14:textId="77777777" w:rsidR="00285C36" w:rsidRPr="00285C36" w:rsidRDefault="00B9182F" w:rsidP="00285C36">
      <w:pPr>
        <w:pStyle w:val="TextoMichelin"/>
        <w:rPr>
          <w:bCs/>
          <w:szCs w:val="21"/>
        </w:rPr>
      </w:pPr>
      <w:r>
        <w:rPr>
          <w:szCs w:val="21"/>
          <w:lang w:val="pt"/>
        </w:rPr>
        <w:br w:type="column"/>
      </w:r>
      <w:r>
        <w:rPr>
          <w:szCs w:val="21"/>
          <w:lang w:val="pt"/>
        </w:rPr>
        <w:lastRenderedPageBreak/>
        <w:t>Kiko Moya demonstra o seu progresso em L’Escaleta, onde soube depurar sabores e texturas com o máximo respeito aos produtos da cozinha regional. Diego Guerrero, em DSTAgE, continua a surpreender e a converter a gastronomia num exercício quase mágico, pois consegue conjugar com mestria as matérias-primas mais díspares para que as mesmas se complementem perfeitamente. Nesta mesma linha vemos Óscar Calleja à frente de Annua, pois continua a mostrar uma interessante evolução pessoal ao fundir a cozinha de raízes cântabras com a mexicana e a oriental. Também devemos gabar o formidável trabalho que estão a desempenhar Jesús Sánchez, no Cenador de Amós, e Alberto Ferruz em BonAmb, destacando ambos tanto pelas suas impecáveis texturas como pela potência e finura dos sabores conseguidos, tudo com uma criatividade e um domínio técnico tal que o comensal explora o terreno gastronómico através da emoção.</w:t>
      </w:r>
    </w:p>
    <w:p w14:paraId="089FAFC6" w14:textId="77777777" w:rsidR="00285C36" w:rsidRPr="00285C36" w:rsidRDefault="00285C36" w:rsidP="00285C36">
      <w:pPr>
        <w:pStyle w:val="TextoMichelin"/>
        <w:rPr>
          <w:bCs/>
          <w:szCs w:val="21"/>
        </w:rPr>
      </w:pPr>
      <w:r>
        <w:rPr>
          <w:szCs w:val="21"/>
          <w:lang w:val="pt"/>
        </w:rPr>
        <w:t>Em Portugal, por seu lado, também encontrámos dois chefes merecedores da distinção: Benoît Sinthon, à frente do Il Gallo d’Oro, e Ricardo Costa en The Yeatman, destacando o primeiro pelas incríveis notas de autor que proporciona à cozinha clássica e internacional e o segundo pela sua personalíssima criatividade, sempre construída com umas magníficas abordagens.</w:t>
      </w:r>
    </w:p>
    <w:p w14:paraId="7126F480" w14:textId="77777777" w:rsidR="00285C36" w:rsidRPr="00285C36" w:rsidRDefault="00285C36" w:rsidP="00285C36">
      <w:pPr>
        <w:pStyle w:val="TextoMichelin"/>
        <w:rPr>
          <w:bCs/>
          <w:szCs w:val="21"/>
        </w:rPr>
      </w:pPr>
      <w:r>
        <w:rPr>
          <w:szCs w:val="21"/>
          <w:lang w:val="pt"/>
        </w:rPr>
        <w:t xml:space="preserve">Na categoria de </w:t>
      </w:r>
      <w:r>
        <w:rPr>
          <w:rFonts w:ascii="Annuels" w:hAnsi="Annuels"/>
          <w:color w:val="FF0000"/>
          <w:sz w:val="28"/>
          <w:szCs w:val="28"/>
          <w:lang w:val="pt"/>
        </w:rPr>
        <w:t>m</w:t>
      </w:r>
      <w:r>
        <w:rPr>
          <w:szCs w:val="21"/>
          <w:lang w:val="pt"/>
        </w:rPr>
        <w:t>, com 166 estabelecimentos, é onde descobrimos mais novidades, concretamente 15 em Espanha e 7 em Portugal. Embora o nível culinário de ambos os países demonstra o seu constante progresso, é justo reconhecer que há zonas geográficas como a Catalunha, a Comunidade de Madrid ou a Comunidade Valenciana que evidenciam um constante desenvolvimento gastronómico e uma excelente ampliação da sua oferta.</w:t>
      </w:r>
    </w:p>
    <w:p w14:paraId="7E7ECDD4" w14:textId="77777777" w:rsidR="00285C36" w:rsidRPr="00285C36" w:rsidRDefault="00285C36" w:rsidP="00285C36">
      <w:pPr>
        <w:pStyle w:val="TextoMichelin"/>
        <w:rPr>
          <w:bCs/>
          <w:szCs w:val="21"/>
        </w:rPr>
      </w:pPr>
      <w:r>
        <w:rPr>
          <w:szCs w:val="21"/>
          <w:lang w:val="pt"/>
        </w:rPr>
        <w:t xml:space="preserve">Dentro da Catalunha destaca a cidade de Barcelona, onde brilham duas novas distinções: </w:t>
      </w:r>
      <w:r>
        <w:rPr>
          <w:b/>
          <w:bCs/>
          <w:szCs w:val="21"/>
          <w:lang w:val="pt"/>
        </w:rPr>
        <w:t>Céleri</w:t>
      </w:r>
      <w:r>
        <w:rPr>
          <w:szCs w:val="21"/>
          <w:lang w:val="pt"/>
        </w:rPr>
        <w:t xml:space="preserve">, que exalta a moderna filosofia culinária da “raw food”, e </w:t>
      </w:r>
      <w:r>
        <w:rPr>
          <w:b/>
          <w:bCs/>
          <w:szCs w:val="21"/>
          <w:lang w:val="pt"/>
        </w:rPr>
        <w:t>Xerta</w:t>
      </w:r>
      <w:r>
        <w:rPr>
          <w:szCs w:val="21"/>
          <w:lang w:val="pt"/>
        </w:rPr>
        <w:t xml:space="preserve">, em que apostam numa cozinha atual-mediterrânica que toma como base os produtos do Delta do rio Ebro. Também foram reconhecidos nesta comunidade </w:t>
      </w:r>
      <w:r>
        <w:rPr>
          <w:b/>
          <w:bCs/>
          <w:szCs w:val="21"/>
          <w:lang w:val="pt"/>
        </w:rPr>
        <w:t>Ca l’Arpa</w:t>
      </w:r>
      <w:r>
        <w:rPr>
          <w:szCs w:val="21"/>
          <w:lang w:val="pt"/>
        </w:rPr>
        <w:t xml:space="preserve"> (Banyoles), </w:t>
      </w:r>
      <w:r>
        <w:rPr>
          <w:b/>
          <w:bCs/>
          <w:szCs w:val="21"/>
          <w:lang w:val="pt"/>
        </w:rPr>
        <w:t xml:space="preserve">La Boscana </w:t>
      </w:r>
      <w:r>
        <w:rPr>
          <w:szCs w:val="21"/>
          <w:lang w:val="pt"/>
        </w:rPr>
        <w:t xml:space="preserve">(Bellvís), realmente singular tanto no estético como no gastronómico, e o detalhista </w:t>
      </w:r>
      <w:r>
        <w:rPr>
          <w:b/>
          <w:bCs/>
          <w:szCs w:val="21"/>
          <w:lang w:val="pt"/>
        </w:rPr>
        <w:t>L’Antic Molí</w:t>
      </w:r>
      <w:r>
        <w:rPr>
          <w:szCs w:val="21"/>
          <w:lang w:val="pt"/>
        </w:rPr>
        <w:t xml:space="preserve"> (Ulldecona).</w:t>
      </w:r>
    </w:p>
    <w:p w14:paraId="61AB3D9E" w14:textId="77777777" w:rsidR="00285C36" w:rsidRPr="00285C36" w:rsidRDefault="00285C36" w:rsidP="00285C36">
      <w:pPr>
        <w:pStyle w:val="TextoMichelin"/>
        <w:rPr>
          <w:bCs/>
          <w:szCs w:val="21"/>
        </w:rPr>
      </w:pPr>
      <w:r>
        <w:rPr>
          <w:szCs w:val="21"/>
          <w:lang w:val="pt"/>
        </w:rPr>
        <w:t xml:space="preserve">Os galardões na Comunidade de Madrid outorgaram-se a três restaurantes, dois na capital, </w:t>
      </w:r>
      <w:r>
        <w:rPr>
          <w:b/>
          <w:bCs/>
          <w:szCs w:val="21"/>
          <w:lang w:val="pt"/>
        </w:rPr>
        <w:t>A’Barra</w:t>
      </w:r>
      <w:r>
        <w:rPr>
          <w:szCs w:val="21"/>
          <w:lang w:val="pt"/>
        </w:rPr>
        <w:t xml:space="preserve"> e </w:t>
      </w:r>
      <w:r>
        <w:rPr>
          <w:b/>
          <w:bCs/>
          <w:szCs w:val="21"/>
          <w:lang w:val="pt"/>
        </w:rPr>
        <w:t>Gaytán</w:t>
      </w:r>
      <w:r>
        <w:rPr>
          <w:szCs w:val="21"/>
          <w:lang w:val="pt"/>
        </w:rPr>
        <w:t xml:space="preserve">, ambos concebidos visando uma experiência gastronómica completa, e um na localidade serrana de Collado Mediano, </w:t>
      </w:r>
      <w:r>
        <w:rPr>
          <w:b/>
          <w:bCs/>
          <w:szCs w:val="21"/>
          <w:lang w:val="pt"/>
        </w:rPr>
        <w:t>El Invernadero</w:t>
      </w:r>
      <w:r>
        <w:rPr>
          <w:szCs w:val="21"/>
          <w:lang w:val="pt"/>
        </w:rPr>
        <w:t>, onde o chefe Rodrigo de la Calle não deixa de surpreender com as suas incríveis propostas centradas no mundo vegetal.</w:t>
      </w:r>
    </w:p>
    <w:p w14:paraId="0167BD21" w14:textId="77777777" w:rsidR="00285C36" w:rsidRPr="00285C36" w:rsidRDefault="00285C36" w:rsidP="00285C36">
      <w:pPr>
        <w:pStyle w:val="TextoMichelin"/>
        <w:rPr>
          <w:bCs/>
          <w:szCs w:val="21"/>
        </w:rPr>
      </w:pPr>
      <w:r>
        <w:rPr>
          <w:szCs w:val="21"/>
          <w:lang w:val="pt"/>
        </w:rPr>
        <w:t xml:space="preserve">A Comunidade Valenciana enriquece o seu palmarés graças a </w:t>
      </w:r>
      <w:r>
        <w:rPr>
          <w:b/>
          <w:bCs/>
          <w:szCs w:val="21"/>
          <w:lang w:val="pt"/>
        </w:rPr>
        <w:t>Raúl Resino</w:t>
      </w:r>
      <w:r>
        <w:rPr>
          <w:szCs w:val="21"/>
          <w:lang w:val="pt"/>
        </w:rPr>
        <w:t xml:space="preserve"> (Benicarló), que propõe um novo menu degustação de nuances locais cada 15 dias, e ao restaurante </w:t>
      </w:r>
      <w:r>
        <w:rPr>
          <w:b/>
          <w:bCs/>
          <w:szCs w:val="21"/>
          <w:lang w:val="pt"/>
        </w:rPr>
        <w:t xml:space="preserve">Sents </w:t>
      </w:r>
      <w:r>
        <w:rPr>
          <w:szCs w:val="21"/>
          <w:lang w:val="pt"/>
        </w:rPr>
        <w:t>(Ontinyent), onde os irmãos Prieto jogam com influências asiáticas e mexicanas para oferecer uma cozinha atual de inequívoca personalidade.</w:t>
      </w:r>
    </w:p>
    <w:p w14:paraId="03CF4F98" w14:textId="77777777" w:rsidR="004129F9" w:rsidRDefault="00285C36" w:rsidP="00285C36">
      <w:pPr>
        <w:pStyle w:val="TextoMichelin"/>
        <w:rPr>
          <w:bCs/>
          <w:szCs w:val="21"/>
        </w:rPr>
      </w:pPr>
      <w:r>
        <w:rPr>
          <w:szCs w:val="21"/>
          <w:lang w:val="pt"/>
        </w:rPr>
        <w:t xml:space="preserve">Também resultaram merecedores deste galardão os restaurantes </w:t>
      </w:r>
      <w:r>
        <w:rPr>
          <w:b/>
          <w:bCs/>
          <w:szCs w:val="21"/>
          <w:lang w:val="pt"/>
        </w:rPr>
        <w:t>Cobo Vintage</w:t>
      </w:r>
      <w:r>
        <w:rPr>
          <w:szCs w:val="21"/>
          <w:lang w:val="pt"/>
        </w:rPr>
        <w:t xml:space="preserve"> (Burgos), o surpreendente </w:t>
      </w:r>
      <w:r>
        <w:rPr>
          <w:b/>
          <w:bCs/>
          <w:szCs w:val="21"/>
          <w:lang w:val="pt"/>
        </w:rPr>
        <w:t>Noor</w:t>
      </w:r>
      <w:r>
        <w:rPr>
          <w:szCs w:val="21"/>
          <w:lang w:val="pt"/>
        </w:rPr>
        <w:t xml:space="preserve"> (Córdoba), </w:t>
      </w:r>
      <w:r>
        <w:rPr>
          <w:b/>
          <w:bCs/>
          <w:szCs w:val="21"/>
          <w:lang w:val="pt"/>
        </w:rPr>
        <w:t>Baluarte</w:t>
      </w:r>
      <w:r>
        <w:rPr>
          <w:szCs w:val="21"/>
          <w:lang w:val="pt"/>
        </w:rPr>
        <w:t xml:space="preserve"> (Sória) e, já na ilha de Maiorca, tanto </w:t>
      </w:r>
      <w:r>
        <w:rPr>
          <w:b/>
          <w:bCs/>
          <w:szCs w:val="21"/>
          <w:lang w:val="pt"/>
        </w:rPr>
        <w:t xml:space="preserve">Adrián Quetglas </w:t>
      </w:r>
      <w:r>
        <w:rPr>
          <w:szCs w:val="21"/>
          <w:lang w:val="pt"/>
        </w:rPr>
        <w:t xml:space="preserve">(Palma) como </w:t>
      </w:r>
      <w:r>
        <w:rPr>
          <w:b/>
          <w:bCs/>
          <w:szCs w:val="21"/>
          <w:lang w:val="pt"/>
        </w:rPr>
        <w:t>Argos</w:t>
      </w:r>
      <w:r>
        <w:rPr>
          <w:szCs w:val="21"/>
          <w:lang w:val="pt"/>
        </w:rPr>
        <w:t xml:space="preserve"> (Port de Pollença).</w:t>
      </w:r>
    </w:p>
    <w:p w14:paraId="432D1AF7" w14:textId="77777777" w:rsidR="00B9182F" w:rsidRDefault="00285C36" w:rsidP="00285C36">
      <w:pPr>
        <w:pStyle w:val="TextoMichelin"/>
        <w:rPr>
          <w:bCs/>
          <w:szCs w:val="21"/>
        </w:rPr>
      </w:pPr>
      <w:r>
        <w:rPr>
          <w:szCs w:val="21"/>
          <w:lang w:val="pt"/>
        </w:rPr>
        <w:t xml:space="preserve">Relativamente a Portugal o aumento de restaurantes reconhecidos com esta distinção também foi excecional, pois passou-se de uma novidade em 2016 ao incrível número de sete nesta última edição, o que fala por si só de como está a crescer o nível gastronómico no país lusitano e do apoio que este sector está a sentir pela maior parte da população. Os novos estabelecimentos distinguidos são: </w:t>
      </w:r>
      <w:r>
        <w:rPr>
          <w:b/>
          <w:bCs/>
          <w:szCs w:val="21"/>
          <w:lang w:val="pt"/>
        </w:rPr>
        <w:t>Casa de Chá da Boa Nova</w:t>
      </w:r>
      <w:r>
        <w:rPr>
          <w:szCs w:val="21"/>
          <w:lang w:val="pt"/>
        </w:rPr>
        <w:t xml:space="preserve"> em Leça da Palmeira, com o Atlântico e os seus produtos como inequívocos protagonistas; os restaurantes </w:t>
      </w:r>
      <w:r>
        <w:rPr>
          <w:b/>
          <w:bCs/>
          <w:szCs w:val="21"/>
          <w:lang w:val="pt"/>
        </w:rPr>
        <w:t>Alma</w:t>
      </w:r>
      <w:r>
        <w:rPr>
          <w:szCs w:val="21"/>
          <w:lang w:val="pt"/>
        </w:rPr>
        <w:t xml:space="preserve"> e </w:t>
      </w:r>
      <w:r>
        <w:rPr>
          <w:b/>
          <w:bCs/>
          <w:szCs w:val="21"/>
          <w:lang w:val="pt"/>
        </w:rPr>
        <w:t>Loco</w:t>
      </w:r>
      <w:r>
        <w:rPr>
          <w:szCs w:val="21"/>
          <w:lang w:val="pt"/>
        </w:rPr>
        <w:t xml:space="preserve"> em Lisboa, que graças à sua criatividade e </w:t>
      </w:r>
      <w:r>
        <w:rPr>
          <w:i/>
          <w:iCs/>
          <w:szCs w:val="21"/>
          <w:lang w:val="pt"/>
        </w:rPr>
        <w:t xml:space="preserve">savoir-faire </w:t>
      </w:r>
      <w:r>
        <w:rPr>
          <w:szCs w:val="21"/>
          <w:lang w:val="pt"/>
        </w:rPr>
        <w:t xml:space="preserve">deram novos brios à gastronomia da capital; os elegantes restaurantes </w:t>
      </w:r>
      <w:r>
        <w:rPr>
          <w:b/>
          <w:bCs/>
          <w:szCs w:val="21"/>
          <w:lang w:val="pt"/>
        </w:rPr>
        <w:t>William</w:t>
      </w:r>
      <w:r>
        <w:rPr>
          <w:szCs w:val="21"/>
          <w:lang w:val="pt"/>
        </w:rPr>
        <w:t xml:space="preserve"> (Madeira/Funchal), </w:t>
      </w:r>
      <w:r>
        <w:rPr>
          <w:b/>
          <w:bCs/>
          <w:szCs w:val="21"/>
          <w:lang w:val="pt"/>
        </w:rPr>
        <w:t>L’And Vineyards</w:t>
      </w:r>
      <w:r>
        <w:rPr>
          <w:szCs w:val="21"/>
          <w:lang w:val="pt"/>
        </w:rPr>
        <w:t xml:space="preserve"> (Montemor-o-Novo) ou </w:t>
      </w:r>
      <w:r>
        <w:rPr>
          <w:b/>
          <w:bCs/>
          <w:szCs w:val="21"/>
          <w:lang w:val="pt"/>
        </w:rPr>
        <w:t>Antiqvvm</w:t>
      </w:r>
      <w:r>
        <w:rPr>
          <w:szCs w:val="21"/>
          <w:lang w:val="pt"/>
        </w:rPr>
        <w:t xml:space="preserve"> (Porto) e, por último, o </w:t>
      </w:r>
      <w:r>
        <w:rPr>
          <w:b/>
          <w:bCs/>
          <w:szCs w:val="21"/>
          <w:lang w:val="pt"/>
        </w:rPr>
        <w:t>Lab by Sergi Arola</w:t>
      </w:r>
      <w:r>
        <w:rPr>
          <w:szCs w:val="21"/>
          <w:lang w:val="pt"/>
        </w:rPr>
        <w:t xml:space="preserve"> de Sintra, um restaurante de carácter intimista que emana personalidade e sofisticação.</w:t>
      </w:r>
    </w:p>
    <w:p w14:paraId="3470432A" w14:textId="77777777" w:rsidR="00B9182F" w:rsidRDefault="00285C36" w:rsidP="004129F9">
      <w:pPr>
        <w:pStyle w:val="TextoMichelin"/>
        <w:rPr>
          <w:bCs/>
        </w:rPr>
      </w:pPr>
      <w:r>
        <w:rPr>
          <w:szCs w:val="21"/>
          <w:lang w:val="pt"/>
        </w:rPr>
        <w:lastRenderedPageBreak/>
        <w:t>O guia, completamente renovado e muito mais gastronómico, continua a contar com a riqueza cartográfica do fundo documentário MICHELIN, por isso as diversas listas da seleção estão apoiadas com bastantes planos de cidades e mapas regionais que facilitam imenso a localização dos estabelecimentos recomendados.</w:t>
      </w:r>
      <w:r>
        <w:rPr>
          <w:lang w:val="pt"/>
        </w:rPr>
        <w:t xml:space="preserve"> </w:t>
      </w:r>
    </w:p>
    <w:p w14:paraId="51CD7D25" w14:textId="77777777" w:rsidR="004129F9" w:rsidRDefault="004129F9" w:rsidP="004129F9">
      <w:pPr>
        <w:pStyle w:val="TextoMichelin"/>
        <w:rPr>
          <w:bCs/>
        </w:rPr>
      </w:pPr>
    </w:p>
    <w:p w14:paraId="5346DAF1" w14:textId="77777777" w:rsidR="00B2184B"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t>
      </w:r>
      <w:hyperlink r:id="rId8" w:history="1">
        <w:r>
          <w:rPr>
            <w:rStyle w:val="Hipervnculo"/>
            <w:rFonts w:ascii="Times" w:eastAsia="Times" w:hAnsi="Times" w:cs="Times New Roman"/>
            <w:i/>
            <w:iCs/>
            <w:sz w:val="24"/>
            <w:szCs w:val="24"/>
            <w:lang w:val="pt"/>
          </w:rPr>
          <w:t>www.michelin.es)</w:t>
        </w:r>
      </w:hyperlink>
      <w:r>
        <w:rPr>
          <w:rFonts w:ascii="Times" w:eastAsia="Times" w:hAnsi="Times" w:cs="Times New Roman"/>
          <w:i/>
          <w:iCs/>
          <w:color w:val="auto"/>
          <w:sz w:val="24"/>
          <w:szCs w:val="24"/>
          <w:lang w:val="pt"/>
        </w:rPr>
        <w:t>.</w:t>
      </w:r>
    </w:p>
    <w:p w14:paraId="604A3BF8" w14:textId="77777777" w:rsidR="007F65D7" w:rsidRPr="002738F6" w:rsidRDefault="007F65D7" w:rsidP="007F65D7">
      <w:pPr>
        <w:autoSpaceDE w:val="0"/>
        <w:autoSpaceDN w:val="0"/>
        <w:adjustRightInd w:val="0"/>
        <w:spacing w:after="0" w:line="240" w:lineRule="atLeast"/>
        <w:jc w:val="both"/>
        <w:rPr>
          <w:rFonts w:ascii="Arial" w:eastAsia="Times" w:hAnsi="Arial" w:cs="Arial"/>
          <w:color w:val="auto"/>
          <w:szCs w:val="24"/>
        </w:rPr>
      </w:pPr>
    </w:p>
    <w:p w14:paraId="1AEB92EE" w14:textId="77777777" w:rsidR="007F65D7" w:rsidRDefault="007F65D7" w:rsidP="007F65D7">
      <w:pPr>
        <w:tabs>
          <w:tab w:val="center" w:pos="4252"/>
          <w:tab w:val="right" w:pos="8504"/>
        </w:tabs>
        <w:spacing w:after="0" w:line="240" w:lineRule="auto"/>
        <w:outlineLvl w:val="0"/>
        <w:rPr>
          <w:rFonts w:ascii="Times" w:eastAsia="Times" w:hAnsi="Times" w:cs="Times New Roman"/>
          <w:i/>
          <w:color w:val="auto"/>
          <w:sz w:val="24"/>
          <w:szCs w:val="24"/>
        </w:rPr>
      </w:pPr>
    </w:p>
    <w:p w14:paraId="5A707546" w14:textId="77777777" w:rsidR="004129F9" w:rsidRPr="002738F6" w:rsidRDefault="004129F9"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274FDCD7"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3DD7F8DA"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21728762" w14:textId="77777777"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41C07951" w14:textId="77777777" w:rsidR="00E8447A" w:rsidRDefault="007F65D7" w:rsidP="007F65D7">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p w14:paraId="0FFAF38B" w14:textId="77777777" w:rsidR="00B81778" w:rsidRDefault="00B81778" w:rsidP="007F65D7">
      <w:pPr>
        <w:spacing w:after="0" w:line="240" w:lineRule="auto"/>
        <w:jc w:val="both"/>
        <w:rPr>
          <w:rFonts w:ascii="Arial" w:eastAsia="Times" w:hAnsi="Arial" w:cs="Times New Roman"/>
          <w:bCs/>
          <w:color w:val="808080"/>
          <w:sz w:val="18"/>
          <w:szCs w:val="18"/>
        </w:rPr>
      </w:pPr>
    </w:p>
    <w:p w14:paraId="295DCA2E" w14:textId="77777777" w:rsidR="00B81778" w:rsidRDefault="00B81778" w:rsidP="007F65D7">
      <w:pPr>
        <w:spacing w:after="0" w:line="240" w:lineRule="auto"/>
        <w:jc w:val="both"/>
        <w:rPr>
          <w:rFonts w:ascii="Arial" w:eastAsia="Times" w:hAnsi="Arial" w:cs="Times New Roman"/>
          <w:bCs/>
          <w:color w:val="808080"/>
          <w:sz w:val="18"/>
          <w:szCs w:val="18"/>
        </w:rPr>
      </w:pPr>
    </w:p>
    <w:p w14:paraId="0E220069" w14:textId="77777777" w:rsidR="004129F9" w:rsidRDefault="00B61D91" w:rsidP="007F65D7">
      <w:pPr>
        <w:spacing w:after="0" w:line="240" w:lineRule="auto"/>
        <w:jc w:val="both"/>
        <w:rPr>
          <w:rFonts w:ascii="Arial" w:eastAsia="Times" w:hAnsi="Arial" w:cs="Times New Roman"/>
          <w:bCs/>
          <w:color w:val="808080"/>
          <w:sz w:val="18"/>
          <w:szCs w:val="18"/>
        </w:rPr>
      </w:pPr>
      <w:r>
        <w:rPr>
          <w:rFonts w:ascii="Arial" w:eastAsia="Times" w:hAnsi="Arial" w:cs="Times New Roman"/>
          <w:noProof/>
          <w:color w:val="808080"/>
          <w:sz w:val="18"/>
          <w:szCs w:val="18"/>
          <w:lang w:val="es-ES_tradnl" w:eastAsia="es-ES_tradnl"/>
        </w:rPr>
        <w:drawing>
          <wp:anchor distT="0" distB="0" distL="114300" distR="114300" simplePos="0" relativeHeight="251657215" behindDoc="1" locked="0" layoutInCell="1" allowOverlap="1" wp14:anchorId="7F27D622" wp14:editId="364ED129">
            <wp:simplePos x="0" y="0"/>
            <wp:positionH relativeFrom="column">
              <wp:posOffset>2195830</wp:posOffset>
            </wp:positionH>
            <wp:positionV relativeFrom="paragraph">
              <wp:posOffset>52705</wp:posOffset>
            </wp:positionV>
            <wp:extent cx="1792605" cy="1925955"/>
            <wp:effectExtent l="0" t="0" r="10795"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tner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1925955"/>
                    </a:xfrm>
                    <a:prstGeom prst="rect">
                      <a:avLst/>
                    </a:prstGeom>
                  </pic:spPr>
                </pic:pic>
              </a:graphicData>
            </a:graphic>
          </wp:anchor>
        </w:drawing>
      </w:r>
    </w:p>
    <w:p w14:paraId="49766A60" w14:textId="77777777" w:rsidR="004129F9" w:rsidRDefault="004129F9" w:rsidP="007F65D7">
      <w:pPr>
        <w:spacing w:after="0" w:line="240" w:lineRule="auto"/>
        <w:jc w:val="both"/>
        <w:rPr>
          <w:rFonts w:ascii="Arial" w:eastAsia="Times" w:hAnsi="Arial" w:cs="Times New Roman"/>
          <w:bCs/>
          <w:color w:val="808080"/>
          <w:sz w:val="18"/>
          <w:szCs w:val="18"/>
        </w:rPr>
      </w:pPr>
    </w:p>
    <w:p w14:paraId="5EDBC17C" w14:textId="77777777" w:rsidR="004129F9" w:rsidRDefault="004129F9" w:rsidP="007F65D7">
      <w:pPr>
        <w:spacing w:after="0" w:line="240" w:lineRule="auto"/>
        <w:jc w:val="both"/>
        <w:rPr>
          <w:rFonts w:ascii="Arial" w:eastAsia="Times" w:hAnsi="Arial" w:cs="Times New Roman"/>
          <w:bCs/>
          <w:color w:val="808080"/>
          <w:sz w:val="18"/>
          <w:szCs w:val="18"/>
        </w:rPr>
      </w:pPr>
    </w:p>
    <w:p w14:paraId="2F9A9F5E" w14:textId="77777777" w:rsidR="004129F9" w:rsidRDefault="004129F9" w:rsidP="00076CF8">
      <w:pPr>
        <w:spacing w:after="0" w:line="240" w:lineRule="auto"/>
        <w:jc w:val="center"/>
        <w:rPr>
          <w:rFonts w:ascii="Arial" w:eastAsia="Times" w:hAnsi="Arial" w:cs="Times New Roman"/>
          <w:bCs/>
          <w:color w:val="808080"/>
          <w:sz w:val="18"/>
          <w:szCs w:val="18"/>
        </w:rPr>
      </w:pPr>
    </w:p>
    <w:p w14:paraId="59E0B383" w14:textId="77777777" w:rsidR="00076CF8" w:rsidRDefault="00076CF8" w:rsidP="00076CF8">
      <w:pPr>
        <w:spacing w:after="0" w:line="240" w:lineRule="auto"/>
        <w:jc w:val="center"/>
        <w:rPr>
          <w:rFonts w:ascii="Arial" w:eastAsia="Times" w:hAnsi="Arial" w:cs="Times New Roman"/>
          <w:bCs/>
          <w:color w:val="808080"/>
          <w:sz w:val="18"/>
          <w:szCs w:val="18"/>
        </w:rPr>
      </w:pPr>
    </w:p>
    <w:p w14:paraId="1C5384AE" w14:textId="77777777" w:rsidR="00076CF8" w:rsidRDefault="00076CF8" w:rsidP="00076CF8">
      <w:pPr>
        <w:spacing w:after="0" w:line="240" w:lineRule="auto"/>
        <w:jc w:val="center"/>
        <w:rPr>
          <w:rFonts w:ascii="Arial" w:eastAsia="Times" w:hAnsi="Arial" w:cs="Times New Roman"/>
          <w:bCs/>
          <w:color w:val="808080"/>
          <w:sz w:val="18"/>
          <w:szCs w:val="18"/>
        </w:rPr>
      </w:pPr>
    </w:p>
    <w:p w14:paraId="4B15C3C1" w14:textId="77777777" w:rsidR="00076CF8" w:rsidRDefault="00076CF8" w:rsidP="00076CF8">
      <w:pPr>
        <w:spacing w:after="0" w:line="240" w:lineRule="auto"/>
        <w:jc w:val="center"/>
        <w:rPr>
          <w:rFonts w:ascii="Arial" w:eastAsia="Times" w:hAnsi="Arial" w:cs="Times New Roman"/>
          <w:bCs/>
          <w:color w:val="808080"/>
          <w:sz w:val="18"/>
          <w:szCs w:val="18"/>
        </w:rPr>
      </w:pPr>
    </w:p>
    <w:p w14:paraId="1D0393F7" w14:textId="77777777" w:rsidR="00076CF8" w:rsidRDefault="00076CF8" w:rsidP="00076CF8">
      <w:pPr>
        <w:spacing w:after="0" w:line="240" w:lineRule="auto"/>
        <w:jc w:val="center"/>
        <w:rPr>
          <w:rFonts w:ascii="Arial" w:eastAsia="Times" w:hAnsi="Arial" w:cs="Times New Roman"/>
          <w:bCs/>
          <w:color w:val="808080"/>
          <w:sz w:val="18"/>
          <w:szCs w:val="18"/>
        </w:rPr>
      </w:pPr>
    </w:p>
    <w:p w14:paraId="2D501DD5" w14:textId="77777777" w:rsidR="00076CF8" w:rsidRDefault="00076CF8" w:rsidP="00076CF8">
      <w:pPr>
        <w:spacing w:after="0" w:line="240" w:lineRule="auto"/>
        <w:jc w:val="center"/>
        <w:rPr>
          <w:rFonts w:ascii="Arial" w:eastAsia="Times" w:hAnsi="Arial" w:cs="Times New Roman"/>
          <w:bCs/>
          <w:color w:val="808080"/>
          <w:sz w:val="18"/>
          <w:szCs w:val="18"/>
        </w:rPr>
      </w:pPr>
    </w:p>
    <w:p w14:paraId="75954992" w14:textId="77777777" w:rsidR="00076CF8" w:rsidRDefault="00076CF8" w:rsidP="00076CF8">
      <w:pPr>
        <w:spacing w:after="0" w:line="240" w:lineRule="auto"/>
        <w:jc w:val="center"/>
        <w:rPr>
          <w:rFonts w:ascii="Arial" w:eastAsia="Times" w:hAnsi="Arial" w:cs="Times New Roman"/>
          <w:bCs/>
          <w:color w:val="808080"/>
          <w:sz w:val="18"/>
          <w:szCs w:val="18"/>
        </w:rPr>
      </w:pPr>
    </w:p>
    <w:p w14:paraId="7B345408" w14:textId="77777777" w:rsidR="00076CF8" w:rsidRDefault="00076CF8" w:rsidP="00076CF8">
      <w:pPr>
        <w:spacing w:after="0" w:line="240" w:lineRule="auto"/>
        <w:jc w:val="center"/>
        <w:rPr>
          <w:rFonts w:ascii="Arial" w:eastAsia="Times" w:hAnsi="Arial" w:cs="Times New Roman"/>
          <w:bCs/>
          <w:color w:val="808080"/>
          <w:sz w:val="18"/>
          <w:szCs w:val="18"/>
        </w:rPr>
      </w:pPr>
    </w:p>
    <w:p w14:paraId="2188A9A0" w14:textId="77777777" w:rsidR="00076CF8" w:rsidRDefault="00076CF8" w:rsidP="00076CF8">
      <w:pPr>
        <w:spacing w:after="0" w:line="240" w:lineRule="auto"/>
        <w:jc w:val="center"/>
        <w:rPr>
          <w:rFonts w:ascii="Arial" w:eastAsia="Times" w:hAnsi="Arial" w:cs="Times New Roman"/>
          <w:bCs/>
          <w:color w:val="808080"/>
          <w:sz w:val="18"/>
          <w:szCs w:val="18"/>
        </w:rPr>
      </w:pPr>
    </w:p>
    <w:p w14:paraId="12E01633" w14:textId="77777777" w:rsidR="00076CF8" w:rsidRDefault="00076CF8" w:rsidP="00076CF8">
      <w:pPr>
        <w:spacing w:after="0" w:line="240" w:lineRule="auto"/>
        <w:jc w:val="center"/>
        <w:rPr>
          <w:rFonts w:ascii="Arial" w:eastAsia="Times" w:hAnsi="Arial" w:cs="Times New Roman"/>
          <w:bCs/>
          <w:color w:val="808080"/>
          <w:sz w:val="18"/>
          <w:szCs w:val="18"/>
        </w:rPr>
      </w:pPr>
    </w:p>
    <w:p w14:paraId="39C06969" w14:textId="77777777" w:rsidR="00076CF8" w:rsidRDefault="00076CF8" w:rsidP="00076CF8">
      <w:pPr>
        <w:spacing w:after="0" w:line="240" w:lineRule="auto"/>
        <w:jc w:val="center"/>
        <w:rPr>
          <w:rFonts w:ascii="Arial" w:eastAsia="Times" w:hAnsi="Arial" w:cs="Times New Roman"/>
          <w:bCs/>
          <w:color w:val="808080"/>
          <w:sz w:val="18"/>
          <w:szCs w:val="18"/>
        </w:rPr>
      </w:pPr>
    </w:p>
    <w:p w14:paraId="2598B48B" w14:textId="77777777" w:rsidR="005F2F9F" w:rsidRDefault="00B81778" w:rsidP="00076CF8">
      <w:pPr>
        <w:pBdr>
          <w:bottom w:val="single" w:sz="4" w:space="1" w:color="auto"/>
        </w:pBd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ab/>
      </w:r>
      <w:r>
        <w:rPr>
          <w:rFonts w:ascii="Arial" w:eastAsia="Times" w:hAnsi="Arial" w:cs="Times New Roman"/>
          <w:color w:val="808080"/>
          <w:sz w:val="18"/>
          <w:szCs w:val="18"/>
          <w:lang w:val="pt"/>
        </w:rPr>
        <w:tab/>
      </w:r>
      <w:r>
        <w:rPr>
          <w:rFonts w:ascii="Arial" w:eastAsia="Times" w:hAnsi="Arial" w:cs="Times New Roman"/>
          <w:color w:val="808080"/>
          <w:sz w:val="18"/>
          <w:szCs w:val="18"/>
          <w:lang w:val="pt"/>
        </w:rPr>
        <w:tab/>
        <w:t xml:space="preserve">                       </w:t>
      </w:r>
      <w:r>
        <w:rPr>
          <w:rFonts w:ascii="Arial" w:eastAsia="Times" w:hAnsi="Arial" w:cs="Times New Roman"/>
          <w:color w:val="808080"/>
          <w:sz w:val="18"/>
          <w:szCs w:val="18"/>
          <w:lang w:val="pt"/>
        </w:rPr>
        <w:tab/>
      </w:r>
    </w:p>
    <w:p w14:paraId="6E52F257" w14:textId="77777777" w:rsidR="005F2F9F" w:rsidRPr="002738F6" w:rsidRDefault="00B61D91" w:rsidP="005F2F9F">
      <w:pPr>
        <w:spacing w:after="0" w:line="240" w:lineRule="auto"/>
        <w:jc w:val="both"/>
        <w:rPr>
          <w:rFonts w:ascii="Arial" w:eastAsia="Times" w:hAnsi="Arial" w:cs="Times New Roman"/>
          <w:bCs/>
          <w:color w:val="808080"/>
          <w:sz w:val="18"/>
          <w:szCs w:val="18"/>
        </w:rPr>
      </w:pPr>
      <w:r>
        <w:rPr>
          <w:rFonts w:eastAsia="Times"/>
          <w:noProof/>
          <w:lang w:val="es-ES_tradnl" w:eastAsia="es-ES_tradnl"/>
        </w:rPr>
        <w:drawing>
          <wp:anchor distT="0" distB="0" distL="114300" distR="114300" simplePos="0" relativeHeight="251666432" behindDoc="0" locked="0" layoutInCell="1" allowOverlap="1" wp14:anchorId="08BAE0A6" wp14:editId="0448F01D">
            <wp:simplePos x="0" y="0"/>
            <wp:positionH relativeFrom="column">
              <wp:posOffset>52705</wp:posOffset>
            </wp:positionH>
            <wp:positionV relativeFrom="paragraph">
              <wp:posOffset>1431925</wp:posOffset>
            </wp:positionV>
            <wp:extent cx="1373505" cy="541655"/>
            <wp:effectExtent l="0" t="0" r="0" b="0"/>
            <wp:wrapThrough wrapText="bothSides">
              <wp:wrapPolygon edited="0">
                <wp:start x="0" y="0"/>
                <wp:lineTo x="0" y="20258"/>
                <wp:lineTo x="21171" y="20258"/>
                <wp:lineTo x="21171"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ZC_vb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3505" cy="541655"/>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63360" behindDoc="0" locked="0" layoutInCell="1" allowOverlap="1" wp14:anchorId="7D3037A9" wp14:editId="3DD45843">
            <wp:simplePos x="0" y="0"/>
            <wp:positionH relativeFrom="column">
              <wp:posOffset>1652905</wp:posOffset>
            </wp:positionH>
            <wp:positionV relativeFrom="paragraph">
              <wp:posOffset>1294765</wp:posOffset>
            </wp:positionV>
            <wp:extent cx="1090295" cy="770255"/>
            <wp:effectExtent l="0" t="0" r="1905" b="0"/>
            <wp:wrapTight wrapText="bothSides">
              <wp:wrapPolygon edited="0">
                <wp:start x="0" y="0"/>
                <wp:lineTo x="0" y="20656"/>
                <wp:lineTo x="21135" y="20656"/>
                <wp:lineTo x="21135"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BVA_287--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295" cy="770255"/>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65408" behindDoc="0" locked="0" layoutInCell="1" allowOverlap="1" wp14:anchorId="164AE493" wp14:editId="522F93E6">
            <wp:simplePos x="0" y="0"/>
            <wp:positionH relativeFrom="column">
              <wp:posOffset>4819015</wp:posOffset>
            </wp:positionH>
            <wp:positionV relativeFrom="paragraph">
              <wp:posOffset>1439545</wp:posOffset>
            </wp:positionV>
            <wp:extent cx="1490345" cy="496570"/>
            <wp:effectExtent l="0" t="0" r="8255" b="11430"/>
            <wp:wrapTight wrapText="bothSides">
              <wp:wrapPolygon edited="0">
                <wp:start x="0" y="0"/>
                <wp:lineTo x="0" y="20992"/>
                <wp:lineTo x="21352" y="20992"/>
                <wp:lineTo x="21352"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H_BRAND_SYSTEM_REGION_CORPORATE_GRUPO (1) cop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0345" cy="496570"/>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64384" behindDoc="0" locked="0" layoutInCell="1" allowOverlap="1" wp14:anchorId="0649B6C0" wp14:editId="54F48F35">
            <wp:simplePos x="0" y="0"/>
            <wp:positionH relativeFrom="column">
              <wp:posOffset>2974340</wp:posOffset>
            </wp:positionH>
            <wp:positionV relativeFrom="paragraph">
              <wp:posOffset>1479550</wp:posOffset>
            </wp:positionV>
            <wp:extent cx="1616075" cy="410210"/>
            <wp:effectExtent l="0" t="0" r="9525" b="0"/>
            <wp:wrapTight wrapText="bothSides">
              <wp:wrapPolygon edited="0">
                <wp:start x="0" y="0"/>
                <wp:lineTo x="0" y="20062"/>
                <wp:lineTo x="21388" y="20062"/>
                <wp:lineTo x="2138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Master Blu Lavazza orizzonta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075" cy="410210"/>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61312" behindDoc="0" locked="0" layoutInCell="1" allowOverlap="1" wp14:anchorId="4526CB94" wp14:editId="7C5CD91C">
            <wp:simplePos x="0" y="0"/>
            <wp:positionH relativeFrom="column">
              <wp:posOffset>4559935</wp:posOffset>
            </wp:positionH>
            <wp:positionV relativeFrom="paragraph">
              <wp:posOffset>411480</wp:posOffset>
            </wp:positionV>
            <wp:extent cx="1436370" cy="431800"/>
            <wp:effectExtent l="0" t="0" r="11430" b="0"/>
            <wp:wrapTight wrapText="bothSides">
              <wp:wrapPolygon edited="0">
                <wp:start x="0" y="0"/>
                <wp:lineTo x="0" y="20329"/>
                <wp:lineTo x="21390" y="20329"/>
                <wp:lineTo x="2139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Makr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6370" cy="431800"/>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58240" behindDoc="0" locked="0" layoutInCell="1" allowOverlap="1" wp14:anchorId="1101FA0A" wp14:editId="13E216A5">
            <wp:simplePos x="0" y="0"/>
            <wp:positionH relativeFrom="column">
              <wp:posOffset>0</wp:posOffset>
            </wp:positionH>
            <wp:positionV relativeFrom="paragraph">
              <wp:posOffset>422910</wp:posOffset>
            </wp:positionV>
            <wp:extent cx="1479550" cy="460375"/>
            <wp:effectExtent l="0" t="0" r="0" b="0"/>
            <wp:wrapThrough wrapText="bothSides">
              <wp:wrapPolygon edited="0">
                <wp:start x="0" y="0"/>
                <wp:lineTo x="0" y="20259"/>
                <wp:lineTo x="21136" y="20259"/>
                <wp:lineTo x="21136"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5E_LOG_NEG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9550" cy="460375"/>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60288" behindDoc="0" locked="0" layoutInCell="1" allowOverlap="1" wp14:anchorId="638B7694" wp14:editId="78510645">
            <wp:simplePos x="0" y="0"/>
            <wp:positionH relativeFrom="column">
              <wp:posOffset>3254375</wp:posOffset>
            </wp:positionH>
            <wp:positionV relativeFrom="paragraph">
              <wp:posOffset>359410</wp:posOffset>
            </wp:positionV>
            <wp:extent cx="964565" cy="565150"/>
            <wp:effectExtent l="0" t="0" r="635" b="0"/>
            <wp:wrapTight wrapText="bothSides">
              <wp:wrapPolygon edited="0">
                <wp:start x="0" y="0"/>
                <wp:lineTo x="0" y="20387"/>
                <wp:lineTo x="21045" y="20387"/>
                <wp:lineTo x="2104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aluny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565" cy="565150"/>
                    </a:xfrm>
                    <a:prstGeom prst="rect">
                      <a:avLst/>
                    </a:prstGeom>
                  </pic:spPr>
                </pic:pic>
              </a:graphicData>
            </a:graphic>
          </wp:anchor>
        </w:drawing>
      </w:r>
      <w:r>
        <w:rPr>
          <w:rFonts w:ascii="Arial" w:eastAsia="Times" w:hAnsi="Arial"/>
          <w:noProof/>
          <w:color w:val="808080"/>
          <w:sz w:val="18"/>
          <w:szCs w:val="18"/>
          <w:lang w:val="es-ES_tradnl" w:eastAsia="es-ES_tradnl"/>
        </w:rPr>
        <w:drawing>
          <wp:anchor distT="0" distB="0" distL="114300" distR="114300" simplePos="0" relativeHeight="251657727" behindDoc="0" locked="0" layoutInCell="1" allowOverlap="1" wp14:anchorId="576A8498" wp14:editId="2C6D9B0E">
            <wp:simplePos x="0" y="0"/>
            <wp:positionH relativeFrom="column">
              <wp:posOffset>1767840</wp:posOffset>
            </wp:positionH>
            <wp:positionV relativeFrom="paragraph">
              <wp:posOffset>237012</wp:posOffset>
            </wp:positionV>
            <wp:extent cx="1115695" cy="798830"/>
            <wp:effectExtent l="0" t="0" r="1905" b="0"/>
            <wp:wrapTight wrapText="bothSides">
              <wp:wrapPolygon edited="0">
                <wp:start x="0" y="0"/>
                <wp:lineTo x="0" y="20604"/>
                <wp:lineTo x="21145" y="20604"/>
                <wp:lineTo x="2114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B_PG_V_P_B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5695" cy="798830"/>
                    </a:xfrm>
                    <a:prstGeom prst="rect">
                      <a:avLst/>
                    </a:prstGeom>
                  </pic:spPr>
                </pic:pic>
              </a:graphicData>
            </a:graphic>
          </wp:anchor>
        </w:drawing>
      </w:r>
    </w:p>
    <w:sectPr w:rsidR="005F2F9F" w:rsidRPr="002738F6" w:rsidSect="00944ACE">
      <w:headerReference w:type="default" r:id="rId18"/>
      <w:footerReference w:type="default" r:id="rId1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5D79" w14:textId="77777777" w:rsidR="00A75221" w:rsidRDefault="00A75221" w:rsidP="00DB4D9F">
      <w:pPr>
        <w:spacing w:after="0" w:line="240" w:lineRule="auto"/>
      </w:pPr>
      <w:r>
        <w:separator/>
      </w:r>
    </w:p>
  </w:endnote>
  <w:endnote w:type="continuationSeparator" w:id="0">
    <w:p w14:paraId="33D9D1D5" w14:textId="77777777" w:rsidR="00A75221" w:rsidRDefault="00A7522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Bold">
    <w:altName w:val="Times"/>
    <w:charset w:val="00"/>
    <w:family w:val="auto"/>
    <w:pitch w:val="variable"/>
    <w:sig w:usb0="00000003" w:usb1="00000000" w:usb2="00000000" w:usb3="00000000" w:csb0="00000001" w:csb1="00000000"/>
  </w:font>
  <w:font w:name="Times-BoldItalic">
    <w:altName w:val="Times"/>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F05E0" w14:textId="77777777" w:rsidR="00AC3CCE" w:rsidRDefault="00A75221" w:rsidP="00A838CF">
    <w:pPr>
      <w:pStyle w:val="Piedepgina"/>
    </w:pPr>
    <w:r>
      <w:rPr>
        <w:noProof/>
        <w:lang w:val="pt"/>
      </w:rPr>
      <w:pict w14:anchorId="4F38CA8C">
        <v:group id="Agrupar 4" o:spid="_x0000_s2051" style="position:absolute;margin-left:358.45pt;margin-top:-44.35pt;width:164.9pt;height:70.05pt;z-index:251666432" coordsize="2094093,889635" wrapcoords="3044 0 -98 20903 -98 21368 21698 21368 21698 0 3044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 6" o:spid="_x0000_s2055"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11" o:spid="_x0000_s2052"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 6" o:spid="_x0000_s2054"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3"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1" o:title=""/>
              <v:path arrowok="t"/>
            </v:shape>
          </v:group>
          <w10:wrap type="through"/>
        </v:group>
      </w:pict>
    </w:r>
    <w:r>
      <w:rPr>
        <w:noProof/>
        <w:lang w:val="pt"/>
      </w:rPr>
      <w:pict w14:anchorId="50BF2DB5">
        <v:group id="Agrupar 2" o:spid="_x0000_s2048" style="position:absolute;margin-left:346.15pt;margin-top:-56.15pt;width:164.4pt;height:69.7pt;z-index:251664384"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 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 id="Imagen 8"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2702D485" w14:textId="77777777" w:rsidTr="00113C5F">
      <w:trPr>
        <w:trHeight w:val="155"/>
        <w:jc w:val="center"/>
      </w:trPr>
      <w:tc>
        <w:tcPr>
          <w:tcW w:w="1842" w:type="dxa"/>
          <w:vAlign w:val="center"/>
        </w:tcPr>
        <w:p w14:paraId="358158EA"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E3CCA1F"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3D22DB2F"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7D3F5E55"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0312CEEE"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0399313E" w14:textId="77777777" w:rsidR="007764AF" w:rsidRPr="00102BAB" w:rsidRDefault="007764AF" w:rsidP="007764AF">
          <w:pPr>
            <w:pStyle w:val="Piedepgina"/>
            <w:rPr>
              <w:rFonts w:ascii="Arial" w:hAnsi="Arial" w:cs="Arial"/>
              <w:color w:val="424242" w:themeColor="accent6" w:themeShade="BF"/>
              <w:sz w:val="14"/>
            </w:rPr>
          </w:pPr>
        </w:p>
      </w:tc>
    </w:tr>
  </w:tbl>
  <w:p w14:paraId="329FB73E"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7908" w14:textId="77777777" w:rsidR="00A75221" w:rsidRDefault="00A75221" w:rsidP="00DB4D9F">
      <w:pPr>
        <w:spacing w:after="0" w:line="240" w:lineRule="auto"/>
      </w:pPr>
      <w:r>
        <w:separator/>
      </w:r>
    </w:p>
  </w:footnote>
  <w:footnote w:type="continuationSeparator" w:id="0">
    <w:p w14:paraId="3B5BB626" w14:textId="77777777" w:rsidR="00A75221" w:rsidRDefault="00A75221"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067B7C" w14:textId="77777777" w:rsidR="00DB4D9F" w:rsidRDefault="00A75221">
    <w:pPr>
      <w:pStyle w:val="Encabezado"/>
    </w:pPr>
    <w:r>
      <w:rPr>
        <w:noProof/>
        <w:lang w:val="pt"/>
      </w:rPr>
      <w:pict w14:anchorId="74F75305">
        <v:group id="Groupe 5" o:spid="_x0000_s2056" style="position:absolute;margin-left:-26.2pt;margin-top:-8.4pt;width:89.3pt;height:234.05pt;z-index:-251656192" coordsize="11339,29724" wrapcoords="20692 -69 19785 1038 3812 1246 3086 1315 2904 19869 1634 21185 1634 21600 1815 21600 2904 21600 21600 831 21963 0 21782 -69 20692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8"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7"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17E9E"/>
    <w:rsid w:val="00037F46"/>
    <w:rsid w:val="00060C4D"/>
    <w:rsid w:val="00076CF8"/>
    <w:rsid w:val="000A5A3B"/>
    <w:rsid w:val="000B4123"/>
    <w:rsid w:val="00102BAB"/>
    <w:rsid w:val="00103362"/>
    <w:rsid w:val="00113C5F"/>
    <w:rsid w:val="00151DC4"/>
    <w:rsid w:val="00192F29"/>
    <w:rsid w:val="001C5FC3"/>
    <w:rsid w:val="002738F6"/>
    <w:rsid w:val="00285C36"/>
    <w:rsid w:val="002F1AF6"/>
    <w:rsid w:val="002F75CD"/>
    <w:rsid w:val="003038F9"/>
    <w:rsid w:val="003336B6"/>
    <w:rsid w:val="00344B60"/>
    <w:rsid w:val="003467E2"/>
    <w:rsid w:val="00346B80"/>
    <w:rsid w:val="004129F9"/>
    <w:rsid w:val="004317AF"/>
    <w:rsid w:val="00443F28"/>
    <w:rsid w:val="0044696E"/>
    <w:rsid w:val="004C291E"/>
    <w:rsid w:val="004D2526"/>
    <w:rsid w:val="004D7B90"/>
    <w:rsid w:val="004E4610"/>
    <w:rsid w:val="004E50C0"/>
    <w:rsid w:val="005E26D0"/>
    <w:rsid w:val="005F2F9F"/>
    <w:rsid w:val="006106D2"/>
    <w:rsid w:val="00610C2C"/>
    <w:rsid w:val="00655361"/>
    <w:rsid w:val="00660FE8"/>
    <w:rsid w:val="0069553D"/>
    <w:rsid w:val="006A2109"/>
    <w:rsid w:val="006E0D8C"/>
    <w:rsid w:val="006E1101"/>
    <w:rsid w:val="006E5A0F"/>
    <w:rsid w:val="0070229B"/>
    <w:rsid w:val="007128E4"/>
    <w:rsid w:val="00731E99"/>
    <w:rsid w:val="007764AF"/>
    <w:rsid w:val="00795C26"/>
    <w:rsid w:val="00796A22"/>
    <w:rsid w:val="007B3CBE"/>
    <w:rsid w:val="007F65D7"/>
    <w:rsid w:val="008358DF"/>
    <w:rsid w:val="00851CA3"/>
    <w:rsid w:val="008772D5"/>
    <w:rsid w:val="00882188"/>
    <w:rsid w:val="008D287A"/>
    <w:rsid w:val="00907791"/>
    <w:rsid w:val="00916E22"/>
    <w:rsid w:val="00944ACE"/>
    <w:rsid w:val="009922B2"/>
    <w:rsid w:val="00994659"/>
    <w:rsid w:val="009A2CF5"/>
    <w:rsid w:val="00A47627"/>
    <w:rsid w:val="00A75221"/>
    <w:rsid w:val="00A838CF"/>
    <w:rsid w:val="00AC274B"/>
    <w:rsid w:val="00AC3CCE"/>
    <w:rsid w:val="00AC6544"/>
    <w:rsid w:val="00AE1E06"/>
    <w:rsid w:val="00AE3219"/>
    <w:rsid w:val="00B01139"/>
    <w:rsid w:val="00B12DDC"/>
    <w:rsid w:val="00B2184B"/>
    <w:rsid w:val="00B61D91"/>
    <w:rsid w:val="00B74697"/>
    <w:rsid w:val="00B81778"/>
    <w:rsid w:val="00B81ED0"/>
    <w:rsid w:val="00B9182F"/>
    <w:rsid w:val="00B91E9E"/>
    <w:rsid w:val="00B924F2"/>
    <w:rsid w:val="00BA3660"/>
    <w:rsid w:val="00BE56AE"/>
    <w:rsid w:val="00BE7E2D"/>
    <w:rsid w:val="00C65DB5"/>
    <w:rsid w:val="00C662E3"/>
    <w:rsid w:val="00C765BD"/>
    <w:rsid w:val="00C97919"/>
    <w:rsid w:val="00D257B0"/>
    <w:rsid w:val="00D27068"/>
    <w:rsid w:val="00D5290D"/>
    <w:rsid w:val="00D60749"/>
    <w:rsid w:val="00D67723"/>
    <w:rsid w:val="00D77868"/>
    <w:rsid w:val="00DB4D9F"/>
    <w:rsid w:val="00E3250A"/>
    <w:rsid w:val="00E8447A"/>
    <w:rsid w:val="00EC479A"/>
    <w:rsid w:val="00F11D53"/>
    <w:rsid w:val="00F124D3"/>
    <w:rsid w:val="00F65343"/>
    <w:rsid w:val="00F66B70"/>
    <w:rsid w:val="00FA21FA"/>
    <w:rsid w:val="00FA66B8"/>
    <w:rsid w:val="00FA7EC1"/>
    <w:rsid w:val="00FB5515"/>
    <w:rsid w:val="00FC20CE"/>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4E40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3E77-35F3-794E-8EDB-7A4CCBEF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3</Pages>
  <Words>1198</Words>
  <Characters>6595</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2015-11-05T15:03:00Z</cp:lastPrinted>
  <dcterms:created xsi:type="dcterms:W3CDTF">2016-11-17T10:56:00Z</dcterms:created>
  <dcterms:modified xsi:type="dcterms:W3CDTF">2016-11-25T13:13:00Z</dcterms:modified>
</cp:coreProperties>
</file>