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E1" w:rsidRPr="007970E1" w:rsidRDefault="007970E1" w:rsidP="007970E1">
      <w:pPr>
        <w:autoSpaceDE w:val="0"/>
        <w:autoSpaceDN w:val="0"/>
        <w:adjustRightInd w:val="0"/>
        <w:jc w:val="both"/>
        <w:rPr>
          <w:rFonts w:ascii="Verdana" w:hAnsi="Verdana" w:cs="Arial"/>
          <w:b/>
          <w:sz w:val="18"/>
          <w:szCs w:val="18"/>
        </w:rPr>
      </w:pPr>
    </w:p>
    <w:p w:rsidR="007970E1" w:rsidRPr="007970E1" w:rsidRDefault="007970E1" w:rsidP="007970E1"/>
    <w:p w:rsidR="008C4EAF" w:rsidRPr="004E1D8C" w:rsidRDefault="008C4EAF" w:rsidP="000B67C5">
      <w:pPr>
        <w:jc w:val="right"/>
        <w:rPr>
          <w:rFonts w:ascii="Verdana" w:hAnsi="Verdana" w:cs="Arial"/>
          <w:b/>
          <w:bCs/>
          <w:sz w:val="16"/>
          <w:szCs w:val="16"/>
        </w:rPr>
      </w:pPr>
      <w:r w:rsidRPr="004E1D8C">
        <w:rPr>
          <w:rFonts w:ascii="Verdana" w:hAnsi="Verdana" w:cs="Arial"/>
          <w:b/>
          <w:bCs/>
          <w:sz w:val="16"/>
          <w:szCs w:val="16"/>
        </w:rPr>
        <w:t>INFORMATION PRESSE</w:t>
      </w:r>
    </w:p>
    <w:p w:rsidR="008C4EAF" w:rsidRPr="00792F03" w:rsidRDefault="00634B6A" w:rsidP="008C4EAF">
      <w:pPr>
        <w:jc w:val="right"/>
        <w:rPr>
          <w:rFonts w:ascii="Verdana" w:hAnsi="Verdana"/>
          <w:sz w:val="18"/>
          <w:szCs w:val="18"/>
        </w:rPr>
      </w:pPr>
      <w:r w:rsidRPr="004E1D8C">
        <w:rPr>
          <w:rFonts w:ascii="Verdana" w:hAnsi="Verdana" w:cs="Arial"/>
          <w:b/>
          <w:bCs/>
          <w:noProof/>
          <w:sz w:val="16"/>
          <w:szCs w:val="16"/>
        </w:rPr>
        <mc:AlternateContent>
          <mc:Choice Requires="wpg">
            <w:drawing>
              <wp:anchor distT="0" distB="0" distL="114300" distR="114300" simplePos="0" relativeHeight="251659264" behindDoc="1" locked="0" layoutInCell="1" allowOverlap="1" wp14:anchorId="2905ADD0" wp14:editId="59E9D6D5">
                <wp:simplePos x="0" y="0"/>
                <wp:positionH relativeFrom="column">
                  <wp:posOffset>-180340</wp:posOffset>
                </wp:positionH>
                <wp:positionV relativeFrom="paragraph">
                  <wp:posOffset>-556895</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27509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noFill/>
                          <a:ln w="38100" cap="flat" cmpd="sng" algn="ctr">
                            <a:solidFill>
                              <a:srgbClr val="FCE500">
                                <a:shade val="95000"/>
                                <a:satMod val="105000"/>
                              </a:srgbClr>
                            </a:solidFill>
                            <a:prstDash val="solid"/>
                          </a:ln>
                          <a:effectLst/>
                        </wps:spPr>
                        <wps:bodyPr/>
                      </wps:wsp>
                    </wpg:wgp>
                  </a:graphicData>
                </a:graphic>
              </wp:anchor>
            </w:drawing>
          </mc:Choice>
          <mc:Fallback>
            <w:pict>
              <v:group id="Groupe 5" o:spid="_x0000_s1026" style="position:absolute;margin-left:-14.2pt;margin-top:-43.85pt;width:89.3pt;height:234.05pt;z-index:-251657216"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FsLwA&#10;AADaAAAADwAAAGRycy9kb3ducmV2LnhtbERPvQrCMBDeBd8hnOCmqQ4i1bSIIoqbP4Pj0ZxttbmU&#10;JtX69kYQnI6P7/eWaWcq8aTGlZYVTMYRCOLM6pJzBZfzdjQH4TyyxsoyKXiTgzTp95YYa/viIz1P&#10;PhchhF2MCgrv61hKlxVk0I1tTRy4m20M+gCbXOoGXyHcVHIaRTNpsOTQUGBN64Kyx6k1CqpD1F63&#10;m+u+bsvVbmbnd+MuG6WGg261AOGp83/xz73XYT58X/lemX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ugWwvAAAANoAAAAPAAAAAAAAAAAAAAAAAJgCAABkcnMvZG93bnJldi54&#10;bWxQSwUGAAAAAAQABAD1AAAAgQMAAAAA&#10;" path="m,2732860l475546,,866399,2594607,,2732860xe" fillcolor="#27509b"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vHocIAAADaAAAADwAAAGRycy9kb3ducmV2LnhtbESPT2sCMRTE74LfITyhN81uW6ysZkUK&#10;lh79U2iPj81zs+3mZU2irt++EQSPw8z8hlkse9uKM/nQOFaQTzIQxJXTDdcKvvbr8QxEiMgaW8ek&#10;4EoBluVwsMBCuwtv6byLtUgQDgUqMDF2hZShMmQxTFxHnLyD8xZjkr6W2uMlwW0rn7NsKi02nBYM&#10;dvRuqPrbnawC9if9ttm2v69H/x3Q5259+PhR6mnUr+YgIvXxEb63P7WCF7hdSTd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3vHocIAAADaAAAADwAAAAAAAAAAAAAA&#10;AAChAgAAZHJzL2Rvd25yZXYueG1sUEsFBgAAAAAEAAQA+QAAAJADAAAAAA==&#10;" strokecolor="#fde500" strokeweight="3pt"/>
                <w10:wrap type="tight"/>
              </v:group>
            </w:pict>
          </mc:Fallback>
        </mc:AlternateContent>
      </w:r>
      <w:r w:rsidR="008C4EAF" w:rsidRPr="004E1D8C">
        <w:rPr>
          <w:rFonts w:ascii="Verdana" w:hAnsi="Verdana" w:cs="Arial"/>
          <w:b/>
          <w:bCs/>
          <w:sz w:val="16"/>
          <w:szCs w:val="16"/>
        </w:rPr>
        <w:t>Clermont-Ferrand, le 1</w:t>
      </w:r>
      <w:r w:rsidR="00EB75CE" w:rsidRPr="004E1D8C">
        <w:rPr>
          <w:rFonts w:ascii="Verdana" w:hAnsi="Verdana" w:cs="Arial"/>
          <w:b/>
          <w:bCs/>
          <w:sz w:val="16"/>
          <w:szCs w:val="16"/>
        </w:rPr>
        <w:t>4</w:t>
      </w:r>
      <w:r w:rsidR="008C4EAF" w:rsidRPr="004E1D8C">
        <w:rPr>
          <w:rFonts w:ascii="Verdana" w:hAnsi="Verdana" w:cs="Arial"/>
          <w:b/>
          <w:bCs/>
          <w:sz w:val="16"/>
          <w:szCs w:val="16"/>
        </w:rPr>
        <w:t xml:space="preserve"> février 201</w:t>
      </w:r>
      <w:r w:rsidR="00EB75CE" w:rsidRPr="004E1D8C">
        <w:rPr>
          <w:rFonts w:ascii="Verdana" w:hAnsi="Verdana" w:cs="Arial"/>
          <w:b/>
          <w:bCs/>
          <w:sz w:val="14"/>
          <w:szCs w:val="16"/>
        </w:rPr>
        <w:t>7</w:t>
      </w:r>
    </w:p>
    <w:p w:rsidR="008C4EAF" w:rsidRPr="00792F03" w:rsidRDefault="008C4EAF" w:rsidP="008C4EAF">
      <w:pPr>
        <w:jc w:val="center"/>
        <w:rPr>
          <w:rFonts w:ascii="Verdana" w:hAnsi="Verdana"/>
          <w:b/>
          <w:sz w:val="18"/>
          <w:szCs w:val="18"/>
        </w:rPr>
      </w:pPr>
    </w:p>
    <w:p w:rsidR="008C4EAF" w:rsidRPr="0040399C" w:rsidRDefault="008C4EAF" w:rsidP="001E350B">
      <w:pPr>
        <w:jc w:val="center"/>
        <w:rPr>
          <w:rFonts w:ascii="Verdana" w:hAnsi="Verdana" w:cs="Arial"/>
          <w:b/>
          <w:bCs/>
          <w:sz w:val="18"/>
          <w:szCs w:val="16"/>
        </w:rPr>
      </w:pPr>
      <w:r w:rsidRPr="0040399C">
        <w:rPr>
          <w:rFonts w:ascii="Verdana" w:hAnsi="Verdana" w:cs="Arial"/>
          <w:b/>
          <w:bCs/>
          <w:sz w:val="18"/>
          <w:szCs w:val="16"/>
        </w:rPr>
        <w:t>COMPAGNIE GENERALE DES ETABLISSEMENTS MICHELIN</w:t>
      </w:r>
    </w:p>
    <w:p w:rsidR="008C4EAF" w:rsidRPr="0040399C" w:rsidRDefault="008C4EAF" w:rsidP="008C4EAF">
      <w:pPr>
        <w:jc w:val="center"/>
        <w:rPr>
          <w:rFonts w:ascii="Verdana" w:hAnsi="Verdana" w:cs="Arial"/>
          <w:b/>
          <w:bCs/>
          <w:sz w:val="18"/>
          <w:szCs w:val="16"/>
        </w:rPr>
      </w:pPr>
      <w:r w:rsidRPr="0040399C">
        <w:rPr>
          <w:rFonts w:ascii="Verdana" w:hAnsi="Verdana" w:cs="Arial"/>
          <w:b/>
          <w:bCs/>
          <w:sz w:val="18"/>
          <w:szCs w:val="16"/>
        </w:rPr>
        <w:t xml:space="preserve">Information financière au 31 décembre </w:t>
      </w:r>
      <w:r w:rsidR="00EB75CE" w:rsidRPr="0040399C">
        <w:rPr>
          <w:rFonts w:ascii="Verdana" w:hAnsi="Verdana" w:cs="Arial"/>
          <w:b/>
          <w:bCs/>
          <w:sz w:val="18"/>
          <w:szCs w:val="16"/>
        </w:rPr>
        <w:t>2016</w:t>
      </w:r>
    </w:p>
    <w:p w:rsidR="007970E1" w:rsidRPr="007970E1" w:rsidRDefault="007970E1" w:rsidP="007970E1">
      <w:pPr>
        <w:jc w:val="center"/>
        <w:rPr>
          <w:rFonts w:ascii="Verdana" w:hAnsi="Verdana"/>
          <w:b/>
          <w:sz w:val="16"/>
          <w:szCs w:val="16"/>
        </w:rPr>
      </w:pPr>
    </w:p>
    <w:p w:rsidR="007970E1" w:rsidRPr="007970E1" w:rsidRDefault="007970E1" w:rsidP="004E1D8C">
      <w:pPr>
        <w:pBdr>
          <w:top w:val="single" w:sz="4" w:space="10" w:color="auto"/>
          <w:left w:val="single" w:sz="4" w:space="4" w:color="auto"/>
          <w:bottom w:val="single" w:sz="4" w:space="8" w:color="auto"/>
          <w:right w:val="single" w:sz="4" w:space="4" w:color="auto"/>
        </w:pBdr>
        <w:spacing w:before="120" w:after="120"/>
        <w:jc w:val="center"/>
        <w:rPr>
          <w:rFonts w:ascii="Verdana" w:hAnsi="Verdana"/>
          <w:b/>
          <w:sz w:val="18"/>
          <w:szCs w:val="18"/>
        </w:rPr>
      </w:pPr>
      <w:r w:rsidRPr="007970E1">
        <w:rPr>
          <w:rFonts w:ascii="Verdana" w:hAnsi="Verdana"/>
          <w:b/>
          <w:sz w:val="18"/>
          <w:szCs w:val="18"/>
          <w:u w:val="single"/>
        </w:rPr>
        <w:t>201</w:t>
      </w:r>
      <w:r w:rsidR="00EB75CE">
        <w:rPr>
          <w:rFonts w:ascii="Verdana" w:hAnsi="Verdana"/>
          <w:b/>
          <w:sz w:val="18"/>
          <w:szCs w:val="18"/>
          <w:u w:val="single"/>
        </w:rPr>
        <w:t>6</w:t>
      </w:r>
      <w:r w:rsidRPr="007970E1">
        <w:rPr>
          <w:rFonts w:ascii="Verdana" w:hAnsi="Verdana"/>
          <w:b/>
          <w:sz w:val="18"/>
          <w:szCs w:val="18"/>
          <w:u w:val="single"/>
        </w:rPr>
        <w:t> </w:t>
      </w:r>
      <w:r w:rsidR="00EB75CE">
        <w:rPr>
          <w:rFonts w:ascii="Verdana" w:hAnsi="Verdana"/>
          <w:b/>
          <w:sz w:val="18"/>
          <w:szCs w:val="18"/>
        </w:rPr>
        <w:t xml:space="preserve">: </w:t>
      </w:r>
      <w:r w:rsidR="008C52B2">
        <w:rPr>
          <w:rFonts w:ascii="Verdana" w:hAnsi="Verdana"/>
          <w:b/>
          <w:sz w:val="18"/>
          <w:szCs w:val="18"/>
        </w:rPr>
        <w:t xml:space="preserve">Objectifs atteints </w:t>
      </w:r>
      <w:r w:rsidR="008C52B2">
        <w:rPr>
          <w:rFonts w:ascii="Verdana" w:hAnsi="Verdana"/>
          <w:b/>
          <w:sz w:val="18"/>
          <w:szCs w:val="18"/>
        </w:rPr>
        <w:br/>
      </w:r>
      <w:r w:rsidR="008225D0">
        <w:rPr>
          <w:rFonts w:ascii="Verdana" w:hAnsi="Verdana"/>
          <w:b/>
          <w:sz w:val="18"/>
          <w:szCs w:val="18"/>
        </w:rPr>
        <w:t>Volume en croissance de 2</w:t>
      </w:r>
      <w:r w:rsidR="0010184C">
        <w:rPr>
          <w:rFonts w:ascii="Verdana" w:hAnsi="Verdana"/>
          <w:b/>
          <w:sz w:val="18"/>
          <w:szCs w:val="18"/>
        </w:rPr>
        <w:t>,1</w:t>
      </w:r>
      <w:r w:rsidR="008225D0">
        <w:rPr>
          <w:rFonts w:ascii="Verdana" w:hAnsi="Verdana"/>
          <w:b/>
          <w:sz w:val="18"/>
          <w:szCs w:val="18"/>
        </w:rPr>
        <w:t> %</w:t>
      </w:r>
      <w:proofErr w:type="gramStart"/>
      <w:r w:rsidR="008225D0">
        <w:rPr>
          <w:rFonts w:ascii="Verdana" w:hAnsi="Verdana"/>
          <w:b/>
          <w:sz w:val="18"/>
          <w:szCs w:val="18"/>
        </w:rPr>
        <w:t>,</w:t>
      </w:r>
      <w:proofErr w:type="gramEnd"/>
      <w:r w:rsidR="00D7604E">
        <w:rPr>
          <w:rFonts w:ascii="Verdana" w:hAnsi="Verdana"/>
          <w:b/>
          <w:sz w:val="18"/>
          <w:szCs w:val="18"/>
        </w:rPr>
        <w:br/>
      </w:r>
      <w:r w:rsidR="008225D0">
        <w:rPr>
          <w:rFonts w:ascii="Verdana" w:hAnsi="Verdana"/>
          <w:b/>
          <w:sz w:val="18"/>
          <w:szCs w:val="18"/>
        </w:rPr>
        <w:t>Résultat opérationnel sur activités courantes de 2</w:t>
      </w:r>
      <w:r w:rsidR="00AD2C06">
        <w:rPr>
          <w:rFonts w:ascii="Verdana" w:hAnsi="Verdana"/>
          <w:b/>
          <w:sz w:val="18"/>
          <w:szCs w:val="18"/>
        </w:rPr>
        <w:t xml:space="preserve"> </w:t>
      </w:r>
      <w:r w:rsidR="00941FAF">
        <w:rPr>
          <w:rFonts w:ascii="Verdana" w:hAnsi="Verdana"/>
          <w:b/>
          <w:sz w:val="18"/>
          <w:szCs w:val="18"/>
        </w:rPr>
        <w:t xml:space="preserve">692 </w:t>
      </w:r>
      <w:r w:rsidR="008225D0">
        <w:rPr>
          <w:rFonts w:ascii="Verdana" w:hAnsi="Verdana"/>
          <w:b/>
          <w:sz w:val="18"/>
          <w:szCs w:val="18"/>
        </w:rPr>
        <w:t>milli</w:t>
      </w:r>
      <w:r w:rsidR="00AD2C06">
        <w:rPr>
          <w:rFonts w:ascii="Verdana" w:hAnsi="Verdana"/>
          <w:b/>
          <w:sz w:val="18"/>
          <w:szCs w:val="18"/>
        </w:rPr>
        <w:t>on</w:t>
      </w:r>
      <w:r w:rsidR="008225D0">
        <w:rPr>
          <w:rFonts w:ascii="Verdana" w:hAnsi="Verdana"/>
          <w:b/>
          <w:sz w:val="18"/>
          <w:szCs w:val="18"/>
        </w:rPr>
        <w:t>s d’€,</w:t>
      </w:r>
      <w:r w:rsidR="007E3308">
        <w:rPr>
          <w:rFonts w:ascii="Verdana" w:hAnsi="Verdana"/>
          <w:b/>
          <w:sz w:val="18"/>
          <w:szCs w:val="18"/>
        </w:rPr>
        <w:t xml:space="preserve"> </w:t>
      </w:r>
      <w:r w:rsidR="00FC044A">
        <w:rPr>
          <w:rFonts w:ascii="Verdana" w:hAnsi="Verdana"/>
          <w:b/>
          <w:sz w:val="18"/>
          <w:szCs w:val="18"/>
        </w:rPr>
        <w:br/>
      </w:r>
      <w:r w:rsidR="003F7CA4">
        <w:rPr>
          <w:rFonts w:ascii="Verdana" w:hAnsi="Verdana"/>
          <w:b/>
          <w:sz w:val="18"/>
          <w:szCs w:val="18"/>
        </w:rPr>
        <w:t xml:space="preserve">en hausse de </w:t>
      </w:r>
      <w:r w:rsidR="007E3308">
        <w:rPr>
          <w:rFonts w:ascii="Verdana" w:hAnsi="Verdana"/>
          <w:b/>
          <w:sz w:val="18"/>
          <w:szCs w:val="18"/>
        </w:rPr>
        <w:t xml:space="preserve">235 </w:t>
      </w:r>
      <w:r w:rsidR="003F7CA4">
        <w:rPr>
          <w:rFonts w:ascii="Verdana" w:hAnsi="Verdana"/>
          <w:b/>
          <w:sz w:val="18"/>
          <w:szCs w:val="18"/>
        </w:rPr>
        <w:t xml:space="preserve">millions d’€ à parités </w:t>
      </w:r>
      <w:r w:rsidR="007E3308">
        <w:rPr>
          <w:rFonts w:ascii="Verdana" w:hAnsi="Verdana"/>
          <w:b/>
          <w:sz w:val="18"/>
          <w:szCs w:val="18"/>
        </w:rPr>
        <w:t>constantes</w:t>
      </w:r>
      <w:r w:rsidR="003F7CA4">
        <w:rPr>
          <w:rFonts w:ascii="Verdana" w:hAnsi="Verdana"/>
          <w:b/>
          <w:sz w:val="18"/>
          <w:szCs w:val="18"/>
        </w:rPr>
        <w:t xml:space="preserve">, </w:t>
      </w:r>
      <w:r w:rsidR="003F7CA4">
        <w:rPr>
          <w:rFonts w:ascii="Verdana" w:hAnsi="Verdana"/>
          <w:b/>
          <w:sz w:val="18"/>
          <w:szCs w:val="18"/>
        </w:rPr>
        <w:br/>
      </w:r>
      <w:r w:rsidR="00C41446" w:rsidRPr="00B75034">
        <w:rPr>
          <w:rFonts w:ascii="Verdana" w:hAnsi="Verdana"/>
          <w:b/>
          <w:i/>
          <w:sz w:val="18"/>
          <w:szCs w:val="18"/>
        </w:rPr>
        <w:t>Cash-flow</w:t>
      </w:r>
      <w:r w:rsidR="0010184C">
        <w:rPr>
          <w:rFonts w:ascii="Verdana" w:hAnsi="Verdana"/>
          <w:b/>
          <w:sz w:val="18"/>
          <w:szCs w:val="18"/>
        </w:rPr>
        <w:t xml:space="preserve"> libre supérieur à 1 milliard d’€</w:t>
      </w:r>
      <w:r w:rsidR="00C375F2">
        <w:rPr>
          <w:rFonts w:ascii="Verdana" w:hAnsi="Verdana"/>
          <w:b/>
          <w:sz w:val="18"/>
          <w:szCs w:val="18"/>
        </w:rPr>
        <w:t>.</w:t>
      </w:r>
    </w:p>
    <w:p w:rsidR="007970E1" w:rsidRPr="001D6E6D" w:rsidRDefault="00EB75CE" w:rsidP="0040399C">
      <w:pPr>
        <w:pBdr>
          <w:top w:val="single" w:sz="4" w:space="10" w:color="auto"/>
          <w:left w:val="single" w:sz="4" w:space="4" w:color="auto"/>
          <w:bottom w:val="single" w:sz="4" w:space="8" w:color="auto"/>
          <w:right w:val="single" w:sz="4" w:space="4" w:color="auto"/>
        </w:pBdr>
        <w:spacing w:after="120"/>
        <w:jc w:val="center"/>
        <w:rPr>
          <w:rFonts w:ascii="Verdana" w:hAnsi="Verdana"/>
          <w:b/>
          <w:sz w:val="16"/>
          <w:szCs w:val="16"/>
        </w:rPr>
      </w:pPr>
      <w:r>
        <w:rPr>
          <w:rFonts w:ascii="Verdana" w:hAnsi="Verdana"/>
          <w:b/>
          <w:sz w:val="18"/>
          <w:szCs w:val="18"/>
          <w:u w:val="single"/>
        </w:rPr>
        <w:t>2017</w:t>
      </w:r>
      <w:r w:rsidR="007970E1" w:rsidRPr="007970E1">
        <w:rPr>
          <w:rFonts w:ascii="Verdana" w:hAnsi="Verdana"/>
          <w:b/>
          <w:sz w:val="18"/>
          <w:szCs w:val="18"/>
          <w:u w:val="single"/>
        </w:rPr>
        <w:t> </w:t>
      </w:r>
      <w:r w:rsidR="007970E1" w:rsidRPr="007970E1">
        <w:rPr>
          <w:rFonts w:ascii="Verdana" w:hAnsi="Verdana"/>
          <w:b/>
          <w:sz w:val="18"/>
          <w:szCs w:val="18"/>
        </w:rPr>
        <w:t xml:space="preserve">: </w:t>
      </w:r>
      <w:r w:rsidR="008225D0">
        <w:rPr>
          <w:rFonts w:ascii="Verdana" w:hAnsi="Verdana"/>
          <w:b/>
          <w:sz w:val="18"/>
          <w:szCs w:val="18"/>
        </w:rPr>
        <w:t>Une nouvelle année de progrès</w:t>
      </w:r>
      <w:proofErr w:type="gramStart"/>
      <w:r w:rsidR="008225D0">
        <w:rPr>
          <w:rFonts w:ascii="Verdana" w:hAnsi="Verdana"/>
          <w:b/>
          <w:sz w:val="18"/>
          <w:szCs w:val="18"/>
        </w:rPr>
        <w:t>,</w:t>
      </w:r>
      <w:proofErr w:type="gramEnd"/>
      <w:r w:rsidR="00334B89">
        <w:rPr>
          <w:rFonts w:ascii="Verdana" w:hAnsi="Verdana"/>
          <w:b/>
          <w:sz w:val="18"/>
          <w:szCs w:val="18"/>
        </w:rPr>
        <w:br/>
      </w:r>
      <w:r w:rsidR="008225D0" w:rsidRPr="008225D0">
        <w:rPr>
          <w:rFonts w:ascii="Verdana" w:hAnsi="Verdana"/>
          <w:b/>
          <w:sz w:val="18"/>
          <w:szCs w:val="18"/>
        </w:rPr>
        <w:t>en ligne avec les objectifs du Groupe à horizon 2020</w:t>
      </w:r>
    </w:p>
    <w:p w:rsidR="001365F6" w:rsidRDefault="00911939" w:rsidP="00A967B6">
      <w:pPr>
        <w:numPr>
          <w:ilvl w:val="0"/>
          <w:numId w:val="2"/>
        </w:numPr>
        <w:tabs>
          <w:tab w:val="left" w:pos="284"/>
        </w:tabs>
        <w:spacing w:after="120"/>
        <w:jc w:val="both"/>
        <w:rPr>
          <w:rFonts w:ascii="Verdana" w:hAnsi="Verdana" w:cs="Arial"/>
          <w:b/>
          <w:bCs/>
          <w:sz w:val="18"/>
          <w:szCs w:val="16"/>
        </w:rPr>
      </w:pPr>
      <w:r w:rsidRPr="0040399C">
        <w:rPr>
          <w:rFonts w:ascii="Verdana" w:hAnsi="Verdana" w:cs="Arial"/>
          <w:b/>
          <w:bCs/>
          <w:sz w:val="18"/>
          <w:szCs w:val="16"/>
        </w:rPr>
        <w:t>Volume en c</w:t>
      </w:r>
      <w:r w:rsidR="007970E1" w:rsidRPr="0040399C">
        <w:rPr>
          <w:rFonts w:ascii="Verdana" w:hAnsi="Verdana" w:cs="Arial"/>
          <w:b/>
          <w:bCs/>
          <w:sz w:val="18"/>
          <w:szCs w:val="16"/>
        </w:rPr>
        <w:t xml:space="preserve">roissance de </w:t>
      </w:r>
      <w:r w:rsidR="00BD5CD2" w:rsidRPr="0040399C">
        <w:rPr>
          <w:rFonts w:ascii="Verdana" w:hAnsi="Verdana" w:cs="Arial"/>
          <w:b/>
          <w:bCs/>
          <w:sz w:val="18"/>
          <w:szCs w:val="16"/>
        </w:rPr>
        <w:t>2,1</w:t>
      </w:r>
      <w:r w:rsidR="004E4268" w:rsidRPr="0040399C">
        <w:rPr>
          <w:rFonts w:ascii="Verdana" w:hAnsi="Verdana" w:cs="Arial"/>
          <w:b/>
          <w:bCs/>
          <w:sz w:val="18"/>
          <w:szCs w:val="16"/>
        </w:rPr>
        <w:t> </w:t>
      </w:r>
      <w:r w:rsidR="007970E1" w:rsidRPr="0040399C">
        <w:rPr>
          <w:rFonts w:ascii="Verdana" w:hAnsi="Verdana" w:cs="Arial"/>
          <w:b/>
          <w:bCs/>
          <w:sz w:val="18"/>
          <w:szCs w:val="16"/>
        </w:rPr>
        <w:t xml:space="preserve">%, supérieure aux marchés, </w:t>
      </w:r>
    </w:p>
    <w:p w:rsidR="004F4FFB" w:rsidRPr="0040399C" w:rsidRDefault="00A967B6" w:rsidP="00360378">
      <w:pPr>
        <w:numPr>
          <w:ilvl w:val="1"/>
          <w:numId w:val="2"/>
        </w:numPr>
        <w:tabs>
          <w:tab w:val="left" w:pos="284"/>
        </w:tabs>
        <w:spacing w:after="120"/>
        <w:jc w:val="both"/>
        <w:rPr>
          <w:rFonts w:ascii="Verdana" w:hAnsi="Verdana" w:cs="Arial"/>
          <w:b/>
          <w:bCs/>
          <w:sz w:val="18"/>
          <w:szCs w:val="16"/>
        </w:rPr>
      </w:pPr>
      <w:r w:rsidRPr="0040399C">
        <w:rPr>
          <w:rFonts w:ascii="Verdana" w:hAnsi="Verdana" w:cs="Arial"/>
          <w:b/>
          <w:bCs/>
          <w:sz w:val="18"/>
          <w:szCs w:val="16"/>
        </w:rPr>
        <w:t>Tourisme camionnette (+</w:t>
      </w:r>
      <w:r w:rsidR="00B74AF4" w:rsidRPr="0040399C">
        <w:rPr>
          <w:rFonts w:ascii="Verdana" w:hAnsi="Verdana" w:cs="Arial"/>
          <w:b/>
          <w:bCs/>
          <w:sz w:val="18"/>
          <w:szCs w:val="16"/>
        </w:rPr>
        <w:t> 3</w:t>
      </w:r>
      <w:r w:rsidRPr="0040399C">
        <w:rPr>
          <w:rFonts w:ascii="Verdana" w:hAnsi="Verdana" w:cs="Arial"/>
          <w:b/>
          <w:bCs/>
          <w:sz w:val="18"/>
          <w:szCs w:val="16"/>
        </w:rPr>
        <w:t xml:space="preserve"> %), </w:t>
      </w:r>
      <w:r w:rsidR="001365F6">
        <w:rPr>
          <w:rFonts w:ascii="Verdana" w:hAnsi="Verdana" w:cs="Arial"/>
          <w:b/>
          <w:bCs/>
          <w:sz w:val="18"/>
          <w:szCs w:val="16"/>
        </w:rPr>
        <w:t>P</w:t>
      </w:r>
      <w:r w:rsidRPr="0040399C">
        <w:rPr>
          <w:rFonts w:ascii="Verdana" w:hAnsi="Verdana" w:cs="Arial"/>
          <w:b/>
          <w:bCs/>
          <w:sz w:val="18"/>
          <w:szCs w:val="16"/>
        </w:rPr>
        <w:t>oids lourd (+</w:t>
      </w:r>
      <w:r w:rsidR="00B74AF4" w:rsidRPr="0040399C">
        <w:rPr>
          <w:rFonts w:ascii="Verdana" w:hAnsi="Verdana" w:cs="Arial"/>
          <w:b/>
          <w:bCs/>
          <w:sz w:val="18"/>
          <w:szCs w:val="16"/>
        </w:rPr>
        <w:t> 1</w:t>
      </w:r>
      <w:r w:rsidRPr="0040399C">
        <w:rPr>
          <w:rFonts w:ascii="Verdana" w:hAnsi="Verdana" w:cs="Arial"/>
          <w:b/>
          <w:bCs/>
          <w:sz w:val="18"/>
          <w:szCs w:val="16"/>
        </w:rPr>
        <w:t xml:space="preserve"> %) et Spécialités (-</w:t>
      </w:r>
      <w:r w:rsidR="00B74AF4" w:rsidRPr="0040399C">
        <w:rPr>
          <w:rFonts w:ascii="Verdana" w:hAnsi="Verdana" w:cs="Arial"/>
          <w:b/>
          <w:bCs/>
          <w:sz w:val="18"/>
          <w:szCs w:val="16"/>
        </w:rPr>
        <w:t> 1 </w:t>
      </w:r>
      <w:r w:rsidRPr="0040399C">
        <w:rPr>
          <w:rFonts w:ascii="Verdana" w:hAnsi="Verdana" w:cs="Arial"/>
          <w:b/>
          <w:bCs/>
          <w:sz w:val="18"/>
          <w:szCs w:val="16"/>
        </w:rPr>
        <w:t>%).</w:t>
      </w:r>
    </w:p>
    <w:p w:rsidR="007970E1" w:rsidRPr="0040399C" w:rsidRDefault="004F4FFB" w:rsidP="000B67C5">
      <w:pPr>
        <w:numPr>
          <w:ilvl w:val="1"/>
          <w:numId w:val="2"/>
        </w:numPr>
        <w:tabs>
          <w:tab w:val="left" w:pos="284"/>
        </w:tabs>
        <w:spacing w:after="120"/>
        <w:jc w:val="both"/>
        <w:rPr>
          <w:rFonts w:ascii="Verdana" w:hAnsi="Verdana" w:cs="Arial"/>
          <w:b/>
          <w:bCs/>
          <w:sz w:val="18"/>
          <w:szCs w:val="16"/>
        </w:rPr>
      </w:pPr>
      <w:r w:rsidRPr="0040399C">
        <w:rPr>
          <w:rFonts w:ascii="Verdana" w:hAnsi="Verdana" w:cs="Arial"/>
          <w:b/>
          <w:bCs/>
          <w:sz w:val="18"/>
          <w:szCs w:val="16"/>
        </w:rPr>
        <w:t>P</w:t>
      </w:r>
      <w:r w:rsidR="00FE4773" w:rsidRPr="0040399C">
        <w:rPr>
          <w:rFonts w:ascii="Verdana" w:hAnsi="Verdana" w:cs="Arial"/>
          <w:b/>
          <w:bCs/>
          <w:sz w:val="18"/>
          <w:szCs w:val="16"/>
        </w:rPr>
        <w:t>rogression</w:t>
      </w:r>
      <w:r w:rsidR="00911939" w:rsidRPr="0040399C">
        <w:rPr>
          <w:rFonts w:ascii="Verdana" w:hAnsi="Verdana" w:cs="Arial"/>
          <w:b/>
          <w:bCs/>
          <w:sz w:val="18"/>
          <w:szCs w:val="16"/>
        </w:rPr>
        <w:t xml:space="preserve"> </w:t>
      </w:r>
      <w:r w:rsidR="00D21453" w:rsidRPr="0040399C">
        <w:rPr>
          <w:rFonts w:ascii="Verdana" w:hAnsi="Verdana" w:cs="Arial"/>
          <w:b/>
          <w:bCs/>
          <w:sz w:val="18"/>
          <w:szCs w:val="16"/>
        </w:rPr>
        <w:t>au 4</w:t>
      </w:r>
      <w:r w:rsidR="00D21453" w:rsidRPr="0040399C">
        <w:rPr>
          <w:rFonts w:ascii="Verdana" w:hAnsi="Verdana" w:cs="Arial"/>
          <w:b/>
          <w:bCs/>
          <w:sz w:val="18"/>
          <w:szCs w:val="16"/>
          <w:vertAlign w:val="superscript"/>
        </w:rPr>
        <w:t>ème</w:t>
      </w:r>
      <w:r w:rsidR="00D21453" w:rsidRPr="0040399C">
        <w:rPr>
          <w:rFonts w:ascii="Verdana" w:hAnsi="Verdana" w:cs="Arial"/>
          <w:b/>
          <w:bCs/>
          <w:sz w:val="18"/>
          <w:szCs w:val="16"/>
        </w:rPr>
        <w:t xml:space="preserve"> trimestre </w:t>
      </w:r>
      <w:r w:rsidR="00911939" w:rsidRPr="0040399C">
        <w:rPr>
          <w:rFonts w:ascii="Verdana" w:hAnsi="Verdana" w:cs="Arial"/>
          <w:b/>
          <w:bCs/>
          <w:sz w:val="18"/>
          <w:szCs w:val="16"/>
        </w:rPr>
        <w:t xml:space="preserve">de </w:t>
      </w:r>
      <w:r w:rsidR="00911939" w:rsidRPr="004405AC">
        <w:rPr>
          <w:rFonts w:ascii="Verdana" w:hAnsi="Verdana" w:cs="Arial"/>
          <w:b/>
          <w:bCs/>
          <w:sz w:val="18"/>
          <w:szCs w:val="16"/>
        </w:rPr>
        <w:t>4</w:t>
      </w:r>
      <w:r w:rsidR="00A224DD" w:rsidRPr="004405AC">
        <w:rPr>
          <w:rFonts w:ascii="Verdana" w:hAnsi="Verdana" w:cs="Arial"/>
          <w:b/>
          <w:bCs/>
          <w:sz w:val="18"/>
          <w:szCs w:val="16"/>
        </w:rPr>
        <w:t>,</w:t>
      </w:r>
      <w:r w:rsidR="00E3021F" w:rsidRPr="004405AC">
        <w:rPr>
          <w:rFonts w:ascii="Verdana" w:hAnsi="Verdana" w:cs="Arial"/>
          <w:b/>
          <w:bCs/>
          <w:sz w:val="18"/>
          <w:szCs w:val="16"/>
        </w:rPr>
        <w:t>2</w:t>
      </w:r>
      <w:r w:rsidR="00A224DD" w:rsidRPr="0040399C">
        <w:rPr>
          <w:rFonts w:ascii="Verdana" w:hAnsi="Verdana" w:cs="Arial"/>
          <w:b/>
          <w:bCs/>
          <w:sz w:val="18"/>
          <w:szCs w:val="16"/>
        </w:rPr>
        <w:t> </w:t>
      </w:r>
      <w:r w:rsidR="00911939" w:rsidRPr="0040399C">
        <w:rPr>
          <w:rFonts w:ascii="Verdana" w:hAnsi="Verdana" w:cs="Arial"/>
          <w:b/>
          <w:bCs/>
          <w:sz w:val="18"/>
          <w:szCs w:val="16"/>
        </w:rPr>
        <w:t> %</w:t>
      </w:r>
      <w:r w:rsidR="00D21453" w:rsidRPr="0040399C">
        <w:rPr>
          <w:rFonts w:ascii="Verdana" w:hAnsi="Verdana" w:cs="Arial"/>
          <w:b/>
          <w:bCs/>
          <w:sz w:val="18"/>
          <w:szCs w:val="16"/>
        </w:rPr>
        <w:t xml:space="preserve"> pour le Groupe</w:t>
      </w:r>
      <w:r w:rsidR="003F7CA4">
        <w:rPr>
          <w:rFonts w:ascii="Verdana" w:hAnsi="Verdana" w:cs="Arial"/>
          <w:b/>
          <w:bCs/>
          <w:sz w:val="18"/>
          <w:szCs w:val="16"/>
        </w:rPr>
        <w:t xml:space="preserve">, dont une hausse de 5 % en Tourisme camionnette </w:t>
      </w:r>
      <w:r w:rsidR="00D21453" w:rsidRPr="0040399C">
        <w:rPr>
          <w:rFonts w:ascii="Verdana" w:hAnsi="Verdana" w:cs="Arial"/>
          <w:b/>
          <w:bCs/>
          <w:sz w:val="18"/>
          <w:szCs w:val="16"/>
        </w:rPr>
        <w:t xml:space="preserve">et de </w:t>
      </w:r>
      <w:r w:rsidR="00B74AF4" w:rsidRPr="0040399C">
        <w:rPr>
          <w:rFonts w:ascii="Verdana" w:hAnsi="Verdana" w:cs="Arial"/>
          <w:b/>
          <w:bCs/>
          <w:sz w:val="18"/>
          <w:szCs w:val="16"/>
        </w:rPr>
        <w:t>6 </w:t>
      </w:r>
      <w:r w:rsidR="00D21453" w:rsidRPr="0040399C">
        <w:rPr>
          <w:rFonts w:ascii="Verdana" w:hAnsi="Verdana" w:cs="Arial"/>
          <w:b/>
          <w:bCs/>
          <w:sz w:val="18"/>
          <w:szCs w:val="16"/>
        </w:rPr>
        <w:t xml:space="preserve">% </w:t>
      </w:r>
      <w:r w:rsidR="00D821A1" w:rsidRPr="0040399C">
        <w:rPr>
          <w:rFonts w:ascii="Verdana" w:hAnsi="Verdana" w:cs="Arial"/>
          <w:b/>
          <w:bCs/>
          <w:sz w:val="18"/>
          <w:szCs w:val="16"/>
        </w:rPr>
        <w:t>pour les activités de Spécialités</w:t>
      </w:r>
      <w:r w:rsidR="00D21453" w:rsidRPr="0040399C">
        <w:rPr>
          <w:rFonts w:ascii="Verdana" w:hAnsi="Verdana" w:cs="Arial"/>
          <w:b/>
          <w:bCs/>
          <w:sz w:val="18"/>
          <w:szCs w:val="16"/>
        </w:rPr>
        <w:t>.</w:t>
      </w:r>
    </w:p>
    <w:p w:rsidR="007970E1" w:rsidRPr="0040399C" w:rsidRDefault="001F089A" w:rsidP="001C1677">
      <w:pPr>
        <w:numPr>
          <w:ilvl w:val="0"/>
          <w:numId w:val="2"/>
        </w:numPr>
        <w:tabs>
          <w:tab w:val="left" w:pos="284"/>
        </w:tabs>
        <w:spacing w:after="120"/>
        <w:ind w:left="357" w:hanging="357"/>
        <w:jc w:val="both"/>
        <w:rPr>
          <w:rFonts w:ascii="Verdana" w:hAnsi="Verdana" w:cs="Arial"/>
          <w:b/>
          <w:bCs/>
          <w:sz w:val="18"/>
          <w:szCs w:val="16"/>
        </w:rPr>
      </w:pPr>
      <w:r w:rsidRPr="0040399C">
        <w:rPr>
          <w:rFonts w:ascii="Verdana" w:hAnsi="Verdana" w:cs="Arial"/>
          <w:b/>
          <w:bCs/>
          <w:sz w:val="18"/>
          <w:szCs w:val="16"/>
        </w:rPr>
        <w:t xml:space="preserve">Résultat </w:t>
      </w:r>
      <w:r w:rsidR="007970E1" w:rsidRPr="0040399C">
        <w:rPr>
          <w:rFonts w:ascii="Verdana" w:hAnsi="Verdana" w:cs="Arial"/>
          <w:b/>
          <w:bCs/>
          <w:sz w:val="18"/>
          <w:szCs w:val="16"/>
        </w:rPr>
        <w:t>opérationnel</w:t>
      </w:r>
      <w:r w:rsidRPr="0040399C">
        <w:rPr>
          <w:rFonts w:ascii="Verdana" w:hAnsi="Verdana" w:cs="Arial"/>
          <w:b/>
          <w:bCs/>
          <w:sz w:val="18"/>
          <w:szCs w:val="16"/>
        </w:rPr>
        <w:t xml:space="preserve"> de 2 692 millions d’€, </w:t>
      </w:r>
      <w:r w:rsidR="00FC044A">
        <w:rPr>
          <w:rFonts w:ascii="Verdana" w:hAnsi="Verdana"/>
          <w:b/>
          <w:sz w:val="18"/>
          <w:szCs w:val="18"/>
        </w:rPr>
        <w:t>soit 12,9 % des ventes nettes,</w:t>
      </w:r>
      <w:r w:rsidR="00FC044A" w:rsidRPr="0040399C">
        <w:rPr>
          <w:rFonts w:ascii="Verdana" w:hAnsi="Verdana" w:cs="Arial"/>
          <w:b/>
          <w:bCs/>
          <w:sz w:val="18"/>
          <w:szCs w:val="16"/>
        </w:rPr>
        <w:t xml:space="preserve"> </w:t>
      </w:r>
      <w:r w:rsidR="00C06F27" w:rsidRPr="0040399C">
        <w:rPr>
          <w:rFonts w:ascii="Verdana" w:hAnsi="Verdana" w:cs="Arial"/>
          <w:b/>
          <w:bCs/>
          <w:sz w:val="18"/>
          <w:szCs w:val="16"/>
        </w:rPr>
        <w:t>en progression de 235 millions d’€ à parités historiques</w:t>
      </w:r>
      <w:r w:rsidR="001365F6">
        <w:rPr>
          <w:rFonts w:ascii="Verdana" w:hAnsi="Verdana" w:cs="Arial"/>
          <w:b/>
          <w:bCs/>
          <w:sz w:val="18"/>
          <w:szCs w:val="16"/>
        </w:rPr>
        <w:t>.</w:t>
      </w:r>
      <w:r w:rsidR="001B6836" w:rsidRPr="0040399C">
        <w:rPr>
          <w:rFonts w:ascii="Verdana" w:hAnsi="Verdana" w:cs="Arial"/>
          <w:b/>
          <w:bCs/>
          <w:sz w:val="18"/>
          <w:szCs w:val="16"/>
        </w:rPr>
        <w:t xml:space="preserve"> </w:t>
      </w:r>
    </w:p>
    <w:p w:rsidR="007970E1" w:rsidRPr="0040399C" w:rsidRDefault="007970E1" w:rsidP="003F7CA4">
      <w:pPr>
        <w:numPr>
          <w:ilvl w:val="0"/>
          <w:numId w:val="2"/>
        </w:numPr>
        <w:tabs>
          <w:tab w:val="left" w:pos="284"/>
        </w:tabs>
        <w:spacing w:after="120"/>
        <w:jc w:val="both"/>
        <w:rPr>
          <w:rFonts w:ascii="Verdana" w:hAnsi="Verdana" w:cs="Arial"/>
          <w:b/>
          <w:bCs/>
          <w:sz w:val="18"/>
          <w:szCs w:val="16"/>
        </w:rPr>
      </w:pPr>
      <w:r w:rsidRPr="0040399C">
        <w:rPr>
          <w:rFonts w:ascii="Verdana" w:hAnsi="Verdana" w:cs="Arial"/>
          <w:b/>
          <w:bCs/>
          <w:sz w:val="18"/>
          <w:szCs w:val="16"/>
        </w:rPr>
        <w:t xml:space="preserve">Effet Prix-mix/matières premières positif de </w:t>
      </w:r>
      <w:r w:rsidR="00860F37">
        <w:rPr>
          <w:rFonts w:ascii="Verdana" w:hAnsi="Verdana" w:cs="Arial"/>
          <w:b/>
          <w:bCs/>
          <w:sz w:val="18"/>
          <w:szCs w:val="16"/>
        </w:rPr>
        <w:t>159</w:t>
      </w:r>
      <w:r w:rsidR="00860F37" w:rsidRPr="0040399C">
        <w:rPr>
          <w:rFonts w:ascii="Verdana" w:hAnsi="Verdana" w:cs="Arial"/>
          <w:b/>
          <w:bCs/>
          <w:sz w:val="18"/>
          <w:szCs w:val="16"/>
        </w:rPr>
        <w:t xml:space="preserve"> </w:t>
      </w:r>
      <w:r w:rsidRPr="0040399C">
        <w:rPr>
          <w:rFonts w:ascii="Verdana" w:hAnsi="Verdana" w:cs="Arial"/>
          <w:b/>
          <w:bCs/>
          <w:sz w:val="18"/>
          <w:szCs w:val="16"/>
        </w:rPr>
        <w:t xml:space="preserve">millions </w:t>
      </w:r>
      <w:r w:rsidR="00AB5527" w:rsidRPr="0040399C">
        <w:rPr>
          <w:rFonts w:ascii="Verdana" w:hAnsi="Verdana" w:cs="Arial"/>
          <w:b/>
          <w:bCs/>
          <w:sz w:val="18"/>
          <w:szCs w:val="16"/>
        </w:rPr>
        <w:t>d’</w:t>
      </w:r>
      <w:r w:rsidRPr="0040399C">
        <w:rPr>
          <w:rFonts w:ascii="Verdana" w:hAnsi="Verdana" w:cs="Arial"/>
          <w:b/>
          <w:bCs/>
          <w:sz w:val="18"/>
          <w:szCs w:val="16"/>
        </w:rPr>
        <w:t>€,</w:t>
      </w:r>
      <w:r w:rsidR="00D821A1" w:rsidRPr="0040399C">
        <w:rPr>
          <w:rFonts w:ascii="Verdana" w:hAnsi="Verdana" w:cs="Arial"/>
          <w:b/>
          <w:bCs/>
          <w:sz w:val="18"/>
          <w:szCs w:val="16"/>
        </w:rPr>
        <w:t xml:space="preserve"> </w:t>
      </w:r>
      <w:r w:rsidR="00D821A1" w:rsidRPr="003F7CA4">
        <w:rPr>
          <w:rFonts w:ascii="Verdana" w:hAnsi="Verdana" w:cs="Arial"/>
          <w:b/>
          <w:bCs/>
          <w:sz w:val="18"/>
          <w:szCs w:val="16"/>
        </w:rPr>
        <w:t>grâce</w:t>
      </w:r>
      <w:r w:rsidR="00D821A1" w:rsidRPr="0040399C">
        <w:rPr>
          <w:rFonts w:ascii="Verdana" w:hAnsi="Verdana" w:cs="Arial"/>
          <w:b/>
          <w:bCs/>
          <w:sz w:val="18"/>
          <w:szCs w:val="16"/>
        </w:rPr>
        <w:t xml:space="preserve"> à un pilotage efficace</w:t>
      </w:r>
      <w:r w:rsidR="00ED3024" w:rsidRPr="0040399C">
        <w:rPr>
          <w:rFonts w:ascii="Verdana" w:hAnsi="Verdana" w:cs="Arial"/>
          <w:b/>
          <w:bCs/>
          <w:sz w:val="18"/>
          <w:szCs w:val="16"/>
        </w:rPr>
        <w:t>.</w:t>
      </w:r>
    </w:p>
    <w:p w:rsidR="007970E1" w:rsidRPr="0040399C" w:rsidRDefault="001F089A" w:rsidP="007970E1">
      <w:pPr>
        <w:numPr>
          <w:ilvl w:val="0"/>
          <w:numId w:val="2"/>
        </w:numPr>
        <w:tabs>
          <w:tab w:val="left" w:pos="284"/>
        </w:tabs>
        <w:spacing w:after="120"/>
        <w:jc w:val="both"/>
        <w:rPr>
          <w:rFonts w:ascii="Verdana" w:hAnsi="Verdana" w:cs="Arial"/>
          <w:b/>
          <w:bCs/>
          <w:sz w:val="18"/>
          <w:szCs w:val="16"/>
        </w:rPr>
      </w:pPr>
      <w:r w:rsidRPr="0040399C">
        <w:rPr>
          <w:rFonts w:ascii="Verdana" w:hAnsi="Verdana" w:cs="Arial"/>
          <w:b/>
          <w:bCs/>
          <w:sz w:val="18"/>
          <w:szCs w:val="16"/>
        </w:rPr>
        <w:t>Atteinte de l’objectif du p</w:t>
      </w:r>
      <w:r w:rsidR="007970E1" w:rsidRPr="0040399C">
        <w:rPr>
          <w:rFonts w:ascii="Verdana" w:hAnsi="Verdana" w:cs="Arial"/>
          <w:b/>
          <w:bCs/>
          <w:sz w:val="18"/>
          <w:szCs w:val="16"/>
        </w:rPr>
        <w:t xml:space="preserve">lan de compétitivité </w:t>
      </w:r>
      <w:r w:rsidRPr="0040399C">
        <w:rPr>
          <w:rFonts w:ascii="Verdana" w:hAnsi="Verdana" w:cs="Arial"/>
          <w:b/>
          <w:bCs/>
          <w:sz w:val="18"/>
          <w:szCs w:val="16"/>
        </w:rPr>
        <w:t>avec 1</w:t>
      </w:r>
      <w:r w:rsidR="008A285F">
        <w:rPr>
          <w:rFonts w:ascii="Verdana" w:hAnsi="Verdana" w:cs="Arial"/>
          <w:b/>
          <w:bCs/>
          <w:sz w:val="18"/>
          <w:szCs w:val="16"/>
        </w:rPr>
        <w:t>,</w:t>
      </w:r>
      <w:r w:rsidRPr="0040399C">
        <w:rPr>
          <w:rFonts w:ascii="Verdana" w:hAnsi="Verdana" w:cs="Arial"/>
          <w:b/>
          <w:bCs/>
          <w:sz w:val="18"/>
          <w:szCs w:val="16"/>
        </w:rPr>
        <w:t>2</w:t>
      </w:r>
      <w:r w:rsidR="008A285F">
        <w:rPr>
          <w:rFonts w:ascii="Verdana" w:hAnsi="Verdana" w:cs="Arial"/>
          <w:b/>
          <w:bCs/>
          <w:sz w:val="18"/>
          <w:szCs w:val="16"/>
        </w:rPr>
        <w:t xml:space="preserve"> milliards</w:t>
      </w:r>
      <w:r w:rsidRPr="0040399C">
        <w:rPr>
          <w:rFonts w:ascii="Verdana" w:hAnsi="Verdana" w:cs="Arial"/>
          <w:b/>
          <w:bCs/>
          <w:sz w:val="18"/>
          <w:szCs w:val="16"/>
        </w:rPr>
        <w:t xml:space="preserve"> d’€ de gains sur la période 2012-2016</w:t>
      </w:r>
      <w:r w:rsidR="000933F5" w:rsidRPr="0040399C">
        <w:rPr>
          <w:rFonts w:ascii="Verdana" w:hAnsi="Verdana" w:cs="Arial"/>
          <w:b/>
          <w:bCs/>
          <w:sz w:val="18"/>
          <w:szCs w:val="16"/>
        </w:rPr>
        <w:t>.</w:t>
      </w:r>
    </w:p>
    <w:p w:rsidR="00C940CA" w:rsidRDefault="003F7CA4" w:rsidP="003F7CA4">
      <w:pPr>
        <w:numPr>
          <w:ilvl w:val="0"/>
          <w:numId w:val="2"/>
        </w:numPr>
        <w:tabs>
          <w:tab w:val="left" w:pos="284"/>
        </w:tabs>
        <w:spacing w:after="120"/>
        <w:jc w:val="both"/>
        <w:rPr>
          <w:rFonts w:ascii="Verdana" w:hAnsi="Verdana" w:cs="Arial"/>
          <w:b/>
          <w:bCs/>
          <w:sz w:val="18"/>
          <w:szCs w:val="16"/>
        </w:rPr>
      </w:pPr>
      <w:r w:rsidRPr="0040399C">
        <w:rPr>
          <w:rFonts w:ascii="Verdana" w:hAnsi="Verdana" w:cs="Arial"/>
          <w:b/>
          <w:bCs/>
          <w:sz w:val="18"/>
          <w:szCs w:val="16"/>
        </w:rPr>
        <w:t xml:space="preserve">Forte génération de </w:t>
      </w:r>
      <w:r w:rsidR="00C41446" w:rsidRPr="0040399C">
        <w:rPr>
          <w:rFonts w:ascii="Verdana" w:hAnsi="Verdana" w:cs="Arial"/>
          <w:b/>
          <w:bCs/>
          <w:i/>
          <w:sz w:val="18"/>
          <w:szCs w:val="16"/>
        </w:rPr>
        <w:t>Cash-</w:t>
      </w:r>
      <w:r w:rsidR="00C41446">
        <w:rPr>
          <w:rFonts w:ascii="Verdana" w:hAnsi="Verdana" w:cs="Arial"/>
          <w:b/>
          <w:bCs/>
          <w:i/>
          <w:sz w:val="18"/>
          <w:szCs w:val="16"/>
        </w:rPr>
        <w:t>f</w:t>
      </w:r>
      <w:r w:rsidR="00C41446" w:rsidRPr="0040399C">
        <w:rPr>
          <w:rFonts w:ascii="Verdana" w:hAnsi="Verdana" w:cs="Arial"/>
          <w:b/>
          <w:bCs/>
          <w:i/>
          <w:sz w:val="18"/>
          <w:szCs w:val="16"/>
        </w:rPr>
        <w:t>low</w:t>
      </w:r>
      <w:r w:rsidRPr="0040399C">
        <w:rPr>
          <w:rFonts w:ascii="Verdana" w:hAnsi="Verdana" w:cs="Arial"/>
          <w:b/>
          <w:bCs/>
          <w:sz w:val="18"/>
          <w:szCs w:val="16"/>
        </w:rPr>
        <w:t xml:space="preserve"> libre </w:t>
      </w:r>
      <w:r w:rsidR="000A6E83">
        <w:rPr>
          <w:rFonts w:ascii="Verdana" w:hAnsi="Verdana" w:cs="Arial"/>
          <w:b/>
          <w:bCs/>
          <w:sz w:val="18"/>
          <w:szCs w:val="16"/>
        </w:rPr>
        <w:t xml:space="preserve">de 1 024 millions d’€, </w:t>
      </w:r>
    </w:p>
    <w:p w:rsidR="003F7CA4" w:rsidRPr="0040399C" w:rsidRDefault="00F44B56" w:rsidP="00A3708F">
      <w:pPr>
        <w:numPr>
          <w:ilvl w:val="1"/>
          <w:numId w:val="2"/>
        </w:numPr>
        <w:tabs>
          <w:tab w:val="left" w:pos="284"/>
        </w:tabs>
        <w:spacing w:after="120"/>
        <w:jc w:val="both"/>
        <w:rPr>
          <w:rFonts w:ascii="Verdana" w:hAnsi="Verdana" w:cs="Arial"/>
          <w:b/>
          <w:bCs/>
          <w:sz w:val="18"/>
          <w:szCs w:val="16"/>
        </w:rPr>
      </w:pPr>
      <w:r>
        <w:rPr>
          <w:rFonts w:ascii="Verdana" w:hAnsi="Verdana" w:cs="Arial"/>
          <w:b/>
          <w:bCs/>
          <w:sz w:val="18"/>
          <w:szCs w:val="16"/>
        </w:rPr>
        <w:t>A</w:t>
      </w:r>
      <w:r w:rsidRPr="0040399C">
        <w:rPr>
          <w:rFonts w:ascii="Verdana" w:hAnsi="Verdana" w:cs="Arial"/>
          <w:b/>
          <w:bCs/>
          <w:sz w:val="18"/>
          <w:szCs w:val="16"/>
        </w:rPr>
        <w:t>mélioration de 128 millions d’€</w:t>
      </w:r>
      <w:r>
        <w:rPr>
          <w:rFonts w:ascii="Verdana" w:hAnsi="Verdana" w:cs="Arial"/>
          <w:b/>
          <w:bCs/>
          <w:sz w:val="18"/>
          <w:szCs w:val="16"/>
        </w:rPr>
        <w:t xml:space="preserve"> du </w:t>
      </w:r>
      <w:r w:rsidR="00C41446" w:rsidRPr="00B75034">
        <w:rPr>
          <w:rFonts w:ascii="Verdana" w:hAnsi="Verdana" w:cs="Arial"/>
          <w:b/>
          <w:bCs/>
          <w:i/>
          <w:sz w:val="18"/>
          <w:szCs w:val="16"/>
        </w:rPr>
        <w:t>Cash-</w:t>
      </w:r>
      <w:r w:rsidR="00C41446">
        <w:rPr>
          <w:rFonts w:ascii="Verdana" w:hAnsi="Verdana" w:cs="Arial"/>
          <w:b/>
          <w:bCs/>
          <w:i/>
          <w:sz w:val="18"/>
          <w:szCs w:val="16"/>
        </w:rPr>
        <w:t>f</w:t>
      </w:r>
      <w:r w:rsidR="00C41446" w:rsidRPr="00B75034">
        <w:rPr>
          <w:rFonts w:ascii="Verdana" w:hAnsi="Verdana" w:cs="Arial"/>
          <w:b/>
          <w:bCs/>
          <w:i/>
          <w:sz w:val="18"/>
          <w:szCs w:val="16"/>
        </w:rPr>
        <w:t>low</w:t>
      </w:r>
      <w:r w:rsidR="000A6E83">
        <w:rPr>
          <w:rFonts w:ascii="Verdana" w:hAnsi="Verdana" w:cs="Arial"/>
          <w:b/>
          <w:bCs/>
          <w:sz w:val="18"/>
          <w:szCs w:val="16"/>
        </w:rPr>
        <w:t xml:space="preserve"> libre </w:t>
      </w:r>
      <w:r w:rsidR="003F7CA4" w:rsidRPr="0040399C">
        <w:rPr>
          <w:rFonts w:ascii="Verdana" w:hAnsi="Verdana" w:cs="Arial"/>
          <w:b/>
          <w:bCs/>
          <w:sz w:val="18"/>
          <w:szCs w:val="16"/>
        </w:rPr>
        <w:t xml:space="preserve">structurel </w:t>
      </w:r>
      <w:r>
        <w:rPr>
          <w:rFonts w:ascii="Verdana" w:hAnsi="Verdana" w:cs="Arial"/>
          <w:b/>
          <w:bCs/>
          <w:sz w:val="18"/>
          <w:szCs w:val="16"/>
        </w:rPr>
        <w:t>à</w:t>
      </w:r>
      <w:r w:rsidR="003F7CA4" w:rsidRPr="0040399C">
        <w:rPr>
          <w:rFonts w:ascii="Verdana" w:hAnsi="Verdana" w:cs="Arial"/>
          <w:b/>
          <w:bCs/>
          <w:sz w:val="18"/>
          <w:szCs w:val="16"/>
        </w:rPr>
        <w:t xml:space="preserve"> 961 millions d’€.</w:t>
      </w:r>
    </w:p>
    <w:p w:rsidR="00F44B56" w:rsidRDefault="00F44B56" w:rsidP="00C940CA">
      <w:pPr>
        <w:numPr>
          <w:ilvl w:val="0"/>
          <w:numId w:val="2"/>
        </w:numPr>
        <w:tabs>
          <w:tab w:val="left" w:pos="284"/>
        </w:tabs>
        <w:spacing w:after="120"/>
        <w:jc w:val="both"/>
        <w:rPr>
          <w:rFonts w:ascii="Verdana" w:hAnsi="Verdana" w:cs="Arial"/>
          <w:b/>
          <w:bCs/>
          <w:sz w:val="18"/>
          <w:szCs w:val="16"/>
        </w:rPr>
      </w:pPr>
      <w:r>
        <w:rPr>
          <w:rFonts w:ascii="Verdana" w:hAnsi="Verdana" w:cs="Arial"/>
          <w:b/>
          <w:bCs/>
          <w:sz w:val="18"/>
          <w:szCs w:val="16"/>
        </w:rPr>
        <w:t>Finalisation du p</w:t>
      </w:r>
      <w:r w:rsidR="00C940CA">
        <w:rPr>
          <w:rFonts w:ascii="Verdana" w:hAnsi="Verdana" w:cs="Arial"/>
          <w:b/>
          <w:bCs/>
          <w:sz w:val="18"/>
          <w:szCs w:val="16"/>
        </w:rPr>
        <w:t>r</w:t>
      </w:r>
      <w:r w:rsidR="00C940CA" w:rsidRPr="00C940CA">
        <w:rPr>
          <w:rFonts w:ascii="Verdana" w:hAnsi="Verdana" w:cs="Arial"/>
          <w:b/>
          <w:bCs/>
          <w:sz w:val="18"/>
          <w:szCs w:val="16"/>
        </w:rPr>
        <w:t xml:space="preserve">ogramme </w:t>
      </w:r>
      <w:r w:rsidR="00C940CA" w:rsidRPr="0040399C">
        <w:rPr>
          <w:rFonts w:ascii="Verdana" w:hAnsi="Verdana" w:cs="Arial"/>
          <w:b/>
          <w:bCs/>
          <w:sz w:val="18"/>
          <w:szCs w:val="16"/>
        </w:rPr>
        <w:t xml:space="preserve">de rachat d’actions de 750 millions d’€ </w:t>
      </w:r>
      <w:r w:rsidR="00C940CA">
        <w:rPr>
          <w:rFonts w:ascii="Verdana" w:hAnsi="Verdana" w:cs="Arial"/>
          <w:b/>
          <w:bCs/>
          <w:sz w:val="18"/>
          <w:szCs w:val="16"/>
        </w:rPr>
        <w:t>sur 2015 et 2016</w:t>
      </w:r>
      <w:r w:rsidR="001365F6">
        <w:rPr>
          <w:rFonts w:ascii="Verdana" w:hAnsi="Verdana" w:cs="Arial"/>
          <w:b/>
          <w:bCs/>
          <w:sz w:val="18"/>
          <w:szCs w:val="16"/>
        </w:rPr>
        <w:t>,</w:t>
      </w:r>
      <w:r w:rsidR="00C940CA" w:rsidRPr="00C940CA">
        <w:rPr>
          <w:rFonts w:ascii="Verdana" w:hAnsi="Verdana" w:cs="Arial"/>
          <w:b/>
          <w:bCs/>
          <w:sz w:val="18"/>
          <w:szCs w:val="16"/>
        </w:rPr>
        <w:t xml:space="preserve"> </w:t>
      </w:r>
    </w:p>
    <w:p w:rsidR="007970E1" w:rsidRPr="0040399C" w:rsidRDefault="00F44B56" w:rsidP="00360378">
      <w:pPr>
        <w:numPr>
          <w:ilvl w:val="1"/>
          <w:numId w:val="2"/>
        </w:numPr>
        <w:tabs>
          <w:tab w:val="left" w:pos="284"/>
        </w:tabs>
        <w:spacing w:after="120"/>
        <w:jc w:val="both"/>
        <w:rPr>
          <w:rFonts w:ascii="Verdana" w:hAnsi="Verdana" w:cs="Arial"/>
          <w:b/>
          <w:bCs/>
          <w:sz w:val="18"/>
          <w:szCs w:val="16"/>
        </w:rPr>
      </w:pPr>
      <w:r>
        <w:rPr>
          <w:rFonts w:ascii="Verdana" w:hAnsi="Verdana" w:cs="Arial"/>
          <w:b/>
          <w:bCs/>
          <w:sz w:val="18"/>
          <w:szCs w:val="16"/>
        </w:rPr>
        <w:t>Annu</w:t>
      </w:r>
      <w:r w:rsidR="001365F6">
        <w:rPr>
          <w:rFonts w:ascii="Verdana" w:hAnsi="Verdana" w:cs="Arial"/>
          <w:b/>
          <w:bCs/>
          <w:sz w:val="18"/>
          <w:szCs w:val="16"/>
        </w:rPr>
        <w:t>la</w:t>
      </w:r>
      <w:r>
        <w:rPr>
          <w:rFonts w:ascii="Verdana" w:hAnsi="Verdana" w:cs="Arial"/>
          <w:b/>
          <w:bCs/>
          <w:sz w:val="18"/>
          <w:szCs w:val="16"/>
        </w:rPr>
        <w:t xml:space="preserve">tion </w:t>
      </w:r>
      <w:r w:rsidR="001365F6">
        <w:rPr>
          <w:rFonts w:ascii="Verdana" w:hAnsi="Verdana" w:cs="Arial"/>
          <w:b/>
          <w:bCs/>
          <w:sz w:val="18"/>
          <w:szCs w:val="16"/>
        </w:rPr>
        <w:t xml:space="preserve">de </w:t>
      </w:r>
      <w:r w:rsidRPr="00C940CA">
        <w:rPr>
          <w:rFonts w:ascii="Verdana" w:hAnsi="Verdana" w:cs="Arial"/>
          <w:b/>
          <w:bCs/>
          <w:sz w:val="18"/>
          <w:szCs w:val="16"/>
        </w:rPr>
        <w:t>1,8</w:t>
      </w:r>
      <w:r>
        <w:rPr>
          <w:rFonts w:ascii="Verdana" w:hAnsi="Verdana" w:cs="Arial"/>
          <w:b/>
          <w:bCs/>
          <w:sz w:val="18"/>
          <w:szCs w:val="16"/>
        </w:rPr>
        <w:t> </w:t>
      </w:r>
      <w:r w:rsidRPr="00C940CA">
        <w:rPr>
          <w:rFonts w:ascii="Verdana" w:hAnsi="Verdana" w:cs="Arial"/>
          <w:b/>
          <w:bCs/>
          <w:sz w:val="18"/>
          <w:szCs w:val="16"/>
        </w:rPr>
        <w:t xml:space="preserve">% </w:t>
      </w:r>
      <w:r>
        <w:rPr>
          <w:rFonts w:ascii="Verdana" w:hAnsi="Verdana" w:cs="Arial"/>
          <w:b/>
          <w:bCs/>
          <w:sz w:val="18"/>
          <w:szCs w:val="16"/>
        </w:rPr>
        <w:t xml:space="preserve">du capital </w:t>
      </w:r>
      <w:r w:rsidRPr="00C940CA">
        <w:rPr>
          <w:rFonts w:ascii="Verdana" w:hAnsi="Verdana" w:cs="Arial"/>
          <w:b/>
          <w:bCs/>
          <w:sz w:val="18"/>
          <w:szCs w:val="16"/>
        </w:rPr>
        <w:t>en 2016</w:t>
      </w:r>
      <w:r w:rsidR="001365F6">
        <w:rPr>
          <w:rFonts w:ascii="Verdana" w:hAnsi="Verdana" w:cs="Arial"/>
          <w:b/>
          <w:bCs/>
          <w:sz w:val="18"/>
          <w:szCs w:val="16"/>
        </w:rPr>
        <w:t>,</w:t>
      </w:r>
      <w:r>
        <w:rPr>
          <w:rFonts w:ascii="Verdana" w:hAnsi="Verdana" w:cs="Arial"/>
          <w:b/>
          <w:bCs/>
          <w:sz w:val="18"/>
          <w:szCs w:val="16"/>
        </w:rPr>
        <w:t xml:space="preserve"> correspondant à </w:t>
      </w:r>
      <w:r w:rsidR="00C940CA" w:rsidRPr="00C940CA">
        <w:rPr>
          <w:rFonts w:ascii="Verdana" w:hAnsi="Verdana" w:cs="Arial"/>
          <w:b/>
          <w:bCs/>
          <w:sz w:val="18"/>
          <w:szCs w:val="16"/>
        </w:rPr>
        <w:t>30</w:t>
      </w:r>
      <w:r w:rsidR="001A3B9A">
        <w:rPr>
          <w:rFonts w:ascii="Verdana" w:hAnsi="Verdana" w:cs="Arial"/>
          <w:b/>
          <w:bCs/>
          <w:sz w:val="18"/>
          <w:szCs w:val="16"/>
        </w:rPr>
        <w:t>1</w:t>
      </w:r>
      <w:r w:rsidR="00C940CA" w:rsidRPr="00C940CA">
        <w:rPr>
          <w:rFonts w:ascii="Verdana" w:hAnsi="Verdana" w:cs="Arial"/>
          <w:b/>
          <w:bCs/>
          <w:sz w:val="18"/>
          <w:szCs w:val="16"/>
        </w:rPr>
        <w:t xml:space="preserve"> millions d’€</w:t>
      </w:r>
      <w:r w:rsidR="001365F6">
        <w:rPr>
          <w:rFonts w:ascii="Verdana" w:hAnsi="Verdana" w:cs="Arial"/>
          <w:b/>
          <w:bCs/>
          <w:sz w:val="18"/>
          <w:szCs w:val="16"/>
        </w:rPr>
        <w:t>.</w:t>
      </w:r>
      <w:r w:rsidR="00C940CA">
        <w:rPr>
          <w:rFonts w:ascii="Verdana" w:hAnsi="Verdana" w:cs="Arial"/>
          <w:b/>
          <w:bCs/>
          <w:sz w:val="18"/>
          <w:szCs w:val="16"/>
        </w:rPr>
        <w:t xml:space="preserve"> </w:t>
      </w:r>
    </w:p>
    <w:p w:rsidR="007970E1" w:rsidRPr="0040399C" w:rsidRDefault="007970E1" w:rsidP="00D06C40">
      <w:pPr>
        <w:numPr>
          <w:ilvl w:val="0"/>
          <w:numId w:val="2"/>
        </w:numPr>
        <w:tabs>
          <w:tab w:val="left" w:pos="284"/>
        </w:tabs>
        <w:spacing w:after="240"/>
        <w:jc w:val="both"/>
        <w:rPr>
          <w:rFonts w:ascii="Verdana" w:hAnsi="Verdana" w:cs="Arial"/>
          <w:b/>
          <w:bCs/>
          <w:sz w:val="18"/>
          <w:szCs w:val="16"/>
        </w:rPr>
      </w:pPr>
      <w:r w:rsidRPr="00A3708F">
        <w:rPr>
          <w:rFonts w:ascii="Verdana" w:hAnsi="Verdana" w:cs="Arial"/>
          <w:b/>
          <w:bCs/>
          <w:sz w:val="18"/>
          <w:szCs w:val="16"/>
        </w:rPr>
        <w:t xml:space="preserve">Proposition d’un dividende de </w:t>
      </w:r>
      <w:r w:rsidR="00D06C40" w:rsidRPr="00D06C40">
        <w:rPr>
          <w:rFonts w:ascii="Verdana" w:hAnsi="Verdana" w:cs="Arial"/>
          <w:b/>
          <w:bCs/>
          <w:sz w:val="18"/>
          <w:szCs w:val="16"/>
        </w:rPr>
        <w:t xml:space="preserve">3,25 </w:t>
      </w:r>
      <w:r w:rsidRPr="00A3708F">
        <w:rPr>
          <w:rFonts w:ascii="Verdana" w:hAnsi="Verdana" w:cs="Arial"/>
          <w:b/>
          <w:bCs/>
          <w:sz w:val="18"/>
          <w:szCs w:val="16"/>
        </w:rPr>
        <w:t xml:space="preserve">€ par action, soit un taux de distribution de </w:t>
      </w:r>
      <w:r w:rsidR="00D06C40" w:rsidRPr="00D06C40">
        <w:rPr>
          <w:rFonts w:ascii="Verdana" w:hAnsi="Verdana" w:cs="Arial"/>
          <w:b/>
          <w:bCs/>
          <w:sz w:val="18"/>
          <w:szCs w:val="16"/>
        </w:rPr>
        <w:t xml:space="preserve">36,5 </w:t>
      </w:r>
      <w:r w:rsidRPr="00A3708F">
        <w:rPr>
          <w:rFonts w:ascii="Verdana" w:hAnsi="Verdana" w:cs="Arial"/>
          <w:b/>
          <w:bCs/>
          <w:sz w:val="18"/>
          <w:szCs w:val="16"/>
        </w:rPr>
        <w:t>%,</w:t>
      </w:r>
      <w:r w:rsidRPr="0040399C">
        <w:rPr>
          <w:rFonts w:ascii="Verdana" w:hAnsi="Verdana" w:cs="Arial"/>
          <w:b/>
          <w:bCs/>
          <w:sz w:val="18"/>
          <w:szCs w:val="16"/>
        </w:rPr>
        <w:t xml:space="preserve"> reflétant l</w:t>
      </w:r>
      <w:r w:rsidR="00F44B56">
        <w:rPr>
          <w:rFonts w:ascii="Verdana" w:hAnsi="Verdana" w:cs="Arial"/>
          <w:b/>
          <w:bCs/>
          <w:sz w:val="18"/>
          <w:szCs w:val="16"/>
        </w:rPr>
        <w:t>’engagement du Groupe auprès de ses actionnaires e</w:t>
      </w:r>
      <w:r w:rsidR="003A6D0B" w:rsidRPr="0040399C">
        <w:rPr>
          <w:rFonts w:ascii="Verdana" w:hAnsi="Verdana" w:cs="Arial"/>
          <w:b/>
          <w:bCs/>
          <w:sz w:val="18"/>
          <w:szCs w:val="16"/>
        </w:rPr>
        <w:t>t</w:t>
      </w:r>
      <w:r w:rsidRPr="0040399C">
        <w:rPr>
          <w:rFonts w:ascii="Verdana" w:hAnsi="Verdana" w:cs="Arial"/>
          <w:b/>
          <w:bCs/>
          <w:sz w:val="18"/>
          <w:szCs w:val="16"/>
        </w:rPr>
        <w:t xml:space="preserve"> </w:t>
      </w:r>
      <w:r w:rsidR="003A6D0B" w:rsidRPr="0040399C">
        <w:rPr>
          <w:rFonts w:ascii="Verdana" w:hAnsi="Verdana" w:cs="Arial"/>
          <w:b/>
          <w:bCs/>
          <w:sz w:val="18"/>
          <w:szCs w:val="16"/>
        </w:rPr>
        <w:t xml:space="preserve">soumis à l’Assemblée générale des actionnaires du </w:t>
      </w:r>
      <w:r w:rsidR="001F089A" w:rsidRPr="0040399C">
        <w:rPr>
          <w:rFonts w:ascii="Verdana" w:hAnsi="Verdana" w:cs="Arial"/>
          <w:b/>
          <w:bCs/>
          <w:sz w:val="18"/>
          <w:szCs w:val="16"/>
        </w:rPr>
        <w:t>19</w:t>
      </w:r>
      <w:r w:rsidR="003A6D0B" w:rsidRPr="0040399C">
        <w:rPr>
          <w:rFonts w:ascii="Verdana" w:hAnsi="Verdana" w:cs="Arial"/>
          <w:b/>
          <w:bCs/>
          <w:sz w:val="18"/>
          <w:szCs w:val="16"/>
        </w:rPr>
        <w:t xml:space="preserve"> mai </w:t>
      </w:r>
      <w:r w:rsidR="00EB75CE" w:rsidRPr="0040399C">
        <w:rPr>
          <w:rFonts w:ascii="Verdana" w:hAnsi="Verdana" w:cs="Arial"/>
          <w:b/>
          <w:bCs/>
          <w:sz w:val="18"/>
          <w:szCs w:val="16"/>
        </w:rPr>
        <w:t>2017</w:t>
      </w:r>
      <w:r w:rsidR="003A6D0B" w:rsidRPr="0040399C">
        <w:rPr>
          <w:rFonts w:ascii="Verdana" w:hAnsi="Verdana" w:cs="Arial"/>
          <w:b/>
          <w:bCs/>
          <w:sz w:val="18"/>
          <w:szCs w:val="16"/>
        </w:rPr>
        <w:t>.</w:t>
      </w:r>
    </w:p>
    <w:p w:rsidR="007970E1" w:rsidRPr="0040399C" w:rsidRDefault="007970E1" w:rsidP="000B67C5">
      <w:pPr>
        <w:autoSpaceDE w:val="0"/>
        <w:autoSpaceDN w:val="0"/>
        <w:adjustRightInd w:val="0"/>
        <w:spacing w:after="120"/>
        <w:jc w:val="both"/>
        <w:rPr>
          <w:rFonts w:ascii="Verdana" w:hAnsi="Verdana" w:cs="Arial"/>
          <w:b/>
          <w:sz w:val="18"/>
          <w:szCs w:val="16"/>
        </w:rPr>
      </w:pPr>
      <w:r w:rsidRPr="0040399C">
        <w:rPr>
          <w:rFonts w:ascii="Verdana" w:hAnsi="Verdana" w:cs="Arial"/>
          <w:b/>
          <w:sz w:val="18"/>
          <w:szCs w:val="16"/>
        </w:rPr>
        <w:t xml:space="preserve">Jean-Dominique </w:t>
      </w:r>
      <w:proofErr w:type="spellStart"/>
      <w:r w:rsidRPr="0040399C">
        <w:rPr>
          <w:rFonts w:ascii="Verdana" w:hAnsi="Verdana" w:cs="Arial"/>
          <w:b/>
          <w:sz w:val="18"/>
          <w:szCs w:val="16"/>
        </w:rPr>
        <w:t>Senard</w:t>
      </w:r>
      <w:proofErr w:type="spellEnd"/>
      <w:r w:rsidRPr="0040399C">
        <w:rPr>
          <w:rFonts w:ascii="Verdana" w:hAnsi="Verdana" w:cs="Arial"/>
          <w:b/>
          <w:sz w:val="18"/>
          <w:szCs w:val="16"/>
        </w:rPr>
        <w:t>, Président, a déclaré : ‘‘</w:t>
      </w:r>
      <w:r w:rsidR="00B24F59" w:rsidRPr="0040399C">
        <w:rPr>
          <w:rFonts w:ascii="Verdana" w:hAnsi="Verdana" w:cs="Arial"/>
          <w:b/>
          <w:sz w:val="18"/>
          <w:szCs w:val="16"/>
        </w:rPr>
        <w:t>L’année</w:t>
      </w:r>
      <w:r w:rsidRPr="0040399C">
        <w:rPr>
          <w:rFonts w:ascii="Verdana" w:hAnsi="Verdana" w:cs="Arial"/>
          <w:b/>
          <w:sz w:val="18"/>
          <w:szCs w:val="16"/>
        </w:rPr>
        <w:t xml:space="preserve"> 201</w:t>
      </w:r>
      <w:r w:rsidR="00716FB5" w:rsidRPr="0040399C">
        <w:rPr>
          <w:rFonts w:ascii="Verdana" w:hAnsi="Verdana" w:cs="Arial"/>
          <w:b/>
          <w:sz w:val="18"/>
          <w:szCs w:val="16"/>
        </w:rPr>
        <w:t>6</w:t>
      </w:r>
      <w:r w:rsidRPr="0040399C">
        <w:rPr>
          <w:rFonts w:ascii="Verdana" w:hAnsi="Verdana" w:cs="Arial"/>
          <w:b/>
          <w:sz w:val="18"/>
          <w:szCs w:val="16"/>
        </w:rPr>
        <w:t xml:space="preserve"> </w:t>
      </w:r>
      <w:r w:rsidR="00B24F59" w:rsidRPr="0040399C">
        <w:rPr>
          <w:rFonts w:ascii="Verdana" w:hAnsi="Verdana" w:cs="Arial"/>
          <w:b/>
          <w:sz w:val="18"/>
          <w:szCs w:val="16"/>
        </w:rPr>
        <w:t xml:space="preserve">constitue une </w:t>
      </w:r>
      <w:r w:rsidR="0032017F" w:rsidRPr="0040399C">
        <w:rPr>
          <w:rFonts w:ascii="Verdana" w:hAnsi="Verdana" w:cs="Arial"/>
          <w:b/>
          <w:sz w:val="18"/>
          <w:szCs w:val="16"/>
        </w:rPr>
        <w:t xml:space="preserve">étape </w:t>
      </w:r>
      <w:r w:rsidR="00B24F59" w:rsidRPr="0040399C">
        <w:rPr>
          <w:rFonts w:ascii="Verdana" w:hAnsi="Verdana" w:cs="Arial"/>
          <w:b/>
          <w:sz w:val="18"/>
          <w:szCs w:val="16"/>
        </w:rPr>
        <w:t xml:space="preserve">réussie </w:t>
      </w:r>
      <w:r w:rsidR="0039571F" w:rsidRPr="0040399C">
        <w:rPr>
          <w:rFonts w:ascii="Verdana" w:hAnsi="Verdana" w:cs="Arial"/>
          <w:b/>
          <w:sz w:val="18"/>
          <w:szCs w:val="16"/>
        </w:rPr>
        <w:t>sur notre feuille de route stratégique</w:t>
      </w:r>
      <w:r w:rsidR="00B24F59" w:rsidRPr="0040399C">
        <w:rPr>
          <w:rFonts w:ascii="Verdana" w:hAnsi="Verdana" w:cs="Arial"/>
          <w:b/>
          <w:sz w:val="18"/>
          <w:szCs w:val="16"/>
        </w:rPr>
        <w:t>.</w:t>
      </w:r>
      <w:r w:rsidR="00533B65" w:rsidRPr="0040399C">
        <w:rPr>
          <w:rFonts w:ascii="Verdana" w:hAnsi="Verdana" w:cs="Arial"/>
          <w:b/>
          <w:sz w:val="18"/>
          <w:szCs w:val="16"/>
        </w:rPr>
        <w:t xml:space="preserve"> </w:t>
      </w:r>
      <w:r w:rsidR="000C483B" w:rsidRPr="0040399C">
        <w:rPr>
          <w:rFonts w:ascii="Verdana" w:hAnsi="Verdana" w:cs="Arial"/>
          <w:b/>
          <w:sz w:val="18"/>
          <w:szCs w:val="16"/>
        </w:rPr>
        <w:t xml:space="preserve">Notre </w:t>
      </w:r>
      <w:r w:rsidR="00533B65" w:rsidRPr="0040399C">
        <w:rPr>
          <w:rFonts w:ascii="Verdana" w:hAnsi="Verdana" w:cs="Arial"/>
          <w:b/>
          <w:sz w:val="18"/>
          <w:szCs w:val="16"/>
        </w:rPr>
        <w:t xml:space="preserve">croissance, </w:t>
      </w:r>
      <w:r w:rsidR="000C483B" w:rsidRPr="0040399C">
        <w:rPr>
          <w:rFonts w:ascii="Verdana" w:hAnsi="Verdana" w:cs="Arial"/>
          <w:b/>
          <w:sz w:val="18"/>
          <w:szCs w:val="16"/>
        </w:rPr>
        <w:t xml:space="preserve">à nouveau </w:t>
      </w:r>
      <w:r w:rsidR="00533B65" w:rsidRPr="0040399C">
        <w:rPr>
          <w:rFonts w:ascii="Verdana" w:hAnsi="Verdana" w:cs="Arial"/>
          <w:b/>
          <w:sz w:val="18"/>
          <w:szCs w:val="16"/>
        </w:rPr>
        <w:t xml:space="preserve">supérieure à celle des marchés, est le fruit de la </w:t>
      </w:r>
      <w:r w:rsidR="0077750F" w:rsidRPr="0040399C">
        <w:rPr>
          <w:rFonts w:ascii="Verdana" w:hAnsi="Verdana" w:cs="Arial"/>
          <w:b/>
          <w:sz w:val="18"/>
          <w:szCs w:val="16"/>
        </w:rPr>
        <w:t>force</w:t>
      </w:r>
      <w:r w:rsidR="00533B65" w:rsidRPr="0040399C">
        <w:rPr>
          <w:rFonts w:ascii="Verdana" w:hAnsi="Verdana" w:cs="Arial"/>
          <w:b/>
          <w:sz w:val="18"/>
          <w:szCs w:val="16"/>
        </w:rPr>
        <w:t xml:space="preserve"> de la marque MICHELIN</w:t>
      </w:r>
      <w:r w:rsidR="00F81D47" w:rsidRPr="0040399C">
        <w:rPr>
          <w:rFonts w:ascii="Verdana" w:hAnsi="Verdana" w:cs="Arial"/>
          <w:b/>
          <w:sz w:val="18"/>
          <w:szCs w:val="16"/>
        </w:rPr>
        <w:t xml:space="preserve">, </w:t>
      </w:r>
      <w:r w:rsidR="00873A7C" w:rsidRPr="0040399C">
        <w:rPr>
          <w:rFonts w:ascii="Verdana" w:hAnsi="Verdana" w:cs="Arial"/>
          <w:b/>
          <w:sz w:val="18"/>
          <w:szCs w:val="16"/>
        </w:rPr>
        <w:t xml:space="preserve">de notre </w:t>
      </w:r>
      <w:r w:rsidR="00E00FB0">
        <w:rPr>
          <w:rFonts w:ascii="Verdana" w:hAnsi="Verdana" w:cs="Arial"/>
          <w:b/>
          <w:sz w:val="18"/>
          <w:szCs w:val="16"/>
        </w:rPr>
        <w:t>rythme</w:t>
      </w:r>
      <w:r w:rsidR="00E00FB0" w:rsidRPr="0040399C">
        <w:rPr>
          <w:rFonts w:ascii="Verdana" w:hAnsi="Verdana" w:cs="Arial"/>
          <w:b/>
          <w:sz w:val="18"/>
          <w:szCs w:val="16"/>
        </w:rPr>
        <w:t xml:space="preserve"> </w:t>
      </w:r>
      <w:r w:rsidR="00873A7C" w:rsidRPr="0040399C">
        <w:rPr>
          <w:rFonts w:ascii="Verdana" w:hAnsi="Verdana" w:cs="Arial"/>
          <w:b/>
          <w:sz w:val="18"/>
          <w:szCs w:val="16"/>
        </w:rPr>
        <w:t>d’innovations</w:t>
      </w:r>
      <w:r w:rsidR="00F44B56">
        <w:rPr>
          <w:rFonts w:ascii="Verdana" w:hAnsi="Verdana" w:cs="Arial"/>
          <w:b/>
          <w:sz w:val="18"/>
          <w:szCs w:val="16"/>
        </w:rPr>
        <w:t xml:space="preserve">, </w:t>
      </w:r>
      <w:r w:rsidR="00360378">
        <w:rPr>
          <w:rFonts w:ascii="Verdana" w:hAnsi="Verdana" w:cs="Arial"/>
          <w:b/>
          <w:sz w:val="18"/>
          <w:szCs w:val="16"/>
        </w:rPr>
        <w:t xml:space="preserve">de </w:t>
      </w:r>
      <w:r w:rsidR="00F44B56">
        <w:rPr>
          <w:rFonts w:ascii="Verdana" w:hAnsi="Verdana" w:cs="Arial"/>
          <w:b/>
          <w:sz w:val="18"/>
          <w:szCs w:val="16"/>
        </w:rPr>
        <w:t>l’amélioration de la qualité de service</w:t>
      </w:r>
      <w:r w:rsidR="00873A7C" w:rsidRPr="0040399C">
        <w:rPr>
          <w:rFonts w:ascii="Verdana" w:hAnsi="Verdana" w:cs="Arial"/>
          <w:b/>
          <w:sz w:val="18"/>
          <w:szCs w:val="16"/>
        </w:rPr>
        <w:t xml:space="preserve"> au bénéfice de nos clients</w:t>
      </w:r>
      <w:r w:rsidR="00F44B56">
        <w:rPr>
          <w:rFonts w:ascii="Verdana" w:hAnsi="Verdana" w:cs="Arial"/>
          <w:b/>
          <w:sz w:val="18"/>
          <w:szCs w:val="16"/>
        </w:rPr>
        <w:t xml:space="preserve"> et</w:t>
      </w:r>
      <w:r w:rsidR="00873A7C" w:rsidRPr="00873A7C">
        <w:rPr>
          <w:rFonts w:ascii="Verdana" w:hAnsi="Verdana" w:cs="Arial"/>
          <w:b/>
          <w:sz w:val="18"/>
          <w:szCs w:val="16"/>
        </w:rPr>
        <w:t xml:space="preserve"> </w:t>
      </w:r>
      <w:r w:rsidR="00873A7C" w:rsidRPr="0040399C">
        <w:rPr>
          <w:rFonts w:ascii="Verdana" w:hAnsi="Verdana" w:cs="Arial"/>
          <w:b/>
          <w:sz w:val="18"/>
          <w:szCs w:val="16"/>
        </w:rPr>
        <w:t>du succès des gammes intermédiaires</w:t>
      </w:r>
      <w:r w:rsidR="00873A7C">
        <w:rPr>
          <w:rFonts w:ascii="Verdana" w:hAnsi="Verdana" w:cs="Arial"/>
          <w:b/>
          <w:sz w:val="18"/>
          <w:szCs w:val="16"/>
        </w:rPr>
        <w:t xml:space="preserve">. </w:t>
      </w:r>
      <w:r w:rsidR="0077750F" w:rsidRPr="0040399C">
        <w:rPr>
          <w:rFonts w:ascii="Verdana" w:hAnsi="Verdana" w:cs="Arial"/>
          <w:b/>
          <w:sz w:val="18"/>
          <w:szCs w:val="16"/>
        </w:rPr>
        <w:t>N</w:t>
      </w:r>
      <w:r w:rsidR="000C483B" w:rsidRPr="0040399C">
        <w:rPr>
          <w:rFonts w:ascii="Verdana" w:hAnsi="Verdana" w:cs="Arial"/>
          <w:b/>
          <w:sz w:val="18"/>
          <w:szCs w:val="16"/>
        </w:rPr>
        <w:t>otre p</w:t>
      </w:r>
      <w:r w:rsidR="00B24F59" w:rsidRPr="0040399C">
        <w:rPr>
          <w:rFonts w:ascii="Verdana" w:hAnsi="Verdana" w:cs="Arial"/>
          <w:b/>
          <w:sz w:val="18"/>
          <w:szCs w:val="16"/>
        </w:rPr>
        <w:t xml:space="preserve">olitique de prix </w:t>
      </w:r>
      <w:r w:rsidR="001F2E9D">
        <w:rPr>
          <w:rFonts w:ascii="Verdana" w:hAnsi="Verdana" w:cs="Arial"/>
          <w:b/>
          <w:sz w:val="18"/>
          <w:szCs w:val="16"/>
        </w:rPr>
        <w:t>qui</w:t>
      </w:r>
      <w:r w:rsidR="001F2E9D" w:rsidRPr="0040399C">
        <w:rPr>
          <w:rFonts w:ascii="Verdana" w:hAnsi="Verdana" w:cs="Arial"/>
          <w:b/>
          <w:sz w:val="18"/>
          <w:szCs w:val="16"/>
        </w:rPr>
        <w:t xml:space="preserve"> valoris</w:t>
      </w:r>
      <w:r w:rsidR="001F2E9D">
        <w:rPr>
          <w:rFonts w:ascii="Verdana" w:hAnsi="Verdana" w:cs="Arial"/>
          <w:b/>
          <w:sz w:val="18"/>
          <w:szCs w:val="16"/>
        </w:rPr>
        <w:t>e</w:t>
      </w:r>
      <w:r w:rsidR="001F2E9D" w:rsidRPr="0040399C">
        <w:rPr>
          <w:rFonts w:ascii="Verdana" w:hAnsi="Verdana" w:cs="Arial"/>
          <w:b/>
          <w:sz w:val="18"/>
          <w:szCs w:val="16"/>
        </w:rPr>
        <w:t xml:space="preserve"> </w:t>
      </w:r>
      <w:r w:rsidR="00B24F59" w:rsidRPr="0040399C">
        <w:rPr>
          <w:rFonts w:ascii="Verdana" w:hAnsi="Verdana" w:cs="Arial"/>
          <w:b/>
          <w:sz w:val="18"/>
          <w:szCs w:val="16"/>
        </w:rPr>
        <w:t>le leadership technologique du Groupe</w:t>
      </w:r>
      <w:r w:rsidR="0077750F" w:rsidRPr="0040399C">
        <w:rPr>
          <w:rFonts w:ascii="Verdana" w:hAnsi="Verdana" w:cs="Arial"/>
          <w:b/>
          <w:sz w:val="18"/>
          <w:szCs w:val="16"/>
        </w:rPr>
        <w:t>,</w:t>
      </w:r>
      <w:r w:rsidR="000C483B" w:rsidRPr="0040399C">
        <w:rPr>
          <w:rFonts w:ascii="Verdana" w:hAnsi="Verdana" w:cs="Arial"/>
          <w:b/>
          <w:sz w:val="18"/>
          <w:szCs w:val="16"/>
        </w:rPr>
        <w:t xml:space="preserve"> </w:t>
      </w:r>
      <w:r w:rsidR="00E00FB0">
        <w:rPr>
          <w:rFonts w:ascii="Verdana" w:hAnsi="Verdana" w:cs="Arial"/>
          <w:b/>
          <w:sz w:val="18"/>
          <w:szCs w:val="16"/>
        </w:rPr>
        <w:t>ainsi que</w:t>
      </w:r>
      <w:r w:rsidR="000C483B" w:rsidRPr="0040399C">
        <w:rPr>
          <w:rFonts w:ascii="Verdana" w:hAnsi="Verdana" w:cs="Arial"/>
          <w:b/>
          <w:sz w:val="18"/>
          <w:szCs w:val="16"/>
        </w:rPr>
        <w:t xml:space="preserve"> la poursuite de nos efforts de compétitivité, nous </w:t>
      </w:r>
      <w:r w:rsidR="0077750F" w:rsidRPr="0040399C">
        <w:rPr>
          <w:rFonts w:ascii="Verdana" w:hAnsi="Verdana" w:cs="Arial"/>
          <w:b/>
          <w:sz w:val="18"/>
          <w:szCs w:val="16"/>
        </w:rPr>
        <w:t>ont</w:t>
      </w:r>
      <w:r w:rsidR="000C483B" w:rsidRPr="0040399C">
        <w:rPr>
          <w:rFonts w:ascii="Verdana" w:hAnsi="Verdana" w:cs="Arial"/>
          <w:b/>
          <w:sz w:val="18"/>
          <w:szCs w:val="16"/>
        </w:rPr>
        <w:t xml:space="preserve"> permis d’atteindre les perspectives financières annoncées en début d’année.</w:t>
      </w:r>
      <w:r w:rsidR="00B22A47">
        <w:rPr>
          <w:rFonts w:ascii="Verdana" w:hAnsi="Verdana" w:cs="Arial"/>
          <w:b/>
          <w:sz w:val="18"/>
          <w:szCs w:val="16"/>
        </w:rPr>
        <w:t xml:space="preserve"> 2017 devrait </w:t>
      </w:r>
      <w:r w:rsidR="00BD5A47">
        <w:rPr>
          <w:rFonts w:ascii="Verdana" w:hAnsi="Verdana" w:cs="Arial"/>
          <w:b/>
          <w:sz w:val="18"/>
          <w:szCs w:val="16"/>
        </w:rPr>
        <w:t xml:space="preserve">permettre </w:t>
      </w:r>
      <w:r w:rsidR="00B22A47">
        <w:rPr>
          <w:rFonts w:ascii="Verdana" w:hAnsi="Verdana" w:cs="Arial"/>
          <w:b/>
          <w:sz w:val="18"/>
          <w:szCs w:val="16"/>
        </w:rPr>
        <w:t>une nouvelle année de progression, en ligne avec les objectifs du Groupe à l’horizon 2020</w:t>
      </w:r>
      <w:r w:rsidRPr="0040399C">
        <w:rPr>
          <w:rFonts w:ascii="Verdana" w:hAnsi="Verdana" w:cs="Arial"/>
          <w:b/>
          <w:sz w:val="18"/>
          <w:szCs w:val="16"/>
        </w:rPr>
        <w:t>’’</w:t>
      </w:r>
    </w:p>
    <w:p w:rsidR="007970E1" w:rsidRPr="0040399C" w:rsidRDefault="007970E1" w:rsidP="007970E1">
      <w:pPr>
        <w:numPr>
          <w:ilvl w:val="0"/>
          <w:numId w:val="2"/>
        </w:numPr>
        <w:tabs>
          <w:tab w:val="left" w:pos="284"/>
        </w:tabs>
        <w:spacing w:after="120"/>
        <w:ind w:left="357" w:hanging="357"/>
        <w:jc w:val="both"/>
        <w:rPr>
          <w:rFonts w:ascii="Verdana" w:hAnsi="Verdana" w:cs="Arial"/>
          <w:b/>
          <w:bCs/>
          <w:sz w:val="18"/>
          <w:szCs w:val="16"/>
        </w:rPr>
      </w:pPr>
      <w:r w:rsidRPr="0040399C">
        <w:rPr>
          <w:rFonts w:ascii="Verdana" w:hAnsi="Verdana" w:cs="Arial"/>
          <w:b/>
          <w:bCs/>
          <w:sz w:val="18"/>
          <w:szCs w:val="16"/>
        </w:rPr>
        <w:t xml:space="preserve">Perspectives </w:t>
      </w:r>
    </w:p>
    <w:p w:rsidR="00734355" w:rsidRDefault="007970E1" w:rsidP="0047348D">
      <w:pPr>
        <w:autoSpaceDE w:val="0"/>
        <w:autoSpaceDN w:val="0"/>
        <w:adjustRightInd w:val="0"/>
        <w:spacing w:after="120"/>
        <w:jc w:val="both"/>
        <w:rPr>
          <w:rFonts w:ascii="Verdana" w:hAnsi="Verdana" w:cs="Arial"/>
          <w:b/>
          <w:sz w:val="18"/>
          <w:szCs w:val="16"/>
        </w:rPr>
      </w:pPr>
      <w:r w:rsidRPr="00C24E64">
        <w:rPr>
          <w:rFonts w:ascii="Verdana" w:hAnsi="Verdana" w:cs="Arial"/>
          <w:b/>
          <w:sz w:val="18"/>
          <w:szCs w:val="16"/>
        </w:rPr>
        <w:t xml:space="preserve">En </w:t>
      </w:r>
      <w:r w:rsidR="00EB75CE" w:rsidRPr="005E71A7">
        <w:rPr>
          <w:rFonts w:ascii="Verdana" w:hAnsi="Verdana" w:cs="Arial"/>
          <w:b/>
          <w:sz w:val="18"/>
          <w:szCs w:val="16"/>
        </w:rPr>
        <w:t>2017</w:t>
      </w:r>
      <w:r w:rsidRPr="00316A75">
        <w:rPr>
          <w:rFonts w:ascii="Verdana" w:hAnsi="Verdana" w:cs="Arial"/>
          <w:b/>
          <w:sz w:val="18"/>
          <w:szCs w:val="16"/>
        </w:rPr>
        <w:t xml:space="preserve">, </w:t>
      </w:r>
      <w:r w:rsidR="003A052F" w:rsidRPr="00C24E64">
        <w:rPr>
          <w:rFonts w:ascii="Verdana" w:hAnsi="Verdana" w:cs="Arial"/>
          <w:b/>
          <w:sz w:val="18"/>
          <w:szCs w:val="16"/>
        </w:rPr>
        <w:t xml:space="preserve">les marchés </w:t>
      </w:r>
      <w:r w:rsidR="00C24E64" w:rsidRPr="007479F6">
        <w:rPr>
          <w:rFonts w:ascii="Verdana" w:hAnsi="Verdana" w:cs="Arial"/>
          <w:b/>
          <w:sz w:val="18"/>
          <w:szCs w:val="16"/>
        </w:rPr>
        <w:t xml:space="preserve">de pneumatiques </w:t>
      </w:r>
      <w:r w:rsidR="003A052F" w:rsidRPr="00C24E64">
        <w:rPr>
          <w:rFonts w:ascii="Verdana" w:hAnsi="Verdana" w:cs="Arial"/>
          <w:b/>
          <w:sz w:val="18"/>
          <w:szCs w:val="16"/>
        </w:rPr>
        <w:t>devraient</w:t>
      </w:r>
      <w:r w:rsidR="003A052F" w:rsidRPr="005E71A7">
        <w:rPr>
          <w:rFonts w:ascii="Verdana" w:hAnsi="Verdana" w:cs="Arial"/>
          <w:b/>
          <w:sz w:val="18"/>
          <w:szCs w:val="16"/>
        </w:rPr>
        <w:t xml:space="preserve"> rester </w:t>
      </w:r>
      <w:r w:rsidR="00E00FB0" w:rsidRPr="007479F6">
        <w:rPr>
          <w:rFonts w:ascii="Verdana" w:hAnsi="Verdana" w:cs="Arial"/>
          <w:b/>
          <w:sz w:val="18"/>
          <w:szCs w:val="16"/>
        </w:rPr>
        <w:t xml:space="preserve">voisins des </w:t>
      </w:r>
      <w:r w:rsidR="003A052F" w:rsidRPr="005E71A7">
        <w:rPr>
          <w:rFonts w:ascii="Verdana" w:hAnsi="Verdana" w:cs="Arial"/>
          <w:b/>
          <w:sz w:val="18"/>
          <w:szCs w:val="16"/>
        </w:rPr>
        <w:t>tendances observées sur la fin de 2016</w:t>
      </w:r>
      <w:r w:rsidR="00F44B56">
        <w:rPr>
          <w:rFonts w:ascii="Verdana" w:hAnsi="Verdana" w:cs="Arial"/>
          <w:b/>
          <w:sz w:val="18"/>
          <w:szCs w:val="16"/>
        </w:rPr>
        <w:t>,</w:t>
      </w:r>
      <w:r w:rsidR="00F44B56" w:rsidRPr="00F44B56">
        <w:rPr>
          <w:rFonts w:ascii="Verdana" w:hAnsi="Verdana" w:cs="Arial"/>
          <w:b/>
          <w:sz w:val="18"/>
          <w:szCs w:val="16"/>
        </w:rPr>
        <w:t xml:space="preserve"> </w:t>
      </w:r>
      <w:r w:rsidR="00F44B56">
        <w:rPr>
          <w:rFonts w:ascii="Verdana" w:hAnsi="Verdana" w:cs="Arial"/>
          <w:b/>
          <w:sz w:val="18"/>
          <w:szCs w:val="16"/>
        </w:rPr>
        <w:t xml:space="preserve">en particulier avec </w:t>
      </w:r>
      <w:r w:rsidR="00F44B56" w:rsidRPr="007479F6">
        <w:rPr>
          <w:rFonts w:ascii="Verdana" w:hAnsi="Verdana" w:cs="Arial"/>
          <w:b/>
          <w:sz w:val="18"/>
          <w:szCs w:val="16"/>
        </w:rPr>
        <w:t>la reprise des ventes de</w:t>
      </w:r>
      <w:r w:rsidR="00F44B56" w:rsidRPr="00C24E64">
        <w:t xml:space="preserve"> </w:t>
      </w:r>
      <w:r w:rsidR="00F44B56" w:rsidRPr="00C24E64">
        <w:rPr>
          <w:rFonts w:ascii="Verdana" w:hAnsi="Verdana" w:cs="Arial"/>
          <w:b/>
          <w:sz w:val="18"/>
          <w:szCs w:val="16"/>
        </w:rPr>
        <w:t>pneumatiques pour les compagnies minière</w:t>
      </w:r>
      <w:r w:rsidR="00F44B56">
        <w:rPr>
          <w:rFonts w:ascii="Verdana" w:hAnsi="Verdana" w:cs="Arial"/>
          <w:b/>
          <w:sz w:val="18"/>
          <w:szCs w:val="16"/>
        </w:rPr>
        <w:t>s</w:t>
      </w:r>
      <w:r w:rsidR="004F6326">
        <w:rPr>
          <w:rFonts w:ascii="Verdana" w:hAnsi="Verdana" w:cs="Arial"/>
          <w:b/>
          <w:sz w:val="18"/>
          <w:szCs w:val="16"/>
        </w:rPr>
        <w:t>.</w:t>
      </w:r>
      <w:r w:rsidR="003A052F" w:rsidRPr="005E71A7">
        <w:rPr>
          <w:rFonts w:ascii="Verdana" w:hAnsi="Verdana" w:cs="Arial"/>
          <w:b/>
          <w:sz w:val="18"/>
          <w:szCs w:val="16"/>
        </w:rPr>
        <w:t xml:space="preserve"> </w:t>
      </w:r>
      <w:r w:rsidR="00C24E64" w:rsidRPr="007479F6">
        <w:rPr>
          <w:rFonts w:ascii="Verdana" w:hAnsi="Verdana" w:cs="Arial"/>
          <w:b/>
          <w:sz w:val="18"/>
          <w:szCs w:val="16"/>
        </w:rPr>
        <w:t xml:space="preserve">L’année sera </w:t>
      </w:r>
      <w:r w:rsidR="004F6326">
        <w:rPr>
          <w:rFonts w:ascii="Verdana" w:hAnsi="Verdana" w:cs="Arial"/>
          <w:b/>
          <w:sz w:val="18"/>
          <w:szCs w:val="16"/>
        </w:rPr>
        <w:t xml:space="preserve">également </w:t>
      </w:r>
      <w:r w:rsidR="00C24E64" w:rsidRPr="007479F6">
        <w:rPr>
          <w:rFonts w:ascii="Verdana" w:hAnsi="Verdana" w:cs="Arial"/>
          <w:b/>
          <w:sz w:val="18"/>
          <w:szCs w:val="16"/>
        </w:rPr>
        <w:t>marquée par la hausse des matières premières</w:t>
      </w:r>
      <w:r w:rsidR="00D06C40">
        <w:rPr>
          <w:rFonts w:ascii="Verdana" w:hAnsi="Verdana" w:cs="Arial"/>
          <w:b/>
          <w:sz w:val="18"/>
          <w:szCs w:val="16"/>
        </w:rPr>
        <w:t xml:space="preserve"> </w:t>
      </w:r>
      <w:r w:rsidR="00D06C40" w:rsidRPr="00D06C40">
        <w:rPr>
          <w:rFonts w:ascii="Verdana" w:hAnsi="Verdana" w:cs="Arial"/>
          <w:b/>
          <w:sz w:val="18"/>
          <w:szCs w:val="16"/>
        </w:rPr>
        <w:t>(dont l’impact est estimé à ce stade à environ -900 millions d’€)</w:t>
      </w:r>
      <w:r w:rsidR="00B22A47">
        <w:rPr>
          <w:rFonts w:ascii="Verdana" w:hAnsi="Verdana" w:cs="Arial"/>
          <w:b/>
          <w:sz w:val="18"/>
          <w:szCs w:val="16"/>
        </w:rPr>
        <w:t xml:space="preserve"> </w:t>
      </w:r>
      <w:r w:rsidR="00C24E64" w:rsidRPr="007479F6">
        <w:rPr>
          <w:rFonts w:ascii="Verdana" w:hAnsi="Verdana" w:cs="Arial"/>
          <w:b/>
          <w:sz w:val="18"/>
          <w:szCs w:val="16"/>
        </w:rPr>
        <w:t xml:space="preserve">à laquelle Michelin </w:t>
      </w:r>
      <w:r w:rsidR="008C52B2">
        <w:rPr>
          <w:rFonts w:ascii="Verdana" w:hAnsi="Verdana" w:cs="Arial"/>
          <w:b/>
          <w:sz w:val="18"/>
          <w:szCs w:val="16"/>
        </w:rPr>
        <w:t>répondra avec</w:t>
      </w:r>
      <w:r w:rsidR="008C52B2" w:rsidRPr="007479F6">
        <w:rPr>
          <w:rFonts w:ascii="Verdana" w:hAnsi="Verdana" w:cs="Arial"/>
          <w:b/>
          <w:sz w:val="18"/>
          <w:szCs w:val="16"/>
        </w:rPr>
        <w:t xml:space="preserve"> </w:t>
      </w:r>
      <w:r w:rsidR="00C24E64" w:rsidRPr="007479F6">
        <w:rPr>
          <w:rFonts w:ascii="Verdana" w:hAnsi="Verdana" w:cs="Arial"/>
          <w:b/>
          <w:sz w:val="18"/>
          <w:szCs w:val="16"/>
        </w:rPr>
        <w:t xml:space="preserve">le pilotage </w:t>
      </w:r>
      <w:r w:rsidR="00F44B56">
        <w:rPr>
          <w:rFonts w:ascii="Verdana" w:hAnsi="Verdana" w:cs="Arial"/>
          <w:b/>
          <w:sz w:val="18"/>
          <w:szCs w:val="16"/>
        </w:rPr>
        <w:t>agile</w:t>
      </w:r>
      <w:r w:rsidR="00F44B56" w:rsidRPr="007479F6">
        <w:rPr>
          <w:rFonts w:ascii="Verdana" w:hAnsi="Verdana" w:cs="Arial"/>
          <w:b/>
          <w:sz w:val="18"/>
          <w:szCs w:val="16"/>
        </w:rPr>
        <w:t xml:space="preserve"> </w:t>
      </w:r>
      <w:r w:rsidR="003A0CD3">
        <w:rPr>
          <w:rFonts w:ascii="Verdana" w:hAnsi="Verdana" w:cs="Arial"/>
          <w:b/>
          <w:sz w:val="18"/>
          <w:szCs w:val="16"/>
        </w:rPr>
        <w:t xml:space="preserve">de ses prix </w:t>
      </w:r>
      <w:r w:rsidR="00734355">
        <w:rPr>
          <w:rFonts w:ascii="Verdana" w:hAnsi="Verdana" w:cs="Arial"/>
          <w:b/>
          <w:sz w:val="18"/>
          <w:szCs w:val="16"/>
        </w:rPr>
        <w:t>qui a pour objectif d</w:t>
      </w:r>
      <w:r w:rsidR="004420EE">
        <w:rPr>
          <w:rFonts w:ascii="Verdana" w:hAnsi="Verdana" w:cs="Arial"/>
          <w:b/>
          <w:sz w:val="18"/>
          <w:szCs w:val="16"/>
        </w:rPr>
        <w:t>’assurer</w:t>
      </w:r>
      <w:r w:rsidR="00734355">
        <w:rPr>
          <w:rFonts w:ascii="Verdana" w:hAnsi="Verdana" w:cs="Arial"/>
          <w:b/>
          <w:sz w:val="18"/>
          <w:szCs w:val="16"/>
        </w:rPr>
        <w:t xml:space="preserve"> </w:t>
      </w:r>
      <w:r w:rsidR="004420EE">
        <w:rPr>
          <w:rFonts w:ascii="Verdana" w:hAnsi="Verdana" w:cs="Arial"/>
          <w:b/>
          <w:sz w:val="18"/>
          <w:szCs w:val="16"/>
        </w:rPr>
        <w:t xml:space="preserve">des </w:t>
      </w:r>
      <w:r w:rsidR="00734355">
        <w:rPr>
          <w:rFonts w:ascii="Verdana" w:hAnsi="Verdana" w:cs="Arial"/>
          <w:b/>
          <w:sz w:val="18"/>
          <w:szCs w:val="16"/>
        </w:rPr>
        <w:t xml:space="preserve">marges unitaires </w:t>
      </w:r>
      <w:r w:rsidR="004420EE">
        <w:rPr>
          <w:rFonts w:ascii="Verdana" w:hAnsi="Verdana" w:cs="Arial"/>
          <w:b/>
          <w:sz w:val="18"/>
          <w:szCs w:val="16"/>
        </w:rPr>
        <w:t>constantes pour</w:t>
      </w:r>
      <w:r w:rsidR="00734355">
        <w:rPr>
          <w:rFonts w:ascii="Verdana" w:hAnsi="Verdana" w:cs="Arial"/>
          <w:b/>
          <w:sz w:val="18"/>
          <w:szCs w:val="16"/>
        </w:rPr>
        <w:t xml:space="preserve"> ses activités non indexées.</w:t>
      </w:r>
      <w:r w:rsidR="00734355" w:rsidRPr="00734355">
        <w:rPr>
          <w:rFonts w:ascii="Verdana" w:hAnsi="Verdana" w:cs="Arial"/>
          <w:b/>
          <w:sz w:val="18"/>
          <w:szCs w:val="16"/>
        </w:rPr>
        <w:t xml:space="preserve"> </w:t>
      </w:r>
    </w:p>
    <w:p w:rsidR="007223BF" w:rsidRDefault="004660E5" w:rsidP="00F248DF">
      <w:pPr>
        <w:autoSpaceDE w:val="0"/>
        <w:autoSpaceDN w:val="0"/>
        <w:adjustRightInd w:val="0"/>
        <w:spacing w:after="120"/>
        <w:jc w:val="both"/>
        <w:rPr>
          <w:rFonts w:ascii="Verdana" w:hAnsi="Verdana" w:cs="Arial"/>
          <w:b/>
          <w:sz w:val="18"/>
          <w:szCs w:val="16"/>
        </w:rPr>
      </w:pPr>
      <w:r w:rsidRPr="00F248DF">
        <w:rPr>
          <w:rFonts w:ascii="Verdana" w:hAnsi="Verdana" w:cs="Arial"/>
          <w:b/>
          <w:sz w:val="18"/>
          <w:szCs w:val="16"/>
        </w:rPr>
        <w:t>Dans cet environnement de marchés</w:t>
      </w:r>
      <w:r w:rsidR="008C52B2">
        <w:rPr>
          <w:rFonts w:ascii="Verdana" w:hAnsi="Verdana" w:cs="Arial"/>
          <w:b/>
          <w:sz w:val="18"/>
          <w:szCs w:val="16"/>
        </w:rPr>
        <w:t xml:space="preserve">, </w:t>
      </w:r>
      <w:r w:rsidR="007223BF" w:rsidRPr="007479F6">
        <w:rPr>
          <w:rFonts w:ascii="Verdana" w:hAnsi="Verdana" w:cs="Arial"/>
          <w:b/>
          <w:sz w:val="18"/>
          <w:szCs w:val="16"/>
        </w:rPr>
        <w:t xml:space="preserve">Michelin a pour objectifs en 2017 une croissance des volumes en ligne avec l’évolution mondiale des marchés, un résultat opérationnel sur activités courantes supérieur ou égal à celui de 2016 hors effet de change, et la génération d’un </w:t>
      </w:r>
      <w:proofErr w:type="spellStart"/>
      <w:r w:rsidR="007223BF" w:rsidRPr="007479F6">
        <w:rPr>
          <w:rFonts w:ascii="Verdana" w:hAnsi="Verdana" w:cs="Arial"/>
          <w:b/>
          <w:i/>
          <w:sz w:val="18"/>
          <w:szCs w:val="16"/>
        </w:rPr>
        <w:t>cash flow</w:t>
      </w:r>
      <w:proofErr w:type="spellEnd"/>
      <w:r w:rsidR="007223BF" w:rsidRPr="007479F6">
        <w:rPr>
          <w:rFonts w:ascii="Verdana" w:hAnsi="Verdana" w:cs="Arial"/>
          <w:b/>
          <w:sz w:val="18"/>
          <w:szCs w:val="16"/>
        </w:rPr>
        <w:t xml:space="preserve"> libre structurel supérieur à 900 millions d’€.</w:t>
      </w:r>
    </w:p>
    <w:p w:rsidR="007970E1" w:rsidRPr="0040399C" w:rsidRDefault="007970E1" w:rsidP="007970E1">
      <w:pPr>
        <w:autoSpaceDE w:val="0"/>
        <w:autoSpaceDN w:val="0"/>
        <w:adjustRightInd w:val="0"/>
        <w:jc w:val="both"/>
        <w:rPr>
          <w:rFonts w:ascii="Verdana" w:hAnsi="Verdana" w:cs="Arial"/>
          <w:b/>
          <w:bCs/>
          <w:sz w:val="22"/>
        </w:rPr>
      </w:pPr>
      <w:r w:rsidRPr="0040399C">
        <w:rPr>
          <w:rFonts w:ascii="Verdana" w:hAnsi="Verdana" w:cs="Arial"/>
          <w:b/>
          <w:bCs/>
          <w:sz w:val="22"/>
        </w:rPr>
        <w:br w:type="page"/>
      </w:r>
    </w:p>
    <w:p w:rsidR="007970E1" w:rsidRPr="00B514A1" w:rsidRDefault="007970E1" w:rsidP="007970E1">
      <w:pPr>
        <w:tabs>
          <w:tab w:val="left" w:pos="360"/>
        </w:tabs>
        <w:jc w:val="both"/>
        <w:rPr>
          <w:rFonts w:ascii="Verdana" w:hAnsi="Verdana" w:cs="Arial"/>
          <w:b/>
          <w:bCs/>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126"/>
        <w:gridCol w:w="1985"/>
      </w:tblGrid>
      <w:tr w:rsidR="00716FB5" w:rsidRPr="00B514A1" w:rsidTr="00716FB5">
        <w:trPr>
          <w:jc w:val="center"/>
        </w:trPr>
        <w:tc>
          <w:tcPr>
            <w:tcW w:w="3227" w:type="dxa"/>
            <w:shd w:val="clear" w:color="auto" w:fill="E6E6E6"/>
          </w:tcPr>
          <w:p w:rsidR="00716FB5" w:rsidRPr="00B514A1" w:rsidRDefault="00716FB5" w:rsidP="00280CEC">
            <w:pPr>
              <w:tabs>
                <w:tab w:val="left" w:pos="360"/>
              </w:tabs>
              <w:jc w:val="center"/>
              <w:rPr>
                <w:rFonts w:ascii="Arial" w:hAnsi="Arial" w:cs="Arial"/>
                <w:bCs/>
                <w:smallCaps/>
              </w:rPr>
            </w:pPr>
          </w:p>
          <w:p w:rsidR="00716FB5" w:rsidRPr="00B514A1" w:rsidRDefault="00716FB5" w:rsidP="00280CEC">
            <w:pPr>
              <w:tabs>
                <w:tab w:val="left" w:pos="360"/>
              </w:tabs>
              <w:jc w:val="center"/>
              <w:rPr>
                <w:rFonts w:ascii="Arial" w:hAnsi="Arial" w:cs="Arial"/>
                <w:smallCaps/>
              </w:rPr>
            </w:pPr>
            <w:r w:rsidRPr="00B514A1">
              <w:rPr>
                <w:rFonts w:ascii="Arial" w:hAnsi="Arial" w:cs="Arial"/>
                <w:bCs/>
                <w:smallCaps/>
              </w:rPr>
              <w:t xml:space="preserve">(en millions </w:t>
            </w:r>
            <w:r>
              <w:rPr>
                <w:rFonts w:ascii="Arial" w:hAnsi="Arial" w:cs="Arial"/>
                <w:bCs/>
                <w:smallCaps/>
              </w:rPr>
              <w:t>d’</w:t>
            </w:r>
            <w:r w:rsidRPr="00B514A1">
              <w:rPr>
                <w:rFonts w:ascii="Arial" w:hAnsi="Arial" w:cs="Arial"/>
                <w:bCs/>
                <w:smallCaps/>
              </w:rPr>
              <w:t>€)</w:t>
            </w:r>
          </w:p>
        </w:tc>
        <w:tc>
          <w:tcPr>
            <w:tcW w:w="2126" w:type="dxa"/>
            <w:shd w:val="clear" w:color="auto" w:fill="E6E6E6"/>
          </w:tcPr>
          <w:p w:rsidR="00716FB5" w:rsidRPr="00B514A1" w:rsidRDefault="00716FB5" w:rsidP="00280CEC">
            <w:pPr>
              <w:tabs>
                <w:tab w:val="left" w:pos="360"/>
              </w:tabs>
              <w:jc w:val="center"/>
              <w:rPr>
                <w:rFonts w:ascii="Verdana" w:hAnsi="Verdana" w:cs="Arial"/>
                <w:bCs/>
              </w:rPr>
            </w:pPr>
          </w:p>
          <w:p w:rsidR="00716FB5" w:rsidRPr="00B514A1" w:rsidRDefault="00716FB5" w:rsidP="00716FB5">
            <w:pPr>
              <w:tabs>
                <w:tab w:val="left" w:pos="360"/>
              </w:tabs>
              <w:jc w:val="center"/>
              <w:rPr>
                <w:rFonts w:ascii="Verdana" w:hAnsi="Verdana" w:cs="Arial"/>
              </w:rPr>
            </w:pPr>
            <w:r w:rsidRPr="00B514A1">
              <w:rPr>
                <w:rFonts w:ascii="Verdana" w:hAnsi="Verdana" w:cs="Arial"/>
                <w:bCs/>
              </w:rPr>
              <w:t>201</w:t>
            </w:r>
            <w:r>
              <w:rPr>
                <w:rFonts w:ascii="Verdana" w:hAnsi="Verdana" w:cs="Arial"/>
                <w:bCs/>
              </w:rPr>
              <w:t>6</w:t>
            </w:r>
          </w:p>
        </w:tc>
        <w:tc>
          <w:tcPr>
            <w:tcW w:w="1985" w:type="dxa"/>
            <w:shd w:val="clear" w:color="auto" w:fill="E6E6E6"/>
          </w:tcPr>
          <w:p w:rsidR="00716FB5" w:rsidRPr="00B514A1" w:rsidRDefault="00716FB5" w:rsidP="00956D71">
            <w:pPr>
              <w:tabs>
                <w:tab w:val="left" w:pos="360"/>
              </w:tabs>
              <w:jc w:val="center"/>
              <w:rPr>
                <w:rFonts w:ascii="Verdana" w:hAnsi="Verdana" w:cs="Arial"/>
                <w:bCs/>
              </w:rPr>
            </w:pPr>
          </w:p>
          <w:p w:rsidR="00716FB5" w:rsidRPr="00B514A1" w:rsidRDefault="00716FB5" w:rsidP="00956D71">
            <w:pPr>
              <w:tabs>
                <w:tab w:val="left" w:pos="360"/>
              </w:tabs>
              <w:jc w:val="center"/>
              <w:rPr>
                <w:rFonts w:ascii="Verdana" w:hAnsi="Verdana" w:cs="Arial"/>
              </w:rPr>
            </w:pPr>
            <w:r w:rsidRPr="00B514A1">
              <w:rPr>
                <w:rFonts w:ascii="Verdana" w:hAnsi="Verdana" w:cs="Arial"/>
                <w:bCs/>
              </w:rPr>
              <w:t>2015</w:t>
            </w:r>
          </w:p>
        </w:tc>
      </w:tr>
      <w:tr w:rsidR="00716FB5" w:rsidRPr="00B514A1" w:rsidTr="00716FB5">
        <w:trPr>
          <w:jc w:val="center"/>
        </w:trPr>
        <w:tc>
          <w:tcPr>
            <w:tcW w:w="3227" w:type="dxa"/>
          </w:tcPr>
          <w:p w:rsidR="00716FB5" w:rsidRPr="00B514A1" w:rsidRDefault="00716FB5" w:rsidP="00280CEC">
            <w:pPr>
              <w:tabs>
                <w:tab w:val="left" w:pos="360"/>
              </w:tabs>
              <w:rPr>
                <w:rFonts w:ascii="Arial" w:hAnsi="Arial" w:cs="Arial"/>
                <w:bCs/>
                <w:smallCaps/>
              </w:rPr>
            </w:pPr>
          </w:p>
          <w:p w:rsidR="00716FB5" w:rsidRPr="00B514A1" w:rsidRDefault="00716FB5" w:rsidP="00280CEC">
            <w:pPr>
              <w:tabs>
                <w:tab w:val="left" w:pos="360"/>
              </w:tabs>
              <w:rPr>
                <w:rFonts w:ascii="Arial" w:hAnsi="Arial" w:cs="Arial"/>
                <w:smallCaps/>
              </w:rPr>
            </w:pPr>
            <w:r w:rsidRPr="00B514A1">
              <w:rPr>
                <w:rFonts w:ascii="Arial" w:hAnsi="Arial" w:cs="Arial"/>
                <w:bCs/>
                <w:smallCaps/>
              </w:rPr>
              <w:t>Ventes nettes</w:t>
            </w:r>
          </w:p>
        </w:tc>
        <w:tc>
          <w:tcPr>
            <w:tcW w:w="2126" w:type="dxa"/>
          </w:tcPr>
          <w:p w:rsidR="00716FB5" w:rsidRPr="00523B50" w:rsidRDefault="00716FB5" w:rsidP="00280CEC">
            <w:pPr>
              <w:tabs>
                <w:tab w:val="left" w:pos="360"/>
              </w:tabs>
              <w:jc w:val="center"/>
              <w:rPr>
                <w:rFonts w:ascii="Verdana" w:hAnsi="Verdana" w:cs="Arial"/>
                <w:bCs/>
              </w:rPr>
            </w:pPr>
          </w:p>
          <w:p w:rsidR="00716FB5" w:rsidRPr="00523B50" w:rsidRDefault="00716FB5" w:rsidP="00523B50">
            <w:pPr>
              <w:tabs>
                <w:tab w:val="left" w:pos="360"/>
              </w:tabs>
              <w:jc w:val="center"/>
              <w:rPr>
                <w:rFonts w:ascii="Verdana" w:hAnsi="Verdana" w:cs="Arial"/>
                <w:b/>
                <w:bCs/>
              </w:rPr>
            </w:pPr>
            <w:r w:rsidRPr="00523B50">
              <w:rPr>
                <w:rFonts w:ascii="Verdana" w:hAnsi="Verdana" w:cs="Arial"/>
                <w:b/>
                <w:bCs/>
              </w:rPr>
              <w:t>2</w:t>
            </w:r>
            <w:r w:rsidR="00523B50" w:rsidRPr="00523B50">
              <w:rPr>
                <w:rFonts w:ascii="Verdana" w:hAnsi="Verdana" w:cs="Arial"/>
                <w:b/>
                <w:bCs/>
              </w:rPr>
              <w:t>0 907</w:t>
            </w:r>
          </w:p>
        </w:tc>
        <w:tc>
          <w:tcPr>
            <w:tcW w:w="1985" w:type="dxa"/>
          </w:tcPr>
          <w:p w:rsidR="00716FB5" w:rsidRPr="00B514A1" w:rsidRDefault="00716FB5" w:rsidP="00956D71">
            <w:pPr>
              <w:tabs>
                <w:tab w:val="left" w:pos="360"/>
              </w:tabs>
              <w:jc w:val="center"/>
              <w:rPr>
                <w:rFonts w:ascii="Verdana" w:hAnsi="Verdana" w:cs="Arial"/>
                <w:bCs/>
              </w:rPr>
            </w:pPr>
          </w:p>
          <w:p w:rsidR="00716FB5" w:rsidRPr="00B514A1" w:rsidRDefault="00716FB5" w:rsidP="00956D71">
            <w:pPr>
              <w:tabs>
                <w:tab w:val="left" w:pos="360"/>
              </w:tabs>
              <w:jc w:val="center"/>
              <w:rPr>
                <w:rFonts w:ascii="Verdana" w:hAnsi="Verdana" w:cs="Arial"/>
                <w:b/>
                <w:bCs/>
              </w:rPr>
            </w:pPr>
            <w:r w:rsidRPr="00B514A1">
              <w:rPr>
                <w:rFonts w:ascii="Verdana" w:hAnsi="Verdana" w:cs="Arial"/>
                <w:b/>
                <w:bCs/>
              </w:rPr>
              <w:t>21 199</w:t>
            </w:r>
          </w:p>
        </w:tc>
      </w:tr>
      <w:tr w:rsidR="00716FB5" w:rsidRPr="00B514A1" w:rsidTr="00716FB5">
        <w:trPr>
          <w:jc w:val="center"/>
        </w:trPr>
        <w:tc>
          <w:tcPr>
            <w:tcW w:w="3227" w:type="dxa"/>
            <w:tcBorders>
              <w:top w:val="single" w:sz="4" w:space="0" w:color="auto"/>
              <w:left w:val="single" w:sz="4" w:space="0" w:color="auto"/>
              <w:bottom w:val="single" w:sz="4" w:space="0" w:color="auto"/>
              <w:right w:val="single" w:sz="4" w:space="0" w:color="auto"/>
            </w:tcBorders>
          </w:tcPr>
          <w:p w:rsidR="00716FB5" w:rsidRPr="00B514A1" w:rsidRDefault="00716FB5" w:rsidP="00280CEC">
            <w:pPr>
              <w:tabs>
                <w:tab w:val="left" w:pos="360"/>
              </w:tabs>
              <w:rPr>
                <w:rFonts w:ascii="Arial" w:hAnsi="Arial" w:cs="Arial"/>
                <w:bCs/>
                <w:smallCaps/>
              </w:rPr>
            </w:pPr>
          </w:p>
          <w:p w:rsidR="00716FB5" w:rsidRPr="00B514A1" w:rsidRDefault="00716FB5" w:rsidP="00E70458">
            <w:pPr>
              <w:tabs>
                <w:tab w:val="left" w:pos="360"/>
              </w:tabs>
              <w:rPr>
                <w:rFonts w:ascii="Arial" w:hAnsi="Arial" w:cs="Arial"/>
                <w:bCs/>
                <w:smallCaps/>
              </w:rPr>
            </w:pPr>
            <w:r w:rsidRPr="00B514A1">
              <w:rPr>
                <w:rFonts w:ascii="Arial" w:hAnsi="Arial" w:cs="Arial"/>
                <w:bCs/>
                <w:smallCaps/>
              </w:rPr>
              <w:t xml:space="preserve">Résultat opérationnel </w:t>
            </w:r>
            <w:r w:rsidR="00E70458">
              <w:rPr>
                <w:rFonts w:ascii="Arial" w:hAnsi="Arial" w:cs="Arial"/>
                <w:bCs/>
                <w:smallCaps/>
              </w:rPr>
              <w:t>sur activités courantes</w:t>
            </w:r>
          </w:p>
        </w:tc>
        <w:tc>
          <w:tcPr>
            <w:tcW w:w="2126" w:type="dxa"/>
            <w:tcBorders>
              <w:top w:val="single" w:sz="4" w:space="0" w:color="auto"/>
              <w:left w:val="single" w:sz="4" w:space="0" w:color="auto"/>
              <w:bottom w:val="single" w:sz="4" w:space="0" w:color="auto"/>
              <w:right w:val="single" w:sz="4" w:space="0" w:color="auto"/>
            </w:tcBorders>
          </w:tcPr>
          <w:p w:rsidR="00716FB5" w:rsidRPr="00523B50" w:rsidRDefault="00716FB5" w:rsidP="00280CEC">
            <w:pPr>
              <w:tabs>
                <w:tab w:val="left" w:pos="360"/>
              </w:tabs>
              <w:jc w:val="center"/>
              <w:rPr>
                <w:rFonts w:ascii="Verdana" w:hAnsi="Verdana" w:cs="Arial"/>
                <w:bCs/>
              </w:rPr>
            </w:pPr>
          </w:p>
          <w:p w:rsidR="00716FB5" w:rsidRPr="00523B50" w:rsidRDefault="00716FB5" w:rsidP="00280CEC">
            <w:pPr>
              <w:tabs>
                <w:tab w:val="left" w:pos="360"/>
              </w:tabs>
              <w:jc w:val="center"/>
              <w:rPr>
                <w:rFonts w:ascii="Verdana" w:hAnsi="Verdana" w:cs="Arial"/>
                <w:bCs/>
              </w:rPr>
            </w:pPr>
          </w:p>
          <w:p w:rsidR="00716FB5" w:rsidRPr="00523B50" w:rsidRDefault="00716FB5" w:rsidP="00523B50">
            <w:pPr>
              <w:tabs>
                <w:tab w:val="left" w:pos="360"/>
              </w:tabs>
              <w:jc w:val="center"/>
              <w:rPr>
                <w:rFonts w:ascii="Verdana" w:hAnsi="Verdana" w:cs="Arial"/>
                <w:bCs/>
              </w:rPr>
            </w:pPr>
            <w:r w:rsidRPr="00523B50">
              <w:rPr>
                <w:rFonts w:ascii="Verdana" w:hAnsi="Verdana" w:cs="Arial"/>
                <w:b/>
                <w:bCs/>
              </w:rPr>
              <w:t>2 </w:t>
            </w:r>
            <w:r w:rsidR="00523B50" w:rsidRPr="00523B50">
              <w:rPr>
                <w:rFonts w:ascii="Verdana" w:hAnsi="Verdana" w:cs="Arial"/>
                <w:b/>
                <w:bCs/>
              </w:rPr>
              <w:t>692</w:t>
            </w:r>
          </w:p>
        </w:tc>
        <w:tc>
          <w:tcPr>
            <w:tcW w:w="1985" w:type="dxa"/>
            <w:tcBorders>
              <w:top w:val="single" w:sz="4" w:space="0" w:color="auto"/>
              <w:left w:val="single" w:sz="4" w:space="0" w:color="auto"/>
              <w:bottom w:val="single" w:sz="4" w:space="0" w:color="auto"/>
              <w:right w:val="single" w:sz="4" w:space="0" w:color="auto"/>
            </w:tcBorders>
          </w:tcPr>
          <w:p w:rsidR="00716FB5" w:rsidRPr="00B514A1" w:rsidRDefault="00716FB5" w:rsidP="00956D71">
            <w:pPr>
              <w:tabs>
                <w:tab w:val="left" w:pos="360"/>
              </w:tabs>
              <w:jc w:val="center"/>
              <w:rPr>
                <w:rFonts w:ascii="Verdana" w:hAnsi="Verdana" w:cs="Arial"/>
                <w:bCs/>
              </w:rPr>
            </w:pPr>
          </w:p>
          <w:p w:rsidR="00716FB5" w:rsidRPr="00B514A1" w:rsidRDefault="00716FB5" w:rsidP="00956D71">
            <w:pPr>
              <w:tabs>
                <w:tab w:val="left" w:pos="360"/>
              </w:tabs>
              <w:jc w:val="center"/>
              <w:rPr>
                <w:rFonts w:ascii="Verdana" w:hAnsi="Verdana" w:cs="Arial"/>
                <w:bCs/>
              </w:rPr>
            </w:pPr>
          </w:p>
          <w:p w:rsidR="00716FB5" w:rsidRPr="00B514A1" w:rsidRDefault="00716FB5" w:rsidP="00956D71">
            <w:pPr>
              <w:tabs>
                <w:tab w:val="left" w:pos="360"/>
              </w:tabs>
              <w:jc w:val="center"/>
              <w:rPr>
                <w:rFonts w:ascii="Verdana" w:hAnsi="Verdana" w:cs="Arial"/>
                <w:bCs/>
              </w:rPr>
            </w:pPr>
            <w:r w:rsidRPr="00B514A1">
              <w:rPr>
                <w:rFonts w:ascii="Verdana" w:hAnsi="Verdana" w:cs="Arial"/>
                <w:b/>
                <w:bCs/>
              </w:rPr>
              <w:t>2 577</w:t>
            </w:r>
          </w:p>
        </w:tc>
      </w:tr>
      <w:tr w:rsidR="00716FB5" w:rsidRPr="00B514A1" w:rsidTr="00716FB5">
        <w:trPr>
          <w:jc w:val="center"/>
        </w:trPr>
        <w:tc>
          <w:tcPr>
            <w:tcW w:w="3227" w:type="dxa"/>
          </w:tcPr>
          <w:p w:rsidR="00716FB5" w:rsidRPr="00B514A1" w:rsidRDefault="00716FB5" w:rsidP="00280CEC">
            <w:pPr>
              <w:tabs>
                <w:tab w:val="left" w:pos="360"/>
              </w:tabs>
              <w:rPr>
                <w:rFonts w:ascii="Arial" w:hAnsi="Arial" w:cs="Arial"/>
                <w:bCs/>
                <w:smallCaps/>
              </w:rPr>
            </w:pPr>
          </w:p>
          <w:p w:rsidR="00716FB5" w:rsidRPr="00B514A1" w:rsidRDefault="00716FB5" w:rsidP="00E70458">
            <w:pPr>
              <w:tabs>
                <w:tab w:val="left" w:pos="360"/>
              </w:tabs>
              <w:rPr>
                <w:rFonts w:ascii="Arial" w:hAnsi="Arial" w:cs="Arial"/>
                <w:smallCaps/>
              </w:rPr>
            </w:pPr>
            <w:r w:rsidRPr="00B514A1">
              <w:rPr>
                <w:rFonts w:ascii="Arial" w:hAnsi="Arial" w:cs="Arial"/>
                <w:bCs/>
                <w:smallCaps/>
              </w:rPr>
              <w:t xml:space="preserve">Marge opérationnelle </w:t>
            </w:r>
            <w:r w:rsidR="00E70458">
              <w:rPr>
                <w:rFonts w:ascii="Arial" w:hAnsi="Arial" w:cs="Arial"/>
                <w:bCs/>
                <w:smallCaps/>
              </w:rPr>
              <w:t>sur activités courantes</w:t>
            </w:r>
          </w:p>
        </w:tc>
        <w:tc>
          <w:tcPr>
            <w:tcW w:w="2126" w:type="dxa"/>
          </w:tcPr>
          <w:p w:rsidR="00716FB5" w:rsidRPr="00523B50" w:rsidRDefault="00716FB5" w:rsidP="00280CEC">
            <w:pPr>
              <w:tabs>
                <w:tab w:val="left" w:pos="360"/>
              </w:tabs>
              <w:jc w:val="center"/>
              <w:rPr>
                <w:rFonts w:ascii="Verdana" w:hAnsi="Verdana" w:cs="Arial"/>
                <w:b/>
                <w:bCs/>
              </w:rPr>
            </w:pPr>
          </w:p>
          <w:p w:rsidR="00716FB5" w:rsidRPr="00523B50" w:rsidRDefault="00716FB5" w:rsidP="00280CEC">
            <w:pPr>
              <w:tabs>
                <w:tab w:val="left" w:pos="360"/>
              </w:tabs>
              <w:jc w:val="center"/>
              <w:rPr>
                <w:rFonts w:ascii="Verdana" w:hAnsi="Verdana" w:cs="Arial"/>
                <w:b/>
                <w:bCs/>
              </w:rPr>
            </w:pPr>
          </w:p>
          <w:p w:rsidR="00716FB5" w:rsidRPr="00523B50" w:rsidRDefault="00523B50" w:rsidP="00280CEC">
            <w:pPr>
              <w:tabs>
                <w:tab w:val="left" w:pos="360"/>
              </w:tabs>
              <w:jc w:val="center"/>
              <w:rPr>
                <w:rFonts w:ascii="Verdana" w:hAnsi="Verdana" w:cs="Arial"/>
                <w:b/>
                <w:bCs/>
              </w:rPr>
            </w:pPr>
            <w:r w:rsidRPr="00523B50">
              <w:rPr>
                <w:rFonts w:ascii="Verdana" w:hAnsi="Verdana" w:cs="Arial"/>
                <w:b/>
                <w:bCs/>
              </w:rPr>
              <w:t>12,9</w:t>
            </w:r>
            <w:r w:rsidR="00716FB5" w:rsidRPr="00523B50">
              <w:rPr>
                <w:rFonts w:ascii="Verdana" w:hAnsi="Verdana" w:cs="Arial"/>
                <w:b/>
                <w:bCs/>
              </w:rPr>
              <w:t> %</w:t>
            </w:r>
          </w:p>
        </w:tc>
        <w:tc>
          <w:tcPr>
            <w:tcW w:w="1985" w:type="dxa"/>
          </w:tcPr>
          <w:p w:rsidR="00716FB5" w:rsidRPr="00B514A1" w:rsidRDefault="00716FB5" w:rsidP="00956D71">
            <w:pPr>
              <w:tabs>
                <w:tab w:val="left" w:pos="360"/>
              </w:tabs>
              <w:jc w:val="center"/>
              <w:rPr>
                <w:rFonts w:ascii="Verdana" w:hAnsi="Verdana" w:cs="Arial"/>
                <w:b/>
                <w:bCs/>
              </w:rPr>
            </w:pPr>
          </w:p>
          <w:p w:rsidR="00716FB5" w:rsidRPr="00B514A1" w:rsidRDefault="00716FB5" w:rsidP="00956D71">
            <w:pPr>
              <w:tabs>
                <w:tab w:val="left" w:pos="360"/>
              </w:tabs>
              <w:jc w:val="center"/>
              <w:rPr>
                <w:rFonts w:ascii="Verdana" w:hAnsi="Verdana" w:cs="Arial"/>
                <w:b/>
                <w:bCs/>
              </w:rPr>
            </w:pPr>
          </w:p>
          <w:p w:rsidR="00716FB5" w:rsidRPr="00B514A1" w:rsidRDefault="00716FB5" w:rsidP="00956D71">
            <w:pPr>
              <w:tabs>
                <w:tab w:val="left" w:pos="360"/>
              </w:tabs>
              <w:jc w:val="center"/>
              <w:rPr>
                <w:rFonts w:ascii="Verdana" w:hAnsi="Verdana" w:cs="Arial"/>
                <w:b/>
                <w:bCs/>
              </w:rPr>
            </w:pPr>
            <w:r w:rsidRPr="00B514A1">
              <w:rPr>
                <w:rFonts w:ascii="Verdana" w:hAnsi="Verdana" w:cs="Arial"/>
                <w:b/>
                <w:bCs/>
              </w:rPr>
              <w:t>12,2 %</w:t>
            </w:r>
          </w:p>
        </w:tc>
      </w:tr>
      <w:tr w:rsidR="00716FB5" w:rsidRPr="00B514A1" w:rsidTr="00716FB5">
        <w:trPr>
          <w:jc w:val="center"/>
        </w:trPr>
        <w:tc>
          <w:tcPr>
            <w:tcW w:w="3227" w:type="dxa"/>
          </w:tcPr>
          <w:p w:rsidR="00716FB5" w:rsidRDefault="00716FB5" w:rsidP="00280CEC">
            <w:pPr>
              <w:tabs>
                <w:tab w:val="left" w:pos="360"/>
              </w:tabs>
              <w:jc w:val="right"/>
              <w:rPr>
                <w:rFonts w:ascii="Arial" w:hAnsi="Arial" w:cs="Arial"/>
                <w:bCs/>
                <w:smallCaps/>
              </w:rPr>
            </w:pPr>
          </w:p>
          <w:p w:rsidR="00716FB5" w:rsidRPr="00B514A1" w:rsidRDefault="00716FB5" w:rsidP="00280CEC">
            <w:pPr>
              <w:tabs>
                <w:tab w:val="left" w:pos="360"/>
              </w:tabs>
              <w:jc w:val="right"/>
              <w:rPr>
                <w:rFonts w:ascii="Arial" w:hAnsi="Arial" w:cs="Arial"/>
                <w:smallCaps/>
              </w:rPr>
            </w:pPr>
            <w:r w:rsidRPr="00B514A1">
              <w:rPr>
                <w:rFonts w:ascii="Arial" w:hAnsi="Arial" w:cs="Arial"/>
                <w:bCs/>
                <w:smallCaps/>
              </w:rPr>
              <w:t xml:space="preserve">Tourisme camionnette et distribution associée </w:t>
            </w:r>
          </w:p>
        </w:tc>
        <w:tc>
          <w:tcPr>
            <w:tcW w:w="2126" w:type="dxa"/>
          </w:tcPr>
          <w:p w:rsidR="00716FB5" w:rsidRPr="00E13343" w:rsidRDefault="00716FB5" w:rsidP="00280CEC">
            <w:pPr>
              <w:tabs>
                <w:tab w:val="left" w:pos="360"/>
              </w:tabs>
              <w:jc w:val="center"/>
              <w:rPr>
                <w:rFonts w:ascii="Verdana" w:hAnsi="Verdana" w:cs="Arial"/>
                <w:b/>
                <w:bCs/>
              </w:rPr>
            </w:pPr>
          </w:p>
          <w:p w:rsidR="00716FB5" w:rsidRPr="00E13343" w:rsidRDefault="00716FB5" w:rsidP="0036433C">
            <w:pPr>
              <w:tabs>
                <w:tab w:val="left" w:pos="360"/>
              </w:tabs>
              <w:jc w:val="center"/>
              <w:rPr>
                <w:rFonts w:ascii="Verdana" w:hAnsi="Verdana" w:cs="Arial"/>
                <w:b/>
                <w:bCs/>
              </w:rPr>
            </w:pPr>
            <w:r w:rsidRPr="00E13343">
              <w:rPr>
                <w:rFonts w:ascii="Verdana" w:hAnsi="Verdana" w:cs="Arial"/>
                <w:b/>
                <w:bCs/>
              </w:rPr>
              <w:t>1</w:t>
            </w:r>
            <w:r w:rsidR="00E13343" w:rsidRPr="00E13343">
              <w:rPr>
                <w:rFonts w:ascii="Verdana" w:hAnsi="Verdana" w:cs="Arial"/>
                <w:b/>
                <w:bCs/>
              </w:rPr>
              <w:t>3,</w:t>
            </w:r>
            <w:r w:rsidR="0036433C">
              <w:rPr>
                <w:rFonts w:ascii="Verdana" w:hAnsi="Verdana" w:cs="Arial"/>
                <w:b/>
                <w:bCs/>
              </w:rPr>
              <w:t>1</w:t>
            </w:r>
            <w:r w:rsidRPr="00E13343">
              <w:rPr>
                <w:rFonts w:ascii="Verdana" w:hAnsi="Verdana" w:cs="Arial"/>
                <w:b/>
                <w:bCs/>
              </w:rPr>
              <w:t> %</w:t>
            </w:r>
          </w:p>
        </w:tc>
        <w:tc>
          <w:tcPr>
            <w:tcW w:w="1985" w:type="dxa"/>
          </w:tcPr>
          <w:p w:rsidR="00716FB5" w:rsidRPr="00B514A1" w:rsidRDefault="00716FB5" w:rsidP="00956D71">
            <w:pPr>
              <w:tabs>
                <w:tab w:val="left" w:pos="360"/>
              </w:tabs>
              <w:jc w:val="center"/>
              <w:rPr>
                <w:rFonts w:ascii="Verdana" w:hAnsi="Verdana" w:cs="Arial"/>
                <w:b/>
                <w:bCs/>
              </w:rPr>
            </w:pPr>
          </w:p>
          <w:p w:rsidR="00716FB5" w:rsidRPr="00B514A1" w:rsidRDefault="00716FB5" w:rsidP="00956D71">
            <w:pPr>
              <w:tabs>
                <w:tab w:val="left" w:pos="360"/>
              </w:tabs>
              <w:jc w:val="center"/>
              <w:rPr>
                <w:rFonts w:ascii="Verdana" w:hAnsi="Verdana" w:cs="Arial"/>
                <w:b/>
                <w:bCs/>
              </w:rPr>
            </w:pPr>
            <w:r w:rsidRPr="00B514A1">
              <w:rPr>
                <w:rFonts w:ascii="Verdana" w:hAnsi="Verdana" w:cs="Arial"/>
                <w:b/>
                <w:bCs/>
              </w:rPr>
              <w:t>11,5 %</w:t>
            </w:r>
          </w:p>
        </w:tc>
      </w:tr>
      <w:tr w:rsidR="00716FB5" w:rsidRPr="00B514A1" w:rsidTr="00716FB5">
        <w:trPr>
          <w:jc w:val="center"/>
        </w:trPr>
        <w:tc>
          <w:tcPr>
            <w:tcW w:w="3227" w:type="dxa"/>
          </w:tcPr>
          <w:p w:rsidR="00716FB5" w:rsidRDefault="00716FB5" w:rsidP="00280CEC">
            <w:pPr>
              <w:tabs>
                <w:tab w:val="left" w:pos="360"/>
              </w:tabs>
              <w:jc w:val="right"/>
              <w:rPr>
                <w:rFonts w:ascii="Arial" w:hAnsi="Arial" w:cs="Arial"/>
                <w:bCs/>
                <w:smallCaps/>
              </w:rPr>
            </w:pPr>
          </w:p>
          <w:p w:rsidR="00716FB5" w:rsidRPr="00B514A1" w:rsidRDefault="00716FB5" w:rsidP="00280CEC">
            <w:pPr>
              <w:tabs>
                <w:tab w:val="left" w:pos="360"/>
              </w:tabs>
              <w:jc w:val="right"/>
              <w:rPr>
                <w:rFonts w:ascii="Arial" w:hAnsi="Arial" w:cs="Arial"/>
                <w:bCs/>
                <w:smallCaps/>
              </w:rPr>
            </w:pPr>
            <w:r w:rsidRPr="00B514A1">
              <w:rPr>
                <w:rFonts w:ascii="Arial" w:hAnsi="Arial" w:cs="Arial"/>
                <w:bCs/>
                <w:smallCaps/>
              </w:rPr>
              <w:t xml:space="preserve">Poids lourd et </w:t>
            </w:r>
          </w:p>
          <w:p w:rsidR="00716FB5" w:rsidRPr="00B514A1" w:rsidRDefault="00716FB5" w:rsidP="00280CEC">
            <w:pPr>
              <w:tabs>
                <w:tab w:val="left" w:pos="360"/>
              </w:tabs>
              <w:jc w:val="right"/>
              <w:rPr>
                <w:rFonts w:ascii="Arial" w:hAnsi="Arial" w:cs="Arial"/>
                <w:smallCaps/>
              </w:rPr>
            </w:pPr>
            <w:r w:rsidRPr="00B514A1">
              <w:rPr>
                <w:rFonts w:ascii="Arial" w:hAnsi="Arial" w:cs="Arial"/>
                <w:bCs/>
                <w:smallCaps/>
              </w:rPr>
              <w:t xml:space="preserve">distribution </w:t>
            </w:r>
            <w:r w:rsidR="00E92682" w:rsidRPr="00B514A1">
              <w:rPr>
                <w:rFonts w:ascii="Arial" w:hAnsi="Arial" w:cs="Arial"/>
                <w:bCs/>
                <w:smallCaps/>
              </w:rPr>
              <w:t>associ</w:t>
            </w:r>
            <w:r w:rsidR="00E92682">
              <w:rPr>
                <w:rFonts w:ascii="Arial" w:hAnsi="Arial" w:cs="Arial"/>
                <w:bCs/>
                <w:smallCaps/>
              </w:rPr>
              <w:t>é</w:t>
            </w:r>
            <w:r w:rsidR="00E92682" w:rsidRPr="00B514A1">
              <w:rPr>
                <w:rFonts w:ascii="Arial" w:hAnsi="Arial" w:cs="Arial"/>
                <w:bCs/>
                <w:smallCaps/>
              </w:rPr>
              <w:t>e</w:t>
            </w:r>
            <w:r w:rsidRPr="00B514A1">
              <w:rPr>
                <w:rFonts w:ascii="Arial" w:hAnsi="Arial" w:cs="Arial"/>
                <w:bCs/>
                <w:smallCaps/>
              </w:rPr>
              <w:t xml:space="preserve"> </w:t>
            </w:r>
          </w:p>
        </w:tc>
        <w:tc>
          <w:tcPr>
            <w:tcW w:w="2126" w:type="dxa"/>
          </w:tcPr>
          <w:p w:rsidR="00716FB5" w:rsidRPr="00E13343" w:rsidRDefault="00716FB5" w:rsidP="00280CEC">
            <w:pPr>
              <w:tabs>
                <w:tab w:val="left" w:pos="360"/>
              </w:tabs>
              <w:jc w:val="center"/>
              <w:rPr>
                <w:rFonts w:ascii="Verdana" w:hAnsi="Verdana" w:cs="Arial"/>
                <w:b/>
                <w:bCs/>
              </w:rPr>
            </w:pPr>
          </w:p>
          <w:p w:rsidR="00716FB5" w:rsidRPr="00E13343" w:rsidRDefault="00E13343" w:rsidP="0036433C">
            <w:pPr>
              <w:tabs>
                <w:tab w:val="left" w:pos="360"/>
              </w:tabs>
              <w:jc w:val="center"/>
              <w:rPr>
                <w:rFonts w:ascii="Verdana" w:hAnsi="Verdana" w:cs="Arial"/>
                <w:b/>
                <w:bCs/>
              </w:rPr>
            </w:pPr>
            <w:r w:rsidRPr="00E13343">
              <w:rPr>
                <w:rFonts w:ascii="Verdana" w:hAnsi="Verdana" w:cs="Arial"/>
                <w:b/>
                <w:bCs/>
              </w:rPr>
              <w:t>9,</w:t>
            </w:r>
            <w:r w:rsidR="0036433C">
              <w:rPr>
                <w:rFonts w:ascii="Verdana" w:hAnsi="Verdana" w:cs="Arial"/>
                <w:b/>
                <w:bCs/>
              </w:rPr>
              <w:t>7</w:t>
            </w:r>
            <w:r w:rsidR="00716FB5" w:rsidRPr="00E13343">
              <w:rPr>
                <w:rFonts w:ascii="Verdana" w:hAnsi="Verdana" w:cs="Arial"/>
                <w:b/>
                <w:bCs/>
              </w:rPr>
              <w:t> %</w:t>
            </w:r>
          </w:p>
        </w:tc>
        <w:tc>
          <w:tcPr>
            <w:tcW w:w="1985" w:type="dxa"/>
          </w:tcPr>
          <w:p w:rsidR="00716FB5" w:rsidRPr="00B514A1" w:rsidRDefault="00716FB5" w:rsidP="00956D71">
            <w:pPr>
              <w:tabs>
                <w:tab w:val="left" w:pos="360"/>
              </w:tabs>
              <w:jc w:val="center"/>
              <w:rPr>
                <w:rFonts w:ascii="Verdana" w:hAnsi="Verdana" w:cs="Arial"/>
                <w:b/>
                <w:bCs/>
              </w:rPr>
            </w:pPr>
          </w:p>
          <w:p w:rsidR="00716FB5" w:rsidRPr="00B514A1" w:rsidRDefault="00716FB5" w:rsidP="00956D71">
            <w:pPr>
              <w:tabs>
                <w:tab w:val="left" w:pos="360"/>
              </w:tabs>
              <w:jc w:val="center"/>
              <w:rPr>
                <w:rFonts w:ascii="Verdana" w:hAnsi="Verdana" w:cs="Arial"/>
                <w:b/>
                <w:bCs/>
              </w:rPr>
            </w:pPr>
            <w:r w:rsidRPr="00B514A1">
              <w:rPr>
                <w:rFonts w:ascii="Verdana" w:hAnsi="Verdana" w:cs="Arial"/>
                <w:b/>
                <w:bCs/>
              </w:rPr>
              <w:t>10,4 %</w:t>
            </w:r>
          </w:p>
        </w:tc>
      </w:tr>
      <w:tr w:rsidR="00716FB5" w:rsidRPr="00B514A1" w:rsidTr="00716FB5">
        <w:trPr>
          <w:jc w:val="center"/>
        </w:trPr>
        <w:tc>
          <w:tcPr>
            <w:tcW w:w="3227" w:type="dxa"/>
            <w:tcBorders>
              <w:top w:val="single" w:sz="4" w:space="0" w:color="auto"/>
              <w:left w:val="single" w:sz="4" w:space="0" w:color="auto"/>
              <w:bottom w:val="single" w:sz="4" w:space="0" w:color="auto"/>
              <w:right w:val="single" w:sz="4" w:space="0" w:color="auto"/>
            </w:tcBorders>
          </w:tcPr>
          <w:p w:rsidR="00716FB5" w:rsidRPr="00B514A1" w:rsidRDefault="00716FB5" w:rsidP="00280CEC">
            <w:pPr>
              <w:tabs>
                <w:tab w:val="left" w:pos="360"/>
              </w:tabs>
              <w:jc w:val="right"/>
              <w:rPr>
                <w:rFonts w:ascii="Arial" w:hAnsi="Arial" w:cs="Arial"/>
                <w:bCs/>
                <w:smallCaps/>
              </w:rPr>
            </w:pPr>
          </w:p>
          <w:p w:rsidR="00716FB5" w:rsidRPr="00B514A1" w:rsidRDefault="00716FB5" w:rsidP="00280CEC">
            <w:pPr>
              <w:tabs>
                <w:tab w:val="left" w:pos="360"/>
              </w:tabs>
              <w:jc w:val="right"/>
              <w:rPr>
                <w:rFonts w:ascii="Arial" w:hAnsi="Arial" w:cs="Arial"/>
                <w:smallCaps/>
              </w:rPr>
            </w:pPr>
            <w:r w:rsidRPr="00B514A1">
              <w:rPr>
                <w:rFonts w:ascii="Arial" w:hAnsi="Arial" w:cs="Arial"/>
                <w:bCs/>
                <w:smallCaps/>
              </w:rPr>
              <w:t>Activités de spécialités</w:t>
            </w:r>
          </w:p>
        </w:tc>
        <w:tc>
          <w:tcPr>
            <w:tcW w:w="2126" w:type="dxa"/>
            <w:tcBorders>
              <w:top w:val="single" w:sz="4" w:space="0" w:color="auto"/>
              <w:left w:val="single" w:sz="4" w:space="0" w:color="auto"/>
              <w:bottom w:val="single" w:sz="4" w:space="0" w:color="auto"/>
              <w:right w:val="single" w:sz="4" w:space="0" w:color="auto"/>
            </w:tcBorders>
          </w:tcPr>
          <w:p w:rsidR="00716FB5" w:rsidRPr="00E13343" w:rsidRDefault="00716FB5" w:rsidP="00280CEC">
            <w:pPr>
              <w:tabs>
                <w:tab w:val="left" w:pos="360"/>
              </w:tabs>
              <w:jc w:val="center"/>
              <w:rPr>
                <w:rFonts w:ascii="Verdana" w:hAnsi="Verdana" w:cs="Arial"/>
                <w:b/>
                <w:bCs/>
              </w:rPr>
            </w:pPr>
          </w:p>
          <w:p w:rsidR="00716FB5" w:rsidRPr="00E13343" w:rsidRDefault="00716FB5" w:rsidP="0036433C">
            <w:pPr>
              <w:tabs>
                <w:tab w:val="left" w:pos="360"/>
              </w:tabs>
              <w:jc w:val="center"/>
              <w:rPr>
                <w:rFonts w:ascii="Verdana" w:hAnsi="Verdana" w:cs="Arial"/>
                <w:b/>
                <w:bCs/>
              </w:rPr>
            </w:pPr>
            <w:r w:rsidRPr="00E13343">
              <w:rPr>
                <w:rFonts w:ascii="Verdana" w:hAnsi="Verdana" w:cs="Arial"/>
                <w:b/>
                <w:bCs/>
              </w:rPr>
              <w:t>18,</w:t>
            </w:r>
            <w:r w:rsidR="0036433C">
              <w:rPr>
                <w:rFonts w:ascii="Verdana" w:hAnsi="Verdana" w:cs="Arial"/>
                <w:b/>
                <w:bCs/>
              </w:rPr>
              <w:t>6</w:t>
            </w:r>
            <w:r w:rsidRPr="00E13343">
              <w:rPr>
                <w:rFonts w:ascii="Verdana" w:hAnsi="Verdana" w:cs="Arial"/>
                <w:b/>
                <w:bCs/>
              </w:rPr>
              <w:t> %</w:t>
            </w:r>
          </w:p>
        </w:tc>
        <w:tc>
          <w:tcPr>
            <w:tcW w:w="1985" w:type="dxa"/>
            <w:tcBorders>
              <w:top w:val="single" w:sz="4" w:space="0" w:color="auto"/>
              <w:left w:val="single" w:sz="4" w:space="0" w:color="auto"/>
              <w:bottom w:val="single" w:sz="4" w:space="0" w:color="auto"/>
              <w:right w:val="single" w:sz="4" w:space="0" w:color="auto"/>
            </w:tcBorders>
          </w:tcPr>
          <w:p w:rsidR="00716FB5" w:rsidRPr="00B514A1" w:rsidRDefault="00716FB5" w:rsidP="00956D71">
            <w:pPr>
              <w:tabs>
                <w:tab w:val="left" w:pos="360"/>
              </w:tabs>
              <w:jc w:val="center"/>
              <w:rPr>
                <w:rFonts w:ascii="Verdana" w:hAnsi="Verdana" w:cs="Arial"/>
                <w:b/>
                <w:bCs/>
                <w:highlight w:val="yellow"/>
              </w:rPr>
            </w:pPr>
          </w:p>
          <w:p w:rsidR="00716FB5" w:rsidRPr="00B514A1" w:rsidRDefault="00716FB5" w:rsidP="00956D71">
            <w:pPr>
              <w:tabs>
                <w:tab w:val="left" w:pos="360"/>
              </w:tabs>
              <w:jc w:val="center"/>
              <w:rPr>
                <w:rFonts w:ascii="Verdana" w:hAnsi="Verdana" w:cs="Arial"/>
                <w:b/>
                <w:bCs/>
                <w:highlight w:val="yellow"/>
              </w:rPr>
            </w:pPr>
            <w:r w:rsidRPr="00B514A1">
              <w:rPr>
                <w:rFonts w:ascii="Verdana" w:hAnsi="Verdana" w:cs="Arial"/>
                <w:b/>
                <w:bCs/>
              </w:rPr>
              <w:t>18,6 %</w:t>
            </w:r>
          </w:p>
        </w:tc>
      </w:tr>
      <w:tr w:rsidR="00716FB5" w:rsidRPr="00B514A1" w:rsidTr="00716FB5">
        <w:trPr>
          <w:jc w:val="center"/>
        </w:trPr>
        <w:tc>
          <w:tcPr>
            <w:tcW w:w="3227" w:type="dxa"/>
            <w:tcBorders>
              <w:top w:val="single" w:sz="4" w:space="0" w:color="auto"/>
              <w:left w:val="single" w:sz="4" w:space="0" w:color="auto"/>
              <w:bottom w:val="single" w:sz="4" w:space="0" w:color="auto"/>
              <w:right w:val="single" w:sz="4" w:space="0" w:color="auto"/>
            </w:tcBorders>
          </w:tcPr>
          <w:p w:rsidR="00716FB5" w:rsidRPr="00B514A1" w:rsidRDefault="00716FB5" w:rsidP="000B67C5">
            <w:pPr>
              <w:tabs>
                <w:tab w:val="left" w:pos="360"/>
              </w:tabs>
              <w:rPr>
                <w:rFonts w:ascii="Arial" w:hAnsi="Arial" w:cs="Arial"/>
                <w:bCs/>
                <w:smallCaps/>
              </w:rPr>
            </w:pPr>
          </w:p>
          <w:p w:rsidR="00716FB5" w:rsidRPr="00B514A1" w:rsidRDefault="00E92682" w:rsidP="000B67C5">
            <w:pPr>
              <w:tabs>
                <w:tab w:val="left" w:pos="360"/>
              </w:tabs>
              <w:rPr>
                <w:rFonts w:ascii="Arial" w:hAnsi="Arial" w:cs="Arial"/>
                <w:bCs/>
                <w:smallCaps/>
              </w:rPr>
            </w:pPr>
            <w:r>
              <w:rPr>
                <w:rFonts w:ascii="Arial" w:hAnsi="Arial" w:cs="Arial"/>
                <w:bCs/>
                <w:smallCaps/>
              </w:rPr>
              <w:t>Produits et charges</w:t>
            </w:r>
            <w:r w:rsidR="00523B50">
              <w:rPr>
                <w:rFonts w:ascii="Arial" w:hAnsi="Arial" w:cs="Arial"/>
                <w:bCs/>
                <w:smallCaps/>
              </w:rPr>
              <w:t xml:space="preserve"> </w:t>
            </w:r>
            <w:r>
              <w:rPr>
                <w:rFonts w:ascii="Arial" w:hAnsi="Arial" w:cs="Arial"/>
                <w:bCs/>
                <w:smallCaps/>
              </w:rPr>
              <w:t>opérationnels</w:t>
            </w:r>
            <w:r w:rsidR="00523B50">
              <w:rPr>
                <w:rFonts w:ascii="Arial" w:hAnsi="Arial" w:cs="Arial"/>
                <w:bCs/>
                <w:smallCaps/>
              </w:rPr>
              <w:t xml:space="preserve"> hors </w:t>
            </w:r>
            <w:r>
              <w:rPr>
                <w:rFonts w:ascii="Arial" w:hAnsi="Arial" w:cs="Arial"/>
                <w:bCs/>
                <w:smallCaps/>
              </w:rPr>
              <w:t>activités</w:t>
            </w:r>
            <w:r w:rsidR="00523B50">
              <w:rPr>
                <w:rFonts w:ascii="Arial" w:hAnsi="Arial" w:cs="Arial"/>
                <w:bCs/>
                <w:smallCaps/>
              </w:rPr>
              <w:t xml:space="preserve"> courantes</w:t>
            </w:r>
          </w:p>
        </w:tc>
        <w:tc>
          <w:tcPr>
            <w:tcW w:w="2126" w:type="dxa"/>
            <w:tcBorders>
              <w:top w:val="single" w:sz="4" w:space="0" w:color="auto"/>
              <w:left w:val="single" w:sz="4" w:space="0" w:color="auto"/>
              <w:bottom w:val="single" w:sz="4" w:space="0" w:color="auto"/>
              <w:right w:val="single" w:sz="4" w:space="0" w:color="auto"/>
            </w:tcBorders>
          </w:tcPr>
          <w:p w:rsidR="00716FB5" w:rsidRPr="00523B50" w:rsidRDefault="00716FB5" w:rsidP="00DE753A">
            <w:pPr>
              <w:tabs>
                <w:tab w:val="left" w:pos="360"/>
              </w:tabs>
              <w:jc w:val="center"/>
              <w:rPr>
                <w:rFonts w:ascii="Verdana" w:hAnsi="Verdana" w:cs="Arial"/>
                <w:b/>
                <w:bCs/>
              </w:rPr>
            </w:pPr>
          </w:p>
          <w:p w:rsidR="00FE6CFE" w:rsidRDefault="00FE6CFE" w:rsidP="00A41995">
            <w:pPr>
              <w:tabs>
                <w:tab w:val="left" w:pos="360"/>
              </w:tabs>
              <w:jc w:val="center"/>
              <w:rPr>
                <w:rFonts w:ascii="Verdana" w:hAnsi="Verdana" w:cs="Arial"/>
                <w:b/>
                <w:bCs/>
              </w:rPr>
            </w:pPr>
          </w:p>
          <w:p w:rsidR="00716FB5" w:rsidRPr="00523B50" w:rsidRDefault="00523B50" w:rsidP="00A41995">
            <w:pPr>
              <w:tabs>
                <w:tab w:val="left" w:pos="360"/>
              </w:tabs>
              <w:jc w:val="center"/>
              <w:rPr>
                <w:rFonts w:ascii="Verdana" w:hAnsi="Verdana" w:cs="Arial"/>
                <w:b/>
                <w:bCs/>
              </w:rPr>
            </w:pPr>
            <w:r w:rsidRPr="00523B50">
              <w:rPr>
                <w:rFonts w:ascii="Verdana" w:hAnsi="Verdana" w:cs="Arial"/>
                <w:b/>
                <w:bCs/>
              </w:rPr>
              <w:t>99</w:t>
            </w:r>
          </w:p>
        </w:tc>
        <w:tc>
          <w:tcPr>
            <w:tcW w:w="1985" w:type="dxa"/>
            <w:tcBorders>
              <w:top w:val="single" w:sz="4" w:space="0" w:color="auto"/>
              <w:left w:val="single" w:sz="4" w:space="0" w:color="auto"/>
              <w:bottom w:val="single" w:sz="4" w:space="0" w:color="auto"/>
              <w:right w:val="single" w:sz="4" w:space="0" w:color="auto"/>
            </w:tcBorders>
          </w:tcPr>
          <w:p w:rsidR="00716FB5" w:rsidRPr="000B67C5" w:rsidRDefault="00716FB5" w:rsidP="00956D71">
            <w:pPr>
              <w:tabs>
                <w:tab w:val="left" w:pos="360"/>
              </w:tabs>
              <w:jc w:val="center"/>
              <w:rPr>
                <w:rFonts w:ascii="Verdana" w:hAnsi="Verdana" w:cs="Arial"/>
                <w:b/>
                <w:bCs/>
              </w:rPr>
            </w:pPr>
          </w:p>
          <w:p w:rsidR="00FE6CFE" w:rsidRDefault="00FE6CFE" w:rsidP="00956D71">
            <w:pPr>
              <w:tabs>
                <w:tab w:val="left" w:pos="360"/>
              </w:tabs>
              <w:jc w:val="center"/>
              <w:rPr>
                <w:rFonts w:ascii="Verdana" w:hAnsi="Verdana" w:cs="Arial"/>
                <w:b/>
                <w:bCs/>
              </w:rPr>
            </w:pPr>
          </w:p>
          <w:p w:rsidR="00716FB5" w:rsidRPr="000B67C5" w:rsidRDefault="00716FB5" w:rsidP="00956D71">
            <w:pPr>
              <w:tabs>
                <w:tab w:val="left" w:pos="360"/>
              </w:tabs>
              <w:jc w:val="center"/>
              <w:rPr>
                <w:rFonts w:ascii="Verdana" w:hAnsi="Verdana" w:cs="Arial"/>
                <w:b/>
                <w:bCs/>
              </w:rPr>
            </w:pPr>
            <w:r w:rsidRPr="000B67C5">
              <w:rPr>
                <w:rFonts w:ascii="Verdana" w:hAnsi="Verdana" w:cs="Arial"/>
                <w:b/>
                <w:bCs/>
              </w:rPr>
              <w:t>- 370</w:t>
            </w:r>
          </w:p>
        </w:tc>
      </w:tr>
      <w:tr w:rsidR="00716FB5" w:rsidRPr="00B514A1" w:rsidTr="00716FB5">
        <w:trPr>
          <w:jc w:val="center"/>
        </w:trPr>
        <w:tc>
          <w:tcPr>
            <w:tcW w:w="3227" w:type="dxa"/>
            <w:tcBorders>
              <w:top w:val="single" w:sz="4" w:space="0" w:color="auto"/>
              <w:left w:val="single" w:sz="4" w:space="0" w:color="auto"/>
              <w:bottom w:val="single" w:sz="4" w:space="0" w:color="auto"/>
              <w:right w:val="single" w:sz="4" w:space="0" w:color="auto"/>
            </w:tcBorders>
          </w:tcPr>
          <w:p w:rsidR="00716FB5" w:rsidRPr="00B514A1" w:rsidRDefault="00716FB5" w:rsidP="00280CEC">
            <w:pPr>
              <w:tabs>
                <w:tab w:val="left" w:pos="360"/>
              </w:tabs>
              <w:rPr>
                <w:rFonts w:ascii="Arial" w:hAnsi="Arial" w:cs="Arial"/>
                <w:bCs/>
                <w:smallCaps/>
              </w:rPr>
            </w:pPr>
          </w:p>
          <w:p w:rsidR="00716FB5" w:rsidRPr="00B514A1" w:rsidRDefault="00716FB5" w:rsidP="005E71A7">
            <w:pPr>
              <w:tabs>
                <w:tab w:val="left" w:pos="360"/>
              </w:tabs>
              <w:rPr>
                <w:rFonts w:ascii="Arial" w:hAnsi="Arial" w:cs="Arial"/>
                <w:bCs/>
                <w:smallCaps/>
              </w:rPr>
            </w:pPr>
            <w:r w:rsidRPr="00B514A1">
              <w:rPr>
                <w:rFonts w:ascii="Arial" w:hAnsi="Arial" w:cs="Arial"/>
                <w:bCs/>
                <w:smallCaps/>
              </w:rPr>
              <w:t xml:space="preserve">Résultat opérationnel </w:t>
            </w:r>
          </w:p>
        </w:tc>
        <w:tc>
          <w:tcPr>
            <w:tcW w:w="2126" w:type="dxa"/>
            <w:tcBorders>
              <w:top w:val="single" w:sz="4" w:space="0" w:color="auto"/>
              <w:left w:val="single" w:sz="4" w:space="0" w:color="auto"/>
              <w:bottom w:val="single" w:sz="4" w:space="0" w:color="auto"/>
              <w:right w:val="single" w:sz="4" w:space="0" w:color="auto"/>
            </w:tcBorders>
          </w:tcPr>
          <w:p w:rsidR="00716FB5" w:rsidRPr="00523B50" w:rsidRDefault="00716FB5" w:rsidP="00280CEC">
            <w:pPr>
              <w:tabs>
                <w:tab w:val="left" w:pos="360"/>
              </w:tabs>
              <w:jc w:val="center"/>
              <w:rPr>
                <w:rFonts w:ascii="Verdana" w:hAnsi="Verdana" w:cs="Arial"/>
                <w:b/>
                <w:bCs/>
              </w:rPr>
            </w:pPr>
          </w:p>
          <w:p w:rsidR="00716FB5" w:rsidRPr="00523B50" w:rsidRDefault="00716FB5" w:rsidP="00523B50">
            <w:pPr>
              <w:tabs>
                <w:tab w:val="left" w:pos="360"/>
              </w:tabs>
              <w:jc w:val="center"/>
              <w:rPr>
                <w:rFonts w:ascii="Verdana" w:hAnsi="Verdana" w:cs="Arial"/>
                <w:b/>
                <w:bCs/>
              </w:rPr>
            </w:pPr>
            <w:r w:rsidRPr="00523B50">
              <w:rPr>
                <w:rFonts w:ascii="Verdana" w:hAnsi="Verdana" w:cs="Arial"/>
                <w:b/>
                <w:bCs/>
              </w:rPr>
              <w:t>2 </w:t>
            </w:r>
            <w:r w:rsidR="00523B50" w:rsidRPr="00523B50">
              <w:rPr>
                <w:rFonts w:ascii="Verdana" w:hAnsi="Verdana" w:cs="Arial"/>
                <w:b/>
                <w:bCs/>
              </w:rPr>
              <w:t>791</w:t>
            </w:r>
          </w:p>
        </w:tc>
        <w:tc>
          <w:tcPr>
            <w:tcW w:w="1985" w:type="dxa"/>
            <w:tcBorders>
              <w:top w:val="single" w:sz="4" w:space="0" w:color="auto"/>
              <w:left w:val="single" w:sz="4" w:space="0" w:color="auto"/>
              <w:bottom w:val="single" w:sz="4" w:space="0" w:color="auto"/>
              <w:right w:val="single" w:sz="4" w:space="0" w:color="auto"/>
            </w:tcBorders>
          </w:tcPr>
          <w:p w:rsidR="00716FB5" w:rsidRPr="00B514A1" w:rsidRDefault="00716FB5" w:rsidP="00956D71">
            <w:pPr>
              <w:tabs>
                <w:tab w:val="left" w:pos="360"/>
              </w:tabs>
              <w:jc w:val="center"/>
              <w:rPr>
                <w:rFonts w:ascii="Verdana" w:hAnsi="Verdana" w:cs="Arial"/>
                <w:b/>
                <w:bCs/>
              </w:rPr>
            </w:pPr>
          </w:p>
          <w:p w:rsidR="00716FB5" w:rsidRPr="00B514A1" w:rsidRDefault="00716FB5" w:rsidP="00956D71">
            <w:pPr>
              <w:tabs>
                <w:tab w:val="left" w:pos="360"/>
              </w:tabs>
              <w:jc w:val="center"/>
              <w:rPr>
                <w:rFonts w:ascii="Verdana" w:hAnsi="Verdana" w:cs="Arial"/>
                <w:b/>
                <w:bCs/>
              </w:rPr>
            </w:pPr>
            <w:r w:rsidRPr="00B514A1">
              <w:rPr>
                <w:rFonts w:ascii="Verdana" w:hAnsi="Verdana" w:cs="Arial"/>
                <w:b/>
                <w:bCs/>
              </w:rPr>
              <w:t>2 207</w:t>
            </w:r>
          </w:p>
        </w:tc>
      </w:tr>
      <w:tr w:rsidR="00716FB5" w:rsidRPr="00B514A1" w:rsidTr="00716FB5">
        <w:trPr>
          <w:jc w:val="center"/>
        </w:trPr>
        <w:tc>
          <w:tcPr>
            <w:tcW w:w="3227" w:type="dxa"/>
            <w:tcBorders>
              <w:top w:val="single" w:sz="4" w:space="0" w:color="auto"/>
              <w:left w:val="single" w:sz="4" w:space="0" w:color="auto"/>
              <w:bottom w:val="single" w:sz="4" w:space="0" w:color="auto"/>
              <w:right w:val="single" w:sz="4" w:space="0" w:color="auto"/>
            </w:tcBorders>
          </w:tcPr>
          <w:p w:rsidR="00716FB5" w:rsidRPr="00B514A1" w:rsidRDefault="00716FB5" w:rsidP="00280CEC">
            <w:pPr>
              <w:tabs>
                <w:tab w:val="left" w:pos="360"/>
              </w:tabs>
              <w:rPr>
                <w:rFonts w:ascii="Arial" w:hAnsi="Arial" w:cs="Arial"/>
                <w:bCs/>
                <w:smallCaps/>
              </w:rPr>
            </w:pPr>
          </w:p>
          <w:p w:rsidR="00716FB5" w:rsidRPr="00B514A1" w:rsidRDefault="00716FB5" w:rsidP="00280CEC">
            <w:pPr>
              <w:tabs>
                <w:tab w:val="left" w:pos="360"/>
              </w:tabs>
              <w:rPr>
                <w:rFonts w:ascii="Arial" w:hAnsi="Arial" w:cs="Arial"/>
                <w:bCs/>
                <w:smallCaps/>
              </w:rPr>
            </w:pPr>
            <w:r w:rsidRPr="00B514A1">
              <w:rPr>
                <w:rFonts w:ascii="Arial" w:hAnsi="Arial" w:cs="Arial"/>
                <w:bCs/>
                <w:smallCaps/>
              </w:rPr>
              <w:t xml:space="preserve">Résultat net </w:t>
            </w:r>
          </w:p>
        </w:tc>
        <w:tc>
          <w:tcPr>
            <w:tcW w:w="2126" w:type="dxa"/>
            <w:tcBorders>
              <w:top w:val="single" w:sz="4" w:space="0" w:color="auto"/>
              <w:left w:val="single" w:sz="4" w:space="0" w:color="auto"/>
              <w:bottom w:val="single" w:sz="4" w:space="0" w:color="auto"/>
              <w:right w:val="single" w:sz="4" w:space="0" w:color="auto"/>
            </w:tcBorders>
          </w:tcPr>
          <w:p w:rsidR="00716FB5" w:rsidRPr="00523B50" w:rsidRDefault="00716FB5" w:rsidP="00280CEC">
            <w:pPr>
              <w:tabs>
                <w:tab w:val="left" w:pos="360"/>
              </w:tabs>
              <w:jc w:val="center"/>
              <w:rPr>
                <w:rFonts w:ascii="Verdana" w:hAnsi="Verdana" w:cs="Arial"/>
                <w:b/>
                <w:bCs/>
              </w:rPr>
            </w:pPr>
          </w:p>
          <w:p w:rsidR="00716FB5" w:rsidRPr="00523B50" w:rsidRDefault="00716FB5" w:rsidP="00523B50">
            <w:pPr>
              <w:tabs>
                <w:tab w:val="left" w:pos="360"/>
              </w:tabs>
              <w:jc w:val="center"/>
              <w:rPr>
                <w:rFonts w:ascii="Verdana" w:hAnsi="Verdana" w:cs="Arial"/>
                <w:b/>
                <w:bCs/>
              </w:rPr>
            </w:pPr>
            <w:r w:rsidRPr="00523B50">
              <w:rPr>
                <w:rFonts w:ascii="Verdana" w:hAnsi="Verdana" w:cs="Arial"/>
                <w:b/>
                <w:bCs/>
              </w:rPr>
              <w:t>1 </w:t>
            </w:r>
            <w:r w:rsidR="00523B50" w:rsidRPr="00523B50">
              <w:rPr>
                <w:rFonts w:ascii="Verdana" w:hAnsi="Verdana" w:cs="Arial"/>
                <w:b/>
                <w:bCs/>
              </w:rPr>
              <w:t>667</w:t>
            </w:r>
          </w:p>
        </w:tc>
        <w:tc>
          <w:tcPr>
            <w:tcW w:w="1985" w:type="dxa"/>
            <w:tcBorders>
              <w:top w:val="single" w:sz="4" w:space="0" w:color="auto"/>
              <w:left w:val="single" w:sz="4" w:space="0" w:color="auto"/>
              <w:bottom w:val="single" w:sz="4" w:space="0" w:color="auto"/>
              <w:right w:val="single" w:sz="4" w:space="0" w:color="auto"/>
            </w:tcBorders>
          </w:tcPr>
          <w:p w:rsidR="00716FB5" w:rsidRPr="00B514A1" w:rsidRDefault="00716FB5" w:rsidP="00956D71">
            <w:pPr>
              <w:tabs>
                <w:tab w:val="left" w:pos="360"/>
              </w:tabs>
              <w:jc w:val="center"/>
              <w:rPr>
                <w:rFonts w:ascii="Verdana" w:hAnsi="Verdana" w:cs="Arial"/>
                <w:b/>
                <w:bCs/>
              </w:rPr>
            </w:pPr>
          </w:p>
          <w:p w:rsidR="00716FB5" w:rsidRPr="00B514A1" w:rsidRDefault="00716FB5" w:rsidP="00956D71">
            <w:pPr>
              <w:tabs>
                <w:tab w:val="left" w:pos="360"/>
              </w:tabs>
              <w:jc w:val="center"/>
              <w:rPr>
                <w:rFonts w:ascii="Verdana" w:hAnsi="Verdana" w:cs="Arial"/>
                <w:b/>
                <w:bCs/>
              </w:rPr>
            </w:pPr>
            <w:r w:rsidRPr="00B514A1">
              <w:rPr>
                <w:rFonts w:ascii="Verdana" w:hAnsi="Verdana" w:cs="Arial"/>
                <w:b/>
                <w:bCs/>
              </w:rPr>
              <w:t>1 163</w:t>
            </w:r>
          </w:p>
        </w:tc>
      </w:tr>
      <w:tr w:rsidR="00716FB5" w:rsidRPr="00B514A1" w:rsidTr="00716FB5">
        <w:trPr>
          <w:jc w:val="center"/>
        </w:trPr>
        <w:tc>
          <w:tcPr>
            <w:tcW w:w="3227" w:type="dxa"/>
            <w:tcBorders>
              <w:top w:val="single" w:sz="4" w:space="0" w:color="auto"/>
              <w:left w:val="single" w:sz="4" w:space="0" w:color="auto"/>
              <w:bottom w:val="single" w:sz="4" w:space="0" w:color="auto"/>
              <w:right w:val="single" w:sz="4" w:space="0" w:color="auto"/>
            </w:tcBorders>
          </w:tcPr>
          <w:p w:rsidR="00716FB5" w:rsidRPr="00B514A1" w:rsidRDefault="00716FB5" w:rsidP="00DE753A">
            <w:pPr>
              <w:tabs>
                <w:tab w:val="left" w:pos="360"/>
              </w:tabs>
              <w:rPr>
                <w:rFonts w:ascii="Arial" w:hAnsi="Arial" w:cs="Arial"/>
                <w:bCs/>
                <w:smallCaps/>
              </w:rPr>
            </w:pPr>
          </w:p>
          <w:p w:rsidR="00716FB5" w:rsidRPr="00B514A1" w:rsidRDefault="00716FB5" w:rsidP="00A41995">
            <w:pPr>
              <w:tabs>
                <w:tab w:val="left" w:pos="360"/>
              </w:tabs>
              <w:rPr>
                <w:rFonts w:ascii="Arial" w:hAnsi="Arial" w:cs="Arial"/>
                <w:bCs/>
                <w:smallCaps/>
              </w:rPr>
            </w:pPr>
            <w:r w:rsidRPr="00705D04">
              <w:rPr>
                <w:rFonts w:ascii="Arial" w:hAnsi="Arial" w:cs="Arial"/>
                <w:bCs/>
                <w:smallCaps/>
              </w:rPr>
              <w:t xml:space="preserve">EBITDA </w:t>
            </w:r>
            <w:r w:rsidR="00705D04" w:rsidRPr="00705D04">
              <w:rPr>
                <w:rFonts w:ascii="Arial" w:hAnsi="Arial" w:cs="Arial"/>
                <w:bCs/>
                <w:smallCaps/>
              </w:rPr>
              <w:t>sur activités courantes</w:t>
            </w:r>
          </w:p>
        </w:tc>
        <w:tc>
          <w:tcPr>
            <w:tcW w:w="2126" w:type="dxa"/>
            <w:tcBorders>
              <w:top w:val="single" w:sz="4" w:space="0" w:color="auto"/>
              <w:left w:val="single" w:sz="4" w:space="0" w:color="auto"/>
              <w:bottom w:val="single" w:sz="4" w:space="0" w:color="auto"/>
              <w:right w:val="single" w:sz="4" w:space="0" w:color="auto"/>
            </w:tcBorders>
          </w:tcPr>
          <w:p w:rsidR="00716FB5" w:rsidRPr="00523B50" w:rsidRDefault="00716FB5" w:rsidP="00DE753A">
            <w:pPr>
              <w:tabs>
                <w:tab w:val="left" w:pos="360"/>
              </w:tabs>
              <w:jc w:val="center"/>
              <w:rPr>
                <w:rFonts w:ascii="Verdana" w:hAnsi="Verdana" w:cs="Arial"/>
                <w:b/>
                <w:bCs/>
              </w:rPr>
            </w:pPr>
          </w:p>
          <w:p w:rsidR="00716FB5" w:rsidRPr="00523B50" w:rsidRDefault="00523B50" w:rsidP="00523B50">
            <w:pPr>
              <w:tabs>
                <w:tab w:val="left" w:pos="360"/>
              </w:tabs>
              <w:jc w:val="center"/>
              <w:rPr>
                <w:rFonts w:ascii="Verdana" w:hAnsi="Verdana" w:cs="Arial"/>
                <w:b/>
                <w:bCs/>
              </w:rPr>
            </w:pPr>
            <w:r w:rsidRPr="00523B50">
              <w:rPr>
                <w:rFonts w:ascii="Verdana" w:hAnsi="Verdana" w:cs="Arial"/>
                <w:b/>
                <w:bCs/>
              </w:rPr>
              <w:t>4 084</w:t>
            </w:r>
          </w:p>
        </w:tc>
        <w:tc>
          <w:tcPr>
            <w:tcW w:w="1985" w:type="dxa"/>
            <w:tcBorders>
              <w:top w:val="single" w:sz="4" w:space="0" w:color="auto"/>
              <w:left w:val="single" w:sz="4" w:space="0" w:color="auto"/>
              <w:bottom w:val="single" w:sz="4" w:space="0" w:color="auto"/>
              <w:right w:val="single" w:sz="4" w:space="0" w:color="auto"/>
            </w:tcBorders>
          </w:tcPr>
          <w:p w:rsidR="00716FB5" w:rsidRPr="00B514A1" w:rsidRDefault="00716FB5" w:rsidP="00956D71">
            <w:pPr>
              <w:tabs>
                <w:tab w:val="left" w:pos="360"/>
              </w:tabs>
              <w:jc w:val="center"/>
              <w:rPr>
                <w:rFonts w:ascii="Verdana" w:hAnsi="Verdana" w:cs="Arial"/>
                <w:b/>
                <w:bCs/>
              </w:rPr>
            </w:pPr>
          </w:p>
          <w:p w:rsidR="00716FB5" w:rsidRPr="00B514A1" w:rsidRDefault="00716FB5" w:rsidP="00956D71">
            <w:pPr>
              <w:tabs>
                <w:tab w:val="left" w:pos="360"/>
              </w:tabs>
              <w:jc w:val="center"/>
              <w:rPr>
                <w:rFonts w:ascii="Verdana" w:hAnsi="Verdana" w:cs="Arial"/>
                <w:b/>
                <w:bCs/>
              </w:rPr>
            </w:pPr>
            <w:r>
              <w:rPr>
                <w:rFonts w:ascii="Verdana" w:hAnsi="Verdana" w:cs="Arial"/>
                <w:b/>
                <w:bCs/>
              </w:rPr>
              <w:t>3</w:t>
            </w:r>
            <w:r w:rsidRPr="00B514A1">
              <w:rPr>
                <w:rFonts w:ascii="Verdana" w:hAnsi="Verdana" w:cs="Arial"/>
                <w:b/>
                <w:bCs/>
              </w:rPr>
              <w:t> </w:t>
            </w:r>
            <w:r>
              <w:rPr>
                <w:rFonts w:ascii="Verdana" w:hAnsi="Verdana" w:cs="Arial"/>
                <w:b/>
                <w:bCs/>
              </w:rPr>
              <w:t>934</w:t>
            </w:r>
          </w:p>
        </w:tc>
      </w:tr>
      <w:tr w:rsidR="00716FB5" w:rsidRPr="00B514A1" w:rsidTr="00716FB5">
        <w:trPr>
          <w:jc w:val="center"/>
        </w:trPr>
        <w:tc>
          <w:tcPr>
            <w:tcW w:w="3227" w:type="dxa"/>
            <w:tcBorders>
              <w:top w:val="single" w:sz="4" w:space="0" w:color="auto"/>
              <w:left w:val="single" w:sz="4" w:space="0" w:color="auto"/>
              <w:bottom w:val="single" w:sz="4" w:space="0" w:color="auto"/>
              <w:right w:val="single" w:sz="4" w:space="0" w:color="auto"/>
            </w:tcBorders>
          </w:tcPr>
          <w:p w:rsidR="00716FB5" w:rsidRPr="00B514A1" w:rsidRDefault="00716FB5" w:rsidP="00280CEC">
            <w:pPr>
              <w:tabs>
                <w:tab w:val="left" w:pos="360"/>
              </w:tabs>
              <w:rPr>
                <w:rFonts w:ascii="Arial" w:hAnsi="Arial" w:cs="Arial"/>
                <w:bCs/>
                <w:smallCaps/>
              </w:rPr>
            </w:pPr>
          </w:p>
          <w:p w:rsidR="00716FB5" w:rsidRPr="00B514A1" w:rsidRDefault="00716FB5" w:rsidP="00280CEC">
            <w:pPr>
              <w:tabs>
                <w:tab w:val="left" w:pos="360"/>
              </w:tabs>
              <w:rPr>
                <w:rFonts w:ascii="Arial" w:hAnsi="Arial" w:cs="Arial"/>
                <w:bCs/>
                <w:smallCaps/>
              </w:rPr>
            </w:pPr>
            <w:r w:rsidRPr="00B514A1">
              <w:rPr>
                <w:rFonts w:ascii="Arial" w:hAnsi="Arial" w:cs="Arial"/>
                <w:bCs/>
                <w:smallCaps/>
              </w:rPr>
              <w:t>Investissements</w:t>
            </w:r>
          </w:p>
        </w:tc>
        <w:tc>
          <w:tcPr>
            <w:tcW w:w="2126" w:type="dxa"/>
            <w:tcBorders>
              <w:top w:val="single" w:sz="4" w:space="0" w:color="auto"/>
              <w:left w:val="single" w:sz="4" w:space="0" w:color="auto"/>
              <w:bottom w:val="single" w:sz="4" w:space="0" w:color="auto"/>
              <w:right w:val="single" w:sz="4" w:space="0" w:color="auto"/>
            </w:tcBorders>
          </w:tcPr>
          <w:p w:rsidR="00716FB5" w:rsidRPr="00523B50" w:rsidRDefault="00716FB5" w:rsidP="00280CEC">
            <w:pPr>
              <w:tabs>
                <w:tab w:val="left" w:pos="360"/>
              </w:tabs>
              <w:jc w:val="center"/>
              <w:rPr>
                <w:rFonts w:ascii="Verdana" w:hAnsi="Verdana" w:cs="Arial"/>
                <w:b/>
                <w:bCs/>
                <w:highlight w:val="yellow"/>
              </w:rPr>
            </w:pPr>
          </w:p>
          <w:p w:rsidR="00716FB5" w:rsidRPr="00523B50" w:rsidRDefault="00716FB5" w:rsidP="0027069A">
            <w:pPr>
              <w:tabs>
                <w:tab w:val="left" w:pos="360"/>
              </w:tabs>
              <w:jc w:val="center"/>
              <w:rPr>
                <w:rFonts w:ascii="Verdana" w:hAnsi="Verdana" w:cs="Arial"/>
                <w:b/>
                <w:bCs/>
                <w:highlight w:val="yellow"/>
              </w:rPr>
            </w:pPr>
            <w:r w:rsidRPr="00523B50">
              <w:rPr>
                <w:rFonts w:ascii="Verdana" w:hAnsi="Verdana" w:cs="Arial"/>
                <w:b/>
                <w:bCs/>
              </w:rPr>
              <w:t>1 8</w:t>
            </w:r>
            <w:r w:rsidR="0027069A">
              <w:rPr>
                <w:rFonts w:ascii="Verdana" w:hAnsi="Verdana" w:cs="Arial"/>
                <w:b/>
                <w:bCs/>
              </w:rPr>
              <w:t>11</w:t>
            </w:r>
          </w:p>
        </w:tc>
        <w:tc>
          <w:tcPr>
            <w:tcW w:w="1985" w:type="dxa"/>
            <w:tcBorders>
              <w:top w:val="single" w:sz="4" w:space="0" w:color="auto"/>
              <w:left w:val="single" w:sz="4" w:space="0" w:color="auto"/>
              <w:bottom w:val="single" w:sz="4" w:space="0" w:color="auto"/>
              <w:right w:val="single" w:sz="4" w:space="0" w:color="auto"/>
            </w:tcBorders>
          </w:tcPr>
          <w:p w:rsidR="00716FB5" w:rsidRPr="00B514A1" w:rsidRDefault="00716FB5" w:rsidP="00956D71">
            <w:pPr>
              <w:tabs>
                <w:tab w:val="left" w:pos="360"/>
              </w:tabs>
              <w:jc w:val="center"/>
              <w:rPr>
                <w:rFonts w:ascii="Verdana" w:hAnsi="Verdana" w:cs="Arial"/>
                <w:b/>
                <w:bCs/>
                <w:highlight w:val="yellow"/>
              </w:rPr>
            </w:pPr>
          </w:p>
          <w:p w:rsidR="00716FB5" w:rsidRPr="00B514A1" w:rsidRDefault="00716FB5" w:rsidP="00956D71">
            <w:pPr>
              <w:tabs>
                <w:tab w:val="left" w:pos="360"/>
              </w:tabs>
              <w:jc w:val="center"/>
              <w:rPr>
                <w:rFonts w:ascii="Verdana" w:hAnsi="Verdana" w:cs="Arial"/>
                <w:b/>
                <w:bCs/>
                <w:highlight w:val="yellow"/>
              </w:rPr>
            </w:pPr>
            <w:r w:rsidRPr="00B514A1">
              <w:rPr>
                <w:rFonts w:ascii="Verdana" w:hAnsi="Verdana" w:cs="Arial"/>
                <w:b/>
                <w:bCs/>
              </w:rPr>
              <w:t>1 804</w:t>
            </w:r>
          </w:p>
        </w:tc>
      </w:tr>
      <w:tr w:rsidR="00716FB5" w:rsidRPr="00B514A1" w:rsidTr="00716FB5">
        <w:trPr>
          <w:jc w:val="center"/>
        </w:trPr>
        <w:tc>
          <w:tcPr>
            <w:tcW w:w="3227" w:type="dxa"/>
            <w:tcBorders>
              <w:top w:val="single" w:sz="4" w:space="0" w:color="auto"/>
              <w:left w:val="single" w:sz="4" w:space="0" w:color="auto"/>
              <w:bottom w:val="single" w:sz="4" w:space="0" w:color="auto"/>
              <w:right w:val="single" w:sz="4" w:space="0" w:color="auto"/>
            </w:tcBorders>
          </w:tcPr>
          <w:p w:rsidR="00716FB5" w:rsidRPr="00B514A1" w:rsidRDefault="00716FB5" w:rsidP="00280CEC">
            <w:pPr>
              <w:tabs>
                <w:tab w:val="left" w:pos="360"/>
              </w:tabs>
              <w:rPr>
                <w:rFonts w:ascii="Arial" w:hAnsi="Arial" w:cs="Arial"/>
                <w:bCs/>
                <w:smallCaps/>
              </w:rPr>
            </w:pPr>
          </w:p>
          <w:p w:rsidR="00716FB5" w:rsidRPr="00B514A1" w:rsidRDefault="00716FB5" w:rsidP="00280CEC">
            <w:pPr>
              <w:tabs>
                <w:tab w:val="left" w:pos="360"/>
              </w:tabs>
              <w:rPr>
                <w:rFonts w:ascii="Arial" w:hAnsi="Arial" w:cs="Arial"/>
                <w:bCs/>
                <w:smallCaps/>
              </w:rPr>
            </w:pPr>
            <w:r w:rsidRPr="00B514A1">
              <w:rPr>
                <w:rFonts w:ascii="Arial" w:hAnsi="Arial" w:cs="Arial"/>
                <w:bCs/>
                <w:smallCaps/>
              </w:rPr>
              <w:t>Endettement net</w:t>
            </w:r>
          </w:p>
        </w:tc>
        <w:tc>
          <w:tcPr>
            <w:tcW w:w="2126" w:type="dxa"/>
            <w:tcBorders>
              <w:top w:val="single" w:sz="4" w:space="0" w:color="auto"/>
              <w:left w:val="single" w:sz="4" w:space="0" w:color="auto"/>
              <w:bottom w:val="single" w:sz="4" w:space="0" w:color="auto"/>
              <w:right w:val="single" w:sz="4" w:space="0" w:color="auto"/>
            </w:tcBorders>
          </w:tcPr>
          <w:p w:rsidR="00716FB5" w:rsidRPr="00523B50" w:rsidRDefault="00716FB5" w:rsidP="00280CEC">
            <w:pPr>
              <w:tabs>
                <w:tab w:val="left" w:pos="360"/>
              </w:tabs>
              <w:jc w:val="center"/>
              <w:rPr>
                <w:rFonts w:ascii="Verdana" w:hAnsi="Verdana" w:cs="Arial"/>
                <w:b/>
                <w:bCs/>
                <w:highlight w:val="yellow"/>
              </w:rPr>
            </w:pPr>
          </w:p>
          <w:p w:rsidR="00716FB5" w:rsidRPr="00523B50" w:rsidRDefault="00DD277A" w:rsidP="00DD277A">
            <w:pPr>
              <w:tabs>
                <w:tab w:val="left" w:pos="360"/>
              </w:tabs>
              <w:jc w:val="center"/>
              <w:rPr>
                <w:rFonts w:ascii="Verdana" w:hAnsi="Verdana" w:cs="Arial"/>
                <w:b/>
                <w:bCs/>
                <w:highlight w:val="yellow"/>
              </w:rPr>
            </w:pPr>
            <w:r>
              <w:rPr>
                <w:rFonts w:ascii="Verdana" w:hAnsi="Verdana" w:cs="Arial"/>
                <w:b/>
                <w:bCs/>
              </w:rPr>
              <w:t>944</w:t>
            </w:r>
          </w:p>
        </w:tc>
        <w:tc>
          <w:tcPr>
            <w:tcW w:w="1985" w:type="dxa"/>
            <w:tcBorders>
              <w:top w:val="single" w:sz="4" w:space="0" w:color="auto"/>
              <w:left w:val="single" w:sz="4" w:space="0" w:color="auto"/>
              <w:bottom w:val="single" w:sz="4" w:space="0" w:color="auto"/>
              <w:right w:val="single" w:sz="4" w:space="0" w:color="auto"/>
            </w:tcBorders>
          </w:tcPr>
          <w:p w:rsidR="00716FB5" w:rsidRPr="00B514A1" w:rsidRDefault="00716FB5" w:rsidP="00956D71">
            <w:pPr>
              <w:tabs>
                <w:tab w:val="left" w:pos="360"/>
              </w:tabs>
              <w:jc w:val="center"/>
              <w:rPr>
                <w:rFonts w:ascii="Verdana" w:hAnsi="Verdana" w:cs="Arial"/>
                <w:b/>
                <w:bCs/>
                <w:highlight w:val="yellow"/>
              </w:rPr>
            </w:pPr>
          </w:p>
          <w:p w:rsidR="00716FB5" w:rsidRPr="00B514A1" w:rsidRDefault="00716FB5" w:rsidP="00956D71">
            <w:pPr>
              <w:tabs>
                <w:tab w:val="left" w:pos="360"/>
              </w:tabs>
              <w:jc w:val="center"/>
              <w:rPr>
                <w:rFonts w:ascii="Verdana" w:hAnsi="Verdana" w:cs="Arial"/>
                <w:b/>
                <w:bCs/>
                <w:highlight w:val="yellow"/>
              </w:rPr>
            </w:pPr>
            <w:r w:rsidRPr="00B514A1">
              <w:rPr>
                <w:rFonts w:ascii="Verdana" w:hAnsi="Verdana" w:cs="Arial"/>
                <w:b/>
                <w:bCs/>
              </w:rPr>
              <w:t>1 008</w:t>
            </w:r>
          </w:p>
        </w:tc>
      </w:tr>
      <w:tr w:rsidR="00716FB5" w:rsidRPr="00B514A1" w:rsidTr="00716FB5">
        <w:trPr>
          <w:jc w:val="center"/>
        </w:trPr>
        <w:tc>
          <w:tcPr>
            <w:tcW w:w="3227" w:type="dxa"/>
            <w:tcBorders>
              <w:top w:val="single" w:sz="4" w:space="0" w:color="auto"/>
              <w:left w:val="single" w:sz="4" w:space="0" w:color="auto"/>
              <w:bottom w:val="single" w:sz="4" w:space="0" w:color="auto"/>
              <w:right w:val="single" w:sz="4" w:space="0" w:color="auto"/>
            </w:tcBorders>
          </w:tcPr>
          <w:p w:rsidR="00716FB5" w:rsidRPr="00B514A1" w:rsidRDefault="00716FB5" w:rsidP="00280CEC">
            <w:pPr>
              <w:tabs>
                <w:tab w:val="left" w:pos="360"/>
              </w:tabs>
              <w:rPr>
                <w:rFonts w:ascii="Arial" w:hAnsi="Arial" w:cs="Arial"/>
                <w:bCs/>
                <w:smallCaps/>
              </w:rPr>
            </w:pPr>
          </w:p>
          <w:p w:rsidR="00716FB5" w:rsidRPr="00B514A1" w:rsidRDefault="00716FB5" w:rsidP="00280CEC">
            <w:pPr>
              <w:tabs>
                <w:tab w:val="left" w:pos="360"/>
              </w:tabs>
              <w:rPr>
                <w:rFonts w:ascii="Arial" w:hAnsi="Arial" w:cs="Arial"/>
                <w:bCs/>
                <w:smallCaps/>
              </w:rPr>
            </w:pPr>
            <w:r w:rsidRPr="00B514A1">
              <w:rPr>
                <w:rFonts w:ascii="Arial" w:hAnsi="Arial" w:cs="Arial"/>
                <w:bCs/>
                <w:smallCaps/>
              </w:rPr>
              <w:t xml:space="preserve">Ratio d’endettement net </w:t>
            </w:r>
          </w:p>
        </w:tc>
        <w:tc>
          <w:tcPr>
            <w:tcW w:w="2126" w:type="dxa"/>
            <w:tcBorders>
              <w:top w:val="single" w:sz="4" w:space="0" w:color="auto"/>
              <w:left w:val="single" w:sz="4" w:space="0" w:color="auto"/>
              <w:bottom w:val="single" w:sz="4" w:space="0" w:color="auto"/>
              <w:right w:val="single" w:sz="4" w:space="0" w:color="auto"/>
            </w:tcBorders>
          </w:tcPr>
          <w:p w:rsidR="00716FB5" w:rsidRPr="00523B50" w:rsidRDefault="00716FB5" w:rsidP="00280CEC">
            <w:pPr>
              <w:tabs>
                <w:tab w:val="left" w:pos="360"/>
              </w:tabs>
              <w:jc w:val="center"/>
              <w:rPr>
                <w:rFonts w:ascii="Verdana" w:hAnsi="Verdana" w:cs="Arial"/>
                <w:b/>
                <w:bCs/>
                <w:highlight w:val="yellow"/>
              </w:rPr>
            </w:pPr>
          </w:p>
          <w:p w:rsidR="00716FB5" w:rsidRPr="00523B50" w:rsidRDefault="006F3BB1" w:rsidP="006F3BB1">
            <w:pPr>
              <w:tabs>
                <w:tab w:val="left" w:pos="360"/>
              </w:tabs>
              <w:jc w:val="center"/>
              <w:rPr>
                <w:rFonts w:ascii="Verdana" w:hAnsi="Verdana" w:cs="Arial"/>
                <w:b/>
                <w:bCs/>
                <w:highlight w:val="yellow"/>
              </w:rPr>
            </w:pPr>
            <w:r>
              <w:rPr>
                <w:rFonts w:ascii="Verdana" w:hAnsi="Verdana" w:cs="Arial"/>
                <w:b/>
                <w:bCs/>
              </w:rPr>
              <w:t>9</w:t>
            </w:r>
            <w:r w:rsidR="00716FB5" w:rsidRPr="00523B50">
              <w:rPr>
                <w:rFonts w:ascii="Verdana" w:hAnsi="Verdana" w:cs="Arial"/>
                <w:b/>
                <w:bCs/>
              </w:rPr>
              <w:t> %</w:t>
            </w:r>
          </w:p>
        </w:tc>
        <w:tc>
          <w:tcPr>
            <w:tcW w:w="1985" w:type="dxa"/>
            <w:tcBorders>
              <w:top w:val="single" w:sz="4" w:space="0" w:color="auto"/>
              <w:left w:val="single" w:sz="4" w:space="0" w:color="auto"/>
              <w:bottom w:val="single" w:sz="4" w:space="0" w:color="auto"/>
              <w:right w:val="single" w:sz="4" w:space="0" w:color="auto"/>
            </w:tcBorders>
          </w:tcPr>
          <w:p w:rsidR="00716FB5" w:rsidRPr="00B514A1" w:rsidRDefault="00716FB5" w:rsidP="00956D71">
            <w:pPr>
              <w:tabs>
                <w:tab w:val="left" w:pos="360"/>
              </w:tabs>
              <w:jc w:val="center"/>
              <w:rPr>
                <w:rFonts w:ascii="Verdana" w:hAnsi="Verdana" w:cs="Arial"/>
                <w:b/>
                <w:bCs/>
                <w:highlight w:val="yellow"/>
              </w:rPr>
            </w:pPr>
          </w:p>
          <w:p w:rsidR="00716FB5" w:rsidRPr="00B514A1" w:rsidRDefault="00716FB5" w:rsidP="00956D71">
            <w:pPr>
              <w:tabs>
                <w:tab w:val="left" w:pos="360"/>
              </w:tabs>
              <w:jc w:val="center"/>
              <w:rPr>
                <w:rFonts w:ascii="Verdana" w:hAnsi="Verdana" w:cs="Arial"/>
                <w:b/>
                <w:bCs/>
                <w:highlight w:val="yellow"/>
              </w:rPr>
            </w:pPr>
            <w:r w:rsidRPr="00B514A1">
              <w:rPr>
                <w:rFonts w:ascii="Verdana" w:hAnsi="Verdana" w:cs="Arial"/>
                <w:b/>
                <w:bCs/>
              </w:rPr>
              <w:t>11 %</w:t>
            </w:r>
          </w:p>
        </w:tc>
      </w:tr>
      <w:tr w:rsidR="00716FB5" w:rsidRPr="00B514A1" w:rsidTr="00716FB5">
        <w:trPr>
          <w:jc w:val="center"/>
        </w:trPr>
        <w:tc>
          <w:tcPr>
            <w:tcW w:w="3227" w:type="dxa"/>
            <w:tcBorders>
              <w:top w:val="single" w:sz="4" w:space="0" w:color="auto"/>
              <w:left w:val="single" w:sz="4" w:space="0" w:color="auto"/>
              <w:bottom w:val="single" w:sz="4" w:space="0" w:color="auto"/>
              <w:right w:val="single" w:sz="4" w:space="0" w:color="auto"/>
            </w:tcBorders>
          </w:tcPr>
          <w:p w:rsidR="00716FB5" w:rsidRPr="00B514A1" w:rsidRDefault="00716FB5" w:rsidP="00280CEC">
            <w:pPr>
              <w:tabs>
                <w:tab w:val="left" w:pos="360"/>
              </w:tabs>
              <w:rPr>
                <w:rFonts w:ascii="Arial" w:hAnsi="Arial" w:cs="Arial"/>
                <w:bCs/>
                <w:smallCaps/>
              </w:rPr>
            </w:pPr>
          </w:p>
          <w:p w:rsidR="00716FB5" w:rsidRPr="00B514A1" w:rsidRDefault="00716FB5" w:rsidP="00361B2C">
            <w:pPr>
              <w:tabs>
                <w:tab w:val="left" w:pos="360"/>
              </w:tabs>
              <w:rPr>
                <w:rFonts w:ascii="Arial" w:hAnsi="Arial" w:cs="Arial"/>
                <w:bCs/>
                <w:smallCaps/>
              </w:rPr>
            </w:pPr>
            <w:r w:rsidRPr="00B514A1">
              <w:rPr>
                <w:rFonts w:ascii="Arial" w:hAnsi="Arial" w:cs="Arial"/>
                <w:bCs/>
                <w:smallCaps/>
              </w:rPr>
              <w:t>Dett</w:t>
            </w:r>
            <w:r>
              <w:rPr>
                <w:rFonts w:ascii="Arial" w:hAnsi="Arial" w:cs="Arial"/>
                <w:bCs/>
                <w:smallCaps/>
              </w:rPr>
              <w:t>e sociale</w:t>
            </w:r>
            <w:r w:rsidRPr="00B514A1">
              <w:rPr>
                <w:rFonts w:ascii="Arial" w:hAnsi="Arial" w:cs="Arial"/>
                <w:bCs/>
                <w:smallCaps/>
              </w:rPr>
              <w:t xml:space="preserve">  </w:t>
            </w:r>
          </w:p>
        </w:tc>
        <w:tc>
          <w:tcPr>
            <w:tcW w:w="2126" w:type="dxa"/>
            <w:tcBorders>
              <w:top w:val="single" w:sz="4" w:space="0" w:color="auto"/>
              <w:left w:val="single" w:sz="4" w:space="0" w:color="auto"/>
              <w:bottom w:val="single" w:sz="4" w:space="0" w:color="auto"/>
              <w:right w:val="single" w:sz="4" w:space="0" w:color="auto"/>
            </w:tcBorders>
          </w:tcPr>
          <w:p w:rsidR="00716FB5" w:rsidRPr="00523B50" w:rsidRDefault="00716FB5" w:rsidP="00280CEC">
            <w:pPr>
              <w:tabs>
                <w:tab w:val="left" w:pos="360"/>
              </w:tabs>
              <w:jc w:val="center"/>
              <w:rPr>
                <w:rFonts w:ascii="Verdana" w:hAnsi="Verdana" w:cs="Arial"/>
                <w:b/>
                <w:bCs/>
                <w:highlight w:val="yellow"/>
              </w:rPr>
            </w:pPr>
          </w:p>
          <w:p w:rsidR="00716FB5" w:rsidRPr="00523B50" w:rsidRDefault="00DD277A" w:rsidP="00DD277A">
            <w:pPr>
              <w:tabs>
                <w:tab w:val="left" w:pos="360"/>
              </w:tabs>
              <w:jc w:val="center"/>
              <w:rPr>
                <w:rFonts w:ascii="Verdana" w:hAnsi="Verdana" w:cs="Arial"/>
                <w:b/>
                <w:bCs/>
                <w:highlight w:val="yellow"/>
              </w:rPr>
            </w:pPr>
            <w:r>
              <w:rPr>
                <w:rFonts w:ascii="Verdana" w:hAnsi="Verdana" w:cs="Arial"/>
                <w:b/>
                <w:bCs/>
              </w:rPr>
              <w:t>4 763</w:t>
            </w:r>
          </w:p>
        </w:tc>
        <w:tc>
          <w:tcPr>
            <w:tcW w:w="1985" w:type="dxa"/>
            <w:tcBorders>
              <w:top w:val="single" w:sz="4" w:space="0" w:color="auto"/>
              <w:left w:val="single" w:sz="4" w:space="0" w:color="auto"/>
              <w:bottom w:val="single" w:sz="4" w:space="0" w:color="auto"/>
              <w:right w:val="single" w:sz="4" w:space="0" w:color="auto"/>
            </w:tcBorders>
          </w:tcPr>
          <w:p w:rsidR="00716FB5" w:rsidRPr="00B514A1" w:rsidRDefault="00716FB5" w:rsidP="00956D71">
            <w:pPr>
              <w:tabs>
                <w:tab w:val="left" w:pos="360"/>
              </w:tabs>
              <w:jc w:val="center"/>
              <w:rPr>
                <w:rFonts w:ascii="Verdana" w:hAnsi="Verdana" w:cs="Arial"/>
                <w:b/>
                <w:bCs/>
                <w:highlight w:val="yellow"/>
              </w:rPr>
            </w:pPr>
          </w:p>
          <w:p w:rsidR="00716FB5" w:rsidRPr="00B514A1" w:rsidRDefault="00716FB5" w:rsidP="00956D71">
            <w:pPr>
              <w:tabs>
                <w:tab w:val="left" w:pos="360"/>
              </w:tabs>
              <w:jc w:val="center"/>
              <w:rPr>
                <w:rFonts w:ascii="Verdana" w:hAnsi="Verdana" w:cs="Arial"/>
                <w:b/>
                <w:bCs/>
                <w:highlight w:val="yellow"/>
              </w:rPr>
            </w:pPr>
            <w:r w:rsidRPr="00B514A1">
              <w:rPr>
                <w:rFonts w:ascii="Verdana" w:hAnsi="Verdana" w:cs="Arial"/>
                <w:b/>
                <w:bCs/>
              </w:rPr>
              <w:t>4 888</w:t>
            </w:r>
          </w:p>
        </w:tc>
      </w:tr>
      <w:tr w:rsidR="00716FB5" w:rsidRPr="00B514A1" w:rsidTr="00716FB5">
        <w:trPr>
          <w:jc w:val="center"/>
        </w:trPr>
        <w:tc>
          <w:tcPr>
            <w:tcW w:w="3227" w:type="dxa"/>
            <w:tcBorders>
              <w:top w:val="single" w:sz="4" w:space="0" w:color="auto"/>
              <w:left w:val="single" w:sz="4" w:space="0" w:color="auto"/>
              <w:bottom w:val="single" w:sz="4" w:space="0" w:color="auto"/>
              <w:right w:val="single" w:sz="4" w:space="0" w:color="auto"/>
            </w:tcBorders>
          </w:tcPr>
          <w:p w:rsidR="00716FB5" w:rsidRPr="00B514A1" w:rsidRDefault="00716FB5" w:rsidP="00280CEC">
            <w:pPr>
              <w:tabs>
                <w:tab w:val="left" w:pos="360"/>
              </w:tabs>
              <w:rPr>
                <w:rFonts w:ascii="Arial" w:hAnsi="Arial" w:cs="Arial"/>
                <w:bCs/>
                <w:smallCaps/>
              </w:rPr>
            </w:pPr>
          </w:p>
          <w:p w:rsidR="00716FB5" w:rsidRPr="00B514A1" w:rsidRDefault="00C41446" w:rsidP="00991895">
            <w:pPr>
              <w:tabs>
                <w:tab w:val="left" w:pos="360"/>
              </w:tabs>
              <w:rPr>
                <w:rFonts w:ascii="Arial" w:hAnsi="Arial" w:cs="Arial"/>
                <w:bCs/>
                <w:smallCaps/>
              </w:rPr>
            </w:pPr>
            <w:r w:rsidRPr="00B514A1">
              <w:rPr>
                <w:rFonts w:ascii="Arial" w:hAnsi="Arial" w:cs="Arial"/>
                <w:bCs/>
                <w:smallCaps/>
              </w:rPr>
              <w:t>Cash-Flow</w:t>
            </w:r>
            <w:r w:rsidR="00716FB5" w:rsidRPr="00B514A1">
              <w:rPr>
                <w:rFonts w:ascii="Arial" w:hAnsi="Arial" w:cs="Arial"/>
                <w:bCs/>
                <w:smallCaps/>
              </w:rPr>
              <w:t xml:space="preserve"> Libre</w:t>
            </w:r>
            <w:r w:rsidR="00716FB5" w:rsidRPr="00B514A1">
              <w:rPr>
                <w:rFonts w:ascii="Arial" w:hAnsi="Arial" w:cs="Arial"/>
                <w:bCs/>
                <w:smallCaps/>
                <w:vertAlign w:val="superscript"/>
              </w:rPr>
              <w:t>1</w:t>
            </w:r>
            <w:r w:rsidR="00716FB5" w:rsidRPr="00B514A1">
              <w:rPr>
                <w:rFonts w:ascii="Verdana" w:hAnsi="Verdana" w:cs="Arial"/>
              </w:rPr>
              <w:t xml:space="preserve"> </w:t>
            </w:r>
          </w:p>
        </w:tc>
        <w:tc>
          <w:tcPr>
            <w:tcW w:w="2126" w:type="dxa"/>
            <w:tcBorders>
              <w:top w:val="single" w:sz="4" w:space="0" w:color="auto"/>
              <w:left w:val="single" w:sz="4" w:space="0" w:color="auto"/>
              <w:bottom w:val="single" w:sz="4" w:space="0" w:color="auto"/>
              <w:right w:val="single" w:sz="4" w:space="0" w:color="auto"/>
            </w:tcBorders>
          </w:tcPr>
          <w:p w:rsidR="00716FB5" w:rsidRPr="00523B50" w:rsidRDefault="00716FB5" w:rsidP="00280CEC">
            <w:pPr>
              <w:tabs>
                <w:tab w:val="left" w:pos="360"/>
              </w:tabs>
              <w:jc w:val="center"/>
              <w:rPr>
                <w:rFonts w:ascii="Verdana" w:hAnsi="Verdana" w:cs="Arial"/>
                <w:b/>
                <w:bCs/>
              </w:rPr>
            </w:pPr>
          </w:p>
          <w:p w:rsidR="00716FB5" w:rsidRPr="00523B50" w:rsidRDefault="002B1930" w:rsidP="002B1930">
            <w:pPr>
              <w:tabs>
                <w:tab w:val="left" w:pos="360"/>
              </w:tabs>
              <w:jc w:val="center"/>
              <w:rPr>
                <w:rFonts w:ascii="Verdana" w:hAnsi="Verdana" w:cs="Arial"/>
                <w:b/>
                <w:bCs/>
              </w:rPr>
            </w:pPr>
            <w:r>
              <w:rPr>
                <w:rFonts w:ascii="Verdana" w:hAnsi="Verdana" w:cs="Arial"/>
                <w:b/>
                <w:bCs/>
              </w:rPr>
              <w:t>1 024</w:t>
            </w:r>
          </w:p>
        </w:tc>
        <w:tc>
          <w:tcPr>
            <w:tcW w:w="1985" w:type="dxa"/>
            <w:tcBorders>
              <w:top w:val="single" w:sz="4" w:space="0" w:color="auto"/>
              <w:left w:val="single" w:sz="4" w:space="0" w:color="auto"/>
              <w:bottom w:val="single" w:sz="4" w:space="0" w:color="auto"/>
              <w:right w:val="single" w:sz="4" w:space="0" w:color="auto"/>
            </w:tcBorders>
          </w:tcPr>
          <w:p w:rsidR="00716FB5" w:rsidRPr="00B514A1" w:rsidRDefault="00716FB5" w:rsidP="00956D71">
            <w:pPr>
              <w:tabs>
                <w:tab w:val="left" w:pos="360"/>
              </w:tabs>
              <w:jc w:val="center"/>
              <w:rPr>
                <w:rFonts w:ascii="Verdana" w:hAnsi="Verdana" w:cs="Arial"/>
                <w:b/>
                <w:bCs/>
              </w:rPr>
            </w:pPr>
          </w:p>
          <w:p w:rsidR="00716FB5" w:rsidRPr="00B514A1" w:rsidRDefault="00984D35" w:rsidP="00956D71">
            <w:pPr>
              <w:tabs>
                <w:tab w:val="left" w:pos="360"/>
              </w:tabs>
              <w:jc w:val="center"/>
              <w:rPr>
                <w:rFonts w:ascii="Verdana" w:hAnsi="Verdana" w:cs="Arial"/>
                <w:b/>
                <w:bCs/>
              </w:rPr>
            </w:pPr>
            <w:r>
              <w:rPr>
                <w:rFonts w:ascii="Verdana" w:hAnsi="Verdana" w:cs="Arial"/>
                <w:b/>
                <w:bCs/>
              </w:rPr>
              <w:t>653</w:t>
            </w:r>
          </w:p>
        </w:tc>
      </w:tr>
      <w:tr w:rsidR="00991895" w:rsidRPr="00B514A1" w:rsidTr="00991895">
        <w:trPr>
          <w:jc w:val="center"/>
        </w:trPr>
        <w:tc>
          <w:tcPr>
            <w:tcW w:w="3227" w:type="dxa"/>
            <w:tcBorders>
              <w:top w:val="single" w:sz="4" w:space="0" w:color="auto"/>
              <w:left w:val="single" w:sz="4" w:space="0" w:color="auto"/>
              <w:bottom w:val="single" w:sz="4" w:space="0" w:color="auto"/>
              <w:right w:val="single" w:sz="4" w:space="0" w:color="auto"/>
            </w:tcBorders>
          </w:tcPr>
          <w:p w:rsidR="00991895" w:rsidRPr="00B514A1" w:rsidRDefault="00991895" w:rsidP="00803EB8">
            <w:pPr>
              <w:tabs>
                <w:tab w:val="left" w:pos="360"/>
              </w:tabs>
              <w:rPr>
                <w:rFonts w:ascii="Arial" w:hAnsi="Arial" w:cs="Arial"/>
                <w:bCs/>
                <w:smallCaps/>
              </w:rPr>
            </w:pPr>
          </w:p>
          <w:p w:rsidR="00991895" w:rsidRPr="00B514A1" w:rsidRDefault="00C41446" w:rsidP="00803EB8">
            <w:pPr>
              <w:tabs>
                <w:tab w:val="left" w:pos="360"/>
              </w:tabs>
              <w:rPr>
                <w:rFonts w:ascii="Arial" w:hAnsi="Arial" w:cs="Arial"/>
                <w:bCs/>
                <w:smallCaps/>
              </w:rPr>
            </w:pPr>
            <w:r w:rsidRPr="00B514A1">
              <w:rPr>
                <w:rFonts w:ascii="Arial" w:hAnsi="Arial" w:cs="Arial"/>
                <w:bCs/>
                <w:smallCaps/>
              </w:rPr>
              <w:t>Cash-Flow</w:t>
            </w:r>
            <w:r w:rsidR="00991895" w:rsidRPr="00B514A1">
              <w:rPr>
                <w:rFonts w:ascii="Arial" w:hAnsi="Arial" w:cs="Arial"/>
                <w:bCs/>
                <w:smallCaps/>
              </w:rPr>
              <w:t xml:space="preserve"> Libre</w:t>
            </w:r>
            <w:r w:rsidR="00991895">
              <w:rPr>
                <w:rFonts w:ascii="Arial" w:hAnsi="Arial" w:cs="Arial"/>
                <w:bCs/>
                <w:smallCaps/>
              </w:rPr>
              <w:t xml:space="preserve"> structurel</w:t>
            </w:r>
            <w:r w:rsidR="00893DB3" w:rsidRPr="00893DB3">
              <w:rPr>
                <w:rFonts w:ascii="Arial" w:hAnsi="Arial" w:cs="Arial"/>
                <w:bCs/>
                <w:smallCaps/>
                <w:vertAlign w:val="superscript"/>
              </w:rPr>
              <w:t>2</w:t>
            </w:r>
          </w:p>
        </w:tc>
        <w:tc>
          <w:tcPr>
            <w:tcW w:w="2126" w:type="dxa"/>
            <w:tcBorders>
              <w:top w:val="single" w:sz="4" w:space="0" w:color="auto"/>
              <w:left w:val="single" w:sz="4" w:space="0" w:color="auto"/>
              <w:bottom w:val="single" w:sz="4" w:space="0" w:color="auto"/>
              <w:right w:val="single" w:sz="4" w:space="0" w:color="auto"/>
            </w:tcBorders>
          </w:tcPr>
          <w:p w:rsidR="00991895" w:rsidRPr="00523B50" w:rsidRDefault="00991895" w:rsidP="00803EB8">
            <w:pPr>
              <w:tabs>
                <w:tab w:val="left" w:pos="360"/>
              </w:tabs>
              <w:jc w:val="center"/>
              <w:rPr>
                <w:rFonts w:ascii="Verdana" w:hAnsi="Verdana" w:cs="Arial"/>
                <w:b/>
                <w:bCs/>
              </w:rPr>
            </w:pPr>
          </w:p>
          <w:p w:rsidR="00991895" w:rsidRPr="00523B50" w:rsidRDefault="00991895" w:rsidP="00991895">
            <w:pPr>
              <w:tabs>
                <w:tab w:val="left" w:pos="360"/>
              </w:tabs>
              <w:jc w:val="center"/>
              <w:rPr>
                <w:rFonts w:ascii="Verdana" w:hAnsi="Verdana" w:cs="Arial"/>
                <w:b/>
                <w:bCs/>
              </w:rPr>
            </w:pPr>
            <w:r w:rsidRPr="00360378">
              <w:rPr>
                <w:rFonts w:ascii="Verdana" w:hAnsi="Verdana" w:cs="Arial"/>
                <w:b/>
                <w:bCs/>
              </w:rPr>
              <w:t>961</w:t>
            </w:r>
          </w:p>
        </w:tc>
        <w:tc>
          <w:tcPr>
            <w:tcW w:w="1985" w:type="dxa"/>
            <w:tcBorders>
              <w:top w:val="single" w:sz="4" w:space="0" w:color="auto"/>
              <w:left w:val="single" w:sz="4" w:space="0" w:color="auto"/>
              <w:bottom w:val="single" w:sz="4" w:space="0" w:color="auto"/>
              <w:right w:val="single" w:sz="4" w:space="0" w:color="auto"/>
            </w:tcBorders>
          </w:tcPr>
          <w:p w:rsidR="00991895" w:rsidRPr="00B514A1" w:rsidRDefault="00991895" w:rsidP="00803EB8">
            <w:pPr>
              <w:tabs>
                <w:tab w:val="left" w:pos="360"/>
              </w:tabs>
              <w:jc w:val="center"/>
              <w:rPr>
                <w:rFonts w:ascii="Verdana" w:hAnsi="Verdana" w:cs="Arial"/>
                <w:b/>
                <w:bCs/>
              </w:rPr>
            </w:pPr>
          </w:p>
          <w:p w:rsidR="00991895" w:rsidRPr="00B514A1" w:rsidRDefault="00991895" w:rsidP="00991895">
            <w:pPr>
              <w:tabs>
                <w:tab w:val="left" w:pos="360"/>
              </w:tabs>
              <w:jc w:val="center"/>
              <w:rPr>
                <w:rFonts w:ascii="Verdana" w:hAnsi="Verdana" w:cs="Arial"/>
                <w:b/>
                <w:bCs/>
              </w:rPr>
            </w:pPr>
            <w:r>
              <w:rPr>
                <w:rFonts w:ascii="Verdana" w:hAnsi="Verdana" w:cs="Arial"/>
                <w:b/>
                <w:bCs/>
              </w:rPr>
              <w:t>833</w:t>
            </w:r>
          </w:p>
        </w:tc>
      </w:tr>
      <w:tr w:rsidR="00716FB5" w:rsidRPr="00B514A1" w:rsidTr="00716FB5">
        <w:trPr>
          <w:jc w:val="center"/>
        </w:trPr>
        <w:tc>
          <w:tcPr>
            <w:tcW w:w="3227" w:type="dxa"/>
            <w:tcBorders>
              <w:top w:val="single" w:sz="4" w:space="0" w:color="auto"/>
              <w:left w:val="single" w:sz="4" w:space="0" w:color="auto"/>
              <w:bottom w:val="single" w:sz="4" w:space="0" w:color="auto"/>
              <w:right w:val="single" w:sz="4" w:space="0" w:color="auto"/>
            </w:tcBorders>
          </w:tcPr>
          <w:p w:rsidR="00716FB5" w:rsidRPr="00B514A1" w:rsidRDefault="00716FB5" w:rsidP="00280CEC">
            <w:pPr>
              <w:tabs>
                <w:tab w:val="left" w:pos="360"/>
              </w:tabs>
              <w:rPr>
                <w:rFonts w:ascii="Arial" w:hAnsi="Arial" w:cs="Arial"/>
                <w:bCs/>
                <w:smallCaps/>
              </w:rPr>
            </w:pPr>
          </w:p>
          <w:p w:rsidR="00716FB5" w:rsidRPr="00B514A1" w:rsidRDefault="00716FB5" w:rsidP="00A41995">
            <w:pPr>
              <w:tabs>
                <w:tab w:val="left" w:pos="360"/>
              </w:tabs>
              <w:rPr>
                <w:rFonts w:ascii="Arial" w:hAnsi="Arial" w:cs="Arial"/>
                <w:bCs/>
                <w:smallCaps/>
              </w:rPr>
            </w:pPr>
            <w:r w:rsidRPr="00B514A1">
              <w:rPr>
                <w:rFonts w:ascii="Arial" w:hAnsi="Arial" w:cs="Arial"/>
                <w:bCs/>
                <w:smallCaps/>
              </w:rPr>
              <w:t>R</w:t>
            </w:r>
            <w:r>
              <w:rPr>
                <w:rFonts w:ascii="Arial" w:hAnsi="Arial" w:cs="Arial"/>
                <w:bCs/>
                <w:smallCaps/>
              </w:rPr>
              <w:t>OCE</w:t>
            </w:r>
          </w:p>
        </w:tc>
        <w:tc>
          <w:tcPr>
            <w:tcW w:w="2126" w:type="dxa"/>
            <w:tcBorders>
              <w:top w:val="single" w:sz="4" w:space="0" w:color="auto"/>
              <w:left w:val="single" w:sz="4" w:space="0" w:color="auto"/>
              <w:bottom w:val="single" w:sz="4" w:space="0" w:color="auto"/>
              <w:right w:val="single" w:sz="4" w:space="0" w:color="auto"/>
            </w:tcBorders>
          </w:tcPr>
          <w:p w:rsidR="00716FB5" w:rsidRPr="00523B50" w:rsidRDefault="00716FB5" w:rsidP="00280CEC">
            <w:pPr>
              <w:tabs>
                <w:tab w:val="left" w:pos="360"/>
              </w:tabs>
              <w:jc w:val="center"/>
              <w:rPr>
                <w:rFonts w:ascii="Verdana" w:hAnsi="Verdana" w:cs="Arial"/>
                <w:b/>
                <w:bCs/>
                <w:highlight w:val="yellow"/>
              </w:rPr>
            </w:pPr>
          </w:p>
          <w:p w:rsidR="00716FB5" w:rsidRPr="00523B50" w:rsidRDefault="006F3BB1" w:rsidP="006F3BB1">
            <w:pPr>
              <w:tabs>
                <w:tab w:val="left" w:pos="360"/>
              </w:tabs>
              <w:jc w:val="center"/>
              <w:rPr>
                <w:rFonts w:ascii="Verdana" w:hAnsi="Verdana" w:cs="Arial"/>
                <w:b/>
                <w:bCs/>
                <w:highlight w:val="yellow"/>
              </w:rPr>
            </w:pPr>
            <w:r>
              <w:rPr>
                <w:rFonts w:ascii="Verdana" w:hAnsi="Verdana" w:cs="Arial"/>
                <w:b/>
                <w:bCs/>
              </w:rPr>
              <w:t>12,1</w:t>
            </w:r>
            <w:r w:rsidR="00716FB5" w:rsidRPr="00523B50">
              <w:rPr>
                <w:rFonts w:ascii="Verdana" w:hAnsi="Verdana" w:cs="Arial"/>
                <w:b/>
                <w:bCs/>
              </w:rPr>
              <w:t> %</w:t>
            </w:r>
          </w:p>
        </w:tc>
        <w:tc>
          <w:tcPr>
            <w:tcW w:w="1985" w:type="dxa"/>
            <w:tcBorders>
              <w:top w:val="single" w:sz="4" w:space="0" w:color="auto"/>
              <w:left w:val="single" w:sz="4" w:space="0" w:color="auto"/>
              <w:bottom w:val="single" w:sz="4" w:space="0" w:color="auto"/>
              <w:right w:val="single" w:sz="4" w:space="0" w:color="auto"/>
            </w:tcBorders>
          </w:tcPr>
          <w:p w:rsidR="00716FB5" w:rsidRPr="00B514A1" w:rsidRDefault="00716FB5" w:rsidP="00956D71">
            <w:pPr>
              <w:tabs>
                <w:tab w:val="left" w:pos="360"/>
              </w:tabs>
              <w:jc w:val="center"/>
              <w:rPr>
                <w:rFonts w:ascii="Verdana" w:hAnsi="Verdana" w:cs="Arial"/>
                <w:b/>
                <w:bCs/>
                <w:highlight w:val="yellow"/>
              </w:rPr>
            </w:pPr>
          </w:p>
          <w:p w:rsidR="00716FB5" w:rsidRPr="00B514A1" w:rsidRDefault="00716FB5" w:rsidP="00956D71">
            <w:pPr>
              <w:tabs>
                <w:tab w:val="left" w:pos="360"/>
              </w:tabs>
              <w:jc w:val="center"/>
              <w:rPr>
                <w:rFonts w:ascii="Verdana" w:hAnsi="Verdana" w:cs="Arial"/>
                <w:b/>
                <w:bCs/>
                <w:highlight w:val="yellow"/>
              </w:rPr>
            </w:pPr>
            <w:r w:rsidRPr="0054215C">
              <w:rPr>
                <w:rFonts w:ascii="Verdana" w:hAnsi="Verdana" w:cs="Arial"/>
                <w:b/>
                <w:bCs/>
              </w:rPr>
              <w:t>12,2</w:t>
            </w:r>
            <w:r>
              <w:rPr>
                <w:rFonts w:ascii="Verdana" w:hAnsi="Verdana" w:cs="Arial"/>
                <w:b/>
                <w:bCs/>
              </w:rPr>
              <w:t> </w:t>
            </w:r>
            <w:r w:rsidRPr="0054215C">
              <w:rPr>
                <w:rFonts w:ascii="Verdana" w:hAnsi="Verdana" w:cs="Arial"/>
                <w:b/>
                <w:bCs/>
              </w:rPr>
              <w:t>%</w:t>
            </w:r>
          </w:p>
        </w:tc>
      </w:tr>
      <w:tr w:rsidR="00716FB5" w:rsidRPr="00B514A1" w:rsidTr="00716FB5">
        <w:trPr>
          <w:jc w:val="center"/>
        </w:trPr>
        <w:tc>
          <w:tcPr>
            <w:tcW w:w="3227" w:type="dxa"/>
            <w:tcBorders>
              <w:top w:val="single" w:sz="4" w:space="0" w:color="auto"/>
              <w:left w:val="single" w:sz="4" w:space="0" w:color="auto"/>
              <w:bottom w:val="single" w:sz="4" w:space="0" w:color="auto"/>
              <w:right w:val="single" w:sz="4" w:space="0" w:color="auto"/>
            </w:tcBorders>
          </w:tcPr>
          <w:p w:rsidR="00716FB5" w:rsidRPr="00B514A1" w:rsidRDefault="00716FB5" w:rsidP="00280CEC">
            <w:pPr>
              <w:tabs>
                <w:tab w:val="left" w:pos="360"/>
              </w:tabs>
              <w:rPr>
                <w:rFonts w:ascii="Arial" w:hAnsi="Arial" w:cs="Arial"/>
                <w:bCs/>
                <w:smallCaps/>
              </w:rPr>
            </w:pPr>
          </w:p>
          <w:p w:rsidR="00716FB5" w:rsidRPr="00B514A1" w:rsidRDefault="00716FB5" w:rsidP="00893DB3">
            <w:pPr>
              <w:tabs>
                <w:tab w:val="left" w:pos="360"/>
              </w:tabs>
              <w:rPr>
                <w:rFonts w:ascii="Arial" w:hAnsi="Arial" w:cs="Arial"/>
                <w:bCs/>
                <w:smallCaps/>
              </w:rPr>
            </w:pPr>
            <w:r w:rsidRPr="00B514A1">
              <w:rPr>
                <w:rFonts w:ascii="Arial" w:hAnsi="Arial" w:cs="Arial"/>
                <w:bCs/>
                <w:smallCaps/>
              </w:rPr>
              <w:t>Effectif inscrit</w:t>
            </w:r>
            <w:r w:rsidR="00893DB3">
              <w:rPr>
                <w:rFonts w:ascii="Arial" w:hAnsi="Arial" w:cs="Arial"/>
                <w:bCs/>
                <w:smallCaps/>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716FB5" w:rsidRPr="00523B50" w:rsidRDefault="00716FB5" w:rsidP="00280CEC">
            <w:pPr>
              <w:tabs>
                <w:tab w:val="left" w:pos="360"/>
              </w:tabs>
              <w:jc w:val="center"/>
              <w:rPr>
                <w:rFonts w:ascii="Verdana" w:hAnsi="Verdana" w:cs="Arial"/>
                <w:b/>
                <w:bCs/>
                <w:highlight w:val="yellow"/>
              </w:rPr>
            </w:pPr>
          </w:p>
          <w:p w:rsidR="00716FB5" w:rsidRPr="00523B50" w:rsidRDefault="00EC3B13" w:rsidP="001861F9">
            <w:pPr>
              <w:tabs>
                <w:tab w:val="left" w:pos="360"/>
              </w:tabs>
              <w:jc w:val="center"/>
              <w:rPr>
                <w:rFonts w:ascii="Verdana" w:hAnsi="Verdana" w:cs="Arial"/>
                <w:b/>
                <w:bCs/>
                <w:highlight w:val="yellow"/>
              </w:rPr>
            </w:pPr>
            <w:r>
              <w:rPr>
                <w:rFonts w:ascii="Verdana" w:hAnsi="Verdana" w:cs="Arial"/>
                <w:b/>
                <w:bCs/>
              </w:rPr>
              <w:t>111 70</w:t>
            </w:r>
            <w:r w:rsidR="001861F9">
              <w:rPr>
                <w:rFonts w:ascii="Verdana" w:hAnsi="Verdana" w:cs="Arial"/>
                <w:b/>
                <w:bCs/>
              </w:rPr>
              <w:t>8</w:t>
            </w:r>
          </w:p>
        </w:tc>
        <w:tc>
          <w:tcPr>
            <w:tcW w:w="1985" w:type="dxa"/>
            <w:tcBorders>
              <w:top w:val="single" w:sz="4" w:space="0" w:color="auto"/>
              <w:left w:val="single" w:sz="4" w:space="0" w:color="auto"/>
              <w:bottom w:val="single" w:sz="4" w:space="0" w:color="auto"/>
              <w:right w:val="single" w:sz="4" w:space="0" w:color="auto"/>
            </w:tcBorders>
          </w:tcPr>
          <w:p w:rsidR="00716FB5" w:rsidRPr="00B514A1" w:rsidRDefault="00716FB5" w:rsidP="00956D71">
            <w:pPr>
              <w:tabs>
                <w:tab w:val="left" w:pos="360"/>
              </w:tabs>
              <w:jc w:val="center"/>
              <w:rPr>
                <w:rFonts w:ascii="Verdana" w:hAnsi="Verdana" w:cs="Arial"/>
                <w:b/>
                <w:bCs/>
                <w:highlight w:val="yellow"/>
              </w:rPr>
            </w:pPr>
          </w:p>
          <w:p w:rsidR="00716FB5" w:rsidRPr="00B514A1" w:rsidRDefault="00716FB5" w:rsidP="001861F9">
            <w:pPr>
              <w:tabs>
                <w:tab w:val="left" w:pos="360"/>
              </w:tabs>
              <w:jc w:val="center"/>
              <w:rPr>
                <w:rFonts w:ascii="Verdana" w:hAnsi="Verdana" w:cs="Arial"/>
                <w:b/>
                <w:bCs/>
                <w:highlight w:val="yellow"/>
              </w:rPr>
            </w:pPr>
            <w:r w:rsidRPr="00B514A1">
              <w:rPr>
                <w:rFonts w:ascii="Verdana" w:hAnsi="Verdana" w:cs="Arial"/>
                <w:b/>
                <w:bCs/>
              </w:rPr>
              <w:t xml:space="preserve"> 111 </w:t>
            </w:r>
            <w:r w:rsidR="001861F9">
              <w:rPr>
                <w:rFonts w:ascii="Verdana" w:hAnsi="Verdana" w:cs="Arial"/>
                <w:b/>
                <w:bCs/>
              </w:rPr>
              <w:t>681</w:t>
            </w:r>
          </w:p>
        </w:tc>
      </w:tr>
      <w:tr w:rsidR="00716FB5" w:rsidRPr="00B514A1" w:rsidTr="00716FB5">
        <w:trPr>
          <w:jc w:val="center"/>
        </w:trPr>
        <w:tc>
          <w:tcPr>
            <w:tcW w:w="3227" w:type="dxa"/>
            <w:tcBorders>
              <w:top w:val="single" w:sz="4" w:space="0" w:color="auto"/>
              <w:left w:val="single" w:sz="4" w:space="0" w:color="auto"/>
              <w:bottom w:val="single" w:sz="4" w:space="0" w:color="auto"/>
              <w:right w:val="single" w:sz="4" w:space="0" w:color="auto"/>
            </w:tcBorders>
          </w:tcPr>
          <w:p w:rsidR="00716FB5" w:rsidRPr="00B514A1" w:rsidRDefault="00716FB5" w:rsidP="00DE753A">
            <w:pPr>
              <w:tabs>
                <w:tab w:val="left" w:pos="360"/>
              </w:tabs>
              <w:rPr>
                <w:rFonts w:ascii="Arial" w:hAnsi="Arial" w:cs="Arial"/>
                <w:bCs/>
                <w:smallCaps/>
              </w:rPr>
            </w:pPr>
          </w:p>
          <w:p w:rsidR="00716FB5" w:rsidRPr="00B514A1" w:rsidRDefault="00716FB5" w:rsidP="00DE753A">
            <w:pPr>
              <w:tabs>
                <w:tab w:val="left" w:pos="360"/>
              </w:tabs>
              <w:rPr>
                <w:rFonts w:ascii="Arial" w:hAnsi="Arial" w:cs="Arial"/>
                <w:bCs/>
                <w:smallCaps/>
              </w:rPr>
            </w:pPr>
            <w:r w:rsidRPr="00B514A1">
              <w:rPr>
                <w:rFonts w:ascii="Arial" w:hAnsi="Arial" w:cs="Arial"/>
                <w:bCs/>
                <w:smallCaps/>
              </w:rPr>
              <w:t xml:space="preserve">Résultat net </w:t>
            </w:r>
            <w:r>
              <w:rPr>
                <w:rFonts w:ascii="Arial" w:hAnsi="Arial" w:cs="Arial"/>
                <w:bCs/>
                <w:smallCaps/>
              </w:rPr>
              <w:t>par action</w:t>
            </w:r>
          </w:p>
        </w:tc>
        <w:tc>
          <w:tcPr>
            <w:tcW w:w="2126" w:type="dxa"/>
            <w:tcBorders>
              <w:top w:val="single" w:sz="4" w:space="0" w:color="auto"/>
              <w:left w:val="single" w:sz="4" w:space="0" w:color="auto"/>
              <w:bottom w:val="single" w:sz="4" w:space="0" w:color="auto"/>
              <w:right w:val="single" w:sz="4" w:space="0" w:color="auto"/>
            </w:tcBorders>
          </w:tcPr>
          <w:p w:rsidR="00716FB5" w:rsidRPr="00523B50" w:rsidRDefault="00716FB5" w:rsidP="00A41995">
            <w:pPr>
              <w:tabs>
                <w:tab w:val="left" w:pos="360"/>
              </w:tabs>
              <w:jc w:val="center"/>
              <w:rPr>
                <w:rFonts w:ascii="Verdana" w:hAnsi="Verdana" w:cs="Arial"/>
                <w:b/>
                <w:bCs/>
                <w:highlight w:val="yellow"/>
              </w:rPr>
            </w:pPr>
          </w:p>
          <w:p w:rsidR="00716FB5" w:rsidRPr="00523B50" w:rsidRDefault="00E92682" w:rsidP="00E92682">
            <w:pPr>
              <w:tabs>
                <w:tab w:val="left" w:pos="360"/>
              </w:tabs>
              <w:jc w:val="center"/>
              <w:rPr>
                <w:rFonts w:ascii="Verdana" w:hAnsi="Verdana" w:cs="Arial"/>
                <w:b/>
                <w:bCs/>
                <w:highlight w:val="yellow"/>
              </w:rPr>
            </w:pPr>
            <w:r>
              <w:rPr>
                <w:rFonts w:ascii="Verdana" w:hAnsi="Verdana" w:cs="Arial"/>
                <w:b/>
                <w:bCs/>
              </w:rPr>
              <w:t>9,21</w:t>
            </w:r>
            <w:r w:rsidR="00716FB5" w:rsidRPr="00523B50">
              <w:rPr>
                <w:rFonts w:ascii="Verdana" w:hAnsi="Verdana" w:cs="Arial"/>
                <w:b/>
                <w:bCs/>
              </w:rPr>
              <w:t> €</w:t>
            </w:r>
          </w:p>
        </w:tc>
        <w:tc>
          <w:tcPr>
            <w:tcW w:w="1985" w:type="dxa"/>
            <w:tcBorders>
              <w:top w:val="single" w:sz="4" w:space="0" w:color="auto"/>
              <w:left w:val="single" w:sz="4" w:space="0" w:color="auto"/>
              <w:bottom w:val="single" w:sz="4" w:space="0" w:color="auto"/>
              <w:right w:val="single" w:sz="4" w:space="0" w:color="auto"/>
            </w:tcBorders>
          </w:tcPr>
          <w:p w:rsidR="00716FB5" w:rsidRDefault="00716FB5" w:rsidP="00956D71">
            <w:pPr>
              <w:tabs>
                <w:tab w:val="left" w:pos="360"/>
              </w:tabs>
              <w:jc w:val="center"/>
              <w:rPr>
                <w:rFonts w:ascii="Verdana" w:hAnsi="Verdana" w:cs="Arial"/>
                <w:b/>
                <w:bCs/>
                <w:highlight w:val="yellow"/>
              </w:rPr>
            </w:pPr>
          </w:p>
          <w:p w:rsidR="00716FB5" w:rsidRPr="00A41995" w:rsidRDefault="00716FB5" w:rsidP="00956D71">
            <w:pPr>
              <w:tabs>
                <w:tab w:val="left" w:pos="360"/>
              </w:tabs>
              <w:jc w:val="center"/>
              <w:rPr>
                <w:rFonts w:ascii="Verdana" w:hAnsi="Verdana" w:cs="Arial"/>
                <w:b/>
                <w:bCs/>
                <w:highlight w:val="yellow"/>
              </w:rPr>
            </w:pPr>
            <w:r w:rsidRPr="000B67C5">
              <w:rPr>
                <w:rFonts w:ascii="Verdana" w:hAnsi="Verdana" w:cs="Arial"/>
                <w:b/>
                <w:bCs/>
              </w:rPr>
              <w:t>6,28 €</w:t>
            </w:r>
          </w:p>
        </w:tc>
      </w:tr>
      <w:tr w:rsidR="00716FB5" w:rsidRPr="00B514A1" w:rsidTr="00716FB5">
        <w:trPr>
          <w:jc w:val="center"/>
        </w:trPr>
        <w:tc>
          <w:tcPr>
            <w:tcW w:w="3227" w:type="dxa"/>
            <w:tcBorders>
              <w:top w:val="single" w:sz="4" w:space="0" w:color="auto"/>
              <w:left w:val="single" w:sz="4" w:space="0" w:color="auto"/>
              <w:bottom w:val="single" w:sz="4" w:space="0" w:color="auto"/>
              <w:right w:val="single" w:sz="4" w:space="0" w:color="auto"/>
            </w:tcBorders>
          </w:tcPr>
          <w:p w:rsidR="00716FB5" w:rsidRPr="00B514A1" w:rsidRDefault="00716FB5" w:rsidP="00DE753A">
            <w:pPr>
              <w:tabs>
                <w:tab w:val="left" w:pos="360"/>
              </w:tabs>
              <w:rPr>
                <w:rFonts w:ascii="Arial" w:hAnsi="Arial" w:cs="Arial"/>
                <w:bCs/>
                <w:smallCaps/>
              </w:rPr>
            </w:pPr>
          </w:p>
          <w:p w:rsidR="00716FB5" w:rsidRPr="00B514A1" w:rsidRDefault="00716FB5" w:rsidP="00893DB3">
            <w:pPr>
              <w:tabs>
                <w:tab w:val="left" w:pos="360"/>
              </w:tabs>
              <w:rPr>
                <w:rFonts w:ascii="Arial" w:hAnsi="Arial" w:cs="Arial"/>
                <w:bCs/>
                <w:smallCaps/>
              </w:rPr>
            </w:pPr>
            <w:r>
              <w:rPr>
                <w:rFonts w:ascii="Arial" w:hAnsi="Arial" w:cs="Arial"/>
                <w:bCs/>
                <w:smallCaps/>
              </w:rPr>
              <w:t>Dividende par action</w:t>
            </w:r>
            <w:r w:rsidR="00893DB3">
              <w:rPr>
                <w:rFonts w:ascii="Arial" w:hAnsi="Arial" w:cs="Arial"/>
                <w:bCs/>
                <w:smallCaps/>
                <w:vertAlign w:val="superscript"/>
              </w:rPr>
              <w:t>4</w:t>
            </w:r>
            <w:r w:rsidRPr="00B514A1">
              <w:rPr>
                <w:rFonts w:ascii="Arial" w:hAnsi="Arial" w:cs="Arial"/>
                <w:bCs/>
                <w:smallCaps/>
              </w:rPr>
              <w:t xml:space="preserve"> </w:t>
            </w:r>
          </w:p>
        </w:tc>
        <w:tc>
          <w:tcPr>
            <w:tcW w:w="2126" w:type="dxa"/>
            <w:tcBorders>
              <w:top w:val="single" w:sz="4" w:space="0" w:color="auto"/>
              <w:left w:val="single" w:sz="4" w:space="0" w:color="auto"/>
              <w:bottom w:val="single" w:sz="4" w:space="0" w:color="auto"/>
              <w:right w:val="single" w:sz="4" w:space="0" w:color="auto"/>
            </w:tcBorders>
          </w:tcPr>
          <w:p w:rsidR="00716FB5" w:rsidRPr="00523B50" w:rsidRDefault="00716FB5" w:rsidP="00DE753A">
            <w:pPr>
              <w:tabs>
                <w:tab w:val="left" w:pos="360"/>
              </w:tabs>
              <w:jc w:val="center"/>
              <w:rPr>
                <w:rFonts w:ascii="Verdana" w:hAnsi="Verdana" w:cs="Arial"/>
                <w:b/>
                <w:bCs/>
                <w:highlight w:val="yellow"/>
              </w:rPr>
            </w:pPr>
          </w:p>
          <w:p w:rsidR="00716FB5" w:rsidRPr="00523B50" w:rsidRDefault="003F11A4" w:rsidP="003F11A4">
            <w:pPr>
              <w:tabs>
                <w:tab w:val="left" w:pos="360"/>
              </w:tabs>
              <w:jc w:val="center"/>
              <w:rPr>
                <w:rFonts w:ascii="Verdana" w:hAnsi="Verdana" w:cs="Arial"/>
                <w:b/>
                <w:bCs/>
                <w:highlight w:val="yellow"/>
              </w:rPr>
            </w:pPr>
            <w:r w:rsidRPr="003F11A4">
              <w:rPr>
                <w:rFonts w:ascii="Verdana" w:hAnsi="Verdana" w:cs="Arial"/>
                <w:b/>
                <w:bCs/>
              </w:rPr>
              <w:t xml:space="preserve">3,25 </w:t>
            </w:r>
            <w:r w:rsidR="00716FB5" w:rsidRPr="00523B50">
              <w:rPr>
                <w:rFonts w:ascii="Verdana" w:hAnsi="Verdana" w:cs="Arial"/>
                <w:b/>
                <w:bCs/>
              </w:rPr>
              <w:t>€</w:t>
            </w:r>
          </w:p>
        </w:tc>
        <w:tc>
          <w:tcPr>
            <w:tcW w:w="1985" w:type="dxa"/>
            <w:tcBorders>
              <w:top w:val="single" w:sz="4" w:space="0" w:color="auto"/>
              <w:left w:val="single" w:sz="4" w:space="0" w:color="auto"/>
              <w:bottom w:val="single" w:sz="4" w:space="0" w:color="auto"/>
              <w:right w:val="single" w:sz="4" w:space="0" w:color="auto"/>
            </w:tcBorders>
          </w:tcPr>
          <w:p w:rsidR="00716FB5" w:rsidRPr="00A41995" w:rsidRDefault="00716FB5" w:rsidP="00956D71">
            <w:pPr>
              <w:tabs>
                <w:tab w:val="left" w:pos="360"/>
              </w:tabs>
              <w:jc w:val="center"/>
              <w:rPr>
                <w:rFonts w:ascii="Verdana" w:hAnsi="Verdana" w:cs="Arial"/>
                <w:b/>
                <w:bCs/>
                <w:highlight w:val="yellow"/>
              </w:rPr>
            </w:pPr>
          </w:p>
          <w:p w:rsidR="00716FB5" w:rsidRPr="00A41995" w:rsidRDefault="00716FB5" w:rsidP="00956D71">
            <w:pPr>
              <w:tabs>
                <w:tab w:val="left" w:pos="360"/>
              </w:tabs>
              <w:jc w:val="center"/>
              <w:rPr>
                <w:rFonts w:ascii="Verdana" w:hAnsi="Verdana" w:cs="Arial"/>
                <w:b/>
                <w:bCs/>
                <w:highlight w:val="yellow"/>
              </w:rPr>
            </w:pPr>
            <w:r w:rsidRPr="00BE16D2">
              <w:rPr>
                <w:rFonts w:ascii="Verdana" w:hAnsi="Verdana" w:cs="Arial"/>
                <w:b/>
                <w:bCs/>
              </w:rPr>
              <w:t>2,85 €</w:t>
            </w:r>
          </w:p>
        </w:tc>
      </w:tr>
    </w:tbl>
    <w:p w:rsidR="007970E1" w:rsidRPr="007970E1" w:rsidRDefault="007970E1" w:rsidP="007970E1">
      <w:pPr>
        <w:tabs>
          <w:tab w:val="left" w:pos="360"/>
        </w:tabs>
        <w:jc w:val="both"/>
        <w:rPr>
          <w:rFonts w:ascii="Verdana" w:hAnsi="Verdana" w:cs="Arial"/>
          <w:sz w:val="16"/>
          <w:szCs w:val="16"/>
        </w:rPr>
      </w:pPr>
      <w:r w:rsidRPr="007970E1">
        <w:rPr>
          <w:rFonts w:ascii="Arial" w:hAnsi="Arial" w:cs="Arial"/>
          <w:bCs/>
          <w:smallCaps/>
          <w:vertAlign w:val="superscript"/>
        </w:rPr>
        <w:tab/>
      </w:r>
      <w:r w:rsidRPr="007970E1">
        <w:rPr>
          <w:rFonts w:ascii="Arial" w:hAnsi="Arial" w:cs="Arial"/>
          <w:bCs/>
          <w:smallCaps/>
          <w:vertAlign w:val="superscript"/>
        </w:rPr>
        <w:tab/>
        <w:t xml:space="preserve">1 </w:t>
      </w:r>
      <w:r w:rsidR="00C41446" w:rsidRPr="00893DB3">
        <w:rPr>
          <w:rFonts w:ascii="Verdana" w:hAnsi="Verdana" w:cs="Arial"/>
          <w:i/>
          <w:sz w:val="16"/>
          <w:szCs w:val="16"/>
        </w:rPr>
        <w:t>Cash-flow</w:t>
      </w:r>
      <w:r w:rsidRPr="007970E1">
        <w:rPr>
          <w:rFonts w:ascii="Verdana" w:hAnsi="Verdana" w:cs="Arial"/>
          <w:sz w:val="16"/>
          <w:szCs w:val="16"/>
        </w:rPr>
        <w:t xml:space="preserve"> libre : Flux de trésorerie sur activités opérationnelles – flux de trésorerie d’investissements</w:t>
      </w:r>
    </w:p>
    <w:p w:rsidR="00893DB3" w:rsidRPr="00893DB3" w:rsidRDefault="007970E1" w:rsidP="00893DB3">
      <w:pPr>
        <w:ind w:left="709"/>
        <w:jc w:val="both"/>
        <w:rPr>
          <w:rFonts w:ascii="Verdana" w:hAnsi="Verdana" w:cs="Arial"/>
          <w:sz w:val="16"/>
          <w:szCs w:val="16"/>
        </w:rPr>
      </w:pPr>
      <w:r w:rsidRPr="00AA3495">
        <w:rPr>
          <w:rFonts w:ascii="Arial" w:hAnsi="Arial" w:cs="Arial"/>
          <w:bCs/>
          <w:smallCaps/>
          <w:vertAlign w:val="superscript"/>
        </w:rPr>
        <w:t>2</w:t>
      </w:r>
      <w:r w:rsidRPr="00360378">
        <w:rPr>
          <w:rFonts w:ascii="Verdana" w:hAnsi="Verdana" w:cs="Arial"/>
          <w:sz w:val="16"/>
          <w:szCs w:val="16"/>
        </w:rPr>
        <w:t xml:space="preserve"> </w:t>
      </w:r>
      <w:r w:rsidR="00C41446" w:rsidRPr="00360378">
        <w:rPr>
          <w:rFonts w:ascii="Verdana" w:hAnsi="Verdana" w:cs="Arial"/>
          <w:i/>
          <w:sz w:val="16"/>
          <w:szCs w:val="16"/>
        </w:rPr>
        <w:t>Cash-flow</w:t>
      </w:r>
      <w:r w:rsidR="00893DB3" w:rsidRPr="00360378">
        <w:rPr>
          <w:rFonts w:ascii="Verdana" w:hAnsi="Verdana" w:cs="Arial"/>
          <w:sz w:val="16"/>
          <w:szCs w:val="16"/>
        </w:rPr>
        <w:t xml:space="preserve"> libre structurel : </w:t>
      </w:r>
      <w:r w:rsidR="00C41446" w:rsidRPr="00360378">
        <w:rPr>
          <w:rFonts w:ascii="Verdana" w:hAnsi="Verdana" w:cs="Arial"/>
          <w:i/>
          <w:sz w:val="16"/>
          <w:szCs w:val="16"/>
        </w:rPr>
        <w:t>Cash</w:t>
      </w:r>
      <w:r w:rsidR="00C41446" w:rsidRPr="00360378">
        <w:rPr>
          <w:rFonts w:ascii="Verdana" w:hAnsi="Verdana" w:cs="Arial"/>
          <w:sz w:val="16"/>
          <w:szCs w:val="16"/>
        </w:rPr>
        <w:t>-</w:t>
      </w:r>
      <w:r w:rsidR="00C41446" w:rsidRPr="00360378">
        <w:rPr>
          <w:rFonts w:ascii="Verdana" w:hAnsi="Verdana" w:cs="Arial"/>
          <w:i/>
          <w:sz w:val="16"/>
          <w:szCs w:val="16"/>
        </w:rPr>
        <w:t>flow</w:t>
      </w:r>
      <w:r w:rsidR="00893DB3" w:rsidRPr="00360378">
        <w:rPr>
          <w:rFonts w:ascii="Verdana" w:hAnsi="Verdana" w:cs="Arial"/>
          <w:sz w:val="16"/>
          <w:szCs w:val="16"/>
        </w:rPr>
        <w:t xml:space="preserve"> libre</w:t>
      </w:r>
      <w:r w:rsidR="00F17219">
        <w:rPr>
          <w:rFonts w:ascii="Verdana" w:hAnsi="Verdana" w:cs="Arial"/>
          <w:sz w:val="16"/>
          <w:szCs w:val="16"/>
        </w:rPr>
        <w:t xml:space="preserve"> avant acquisitions</w:t>
      </w:r>
      <w:r w:rsidR="00893DB3" w:rsidRPr="00360378">
        <w:rPr>
          <w:rFonts w:ascii="Verdana" w:hAnsi="Verdana" w:cs="Arial"/>
          <w:sz w:val="16"/>
          <w:szCs w:val="16"/>
        </w:rPr>
        <w:t>, ajusté de l’effet de la variation des coûts de matières premières sur le</w:t>
      </w:r>
      <w:r w:rsidR="00F17219">
        <w:rPr>
          <w:rFonts w:ascii="Verdana" w:hAnsi="Verdana" w:cs="Arial"/>
          <w:sz w:val="16"/>
          <w:szCs w:val="16"/>
        </w:rPr>
        <w:t xml:space="preserve">s comptes clients, les comptes fournisseurs et les stocks, </w:t>
      </w:r>
      <w:r w:rsidR="0066777C">
        <w:rPr>
          <w:rFonts w:ascii="Verdana" w:hAnsi="Verdana" w:cs="Arial"/>
          <w:sz w:val="16"/>
          <w:szCs w:val="16"/>
        </w:rPr>
        <w:t xml:space="preserve">et </w:t>
      </w:r>
      <w:r w:rsidR="00BC4862">
        <w:rPr>
          <w:rFonts w:ascii="Verdana" w:hAnsi="Verdana" w:cs="Arial"/>
          <w:sz w:val="16"/>
          <w:szCs w:val="16"/>
        </w:rPr>
        <w:t>de l’effet volume de fin d’année sur le besoin en fond de roulement</w:t>
      </w:r>
    </w:p>
    <w:p w:rsidR="007970E1" w:rsidRDefault="00893DB3" w:rsidP="007970E1">
      <w:pPr>
        <w:ind w:firstLine="708"/>
        <w:jc w:val="both"/>
        <w:rPr>
          <w:rFonts w:ascii="Verdana" w:hAnsi="Verdana" w:cs="Arial"/>
          <w:sz w:val="16"/>
          <w:szCs w:val="16"/>
        </w:rPr>
      </w:pPr>
      <w:r>
        <w:rPr>
          <w:rFonts w:ascii="Arial" w:hAnsi="Arial" w:cs="Arial"/>
          <w:bCs/>
          <w:smallCaps/>
          <w:vertAlign w:val="superscript"/>
        </w:rPr>
        <w:t xml:space="preserve">3 </w:t>
      </w:r>
      <w:r w:rsidR="007970E1" w:rsidRPr="007970E1">
        <w:rPr>
          <w:rFonts w:ascii="Verdana" w:hAnsi="Verdana" w:cs="Arial"/>
          <w:sz w:val="16"/>
          <w:szCs w:val="16"/>
        </w:rPr>
        <w:t>En fin de période</w:t>
      </w:r>
    </w:p>
    <w:p w:rsidR="00A41995" w:rsidRPr="007970E1" w:rsidRDefault="00893DB3" w:rsidP="00A41995">
      <w:pPr>
        <w:ind w:firstLine="708"/>
        <w:jc w:val="both"/>
        <w:rPr>
          <w:rFonts w:ascii="Verdana" w:hAnsi="Verdana" w:cs="Arial"/>
          <w:sz w:val="16"/>
          <w:szCs w:val="16"/>
        </w:rPr>
      </w:pPr>
      <w:r>
        <w:rPr>
          <w:rFonts w:ascii="Arial" w:hAnsi="Arial" w:cs="Arial"/>
          <w:bCs/>
          <w:smallCaps/>
          <w:vertAlign w:val="superscript"/>
        </w:rPr>
        <w:t>4</w:t>
      </w:r>
      <w:r w:rsidR="00A41995" w:rsidRPr="007970E1">
        <w:rPr>
          <w:rFonts w:ascii="Arial" w:hAnsi="Arial" w:cs="Arial"/>
          <w:bCs/>
          <w:smallCaps/>
          <w:vertAlign w:val="superscript"/>
        </w:rPr>
        <w:t xml:space="preserve"> </w:t>
      </w:r>
      <w:r w:rsidR="00A41995">
        <w:rPr>
          <w:rFonts w:ascii="Verdana" w:hAnsi="Verdana" w:cs="Arial"/>
          <w:sz w:val="16"/>
          <w:szCs w:val="16"/>
        </w:rPr>
        <w:t xml:space="preserve">Dividende </w:t>
      </w:r>
      <w:r w:rsidR="00EB75CE">
        <w:rPr>
          <w:rFonts w:ascii="Verdana" w:hAnsi="Verdana" w:cs="Arial"/>
          <w:sz w:val="16"/>
          <w:szCs w:val="16"/>
        </w:rPr>
        <w:t>201</w:t>
      </w:r>
      <w:r w:rsidR="00C61ACA">
        <w:rPr>
          <w:rFonts w:ascii="Verdana" w:hAnsi="Verdana" w:cs="Arial"/>
          <w:sz w:val="16"/>
          <w:szCs w:val="16"/>
        </w:rPr>
        <w:t>6</w:t>
      </w:r>
      <w:r w:rsidR="00A41995">
        <w:rPr>
          <w:rFonts w:ascii="Verdana" w:hAnsi="Verdana" w:cs="Arial"/>
          <w:sz w:val="16"/>
          <w:szCs w:val="16"/>
        </w:rPr>
        <w:t xml:space="preserve"> soumis à l’approbation de l’</w:t>
      </w:r>
      <w:r w:rsidR="00D44549">
        <w:rPr>
          <w:rFonts w:ascii="Verdana" w:hAnsi="Verdana" w:cs="Arial"/>
          <w:sz w:val="16"/>
          <w:szCs w:val="16"/>
        </w:rPr>
        <w:t xml:space="preserve">Assemblée générale du </w:t>
      </w:r>
      <w:r w:rsidR="0021458B">
        <w:rPr>
          <w:rFonts w:ascii="Verdana" w:hAnsi="Verdana" w:cs="Arial"/>
          <w:sz w:val="16"/>
          <w:szCs w:val="16"/>
        </w:rPr>
        <w:t>19</w:t>
      </w:r>
      <w:r w:rsidR="00D44549">
        <w:rPr>
          <w:rFonts w:ascii="Verdana" w:hAnsi="Verdana" w:cs="Arial"/>
          <w:sz w:val="16"/>
          <w:szCs w:val="16"/>
        </w:rPr>
        <w:t xml:space="preserve"> mai </w:t>
      </w:r>
      <w:r w:rsidR="00EB75CE">
        <w:rPr>
          <w:rFonts w:ascii="Verdana" w:hAnsi="Verdana" w:cs="Arial"/>
          <w:sz w:val="16"/>
          <w:szCs w:val="16"/>
        </w:rPr>
        <w:t>2017</w:t>
      </w:r>
    </w:p>
    <w:p w:rsidR="00A41995" w:rsidRPr="007970E1" w:rsidRDefault="00A41995" w:rsidP="007970E1">
      <w:pPr>
        <w:ind w:firstLine="708"/>
        <w:jc w:val="both"/>
        <w:rPr>
          <w:rFonts w:ascii="Verdana" w:hAnsi="Verdana" w:cs="Arial"/>
          <w:sz w:val="16"/>
          <w:szCs w:val="16"/>
        </w:rPr>
      </w:pPr>
    </w:p>
    <w:p w:rsidR="007970E1" w:rsidRPr="007970E1" w:rsidRDefault="007970E1" w:rsidP="007970E1">
      <w:pPr>
        <w:jc w:val="both"/>
        <w:rPr>
          <w:rFonts w:ascii="Arial" w:hAnsi="Arial" w:cs="Arial"/>
          <w:bCs/>
        </w:rPr>
      </w:pPr>
      <w:r w:rsidRPr="007970E1">
        <w:rPr>
          <w:rFonts w:ascii="Arial" w:hAnsi="Arial" w:cs="Arial"/>
          <w:b/>
          <w:color w:val="FF0000"/>
        </w:rPr>
        <w:br w:type="page"/>
      </w:r>
    </w:p>
    <w:p w:rsidR="007970E1" w:rsidRPr="007970E1" w:rsidRDefault="007970E1" w:rsidP="007970E1">
      <w:pPr>
        <w:pBdr>
          <w:top w:val="single" w:sz="4" w:space="1" w:color="auto"/>
          <w:left w:val="single" w:sz="4" w:space="4" w:color="auto"/>
          <w:bottom w:val="single" w:sz="4" w:space="0" w:color="auto"/>
          <w:right w:val="single" w:sz="4" w:space="0" w:color="auto"/>
        </w:pBdr>
        <w:tabs>
          <w:tab w:val="left" w:pos="284"/>
        </w:tabs>
        <w:ind w:left="284" w:right="2691"/>
        <w:jc w:val="both"/>
        <w:rPr>
          <w:rFonts w:ascii="Verdana" w:hAnsi="Verdana" w:cs="Arial"/>
          <w:b/>
          <w:sz w:val="24"/>
          <w:szCs w:val="24"/>
        </w:rPr>
      </w:pPr>
      <w:r w:rsidRPr="007970E1">
        <w:rPr>
          <w:rFonts w:ascii="Verdana" w:hAnsi="Verdana" w:cs="Arial"/>
          <w:b/>
          <w:sz w:val="24"/>
          <w:szCs w:val="24"/>
        </w:rPr>
        <w:lastRenderedPageBreak/>
        <w:t xml:space="preserve">Evolution des marchés de pneumatiques </w:t>
      </w:r>
    </w:p>
    <w:p w:rsidR="007970E1" w:rsidRPr="007970E1" w:rsidRDefault="007970E1" w:rsidP="007970E1">
      <w:pPr>
        <w:tabs>
          <w:tab w:val="left" w:pos="284"/>
        </w:tabs>
        <w:ind w:left="284"/>
        <w:jc w:val="both"/>
        <w:rPr>
          <w:rFonts w:ascii="Arial" w:hAnsi="Arial" w:cs="Arial"/>
          <w:b/>
        </w:rPr>
      </w:pPr>
    </w:p>
    <w:p w:rsidR="007970E1" w:rsidRPr="007970E1" w:rsidRDefault="007970E1" w:rsidP="007970E1">
      <w:pPr>
        <w:ind w:left="284"/>
        <w:jc w:val="both"/>
        <w:rPr>
          <w:rFonts w:ascii="Arial" w:hAnsi="Arial" w:cs="Arial"/>
          <w:b/>
          <w:u w:val="single"/>
        </w:rPr>
      </w:pPr>
    </w:p>
    <w:p w:rsidR="007970E1" w:rsidRPr="007970E1" w:rsidRDefault="007970E1" w:rsidP="007970E1">
      <w:pPr>
        <w:numPr>
          <w:ilvl w:val="0"/>
          <w:numId w:val="2"/>
        </w:numPr>
        <w:tabs>
          <w:tab w:val="left" w:pos="284"/>
        </w:tabs>
        <w:jc w:val="both"/>
        <w:rPr>
          <w:rFonts w:ascii="Verdana" w:hAnsi="Verdana" w:cs="Arial"/>
          <w:b/>
        </w:rPr>
      </w:pPr>
      <w:r w:rsidRPr="007970E1">
        <w:rPr>
          <w:rFonts w:ascii="Arial" w:hAnsi="Arial" w:cs="Arial"/>
          <w:smallCaps/>
          <w:sz w:val="24"/>
          <w:szCs w:val="24"/>
        </w:rPr>
        <w:t>Tourisme camionnette</w:t>
      </w:r>
    </w:p>
    <w:p w:rsidR="007970E1" w:rsidRPr="007970E1" w:rsidRDefault="007970E1" w:rsidP="007970E1">
      <w:pPr>
        <w:ind w:left="360"/>
        <w:contextualSpacing/>
        <w:jc w:val="both"/>
        <w:rPr>
          <w:rFonts w:ascii="Arial" w:hAnsi="Arial" w:cs="Arial"/>
          <w:sz w:val="24"/>
          <w:szCs w:val="24"/>
        </w:rPr>
      </w:pPr>
    </w:p>
    <w:p w:rsidR="007970E1" w:rsidRPr="007970E1" w:rsidRDefault="007970E1" w:rsidP="007970E1">
      <w:pPr>
        <w:ind w:left="284"/>
        <w:jc w:val="both"/>
        <w:rPr>
          <w:rFonts w:ascii="Arial" w:hAnsi="Arial" w:cs="Arial"/>
          <w:sz w:val="18"/>
          <w:szCs w:val="18"/>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68"/>
        <w:gridCol w:w="1276"/>
        <w:gridCol w:w="1275"/>
        <w:gridCol w:w="1276"/>
        <w:gridCol w:w="1276"/>
        <w:gridCol w:w="1134"/>
      </w:tblGrid>
      <w:tr w:rsidR="007970E1" w:rsidRPr="007970E1" w:rsidTr="00280CEC">
        <w:tc>
          <w:tcPr>
            <w:tcW w:w="1951" w:type="dxa"/>
            <w:shd w:val="clear" w:color="auto" w:fill="E6E6E6"/>
          </w:tcPr>
          <w:p w:rsidR="007970E1" w:rsidRPr="007970E1" w:rsidRDefault="007970E1" w:rsidP="00280CEC">
            <w:pPr>
              <w:tabs>
                <w:tab w:val="left" w:pos="284"/>
              </w:tabs>
              <w:jc w:val="center"/>
              <w:rPr>
                <w:rFonts w:ascii="Arial" w:eastAsia="MS Mincho" w:hAnsi="Arial" w:cs="Arial"/>
                <w:snapToGrid w:val="0"/>
                <w:sz w:val="15"/>
                <w:szCs w:val="15"/>
              </w:rPr>
            </w:pPr>
          </w:p>
          <w:p w:rsidR="007970E1" w:rsidRPr="007970E1" w:rsidRDefault="00EB75CE" w:rsidP="00280CEC">
            <w:pPr>
              <w:tabs>
                <w:tab w:val="left" w:pos="284"/>
              </w:tabs>
              <w:jc w:val="center"/>
              <w:rPr>
                <w:rFonts w:ascii="Arial" w:eastAsia="MS Mincho" w:hAnsi="Arial" w:cs="Arial"/>
                <w:snapToGrid w:val="0"/>
                <w:sz w:val="15"/>
                <w:szCs w:val="15"/>
              </w:rPr>
            </w:pPr>
            <w:r>
              <w:rPr>
                <w:rFonts w:ascii="Arial" w:eastAsia="MS Mincho" w:hAnsi="Arial" w:cs="Arial"/>
                <w:snapToGrid w:val="0"/>
                <w:sz w:val="15"/>
                <w:szCs w:val="15"/>
              </w:rPr>
              <w:t>2016</w:t>
            </w:r>
            <w:r w:rsidR="007970E1" w:rsidRPr="007970E1">
              <w:rPr>
                <w:rFonts w:ascii="Arial" w:eastAsia="MS Mincho" w:hAnsi="Arial" w:cs="Arial"/>
                <w:snapToGrid w:val="0"/>
                <w:sz w:val="15"/>
                <w:szCs w:val="15"/>
              </w:rPr>
              <w:t>/201</w:t>
            </w:r>
            <w:r w:rsidR="006676CD">
              <w:rPr>
                <w:rFonts w:ascii="Arial" w:eastAsia="MS Mincho" w:hAnsi="Arial" w:cs="Arial"/>
                <w:snapToGrid w:val="0"/>
                <w:sz w:val="15"/>
                <w:szCs w:val="15"/>
              </w:rPr>
              <w:t>5</w:t>
            </w:r>
          </w:p>
          <w:p w:rsidR="007970E1" w:rsidRPr="007970E1" w:rsidRDefault="007970E1" w:rsidP="00280CEC">
            <w:pPr>
              <w:tabs>
                <w:tab w:val="left" w:pos="284"/>
              </w:tabs>
              <w:jc w:val="center"/>
              <w:rPr>
                <w:rFonts w:ascii="Arial" w:eastAsia="MS Mincho" w:hAnsi="Arial" w:cs="Arial"/>
                <w:snapToGrid w:val="0"/>
                <w:sz w:val="15"/>
                <w:szCs w:val="15"/>
              </w:rPr>
            </w:pPr>
            <w:r w:rsidRPr="007970E1">
              <w:rPr>
                <w:rFonts w:ascii="Arial" w:eastAsia="MS Mincho" w:hAnsi="Arial" w:cs="Arial"/>
                <w:b/>
                <w:snapToGrid w:val="0"/>
                <w:sz w:val="18"/>
                <w:szCs w:val="18"/>
                <w:vertAlign w:val="superscript"/>
              </w:rPr>
              <w:t>(en nombre de pneus)</w:t>
            </w:r>
          </w:p>
        </w:tc>
        <w:tc>
          <w:tcPr>
            <w:tcW w:w="1134" w:type="dxa"/>
            <w:shd w:val="clear" w:color="auto" w:fill="E6E6E6"/>
          </w:tcPr>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Europe</w:t>
            </w:r>
          </w:p>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y compris Russie &amp; CEI*</w:t>
            </w:r>
          </w:p>
        </w:tc>
        <w:tc>
          <w:tcPr>
            <w:tcW w:w="1168" w:type="dxa"/>
            <w:shd w:val="clear" w:color="auto" w:fill="E6E6E6"/>
          </w:tcPr>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Europe</w:t>
            </w:r>
          </w:p>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hors Russie &amp; CEI*</w:t>
            </w:r>
          </w:p>
        </w:tc>
        <w:tc>
          <w:tcPr>
            <w:tcW w:w="1276" w:type="dxa"/>
            <w:shd w:val="clear" w:color="auto" w:fill="E6E6E6"/>
          </w:tcPr>
          <w:p w:rsidR="007970E1" w:rsidRPr="007970E1" w:rsidRDefault="007970E1" w:rsidP="00280CEC">
            <w:pPr>
              <w:tabs>
                <w:tab w:val="left" w:pos="284"/>
              </w:tabs>
              <w:jc w:val="center"/>
              <w:rPr>
                <w:rFonts w:ascii="Arial" w:eastAsia="MS Mincho" w:hAnsi="Arial" w:cs="Arial"/>
                <w:b/>
                <w:smallCaps/>
                <w:snapToGrid w:val="0"/>
                <w:sz w:val="18"/>
                <w:szCs w:val="18"/>
              </w:rPr>
            </w:pPr>
            <w:r w:rsidRPr="007970E1">
              <w:rPr>
                <w:rFonts w:ascii="Arial" w:eastAsia="MS Mincho" w:hAnsi="Arial" w:cs="Arial"/>
                <w:b/>
                <w:bCs/>
                <w:smallCaps/>
                <w:snapToGrid w:val="0"/>
                <w:sz w:val="18"/>
                <w:szCs w:val="18"/>
              </w:rPr>
              <w:t>Amérique du Nord</w:t>
            </w:r>
          </w:p>
        </w:tc>
        <w:tc>
          <w:tcPr>
            <w:tcW w:w="1275" w:type="dxa"/>
            <w:shd w:val="clear" w:color="auto" w:fill="E6E6E6"/>
          </w:tcPr>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Asie</w:t>
            </w:r>
          </w:p>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(hors Inde)</w:t>
            </w:r>
          </w:p>
        </w:tc>
        <w:tc>
          <w:tcPr>
            <w:tcW w:w="1276" w:type="dxa"/>
            <w:shd w:val="clear" w:color="auto" w:fill="E6E6E6"/>
          </w:tcPr>
          <w:p w:rsidR="007970E1" w:rsidRPr="007970E1" w:rsidRDefault="007970E1" w:rsidP="00280CEC">
            <w:pPr>
              <w:tabs>
                <w:tab w:val="left" w:pos="284"/>
              </w:tabs>
              <w:jc w:val="center"/>
              <w:rPr>
                <w:rFonts w:ascii="Arial" w:eastAsia="MS Mincho" w:hAnsi="Arial" w:cs="Arial"/>
                <w:b/>
                <w:smallCaps/>
                <w:snapToGrid w:val="0"/>
                <w:sz w:val="18"/>
                <w:szCs w:val="18"/>
              </w:rPr>
            </w:pPr>
            <w:r w:rsidRPr="007970E1">
              <w:rPr>
                <w:rFonts w:ascii="Arial" w:eastAsia="MS Mincho" w:hAnsi="Arial" w:cs="Arial"/>
                <w:b/>
                <w:bCs/>
                <w:smallCaps/>
                <w:snapToGrid w:val="0"/>
                <w:sz w:val="18"/>
                <w:szCs w:val="18"/>
              </w:rPr>
              <w:t>Amérique du Sud</w:t>
            </w:r>
          </w:p>
        </w:tc>
        <w:tc>
          <w:tcPr>
            <w:tcW w:w="1276" w:type="dxa"/>
            <w:shd w:val="clear" w:color="auto" w:fill="E6E6E6"/>
          </w:tcPr>
          <w:p w:rsidR="007970E1" w:rsidRPr="007970E1" w:rsidRDefault="007970E1" w:rsidP="00280CEC">
            <w:pPr>
              <w:tabs>
                <w:tab w:val="left" w:pos="284"/>
              </w:tabs>
              <w:jc w:val="center"/>
              <w:rPr>
                <w:rFonts w:ascii="Arial" w:eastAsia="MS Mincho" w:hAnsi="Arial" w:cs="Arial"/>
                <w:b/>
                <w:smallCaps/>
                <w:snapToGrid w:val="0"/>
                <w:sz w:val="18"/>
                <w:szCs w:val="18"/>
              </w:rPr>
            </w:pPr>
            <w:r w:rsidRPr="007970E1">
              <w:rPr>
                <w:rFonts w:ascii="Arial" w:eastAsia="MS Mincho" w:hAnsi="Arial" w:cs="Arial"/>
                <w:b/>
                <w:bCs/>
                <w:smallCaps/>
                <w:snapToGrid w:val="0"/>
                <w:sz w:val="18"/>
                <w:szCs w:val="18"/>
              </w:rPr>
              <w:t>Afrique Inde Moyen-Orient</w:t>
            </w:r>
          </w:p>
        </w:tc>
        <w:tc>
          <w:tcPr>
            <w:tcW w:w="1134" w:type="dxa"/>
            <w:shd w:val="clear" w:color="auto" w:fill="E6E6E6"/>
          </w:tcPr>
          <w:p w:rsidR="007970E1" w:rsidRPr="007970E1" w:rsidRDefault="007970E1" w:rsidP="00280CEC">
            <w:pPr>
              <w:tabs>
                <w:tab w:val="left" w:pos="1026"/>
              </w:tabs>
              <w:ind w:right="-108"/>
              <w:jc w:val="center"/>
              <w:rPr>
                <w:rFonts w:ascii="Arial" w:eastAsia="MS Mincho" w:hAnsi="Arial" w:cs="Arial"/>
                <w:b/>
                <w:smallCaps/>
                <w:snapToGrid w:val="0"/>
                <w:sz w:val="18"/>
                <w:szCs w:val="18"/>
              </w:rPr>
            </w:pPr>
            <w:r w:rsidRPr="007970E1">
              <w:rPr>
                <w:rFonts w:ascii="Arial" w:eastAsia="MS Mincho" w:hAnsi="Arial" w:cs="Arial"/>
                <w:b/>
                <w:bCs/>
                <w:smallCaps/>
                <w:snapToGrid w:val="0"/>
                <w:sz w:val="18"/>
                <w:szCs w:val="18"/>
              </w:rPr>
              <w:t>Total</w:t>
            </w:r>
          </w:p>
        </w:tc>
      </w:tr>
      <w:tr w:rsidR="007970E1" w:rsidRPr="007970E1" w:rsidTr="00280CEC">
        <w:tc>
          <w:tcPr>
            <w:tcW w:w="1951" w:type="dxa"/>
            <w:shd w:val="clear" w:color="auto" w:fill="auto"/>
          </w:tcPr>
          <w:p w:rsidR="007970E1" w:rsidRPr="007970E1" w:rsidRDefault="007970E1" w:rsidP="00280CEC">
            <w:pPr>
              <w:tabs>
                <w:tab w:val="left" w:pos="284"/>
              </w:tabs>
              <w:jc w:val="center"/>
              <w:rPr>
                <w:rFonts w:ascii="Verdana" w:eastAsia="MS Mincho" w:hAnsi="Verdana" w:cs="Arial"/>
                <w:bCs/>
                <w:snapToGrid w:val="0"/>
                <w:sz w:val="18"/>
                <w:szCs w:val="18"/>
              </w:rPr>
            </w:pPr>
          </w:p>
          <w:p w:rsidR="007970E1" w:rsidRPr="007970E1" w:rsidRDefault="007970E1" w:rsidP="00280CEC">
            <w:pPr>
              <w:tabs>
                <w:tab w:val="left" w:pos="284"/>
              </w:tabs>
              <w:jc w:val="center"/>
              <w:rPr>
                <w:rFonts w:ascii="Verdana" w:eastAsia="MS Mincho" w:hAnsi="Verdana" w:cs="Arial"/>
                <w:bCs/>
                <w:snapToGrid w:val="0"/>
                <w:sz w:val="18"/>
                <w:szCs w:val="18"/>
              </w:rPr>
            </w:pPr>
            <w:r w:rsidRPr="007970E1">
              <w:rPr>
                <w:rFonts w:ascii="Verdana" w:eastAsia="MS Mincho" w:hAnsi="Verdana" w:cs="Arial"/>
                <w:bCs/>
                <w:snapToGrid w:val="0"/>
                <w:sz w:val="18"/>
                <w:szCs w:val="18"/>
              </w:rPr>
              <w:t xml:space="preserve">Première monte </w:t>
            </w:r>
          </w:p>
          <w:p w:rsidR="007970E1" w:rsidRPr="007970E1" w:rsidRDefault="007970E1" w:rsidP="00280CEC">
            <w:pPr>
              <w:tabs>
                <w:tab w:val="left" w:pos="284"/>
              </w:tabs>
              <w:jc w:val="center"/>
              <w:rPr>
                <w:rFonts w:ascii="Verdana" w:eastAsia="MS Mincho" w:hAnsi="Verdana" w:cs="Arial"/>
                <w:bCs/>
                <w:snapToGrid w:val="0"/>
                <w:sz w:val="18"/>
                <w:szCs w:val="18"/>
              </w:rPr>
            </w:pPr>
          </w:p>
          <w:p w:rsidR="007970E1" w:rsidRPr="007970E1" w:rsidRDefault="007970E1" w:rsidP="00280CEC">
            <w:pPr>
              <w:tabs>
                <w:tab w:val="left" w:pos="284"/>
              </w:tabs>
              <w:jc w:val="center"/>
              <w:rPr>
                <w:rFonts w:ascii="Arial" w:eastAsia="MS Mincho" w:hAnsi="Arial" w:cs="Arial"/>
                <w:bCs/>
                <w:snapToGrid w:val="0"/>
                <w:sz w:val="18"/>
                <w:szCs w:val="18"/>
                <w:highlight w:val="yellow"/>
              </w:rPr>
            </w:pPr>
            <w:r w:rsidRPr="007970E1">
              <w:rPr>
                <w:rFonts w:ascii="Verdana" w:eastAsia="MS Mincho" w:hAnsi="Verdana" w:cs="Arial"/>
                <w:bCs/>
                <w:snapToGrid w:val="0"/>
                <w:sz w:val="18"/>
                <w:szCs w:val="18"/>
              </w:rPr>
              <w:t>Remplacement</w:t>
            </w:r>
          </w:p>
        </w:tc>
        <w:tc>
          <w:tcPr>
            <w:tcW w:w="1134" w:type="dxa"/>
            <w:shd w:val="clear" w:color="auto" w:fill="auto"/>
          </w:tcPr>
          <w:p w:rsidR="007970E1" w:rsidRPr="001842FE" w:rsidRDefault="007970E1" w:rsidP="00280CEC">
            <w:pPr>
              <w:tabs>
                <w:tab w:val="left" w:pos="284"/>
              </w:tabs>
              <w:jc w:val="center"/>
              <w:rPr>
                <w:rFonts w:ascii="Verdana" w:eastAsia="MS Mincho" w:hAnsi="Verdana" w:cs="Arial"/>
                <w:b/>
                <w:snapToGrid w:val="0"/>
                <w:sz w:val="18"/>
                <w:szCs w:val="18"/>
              </w:rPr>
            </w:pPr>
          </w:p>
          <w:p w:rsidR="007970E1" w:rsidRPr="001842FE" w:rsidRDefault="007970E1" w:rsidP="00280CEC">
            <w:pPr>
              <w:tabs>
                <w:tab w:val="left" w:pos="284"/>
              </w:tabs>
              <w:jc w:val="center"/>
              <w:rPr>
                <w:rFonts w:ascii="Verdana" w:eastAsia="MS Mincho" w:hAnsi="Verdana" w:cs="Arial"/>
                <w:b/>
                <w:snapToGrid w:val="0"/>
                <w:sz w:val="18"/>
                <w:szCs w:val="18"/>
              </w:rPr>
            </w:pPr>
            <w:r w:rsidRPr="001842FE">
              <w:rPr>
                <w:rFonts w:ascii="Verdana" w:eastAsia="MS Mincho" w:hAnsi="Verdana" w:cs="Arial"/>
                <w:b/>
                <w:snapToGrid w:val="0"/>
                <w:sz w:val="18"/>
                <w:szCs w:val="18"/>
              </w:rPr>
              <w:t>+ </w:t>
            </w:r>
            <w:r w:rsidR="001842FE" w:rsidRPr="001842FE">
              <w:rPr>
                <w:rFonts w:ascii="Verdana" w:eastAsia="MS Mincho" w:hAnsi="Verdana" w:cs="Arial"/>
                <w:b/>
                <w:snapToGrid w:val="0"/>
                <w:sz w:val="18"/>
                <w:szCs w:val="18"/>
              </w:rPr>
              <w:t>3</w:t>
            </w:r>
            <w:r w:rsidRPr="001842FE">
              <w:rPr>
                <w:rFonts w:ascii="Verdana" w:eastAsia="MS Mincho" w:hAnsi="Verdana" w:cs="Arial"/>
                <w:b/>
                <w:snapToGrid w:val="0"/>
                <w:sz w:val="18"/>
                <w:szCs w:val="18"/>
              </w:rPr>
              <w:t> %</w:t>
            </w:r>
          </w:p>
          <w:p w:rsidR="007970E1" w:rsidRPr="001842FE" w:rsidRDefault="007970E1" w:rsidP="00280CEC">
            <w:pPr>
              <w:tabs>
                <w:tab w:val="left" w:pos="284"/>
              </w:tabs>
              <w:jc w:val="center"/>
              <w:rPr>
                <w:rFonts w:ascii="Verdana" w:eastAsia="MS Mincho" w:hAnsi="Verdana" w:cs="Arial"/>
                <w:b/>
                <w:snapToGrid w:val="0"/>
                <w:sz w:val="18"/>
                <w:szCs w:val="18"/>
              </w:rPr>
            </w:pPr>
          </w:p>
          <w:p w:rsidR="007970E1" w:rsidRPr="001842FE" w:rsidRDefault="007970E1" w:rsidP="00280CEC">
            <w:pPr>
              <w:tabs>
                <w:tab w:val="left" w:pos="284"/>
              </w:tabs>
              <w:jc w:val="center"/>
              <w:rPr>
                <w:rFonts w:ascii="Verdana" w:eastAsia="MS Mincho" w:hAnsi="Verdana" w:cs="Arial"/>
                <w:b/>
                <w:snapToGrid w:val="0"/>
                <w:sz w:val="18"/>
                <w:szCs w:val="18"/>
              </w:rPr>
            </w:pPr>
            <w:r w:rsidRPr="001842FE">
              <w:rPr>
                <w:rFonts w:ascii="Verdana" w:eastAsia="MS Mincho" w:hAnsi="Verdana" w:cs="Arial"/>
                <w:b/>
                <w:snapToGrid w:val="0"/>
                <w:sz w:val="18"/>
                <w:szCs w:val="18"/>
              </w:rPr>
              <w:t>+ </w:t>
            </w:r>
            <w:r w:rsidR="001842FE" w:rsidRPr="001842FE">
              <w:rPr>
                <w:rFonts w:ascii="Verdana" w:eastAsia="MS Mincho" w:hAnsi="Verdana" w:cs="Arial"/>
                <w:b/>
                <w:snapToGrid w:val="0"/>
                <w:sz w:val="18"/>
                <w:szCs w:val="18"/>
              </w:rPr>
              <w:t>2</w:t>
            </w:r>
            <w:r w:rsidRPr="001842FE">
              <w:rPr>
                <w:rFonts w:ascii="Verdana" w:eastAsia="MS Mincho" w:hAnsi="Verdana" w:cs="Arial"/>
                <w:b/>
                <w:snapToGrid w:val="0"/>
                <w:sz w:val="18"/>
                <w:szCs w:val="18"/>
              </w:rPr>
              <w:t> %</w:t>
            </w:r>
          </w:p>
          <w:p w:rsidR="007970E1" w:rsidRPr="001842FE" w:rsidRDefault="007970E1" w:rsidP="00280CEC">
            <w:pPr>
              <w:tabs>
                <w:tab w:val="left" w:pos="284"/>
              </w:tabs>
              <w:jc w:val="center"/>
              <w:rPr>
                <w:rFonts w:ascii="Verdana" w:eastAsia="MS Mincho" w:hAnsi="Verdana" w:cs="Arial"/>
                <w:b/>
                <w:snapToGrid w:val="0"/>
                <w:sz w:val="18"/>
                <w:szCs w:val="18"/>
              </w:rPr>
            </w:pPr>
          </w:p>
        </w:tc>
        <w:tc>
          <w:tcPr>
            <w:tcW w:w="1168" w:type="dxa"/>
          </w:tcPr>
          <w:p w:rsidR="007970E1" w:rsidRPr="001842FE" w:rsidRDefault="007970E1" w:rsidP="00280CEC">
            <w:pPr>
              <w:tabs>
                <w:tab w:val="left" w:pos="284"/>
              </w:tabs>
              <w:jc w:val="center"/>
              <w:rPr>
                <w:rFonts w:ascii="Verdana" w:eastAsia="MS Mincho" w:hAnsi="Verdana" w:cs="Arial"/>
                <w:b/>
                <w:snapToGrid w:val="0"/>
                <w:sz w:val="18"/>
                <w:szCs w:val="18"/>
              </w:rPr>
            </w:pPr>
          </w:p>
          <w:p w:rsidR="007970E1" w:rsidRPr="001842FE" w:rsidRDefault="007970E1" w:rsidP="00280CEC">
            <w:pPr>
              <w:tabs>
                <w:tab w:val="left" w:pos="284"/>
              </w:tabs>
              <w:jc w:val="center"/>
              <w:rPr>
                <w:rFonts w:ascii="Verdana" w:eastAsia="MS Mincho" w:hAnsi="Verdana" w:cs="Arial"/>
                <w:b/>
                <w:snapToGrid w:val="0"/>
                <w:sz w:val="18"/>
                <w:szCs w:val="18"/>
              </w:rPr>
            </w:pPr>
            <w:r w:rsidRPr="001842FE">
              <w:rPr>
                <w:rFonts w:ascii="Verdana" w:eastAsia="MS Mincho" w:hAnsi="Verdana" w:cs="Arial"/>
                <w:b/>
                <w:snapToGrid w:val="0"/>
                <w:sz w:val="18"/>
                <w:szCs w:val="18"/>
              </w:rPr>
              <w:t>+ </w:t>
            </w:r>
            <w:r w:rsidR="001842FE" w:rsidRPr="001842FE">
              <w:rPr>
                <w:rFonts w:ascii="Verdana" w:eastAsia="MS Mincho" w:hAnsi="Verdana" w:cs="Arial"/>
                <w:b/>
                <w:snapToGrid w:val="0"/>
                <w:sz w:val="18"/>
                <w:szCs w:val="18"/>
              </w:rPr>
              <w:t>4</w:t>
            </w:r>
            <w:r w:rsidRPr="001842FE">
              <w:rPr>
                <w:rFonts w:ascii="Verdana" w:eastAsia="MS Mincho" w:hAnsi="Verdana" w:cs="Arial"/>
                <w:b/>
                <w:snapToGrid w:val="0"/>
                <w:sz w:val="18"/>
                <w:szCs w:val="18"/>
              </w:rPr>
              <w:t> %</w:t>
            </w:r>
          </w:p>
          <w:p w:rsidR="007970E1" w:rsidRPr="001842FE" w:rsidRDefault="007970E1" w:rsidP="00280CEC">
            <w:pPr>
              <w:tabs>
                <w:tab w:val="left" w:pos="284"/>
              </w:tabs>
              <w:jc w:val="center"/>
              <w:rPr>
                <w:rFonts w:ascii="Verdana" w:eastAsia="MS Mincho" w:hAnsi="Verdana" w:cs="Arial"/>
                <w:b/>
                <w:snapToGrid w:val="0"/>
                <w:sz w:val="18"/>
                <w:szCs w:val="18"/>
              </w:rPr>
            </w:pPr>
          </w:p>
          <w:p w:rsidR="007970E1" w:rsidRPr="001842FE" w:rsidRDefault="007970E1" w:rsidP="001842FE">
            <w:pPr>
              <w:tabs>
                <w:tab w:val="left" w:pos="284"/>
              </w:tabs>
              <w:jc w:val="center"/>
              <w:rPr>
                <w:rFonts w:ascii="Verdana" w:eastAsia="MS Mincho" w:hAnsi="Verdana" w:cs="Arial"/>
                <w:b/>
                <w:snapToGrid w:val="0"/>
                <w:sz w:val="18"/>
                <w:szCs w:val="18"/>
              </w:rPr>
            </w:pPr>
            <w:r w:rsidRPr="001842FE">
              <w:rPr>
                <w:rFonts w:ascii="Verdana" w:eastAsia="MS Mincho" w:hAnsi="Verdana" w:cs="Arial"/>
                <w:b/>
                <w:snapToGrid w:val="0"/>
                <w:sz w:val="18"/>
                <w:szCs w:val="18"/>
              </w:rPr>
              <w:t>+ </w:t>
            </w:r>
            <w:r w:rsidR="001842FE" w:rsidRPr="001842FE">
              <w:rPr>
                <w:rFonts w:ascii="Verdana" w:eastAsia="MS Mincho" w:hAnsi="Verdana" w:cs="Arial"/>
                <w:b/>
                <w:snapToGrid w:val="0"/>
                <w:sz w:val="18"/>
                <w:szCs w:val="18"/>
              </w:rPr>
              <w:t>4</w:t>
            </w:r>
            <w:r w:rsidRPr="001842FE">
              <w:rPr>
                <w:rFonts w:ascii="Verdana" w:eastAsia="MS Mincho" w:hAnsi="Verdana" w:cs="Arial"/>
                <w:b/>
                <w:snapToGrid w:val="0"/>
                <w:sz w:val="18"/>
                <w:szCs w:val="18"/>
              </w:rPr>
              <w:t> %</w:t>
            </w:r>
          </w:p>
        </w:tc>
        <w:tc>
          <w:tcPr>
            <w:tcW w:w="1276" w:type="dxa"/>
            <w:shd w:val="clear" w:color="auto" w:fill="auto"/>
          </w:tcPr>
          <w:p w:rsidR="007970E1" w:rsidRPr="001842FE" w:rsidRDefault="007970E1" w:rsidP="00280CEC">
            <w:pPr>
              <w:tabs>
                <w:tab w:val="left" w:pos="284"/>
              </w:tabs>
              <w:jc w:val="center"/>
              <w:rPr>
                <w:rFonts w:ascii="Verdana" w:eastAsia="MS Mincho" w:hAnsi="Verdana" w:cs="Arial"/>
                <w:b/>
                <w:snapToGrid w:val="0"/>
                <w:sz w:val="18"/>
                <w:szCs w:val="18"/>
              </w:rPr>
            </w:pPr>
          </w:p>
          <w:p w:rsidR="007970E1" w:rsidRPr="001842FE" w:rsidRDefault="007970E1" w:rsidP="00280CEC">
            <w:pPr>
              <w:tabs>
                <w:tab w:val="left" w:pos="284"/>
              </w:tabs>
              <w:jc w:val="center"/>
              <w:rPr>
                <w:rFonts w:ascii="Verdana" w:eastAsia="MS Mincho" w:hAnsi="Verdana" w:cs="Arial"/>
                <w:b/>
                <w:snapToGrid w:val="0"/>
                <w:sz w:val="18"/>
                <w:szCs w:val="18"/>
              </w:rPr>
            </w:pPr>
            <w:r w:rsidRPr="001842FE">
              <w:rPr>
                <w:rFonts w:ascii="Verdana" w:eastAsia="MS Mincho" w:hAnsi="Verdana" w:cs="Arial"/>
                <w:b/>
                <w:snapToGrid w:val="0"/>
                <w:sz w:val="18"/>
                <w:szCs w:val="18"/>
              </w:rPr>
              <w:t>+ </w:t>
            </w:r>
            <w:r w:rsidR="001842FE" w:rsidRPr="001842FE">
              <w:rPr>
                <w:rFonts w:ascii="Verdana" w:eastAsia="MS Mincho" w:hAnsi="Verdana" w:cs="Arial"/>
                <w:b/>
                <w:snapToGrid w:val="0"/>
                <w:sz w:val="18"/>
                <w:szCs w:val="18"/>
              </w:rPr>
              <w:t>1</w:t>
            </w:r>
            <w:r w:rsidRPr="001842FE">
              <w:rPr>
                <w:rFonts w:ascii="Verdana" w:eastAsia="MS Mincho" w:hAnsi="Verdana" w:cs="Arial"/>
                <w:b/>
                <w:snapToGrid w:val="0"/>
                <w:sz w:val="18"/>
                <w:szCs w:val="18"/>
              </w:rPr>
              <w:t> %</w:t>
            </w:r>
          </w:p>
          <w:p w:rsidR="007970E1" w:rsidRPr="001842FE" w:rsidRDefault="007970E1" w:rsidP="00280CEC">
            <w:pPr>
              <w:tabs>
                <w:tab w:val="left" w:pos="284"/>
              </w:tabs>
              <w:jc w:val="center"/>
              <w:rPr>
                <w:rFonts w:ascii="Verdana" w:eastAsia="MS Mincho" w:hAnsi="Verdana" w:cs="Arial"/>
                <w:b/>
                <w:snapToGrid w:val="0"/>
                <w:sz w:val="18"/>
                <w:szCs w:val="18"/>
              </w:rPr>
            </w:pPr>
          </w:p>
          <w:p w:rsidR="007970E1" w:rsidRPr="001842FE" w:rsidRDefault="007970E1" w:rsidP="001842FE">
            <w:pPr>
              <w:tabs>
                <w:tab w:val="left" w:pos="284"/>
              </w:tabs>
              <w:jc w:val="center"/>
              <w:rPr>
                <w:rFonts w:ascii="Verdana" w:eastAsia="MS Mincho" w:hAnsi="Verdana" w:cs="Arial"/>
                <w:b/>
                <w:snapToGrid w:val="0"/>
                <w:sz w:val="18"/>
                <w:szCs w:val="18"/>
              </w:rPr>
            </w:pPr>
            <w:r w:rsidRPr="001842FE">
              <w:rPr>
                <w:rFonts w:ascii="Verdana" w:eastAsia="MS Mincho" w:hAnsi="Verdana" w:cs="Arial"/>
                <w:b/>
                <w:snapToGrid w:val="0"/>
                <w:sz w:val="18"/>
                <w:szCs w:val="18"/>
              </w:rPr>
              <w:t>+ </w:t>
            </w:r>
            <w:r w:rsidR="001842FE" w:rsidRPr="001842FE">
              <w:rPr>
                <w:rFonts w:ascii="Verdana" w:eastAsia="MS Mincho" w:hAnsi="Verdana" w:cs="Arial"/>
                <w:b/>
                <w:snapToGrid w:val="0"/>
                <w:sz w:val="18"/>
                <w:szCs w:val="18"/>
              </w:rPr>
              <w:t>2</w:t>
            </w:r>
            <w:r w:rsidRPr="001842FE">
              <w:rPr>
                <w:rFonts w:ascii="Verdana" w:eastAsia="MS Mincho" w:hAnsi="Verdana" w:cs="Arial"/>
                <w:b/>
                <w:snapToGrid w:val="0"/>
                <w:sz w:val="18"/>
                <w:szCs w:val="18"/>
              </w:rPr>
              <w:t> %</w:t>
            </w:r>
          </w:p>
        </w:tc>
        <w:tc>
          <w:tcPr>
            <w:tcW w:w="1275" w:type="dxa"/>
            <w:shd w:val="clear" w:color="auto" w:fill="auto"/>
          </w:tcPr>
          <w:p w:rsidR="007970E1" w:rsidRPr="006676CD" w:rsidRDefault="007970E1" w:rsidP="00280CEC">
            <w:pPr>
              <w:tabs>
                <w:tab w:val="left" w:pos="284"/>
              </w:tabs>
              <w:jc w:val="center"/>
              <w:rPr>
                <w:rFonts w:ascii="Verdana" w:eastAsia="MS Mincho" w:hAnsi="Verdana" w:cs="Arial"/>
                <w:b/>
                <w:strike/>
                <w:snapToGrid w:val="0"/>
                <w:sz w:val="18"/>
                <w:szCs w:val="18"/>
              </w:rPr>
            </w:pPr>
          </w:p>
          <w:p w:rsidR="007970E1" w:rsidRPr="003F349F" w:rsidRDefault="007970E1" w:rsidP="00280CEC">
            <w:pPr>
              <w:tabs>
                <w:tab w:val="left" w:pos="284"/>
              </w:tabs>
              <w:jc w:val="center"/>
              <w:rPr>
                <w:rFonts w:ascii="Verdana" w:eastAsia="MS Mincho" w:hAnsi="Verdana" w:cs="Arial"/>
                <w:b/>
                <w:snapToGrid w:val="0"/>
                <w:sz w:val="18"/>
                <w:szCs w:val="18"/>
                <w:lang w:val="en-US"/>
              </w:rPr>
            </w:pPr>
            <w:r w:rsidRPr="003F349F">
              <w:rPr>
                <w:rFonts w:ascii="Verdana" w:eastAsia="MS Mincho" w:hAnsi="Verdana" w:cs="Arial"/>
                <w:b/>
                <w:snapToGrid w:val="0"/>
                <w:sz w:val="18"/>
                <w:szCs w:val="18"/>
              </w:rPr>
              <w:t>+ </w:t>
            </w:r>
            <w:r w:rsidR="003F349F" w:rsidRPr="003F349F">
              <w:rPr>
                <w:rFonts w:ascii="Verdana" w:eastAsia="MS Mincho" w:hAnsi="Verdana" w:cs="Arial"/>
                <w:b/>
                <w:snapToGrid w:val="0"/>
                <w:sz w:val="18"/>
                <w:szCs w:val="18"/>
              </w:rPr>
              <w:t>7</w:t>
            </w:r>
            <w:r w:rsidRPr="003F349F">
              <w:rPr>
                <w:rFonts w:ascii="Verdana" w:eastAsia="MS Mincho" w:hAnsi="Verdana" w:cs="Arial"/>
                <w:b/>
                <w:snapToGrid w:val="0"/>
                <w:sz w:val="18"/>
                <w:szCs w:val="18"/>
              </w:rPr>
              <w:t> </w:t>
            </w:r>
            <w:r w:rsidRPr="003F349F">
              <w:rPr>
                <w:rFonts w:ascii="Verdana" w:eastAsia="MS Mincho" w:hAnsi="Verdana" w:cs="Arial"/>
                <w:b/>
                <w:snapToGrid w:val="0"/>
                <w:sz w:val="18"/>
                <w:szCs w:val="18"/>
                <w:lang w:val="en-US"/>
              </w:rPr>
              <w:t>%</w:t>
            </w:r>
          </w:p>
          <w:p w:rsidR="007970E1" w:rsidRPr="003F349F" w:rsidRDefault="007970E1" w:rsidP="00280CEC">
            <w:pPr>
              <w:tabs>
                <w:tab w:val="left" w:pos="284"/>
              </w:tabs>
              <w:jc w:val="center"/>
              <w:rPr>
                <w:rFonts w:ascii="Verdana" w:eastAsia="MS Mincho" w:hAnsi="Verdana" w:cs="Arial"/>
                <w:b/>
                <w:snapToGrid w:val="0"/>
                <w:sz w:val="18"/>
                <w:szCs w:val="18"/>
                <w:lang w:val="en-US"/>
              </w:rPr>
            </w:pPr>
          </w:p>
          <w:p w:rsidR="007970E1" w:rsidRPr="006676CD" w:rsidRDefault="007970E1" w:rsidP="003F349F">
            <w:pPr>
              <w:tabs>
                <w:tab w:val="left" w:pos="284"/>
              </w:tabs>
              <w:jc w:val="center"/>
              <w:rPr>
                <w:rFonts w:ascii="Verdana" w:eastAsia="MS Mincho" w:hAnsi="Verdana" w:cs="Arial"/>
                <w:b/>
                <w:strike/>
                <w:snapToGrid w:val="0"/>
                <w:sz w:val="18"/>
                <w:szCs w:val="18"/>
                <w:lang w:val="en-US"/>
              </w:rPr>
            </w:pPr>
            <w:r w:rsidRPr="003F349F">
              <w:rPr>
                <w:rFonts w:ascii="Verdana" w:eastAsia="MS Mincho" w:hAnsi="Verdana" w:cs="Arial"/>
                <w:b/>
                <w:snapToGrid w:val="0"/>
                <w:sz w:val="18"/>
                <w:szCs w:val="18"/>
              </w:rPr>
              <w:t>+ </w:t>
            </w:r>
            <w:r w:rsidR="003F349F" w:rsidRPr="003F349F">
              <w:rPr>
                <w:rFonts w:ascii="Verdana" w:eastAsia="MS Mincho" w:hAnsi="Verdana" w:cs="Arial"/>
                <w:b/>
                <w:snapToGrid w:val="0"/>
                <w:sz w:val="18"/>
                <w:szCs w:val="18"/>
              </w:rPr>
              <w:t>4</w:t>
            </w:r>
            <w:r w:rsidRPr="003F349F">
              <w:rPr>
                <w:rFonts w:ascii="Verdana" w:eastAsia="MS Mincho" w:hAnsi="Verdana" w:cs="Arial"/>
                <w:b/>
                <w:snapToGrid w:val="0"/>
                <w:sz w:val="18"/>
                <w:szCs w:val="18"/>
              </w:rPr>
              <w:t> %</w:t>
            </w:r>
          </w:p>
        </w:tc>
        <w:tc>
          <w:tcPr>
            <w:tcW w:w="1276" w:type="dxa"/>
            <w:shd w:val="clear" w:color="auto" w:fill="auto"/>
          </w:tcPr>
          <w:p w:rsidR="007970E1" w:rsidRPr="00010491" w:rsidRDefault="007970E1" w:rsidP="00280CEC">
            <w:pPr>
              <w:tabs>
                <w:tab w:val="left" w:pos="284"/>
              </w:tabs>
              <w:jc w:val="center"/>
              <w:rPr>
                <w:rFonts w:ascii="Verdana" w:eastAsia="MS Mincho" w:hAnsi="Verdana" w:cs="Arial"/>
                <w:b/>
                <w:snapToGrid w:val="0"/>
                <w:sz w:val="18"/>
                <w:szCs w:val="18"/>
                <w:highlight w:val="yellow"/>
                <w:lang w:val="en-US"/>
              </w:rPr>
            </w:pPr>
          </w:p>
          <w:p w:rsidR="007970E1" w:rsidRPr="00010491" w:rsidRDefault="007970E1" w:rsidP="00280CEC">
            <w:pPr>
              <w:tabs>
                <w:tab w:val="left" w:pos="284"/>
              </w:tabs>
              <w:jc w:val="center"/>
              <w:rPr>
                <w:rFonts w:ascii="Verdana" w:eastAsia="MS Mincho" w:hAnsi="Verdana" w:cs="Arial"/>
                <w:b/>
                <w:snapToGrid w:val="0"/>
                <w:sz w:val="18"/>
                <w:szCs w:val="18"/>
                <w:lang w:val="en-US"/>
              </w:rPr>
            </w:pPr>
            <w:r w:rsidRPr="00010491">
              <w:rPr>
                <w:rFonts w:ascii="Verdana" w:eastAsia="MS Mincho" w:hAnsi="Verdana" w:cs="Arial"/>
                <w:b/>
                <w:snapToGrid w:val="0"/>
                <w:sz w:val="18"/>
                <w:szCs w:val="18"/>
                <w:lang w:val="en-US"/>
              </w:rPr>
              <w:t>- 1</w:t>
            </w:r>
            <w:r w:rsidR="00010491" w:rsidRPr="00010491">
              <w:rPr>
                <w:rFonts w:ascii="Verdana" w:eastAsia="MS Mincho" w:hAnsi="Verdana" w:cs="Arial"/>
                <w:b/>
                <w:snapToGrid w:val="0"/>
                <w:sz w:val="18"/>
                <w:szCs w:val="18"/>
                <w:lang w:val="en-US"/>
              </w:rPr>
              <w:t>2</w:t>
            </w:r>
            <w:r w:rsidR="00C6184E" w:rsidRPr="00010491">
              <w:rPr>
                <w:rFonts w:ascii="Verdana" w:eastAsia="MS Mincho" w:hAnsi="Verdana" w:cs="Arial"/>
                <w:b/>
                <w:snapToGrid w:val="0"/>
                <w:sz w:val="18"/>
                <w:szCs w:val="18"/>
                <w:lang w:val="en-US"/>
              </w:rPr>
              <w:t> </w:t>
            </w:r>
            <w:r w:rsidRPr="00010491">
              <w:rPr>
                <w:rFonts w:ascii="Verdana" w:eastAsia="MS Mincho" w:hAnsi="Verdana" w:cs="Arial"/>
                <w:b/>
                <w:snapToGrid w:val="0"/>
                <w:sz w:val="18"/>
                <w:szCs w:val="18"/>
                <w:lang w:val="en-US"/>
              </w:rPr>
              <w:t>%</w:t>
            </w:r>
          </w:p>
          <w:p w:rsidR="007970E1" w:rsidRPr="00010491" w:rsidRDefault="007970E1" w:rsidP="00280CEC">
            <w:pPr>
              <w:tabs>
                <w:tab w:val="left" w:pos="284"/>
              </w:tabs>
              <w:jc w:val="center"/>
              <w:rPr>
                <w:rFonts w:ascii="Verdana" w:eastAsia="MS Mincho" w:hAnsi="Verdana" w:cs="Arial"/>
                <w:b/>
                <w:snapToGrid w:val="0"/>
                <w:sz w:val="18"/>
                <w:szCs w:val="18"/>
                <w:lang w:val="en-US"/>
              </w:rPr>
            </w:pPr>
          </w:p>
          <w:p w:rsidR="007970E1" w:rsidRPr="00010491" w:rsidRDefault="007970E1" w:rsidP="00010491">
            <w:pPr>
              <w:tabs>
                <w:tab w:val="left" w:pos="284"/>
              </w:tabs>
              <w:jc w:val="center"/>
              <w:rPr>
                <w:rFonts w:ascii="Verdana" w:eastAsia="MS Mincho" w:hAnsi="Verdana" w:cs="Arial"/>
                <w:b/>
                <w:snapToGrid w:val="0"/>
                <w:sz w:val="18"/>
                <w:szCs w:val="18"/>
                <w:highlight w:val="yellow"/>
                <w:lang w:val="en-US"/>
              </w:rPr>
            </w:pPr>
            <w:r w:rsidRPr="00010491">
              <w:rPr>
                <w:rFonts w:ascii="Verdana" w:eastAsia="MS Mincho" w:hAnsi="Verdana" w:cs="Arial"/>
                <w:b/>
                <w:snapToGrid w:val="0"/>
                <w:sz w:val="18"/>
                <w:szCs w:val="18"/>
              </w:rPr>
              <w:t>+ </w:t>
            </w:r>
            <w:r w:rsidR="00010491" w:rsidRPr="00010491">
              <w:rPr>
                <w:rFonts w:ascii="Verdana" w:eastAsia="MS Mincho" w:hAnsi="Verdana" w:cs="Arial"/>
                <w:b/>
                <w:snapToGrid w:val="0"/>
                <w:sz w:val="18"/>
                <w:szCs w:val="18"/>
              </w:rPr>
              <w:t>0</w:t>
            </w:r>
            <w:r w:rsidR="00992448" w:rsidRPr="00010491">
              <w:rPr>
                <w:rFonts w:ascii="Verdana" w:eastAsia="MS Mincho" w:hAnsi="Verdana" w:cs="Arial"/>
                <w:b/>
                <w:snapToGrid w:val="0"/>
                <w:sz w:val="18"/>
                <w:szCs w:val="18"/>
              </w:rPr>
              <w:t> </w:t>
            </w:r>
            <w:r w:rsidRPr="00010491">
              <w:rPr>
                <w:rFonts w:ascii="Verdana" w:eastAsia="MS Mincho" w:hAnsi="Verdana" w:cs="Arial"/>
                <w:b/>
                <w:snapToGrid w:val="0"/>
                <w:sz w:val="18"/>
                <w:szCs w:val="18"/>
              </w:rPr>
              <w:t>%</w:t>
            </w:r>
          </w:p>
        </w:tc>
        <w:tc>
          <w:tcPr>
            <w:tcW w:w="1276" w:type="dxa"/>
            <w:shd w:val="clear" w:color="auto" w:fill="auto"/>
          </w:tcPr>
          <w:p w:rsidR="007970E1" w:rsidRPr="00010491" w:rsidRDefault="007970E1" w:rsidP="00280CEC">
            <w:pPr>
              <w:tabs>
                <w:tab w:val="left" w:pos="284"/>
              </w:tabs>
              <w:jc w:val="center"/>
              <w:rPr>
                <w:rFonts w:ascii="Verdana" w:eastAsia="MS Mincho" w:hAnsi="Verdana" w:cs="Arial"/>
                <w:b/>
                <w:snapToGrid w:val="0"/>
                <w:sz w:val="18"/>
                <w:szCs w:val="18"/>
                <w:highlight w:val="yellow"/>
                <w:lang w:val="en-US"/>
              </w:rPr>
            </w:pPr>
          </w:p>
          <w:p w:rsidR="007970E1" w:rsidRPr="00010491" w:rsidRDefault="007970E1" w:rsidP="00280CEC">
            <w:pPr>
              <w:tabs>
                <w:tab w:val="left" w:pos="284"/>
              </w:tabs>
              <w:jc w:val="center"/>
              <w:rPr>
                <w:rFonts w:ascii="Verdana" w:eastAsia="MS Mincho" w:hAnsi="Verdana" w:cs="Arial"/>
                <w:b/>
                <w:snapToGrid w:val="0"/>
                <w:sz w:val="18"/>
                <w:szCs w:val="18"/>
              </w:rPr>
            </w:pPr>
            <w:r w:rsidRPr="00010491">
              <w:rPr>
                <w:rFonts w:ascii="Verdana" w:eastAsia="MS Mincho" w:hAnsi="Verdana" w:cs="Arial"/>
                <w:b/>
                <w:snapToGrid w:val="0"/>
                <w:sz w:val="18"/>
                <w:szCs w:val="18"/>
              </w:rPr>
              <w:t>+ </w:t>
            </w:r>
            <w:r w:rsidR="00010491" w:rsidRPr="00010491">
              <w:rPr>
                <w:rFonts w:ascii="Verdana" w:eastAsia="MS Mincho" w:hAnsi="Verdana" w:cs="Arial"/>
                <w:b/>
                <w:snapToGrid w:val="0"/>
                <w:sz w:val="18"/>
                <w:szCs w:val="18"/>
              </w:rPr>
              <w:t>9</w:t>
            </w:r>
            <w:r w:rsidRPr="00010491">
              <w:rPr>
                <w:rFonts w:ascii="Verdana" w:eastAsia="MS Mincho" w:hAnsi="Verdana" w:cs="Arial"/>
                <w:b/>
                <w:snapToGrid w:val="0"/>
                <w:sz w:val="18"/>
                <w:szCs w:val="18"/>
              </w:rPr>
              <w:t> %</w:t>
            </w:r>
          </w:p>
          <w:p w:rsidR="007970E1" w:rsidRPr="00010491" w:rsidRDefault="007970E1" w:rsidP="00280CEC">
            <w:pPr>
              <w:tabs>
                <w:tab w:val="left" w:pos="284"/>
              </w:tabs>
              <w:jc w:val="center"/>
              <w:rPr>
                <w:rFonts w:ascii="Verdana" w:eastAsia="MS Mincho" w:hAnsi="Verdana" w:cs="Arial"/>
                <w:b/>
                <w:snapToGrid w:val="0"/>
                <w:sz w:val="18"/>
                <w:szCs w:val="18"/>
                <w:lang w:val="en-US"/>
              </w:rPr>
            </w:pPr>
          </w:p>
          <w:p w:rsidR="007970E1" w:rsidRPr="00010491" w:rsidRDefault="007970E1" w:rsidP="00010491">
            <w:pPr>
              <w:tabs>
                <w:tab w:val="left" w:pos="284"/>
              </w:tabs>
              <w:jc w:val="center"/>
              <w:rPr>
                <w:rFonts w:ascii="Verdana" w:eastAsia="MS Mincho" w:hAnsi="Verdana" w:cs="Arial"/>
                <w:b/>
                <w:snapToGrid w:val="0"/>
                <w:sz w:val="18"/>
                <w:szCs w:val="18"/>
                <w:highlight w:val="yellow"/>
                <w:lang w:val="en-US"/>
              </w:rPr>
            </w:pPr>
            <w:r w:rsidRPr="00010491">
              <w:rPr>
                <w:rFonts w:ascii="Verdana" w:eastAsia="MS Mincho" w:hAnsi="Verdana" w:cs="Arial"/>
                <w:b/>
                <w:snapToGrid w:val="0"/>
                <w:sz w:val="18"/>
                <w:szCs w:val="18"/>
              </w:rPr>
              <w:t>+ </w:t>
            </w:r>
            <w:r w:rsidR="00010491" w:rsidRPr="00010491">
              <w:rPr>
                <w:rFonts w:ascii="Verdana" w:eastAsia="MS Mincho" w:hAnsi="Verdana" w:cs="Arial"/>
                <w:b/>
                <w:snapToGrid w:val="0"/>
                <w:sz w:val="18"/>
                <w:szCs w:val="18"/>
              </w:rPr>
              <w:t>3</w:t>
            </w:r>
            <w:r w:rsidRPr="00010491">
              <w:rPr>
                <w:rFonts w:ascii="Verdana" w:eastAsia="MS Mincho" w:hAnsi="Verdana" w:cs="Arial"/>
                <w:b/>
                <w:snapToGrid w:val="0"/>
                <w:sz w:val="18"/>
                <w:szCs w:val="18"/>
              </w:rPr>
              <w:t> %</w:t>
            </w:r>
          </w:p>
        </w:tc>
        <w:tc>
          <w:tcPr>
            <w:tcW w:w="1134" w:type="dxa"/>
            <w:shd w:val="clear" w:color="auto" w:fill="auto"/>
          </w:tcPr>
          <w:p w:rsidR="007970E1" w:rsidRPr="006676CD" w:rsidRDefault="007970E1" w:rsidP="00280CEC">
            <w:pPr>
              <w:tabs>
                <w:tab w:val="left" w:pos="1168"/>
              </w:tabs>
              <w:ind w:right="-108"/>
              <w:jc w:val="center"/>
              <w:rPr>
                <w:rFonts w:ascii="Verdana" w:eastAsia="MS Mincho" w:hAnsi="Verdana" w:cs="Arial"/>
                <w:b/>
                <w:strike/>
                <w:snapToGrid w:val="0"/>
                <w:sz w:val="18"/>
                <w:szCs w:val="18"/>
                <w:highlight w:val="yellow"/>
                <w:lang w:val="en-US"/>
              </w:rPr>
            </w:pPr>
          </w:p>
          <w:p w:rsidR="007970E1" w:rsidRPr="005E75B4" w:rsidRDefault="007970E1" w:rsidP="00280CEC">
            <w:pPr>
              <w:tabs>
                <w:tab w:val="left" w:pos="1168"/>
              </w:tabs>
              <w:ind w:right="-108"/>
              <w:jc w:val="center"/>
              <w:rPr>
                <w:rFonts w:ascii="Verdana" w:eastAsia="MS Mincho" w:hAnsi="Verdana" w:cs="Arial"/>
                <w:b/>
                <w:snapToGrid w:val="0"/>
                <w:sz w:val="18"/>
                <w:szCs w:val="18"/>
              </w:rPr>
            </w:pPr>
            <w:r w:rsidRPr="005E75B4">
              <w:rPr>
                <w:rFonts w:ascii="Verdana" w:eastAsia="MS Mincho" w:hAnsi="Verdana" w:cs="Arial"/>
                <w:b/>
                <w:snapToGrid w:val="0"/>
                <w:sz w:val="18"/>
                <w:szCs w:val="18"/>
              </w:rPr>
              <w:t>+ </w:t>
            </w:r>
            <w:r w:rsidR="005E75B4" w:rsidRPr="005E75B4">
              <w:rPr>
                <w:rFonts w:ascii="Verdana" w:eastAsia="MS Mincho" w:hAnsi="Verdana" w:cs="Arial"/>
                <w:b/>
                <w:snapToGrid w:val="0"/>
                <w:sz w:val="18"/>
                <w:szCs w:val="18"/>
              </w:rPr>
              <w:t>4</w:t>
            </w:r>
            <w:r w:rsidRPr="005E75B4">
              <w:rPr>
                <w:rFonts w:ascii="Verdana" w:eastAsia="MS Mincho" w:hAnsi="Verdana" w:cs="Arial"/>
                <w:b/>
                <w:snapToGrid w:val="0"/>
                <w:sz w:val="18"/>
                <w:szCs w:val="18"/>
              </w:rPr>
              <w:t> %</w:t>
            </w:r>
          </w:p>
          <w:p w:rsidR="007970E1" w:rsidRPr="005E75B4" w:rsidRDefault="007970E1" w:rsidP="00280CEC">
            <w:pPr>
              <w:tabs>
                <w:tab w:val="left" w:pos="1168"/>
              </w:tabs>
              <w:ind w:right="-108"/>
              <w:jc w:val="center"/>
              <w:rPr>
                <w:rFonts w:ascii="Verdana" w:eastAsia="MS Mincho" w:hAnsi="Verdana" w:cs="Arial"/>
                <w:b/>
                <w:snapToGrid w:val="0"/>
                <w:sz w:val="18"/>
                <w:szCs w:val="18"/>
                <w:lang w:val="en-US"/>
              </w:rPr>
            </w:pPr>
          </w:p>
          <w:p w:rsidR="007970E1" w:rsidRPr="006676CD" w:rsidRDefault="007970E1" w:rsidP="005E75B4">
            <w:pPr>
              <w:tabs>
                <w:tab w:val="left" w:pos="1168"/>
              </w:tabs>
              <w:ind w:right="-108"/>
              <w:jc w:val="center"/>
              <w:rPr>
                <w:rFonts w:ascii="Verdana" w:eastAsia="MS Mincho" w:hAnsi="Verdana" w:cs="Arial"/>
                <w:b/>
                <w:strike/>
                <w:snapToGrid w:val="0"/>
                <w:sz w:val="18"/>
                <w:szCs w:val="18"/>
                <w:lang w:val="en-US"/>
              </w:rPr>
            </w:pPr>
            <w:r w:rsidRPr="005E75B4">
              <w:rPr>
                <w:rFonts w:ascii="Verdana" w:eastAsia="MS Mincho" w:hAnsi="Verdana" w:cs="Arial"/>
                <w:b/>
                <w:snapToGrid w:val="0"/>
                <w:sz w:val="18"/>
                <w:szCs w:val="18"/>
              </w:rPr>
              <w:t>+ </w:t>
            </w:r>
            <w:r w:rsidR="005E75B4" w:rsidRPr="005E75B4">
              <w:rPr>
                <w:rFonts w:ascii="Verdana" w:eastAsia="MS Mincho" w:hAnsi="Verdana" w:cs="Arial"/>
                <w:b/>
                <w:snapToGrid w:val="0"/>
                <w:sz w:val="18"/>
                <w:szCs w:val="18"/>
              </w:rPr>
              <w:t>2</w:t>
            </w:r>
            <w:r w:rsidRPr="005E75B4">
              <w:rPr>
                <w:rFonts w:ascii="Verdana" w:eastAsia="MS Mincho" w:hAnsi="Verdana" w:cs="Arial"/>
                <w:b/>
                <w:snapToGrid w:val="0"/>
                <w:sz w:val="18"/>
                <w:szCs w:val="18"/>
              </w:rPr>
              <w:t> %</w:t>
            </w:r>
          </w:p>
        </w:tc>
      </w:tr>
    </w:tbl>
    <w:p w:rsidR="007970E1" w:rsidRPr="007970E1" w:rsidRDefault="007970E1" w:rsidP="007970E1">
      <w:pPr>
        <w:ind w:left="284"/>
        <w:jc w:val="both"/>
        <w:rPr>
          <w:rFonts w:ascii="Arial" w:hAnsi="Arial" w:cs="Arial"/>
          <w:sz w:val="24"/>
          <w:szCs w:val="24"/>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68"/>
        <w:gridCol w:w="1276"/>
        <w:gridCol w:w="1275"/>
        <w:gridCol w:w="1276"/>
        <w:gridCol w:w="1276"/>
        <w:gridCol w:w="1134"/>
      </w:tblGrid>
      <w:tr w:rsidR="007970E1" w:rsidRPr="007970E1" w:rsidTr="00280CEC">
        <w:tc>
          <w:tcPr>
            <w:tcW w:w="1951" w:type="dxa"/>
            <w:shd w:val="clear" w:color="auto" w:fill="E6E6E6"/>
          </w:tcPr>
          <w:p w:rsidR="007970E1" w:rsidRPr="007970E1" w:rsidRDefault="007970E1" w:rsidP="00280CEC">
            <w:pPr>
              <w:tabs>
                <w:tab w:val="left" w:pos="284"/>
              </w:tabs>
              <w:jc w:val="center"/>
              <w:rPr>
                <w:rFonts w:ascii="Arial" w:eastAsia="MS Mincho" w:hAnsi="Arial" w:cs="Arial"/>
                <w:b/>
                <w:snapToGrid w:val="0"/>
                <w:sz w:val="15"/>
                <w:szCs w:val="15"/>
              </w:rPr>
            </w:pPr>
            <w:r w:rsidRPr="007970E1">
              <w:rPr>
                <w:rFonts w:ascii="Arial" w:eastAsia="MS Mincho" w:hAnsi="Arial" w:cs="Arial"/>
                <w:b/>
                <w:snapToGrid w:val="0"/>
                <w:sz w:val="15"/>
                <w:szCs w:val="15"/>
              </w:rPr>
              <w:t>4</w:t>
            </w:r>
            <w:r w:rsidRPr="0054215C">
              <w:rPr>
                <w:rFonts w:ascii="Arial" w:eastAsia="MS Mincho" w:hAnsi="Arial" w:cs="Arial"/>
                <w:b/>
                <w:snapToGrid w:val="0"/>
                <w:sz w:val="15"/>
                <w:szCs w:val="15"/>
                <w:vertAlign w:val="superscript"/>
              </w:rPr>
              <w:t>ème</w:t>
            </w:r>
            <w:r w:rsidRPr="007970E1">
              <w:rPr>
                <w:rFonts w:ascii="Arial" w:eastAsia="MS Mincho" w:hAnsi="Arial" w:cs="Arial"/>
                <w:b/>
                <w:snapToGrid w:val="0"/>
                <w:sz w:val="15"/>
                <w:szCs w:val="15"/>
              </w:rPr>
              <w:t xml:space="preserve"> trimestre</w:t>
            </w:r>
          </w:p>
          <w:p w:rsidR="007970E1" w:rsidRPr="007970E1" w:rsidRDefault="00EB75CE" w:rsidP="00280CEC">
            <w:pPr>
              <w:tabs>
                <w:tab w:val="left" w:pos="284"/>
              </w:tabs>
              <w:jc w:val="center"/>
              <w:rPr>
                <w:rFonts w:ascii="Arial" w:eastAsia="MS Mincho" w:hAnsi="Arial" w:cs="Arial"/>
                <w:snapToGrid w:val="0"/>
                <w:sz w:val="15"/>
                <w:szCs w:val="15"/>
              </w:rPr>
            </w:pPr>
            <w:r>
              <w:rPr>
                <w:rFonts w:ascii="Arial" w:eastAsia="MS Mincho" w:hAnsi="Arial" w:cs="Arial"/>
                <w:snapToGrid w:val="0"/>
                <w:sz w:val="15"/>
                <w:szCs w:val="15"/>
              </w:rPr>
              <w:t>2016</w:t>
            </w:r>
            <w:r w:rsidR="006676CD">
              <w:rPr>
                <w:rFonts w:ascii="Arial" w:eastAsia="MS Mincho" w:hAnsi="Arial" w:cs="Arial"/>
                <w:snapToGrid w:val="0"/>
                <w:sz w:val="15"/>
                <w:szCs w:val="15"/>
              </w:rPr>
              <w:t>/2015</w:t>
            </w:r>
          </w:p>
          <w:p w:rsidR="007970E1" w:rsidRPr="007970E1" w:rsidRDefault="007970E1" w:rsidP="00280CEC">
            <w:pPr>
              <w:tabs>
                <w:tab w:val="left" w:pos="284"/>
              </w:tabs>
              <w:jc w:val="center"/>
              <w:rPr>
                <w:rFonts w:ascii="Arial" w:eastAsia="MS Mincho" w:hAnsi="Arial" w:cs="Arial"/>
                <w:snapToGrid w:val="0"/>
                <w:sz w:val="15"/>
                <w:szCs w:val="15"/>
              </w:rPr>
            </w:pPr>
            <w:r w:rsidRPr="007970E1">
              <w:rPr>
                <w:rFonts w:ascii="Arial" w:eastAsia="MS Mincho" w:hAnsi="Arial" w:cs="Arial"/>
                <w:b/>
                <w:snapToGrid w:val="0"/>
                <w:sz w:val="18"/>
                <w:szCs w:val="18"/>
                <w:vertAlign w:val="superscript"/>
              </w:rPr>
              <w:t>(en nombre de pneus)</w:t>
            </w:r>
          </w:p>
        </w:tc>
        <w:tc>
          <w:tcPr>
            <w:tcW w:w="1134" w:type="dxa"/>
            <w:shd w:val="clear" w:color="auto" w:fill="E6E6E6"/>
          </w:tcPr>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Europe</w:t>
            </w:r>
          </w:p>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y compris Russie &amp; CEI*</w:t>
            </w:r>
          </w:p>
        </w:tc>
        <w:tc>
          <w:tcPr>
            <w:tcW w:w="1168" w:type="dxa"/>
            <w:shd w:val="clear" w:color="auto" w:fill="E6E6E6"/>
          </w:tcPr>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Europe</w:t>
            </w:r>
          </w:p>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hors Russie &amp; CEI*</w:t>
            </w:r>
          </w:p>
        </w:tc>
        <w:tc>
          <w:tcPr>
            <w:tcW w:w="1276" w:type="dxa"/>
            <w:shd w:val="clear" w:color="auto" w:fill="E6E6E6"/>
          </w:tcPr>
          <w:p w:rsidR="007970E1" w:rsidRPr="007970E1" w:rsidRDefault="007970E1" w:rsidP="00280CEC">
            <w:pPr>
              <w:tabs>
                <w:tab w:val="left" w:pos="284"/>
              </w:tabs>
              <w:jc w:val="center"/>
              <w:rPr>
                <w:rFonts w:ascii="Arial" w:eastAsia="MS Mincho" w:hAnsi="Arial" w:cs="Arial"/>
                <w:b/>
                <w:smallCaps/>
                <w:snapToGrid w:val="0"/>
                <w:sz w:val="18"/>
                <w:szCs w:val="18"/>
              </w:rPr>
            </w:pPr>
            <w:r w:rsidRPr="007970E1">
              <w:rPr>
                <w:rFonts w:ascii="Arial" w:eastAsia="MS Mincho" w:hAnsi="Arial" w:cs="Arial"/>
                <w:b/>
                <w:bCs/>
                <w:smallCaps/>
                <w:snapToGrid w:val="0"/>
                <w:sz w:val="18"/>
                <w:szCs w:val="18"/>
              </w:rPr>
              <w:t>Amérique du Nord</w:t>
            </w:r>
          </w:p>
        </w:tc>
        <w:tc>
          <w:tcPr>
            <w:tcW w:w="1275" w:type="dxa"/>
            <w:shd w:val="clear" w:color="auto" w:fill="E6E6E6"/>
          </w:tcPr>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Asie</w:t>
            </w:r>
          </w:p>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(hors Inde)</w:t>
            </w:r>
          </w:p>
        </w:tc>
        <w:tc>
          <w:tcPr>
            <w:tcW w:w="1276" w:type="dxa"/>
            <w:shd w:val="clear" w:color="auto" w:fill="E6E6E6"/>
          </w:tcPr>
          <w:p w:rsidR="007970E1" w:rsidRPr="007970E1" w:rsidRDefault="007970E1" w:rsidP="00280CEC">
            <w:pPr>
              <w:tabs>
                <w:tab w:val="left" w:pos="284"/>
              </w:tabs>
              <w:jc w:val="center"/>
              <w:rPr>
                <w:rFonts w:ascii="Arial" w:eastAsia="MS Mincho" w:hAnsi="Arial" w:cs="Arial"/>
                <w:b/>
                <w:smallCaps/>
                <w:snapToGrid w:val="0"/>
                <w:sz w:val="18"/>
                <w:szCs w:val="18"/>
              </w:rPr>
            </w:pPr>
            <w:r w:rsidRPr="007970E1">
              <w:rPr>
                <w:rFonts w:ascii="Arial" w:eastAsia="MS Mincho" w:hAnsi="Arial" w:cs="Arial"/>
                <w:b/>
                <w:bCs/>
                <w:smallCaps/>
                <w:snapToGrid w:val="0"/>
                <w:sz w:val="18"/>
                <w:szCs w:val="18"/>
              </w:rPr>
              <w:t>Amérique du Sud</w:t>
            </w:r>
          </w:p>
        </w:tc>
        <w:tc>
          <w:tcPr>
            <w:tcW w:w="1276" w:type="dxa"/>
            <w:shd w:val="clear" w:color="auto" w:fill="E6E6E6"/>
          </w:tcPr>
          <w:p w:rsidR="007970E1" w:rsidRPr="007970E1" w:rsidRDefault="007970E1" w:rsidP="00280CEC">
            <w:pPr>
              <w:tabs>
                <w:tab w:val="left" w:pos="284"/>
              </w:tabs>
              <w:jc w:val="center"/>
              <w:rPr>
                <w:rFonts w:ascii="Arial" w:eastAsia="MS Mincho" w:hAnsi="Arial" w:cs="Arial"/>
                <w:b/>
                <w:smallCaps/>
                <w:snapToGrid w:val="0"/>
                <w:sz w:val="18"/>
                <w:szCs w:val="18"/>
              </w:rPr>
            </w:pPr>
            <w:r w:rsidRPr="007970E1">
              <w:rPr>
                <w:rFonts w:ascii="Arial" w:eastAsia="MS Mincho" w:hAnsi="Arial" w:cs="Arial"/>
                <w:b/>
                <w:bCs/>
                <w:smallCaps/>
                <w:snapToGrid w:val="0"/>
                <w:sz w:val="18"/>
                <w:szCs w:val="18"/>
              </w:rPr>
              <w:t>Afrique Inde Moyen-Orient</w:t>
            </w:r>
          </w:p>
        </w:tc>
        <w:tc>
          <w:tcPr>
            <w:tcW w:w="1134" w:type="dxa"/>
            <w:shd w:val="clear" w:color="auto" w:fill="E6E6E6"/>
          </w:tcPr>
          <w:p w:rsidR="007970E1" w:rsidRPr="007970E1" w:rsidRDefault="007970E1" w:rsidP="00280CEC">
            <w:pPr>
              <w:tabs>
                <w:tab w:val="left" w:pos="1026"/>
              </w:tabs>
              <w:ind w:right="-108"/>
              <w:jc w:val="center"/>
              <w:rPr>
                <w:rFonts w:ascii="Arial" w:eastAsia="MS Mincho" w:hAnsi="Arial" w:cs="Arial"/>
                <w:b/>
                <w:smallCaps/>
                <w:snapToGrid w:val="0"/>
                <w:sz w:val="18"/>
                <w:szCs w:val="18"/>
              </w:rPr>
            </w:pPr>
            <w:r w:rsidRPr="007970E1">
              <w:rPr>
                <w:rFonts w:ascii="Arial" w:eastAsia="MS Mincho" w:hAnsi="Arial" w:cs="Arial"/>
                <w:b/>
                <w:bCs/>
                <w:smallCaps/>
                <w:snapToGrid w:val="0"/>
                <w:sz w:val="18"/>
                <w:szCs w:val="18"/>
              </w:rPr>
              <w:t>Total</w:t>
            </w:r>
          </w:p>
        </w:tc>
      </w:tr>
      <w:tr w:rsidR="007970E1" w:rsidRPr="007970E1" w:rsidTr="00280CEC">
        <w:tc>
          <w:tcPr>
            <w:tcW w:w="1951" w:type="dxa"/>
            <w:shd w:val="clear" w:color="auto" w:fill="auto"/>
          </w:tcPr>
          <w:p w:rsidR="007970E1" w:rsidRPr="007970E1" w:rsidRDefault="007970E1" w:rsidP="00280CEC">
            <w:pPr>
              <w:tabs>
                <w:tab w:val="left" w:pos="284"/>
              </w:tabs>
              <w:jc w:val="center"/>
              <w:rPr>
                <w:rFonts w:ascii="Verdana" w:eastAsia="MS Mincho" w:hAnsi="Verdana" w:cs="Arial"/>
                <w:bCs/>
                <w:snapToGrid w:val="0"/>
                <w:sz w:val="18"/>
                <w:szCs w:val="18"/>
              </w:rPr>
            </w:pPr>
          </w:p>
          <w:p w:rsidR="007970E1" w:rsidRPr="007970E1" w:rsidRDefault="007970E1" w:rsidP="00280CEC">
            <w:pPr>
              <w:tabs>
                <w:tab w:val="left" w:pos="284"/>
              </w:tabs>
              <w:jc w:val="center"/>
              <w:rPr>
                <w:rFonts w:ascii="Verdana" w:eastAsia="MS Mincho" w:hAnsi="Verdana" w:cs="Arial"/>
                <w:bCs/>
                <w:snapToGrid w:val="0"/>
                <w:sz w:val="18"/>
                <w:szCs w:val="18"/>
              </w:rPr>
            </w:pPr>
            <w:r w:rsidRPr="007970E1">
              <w:rPr>
                <w:rFonts w:ascii="Verdana" w:eastAsia="MS Mincho" w:hAnsi="Verdana" w:cs="Arial"/>
                <w:bCs/>
                <w:snapToGrid w:val="0"/>
                <w:sz w:val="18"/>
                <w:szCs w:val="18"/>
              </w:rPr>
              <w:t xml:space="preserve">Première monte </w:t>
            </w:r>
          </w:p>
          <w:p w:rsidR="007970E1" w:rsidRPr="007970E1" w:rsidRDefault="007970E1" w:rsidP="00280CEC">
            <w:pPr>
              <w:tabs>
                <w:tab w:val="left" w:pos="284"/>
              </w:tabs>
              <w:jc w:val="center"/>
              <w:rPr>
                <w:rFonts w:ascii="Verdana" w:eastAsia="MS Mincho" w:hAnsi="Verdana" w:cs="Arial"/>
                <w:bCs/>
                <w:snapToGrid w:val="0"/>
                <w:sz w:val="18"/>
                <w:szCs w:val="18"/>
              </w:rPr>
            </w:pPr>
          </w:p>
          <w:p w:rsidR="007970E1" w:rsidRPr="007970E1" w:rsidRDefault="007970E1" w:rsidP="00280CEC">
            <w:pPr>
              <w:tabs>
                <w:tab w:val="left" w:pos="284"/>
              </w:tabs>
              <w:jc w:val="center"/>
              <w:rPr>
                <w:rFonts w:ascii="Arial" w:eastAsia="MS Mincho" w:hAnsi="Arial" w:cs="Arial"/>
                <w:bCs/>
                <w:snapToGrid w:val="0"/>
                <w:sz w:val="18"/>
                <w:szCs w:val="18"/>
                <w:highlight w:val="yellow"/>
              </w:rPr>
            </w:pPr>
            <w:r w:rsidRPr="007970E1">
              <w:rPr>
                <w:rFonts w:ascii="Verdana" w:eastAsia="MS Mincho" w:hAnsi="Verdana" w:cs="Arial"/>
                <w:bCs/>
                <w:snapToGrid w:val="0"/>
                <w:sz w:val="18"/>
                <w:szCs w:val="18"/>
              </w:rPr>
              <w:t>Remplacement</w:t>
            </w:r>
          </w:p>
        </w:tc>
        <w:tc>
          <w:tcPr>
            <w:tcW w:w="1134" w:type="dxa"/>
            <w:shd w:val="clear" w:color="auto" w:fill="auto"/>
          </w:tcPr>
          <w:p w:rsidR="007970E1" w:rsidRPr="00122C66" w:rsidRDefault="007970E1" w:rsidP="00280CEC">
            <w:pPr>
              <w:tabs>
                <w:tab w:val="left" w:pos="284"/>
              </w:tabs>
              <w:jc w:val="center"/>
              <w:rPr>
                <w:rFonts w:ascii="Verdana" w:eastAsia="MS Mincho" w:hAnsi="Verdana" w:cs="Arial"/>
                <w:b/>
                <w:snapToGrid w:val="0"/>
                <w:sz w:val="18"/>
                <w:szCs w:val="18"/>
              </w:rPr>
            </w:pPr>
          </w:p>
          <w:p w:rsidR="007970E1" w:rsidRPr="00122C66" w:rsidRDefault="007970E1" w:rsidP="00280CEC">
            <w:pPr>
              <w:tabs>
                <w:tab w:val="left" w:pos="284"/>
              </w:tabs>
              <w:jc w:val="center"/>
              <w:rPr>
                <w:rFonts w:ascii="Verdana" w:eastAsia="MS Mincho" w:hAnsi="Verdana" w:cs="Arial"/>
                <w:b/>
                <w:snapToGrid w:val="0"/>
                <w:sz w:val="18"/>
                <w:szCs w:val="18"/>
              </w:rPr>
            </w:pPr>
            <w:r w:rsidRPr="00122C66">
              <w:rPr>
                <w:rFonts w:ascii="Verdana" w:eastAsia="MS Mincho" w:hAnsi="Verdana" w:cs="Arial"/>
                <w:b/>
                <w:snapToGrid w:val="0"/>
                <w:sz w:val="18"/>
                <w:szCs w:val="18"/>
              </w:rPr>
              <w:t>+ </w:t>
            </w:r>
            <w:r w:rsidR="00122C66" w:rsidRPr="00122C66">
              <w:rPr>
                <w:rFonts w:ascii="Verdana" w:eastAsia="MS Mincho" w:hAnsi="Verdana" w:cs="Arial"/>
                <w:b/>
                <w:snapToGrid w:val="0"/>
                <w:sz w:val="18"/>
                <w:szCs w:val="18"/>
              </w:rPr>
              <w:t>2</w:t>
            </w:r>
            <w:r w:rsidRPr="00122C66">
              <w:rPr>
                <w:rFonts w:ascii="Verdana" w:eastAsia="MS Mincho" w:hAnsi="Verdana" w:cs="Arial"/>
                <w:b/>
                <w:snapToGrid w:val="0"/>
                <w:sz w:val="18"/>
                <w:szCs w:val="18"/>
              </w:rPr>
              <w:t> %</w:t>
            </w:r>
          </w:p>
          <w:p w:rsidR="007970E1" w:rsidRPr="00122C66" w:rsidRDefault="007970E1" w:rsidP="00280CEC">
            <w:pPr>
              <w:tabs>
                <w:tab w:val="left" w:pos="284"/>
              </w:tabs>
              <w:jc w:val="center"/>
              <w:rPr>
                <w:rFonts w:ascii="Verdana" w:eastAsia="MS Mincho" w:hAnsi="Verdana" w:cs="Arial"/>
                <w:b/>
                <w:snapToGrid w:val="0"/>
                <w:sz w:val="18"/>
                <w:szCs w:val="18"/>
              </w:rPr>
            </w:pPr>
          </w:p>
          <w:p w:rsidR="007970E1" w:rsidRPr="00122C66" w:rsidRDefault="00122C66" w:rsidP="00280CEC">
            <w:pPr>
              <w:tabs>
                <w:tab w:val="left" w:pos="284"/>
              </w:tabs>
              <w:jc w:val="center"/>
              <w:rPr>
                <w:rFonts w:ascii="Verdana" w:eastAsia="MS Mincho" w:hAnsi="Verdana" w:cs="Arial"/>
                <w:b/>
                <w:snapToGrid w:val="0"/>
                <w:sz w:val="18"/>
                <w:szCs w:val="18"/>
              </w:rPr>
            </w:pPr>
            <w:r w:rsidRPr="00122C66">
              <w:rPr>
                <w:rFonts w:ascii="Verdana" w:eastAsia="MS Mincho" w:hAnsi="Verdana" w:cs="Arial"/>
                <w:b/>
                <w:snapToGrid w:val="0"/>
                <w:sz w:val="18"/>
                <w:szCs w:val="18"/>
              </w:rPr>
              <w:t>+ 4</w:t>
            </w:r>
            <w:r w:rsidR="007970E1" w:rsidRPr="00122C66">
              <w:rPr>
                <w:rFonts w:ascii="Verdana" w:eastAsia="MS Mincho" w:hAnsi="Verdana" w:cs="Arial"/>
                <w:b/>
                <w:snapToGrid w:val="0"/>
                <w:sz w:val="18"/>
                <w:szCs w:val="18"/>
              </w:rPr>
              <w:t> %</w:t>
            </w:r>
          </w:p>
          <w:p w:rsidR="007970E1" w:rsidRPr="00122C66" w:rsidRDefault="007970E1" w:rsidP="00280CEC">
            <w:pPr>
              <w:tabs>
                <w:tab w:val="left" w:pos="284"/>
              </w:tabs>
              <w:jc w:val="center"/>
              <w:rPr>
                <w:rFonts w:ascii="Verdana" w:eastAsia="MS Mincho" w:hAnsi="Verdana" w:cs="Arial"/>
                <w:b/>
                <w:snapToGrid w:val="0"/>
                <w:sz w:val="18"/>
                <w:szCs w:val="18"/>
              </w:rPr>
            </w:pPr>
          </w:p>
        </w:tc>
        <w:tc>
          <w:tcPr>
            <w:tcW w:w="1168" w:type="dxa"/>
          </w:tcPr>
          <w:p w:rsidR="007970E1" w:rsidRPr="00122C66" w:rsidRDefault="007970E1" w:rsidP="00280CEC">
            <w:pPr>
              <w:tabs>
                <w:tab w:val="left" w:pos="284"/>
              </w:tabs>
              <w:jc w:val="center"/>
              <w:rPr>
                <w:rFonts w:ascii="Verdana" w:eastAsia="MS Mincho" w:hAnsi="Verdana" w:cs="Arial"/>
                <w:b/>
                <w:snapToGrid w:val="0"/>
                <w:sz w:val="18"/>
                <w:szCs w:val="18"/>
              </w:rPr>
            </w:pPr>
          </w:p>
          <w:p w:rsidR="007970E1" w:rsidRPr="00122C66" w:rsidRDefault="007970E1" w:rsidP="00280CEC">
            <w:pPr>
              <w:tabs>
                <w:tab w:val="left" w:pos="284"/>
              </w:tabs>
              <w:jc w:val="center"/>
              <w:rPr>
                <w:rFonts w:ascii="Verdana" w:eastAsia="MS Mincho" w:hAnsi="Verdana" w:cs="Arial"/>
                <w:b/>
                <w:snapToGrid w:val="0"/>
                <w:sz w:val="18"/>
                <w:szCs w:val="18"/>
              </w:rPr>
            </w:pPr>
            <w:r w:rsidRPr="00122C66">
              <w:rPr>
                <w:rFonts w:ascii="Verdana" w:eastAsia="MS Mincho" w:hAnsi="Verdana" w:cs="Arial"/>
                <w:b/>
                <w:snapToGrid w:val="0"/>
                <w:sz w:val="18"/>
                <w:szCs w:val="18"/>
              </w:rPr>
              <w:t>+ </w:t>
            </w:r>
            <w:r w:rsidR="00122C66" w:rsidRPr="00122C66">
              <w:rPr>
                <w:rFonts w:ascii="Verdana" w:eastAsia="MS Mincho" w:hAnsi="Verdana" w:cs="Arial"/>
                <w:b/>
                <w:snapToGrid w:val="0"/>
                <w:sz w:val="18"/>
                <w:szCs w:val="18"/>
              </w:rPr>
              <w:t>2</w:t>
            </w:r>
            <w:r w:rsidRPr="00122C66">
              <w:rPr>
                <w:rFonts w:ascii="Verdana" w:eastAsia="MS Mincho" w:hAnsi="Verdana" w:cs="Arial"/>
                <w:b/>
                <w:snapToGrid w:val="0"/>
                <w:sz w:val="18"/>
                <w:szCs w:val="18"/>
              </w:rPr>
              <w:t> %</w:t>
            </w:r>
          </w:p>
          <w:p w:rsidR="007970E1" w:rsidRPr="00122C66" w:rsidRDefault="007970E1" w:rsidP="00280CEC">
            <w:pPr>
              <w:tabs>
                <w:tab w:val="left" w:pos="284"/>
              </w:tabs>
              <w:jc w:val="center"/>
              <w:rPr>
                <w:rFonts w:ascii="Verdana" w:eastAsia="MS Mincho" w:hAnsi="Verdana" w:cs="Arial"/>
                <w:b/>
                <w:snapToGrid w:val="0"/>
                <w:sz w:val="18"/>
                <w:szCs w:val="18"/>
              </w:rPr>
            </w:pPr>
          </w:p>
          <w:p w:rsidR="007970E1" w:rsidRPr="00122C66" w:rsidRDefault="00122C66" w:rsidP="00280CEC">
            <w:pPr>
              <w:tabs>
                <w:tab w:val="left" w:pos="284"/>
              </w:tabs>
              <w:jc w:val="center"/>
              <w:rPr>
                <w:rFonts w:ascii="Verdana" w:eastAsia="MS Mincho" w:hAnsi="Verdana" w:cs="Arial"/>
                <w:b/>
                <w:snapToGrid w:val="0"/>
                <w:sz w:val="18"/>
                <w:szCs w:val="18"/>
              </w:rPr>
            </w:pPr>
            <w:r w:rsidRPr="00122C66">
              <w:rPr>
                <w:rFonts w:ascii="Verdana" w:eastAsia="MS Mincho" w:hAnsi="Verdana" w:cs="Arial"/>
                <w:b/>
                <w:snapToGrid w:val="0"/>
                <w:sz w:val="18"/>
                <w:szCs w:val="18"/>
              </w:rPr>
              <w:t>+ 5</w:t>
            </w:r>
            <w:r w:rsidR="007970E1" w:rsidRPr="00122C66">
              <w:rPr>
                <w:rFonts w:ascii="Verdana" w:eastAsia="MS Mincho" w:hAnsi="Verdana" w:cs="Arial"/>
                <w:b/>
                <w:snapToGrid w:val="0"/>
                <w:sz w:val="18"/>
                <w:szCs w:val="18"/>
              </w:rPr>
              <w:t> %</w:t>
            </w:r>
          </w:p>
          <w:p w:rsidR="007970E1" w:rsidRPr="00122C66" w:rsidRDefault="007970E1" w:rsidP="00280CEC">
            <w:pPr>
              <w:tabs>
                <w:tab w:val="left" w:pos="284"/>
              </w:tabs>
              <w:jc w:val="center"/>
              <w:rPr>
                <w:rFonts w:ascii="Verdana" w:eastAsia="MS Mincho" w:hAnsi="Verdana" w:cs="Arial"/>
                <w:b/>
                <w:snapToGrid w:val="0"/>
                <w:sz w:val="18"/>
                <w:szCs w:val="18"/>
              </w:rPr>
            </w:pPr>
          </w:p>
        </w:tc>
        <w:tc>
          <w:tcPr>
            <w:tcW w:w="1276" w:type="dxa"/>
            <w:shd w:val="clear" w:color="auto" w:fill="auto"/>
          </w:tcPr>
          <w:p w:rsidR="007970E1" w:rsidRPr="00122C66" w:rsidRDefault="007970E1" w:rsidP="00280CEC">
            <w:pPr>
              <w:tabs>
                <w:tab w:val="left" w:pos="284"/>
              </w:tabs>
              <w:jc w:val="center"/>
              <w:rPr>
                <w:rFonts w:ascii="Verdana" w:eastAsia="MS Mincho" w:hAnsi="Verdana" w:cs="Arial"/>
                <w:b/>
                <w:snapToGrid w:val="0"/>
                <w:sz w:val="18"/>
                <w:szCs w:val="18"/>
              </w:rPr>
            </w:pPr>
          </w:p>
          <w:p w:rsidR="007970E1" w:rsidRPr="00122C66" w:rsidRDefault="007970E1" w:rsidP="00280CEC">
            <w:pPr>
              <w:tabs>
                <w:tab w:val="left" w:pos="284"/>
              </w:tabs>
              <w:jc w:val="center"/>
              <w:rPr>
                <w:rFonts w:ascii="Verdana" w:eastAsia="MS Mincho" w:hAnsi="Verdana" w:cs="Arial"/>
                <w:b/>
                <w:snapToGrid w:val="0"/>
                <w:sz w:val="18"/>
                <w:szCs w:val="18"/>
              </w:rPr>
            </w:pPr>
            <w:r w:rsidRPr="00122C66">
              <w:rPr>
                <w:rFonts w:ascii="Verdana" w:eastAsia="MS Mincho" w:hAnsi="Verdana" w:cs="Arial"/>
                <w:b/>
                <w:snapToGrid w:val="0"/>
                <w:sz w:val="18"/>
                <w:szCs w:val="18"/>
              </w:rPr>
              <w:t>+ </w:t>
            </w:r>
            <w:r w:rsidR="00122C66" w:rsidRPr="00122C66">
              <w:rPr>
                <w:rFonts w:ascii="Verdana" w:eastAsia="MS Mincho" w:hAnsi="Verdana" w:cs="Arial"/>
                <w:b/>
                <w:snapToGrid w:val="0"/>
                <w:sz w:val="18"/>
                <w:szCs w:val="18"/>
              </w:rPr>
              <w:t>0</w:t>
            </w:r>
            <w:r w:rsidRPr="00122C66">
              <w:rPr>
                <w:rFonts w:ascii="Verdana" w:eastAsia="MS Mincho" w:hAnsi="Verdana" w:cs="Arial"/>
                <w:b/>
                <w:snapToGrid w:val="0"/>
                <w:sz w:val="18"/>
                <w:szCs w:val="18"/>
              </w:rPr>
              <w:t> %</w:t>
            </w:r>
          </w:p>
          <w:p w:rsidR="007970E1" w:rsidRPr="00122C66" w:rsidRDefault="007970E1" w:rsidP="00280CEC">
            <w:pPr>
              <w:tabs>
                <w:tab w:val="left" w:pos="284"/>
              </w:tabs>
              <w:jc w:val="center"/>
              <w:rPr>
                <w:rFonts w:ascii="Verdana" w:eastAsia="MS Mincho" w:hAnsi="Verdana" w:cs="Arial"/>
                <w:b/>
                <w:snapToGrid w:val="0"/>
                <w:sz w:val="18"/>
                <w:szCs w:val="18"/>
              </w:rPr>
            </w:pPr>
          </w:p>
          <w:p w:rsidR="007970E1" w:rsidRPr="00122C66" w:rsidRDefault="007970E1" w:rsidP="00280CEC">
            <w:pPr>
              <w:tabs>
                <w:tab w:val="left" w:pos="284"/>
              </w:tabs>
              <w:jc w:val="center"/>
              <w:rPr>
                <w:rFonts w:ascii="Verdana" w:eastAsia="MS Mincho" w:hAnsi="Verdana" w:cs="Arial"/>
                <w:b/>
                <w:snapToGrid w:val="0"/>
                <w:sz w:val="18"/>
                <w:szCs w:val="18"/>
              </w:rPr>
            </w:pPr>
            <w:r w:rsidRPr="00122C66">
              <w:rPr>
                <w:rFonts w:ascii="Verdana" w:eastAsia="MS Mincho" w:hAnsi="Verdana" w:cs="Arial"/>
                <w:b/>
                <w:snapToGrid w:val="0"/>
                <w:sz w:val="18"/>
                <w:szCs w:val="18"/>
              </w:rPr>
              <w:t>+ 3 %</w:t>
            </w:r>
          </w:p>
        </w:tc>
        <w:tc>
          <w:tcPr>
            <w:tcW w:w="1275" w:type="dxa"/>
            <w:shd w:val="clear" w:color="auto" w:fill="auto"/>
          </w:tcPr>
          <w:p w:rsidR="007970E1" w:rsidRPr="006676CD" w:rsidRDefault="007970E1" w:rsidP="00280CEC">
            <w:pPr>
              <w:tabs>
                <w:tab w:val="left" w:pos="284"/>
              </w:tabs>
              <w:jc w:val="center"/>
              <w:rPr>
                <w:rFonts w:ascii="Verdana" w:eastAsia="MS Mincho" w:hAnsi="Verdana" w:cs="Arial"/>
                <w:b/>
                <w:strike/>
                <w:snapToGrid w:val="0"/>
                <w:sz w:val="18"/>
                <w:szCs w:val="18"/>
              </w:rPr>
            </w:pPr>
          </w:p>
          <w:p w:rsidR="007970E1" w:rsidRPr="003F349F" w:rsidRDefault="00B47B95" w:rsidP="00280CEC">
            <w:pPr>
              <w:tabs>
                <w:tab w:val="left" w:pos="284"/>
              </w:tabs>
              <w:jc w:val="center"/>
              <w:rPr>
                <w:rFonts w:ascii="Verdana" w:eastAsia="MS Mincho" w:hAnsi="Verdana" w:cs="Arial"/>
                <w:b/>
                <w:snapToGrid w:val="0"/>
                <w:sz w:val="18"/>
                <w:szCs w:val="18"/>
                <w:lang w:val="en-US"/>
              </w:rPr>
            </w:pPr>
            <w:r w:rsidRPr="003F349F">
              <w:rPr>
                <w:rFonts w:ascii="Verdana" w:eastAsia="MS Mincho" w:hAnsi="Verdana" w:cs="Arial"/>
                <w:b/>
                <w:snapToGrid w:val="0"/>
                <w:sz w:val="18"/>
                <w:szCs w:val="18"/>
              </w:rPr>
              <w:t>+</w:t>
            </w:r>
            <w:r w:rsidR="007970E1" w:rsidRPr="003F349F">
              <w:rPr>
                <w:rFonts w:ascii="Verdana" w:eastAsia="MS Mincho" w:hAnsi="Verdana" w:cs="Arial"/>
                <w:b/>
                <w:snapToGrid w:val="0"/>
                <w:sz w:val="18"/>
                <w:szCs w:val="18"/>
              </w:rPr>
              <w:t> </w:t>
            </w:r>
            <w:r w:rsidR="003F349F" w:rsidRPr="003F349F">
              <w:rPr>
                <w:rFonts w:ascii="Verdana" w:eastAsia="MS Mincho" w:hAnsi="Verdana" w:cs="Arial"/>
                <w:b/>
                <w:snapToGrid w:val="0"/>
                <w:sz w:val="18"/>
                <w:szCs w:val="18"/>
              </w:rPr>
              <w:t>10</w:t>
            </w:r>
            <w:r w:rsidR="007970E1" w:rsidRPr="003F349F">
              <w:rPr>
                <w:rFonts w:ascii="Verdana" w:eastAsia="MS Mincho" w:hAnsi="Verdana" w:cs="Arial"/>
                <w:b/>
                <w:snapToGrid w:val="0"/>
                <w:sz w:val="18"/>
                <w:szCs w:val="18"/>
              </w:rPr>
              <w:t> </w:t>
            </w:r>
            <w:r w:rsidR="007970E1" w:rsidRPr="003F349F">
              <w:rPr>
                <w:rFonts w:ascii="Verdana" w:eastAsia="MS Mincho" w:hAnsi="Verdana" w:cs="Arial"/>
                <w:b/>
                <w:snapToGrid w:val="0"/>
                <w:sz w:val="18"/>
                <w:szCs w:val="18"/>
                <w:lang w:val="en-US"/>
              </w:rPr>
              <w:t>%</w:t>
            </w:r>
          </w:p>
          <w:p w:rsidR="007970E1" w:rsidRPr="003F349F" w:rsidRDefault="007970E1" w:rsidP="00280CEC">
            <w:pPr>
              <w:tabs>
                <w:tab w:val="left" w:pos="284"/>
              </w:tabs>
              <w:jc w:val="center"/>
              <w:rPr>
                <w:rFonts w:ascii="Verdana" w:eastAsia="MS Mincho" w:hAnsi="Verdana" w:cs="Arial"/>
                <w:b/>
                <w:snapToGrid w:val="0"/>
                <w:sz w:val="18"/>
                <w:szCs w:val="18"/>
                <w:lang w:val="en-US"/>
              </w:rPr>
            </w:pPr>
          </w:p>
          <w:p w:rsidR="007970E1" w:rsidRPr="006676CD" w:rsidRDefault="007970E1" w:rsidP="003F349F">
            <w:pPr>
              <w:tabs>
                <w:tab w:val="left" w:pos="284"/>
              </w:tabs>
              <w:jc w:val="center"/>
              <w:rPr>
                <w:rFonts w:ascii="Verdana" w:eastAsia="MS Mincho" w:hAnsi="Verdana" w:cs="Arial"/>
                <w:b/>
                <w:strike/>
                <w:snapToGrid w:val="0"/>
                <w:sz w:val="18"/>
                <w:szCs w:val="18"/>
                <w:lang w:val="en-US"/>
              </w:rPr>
            </w:pPr>
            <w:r w:rsidRPr="003F349F">
              <w:rPr>
                <w:rFonts w:ascii="Verdana" w:eastAsia="MS Mincho" w:hAnsi="Verdana" w:cs="Arial"/>
                <w:b/>
                <w:snapToGrid w:val="0"/>
                <w:sz w:val="18"/>
                <w:szCs w:val="18"/>
              </w:rPr>
              <w:t>+ </w:t>
            </w:r>
            <w:r w:rsidR="003F349F" w:rsidRPr="003F349F">
              <w:rPr>
                <w:rFonts w:ascii="Verdana" w:eastAsia="MS Mincho" w:hAnsi="Verdana" w:cs="Arial"/>
                <w:b/>
                <w:snapToGrid w:val="0"/>
                <w:sz w:val="18"/>
                <w:szCs w:val="18"/>
              </w:rPr>
              <w:t>4</w:t>
            </w:r>
            <w:r w:rsidRPr="003F349F">
              <w:rPr>
                <w:rFonts w:ascii="Verdana" w:eastAsia="MS Mincho" w:hAnsi="Verdana" w:cs="Arial"/>
                <w:b/>
                <w:snapToGrid w:val="0"/>
                <w:sz w:val="18"/>
                <w:szCs w:val="18"/>
              </w:rPr>
              <w:t> %</w:t>
            </w:r>
          </w:p>
        </w:tc>
        <w:tc>
          <w:tcPr>
            <w:tcW w:w="1276" w:type="dxa"/>
            <w:shd w:val="clear" w:color="auto" w:fill="auto"/>
          </w:tcPr>
          <w:p w:rsidR="007970E1" w:rsidRPr="006676CD" w:rsidRDefault="007970E1" w:rsidP="00280CEC">
            <w:pPr>
              <w:tabs>
                <w:tab w:val="left" w:pos="284"/>
              </w:tabs>
              <w:jc w:val="center"/>
              <w:rPr>
                <w:rFonts w:ascii="Verdana" w:eastAsia="MS Mincho" w:hAnsi="Verdana" w:cs="Arial"/>
                <w:b/>
                <w:strike/>
                <w:snapToGrid w:val="0"/>
                <w:sz w:val="18"/>
                <w:szCs w:val="18"/>
                <w:lang w:val="en-US"/>
              </w:rPr>
            </w:pPr>
          </w:p>
          <w:p w:rsidR="007970E1" w:rsidRPr="0001558B" w:rsidRDefault="0001558B" w:rsidP="00280CEC">
            <w:pPr>
              <w:tabs>
                <w:tab w:val="left" w:pos="284"/>
              </w:tabs>
              <w:jc w:val="center"/>
              <w:rPr>
                <w:rFonts w:ascii="Verdana" w:eastAsia="MS Mincho" w:hAnsi="Verdana" w:cs="Arial"/>
                <w:b/>
                <w:snapToGrid w:val="0"/>
                <w:sz w:val="18"/>
                <w:szCs w:val="18"/>
                <w:lang w:val="en-US"/>
              </w:rPr>
            </w:pPr>
            <w:r w:rsidRPr="0001558B">
              <w:rPr>
                <w:rFonts w:ascii="Verdana" w:eastAsia="MS Mincho" w:hAnsi="Verdana" w:cs="Arial"/>
                <w:b/>
                <w:snapToGrid w:val="0"/>
                <w:sz w:val="18"/>
                <w:szCs w:val="18"/>
                <w:lang w:val="en-US"/>
              </w:rPr>
              <w:t>+</w:t>
            </w:r>
            <w:r w:rsidR="007970E1" w:rsidRPr="0001558B">
              <w:rPr>
                <w:rFonts w:ascii="Verdana" w:eastAsia="MS Mincho" w:hAnsi="Verdana" w:cs="Arial"/>
                <w:b/>
                <w:snapToGrid w:val="0"/>
                <w:sz w:val="18"/>
                <w:szCs w:val="18"/>
                <w:lang w:val="en-US"/>
              </w:rPr>
              <w:t> </w:t>
            </w:r>
            <w:r w:rsidRPr="0001558B">
              <w:rPr>
                <w:rFonts w:ascii="Verdana" w:eastAsia="MS Mincho" w:hAnsi="Verdana" w:cs="Arial"/>
                <w:b/>
                <w:snapToGrid w:val="0"/>
                <w:sz w:val="18"/>
                <w:szCs w:val="18"/>
                <w:lang w:val="en-US"/>
              </w:rPr>
              <w:t>6</w:t>
            </w:r>
            <w:r w:rsidR="00D71721" w:rsidRPr="0001558B">
              <w:rPr>
                <w:rFonts w:ascii="Verdana" w:eastAsia="MS Mincho" w:hAnsi="Verdana" w:cs="Arial"/>
                <w:b/>
                <w:snapToGrid w:val="0"/>
                <w:sz w:val="18"/>
                <w:szCs w:val="18"/>
                <w:lang w:val="en-US"/>
              </w:rPr>
              <w:t xml:space="preserve"> </w:t>
            </w:r>
            <w:r w:rsidR="007970E1" w:rsidRPr="0001558B">
              <w:rPr>
                <w:rFonts w:ascii="Verdana" w:eastAsia="MS Mincho" w:hAnsi="Verdana" w:cs="Arial"/>
                <w:b/>
                <w:snapToGrid w:val="0"/>
                <w:sz w:val="18"/>
                <w:szCs w:val="18"/>
                <w:lang w:val="en-US"/>
              </w:rPr>
              <w:t>%</w:t>
            </w:r>
          </w:p>
          <w:p w:rsidR="007970E1" w:rsidRPr="0001558B" w:rsidRDefault="007970E1" w:rsidP="00280CEC">
            <w:pPr>
              <w:tabs>
                <w:tab w:val="left" w:pos="284"/>
              </w:tabs>
              <w:jc w:val="center"/>
              <w:rPr>
                <w:rFonts w:ascii="Verdana" w:eastAsia="MS Mincho" w:hAnsi="Verdana" w:cs="Arial"/>
                <w:b/>
                <w:snapToGrid w:val="0"/>
                <w:sz w:val="18"/>
                <w:szCs w:val="18"/>
                <w:lang w:val="en-US"/>
              </w:rPr>
            </w:pPr>
          </w:p>
          <w:p w:rsidR="007970E1" w:rsidRPr="006676CD" w:rsidRDefault="0001558B" w:rsidP="0001558B">
            <w:pPr>
              <w:tabs>
                <w:tab w:val="left" w:pos="284"/>
              </w:tabs>
              <w:jc w:val="center"/>
              <w:rPr>
                <w:rFonts w:ascii="Verdana" w:eastAsia="MS Mincho" w:hAnsi="Verdana" w:cs="Arial"/>
                <w:b/>
                <w:strike/>
                <w:snapToGrid w:val="0"/>
                <w:sz w:val="18"/>
                <w:szCs w:val="18"/>
                <w:lang w:val="en-US"/>
              </w:rPr>
            </w:pPr>
            <w:r w:rsidRPr="0001558B">
              <w:rPr>
                <w:rFonts w:ascii="Verdana" w:eastAsia="MS Mincho" w:hAnsi="Verdana" w:cs="Arial"/>
                <w:b/>
                <w:snapToGrid w:val="0"/>
                <w:sz w:val="18"/>
                <w:szCs w:val="18"/>
              </w:rPr>
              <w:t>+ 5</w:t>
            </w:r>
            <w:r w:rsidR="00D71721" w:rsidRPr="0001558B">
              <w:rPr>
                <w:rFonts w:ascii="Verdana" w:eastAsia="MS Mincho" w:hAnsi="Verdana" w:cs="Arial"/>
                <w:b/>
                <w:snapToGrid w:val="0"/>
                <w:sz w:val="18"/>
                <w:szCs w:val="18"/>
              </w:rPr>
              <w:t> </w:t>
            </w:r>
            <w:r w:rsidR="007970E1" w:rsidRPr="0001558B">
              <w:rPr>
                <w:rFonts w:ascii="Verdana" w:eastAsia="MS Mincho" w:hAnsi="Verdana" w:cs="Arial"/>
                <w:b/>
                <w:snapToGrid w:val="0"/>
                <w:sz w:val="18"/>
                <w:szCs w:val="18"/>
              </w:rPr>
              <w:t>%</w:t>
            </w:r>
          </w:p>
        </w:tc>
        <w:tc>
          <w:tcPr>
            <w:tcW w:w="1276" w:type="dxa"/>
            <w:shd w:val="clear" w:color="auto" w:fill="auto"/>
          </w:tcPr>
          <w:p w:rsidR="007970E1" w:rsidRPr="006676CD" w:rsidRDefault="007970E1" w:rsidP="00280CEC">
            <w:pPr>
              <w:tabs>
                <w:tab w:val="left" w:pos="284"/>
              </w:tabs>
              <w:jc w:val="center"/>
              <w:rPr>
                <w:rFonts w:ascii="Verdana" w:eastAsia="MS Mincho" w:hAnsi="Verdana" w:cs="Arial"/>
                <w:b/>
                <w:strike/>
                <w:snapToGrid w:val="0"/>
                <w:sz w:val="18"/>
                <w:szCs w:val="18"/>
                <w:lang w:val="en-US"/>
              </w:rPr>
            </w:pPr>
          </w:p>
          <w:p w:rsidR="007970E1" w:rsidRPr="0001558B" w:rsidRDefault="007970E1" w:rsidP="00280CEC">
            <w:pPr>
              <w:tabs>
                <w:tab w:val="left" w:pos="284"/>
              </w:tabs>
              <w:jc w:val="center"/>
              <w:rPr>
                <w:rFonts w:ascii="Verdana" w:eastAsia="MS Mincho" w:hAnsi="Verdana" w:cs="Arial"/>
                <w:b/>
                <w:snapToGrid w:val="0"/>
                <w:sz w:val="18"/>
                <w:szCs w:val="18"/>
              </w:rPr>
            </w:pPr>
            <w:r w:rsidRPr="0001558B">
              <w:rPr>
                <w:rFonts w:ascii="Verdana" w:eastAsia="MS Mincho" w:hAnsi="Verdana" w:cs="Arial"/>
                <w:b/>
                <w:snapToGrid w:val="0"/>
                <w:sz w:val="18"/>
                <w:szCs w:val="18"/>
              </w:rPr>
              <w:t>+ 1</w:t>
            </w:r>
            <w:r w:rsidR="0001558B" w:rsidRPr="0001558B">
              <w:rPr>
                <w:rFonts w:ascii="Verdana" w:eastAsia="MS Mincho" w:hAnsi="Verdana" w:cs="Arial"/>
                <w:b/>
                <w:snapToGrid w:val="0"/>
                <w:sz w:val="18"/>
                <w:szCs w:val="18"/>
              </w:rPr>
              <w:t>2</w:t>
            </w:r>
            <w:r w:rsidRPr="0001558B">
              <w:rPr>
                <w:rFonts w:ascii="Verdana" w:eastAsia="MS Mincho" w:hAnsi="Verdana" w:cs="Arial"/>
                <w:b/>
                <w:snapToGrid w:val="0"/>
                <w:sz w:val="18"/>
                <w:szCs w:val="18"/>
              </w:rPr>
              <w:t> %</w:t>
            </w:r>
          </w:p>
          <w:p w:rsidR="007970E1" w:rsidRPr="0001558B" w:rsidRDefault="007970E1" w:rsidP="00280CEC">
            <w:pPr>
              <w:tabs>
                <w:tab w:val="left" w:pos="284"/>
              </w:tabs>
              <w:jc w:val="center"/>
              <w:rPr>
                <w:rFonts w:ascii="Verdana" w:eastAsia="MS Mincho" w:hAnsi="Verdana" w:cs="Arial"/>
                <w:b/>
                <w:snapToGrid w:val="0"/>
                <w:sz w:val="18"/>
                <w:szCs w:val="18"/>
                <w:lang w:val="en-US"/>
              </w:rPr>
            </w:pPr>
          </w:p>
          <w:p w:rsidR="007970E1" w:rsidRPr="006676CD" w:rsidRDefault="007970E1" w:rsidP="0001558B">
            <w:pPr>
              <w:tabs>
                <w:tab w:val="left" w:pos="284"/>
              </w:tabs>
              <w:jc w:val="center"/>
              <w:rPr>
                <w:rFonts w:ascii="Verdana" w:eastAsia="MS Mincho" w:hAnsi="Verdana" w:cs="Arial"/>
                <w:b/>
                <w:strike/>
                <w:snapToGrid w:val="0"/>
                <w:sz w:val="18"/>
                <w:szCs w:val="18"/>
                <w:lang w:val="en-US"/>
              </w:rPr>
            </w:pPr>
            <w:r w:rsidRPr="0001558B">
              <w:rPr>
                <w:rFonts w:ascii="Verdana" w:eastAsia="MS Mincho" w:hAnsi="Verdana" w:cs="Arial"/>
                <w:b/>
                <w:snapToGrid w:val="0"/>
                <w:sz w:val="18"/>
                <w:szCs w:val="18"/>
              </w:rPr>
              <w:t>+ </w:t>
            </w:r>
            <w:r w:rsidR="0001558B" w:rsidRPr="0001558B">
              <w:rPr>
                <w:rFonts w:ascii="Verdana" w:eastAsia="MS Mincho" w:hAnsi="Verdana" w:cs="Arial"/>
                <w:b/>
                <w:snapToGrid w:val="0"/>
                <w:sz w:val="18"/>
                <w:szCs w:val="18"/>
              </w:rPr>
              <w:t>1</w:t>
            </w:r>
            <w:r w:rsidRPr="0001558B">
              <w:rPr>
                <w:rFonts w:ascii="Verdana" w:eastAsia="MS Mincho" w:hAnsi="Verdana" w:cs="Arial"/>
                <w:b/>
                <w:snapToGrid w:val="0"/>
                <w:sz w:val="18"/>
                <w:szCs w:val="18"/>
              </w:rPr>
              <w:t> %</w:t>
            </w:r>
          </w:p>
        </w:tc>
        <w:tc>
          <w:tcPr>
            <w:tcW w:w="1134" w:type="dxa"/>
            <w:shd w:val="clear" w:color="auto" w:fill="auto"/>
          </w:tcPr>
          <w:p w:rsidR="007970E1" w:rsidRPr="006676CD" w:rsidRDefault="007970E1" w:rsidP="00280CEC">
            <w:pPr>
              <w:tabs>
                <w:tab w:val="left" w:pos="1168"/>
              </w:tabs>
              <w:ind w:right="-108"/>
              <w:jc w:val="center"/>
              <w:rPr>
                <w:rFonts w:ascii="Verdana" w:eastAsia="MS Mincho" w:hAnsi="Verdana" w:cs="Arial"/>
                <w:b/>
                <w:strike/>
                <w:snapToGrid w:val="0"/>
                <w:sz w:val="18"/>
                <w:szCs w:val="18"/>
                <w:lang w:val="en-US"/>
              </w:rPr>
            </w:pPr>
          </w:p>
          <w:p w:rsidR="007970E1" w:rsidRPr="005E75B4" w:rsidRDefault="007970E1" w:rsidP="00280CEC">
            <w:pPr>
              <w:tabs>
                <w:tab w:val="left" w:pos="1168"/>
              </w:tabs>
              <w:ind w:right="-108"/>
              <w:jc w:val="center"/>
              <w:rPr>
                <w:rFonts w:ascii="Verdana" w:eastAsia="MS Mincho" w:hAnsi="Verdana" w:cs="Arial"/>
                <w:b/>
                <w:snapToGrid w:val="0"/>
                <w:sz w:val="18"/>
                <w:szCs w:val="18"/>
              </w:rPr>
            </w:pPr>
            <w:r w:rsidRPr="005E75B4">
              <w:rPr>
                <w:rFonts w:ascii="Verdana" w:eastAsia="MS Mincho" w:hAnsi="Verdana" w:cs="Arial"/>
                <w:b/>
                <w:snapToGrid w:val="0"/>
                <w:sz w:val="18"/>
                <w:szCs w:val="18"/>
              </w:rPr>
              <w:t>+ 6 %</w:t>
            </w:r>
          </w:p>
          <w:p w:rsidR="007970E1" w:rsidRPr="005E75B4" w:rsidRDefault="007970E1" w:rsidP="00280CEC">
            <w:pPr>
              <w:tabs>
                <w:tab w:val="left" w:pos="1168"/>
              </w:tabs>
              <w:ind w:right="-108"/>
              <w:jc w:val="center"/>
              <w:rPr>
                <w:rFonts w:ascii="Verdana" w:eastAsia="MS Mincho" w:hAnsi="Verdana" w:cs="Arial"/>
                <w:b/>
                <w:snapToGrid w:val="0"/>
                <w:sz w:val="18"/>
                <w:szCs w:val="18"/>
                <w:lang w:val="en-US"/>
              </w:rPr>
            </w:pPr>
          </w:p>
          <w:p w:rsidR="007970E1" w:rsidRPr="006676CD" w:rsidRDefault="007970E1" w:rsidP="005E75B4">
            <w:pPr>
              <w:tabs>
                <w:tab w:val="left" w:pos="1168"/>
              </w:tabs>
              <w:ind w:right="-108"/>
              <w:jc w:val="center"/>
              <w:rPr>
                <w:rFonts w:ascii="Verdana" w:eastAsia="MS Mincho" w:hAnsi="Verdana" w:cs="Arial"/>
                <w:b/>
                <w:strike/>
                <w:snapToGrid w:val="0"/>
                <w:sz w:val="18"/>
                <w:szCs w:val="18"/>
                <w:lang w:val="en-US"/>
              </w:rPr>
            </w:pPr>
            <w:r w:rsidRPr="005E75B4">
              <w:rPr>
                <w:rFonts w:ascii="Verdana" w:eastAsia="MS Mincho" w:hAnsi="Verdana" w:cs="Arial"/>
                <w:b/>
                <w:snapToGrid w:val="0"/>
                <w:sz w:val="18"/>
                <w:szCs w:val="18"/>
              </w:rPr>
              <w:t>+ </w:t>
            </w:r>
            <w:r w:rsidR="005E75B4" w:rsidRPr="005E75B4">
              <w:rPr>
                <w:rFonts w:ascii="Verdana" w:eastAsia="MS Mincho" w:hAnsi="Verdana" w:cs="Arial"/>
                <w:b/>
                <w:snapToGrid w:val="0"/>
                <w:sz w:val="18"/>
                <w:szCs w:val="18"/>
              </w:rPr>
              <w:t>3</w:t>
            </w:r>
            <w:r w:rsidRPr="005E75B4">
              <w:rPr>
                <w:rFonts w:ascii="Verdana" w:eastAsia="MS Mincho" w:hAnsi="Verdana" w:cs="Arial"/>
                <w:b/>
                <w:snapToGrid w:val="0"/>
                <w:sz w:val="18"/>
                <w:szCs w:val="18"/>
              </w:rPr>
              <w:t> %</w:t>
            </w:r>
          </w:p>
        </w:tc>
      </w:tr>
    </w:tbl>
    <w:p w:rsidR="007970E1" w:rsidRPr="007970E1" w:rsidRDefault="007970E1" w:rsidP="007970E1">
      <w:pPr>
        <w:tabs>
          <w:tab w:val="left" w:pos="284"/>
        </w:tabs>
        <w:jc w:val="both"/>
        <w:rPr>
          <w:rFonts w:ascii="Verdana" w:hAnsi="Verdana" w:cs="Arial"/>
          <w:sz w:val="18"/>
          <w:szCs w:val="18"/>
        </w:rPr>
      </w:pPr>
      <w:r w:rsidRPr="007970E1">
        <w:rPr>
          <w:rFonts w:ascii="Verdana" w:hAnsi="Verdana" w:cs="Arial"/>
          <w:sz w:val="18"/>
          <w:szCs w:val="18"/>
        </w:rPr>
        <w:t>* Y compris Turquie</w:t>
      </w:r>
    </w:p>
    <w:p w:rsidR="007970E1" w:rsidRPr="007970E1" w:rsidRDefault="007970E1" w:rsidP="007970E1">
      <w:pPr>
        <w:tabs>
          <w:tab w:val="left" w:pos="284"/>
        </w:tabs>
        <w:jc w:val="both"/>
        <w:rPr>
          <w:rFonts w:ascii="Verdana" w:hAnsi="Verdana" w:cs="Arial"/>
          <w:highlight w:val="red"/>
        </w:rPr>
      </w:pPr>
    </w:p>
    <w:p w:rsidR="007970E1" w:rsidRPr="00E95091" w:rsidRDefault="00E95091" w:rsidP="00E95091">
      <w:pPr>
        <w:tabs>
          <w:tab w:val="left" w:pos="284"/>
        </w:tabs>
        <w:spacing w:after="120"/>
        <w:jc w:val="both"/>
        <w:rPr>
          <w:rFonts w:ascii="Verdana" w:hAnsi="Verdana" w:cs="Arial"/>
          <w:sz w:val="18"/>
          <w:szCs w:val="18"/>
        </w:rPr>
      </w:pPr>
      <w:r w:rsidRPr="00E95091">
        <w:rPr>
          <w:rFonts w:ascii="Verdana" w:hAnsi="Verdana" w:cs="Arial"/>
          <w:sz w:val="18"/>
          <w:szCs w:val="18"/>
        </w:rPr>
        <w:t xml:space="preserve">Le marché mondial des pneumatiques Tourisme et Camionnette, Première monte et Remplacement, </w:t>
      </w:r>
      <w:r w:rsidR="00AE6EC3">
        <w:rPr>
          <w:rFonts w:ascii="Verdana" w:hAnsi="Verdana" w:cs="Arial"/>
          <w:sz w:val="18"/>
          <w:szCs w:val="18"/>
        </w:rPr>
        <w:t>affiche une</w:t>
      </w:r>
      <w:r w:rsidRPr="00E95091">
        <w:rPr>
          <w:rFonts w:ascii="Verdana" w:hAnsi="Verdana" w:cs="Arial"/>
          <w:sz w:val="18"/>
          <w:szCs w:val="18"/>
        </w:rPr>
        <w:t xml:space="preserve"> croissance de </w:t>
      </w:r>
      <w:r w:rsidR="005A3184">
        <w:rPr>
          <w:rFonts w:ascii="Verdana" w:hAnsi="Verdana" w:cs="Arial"/>
          <w:sz w:val="18"/>
          <w:szCs w:val="18"/>
        </w:rPr>
        <w:t>3</w:t>
      </w:r>
      <w:r w:rsidRPr="00E95091">
        <w:rPr>
          <w:rFonts w:ascii="Verdana" w:hAnsi="Verdana" w:cs="Arial"/>
          <w:sz w:val="18"/>
          <w:szCs w:val="18"/>
        </w:rPr>
        <w:t xml:space="preserve"> % en unités </w:t>
      </w:r>
      <w:r w:rsidR="005A3184">
        <w:rPr>
          <w:rFonts w:ascii="Verdana" w:hAnsi="Verdana" w:cs="Arial"/>
          <w:sz w:val="18"/>
          <w:szCs w:val="18"/>
        </w:rPr>
        <w:t xml:space="preserve">sur l’ensemble de l’année </w:t>
      </w:r>
      <w:r w:rsidRPr="00E95091">
        <w:rPr>
          <w:rFonts w:ascii="Verdana" w:hAnsi="Verdana" w:cs="Arial"/>
          <w:sz w:val="18"/>
          <w:szCs w:val="18"/>
        </w:rPr>
        <w:t>2016.</w:t>
      </w:r>
    </w:p>
    <w:p w:rsidR="007970E1" w:rsidRPr="00B514A1" w:rsidRDefault="007970E1" w:rsidP="007970E1">
      <w:pPr>
        <w:numPr>
          <w:ilvl w:val="0"/>
          <w:numId w:val="4"/>
        </w:numPr>
        <w:tabs>
          <w:tab w:val="clear" w:pos="360"/>
          <w:tab w:val="num" w:pos="709"/>
        </w:tabs>
        <w:spacing w:after="60"/>
        <w:ind w:firstLine="66"/>
        <w:jc w:val="both"/>
        <w:rPr>
          <w:rFonts w:ascii="Arial" w:hAnsi="Arial" w:cs="Arial"/>
          <w:smallCaps/>
          <w:sz w:val="18"/>
          <w:szCs w:val="18"/>
          <w:u w:val="single"/>
        </w:rPr>
      </w:pPr>
      <w:r w:rsidRPr="00B514A1">
        <w:rPr>
          <w:rFonts w:ascii="Verdana" w:hAnsi="Verdana" w:cs="Arial"/>
          <w:b/>
          <w:smallCaps/>
          <w:sz w:val="18"/>
          <w:szCs w:val="18"/>
        </w:rPr>
        <w:t>Première monte</w:t>
      </w:r>
    </w:p>
    <w:p w:rsidR="00176C0B" w:rsidRPr="00AF53B7" w:rsidRDefault="007970E1" w:rsidP="00176C0B">
      <w:pPr>
        <w:numPr>
          <w:ilvl w:val="1"/>
          <w:numId w:val="4"/>
        </w:numPr>
        <w:adjustRightInd w:val="0"/>
        <w:snapToGrid w:val="0"/>
        <w:spacing w:after="60"/>
        <w:jc w:val="both"/>
        <w:rPr>
          <w:rFonts w:ascii="Verdana" w:hAnsi="Verdana" w:cs="Arial"/>
          <w:sz w:val="18"/>
          <w:szCs w:val="18"/>
        </w:rPr>
      </w:pPr>
      <w:r w:rsidRPr="00AF53B7">
        <w:rPr>
          <w:rFonts w:ascii="Verdana" w:hAnsi="Verdana" w:cs="Arial"/>
          <w:sz w:val="18"/>
          <w:szCs w:val="18"/>
        </w:rPr>
        <w:t xml:space="preserve">En Europe, </w:t>
      </w:r>
      <w:r w:rsidR="00176C0B" w:rsidRPr="00AF53B7">
        <w:rPr>
          <w:rFonts w:ascii="Verdana" w:hAnsi="Verdana" w:cs="Arial"/>
          <w:sz w:val="18"/>
          <w:szCs w:val="18"/>
        </w:rPr>
        <w:t xml:space="preserve">la demande, en augmentation de </w:t>
      </w:r>
      <w:r w:rsidR="00AF53B7" w:rsidRPr="00AF53B7">
        <w:rPr>
          <w:rFonts w:ascii="Verdana" w:hAnsi="Verdana" w:cs="Arial"/>
          <w:sz w:val="18"/>
          <w:szCs w:val="18"/>
        </w:rPr>
        <w:t>3</w:t>
      </w:r>
      <w:r w:rsidR="0087799A">
        <w:rPr>
          <w:rFonts w:ascii="Verdana" w:hAnsi="Verdana" w:cs="Arial"/>
          <w:sz w:val="18"/>
          <w:szCs w:val="18"/>
        </w:rPr>
        <w:t> </w:t>
      </w:r>
      <w:r w:rsidR="00176C0B" w:rsidRPr="00AF53B7">
        <w:rPr>
          <w:rFonts w:ascii="Verdana" w:hAnsi="Verdana" w:cs="Arial"/>
          <w:sz w:val="18"/>
          <w:szCs w:val="18"/>
        </w:rPr>
        <w:t>% globalement</w:t>
      </w:r>
      <w:r w:rsidR="00AF53B7" w:rsidRPr="00AF53B7">
        <w:rPr>
          <w:rFonts w:ascii="Verdana" w:hAnsi="Verdana" w:cs="Arial"/>
          <w:sz w:val="18"/>
          <w:szCs w:val="18"/>
        </w:rPr>
        <w:t xml:space="preserve"> sur l’année</w:t>
      </w:r>
      <w:r w:rsidR="00176C0B" w:rsidRPr="00AF53B7">
        <w:rPr>
          <w:rFonts w:ascii="Verdana" w:hAnsi="Verdana" w:cs="Arial"/>
          <w:sz w:val="18"/>
          <w:szCs w:val="18"/>
        </w:rPr>
        <w:t xml:space="preserve">, combine </w:t>
      </w:r>
      <w:r w:rsidR="00AF53B7" w:rsidRPr="00AF53B7">
        <w:rPr>
          <w:rFonts w:ascii="Verdana" w:hAnsi="Verdana" w:cs="Arial"/>
          <w:sz w:val="18"/>
          <w:szCs w:val="18"/>
        </w:rPr>
        <w:t xml:space="preserve">un marché toujours porteur </w:t>
      </w:r>
      <w:r w:rsidR="00176C0B" w:rsidRPr="00AF53B7">
        <w:rPr>
          <w:rFonts w:ascii="Verdana" w:hAnsi="Verdana" w:cs="Arial"/>
          <w:sz w:val="18"/>
          <w:szCs w:val="18"/>
        </w:rPr>
        <w:t xml:space="preserve">en Europe de l’Ouest </w:t>
      </w:r>
      <w:r w:rsidR="00AF53B7" w:rsidRPr="00AF53B7">
        <w:rPr>
          <w:rFonts w:ascii="Verdana" w:hAnsi="Verdana" w:cs="Arial"/>
          <w:sz w:val="18"/>
          <w:szCs w:val="18"/>
        </w:rPr>
        <w:t>(+ 4 %)</w:t>
      </w:r>
      <w:r w:rsidR="00B37C4A">
        <w:rPr>
          <w:rFonts w:ascii="Verdana" w:hAnsi="Verdana" w:cs="Arial"/>
          <w:sz w:val="18"/>
          <w:szCs w:val="18"/>
        </w:rPr>
        <w:t>, malgré le ralentissement des ventes d’automobiles au 2</w:t>
      </w:r>
      <w:r w:rsidR="00B37C4A" w:rsidRPr="00B37C4A">
        <w:rPr>
          <w:rFonts w:ascii="Verdana" w:hAnsi="Verdana" w:cs="Arial"/>
          <w:sz w:val="18"/>
          <w:szCs w:val="18"/>
          <w:vertAlign w:val="superscript"/>
        </w:rPr>
        <w:t>nd</w:t>
      </w:r>
      <w:r w:rsidR="00B37C4A">
        <w:rPr>
          <w:rFonts w:ascii="Verdana" w:hAnsi="Verdana" w:cs="Arial"/>
          <w:sz w:val="18"/>
          <w:szCs w:val="18"/>
        </w:rPr>
        <w:t xml:space="preserve"> semestre,</w:t>
      </w:r>
      <w:r w:rsidR="00AF53B7" w:rsidRPr="00AF53B7">
        <w:rPr>
          <w:rFonts w:ascii="Verdana" w:hAnsi="Verdana" w:cs="Arial"/>
          <w:sz w:val="18"/>
          <w:szCs w:val="18"/>
        </w:rPr>
        <w:t xml:space="preserve"> </w:t>
      </w:r>
      <w:r w:rsidR="00176C0B" w:rsidRPr="00AF53B7">
        <w:rPr>
          <w:rFonts w:ascii="Verdana" w:hAnsi="Verdana" w:cs="Arial"/>
          <w:sz w:val="18"/>
          <w:szCs w:val="18"/>
        </w:rPr>
        <w:t>et un</w:t>
      </w:r>
      <w:r w:rsidR="00AF53B7" w:rsidRPr="00AF53B7">
        <w:rPr>
          <w:rFonts w:ascii="Verdana" w:hAnsi="Verdana" w:cs="Arial"/>
          <w:sz w:val="18"/>
          <w:szCs w:val="18"/>
        </w:rPr>
        <w:t>e forte baisse</w:t>
      </w:r>
      <w:r w:rsidR="00176C0B" w:rsidRPr="00AF53B7">
        <w:rPr>
          <w:rFonts w:ascii="Verdana" w:hAnsi="Verdana" w:cs="Arial"/>
          <w:sz w:val="18"/>
          <w:szCs w:val="18"/>
        </w:rPr>
        <w:t xml:space="preserve"> de </w:t>
      </w:r>
      <w:r w:rsidR="00AF53B7" w:rsidRPr="00AF53B7">
        <w:rPr>
          <w:rFonts w:ascii="Verdana" w:hAnsi="Verdana" w:cs="Arial"/>
          <w:sz w:val="18"/>
          <w:szCs w:val="18"/>
        </w:rPr>
        <w:t>12</w:t>
      </w:r>
      <w:r w:rsidR="0087799A">
        <w:rPr>
          <w:rFonts w:ascii="Verdana" w:hAnsi="Verdana" w:cs="Arial"/>
          <w:sz w:val="18"/>
          <w:szCs w:val="18"/>
        </w:rPr>
        <w:t> </w:t>
      </w:r>
      <w:r w:rsidR="00176C0B" w:rsidRPr="00AF53B7">
        <w:rPr>
          <w:rFonts w:ascii="Verdana" w:hAnsi="Verdana" w:cs="Arial"/>
          <w:sz w:val="18"/>
          <w:szCs w:val="18"/>
        </w:rPr>
        <w:t>% en Europe orientale.</w:t>
      </w:r>
    </w:p>
    <w:p w:rsidR="007970E1" w:rsidRPr="004805AD" w:rsidRDefault="007970E1" w:rsidP="00176C0B">
      <w:pPr>
        <w:numPr>
          <w:ilvl w:val="1"/>
          <w:numId w:val="4"/>
        </w:numPr>
        <w:adjustRightInd w:val="0"/>
        <w:snapToGrid w:val="0"/>
        <w:spacing w:after="60"/>
        <w:jc w:val="both"/>
        <w:rPr>
          <w:rFonts w:ascii="Verdana" w:hAnsi="Verdana" w:cs="Arial"/>
          <w:strike/>
          <w:sz w:val="18"/>
          <w:szCs w:val="18"/>
        </w:rPr>
      </w:pPr>
      <w:r w:rsidRPr="0007736A">
        <w:rPr>
          <w:rFonts w:ascii="Verdana" w:hAnsi="Verdana" w:cs="Arial"/>
          <w:sz w:val="18"/>
          <w:szCs w:val="18"/>
        </w:rPr>
        <w:t xml:space="preserve">En Amérique du Nord, </w:t>
      </w:r>
      <w:r w:rsidR="00176C0B" w:rsidRPr="0007736A">
        <w:rPr>
          <w:rFonts w:ascii="Verdana" w:hAnsi="Verdana" w:cs="Arial"/>
          <w:sz w:val="18"/>
          <w:szCs w:val="18"/>
        </w:rPr>
        <w:t xml:space="preserve">le marché </w:t>
      </w:r>
      <w:r w:rsidR="0007736A" w:rsidRPr="0007736A">
        <w:rPr>
          <w:rFonts w:ascii="Verdana" w:hAnsi="Verdana" w:cs="Arial"/>
          <w:sz w:val="18"/>
          <w:szCs w:val="18"/>
        </w:rPr>
        <w:t xml:space="preserve">se </w:t>
      </w:r>
      <w:r w:rsidR="0007736A">
        <w:rPr>
          <w:rFonts w:ascii="Verdana" w:hAnsi="Verdana" w:cs="Arial"/>
          <w:sz w:val="18"/>
          <w:szCs w:val="18"/>
        </w:rPr>
        <w:t>stabilis</w:t>
      </w:r>
      <w:r w:rsidR="0007736A" w:rsidRPr="00E51A9F">
        <w:rPr>
          <w:rFonts w:ascii="Verdana" w:hAnsi="Verdana" w:cs="Arial"/>
          <w:sz w:val="18"/>
          <w:szCs w:val="18"/>
        </w:rPr>
        <w:t xml:space="preserve">e </w:t>
      </w:r>
      <w:r w:rsidR="00B37C4A">
        <w:rPr>
          <w:rFonts w:ascii="Verdana" w:hAnsi="Verdana" w:cs="Arial"/>
          <w:sz w:val="18"/>
          <w:szCs w:val="18"/>
        </w:rPr>
        <w:t xml:space="preserve">(+ 1 %) </w:t>
      </w:r>
      <w:r w:rsidR="0007736A" w:rsidRPr="00E51A9F">
        <w:rPr>
          <w:rFonts w:ascii="Verdana" w:hAnsi="Verdana" w:cs="Arial"/>
          <w:sz w:val="18"/>
          <w:szCs w:val="18"/>
        </w:rPr>
        <w:t>à haut niveau, en ligne avec les immatriculations</w:t>
      </w:r>
      <w:r w:rsidR="0007736A">
        <w:rPr>
          <w:rFonts w:ascii="Verdana" w:hAnsi="Verdana" w:cs="Arial"/>
          <w:sz w:val="18"/>
          <w:szCs w:val="18"/>
        </w:rPr>
        <w:t>.</w:t>
      </w:r>
      <w:r w:rsidR="0007736A" w:rsidRPr="004805AD">
        <w:rPr>
          <w:rFonts w:ascii="Verdana" w:hAnsi="Verdana" w:cs="Arial"/>
          <w:strike/>
          <w:sz w:val="18"/>
          <w:szCs w:val="18"/>
        </w:rPr>
        <w:t xml:space="preserve"> </w:t>
      </w:r>
    </w:p>
    <w:p w:rsidR="00176C0B" w:rsidRPr="00FA3D58" w:rsidRDefault="007970E1" w:rsidP="00176C0B">
      <w:pPr>
        <w:numPr>
          <w:ilvl w:val="1"/>
          <w:numId w:val="4"/>
        </w:numPr>
        <w:adjustRightInd w:val="0"/>
        <w:snapToGrid w:val="0"/>
        <w:spacing w:after="60"/>
        <w:jc w:val="both"/>
        <w:rPr>
          <w:rFonts w:ascii="Verdana" w:hAnsi="Verdana" w:cs="Arial"/>
          <w:sz w:val="18"/>
          <w:szCs w:val="18"/>
        </w:rPr>
      </w:pPr>
      <w:r w:rsidRPr="00FA3D58">
        <w:rPr>
          <w:rFonts w:ascii="Verdana" w:hAnsi="Verdana" w:cs="Arial"/>
          <w:sz w:val="18"/>
          <w:szCs w:val="18"/>
        </w:rPr>
        <w:t xml:space="preserve">En Asie (hors Inde), </w:t>
      </w:r>
      <w:r w:rsidR="00176C0B" w:rsidRPr="00FA3D58">
        <w:rPr>
          <w:rFonts w:ascii="Verdana" w:hAnsi="Verdana" w:cs="Arial"/>
          <w:sz w:val="18"/>
          <w:szCs w:val="18"/>
        </w:rPr>
        <w:t xml:space="preserve">la demande progresse globalement de </w:t>
      </w:r>
      <w:r w:rsidR="00400997">
        <w:rPr>
          <w:rFonts w:ascii="Verdana" w:hAnsi="Verdana" w:cs="Arial"/>
          <w:sz w:val="18"/>
          <w:szCs w:val="18"/>
        </w:rPr>
        <w:t>7</w:t>
      </w:r>
      <w:r w:rsidR="00400997" w:rsidRPr="00FA3D58">
        <w:rPr>
          <w:rFonts w:ascii="Verdana" w:hAnsi="Verdana" w:cs="Arial"/>
          <w:sz w:val="18"/>
          <w:szCs w:val="18"/>
        </w:rPr>
        <w:t xml:space="preserve"> </w:t>
      </w:r>
      <w:r w:rsidR="00176C0B" w:rsidRPr="00FA3D58">
        <w:rPr>
          <w:rFonts w:ascii="Verdana" w:hAnsi="Verdana" w:cs="Arial"/>
          <w:sz w:val="18"/>
          <w:szCs w:val="18"/>
        </w:rPr>
        <w:t>% à fin décembre.</w:t>
      </w:r>
      <w:r w:rsidR="00176C0B" w:rsidRPr="00AE6EC3">
        <w:rPr>
          <w:rFonts w:ascii="Verdana" w:hAnsi="Verdana" w:cs="Arial"/>
          <w:sz w:val="18"/>
          <w:szCs w:val="18"/>
        </w:rPr>
        <w:t xml:space="preserve"> En Chine, le marché reste </w:t>
      </w:r>
      <w:r w:rsidR="00AE6EC3" w:rsidRPr="00AE6EC3">
        <w:rPr>
          <w:rFonts w:ascii="Verdana" w:hAnsi="Verdana" w:cs="Arial"/>
          <w:sz w:val="18"/>
          <w:szCs w:val="18"/>
        </w:rPr>
        <w:t>porteur</w:t>
      </w:r>
      <w:r w:rsidR="0087799A">
        <w:rPr>
          <w:rFonts w:ascii="Verdana" w:hAnsi="Verdana" w:cs="Arial"/>
          <w:sz w:val="18"/>
          <w:szCs w:val="18"/>
        </w:rPr>
        <w:t xml:space="preserve"> (+ </w:t>
      </w:r>
      <w:r w:rsidR="00AE6EC3" w:rsidRPr="00AE6EC3">
        <w:rPr>
          <w:rFonts w:ascii="Verdana" w:hAnsi="Verdana" w:cs="Arial"/>
          <w:sz w:val="18"/>
          <w:szCs w:val="18"/>
        </w:rPr>
        <w:t>14</w:t>
      </w:r>
      <w:r w:rsidR="000400A0" w:rsidRPr="00AE6EC3">
        <w:rPr>
          <w:rFonts w:ascii="Verdana" w:hAnsi="Verdana" w:cs="Arial"/>
          <w:sz w:val="18"/>
          <w:szCs w:val="18"/>
        </w:rPr>
        <w:t> </w:t>
      </w:r>
      <w:r w:rsidR="00176C0B" w:rsidRPr="00AE6EC3">
        <w:rPr>
          <w:rFonts w:ascii="Verdana" w:hAnsi="Verdana" w:cs="Arial"/>
          <w:sz w:val="18"/>
          <w:szCs w:val="18"/>
        </w:rPr>
        <w:t>%) sur l’année,</w:t>
      </w:r>
      <w:r w:rsidR="00702DED">
        <w:rPr>
          <w:rFonts w:ascii="Verdana" w:hAnsi="Verdana" w:cs="Arial"/>
          <w:sz w:val="18"/>
          <w:szCs w:val="18"/>
        </w:rPr>
        <w:t xml:space="preserve"> </w:t>
      </w:r>
      <w:r w:rsidR="00AE6EC3">
        <w:rPr>
          <w:rFonts w:ascii="Verdana" w:hAnsi="Verdana" w:cs="Arial"/>
          <w:sz w:val="18"/>
          <w:szCs w:val="18"/>
        </w:rPr>
        <w:t>porté par</w:t>
      </w:r>
      <w:r w:rsidR="00AE6EC3" w:rsidRPr="00E51A9F">
        <w:rPr>
          <w:rFonts w:ascii="Verdana" w:hAnsi="Verdana" w:cs="Arial"/>
          <w:sz w:val="18"/>
          <w:szCs w:val="18"/>
        </w:rPr>
        <w:t xml:space="preserve"> les aides gouvernementales aux ventes de petits véhicules </w:t>
      </w:r>
      <w:r w:rsidR="00AE6EC3">
        <w:rPr>
          <w:rFonts w:ascii="Verdana" w:hAnsi="Verdana" w:cs="Arial"/>
          <w:sz w:val="18"/>
          <w:szCs w:val="18"/>
        </w:rPr>
        <w:t>et</w:t>
      </w:r>
      <w:r w:rsidR="00AE6EC3" w:rsidRPr="00E51A9F">
        <w:rPr>
          <w:rFonts w:ascii="Verdana" w:hAnsi="Verdana" w:cs="Arial"/>
          <w:sz w:val="18"/>
          <w:szCs w:val="18"/>
        </w:rPr>
        <w:t xml:space="preserve"> le succès du segment SUV</w:t>
      </w:r>
      <w:r w:rsidR="00702DED">
        <w:rPr>
          <w:rFonts w:ascii="Verdana" w:hAnsi="Verdana" w:cs="Arial"/>
          <w:sz w:val="18"/>
          <w:szCs w:val="18"/>
        </w:rPr>
        <w:t>. L</w:t>
      </w:r>
      <w:r w:rsidR="00FA3D58">
        <w:rPr>
          <w:rFonts w:ascii="Verdana" w:hAnsi="Verdana" w:cs="Arial"/>
          <w:sz w:val="18"/>
          <w:szCs w:val="18"/>
        </w:rPr>
        <w:t xml:space="preserve">a demande est </w:t>
      </w:r>
      <w:r w:rsidR="00FA3D58" w:rsidRPr="00E51A9F">
        <w:rPr>
          <w:rFonts w:ascii="Verdana" w:hAnsi="Verdana" w:cs="Arial"/>
          <w:sz w:val="18"/>
          <w:szCs w:val="18"/>
        </w:rPr>
        <w:t>en retrait de - </w:t>
      </w:r>
      <w:r w:rsidR="00E60A81">
        <w:rPr>
          <w:rFonts w:ascii="Verdana" w:hAnsi="Verdana" w:cs="Arial"/>
          <w:sz w:val="18"/>
          <w:szCs w:val="18"/>
        </w:rPr>
        <w:t>2</w:t>
      </w:r>
      <w:r w:rsidR="00FA3D58" w:rsidRPr="00E51A9F">
        <w:rPr>
          <w:rFonts w:ascii="Verdana" w:hAnsi="Verdana" w:cs="Arial"/>
          <w:sz w:val="18"/>
          <w:szCs w:val="18"/>
        </w:rPr>
        <w:t xml:space="preserve"> % au </w:t>
      </w:r>
      <w:r w:rsidR="00FA3D58" w:rsidRPr="00FA3D58">
        <w:rPr>
          <w:rFonts w:ascii="Verdana" w:hAnsi="Verdana" w:cs="Arial"/>
          <w:sz w:val="18"/>
          <w:szCs w:val="18"/>
        </w:rPr>
        <w:t>Japon, de - </w:t>
      </w:r>
      <w:r w:rsidR="00E60A81">
        <w:rPr>
          <w:rFonts w:ascii="Verdana" w:hAnsi="Verdana" w:cs="Arial"/>
          <w:sz w:val="18"/>
          <w:szCs w:val="18"/>
        </w:rPr>
        <w:t>7</w:t>
      </w:r>
      <w:r w:rsidR="00E60A81" w:rsidRPr="00FA3D58">
        <w:rPr>
          <w:rFonts w:ascii="Verdana" w:hAnsi="Verdana" w:cs="Arial"/>
          <w:sz w:val="18"/>
          <w:szCs w:val="18"/>
        </w:rPr>
        <w:t> </w:t>
      </w:r>
      <w:r w:rsidR="00FA3D58" w:rsidRPr="00FA3D58">
        <w:rPr>
          <w:rFonts w:ascii="Verdana" w:hAnsi="Verdana" w:cs="Arial"/>
          <w:sz w:val="18"/>
          <w:szCs w:val="18"/>
        </w:rPr>
        <w:t>% en Corée et de - </w:t>
      </w:r>
      <w:r w:rsidR="00E60A81">
        <w:rPr>
          <w:rFonts w:ascii="Verdana" w:hAnsi="Verdana" w:cs="Arial"/>
          <w:sz w:val="18"/>
          <w:szCs w:val="18"/>
        </w:rPr>
        <w:t>2</w:t>
      </w:r>
      <w:r w:rsidR="00E60A81" w:rsidRPr="00FA3D58">
        <w:rPr>
          <w:rFonts w:ascii="Verdana" w:hAnsi="Verdana" w:cs="Arial"/>
          <w:sz w:val="18"/>
          <w:szCs w:val="18"/>
        </w:rPr>
        <w:t> </w:t>
      </w:r>
      <w:r w:rsidR="00FA3D58" w:rsidRPr="00FA3D58">
        <w:rPr>
          <w:rFonts w:ascii="Verdana" w:hAnsi="Verdana" w:cs="Arial"/>
          <w:sz w:val="18"/>
          <w:szCs w:val="18"/>
        </w:rPr>
        <w:t>% en ASEAN.</w:t>
      </w:r>
      <w:r w:rsidR="00176C0B" w:rsidRPr="00FA3D58">
        <w:rPr>
          <w:rFonts w:ascii="Verdana" w:hAnsi="Verdana" w:cs="Arial"/>
          <w:sz w:val="18"/>
          <w:szCs w:val="18"/>
        </w:rPr>
        <w:t xml:space="preserve"> </w:t>
      </w:r>
    </w:p>
    <w:p w:rsidR="00E51A9F" w:rsidRPr="008C600D" w:rsidRDefault="00176C0B" w:rsidP="00E51A9F">
      <w:pPr>
        <w:numPr>
          <w:ilvl w:val="1"/>
          <w:numId w:val="4"/>
        </w:numPr>
        <w:adjustRightInd w:val="0"/>
        <w:snapToGrid w:val="0"/>
        <w:spacing w:after="60"/>
        <w:jc w:val="both"/>
        <w:rPr>
          <w:rFonts w:ascii="Verdana" w:hAnsi="Verdana" w:cs="Arial"/>
          <w:strike/>
          <w:sz w:val="18"/>
          <w:szCs w:val="18"/>
        </w:rPr>
      </w:pPr>
      <w:r w:rsidRPr="008C600D">
        <w:rPr>
          <w:rFonts w:ascii="Verdana" w:hAnsi="Verdana" w:cs="Arial"/>
          <w:sz w:val="18"/>
          <w:szCs w:val="18"/>
        </w:rPr>
        <w:t>En Amérique du Sud, l</w:t>
      </w:r>
      <w:r w:rsidR="008C600D" w:rsidRPr="008C600D">
        <w:rPr>
          <w:rFonts w:ascii="Verdana" w:hAnsi="Verdana" w:cs="Arial"/>
          <w:sz w:val="18"/>
          <w:szCs w:val="18"/>
        </w:rPr>
        <w:t>es marchés poursuivent leur fort recul (- </w:t>
      </w:r>
      <w:r w:rsidRPr="008C600D">
        <w:rPr>
          <w:rFonts w:ascii="Verdana" w:hAnsi="Verdana" w:cs="Arial"/>
          <w:sz w:val="18"/>
          <w:szCs w:val="18"/>
        </w:rPr>
        <w:t>1</w:t>
      </w:r>
      <w:r w:rsidR="00FA3D58" w:rsidRPr="008C600D">
        <w:rPr>
          <w:rFonts w:ascii="Verdana" w:hAnsi="Verdana" w:cs="Arial"/>
          <w:sz w:val="18"/>
          <w:szCs w:val="18"/>
        </w:rPr>
        <w:t>2</w:t>
      </w:r>
      <w:r w:rsidR="0087799A">
        <w:rPr>
          <w:rFonts w:ascii="Verdana" w:hAnsi="Verdana" w:cs="Arial"/>
          <w:sz w:val="18"/>
          <w:szCs w:val="18"/>
        </w:rPr>
        <w:t> </w:t>
      </w:r>
      <w:r w:rsidRPr="008C600D">
        <w:rPr>
          <w:rFonts w:ascii="Verdana" w:hAnsi="Verdana" w:cs="Arial"/>
          <w:sz w:val="18"/>
          <w:szCs w:val="18"/>
        </w:rPr>
        <w:t>%</w:t>
      </w:r>
      <w:r w:rsidR="008C600D" w:rsidRPr="008C600D">
        <w:rPr>
          <w:rFonts w:ascii="Verdana" w:hAnsi="Verdana" w:cs="Arial"/>
          <w:sz w:val="18"/>
          <w:szCs w:val="18"/>
        </w:rPr>
        <w:t>) sur l’ensemble de l’année, avec de</w:t>
      </w:r>
      <w:r w:rsidR="00D2104D">
        <w:rPr>
          <w:rFonts w:ascii="Verdana" w:hAnsi="Verdana" w:cs="Arial"/>
          <w:sz w:val="18"/>
          <w:szCs w:val="18"/>
        </w:rPr>
        <w:t>s</w:t>
      </w:r>
      <w:r w:rsidR="008C600D" w:rsidRPr="008C600D">
        <w:rPr>
          <w:rFonts w:ascii="Verdana" w:hAnsi="Verdana" w:cs="Arial"/>
          <w:sz w:val="18"/>
          <w:szCs w:val="18"/>
        </w:rPr>
        <w:t xml:space="preserve"> premiers signes d’amélioration sur le dernier trimestre</w:t>
      </w:r>
      <w:r w:rsidR="00366AA8" w:rsidRPr="00366AA8">
        <w:rPr>
          <w:rFonts w:ascii="Verdana" w:hAnsi="Verdana" w:cs="Arial"/>
          <w:sz w:val="18"/>
          <w:szCs w:val="18"/>
        </w:rPr>
        <w:t xml:space="preserve"> </w:t>
      </w:r>
      <w:r w:rsidR="00366AA8" w:rsidRPr="008C600D">
        <w:rPr>
          <w:rFonts w:ascii="Verdana" w:hAnsi="Verdana" w:cs="Arial"/>
          <w:sz w:val="18"/>
          <w:szCs w:val="18"/>
        </w:rPr>
        <w:t>au Brésil</w:t>
      </w:r>
      <w:r w:rsidR="00366AA8">
        <w:rPr>
          <w:rFonts w:ascii="Verdana" w:hAnsi="Verdana" w:cs="Arial"/>
          <w:sz w:val="18"/>
          <w:szCs w:val="18"/>
        </w:rPr>
        <w:t xml:space="preserve"> (+ 6 %) et </w:t>
      </w:r>
      <w:r w:rsidR="00366AA8" w:rsidRPr="008C600D">
        <w:rPr>
          <w:rFonts w:ascii="Verdana" w:hAnsi="Verdana" w:cs="Arial"/>
          <w:sz w:val="18"/>
          <w:szCs w:val="18"/>
        </w:rPr>
        <w:t>en Argentine</w:t>
      </w:r>
      <w:r w:rsidR="008C600D" w:rsidRPr="008C600D">
        <w:rPr>
          <w:rFonts w:ascii="Verdana" w:hAnsi="Verdana" w:cs="Arial"/>
          <w:sz w:val="18"/>
          <w:szCs w:val="18"/>
        </w:rPr>
        <w:t>.</w:t>
      </w:r>
    </w:p>
    <w:p w:rsidR="007970E1" w:rsidRPr="00B514A1" w:rsidRDefault="007970E1" w:rsidP="007970E1">
      <w:pPr>
        <w:spacing w:after="60"/>
        <w:jc w:val="both"/>
        <w:rPr>
          <w:rFonts w:ascii="Arial" w:hAnsi="Arial" w:cs="Arial"/>
          <w:smallCaps/>
          <w:sz w:val="18"/>
          <w:szCs w:val="18"/>
          <w:u w:val="single"/>
        </w:rPr>
      </w:pPr>
    </w:p>
    <w:p w:rsidR="007970E1" w:rsidRPr="00B514A1" w:rsidRDefault="007970E1" w:rsidP="007970E1">
      <w:pPr>
        <w:numPr>
          <w:ilvl w:val="0"/>
          <w:numId w:val="4"/>
        </w:numPr>
        <w:tabs>
          <w:tab w:val="clear" w:pos="360"/>
          <w:tab w:val="num" w:pos="709"/>
        </w:tabs>
        <w:spacing w:after="60"/>
        <w:ind w:firstLine="66"/>
        <w:jc w:val="both"/>
        <w:rPr>
          <w:rFonts w:ascii="Arial" w:hAnsi="Arial" w:cs="Arial"/>
          <w:smallCaps/>
          <w:sz w:val="18"/>
          <w:szCs w:val="18"/>
          <w:u w:val="single"/>
        </w:rPr>
      </w:pPr>
      <w:r w:rsidRPr="00B514A1">
        <w:rPr>
          <w:rFonts w:ascii="Verdana" w:hAnsi="Verdana" w:cs="Arial"/>
          <w:b/>
          <w:smallCaps/>
          <w:sz w:val="18"/>
          <w:szCs w:val="18"/>
        </w:rPr>
        <w:t>Remplacement</w:t>
      </w:r>
    </w:p>
    <w:p w:rsidR="000C3F95" w:rsidRPr="00B514A1" w:rsidRDefault="007970E1" w:rsidP="000C3F95">
      <w:pPr>
        <w:numPr>
          <w:ilvl w:val="1"/>
          <w:numId w:val="4"/>
        </w:numPr>
        <w:spacing w:after="60"/>
        <w:ind w:right="139"/>
        <w:jc w:val="both"/>
        <w:rPr>
          <w:rFonts w:ascii="Verdana" w:hAnsi="Verdana" w:cs="Arial"/>
          <w:sz w:val="18"/>
          <w:szCs w:val="18"/>
        </w:rPr>
      </w:pPr>
      <w:r w:rsidRPr="00B514A1">
        <w:rPr>
          <w:rFonts w:ascii="Verdana" w:hAnsi="Verdana" w:cs="Arial"/>
          <w:sz w:val="18"/>
          <w:szCs w:val="18"/>
        </w:rPr>
        <w:t xml:space="preserve">En Europe, </w:t>
      </w:r>
      <w:r w:rsidR="000C3F95" w:rsidRPr="00657317">
        <w:rPr>
          <w:rFonts w:ascii="Verdana" w:hAnsi="Verdana" w:cs="Arial"/>
          <w:sz w:val="18"/>
          <w:szCs w:val="18"/>
        </w:rPr>
        <w:t>le m</w:t>
      </w:r>
      <w:r w:rsidR="00FC5155" w:rsidRPr="00657317">
        <w:rPr>
          <w:rFonts w:ascii="Verdana" w:hAnsi="Verdana" w:cs="Arial"/>
          <w:sz w:val="18"/>
          <w:szCs w:val="18"/>
        </w:rPr>
        <w:t>arché s'accroît globalement de 2</w:t>
      </w:r>
      <w:r w:rsidR="0087799A">
        <w:rPr>
          <w:rFonts w:ascii="Verdana" w:hAnsi="Verdana" w:cs="Arial"/>
          <w:sz w:val="18"/>
          <w:szCs w:val="18"/>
        </w:rPr>
        <w:t> </w:t>
      </w:r>
      <w:r w:rsidR="000C3F95" w:rsidRPr="00657317">
        <w:rPr>
          <w:rFonts w:ascii="Verdana" w:hAnsi="Verdana" w:cs="Arial"/>
          <w:sz w:val="18"/>
          <w:szCs w:val="18"/>
        </w:rPr>
        <w:t xml:space="preserve">% à fin décembre. La demande en Europe de l’Ouest augmente de </w:t>
      </w:r>
      <w:r w:rsidR="00FC5155" w:rsidRPr="00657317">
        <w:rPr>
          <w:rFonts w:ascii="Verdana" w:hAnsi="Verdana" w:cs="Arial"/>
          <w:sz w:val="18"/>
          <w:szCs w:val="18"/>
        </w:rPr>
        <w:t>4</w:t>
      </w:r>
      <w:r w:rsidR="0087799A">
        <w:rPr>
          <w:rFonts w:ascii="Verdana" w:hAnsi="Verdana" w:cs="Arial"/>
          <w:sz w:val="18"/>
          <w:szCs w:val="18"/>
        </w:rPr>
        <w:t> </w:t>
      </w:r>
      <w:r w:rsidR="000C3F95" w:rsidRPr="00657317">
        <w:rPr>
          <w:rFonts w:ascii="Verdana" w:hAnsi="Verdana" w:cs="Arial"/>
          <w:sz w:val="18"/>
          <w:szCs w:val="18"/>
        </w:rPr>
        <w:t xml:space="preserve">% et reflète </w:t>
      </w:r>
      <w:r w:rsidR="00657317" w:rsidRPr="00657317">
        <w:rPr>
          <w:rFonts w:ascii="Verdana" w:hAnsi="Verdana" w:cs="Arial"/>
          <w:sz w:val="18"/>
          <w:szCs w:val="18"/>
        </w:rPr>
        <w:t xml:space="preserve">à la fois </w:t>
      </w:r>
      <w:r w:rsidR="00D10B02">
        <w:rPr>
          <w:rFonts w:ascii="Verdana" w:hAnsi="Verdana" w:cs="Arial"/>
          <w:sz w:val="18"/>
          <w:szCs w:val="18"/>
        </w:rPr>
        <w:t>un</w:t>
      </w:r>
      <w:r w:rsidR="00657317" w:rsidRPr="00657317">
        <w:rPr>
          <w:rFonts w:ascii="Verdana" w:hAnsi="Verdana" w:cs="Arial"/>
          <w:sz w:val="18"/>
          <w:szCs w:val="18"/>
        </w:rPr>
        <w:t xml:space="preserve"> segment hiver </w:t>
      </w:r>
      <w:r w:rsidR="00D10B02">
        <w:rPr>
          <w:rFonts w:ascii="Verdana" w:hAnsi="Verdana" w:cs="Arial"/>
          <w:sz w:val="18"/>
          <w:szCs w:val="18"/>
        </w:rPr>
        <w:t xml:space="preserve">volatil </w:t>
      </w:r>
      <w:r w:rsidR="00DA0722">
        <w:rPr>
          <w:rFonts w:ascii="Verdana" w:hAnsi="Verdana" w:cs="Arial"/>
          <w:sz w:val="18"/>
          <w:szCs w:val="18"/>
        </w:rPr>
        <w:t>(+ 4 %)</w:t>
      </w:r>
      <w:r w:rsidR="00657317" w:rsidRPr="00657317">
        <w:rPr>
          <w:rFonts w:ascii="Verdana" w:hAnsi="Verdana" w:cs="Arial"/>
          <w:sz w:val="18"/>
          <w:szCs w:val="18"/>
        </w:rPr>
        <w:t xml:space="preserve">, l’augmentation des importations </w:t>
      </w:r>
      <w:r w:rsidR="000C3F95" w:rsidRPr="00657317">
        <w:rPr>
          <w:rFonts w:ascii="Verdana" w:hAnsi="Verdana" w:cs="Arial"/>
          <w:sz w:val="18"/>
          <w:szCs w:val="18"/>
        </w:rPr>
        <w:t>de pneus d'entrée de gamme</w:t>
      </w:r>
      <w:r w:rsidR="00657317" w:rsidRPr="00657317">
        <w:rPr>
          <w:rFonts w:ascii="Verdana" w:hAnsi="Verdana" w:cs="Arial"/>
          <w:sz w:val="18"/>
          <w:szCs w:val="18"/>
        </w:rPr>
        <w:t xml:space="preserve"> et le dynamisme des ventes dans le segment </w:t>
      </w:r>
      <w:r w:rsidR="00657317" w:rsidRPr="00412DED">
        <w:rPr>
          <w:rFonts w:ascii="Verdana" w:hAnsi="Verdana" w:cs="Arial"/>
          <w:i/>
          <w:sz w:val="18"/>
          <w:szCs w:val="18"/>
        </w:rPr>
        <w:t>All</w:t>
      </w:r>
      <w:r w:rsidR="00412DED" w:rsidRPr="00412DED">
        <w:rPr>
          <w:rFonts w:ascii="Verdana" w:hAnsi="Verdana" w:cs="Arial"/>
          <w:i/>
          <w:sz w:val="18"/>
          <w:szCs w:val="18"/>
        </w:rPr>
        <w:t xml:space="preserve"> </w:t>
      </w:r>
      <w:proofErr w:type="spellStart"/>
      <w:r w:rsidR="00412DED" w:rsidRPr="00412DED">
        <w:rPr>
          <w:rFonts w:ascii="Verdana" w:hAnsi="Verdana" w:cs="Arial"/>
          <w:i/>
          <w:sz w:val="18"/>
          <w:szCs w:val="18"/>
        </w:rPr>
        <w:t>season</w:t>
      </w:r>
      <w:proofErr w:type="spellEnd"/>
      <w:r w:rsidR="000C3F95" w:rsidRPr="00657317">
        <w:rPr>
          <w:rFonts w:ascii="Verdana" w:hAnsi="Verdana" w:cs="Arial"/>
          <w:sz w:val="18"/>
          <w:szCs w:val="18"/>
        </w:rPr>
        <w:t>. En Europe orientale,</w:t>
      </w:r>
      <w:r w:rsidR="000C3F95" w:rsidRPr="00DA0722">
        <w:rPr>
          <w:rFonts w:ascii="Verdana" w:hAnsi="Verdana" w:cs="Arial"/>
          <w:sz w:val="18"/>
          <w:szCs w:val="18"/>
        </w:rPr>
        <w:t xml:space="preserve"> la demande poursuit sa chute (- 7 %).</w:t>
      </w:r>
    </w:p>
    <w:p w:rsidR="00452FA8" w:rsidRPr="00316A75" w:rsidRDefault="007970E1" w:rsidP="00316A75">
      <w:pPr>
        <w:pStyle w:val="Paragraphedeliste"/>
        <w:numPr>
          <w:ilvl w:val="1"/>
          <w:numId w:val="4"/>
        </w:numPr>
        <w:spacing w:after="60"/>
        <w:jc w:val="both"/>
        <w:rPr>
          <w:rFonts w:ascii="Verdana" w:hAnsi="Verdana" w:cs="Arial"/>
          <w:sz w:val="18"/>
          <w:szCs w:val="18"/>
        </w:rPr>
      </w:pPr>
      <w:r w:rsidRPr="00316A75">
        <w:rPr>
          <w:rFonts w:ascii="Verdana" w:hAnsi="Verdana" w:cs="Arial"/>
          <w:sz w:val="18"/>
          <w:szCs w:val="18"/>
        </w:rPr>
        <w:t xml:space="preserve">En Amérique du Nord, </w:t>
      </w:r>
      <w:r w:rsidR="00452FA8" w:rsidRPr="00316A75">
        <w:rPr>
          <w:rFonts w:ascii="Verdana" w:hAnsi="Verdana" w:cs="Arial"/>
          <w:sz w:val="18"/>
          <w:szCs w:val="18"/>
        </w:rPr>
        <w:t xml:space="preserve">la demande </w:t>
      </w:r>
      <w:r w:rsidR="00316A75">
        <w:rPr>
          <w:rFonts w:ascii="Verdana" w:hAnsi="Verdana" w:cs="Arial"/>
          <w:sz w:val="18"/>
          <w:szCs w:val="18"/>
        </w:rPr>
        <w:t>s</w:t>
      </w:r>
      <w:r w:rsidR="000321C4">
        <w:rPr>
          <w:rFonts w:ascii="Verdana" w:hAnsi="Verdana" w:cs="Arial"/>
          <w:sz w:val="18"/>
          <w:szCs w:val="18"/>
        </w:rPr>
        <w:t>’</w:t>
      </w:r>
      <w:r w:rsidR="00316A75">
        <w:rPr>
          <w:rFonts w:ascii="Verdana" w:hAnsi="Verdana" w:cs="Arial"/>
          <w:sz w:val="18"/>
          <w:szCs w:val="18"/>
        </w:rPr>
        <w:t xml:space="preserve">établit </w:t>
      </w:r>
      <w:r w:rsidR="00452FA8" w:rsidRPr="00316A75">
        <w:rPr>
          <w:rFonts w:ascii="Verdana" w:hAnsi="Verdana" w:cs="Arial"/>
          <w:sz w:val="18"/>
          <w:szCs w:val="18"/>
        </w:rPr>
        <w:t xml:space="preserve">en hausse de </w:t>
      </w:r>
      <w:r w:rsidR="00DA0722" w:rsidRPr="00316A75">
        <w:rPr>
          <w:rFonts w:ascii="Verdana" w:hAnsi="Verdana" w:cs="Arial"/>
          <w:sz w:val="18"/>
          <w:szCs w:val="18"/>
        </w:rPr>
        <w:t>2</w:t>
      </w:r>
      <w:r w:rsidR="00452FA8" w:rsidRPr="00316A75">
        <w:rPr>
          <w:rFonts w:ascii="Verdana" w:hAnsi="Verdana" w:cs="Arial"/>
          <w:sz w:val="18"/>
          <w:szCs w:val="18"/>
        </w:rPr>
        <w:t xml:space="preserve"> % sur l'ensemble de la zone, </w:t>
      </w:r>
      <w:r w:rsidR="00316A75" w:rsidRPr="00316A75">
        <w:rPr>
          <w:rFonts w:ascii="Verdana" w:hAnsi="Verdana" w:cs="Arial"/>
          <w:sz w:val="18"/>
          <w:szCs w:val="18"/>
        </w:rPr>
        <w:t>marquée par une croissance forte au 4</w:t>
      </w:r>
      <w:r w:rsidR="00316A75" w:rsidRPr="00316A75">
        <w:rPr>
          <w:rFonts w:ascii="Verdana" w:hAnsi="Verdana" w:cs="Arial"/>
          <w:sz w:val="18"/>
          <w:szCs w:val="18"/>
          <w:vertAlign w:val="superscript"/>
        </w:rPr>
        <w:t>ème</w:t>
      </w:r>
      <w:r w:rsidR="00316A75" w:rsidRPr="00316A75">
        <w:rPr>
          <w:rFonts w:ascii="Verdana" w:hAnsi="Verdana" w:cs="Arial"/>
          <w:sz w:val="18"/>
          <w:szCs w:val="18"/>
        </w:rPr>
        <w:t xml:space="preserve"> trimestre </w:t>
      </w:r>
      <w:r w:rsidR="00820286">
        <w:rPr>
          <w:rFonts w:ascii="Verdana" w:hAnsi="Verdana" w:cs="Arial"/>
          <w:sz w:val="18"/>
          <w:szCs w:val="18"/>
        </w:rPr>
        <w:t>du segment des pneus de petit</w:t>
      </w:r>
      <w:r w:rsidR="000321C4">
        <w:rPr>
          <w:rFonts w:ascii="Verdana" w:hAnsi="Verdana" w:cs="Arial"/>
          <w:sz w:val="18"/>
          <w:szCs w:val="18"/>
        </w:rPr>
        <w:t>e</w:t>
      </w:r>
      <w:r w:rsidR="00820286">
        <w:rPr>
          <w:rFonts w:ascii="Verdana" w:hAnsi="Verdana" w:cs="Arial"/>
          <w:sz w:val="18"/>
          <w:szCs w:val="18"/>
        </w:rPr>
        <w:t xml:space="preserve"> di</w:t>
      </w:r>
      <w:r w:rsidR="000321C4">
        <w:rPr>
          <w:rFonts w:ascii="Verdana" w:hAnsi="Verdana" w:cs="Arial"/>
          <w:sz w:val="18"/>
          <w:szCs w:val="18"/>
        </w:rPr>
        <w:t>mension</w:t>
      </w:r>
      <w:r w:rsidR="00820286">
        <w:rPr>
          <w:rFonts w:ascii="Verdana" w:hAnsi="Verdana" w:cs="Arial"/>
          <w:sz w:val="18"/>
          <w:szCs w:val="18"/>
        </w:rPr>
        <w:t xml:space="preserve"> et par la solide hausse du marché au Mexique (+ 8 %)</w:t>
      </w:r>
      <w:r w:rsidR="00316A75" w:rsidRPr="00316A75">
        <w:rPr>
          <w:rFonts w:ascii="Verdana" w:hAnsi="Verdana" w:cs="Arial"/>
          <w:sz w:val="18"/>
          <w:szCs w:val="18"/>
        </w:rPr>
        <w:t xml:space="preserve">. </w:t>
      </w:r>
      <w:r w:rsidR="00316A75">
        <w:rPr>
          <w:rFonts w:ascii="Verdana" w:hAnsi="Verdana" w:cs="Arial"/>
          <w:sz w:val="18"/>
          <w:szCs w:val="18"/>
        </w:rPr>
        <w:t>Aux Etats-Unis, le marché affiche un certain attentisme (</w:t>
      </w:r>
      <w:r w:rsidR="00AF0D14">
        <w:rPr>
          <w:rFonts w:ascii="Verdana" w:hAnsi="Verdana" w:cs="Arial"/>
          <w:sz w:val="18"/>
          <w:szCs w:val="18"/>
        </w:rPr>
        <w:t>+</w:t>
      </w:r>
      <w:r w:rsidR="00316A75">
        <w:rPr>
          <w:rFonts w:ascii="Verdana" w:hAnsi="Verdana" w:cs="Arial"/>
          <w:sz w:val="18"/>
          <w:szCs w:val="18"/>
        </w:rPr>
        <w:t xml:space="preserve"> 1 %) lié au contexte électoral tandis que </w:t>
      </w:r>
      <w:r w:rsidR="000321C4">
        <w:rPr>
          <w:rFonts w:ascii="Verdana" w:hAnsi="Verdana" w:cs="Arial"/>
          <w:sz w:val="18"/>
          <w:szCs w:val="18"/>
        </w:rPr>
        <w:t xml:space="preserve">les </w:t>
      </w:r>
      <w:r w:rsidR="00316A75">
        <w:rPr>
          <w:rFonts w:ascii="Verdana" w:hAnsi="Verdana" w:cs="Arial"/>
          <w:sz w:val="18"/>
          <w:szCs w:val="18"/>
        </w:rPr>
        <w:t xml:space="preserve">segments </w:t>
      </w:r>
      <w:r w:rsidR="00D10B02">
        <w:rPr>
          <w:rFonts w:ascii="Verdana" w:hAnsi="Verdana" w:cs="Arial"/>
          <w:sz w:val="18"/>
          <w:szCs w:val="18"/>
        </w:rPr>
        <w:t xml:space="preserve">18 pouces et plus (+ 15 %) et 4x4 </w:t>
      </w:r>
      <w:r w:rsidR="00316A75">
        <w:rPr>
          <w:rFonts w:ascii="Verdana" w:hAnsi="Verdana" w:cs="Arial"/>
          <w:sz w:val="18"/>
          <w:szCs w:val="18"/>
        </w:rPr>
        <w:t xml:space="preserve"> connaissent une bonne progression.</w:t>
      </w:r>
    </w:p>
    <w:p w:rsidR="00452FA8" w:rsidRPr="00323143" w:rsidRDefault="007970E1" w:rsidP="00452FA8">
      <w:pPr>
        <w:numPr>
          <w:ilvl w:val="1"/>
          <w:numId w:val="4"/>
        </w:numPr>
        <w:spacing w:after="60"/>
        <w:jc w:val="both"/>
        <w:rPr>
          <w:rFonts w:ascii="Verdana" w:hAnsi="Verdana" w:cs="Arial"/>
          <w:sz w:val="18"/>
          <w:szCs w:val="18"/>
        </w:rPr>
      </w:pPr>
      <w:r w:rsidRPr="00B514A1">
        <w:rPr>
          <w:rFonts w:ascii="Verdana" w:hAnsi="Verdana" w:cs="Arial"/>
          <w:sz w:val="18"/>
          <w:szCs w:val="18"/>
        </w:rPr>
        <w:t xml:space="preserve">En Asie (hors Inde), </w:t>
      </w:r>
      <w:r w:rsidR="00452FA8" w:rsidRPr="00B514A1">
        <w:rPr>
          <w:rFonts w:ascii="Verdana" w:hAnsi="Verdana" w:cs="Arial"/>
          <w:sz w:val="18"/>
          <w:szCs w:val="18"/>
        </w:rPr>
        <w:t xml:space="preserve">la demande </w:t>
      </w:r>
      <w:r w:rsidR="00452FA8" w:rsidRPr="001D777E">
        <w:rPr>
          <w:rFonts w:ascii="Verdana" w:hAnsi="Verdana" w:cs="Arial"/>
          <w:sz w:val="18"/>
          <w:szCs w:val="18"/>
        </w:rPr>
        <w:t xml:space="preserve">progresse de </w:t>
      </w:r>
      <w:r w:rsidR="001D777E" w:rsidRPr="001D777E">
        <w:rPr>
          <w:rFonts w:ascii="Verdana" w:hAnsi="Verdana" w:cs="Arial"/>
          <w:sz w:val="18"/>
          <w:szCs w:val="18"/>
        </w:rPr>
        <w:t>4</w:t>
      </w:r>
      <w:r w:rsidR="00452FA8" w:rsidRPr="001D777E">
        <w:rPr>
          <w:rFonts w:ascii="Verdana" w:hAnsi="Verdana" w:cs="Arial"/>
          <w:sz w:val="18"/>
          <w:szCs w:val="18"/>
        </w:rPr>
        <w:t xml:space="preserve"> </w:t>
      </w:r>
      <w:r w:rsidR="00452FA8" w:rsidRPr="00323143">
        <w:rPr>
          <w:rFonts w:ascii="Verdana" w:hAnsi="Verdana" w:cs="Arial"/>
          <w:sz w:val="18"/>
          <w:szCs w:val="18"/>
        </w:rPr>
        <w:t xml:space="preserve">%, tirée par un marché chinois </w:t>
      </w:r>
      <w:r w:rsidR="00D11AC1" w:rsidRPr="00323143">
        <w:rPr>
          <w:rFonts w:ascii="Verdana" w:hAnsi="Verdana" w:cs="Arial"/>
          <w:sz w:val="18"/>
          <w:szCs w:val="18"/>
        </w:rPr>
        <w:t>toujours dynamique (+ </w:t>
      </w:r>
      <w:r w:rsidR="00452FA8" w:rsidRPr="00323143">
        <w:rPr>
          <w:rFonts w:ascii="Verdana" w:hAnsi="Verdana" w:cs="Arial"/>
          <w:sz w:val="18"/>
          <w:szCs w:val="18"/>
        </w:rPr>
        <w:t>8</w:t>
      </w:r>
      <w:r w:rsidR="00D11AC1" w:rsidRPr="00323143">
        <w:rPr>
          <w:rFonts w:ascii="Verdana" w:hAnsi="Verdana" w:cs="Arial"/>
          <w:sz w:val="18"/>
          <w:szCs w:val="18"/>
        </w:rPr>
        <w:t> </w:t>
      </w:r>
      <w:r w:rsidR="00452FA8" w:rsidRPr="00323143">
        <w:rPr>
          <w:rFonts w:ascii="Verdana" w:hAnsi="Verdana" w:cs="Arial"/>
          <w:sz w:val="18"/>
          <w:szCs w:val="18"/>
        </w:rPr>
        <w:t>%)</w:t>
      </w:r>
      <w:r w:rsidR="009977B1" w:rsidRPr="00323143">
        <w:rPr>
          <w:rFonts w:ascii="Verdana" w:hAnsi="Verdana" w:cs="Arial"/>
          <w:sz w:val="18"/>
          <w:szCs w:val="18"/>
        </w:rPr>
        <w:t xml:space="preserve"> dans un environnement concurrentiel soutenu</w:t>
      </w:r>
      <w:r w:rsidR="00452FA8" w:rsidRPr="00323143">
        <w:rPr>
          <w:rFonts w:ascii="Verdana" w:hAnsi="Verdana" w:cs="Arial"/>
          <w:sz w:val="18"/>
          <w:szCs w:val="18"/>
        </w:rPr>
        <w:t>. L</w:t>
      </w:r>
      <w:r w:rsidR="009977B1" w:rsidRPr="00323143">
        <w:rPr>
          <w:rFonts w:ascii="Verdana" w:hAnsi="Verdana" w:cs="Arial"/>
          <w:sz w:val="18"/>
          <w:szCs w:val="18"/>
        </w:rPr>
        <w:t>e</w:t>
      </w:r>
      <w:r w:rsidR="00452FA8" w:rsidRPr="00323143">
        <w:rPr>
          <w:rFonts w:ascii="Verdana" w:hAnsi="Verdana" w:cs="Arial"/>
          <w:sz w:val="18"/>
          <w:szCs w:val="18"/>
        </w:rPr>
        <w:t xml:space="preserve"> reste de la zone </w:t>
      </w:r>
      <w:r w:rsidR="00487B98">
        <w:rPr>
          <w:rFonts w:ascii="Verdana" w:hAnsi="Verdana" w:cs="Arial"/>
          <w:sz w:val="18"/>
          <w:szCs w:val="18"/>
        </w:rPr>
        <w:t>est quasiment stable (+ 1 %) en raison du</w:t>
      </w:r>
      <w:r w:rsidR="00452FA8" w:rsidRPr="00323143">
        <w:rPr>
          <w:rFonts w:ascii="Verdana" w:hAnsi="Verdana" w:cs="Arial"/>
          <w:sz w:val="18"/>
          <w:szCs w:val="18"/>
        </w:rPr>
        <w:t xml:space="preserve"> marché en recul de </w:t>
      </w:r>
      <w:r w:rsidR="009977B1" w:rsidRPr="00323143">
        <w:rPr>
          <w:rFonts w:ascii="Verdana" w:hAnsi="Verdana" w:cs="Arial"/>
          <w:sz w:val="18"/>
          <w:szCs w:val="18"/>
        </w:rPr>
        <w:t>1</w:t>
      </w:r>
      <w:r w:rsidR="00452FA8" w:rsidRPr="00323143">
        <w:rPr>
          <w:rFonts w:ascii="Verdana" w:hAnsi="Verdana" w:cs="Arial"/>
          <w:sz w:val="18"/>
          <w:szCs w:val="18"/>
        </w:rPr>
        <w:t xml:space="preserve"> % </w:t>
      </w:r>
      <w:r w:rsidR="00487B98">
        <w:rPr>
          <w:rFonts w:ascii="Verdana" w:hAnsi="Verdana" w:cs="Arial"/>
          <w:sz w:val="18"/>
          <w:szCs w:val="18"/>
        </w:rPr>
        <w:t xml:space="preserve">au Japon comme en </w:t>
      </w:r>
      <w:r w:rsidR="00487B98" w:rsidRPr="00387447">
        <w:rPr>
          <w:rFonts w:ascii="Verdana" w:hAnsi="Verdana" w:cs="Arial"/>
          <w:sz w:val="18"/>
          <w:szCs w:val="18"/>
        </w:rPr>
        <w:t>Thaïlande</w:t>
      </w:r>
      <w:r w:rsidR="00452FA8" w:rsidRPr="00323143">
        <w:rPr>
          <w:rFonts w:ascii="Verdana" w:hAnsi="Verdana" w:cs="Arial"/>
          <w:sz w:val="18"/>
          <w:szCs w:val="18"/>
        </w:rPr>
        <w:t>.</w:t>
      </w:r>
    </w:p>
    <w:p w:rsidR="007970E1" w:rsidRPr="004805AD" w:rsidRDefault="007970E1" w:rsidP="00E66E97">
      <w:pPr>
        <w:numPr>
          <w:ilvl w:val="1"/>
          <w:numId w:val="4"/>
        </w:numPr>
        <w:spacing w:after="60"/>
        <w:jc w:val="both"/>
        <w:rPr>
          <w:rFonts w:ascii="Verdana" w:hAnsi="Verdana" w:cs="Arial"/>
          <w:strike/>
          <w:sz w:val="18"/>
          <w:szCs w:val="18"/>
        </w:rPr>
      </w:pPr>
      <w:r w:rsidRPr="00B514A1">
        <w:rPr>
          <w:rFonts w:ascii="Verdana" w:hAnsi="Verdana" w:cs="Arial"/>
          <w:sz w:val="18"/>
          <w:szCs w:val="18"/>
        </w:rPr>
        <w:t xml:space="preserve">En Amérique du Sud, </w:t>
      </w:r>
      <w:r w:rsidR="001009C6" w:rsidRPr="00B514A1">
        <w:rPr>
          <w:rFonts w:ascii="Verdana" w:hAnsi="Verdana" w:cs="Arial"/>
          <w:sz w:val="18"/>
          <w:szCs w:val="18"/>
        </w:rPr>
        <w:t xml:space="preserve">la </w:t>
      </w:r>
      <w:r w:rsidR="001009C6" w:rsidRPr="00E66E97">
        <w:rPr>
          <w:rFonts w:ascii="Verdana" w:hAnsi="Verdana" w:cs="Arial"/>
          <w:sz w:val="18"/>
          <w:szCs w:val="18"/>
        </w:rPr>
        <w:t>demande est</w:t>
      </w:r>
      <w:r w:rsidR="00E66E97">
        <w:rPr>
          <w:rFonts w:ascii="Verdana" w:hAnsi="Verdana" w:cs="Arial"/>
          <w:sz w:val="18"/>
          <w:szCs w:val="18"/>
        </w:rPr>
        <w:t xml:space="preserve"> globalement </w:t>
      </w:r>
      <w:r w:rsidR="00E66E97" w:rsidRPr="00E66E97">
        <w:rPr>
          <w:rFonts w:ascii="Verdana" w:hAnsi="Verdana" w:cs="Arial"/>
          <w:sz w:val="18"/>
          <w:szCs w:val="18"/>
        </w:rPr>
        <w:t xml:space="preserve">stable, </w:t>
      </w:r>
      <w:r w:rsidR="00E66E97">
        <w:rPr>
          <w:rFonts w:ascii="Verdana" w:hAnsi="Verdana" w:cs="Arial"/>
          <w:sz w:val="18"/>
          <w:szCs w:val="18"/>
        </w:rPr>
        <w:t xml:space="preserve">le recul au Brésil (- 2 %) </w:t>
      </w:r>
      <w:r w:rsidR="00C165D9">
        <w:rPr>
          <w:rFonts w:ascii="Verdana" w:hAnsi="Verdana" w:cs="Arial"/>
          <w:sz w:val="18"/>
          <w:szCs w:val="18"/>
        </w:rPr>
        <w:t xml:space="preserve">malgré une meilleure tendance en fin d’année </w:t>
      </w:r>
      <w:r w:rsidR="00E66E97">
        <w:rPr>
          <w:rFonts w:ascii="Verdana" w:hAnsi="Verdana" w:cs="Arial"/>
          <w:sz w:val="18"/>
          <w:szCs w:val="18"/>
        </w:rPr>
        <w:t xml:space="preserve">étant compensé par des </w:t>
      </w:r>
      <w:r w:rsidR="001009C6" w:rsidRPr="00323143">
        <w:rPr>
          <w:rFonts w:ascii="Verdana" w:hAnsi="Verdana" w:cs="Arial"/>
          <w:sz w:val="18"/>
          <w:szCs w:val="18"/>
        </w:rPr>
        <w:t xml:space="preserve">marchés </w:t>
      </w:r>
      <w:r w:rsidR="00E66E97">
        <w:rPr>
          <w:rFonts w:ascii="Verdana" w:hAnsi="Verdana" w:cs="Arial"/>
          <w:sz w:val="18"/>
          <w:szCs w:val="18"/>
        </w:rPr>
        <w:t>mieux</w:t>
      </w:r>
      <w:r w:rsidR="001009C6" w:rsidRPr="00323143">
        <w:rPr>
          <w:rFonts w:ascii="Verdana" w:hAnsi="Verdana" w:cs="Arial"/>
          <w:sz w:val="18"/>
          <w:szCs w:val="18"/>
        </w:rPr>
        <w:t xml:space="preserve"> orientés</w:t>
      </w:r>
      <w:r w:rsidR="00E66E97">
        <w:rPr>
          <w:rFonts w:ascii="Verdana" w:hAnsi="Verdana" w:cs="Arial"/>
          <w:sz w:val="18"/>
          <w:szCs w:val="18"/>
        </w:rPr>
        <w:t xml:space="preserve"> dans l</w:t>
      </w:r>
      <w:r w:rsidR="00E66E97" w:rsidRPr="00E66E97">
        <w:rPr>
          <w:rFonts w:ascii="Verdana" w:hAnsi="Verdana" w:cs="Arial"/>
          <w:sz w:val="18"/>
          <w:szCs w:val="18"/>
        </w:rPr>
        <w:t>es autres pays d’Amérique Latine</w:t>
      </w:r>
      <w:r w:rsidR="00E66E97">
        <w:rPr>
          <w:rFonts w:ascii="Verdana" w:hAnsi="Verdana" w:cs="Arial"/>
          <w:sz w:val="18"/>
          <w:szCs w:val="18"/>
        </w:rPr>
        <w:t>.</w:t>
      </w:r>
    </w:p>
    <w:p w:rsidR="007970E1" w:rsidRPr="007970E1" w:rsidRDefault="007970E1" w:rsidP="007970E1">
      <w:pPr>
        <w:spacing w:after="60"/>
        <w:ind w:left="1080"/>
        <w:jc w:val="both"/>
        <w:rPr>
          <w:rFonts w:ascii="Verdana" w:hAnsi="Verdana" w:cs="Arial"/>
          <w:sz w:val="18"/>
          <w:szCs w:val="18"/>
        </w:rPr>
      </w:pPr>
    </w:p>
    <w:p w:rsidR="007970E1" w:rsidRPr="007970E1" w:rsidRDefault="007970E1" w:rsidP="007970E1">
      <w:pPr>
        <w:keepNext/>
        <w:numPr>
          <w:ilvl w:val="0"/>
          <w:numId w:val="2"/>
        </w:numPr>
        <w:tabs>
          <w:tab w:val="left" w:pos="284"/>
        </w:tabs>
        <w:jc w:val="both"/>
        <w:rPr>
          <w:rFonts w:ascii="Verdana" w:hAnsi="Verdana" w:cs="Arial"/>
          <w:sz w:val="18"/>
          <w:szCs w:val="18"/>
        </w:rPr>
      </w:pPr>
      <w:r w:rsidRPr="007970E1">
        <w:rPr>
          <w:rFonts w:ascii="Verdana" w:hAnsi="Verdana" w:cs="Arial"/>
          <w:b/>
        </w:rPr>
        <w:lastRenderedPageBreak/>
        <w:t xml:space="preserve"> </w:t>
      </w:r>
      <w:r w:rsidRPr="007970E1">
        <w:rPr>
          <w:rFonts w:ascii="Arial" w:hAnsi="Arial" w:cs="Arial"/>
          <w:smallCaps/>
          <w:sz w:val="24"/>
          <w:szCs w:val="24"/>
        </w:rPr>
        <w:t>Poids lourd</w:t>
      </w:r>
      <w:r w:rsidRPr="007970E1">
        <w:rPr>
          <w:rFonts w:ascii="Verdana" w:hAnsi="Verdana" w:cs="Arial"/>
          <w:sz w:val="18"/>
          <w:szCs w:val="18"/>
        </w:rPr>
        <w:t xml:space="preserve"> (radial &amp; </w:t>
      </w:r>
      <w:proofErr w:type="spellStart"/>
      <w:r w:rsidRPr="007970E1">
        <w:rPr>
          <w:rFonts w:ascii="Verdana" w:hAnsi="Verdana" w:cs="Arial"/>
          <w:i/>
          <w:sz w:val="18"/>
          <w:szCs w:val="18"/>
        </w:rPr>
        <w:t>bias</w:t>
      </w:r>
      <w:proofErr w:type="spellEnd"/>
      <w:r w:rsidRPr="007970E1">
        <w:rPr>
          <w:rFonts w:ascii="Verdana" w:hAnsi="Verdana" w:cs="Arial"/>
          <w:sz w:val="18"/>
          <w:szCs w:val="18"/>
        </w:rPr>
        <w:t>)</w:t>
      </w:r>
    </w:p>
    <w:p w:rsidR="007970E1" w:rsidRPr="007970E1" w:rsidRDefault="007970E1" w:rsidP="007970E1">
      <w:pPr>
        <w:jc w:val="both"/>
        <w:rPr>
          <w:rFonts w:ascii="Arial" w:hAnsi="Arial" w:cs="Arial"/>
          <w:sz w:val="24"/>
          <w:szCs w:val="24"/>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68"/>
        <w:gridCol w:w="1276"/>
        <w:gridCol w:w="1275"/>
        <w:gridCol w:w="1276"/>
        <w:gridCol w:w="1276"/>
        <w:gridCol w:w="1134"/>
      </w:tblGrid>
      <w:tr w:rsidR="007970E1" w:rsidRPr="007970E1" w:rsidTr="00280CEC">
        <w:tc>
          <w:tcPr>
            <w:tcW w:w="1951" w:type="dxa"/>
            <w:shd w:val="clear" w:color="auto" w:fill="E6E6E6"/>
          </w:tcPr>
          <w:p w:rsidR="007970E1" w:rsidRPr="007970E1" w:rsidRDefault="007970E1" w:rsidP="00280CEC">
            <w:pPr>
              <w:tabs>
                <w:tab w:val="left" w:pos="284"/>
              </w:tabs>
              <w:jc w:val="center"/>
              <w:rPr>
                <w:rFonts w:ascii="Arial" w:eastAsia="MS Mincho" w:hAnsi="Arial" w:cs="Arial"/>
                <w:b/>
                <w:snapToGrid w:val="0"/>
                <w:sz w:val="15"/>
                <w:szCs w:val="15"/>
              </w:rPr>
            </w:pPr>
          </w:p>
          <w:p w:rsidR="007970E1" w:rsidRPr="007970E1" w:rsidRDefault="00EB75CE" w:rsidP="00280CEC">
            <w:pPr>
              <w:tabs>
                <w:tab w:val="left" w:pos="284"/>
              </w:tabs>
              <w:jc w:val="center"/>
              <w:rPr>
                <w:rFonts w:ascii="Arial" w:eastAsia="MS Mincho" w:hAnsi="Arial" w:cs="Arial"/>
                <w:snapToGrid w:val="0"/>
                <w:sz w:val="15"/>
                <w:szCs w:val="15"/>
              </w:rPr>
            </w:pPr>
            <w:r>
              <w:rPr>
                <w:rFonts w:ascii="Arial" w:eastAsia="MS Mincho" w:hAnsi="Arial" w:cs="Arial"/>
                <w:snapToGrid w:val="0"/>
                <w:sz w:val="15"/>
                <w:szCs w:val="15"/>
              </w:rPr>
              <w:t>2016</w:t>
            </w:r>
            <w:r w:rsidR="007970E1" w:rsidRPr="007970E1">
              <w:rPr>
                <w:rFonts w:ascii="Arial" w:eastAsia="MS Mincho" w:hAnsi="Arial" w:cs="Arial"/>
                <w:snapToGrid w:val="0"/>
                <w:sz w:val="15"/>
                <w:szCs w:val="15"/>
              </w:rPr>
              <w:t>/201</w:t>
            </w:r>
            <w:r w:rsidR="00A573F0">
              <w:rPr>
                <w:rFonts w:ascii="Arial" w:eastAsia="MS Mincho" w:hAnsi="Arial" w:cs="Arial"/>
                <w:snapToGrid w:val="0"/>
                <w:sz w:val="15"/>
                <w:szCs w:val="15"/>
              </w:rPr>
              <w:t>5</w:t>
            </w:r>
          </w:p>
          <w:p w:rsidR="007970E1" w:rsidRPr="007970E1" w:rsidRDefault="007970E1" w:rsidP="00280CEC">
            <w:pPr>
              <w:tabs>
                <w:tab w:val="left" w:pos="284"/>
              </w:tabs>
              <w:jc w:val="center"/>
              <w:rPr>
                <w:rFonts w:ascii="Arial" w:eastAsia="MS Mincho" w:hAnsi="Arial" w:cs="Arial"/>
                <w:snapToGrid w:val="0"/>
                <w:sz w:val="15"/>
                <w:szCs w:val="15"/>
              </w:rPr>
            </w:pPr>
            <w:r w:rsidRPr="007970E1">
              <w:rPr>
                <w:rFonts w:ascii="Arial" w:eastAsia="MS Mincho" w:hAnsi="Arial" w:cs="Arial"/>
                <w:b/>
                <w:snapToGrid w:val="0"/>
                <w:sz w:val="18"/>
                <w:szCs w:val="18"/>
                <w:vertAlign w:val="superscript"/>
              </w:rPr>
              <w:t>(en nombre de pneus)</w:t>
            </w:r>
          </w:p>
        </w:tc>
        <w:tc>
          <w:tcPr>
            <w:tcW w:w="1134" w:type="dxa"/>
            <w:shd w:val="clear" w:color="auto" w:fill="E6E6E6"/>
          </w:tcPr>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Europe</w:t>
            </w:r>
          </w:p>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y compris Russie &amp; CEI*</w:t>
            </w:r>
          </w:p>
        </w:tc>
        <w:tc>
          <w:tcPr>
            <w:tcW w:w="1168" w:type="dxa"/>
            <w:shd w:val="clear" w:color="auto" w:fill="E6E6E6"/>
          </w:tcPr>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Europe</w:t>
            </w:r>
          </w:p>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hors Russie &amp; CEI*</w:t>
            </w:r>
          </w:p>
        </w:tc>
        <w:tc>
          <w:tcPr>
            <w:tcW w:w="1276" w:type="dxa"/>
            <w:shd w:val="clear" w:color="auto" w:fill="E6E6E6"/>
          </w:tcPr>
          <w:p w:rsidR="007970E1" w:rsidRPr="007970E1" w:rsidRDefault="007970E1" w:rsidP="00280CEC">
            <w:pPr>
              <w:tabs>
                <w:tab w:val="left" w:pos="284"/>
              </w:tabs>
              <w:jc w:val="center"/>
              <w:rPr>
                <w:rFonts w:ascii="Arial" w:eastAsia="MS Mincho" w:hAnsi="Arial" w:cs="Arial"/>
                <w:b/>
                <w:smallCaps/>
                <w:snapToGrid w:val="0"/>
                <w:sz w:val="18"/>
                <w:szCs w:val="18"/>
              </w:rPr>
            </w:pPr>
            <w:r w:rsidRPr="007970E1">
              <w:rPr>
                <w:rFonts w:ascii="Arial" w:eastAsia="MS Mincho" w:hAnsi="Arial" w:cs="Arial"/>
                <w:b/>
                <w:bCs/>
                <w:smallCaps/>
                <w:snapToGrid w:val="0"/>
                <w:sz w:val="18"/>
                <w:szCs w:val="18"/>
              </w:rPr>
              <w:t>Amérique du Nord</w:t>
            </w:r>
          </w:p>
        </w:tc>
        <w:tc>
          <w:tcPr>
            <w:tcW w:w="1275" w:type="dxa"/>
            <w:shd w:val="clear" w:color="auto" w:fill="E6E6E6"/>
          </w:tcPr>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Asie</w:t>
            </w:r>
          </w:p>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(hors Inde)</w:t>
            </w:r>
          </w:p>
        </w:tc>
        <w:tc>
          <w:tcPr>
            <w:tcW w:w="1276" w:type="dxa"/>
            <w:shd w:val="clear" w:color="auto" w:fill="E6E6E6"/>
          </w:tcPr>
          <w:p w:rsidR="007970E1" w:rsidRPr="007970E1" w:rsidRDefault="007970E1" w:rsidP="00280CEC">
            <w:pPr>
              <w:tabs>
                <w:tab w:val="left" w:pos="284"/>
              </w:tabs>
              <w:jc w:val="center"/>
              <w:rPr>
                <w:rFonts w:ascii="Arial" w:eastAsia="MS Mincho" w:hAnsi="Arial" w:cs="Arial"/>
                <w:b/>
                <w:smallCaps/>
                <w:snapToGrid w:val="0"/>
                <w:sz w:val="18"/>
                <w:szCs w:val="18"/>
              </w:rPr>
            </w:pPr>
            <w:r w:rsidRPr="007970E1">
              <w:rPr>
                <w:rFonts w:ascii="Arial" w:eastAsia="MS Mincho" w:hAnsi="Arial" w:cs="Arial"/>
                <w:b/>
                <w:bCs/>
                <w:smallCaps/>
                <w:snapToGrid w:val="0"/>
                <w:sz w:val="18"/>
                <w:szCs w:val="18"/>
              </w:rPr>
              <w:t>Amérique du Sud</w:t>
            </w:r>
          </w:p>
        </w:tc>
        <w:tc>
          <w:tcPr>
            <w:tcW w:w="1276" w:type="dxa"/>
            <w:shd w:val="clear" w:color="auto" w:fill="E6E6E6"/>
          </w:tcPr>
          <w:p w:rsidR="007970E1" w:rsidRPr="007970E1" w:rsidRDefault="007970E1" w:rsidP="00280CEC">
            <w:pPr>
              <w:tabs>
                <w:tab w:val="left" w:pos="284"/>
              </w:tabs>
              <w:jc w:val="center"/>
              <w:rPr>
                <w:rFonts w:ascii="Arial" w:eastAsia="MS Mincho" w:hAnsi="Arial" w:cs="Arial"/>
                <w:b/>
                <w:smallCaps/>
                <w:snapToGrid w:val="0"/>
                <w:sz w:val="18"/>
                <w:szCs w:val="18"/>
              </w:rPr>
            </w:pPr>
            <w:r w:rsidRPr="007970E1">
              <w:rPr>
                <w:rFonts w:ascii="Arial" w:eastAsia="MS Mincho" w:hAnsi="Arial" w:cs="Arial"/>
                <w:b/>
                <w:bCs/>
                <w:smallCaps/>
                <w:snapToGrid w:val="0"/>
                <w:sz w:val="18"/>
                <w:szCs w:val="18"/>
              </w:rPr>
              <w:t>Afrique Inde Moyen-Orient</w:t>
            </w:r>
          </w:p>
        </w:tc>
        <w:tc>
          <w:tcPr>
            <w:tcW w:w="1134" w:type="dxa"/>
            <w:shd w:val="clear" w:color="auto" w:fill="E6E6E6"/>
          </w:tcPr>
          <w:p w:rsidR="007970E1" w:rsidRPr="007970E1" w:rsidRDefault="007970E1" w:rsidP="00280CEC">
            <w:pPr>
              <w:tabs>
                <w:tab w:val="left" w:pos="1026"/>
              </w:tabs>
              <w:ind w:right="-108"/>
              <w:jc w:val="center"/>
              <w:rPr>
                <w:rFonts w:ascii="Arial" w:eastAsia="MS Mincho" w:hAnsi="Arial" w:cs="Arial"/>
                <w:b/>
                <w:smallCaps/>
                <w:snapToGrid w:val="0"/>
                <w:sz w:val="18"/>
                <w:szCs w:val="18"/>
              </w:rPr>
            </w:pPr>
            <w:r w:rsidRPr="007970E1">
              <w:rPr>
                <w:rFonts w:ascii="Arial" w:eastAsia="MS Mincho" w:hAnsi="Arial" w:cs="Arial"/>
                <w:b/>
                <w:bCs/>
                <w:smallCaps/>
                <w:snapToGrid w:val="0"/>
                <w:sz w:val="18"/>
                <w:szCs w:val="18"/>
              </w:rPr>
              <w:t>Total</w:t>
            </w:r>
          </w:p>
        </w:tc>
      </w:tr>
      <w:tr w:rsidR="007970E1" w:rsidRPr="007970E1" w:rsidTr="00280CEC">
        <w:tc>
          <w:tcPr>
            <w:tcW w:w="1951" w:type="dxa"/>
            <w:shd w:val="clear" w:color="auto" w:fill="auto"/>
          </w:tcPr>
          <w:p w:rsidR="007970E1" w:rsidRPr="007970E1" w:rsidRDefault="007970E1" w:rsidP="00280CEC">
            <w:pPr>
              <w:tabs>
                <w:tab w:val="left" w:pos="284"/>
              </w:tabs>
              <w:jc w:val="center"/>
              <w:rPr>
                <w:rFonts w:ascii="Verdana" w:eastAsia="MS Mincho" w:hAnsi="Verdana" w:cs="Arial"/>
                <w:bCs/>
                <w:snapToGrid w:val="0"/>
                <w:sz w:val="18"/>
                <w:szCs w:val="18"/>
              </w:rPr>
            </w:pPr>
          </w:p>
          <w:p w:rsidR="007970E1" w:rsidRPr="007970E1" w:rsidRDefault="007970E1" w:rsidP="00280CEC">
            <w:pPr>
              <w:tabs>
                <w:tab w:val="left" w:pos="284"/>
              </w:tabs>
              <w:jc w:val="center"/>
              <w:rPr>
                <w:rFonts w:ascii="Verdana" w:eastAsia="MS Mincho" w:hAnsi="Verdana" w:cs="Arial"/>
                <w:bCs/>
                <w:snapToGrid w:val="0"/>
                <w:sz w:val="18"/>
                <w:szCs w:val="18"/>
              </w:rPr>
            </w:pPr>
            <w:r w:rsidRPr="007970E1">
              <w:rPr>
                <w:rFonts w:ascii="Verdana" w:eastAsia="MS Mincho" w:hAnsi="Verdana" w:cs="Arial"/>
                <w:bCs/>
                <w:snapToGrid w:val="0"/>
                <w:sz w:val="18"/>
                <w:szCs w:val="18"/>
              </w:rPr>
              <w:t xml:space="preserve">Première monte </w:t>
            </w:r>
          </w:p>
          <w:p w:rsidR="007970E1" w:rsidRPr="007970E1" w:rsidRDefault="007970E1" w:rsidP="00280CEC">
            <w:pPr>
              <w:tabs>
                <w:tab w:val="left" w:pos="284"/>
              </w:tabs>
              <w:jc w:val="center"/>
              <w:rPr>
                <w:rFonts w:ascii="Verdana" w:eastAsia="MS Mincho" w:hAnsi="Verdana" w:cs="Arial"/>
                <w:bCs/>
                <w:snapToGrid w:val="0"/>
                <w:sz w:val="18"/>
                <w:szCs w:val="18"/>
              </w:rPr>
            </w:pPr>
          </w:p>
          <w:p w:rsidR="007970E1" w:rsidRPr="007970E1" w:rsidRDefault="007970E1" w:rsidP="00280CEC">
            <w:pPr>
              <w:tabs>
                <w:tab w:val="left" w:pos="284"/>
              </w:tabs>
              <w:jc w:val="center"/>
              <w:rPr>
                <w:rFonts w:ascii="Arial" w:eastAsia="MS Mincho" w:hAnsi="Arial" w:cs="Arial"/>
                <w:bCs/>
                <w:snapToGrid w:val="0"/>
                <w:sz w:val="18"/>
                <w:szCs w:val="18"/>
              </w:rPr>
            </w:pPr>
            <w:r w:rsidRPr="007970E1">
              <w:rPr>
                <w:rFonts w:ascii="Verdana" w:eastAsia="MS Mincho" w:hAnsi="Verdana" w:cs="Arial"/>
                <w:bCs/>
                <w:snapToGrid w:val="0"/>
                <w:sz w:val="18"/>
                <w:szCs w:val="18"/>
              </w:rPr>
              <w:t>Remplacement</w:t>
            </w:r>
          </w:p>
        </w:tc>
        <w:tc>
          <w:tcPr>
            <w:tcW w:w="1134" w:type="dxa"/>
            <w:shd w:val="clear" w:color="auto" w:fill="auto"/>
          </w:tcPr>
          <w:p w:rsidR="007970E1" w:rsidRPr="00D457AF" w:rsidRDefault="007970E1" w:rsidP="00280CEC">
            <w:pPr>
              <w:tabs>
                <w:tab w:val="left" w:pos="284"/>
              </w:tabs>
              <w:jc w:val="center"/>
              <w:rPr>
                <w:rFonts w:ascii="Verdana" w:hAnsi="Verdana" w:cs="Arial"/>
                <w:b/>
                <w:sz w:val="18"/>
                <w:szCs w:val="18"/>
              </w:rPr>
            </w:pPr>
          </w:p>
          <w:p w:rsidR="007970E1" w:rsidRPr="00D457AF" w:rsidRDefault="007970E1" w:rsidP="00280CEC">
            <w:pPr>
              <w:tabs>
                <w:tab w:val="left" w:pos="284"/>
              </w:tabs>
              <w:jc w:val="center"/>
              <w:rPr>
                <w:rFonts w:ascii="Verdana" w:eastAsia="MS Mincho" w:hAnsi="Verdana" w:cs="Arial"/>
                <w:b/>
                <w:snapToGrid w:val="0"/>
                <w:sz w:val="18"/>
                <w:szCs w:val="18"/>
              </w:rPr>
            </w:pPr>
            <w:r w:rsidRPr="00D457AF">
              <w:rPr>
                <w:rFonts w:ascii="Verdana" w:eastAsia="MS Mincho" w:hAnsi="Verdana" w:cs="Arial"/>
                <w:b/>
                <w:snapToGrid w:val="0"/>
                <w:sz w:val="18"/>
                <w:szCs w:val="18"/>
              </w:rPr>
              <w:t>+ </w:t>
            </w:r>
            <w:r w:rsidR="0006143A" w:rsidRPr="00D457AF">
              <w:rPr>
                <w:rFonts w:ascii="Verdana" w:eastAsia="MS Mincho" w:hAnsi="Verdana" w:cs="Arial"/>
                <w:b/>
                <w:snapToGrid w:val="0"/>
                <w:sz w:val="18"/>
                <w:szCs w:val="18"/>
              </w:rPr>
              <w:t>1</w:t>
            </w:r>
            <w:r w:rsidRPr="00D457AF">
              <w:rPr>
                <w:rFonts w:ascii="Verdana" w:eastAsia="MS Mincho" w:hAnsi="Verdana" w:cs="Arial"/>
                <w:b/>
                <w:snapToGrid w:val="0"/>
                <w:sz w:val="18"/>
                <w:szCs w:val="18"/>
              </w:rPr>
              <w:t> %</w:t>
            </w:r>
          </w:p>
          <w:p w:rsidR="007970E1" w:rsidRPr="00D457AF" w:rsidRDefault="007970E1" w:rsidP="00280CEC">
            <w:pPr>
              <w:tabs>
                <w:tab w:val="left" w:pos="284"/>
              </w:tabs>
              <w:jc w:val="center"/>
              <w:rPr>
                <w:rFonts w:ascii="Verdana" w:eastAsia="MS Mincho" w:hAnsi="Verdana" w:cs="Arial"/>
                <w:b/>
                <w:snapToGrid w:val="0"/>
                <w:sz w:val="18"/>
                <w:szCs w:val="18"/>
              </w:rPr>
            </w:pPr>
          </w:p>
          <w:p w:rsidR="007970E1" w:rsidRPr="00D457AF" w:rsidRDefault="007970E1" w:rsidP="00280CEC">
            <w:pPr>
              <w:tabs>
                <w:tab w:val="left" w:pos="284"/>
              </w:tabs>
              <w:jc w:val="center"/>
              <w:rPr>
                <w:rFonts w:ascii="Verdana" w:eastAsia="MS Mincho" w:hAnsi="Verdana" w:cs="Arial"/>
                <w:b/>
                <w:snapToGrid w:val="0"/>
                <w:sz w:val="18"/>
                <w:szCs w:val="18"/>
              </w:rPr>
            </w:pPr>
            <w:r w:rsidRPr="00D457AF">
              <w:rPr>
                <w:rFonts w:ascii="Verdana" w:eastAsia="MS Mincho" w:hAnsi="Verdana" w:cs="Arial"/>
                <w:b/>
                <w:snapToGrid w:val="0"/>
                <w:sz w:val="18"/>
                <w:szCs w:val="18"/>
              </w:rPr>
              <w:t>+ </w:t>
            </w:r>
            <w:r w:rsidR="00D457AF" w:rsidRPr="00D457AF">
              <w:rPr>
                <w:rFonts w:ascii="Verdana" w:eastAsia="MS Mincho" w:hAnsi="Verdana" w:cs="Arial"/>
                <w:b/>
                <w:snapToGrid w:val="0"/>
                <w:sz w:val="18"/>
                <w:szCs w:val="18"/>
              </w:rPr>
              <w:t>5</w:t>
            </w:r>
            <w:r w:rsidRPr="00D457AF">
              <w:rPr>
                <w:rFonts w:ascii="Verdana" w:eastAsia="MS Mincho" w:hAnsi="Verdana" w:cs="Arial"/>
                <w:b/>
                <w:snapToGrid w:val="0"/>
                <w:sz w:val="18"/>
                <w:szCs w:val="18"/>
              </w:rPr>
              <w:t> %</w:t>
            </w:r>
          </w:p>
          <w:p w:rsidR="007970E1" w:rsidRPr="00D457AF" w:rsidRDefault="007970E1" w:rsidP="00280CEC">
            <w:pPr>
              <w:tabs>
                <w:tab w:val="left" w:pos="284"/>
              </w:tabs>
              <w:rPr>
                <w:rFonts w:ascii="Verdana" w:hAnsi="Verdana" w:cs="Arial"/>
                <w:sz w:val="18"/>
                <w:szCs w:val="18"/>
              </w:rPr>
            </w:pPr>
          </w:p>
        </w:tc>
        <w:tc>
          <w:tcPr>
            <w:tcW w:w="1168" w:type="dxa"/>
          </w:tcPr>
          <w:p w:rsidR="007970E1" w:rsidRPr="00D457AF" w:rsidRDefault="007970E1" w:rsidP="00280CEC">
            <w:pPr>
              <w:tabs>
                <w:tab w:val="left" w:pos="284"/>
              </w:tabs>
              <w:jc w:val="center"/>
              <w:rPr>
                <w:rFonts w:ascii="Verdana" w:hAnsi="Verdana" w:cs="Arial"/>
                <w:b/>
                <w:sz w:val="18"/>
                <w:szCs w:val="18"/>
              </w:rPr>
            </w:pPr>
          </w:p>
          <w:p w:rsidR="007970E1" w:rsidRPr="00D457AF" w:rsidRDefault="007970E1" w:rsidP="00280CEC">
            <w:pPr>
              <w:tabs>
                <w:tab w:val="left" w:pos="284"/>
              </w:tabs>
              <w:jc w:val="center"/>
              <w:rPr>
                <w:rFonts w:ascii="Verdana" w:hAnsi="Verdana" w:cs="Arial"/>
                <w:b/>
                <w:sz w:val="18"/>
                <w:szCs w:val="18"/>
              </w:rPr>
            </w:pPr>
            <w:r w:rsidRPr="00D457AF">
              <w:rPr>
                <w:rFonts w:ascii="Verdana" w:hAnsi="Verdana" w:cs="Arial"/>
                <w:b/>
                <w:sz w:val="18"/>
                <w:szCs w:val="18"/>
              </w:rPr>
              <w:t>+ 1 %</w:t>
            </w:r>
          </w:p>
          <w:p w:rsidR="007970E1" w:rsidRPr="00D457AF" w:rsidRDefault="007970E1" w:rsidP="00280CEC">
            <w:pPr>
              <w:tabs>
                <w:tab w:val="left" w:pos="284"/>
              </w:tabs>
              <w:jc w:val="center"/>
              <w:rPr>
                <w:rFonts w:ascii="Verdana" w:hAnsi="Verdana" w:cs="Arial"/>
                <w:b/>
                <w:sz w:val="18"/>
                <w:szCs w:val="18"/>
              </w:rPr>
            </w:pPr>
          </w:p>
          <w:p w:rsidR="007970E1" w:rsidRPr="00D457AF" w:rsidRDefault="007970E1" w:rsidP="00D457AF">
            <w:pPr>
              <w:tabs>
                <w:tab w:val="left" w:pos="284"/>
              </w:tabs>
              <w:jc w:val="center"/>
              <w:rPr>
                <w:rFonts w:ascii="Verdana" w:hAnsi="Verdana" w:cs="Arial"/>
                <w:b/>
                <w:sz w:val="18"/>
                <w:szCs w:val="18"/>
              </w:rPr>
            </w:pPr>
            <w:r w:rsidRPr="00D457AF">
              <w:rPr>
                <w:rFonts w:ascii="Verdana" w:hAnsi="Verdana" w:cs="Arial"/>
                <w:b/>
                <w:sz w:val="18"/>
                <w:szCs w:val="18"/>
              </w:rPr>
              <w:t>+ </w:t>
            </w:r>
            <w:r w:rsidR="00D457AF" w:rsidRPr="00D457AF">
              <w:rPr>
                <w:rFonts w:ascii="Verdana" w:hAnsi="Verdana" w:cs="Arial"/>
                <w:b/>
                <w:sz w:val="18"/>
                <w:szCs w:val="18"/>
              </w:rPr>
              <w:t>6</w:t>
            </w:r>
            <w:r w:rsidRPr="00D457AF">
              <w:rPr>
                <w:rFonts w:ascii="Verdana" w:hAnsi="Verdana" w:cs="Arial"/>
                <w:b/>
                <w:sz w:val="18"/>
                <w:szCs w:val="18"/>
              </w:rPr>
              <w:t> %</w:t>
            </w:r>
          </w:p>
        </w:tc>
        <w:tc>
          <w:tcPr>
            <w:tcW w:w="1276" w:type="dxa"/>
            <w:shd w:val="clear" w:color="auto" w:fill="auto"/>
          </w:tcPr>
          <w:p w:rsidR="007970E1" w:rsidRPr="00D457AF" w:rsidRDefault="007970E1" w:rsidP="00280CEC">
            <w:pPr>
              <w:tabs>
                <w:tab w:val="left" w:pos="284"/>
              </w:tabs>
              <w:jc w:val="center"/>
              <w:rPr>
                <w:rFonts w:ascii="Verdana" w:hAnsi="Verdana" w:cs="Arial"/>
                <w:b/>
                <w:sz w:val="18"/>
                <w:szCs w:val="18"/>
              </w:rPr>
            </w:pPr>
          </w:p>
          <w:p w:rsidR="007970E1" w:rsidRPr="00D457AF" w:rsidRDefault="0006143A" w:rsidP="00280CEC">
            <w:pPr>
              <w:tabs>
                <w:tab w:val="left" w:pos="284"/>
              </w:tabs>
              <w:jc w:val="center"/>
              <w:rPr>
                <w:rFonts w:ascii="Verdana" w:hAnsi="Verdana" w:cs="Arial"/>
                <w:b/>
                <w:sz w:val="18"/>
                <w:szCs w:val="18"/>
              </w:rPr>
            </w:pPr>
            <w:r w:rsidRPr="00D457AF">
              <w:rPr>
                <w:rFonts w:ascii="Verdana" w:hAnsi="Verdana" w:cs="Arial"/>
                <w:b/>
                <w:sz w:val="18"/>
                <w:szCs w:val="18"/>
              </w:rPr>
              <w:t>- 19</w:t>
            </w:r>
            <w:r w:rsidR="007970E1" w:rsidRPr="00D457AF">
              <w:rPr>
                <w:rFonts w:ascii="Verdana" w:hAnsi="Verdana" w:cs="Arial"/>
                <w:b/>
                <w:sz w:val="18"/>
                <w:szCs w:val="18"/>
              </w:rPr>
              <w:t> %</w:t>
            </w:r>
          </w:p>
          <w:p w:rsidR="007970E1" w:rsidRPr="00D457AF" w:rsidRDefault="007970E1" w:rsidP="00280CEC">
            <w:pPr>
              <w:tabs>
                <w:tab w:val="left" w:pos="284"/>
              </w:tabs>
              <w:jc w:val="center"/>
              <w:rPr>
                <w:rFonts w:ascii="Verdana" w:hAnsi="Verdana" w:cs="Arial"/>
                <w:b/>
                <w:sz w:val="18"/>
                <w:szCs w:val="18"/>
              </w:rPr>
            </w:pPr>
          </w:p>
          <w:p w:rsidR="007970E1" w:rsidRPr="00D457AF" w:rsidRDefault="007970E1" w:rsidP="00D457AF">
            <w:pPr>
              <w:tabs>
                <w:tab w:val="left" w:pos="284"/>
              </w:tabs>
              <w:jc w:val="center"/>
              <w:rPr>
                <w:rFonts w:ascii="Verdana" w:hAnsi="Verdana" w:cs="Arial"/>
                <w:b/>
                <w:sz w:val="18"/>
                <w:szCs w:val="18"/>
              </w:rPr>
            </w:pPr>
            <w:r w:rsidRPr="00D457AF">
              <w:rPr>
                <w:rFonts w:ascii="Verdana" w:hAnsi="Verdana" w:cs="Arial"/>
                <w:b/>
                <w:sz w:val="18"/>
                <w:szCs w:val="18"/>
              </w:rPr>
              <w:t>+ </w:t>
            </w:r>
            <w:r w:rsidR="00D457AF" w:rsidRPr="00D457AF">
              <w:rPr>
                <w:rFonts w:ascii="Verdana" w:hAnsi="Verdana" w:cs="Arial"/>
                <w:b/>
                <w:sz w:val="18"/>
                <w:szCs w:val="18"/>
              </w:rPr>
              <w:t>0</w:t>
            </w:r>
            <w:r w:rsidRPr="00D457AF">
              <w:rPr>
                <w:rFonts w:ascii="Verdana" w:hAnsi="Verdana" w:cs="Arial"/>
                <w:b/>
                <w:sz w:val="18"/>
                <w:szCs w:val="18"/>
              </w:rPr>
              <w:t> %</w:t>
            </w:r>
          </w:p>
        </w:tc>
        <w:tc>
          <w:tcPr>
            <w:tcW w:w="1275" w:type="dxa"/>
            <w:shd w:val="clear" w:color="auto" w:fill="auto"/>
          </w:tcPr>
          <w:p w:rsidR="007970E1" w:rsidRPr="004805AD" w:rsidRDefault="007970E1" w:rsidP="00280CEC">
            <w:pPr>
              <w:tabs>
                <w:tab w:val="left" w:pos="284"/>
              </w:tabs>
              <w:jc w:val="center"/>
              <w:rPr>
                <w:rFonts w:ascii="Verdana" w:hAnsi="Verdana" w:cs="Arial"/>
                <w:b/>
                <w:strike/>
                <w:sz w:val="18"/>
                <w:szCs w:val="18"/>
              </w:rPr>
            </w:pPr>
          </w:p>
          <w:p w:rsidR="007970E1" w:rsidRPr="008A42D8" w:rsidRDefault="008A42D8" w:rsidP="00280CEC">
            <w:pPr>
              <w:tabs>
                <w:tab w:val="left" w:pos="284"/>
              </w:tabs>
              <w:jc w:val="center"/>
              <w:rPr>
                <w:rFonts w:ascii="Verdana" w:hAnsi="Verdana" w:cs="Arial"/>
                <w:b/>
                <w:sz w:val="18"/>
                <w:szCs w:val="18"/>
              </w:rPr>
            </w:pPr>
            <w:r w:rsidRPr="008A42D8">
              <w:rPr>
                <w:rFonts w:ascii="Verdana" w:hAnsi="Verdana" w:cs="Arial"/>
                <w:b/>
                <w:sz w:val="18"/>
                <w:szCs w:val="18"/>
              </w:rPr>
              <w:t>+ 6 </w:t>
            </w:r>
            <w:r w:rsidR="007970E1" w:rsidRPr="008A42D8">
              <w:rPr>
                <w:rFonts w:ascii="Verdana" w:hAnsi="Verdana" w:cs="Arial"/>
                <w:b/>
                <w:sz w:val="18"/>
                <w:szCs w:val="18"/>
              </w:rPr>
              <w:t>%</w:t>
            </w:r>
          </w:p>
          <w:p w:rsidR="007970E1" w:rsidRPr="008A42D8" w:rsidRDefault="007970E1" w:rsidP="00280CEC">
            <w:pPr>
              <w:tabs>
                <w:tab w:val="left" w:pos="284"/>
              </w:tabs>
              <w:jc w:val="center"/>
              <w:rPr>
                <w:rFonts w:ascii="Verdana" w:hAnsi="Verdana" w:cs="Arial"/>
                <w:b/>
                <w:sz w:val="18"/>
                <w:szCs w:val="18"/>
              </w:rPr>
            </w:pPr>
          </w:p>
          <w:p w:rsidR="007970E1" w:rsidRPr="008A42D8" w:rsidRDefault="007970E1" w:rsidP="00280CEC">
            <w:pPr>
              <w:tabs>
                <w:tab w:val="left" w:pos="284"/>
              </w:tabs>
              <w:jc w:val="center"/>
              <w:rPr>
                <w:rFonts w:ascii="Verdana" w:hAnsi="Verdana" w:cs="Arial"/>
                <w:b/>
                <w:sz w:val="18"/>
                <w:szCs w:val="18"/>
              </w:rPr>
            </w:pPr>
            <w:r w:rsidRPr="008A42D8">
              <w:rPr>
                <w:rFonts w:ascii="Verdana" w:hAnsi="Verdana" w:cs="Arial"/>
                <w:b/>
                <w:sz w:val="18"/>
                <w:szCs w:val="18"/>
              </w:rPr>
              <w:t>- 3 %</w:t>
            </w:r>
          </w:p>
        </w:tc>
        <w:tc>
          <w:tcPr>
            <w:tcW w:w="1276" w:type="dxa"/>
            <w:shd w:val="clear" w:color="auto" w:fill="auto"/>
          </w:tcPr>
          <w:p w:rsidR="007970E1" w:rsidRPr="004805AD" w:rsidRDefault="007970E1" w:rsidP="00280CEC">
            <w:pPr>
              <w:tabs>
                <w:tab w:val="left" w:pos="284"/>
              </w:tabs>
              <w:jc w:val="center"/>
              <w:rPr>
                <w:rFonts w:ascii="Verdana" w:hAnsi="Verdana" w:cs="Arial"/>
                <w:b/>
                <w:strike/>
                <w:sz w:val="18"/>
                <w:szCs w:val="18"/>
              </w:rPr>
            </w:pPr>
          </w:p>
          <w:p w:rsidR="007970E1" w:rsidRPr="00B32BFF" w:rsidRDefault="007970E1" w:rsidP="00280CEC">
            <w:pPr>
              <w:tabs>
                <w:tab w:val="left" w:pos="284"/>
              </w:tabs>
              <w:jc w:val="center"/>
              <w:rPr>
                <w:rFonts w:ascii="Verdana" w:hAnsi="Verdana" w:cs="Arial"/>
                <w:b/>
                <w:sz w:val="18"/>
                <w:szCs w:val="18"/>
              </w:rPr>
            </w:pPr>
            <w:r w:rsidRPr="00B32BFF">
              <w:rPr>
                <w:rFonts w:ascii="Verdana" w:hAnsi="Verdana" w:cs="Arial"/>
                <w:b/>
                <w:sz w:val="18"/>
                <w:szCs w:val="18"/>
              </w:rPr>
              <w:t>- </w:t>
            </w:r>
            <w:r w:rsidR="00B32BFF" w:rsidRPr="00B32BFF">
              <w:rPr>
                <w:rFonts w:ascii="Verdana" w:hAnsi="Verdana" w:cs="Arial"/>
                <w:b/>
                <w:sz w:val="18"/>
                <w:szCs w:val="18"/>
              </w:rPr>
              <w:t>17</w:t>
            </w:r>
            <w:r w:rsidR="008933AC" w:rsidRPr="00B32BFF">
              <w:rPr>
                <w:rFonts w:ascii="Verdana" w:hAnsi="Verdana" w:cs="Arial"/>
                <w:b/>
                <w:sz w:val="18"/>
                <w:szCs w:val="18"/>
              </w:rPr>
              <w:t> </w:t>
            </w:r>
            <w:r w:rsidRPr="00B32BFF">
              <w:rPr>
                <w:rFonts w:ascii="Verdana" w:hAnsi="Verdana" w:cs="Arial"/>
                <w:b/>
                <w:sz w:val="18"/>
                <w:szCs w:val="18"/>
              </w:rPr>
              <w:t>%</w:t>
            </w:r>
          </w:p>
          <w:p w:rsidR="007970E1" w:rsidRPr="00B32BFF" w:rsidRDefault="007970E1" w:rsidP="00280CEC">
            <w:pPr>
              <w:tabs>
                <w:tab w:val="left" w:pos="284"/>
              </w:tabs>
              <w:jc w:val="center"/>
              <w:rPr>
                <w:rFonts w:ascii="Verdana" w:hAnsi="Verdana" w:cs="Arial"/>
                <w:b/>
                <w:sz w:val="18"/>
                <w:szCs w:val="18"/>
              </w:rPr>
            </w:pPr>
          </w:p>
          <w:p w:rsidR="007970E1" w:rsidRPr="004805AD" w:rsidRDefault="007970E1" w:rsidP="00B32BFF">
            <w:pPr>
              <w:tabs>
                <w:tab w:val="left" w:pos="284"/>
              </w:tabs>
              <w:jc w:val="center"/>
              <w:rPr>
                <w:rFonts w:ascii="Verdana" w:hAnsi="Verdana" w:cs="Arial"/>
                <w:b/>
                <w:strike/>
                <w:sz w:val="18"/>
                <w:szCs w:val="18"/>
              </w:rPr>
            </w:pPr>
            <w:r w:rsidRPr="00B32BFF">
              <w:rPr>
                <w:rFonts w:ascii="Verdana" w:hAnsi="Verdana" w:cs="Arial"/>
                <w:b/>
                <w:sz w:val="18"/>
                <w:szCs w:val="18"/>
              </w:rPr>
              <w:t>- </w:t>
            </w:r>
            <w:r w:rsidR="00B32BFF" w:rsidRPr="00B32BFF">
              <w:rPr>
                <w:rFonts w:ascii="Verdana" w:hAnsi="Verdana" w:cs="Arial"/>
                <w:b/>
                <w:sz w:val="18"/>
                <w:szCs w:val="18"/>
              </w:rPr>
              <w:t>1</w:t>
            </w:r>
            <w:r w:rsidR="008933AC" w:rsidRPr="00B32BFF">
              <w:rPr>
                <w:rFonts w:ascii="Verdana" w:hAnsi="Verdana" w:cs="Arial"/>
                <w:b/>
                <w:sz w:val="18"/>
                <w:szCs w:val="18"/>
              </w:rPr>
              <w:t> </w:t>
            </w:r>
            <w:r w:rsidRPr="00B32BFF">
              <w:rPr>
                <w:rFonts w:ascii="Verdana" w:hAnsi="Verdana" w:cs="Arial"/>
                <w:b/>
                <w:sz w:val="18"/>
                <w:szCs w:val="18"/>
              </w:rPr>
              <w:t>%</w:t>
            </w:r>
          </w:p>
        </w:tc>
        <w:tc>
          <w:tcPr>
            <w:tcW w:w="1276" w:type="dxa"/>
            <w:shd w:val="clear" w:color="auto" w:fill="auto"/>
          </w:tcPr>
          <w:p w:rsidR="007970E1" w:rsidRPr="004805AD" w:rsidRDefault="007970E1" w:rsidP="00280CEC">
            <w:pPr>
              <w:tabs>
                <w:tab w:val="left" w:pos="284"/>
              </w:tabs>
              <w:jc w:val="center"/>
              <w:rPr>
                <w:rFonts w:ascii="Verdana" w:hAnsi="Verdana" w:cs="Arial"/>
                <w:b/>
                <w:strike/>
                <w:sz w:val="18"/>
                <w:szCs w:val="18"/>
              </w:rPr>
            </w:pPr>
          </w:p>
          <w:p w:rsidR="007970E1" w:rsidRPr="00B32BFF" w:rsidRDefault="007970E1" w:rsidP="00280CEC">
            <w:pPr>
              <w:tabs>
                <w:tab w:val="left" w:pos="284"/>
              </w:tabs>
              <w:jc w:val="center"/>
              <w:rPr>
                <w:rFonts w:ascii="Verdana" w:hAnsi="Verdana" w:cs="Arial"/>
                <w:b/>
                <w:sz w:val="18"/>
                <w:szCs w:val="18"/>
              </w:rPr>
            </w:pPr>
            <w:r w:rsidRPr="00B32BFF">
              <w:rPr>
                <w:rFonts w:ascii="Verdana" w:hAnsi="Verdana" w:cs="Arial"/>
                <w:b/>
                <w:sz w:val="18"/>
                <w:szCs w:val="18"/>
              </w:rPr>
              <w:t>+ </w:t>
            </w:r>
            <w:r w:rsidR="00B32BFF" w:rsidRPr="00B32BFF">
              <w:rPr>
                <w:rFonts w:ascii="Verdana" w:hAnsi="Verdana" w:cs="Arial"/>
                <w:b/>
                <w:sz w:val="18"/>
                <w:szCs w:val="18"/>
              </w:rPr>
              <w:t>5</w:t>
            </w:r>
            <w:r w:rsidRPr="00B32BFF">
              <w:rPr>
                <w:rFonts w:ascii="Verdana" w:hAnsi="Verdana" w:cs="Arial"/>
                <w:b/>
                <w:sz w:val="18"/>
                <w:szCs w:val="18"/>
              </w:rPr>
              <w:t> %</w:t>
            </w:r>
          </w:p>
          <w:p w:rsidR="007970E1" w:rsidRPr="00B32BFF" w:rsidRDefault="007970E1" w:rsidP="00280CEC">
            <w:pPr>
              <w:tabs>
                <w:tab w:val="left" w:pos="284"/>
              </w:tabs>
              <w:jc w:val="center"/>
              <w:rPr>
                <w:rFonts w:ascii="Verdana" w:hAnsi="Verdana" w:cs="Arial"/>
                <w:b/>
                <w:sz w:val="18"/>
                <w:szCs w:val="18"/>
              </w:rPr>
            </w:pPr>
          </w:p>
          <w:p w:rsidR="007970E1" w:rsidRPr="004805AD" w:rsidRDefault="00B32BFF" w:rsidP="00B32BFF">
            <w:pPr>
              <w:tabs>
                <w:tab w:val="left" w:pos="284"/>
              </w:tabs>
              <w:jc w:val="center"/>
              <w:rPr>
                <w:rFonts w:ascii="Verdana" w:hAnsi="Verdana" w:cs="Arial"/>
                <w:b/>
                <w:strike/>
                <w:sz w:val="18"/>
                <w:szCs w:val="18"/>
              </w:rPr>
            </w:pPr>
            <w:r w:rsidRPr="00B32BFF">
              <w:rPr>
                <w:rFonts w:ascii="Verdana" w:hAnsi="Verdana" w:cs="Arial"/>
                <w:b/>
                <w:sz w:val="18"/>
                <w:szCs w:val="18"/>
              </w:rPr>
              <w:t>-</w:t>
            </w:r>
            <w:r w:rsidR="007970E1" w:rsidRPr="00B32BFF">
              <w:rPr>
                <w:rFonts w:ascii="Verdana" w:hAnsi="Verdana" w:cs="Arial"/>
                <w:b/>
                <w:sz w:val="18"/>
                <w:szCs w:val="18"/>
              </w:rPr>
              <w:t> </w:t>
            </w:r>
            <w:r w:rsidRPr="00B32BFF">
              <w:rPr>
                <w:rFonts w:ascii="Verdana" w:hAnsi="Verdana" w:cs="Arial"/>
                <w:b/>
                <w:sz w:val="18"/>
                <w:szCs w:val="18"/>
              </w:rPr>
              <w:t>3</w:t>
            </w:r>
            <w:r w:rsidR="007970E1" w:rsidRPr="00B32BFF">
              <w:rPr>
                <w:rFonts w:ascii="Verdana" w:hAnsi="Verdana" w:cs="Arial"/>
                <w:b/>
                <w:sz w:val="18"/>
                <w:szCs w:val="18"/>
              </w:rPr>
              <w:t> %</w:t>
            </w:r>
          </w:p>
        </w:tc>
        <w:tc>
          <w:tcPr>
            <w:tcW w:w="1134" w:type="dxa"/>
            <w:shd w:val="clear" w:color="auto" w:fill="auto"/>
          </w:tcPr>
          <w:p w:rsidR="007970E1" w:rsidRPr="004805AD" w:rsidRDefault="007970E1" w:rsidP="00280CEC">
            <w:pPr>
              <w:tabs>
                <w:tab w:val="left" w:pos="1168"/>
              </w:tabs>
              <w:ind w:right="-108"/>
              <w:jc w:val="center"/>
              <w:rPr>
                <w:rFonts w:ascii="Verdana" w:hAnsi="Verdana" w:cs="Arial"/>
                <w:b/>
                <w:strike/>
                <w:sz w:val="18"/>
                <w:szCs w:val="18"/>
              </w:rPr>
            </w:pPr>
          </w:p>
          <w:p w:rsidR="007970E1" w:rsidRPr="00B32BFF" w:rsidRDefault="00B32BFF" w:rsidP="00280CEC">
            <w:pPr>
              <w:tabs>
                <w:tab w:val="left" w:pos="1168"/>
              </w:tabs>
              <w:ind w:right="-108"/>
              <w:jc w:val="center"/>
              <w:rPr>
                <w:rFonts w:ascii="Verdana" w:hAnsi="Verdana" w:cs="Arial"/>
                <w:b/>
                <w:sz w:val="18"/>
                <w:szCs w:val="18"/>
              </w:rPr>
            </w:pPr>
            <w:r w:rsidRPr="00B32BFF">
              <w:rPr>
                <w:rFonts w:ascii="Verdana" w:hAnsi="Verdana" w:cs="Arial"/>
                <w:b/>
                <w:sz w:val="18"/>
                <w:szCs w:val="18"/>
              </w:rPr>
              <w:t>+</w:t>
            </w:r>
            <w:r w:rsidR="007970E1" w:rsidRPr="00B32BFF">
              <w:rPr>
                <w:rFonts w:ascii="Verdana" w:hAnsi="Verdana" w:cs="Arial"/>
                <w:b/>
                <w:sz w:val="18"/>
                <w:szCs w:val="18"/>
              </w:rPr>
              <w:t> </w:t>
            </w:r>
            <w:r w:rsidRPr="00B32BFF">
              <w:rPr>
                <w:rFonts w:ascii="Verdana" w:hAnsi="Verdana" w:cs="Arial"/>
                <w:b/>
                <w:sz w:val="18"/>
                <w:szCs w:val="18"/>
              </w:rPr>
              <w:t>0</w:t>
            </w:r>
            <w:r w:rsidR="007970E1" w:rsidRPr="00B32BFF">
              <w:rPr>
                <w:rFonts w:ascii="Verdana" w:hAnsi="Verdana" w:cs="Arial"/>
                <w:b/>
                <w:sz w:val="18"/>
                <w:szCs w:val="18"/>
              </w:rPr>
              <w:t> %</w:t>
            </w:r>
          </w:p>
          <w:p w:rsidR="007970E1" w:rsidRPr="00B32BFF" w:rsidRDefault="007970E1" w:rsidP="00280CEC">
            <w:pPr>
              <w:tabs>
                <w:tab w:val="left" w:pos="1168"/>
              </w:tabs>
              <w:ind w:right="-108"/>
              <w:jc w:val="center"/>
              <w:rPr>
                <w:rFonts w:ascii="Verdana" w:hAnsi="Verdana" w:cs="Arial"/>
                <w:b/>
                <w:sz w:val="18"/>
                <w:szCs w:val="18"/>
              </w:rPr>
            </w:pPr>
          </w:p>
          <w:p w:rsidR="007970E1" w:rsidRPr="004805AD" w:rsidRDefault="007970E1" w:rsidP="00280CEC">
            <w:pPr>
              <w:tabs>
                <w:tab w:val="left" w:pos="1168"/>
              </w:tabs>
              <w:ind w:right="-108"/>
              <w:jc w:val="center"/>
              <w:rPr>
                <w:rFonts w:ascii="Verdana" w:hAnsi="Verdana" w:cs="Arial"/>
                <w:b/>
                <w:strike/>
                <w:sz w:val="18"/>
                <w:szCs w:val="18"/>
              </w:rPr>
            </w:pPr>
            <w:r w:rsidRPr="00B32BFF">
              <w:rPr>
                <w:rFonts w:ascii="Verdana" w:hAnsi="Verdana" w:cs="Arial"/>
                <w:b/>
                <w:sz w:val="18"/>
                <w:szCs w:val="18"/>
              </w:rPr>
              <w:t>- 1 %</w:t>
            </w:r>
          </w:p>
        </w:tc>
      </w:tr>
    </w:tbl>
    <w:p w:rsidR="007970E1" w:rsidRPr="007970E1" w:rsidRDefault="007970E1" w:rsidP="007970E1">
      <w:pPr>
        <w:ind w:left="360"/>
        <w:contextualSpacing/>
        <w:jc w:val="both"/>
        <w:rPr>
          <w:rFonts w:ascii="Arial" w:hAnsi="Arial" w:cs="Arial"/>
          <w:sz w:val="24"/>
          <w:szCs w:val="24"/>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68"/>
        <w:gridCol w:w="1276"/>
        <w:gridCol w:w="1275"/>
        <w:gridCol w:w="1276"/>
        <w:gridCol w:w="1276"/>
        <w:gridCol w:w="1134"/>
      </w:tblGrid>
      <w:tr w:rsidR="007970E1" w:rsidRPr="007970E1" w:rsidTr="00280CEC">
        <w:tc>
          <w:tcPr>
            <w:tcW w:w="1951" w:type="dxa"/>
            <w:shd w:val="clear" w:color="auto" w:fill="E6E6E6"/>
          </w:tcPr>
          <w:p w:rsidR="007970E1" w:rsidRPr="007970E1" w:rsidRDefault="007970E1" w:rsidP="00280CEC">
            <w:pPr>
              <w:tabs>
                <w:tab w:val="left" w:pos="284"/>
              </w:tabs>
              <w:jc w:val="center"/>
              <w:rPr>
                <w:rFonts w:ascii="Arial" w:eastAsia="MS Mincho" w:hAnsi="Arial" w:cs="Arial"/>
                <w:b/>
                <w:snapToGrid w:val="0"/>
                <w:sz w:val="15"/>
                <w:szCs w:val="15"/>
              </w:rPr>
            </w:pPr>
            <w:r w:rsidRPr="007970E1">
              <w:rPr>
                <w:rFonts w:ascii="Arial" w:eastAsia="MS Mincho" w:hAnsi="Arial" w:cs="Arial"/>
                <w:b/>
                <w:snapToGrid w:val="0"/>
                <w:sz w:val="15"/>
                <w:szCs w:val="15"/>
              </w:rPr>
              <w:t>4ème trimestre</w:t>
            </w:r>
          </w:p>
          <w:p w:rsidR="007970E1" w:rsidRPr="007970E1" w:rsidRDefault="00EB75CE" w:rsidP="00280CEC">
            <w:pPr>
              <w:tabs>
                <w:tab w:val="left" w:pos="284"/>
              </w:tabs>
              <w:jc w:val="center"/>
              <w:rPr>
                <w:rFonts w:ascii="Arial" w:eastAsia="MS Mincho" w:hAnsi="Arial" w:cs="Arial"/>
                <w:snapToGrid w:val="0"/>
                <w:sz w:val="15"/>
                <w:szCs w:val="15"/>
              </w:rPr>
            </w:pPr>
            <w:r>
              <w:rPr>
                <w:rFonts w:ascii="Arial" w:eastAsia="MS Mincho" w:hAnsi="Arial" w:cs="Arial"/>
                <w:snapToGrid w:val="0"/>
                <w:sz w:val="15"/>
                <w:szCs w:val="15"/>
              </w:rPr>
              <w:t>2016</w:t>
            </w:r>
            <w:r w:rsidR="007970E1" w:rsidRPr="007970E1">
              <w:rPr>
                <w:rFonts w:ascii="Arial" w:eastAsia="MS Mincho" w:hAnsi="Arial" w:cs="Arial"/>
                <w:snapToGrid w:val="0"/>
                <w:sz w:val="15"/>
                <w:szCs w:val="15"/>
              </w:rPr>
              <w:t>/201</w:t>
            </w:r>
            <w:r w:rsidR="00A573F0">
              <w:rPr>
                <w:rFonts w:ascii="Arial" w:eastAsia="MS Mincho" w:hAnsi="Arial" w:cs="Arial"/>
                <w:snapToGrid w:val="0"/>
                <w:sz w:val="15"/>
                <w:szCs w:val="15"/>
              </w:rPr>
              <w:t>5</w:t>
            </w:r>
          </w:p>
          <w:p w:rsidR="007970E1" w:rsidRPr="007970E1" w:rsidRDefault="007970E1" w:rsidP="00280CEC">
            <w:pPr>
              <w:tabs>
                <w:tab w:val="left" w:pos="284"/>
              </w:tabs>
              <w:jc w:val="center"/>
              <w:rPr>
                <w:rFonts w:ascii="Arial" w:eastAsia="MS Mincho" w:hAnsi="Arial" w:cs="Arial"/>
                <w:snapToGrid w:val="0"/>
                <w:sz w:val="15"/>
                <w:szCs w:val="15"/>
              </w:rPr>
            </w:pPr>
            <w:r w:rsidRPr="007970E1">
              <w:rPr>
                <w:rFonts w:ascii="Arial" w:eastAsia="MS Mincho" w:hAnsi="Arial" w:cs="Arial"/>
                <w:b/>
                <w:snapToGrid w:val="0"/>
                <w:sz w:val="18"/>
                <w:szCs w:val="18"/>
                <w:vertAlign w:val="superscript"/>
              </w:rPr>
              <w:t>(en nombre de pneus)</w:t>
            </w:r>
          </w:p>
        </w:tc>
        <w:tc>
          <w:tcPr>
            <w:tcW w:w="1134" w:type="dxa"/>
            <w:shd w:val="clear" w:color="auto" w:fill="E6E6E6"/>
          </w:tcPr>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Europe</w:t>
            </w:r>
          </w:p>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y compris Russie &amp; CEI*</w:t>
            </w:r>
          </w:p>
        </w:tc>
        <w:tc>
          <w:tcPr>
            <w:tcW w:w="1168" w:type="dxa"/>
            <w:shd w:val="clear" w:color="auto" w:fill="E6E6E6"/>
          </w:tcPr>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Europe</w:t>
            </w:r>
          </w:p>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hors Russie &amp; CEI*</w:t>
            </w:r>
          </w:p>
        </w:tc>
        <w:tc>
          <w:tcPr>
            <w:tcW w:w="1276" w:type="dxa"/>
            <w:shd w:val="clear" w:color="auto" w:fill="E6E6E6"/>
          </w:tcPr>
          <w:p w:rsidR="007970E1" w:rsidRPr="007970E1" w:rsidRDefault="007970E1" w:rsidP="00280CEC">
            <w:pPr>
              <w:tabs>
                <w:tab w:val="left" w:pos="284"/>
              </w:tabs>
              <w:jc w:val="center"/>
              <w:rPr>
                <w:rFonts w:ascii="Arial" w:eastAsia="MS Mincho" w:hAnsi="Arial" w:cs="Arial"/>
                <w:b/>
                <w:smallCaps/>
                <w:snapToGrid w:val="0"/>
                <w:sz w:val="18"/>
                <w:szCs w:val="18"/>
              </w:rPr>
            </w:pPr>
            <w:r w:rsidRPr="007970E1">
              <w:rPr>
                <w:rFonts w:ascii="Arial" w:eastAsia="MS Mincho" w:hAnsi="Arial" w:cs="Arial"/>
                <w:b/>
                <w:bCs/>
                <w:smallCaps/>
                <w:snapToGrid w:val="0"/>
                <w:sz w:val="18"/>
                <w:szCs w:val="18"/>
              </w:rPr>
              <w:t>Amérique du Nord</w:t>
            </w:r>
          </w:p>
        </w:tc>
        <w:tc>
          <w:tcPr>
            <w:tcW w:w="1275" w:type="dxa"/>
            <w:shd w:val="clear" w:color="auto" w:fill="E6E6E6"/>
          </w:tcPr>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Asie</w:t>
            </w:r>
          </w:p>
          <w:p w:rsidR="007970E1" w:rsidRPr="007970E1" w:rsidRDefault="007970E1" w:rsidP="00280CEC">
            <w:pPr>
              <w:tabs>
                <w:tab w:val="left" w:pos="284"/>
              </w:tabs>
              <w:jc w:val="center"/>
              <w:rPr>
                <w:rFonts w:ascii="Arial" w:eastAsia="MS Mincho" w:hAnsi="Arial" w:cs="Arial"/>
                <w:b/>
                <w:bCs/>
                <w:smallCaps/>
                <w:snapToGrid w:val="0"/>
                <w:sz w:val="18"/>
                <w:szCs w:val="18"/>
              </w:rPr>
            </w:pPr>
            <w:r w:rsidRPr="007970E1">
              <w:rPr>
                <w:rFonts w:ascii="Arial" w:eastAsia="MS Mincho" w:hAnsi="Arial" w:cs="Arial"/>
                <w:b/>
                <w:bCs/>
                <w:smallCaps/>
                <w:snapToGrid w:val="0"/>
                <w:sz w:val="18"/>
                <w:szCs w:val="18"/>
              </w:rPr>
              <w:t>(hors Inde)</w:t>
            </w:r>
          </w:p>
        </w:tc>
        <w:tc>
          <w:tcPr>
            <w:tcW w:w="1276" w:type="dxa"/>
            <w:shd w:val="clear" w:color="auto" w:fill="E6E6E6"/>
          </w:tcPr>
          <w:p w:rsidR="007970E1" w:rsidRPr="007970E1" w:rsidRDefault="007970E1" w:rsidP="00280CEC">
            <w:pPr>
              <w:tabs>
                <w:tab w:val="left" w:pos="284"/>
              </w:tabs>
              <w:jc w:val="center"/>
              <w:rPr>
                <w:rFonts w:ascii="Arial" w:eastAsia="MS Mincho" w:hAnsi="Arial" w:cs="Arial"/>
                <w:b/>
                <w:smallCaps/>
                <w:snapToGrid w:val="0"/>
                <w:sz w:val="18"/>
                <w:szCs w:val="18"/>
              </w:rPr>
            </w:pPr>
            <w:r w:rsidRPr="007970E1">
              <w:rPr>
                <w:rFonts w:ascii="Arial" w:eastAsia="MS Mincho" w:hAnsi="Arial" w:cs="Arial"/>
                <w:b/>
                <w:bCs/>
                <w:smallCaps/>
                <w:snapToGrid w:val="0"/>
                <w:sz w:val="18"/>
                <w:szCs w:val="18"/>
              </w:rPr>
              <w:t>Amérique du Sud</w:t>
            </w:r>
          </w:p>
        </w:tc>
        <w:tc>
          <w:tcPr>
            <w:tcW w:w="1276" w:type="dxa"/>
            <w:shd w:val="clear" w:color="auto" w:fill="E6E6E6"/>
          </w:tcPr>
          <w:p w:rsidR="007970E1" w:rsidRPr="007970E1" w:rsidRDefault="007970E1" w:rsidP="00280CEC">
            <w:pPr>
              <w:tabs>
                <w:tab w:val="left" w:pos="284"/>
              </w:tabs>
              <w:jc w:val="center"/>
              <w:rPr>
                <w:rFonts w:ascii="Arial" w:eastAsia="MS Mincho" w:hAnsi="Arial" w:cs="Arial"/>
                <w:b/>
                <w:smallCaps/>
                <w:snapToGrid w:val="0"/>
                <w:sz w:val="18"/>
                <w:szCs w:val="18"/>
              </w:rPr>
            </w:pPr>
            <w:r w:rsidRPr="007970E1">
              <w:rPr>
                <w:rFonts w:ascii="Arial" w:eastAsia="MS Mincho" w:hAnsi="Arial" w:cs="Arial"/>
                <w:b/>
                <w:bCs/>
                <w:smallCaps/>
                <w:snapToGrid w:val="0"/>
                <w:sz w:val="18"/>
                <w:szCs w:val="18"/>
              </w:rPr>
              <w:t>Afrique Inde Moyen-Orient</w:t>
            </w:r>
          </w:p>
        </w:tc>
        <w:tc>
          <w:tcPr>
            <w:tcW w:w="1134" w:type="dxa"/>
            <w:shd w:val="clear" w:color="auto" w:fill="E6E6E6"/>
          </w:tcPr>
          <w:p w:rsidR="007970E1" w:rsidRPr="007970E1" w:rsidRDefault="007970E1" w:rsidP="00280CEC">
            <w:pPr>
              <w:tabs>
                <w:tab w:val="left" w:pos="1026"/>
              </w:tabs>
              <w:ind w:right="-108"/>
              <w:jc w:val="center"/>
              <w:rPr>
                <w:rFonts w:ascii="Arial" w:eastAsia="MS Mincho" w:hAnsi="Arial" w:cs="Arial"/>
                <w:b/>
                <w:smallCaps/>
                <w:snapToGrid w:val="0"/>
                <w:sz w:val="18"/>
                <w:szCs w:val="18"/>
              </w:rPr>
            </w:pPr>
            <w:r w:rsidRPr="007970E1">
              <w:rPr>
                <w:rFonts w:ascii="Arial" w:eastAsia="MS Mincho" w:hAnsi="Arial" w:cs="Arial"/>
                <w:b/>
                <w:bCs/>
                <w:smallCaps/>
                <w:snapToGrid w:val="0"/>
                <w:sz w:val="18"/>
                <w:szCs w:val="18"/>
              </w:rPr>
              <w:t>Total</w:t>
            </w:r>
          </w:p>
        </w:tc>
      </w:tr>
      <w:tr w:rsidR="007970E1" w:rsidRPr="007970E1" w:rsidTr="00280CEC">
        <w:tc>
          <w:tcPr>
            <w:tcW w:w="1951" w:type="dxa"/>
            <w:shd w:val="clear" w:color="auto" w:fill="auto"/>
          </w:tcPr>
          <w:p w:rsidR="007970E1" w:rsidRPr="007970E1" w:rsidRDefault="007970E1" w:rsidP="00280CEC">
            <w:pPr>
              <w:tabs>
                <w:tab w:val="left" w:pos="284"/>
              </w:tabs>
              <w:jc w:val="center"/>
              <w:rPr>
                <w:rFonts w:ascii="Verdana" w:eastAsia="MS Mincho" w:hAnsi="Verdana" w:cs="Arial"/>
                <w:bCs/>
                <w:snapToGrid w:val="0"/>
                <w:sz w:val="18"/>
                <w:szCs w:val="18"/>
              </w:rPr>
            </w:pPr>
          </w:p>
          <w:p w:rsidR="007970E1" w:rsidRPr="007970E1" w:rsidRDefault="007970E1" w:rsidP="00280CEC">
            <w:pPr>
              <w:tabs>
                <w:tab w:val="left" w:pos="284"/>
              </w:tabs>
              <w:jc w:val="center"/>
              <w:rPr>
                <w:rFonts w:ascii="Verdana" w:eastAsia="MS Mincho" w:hAnsi="Verdana" w:cs="Arial"/>
                <w:bCs/>
                <w:snapToGrid w:val="0"/>
                <w:sz w:val="18"/>
                <w:szCs w:val="18"/>
              </w:rPr>
            </w:pPr>
            <w:r w:rsidRPr="007970E1">
              <w:rPr>
                <w:rFonts w:ascii="Verdana" w:eastAsia="MS Mincho" w:hAnsi="Verdana" w:cs="Arial"/>
                <w:bCs/>
                <w:snapToGrid w:val="0"/>
                <w:sz w:val="18"/>
                <w:szCs w:val="18"/>
              </w:rPr>
              <w:t xml:space="preserve">Première monte </w:t>
            </w:r>
          </w:p>
          <w:p w:rsidR="007970E1" w:rsidRPr="007970E1" w:rsidRDefault="007970E1" w:rsidP="00280CEC">
            <w:pPr>
              <w:tabs>
                <w:tab w:val="left" w:pos="284"/>
              </w:tabs>
              <w:jc w:val="center"/>
              <w:rPr>
                <w:rFonts w:ascii="Verdana" w:eastAsia="MS Mincho" w:hAnsi="Verdana" w:cs="Arial"/>
                <w:bCs/>
                <w:snapToGrid w:val="0"/>
                <w:sz w:val="18"/>
                <w:szCs w:val="18"/>
              </w:rPr>
            </w:pPr>
          </w:p>
          <w:p w:rsidR="007970E1" w:rsidRPr="007970E1" w:rsidRDefault="007970E1" w:rsidP="00280CEC">
            <w:pPr>
              <w:tabs>
                <w:tab w:val="left" w:pos="284"/>
              </w:tabs>
              <w:jc w:val="center"/>
              <w:rPr>
                <w:rFonts w:ascii="Arial" w:eastAsia="MS Mincho" w:hAnsi="Arial" w:cs="Arial"/>
                <w:bCs/>
                <w:snapToGrid w:val="0"/>
                <w:sz w:val="18"/>
                <w:szCs w:val="18"/>
                <w:highlight w:val="yellow"/>
              </w:rPr>
            </w:pPr>
            <w:r w:rsidRPr="007970E1">
              <w:rPr>
                <w:rFonts w:ascii="Verdana" w:eastAsia="MS Mincho" w:hAnsi="Verdana" w:cs="Arial"/>
                <w:bCs/>
                <w:snapToGrid w:val="0"/>
                <w:sz w:val="18"/>
                <w:szCs w:val="18"/>
              </w:rPr>
              <w:t>Remplacement</w:t>
            </w:r>
          </w:p>
        </w:tc>
        <w:tc>
          <w:tcPr>
            <w:tcW w:w="1134" w:type="dxa"/>
            <w:shd w:val="clear" w:color="auto" w:fill="auto"/>
          </w:tcPr>
          <w:p w:rsidR="007970E1" w:rsidRPr="00D457AF" w:rsidRDefault="007970E1" w:rsidP="00280CEC">
            <w:pPr>
              <w:tabs>
                <w:tab w:val="left" w:pos="284"/>
              </w:tabs>
              <w:jc w:val="center"/>
              <w:rPr>
                <w:rFonts w:ascii="Verdana" w:eastAsia="MS Mincho" w:hAnsi="Verdana" w:cs="Arial"/>
                <w:b/>
                <w:snapToGrid w:val="0"/>
                <w:sz w:val="18"/>
                <w:szCs w:val="18"/>
              </w:rPr>
            </w:pPr>
          </w:p>
          <w:p w:rsidR="007970E1" w:rsidRPr="00D457AF" w:rsidRDefault="00D457AF" w:rsidP="00280CEC">
            <w:pPr>
              <w:tabs>
                <w:tab w:val="left" w:pos="284"/>
              </w:tabs>
              <w:jc w:val="center"/>
              <w:rPr>
                <w:rFonts w:ascii="Verdana" w:eastAsia="MS Mincho" w:hAnsi="Verdana" w:cs="Arial"/>
                <w:b/>
                <w:snapToGrid w:val="0"/>
                <w:sz w:val="18"/>
                <w:szCs w:val="18"/>
              </w:rPr>
            </w:pPr>
            <w:r w:rsidRPr="00D457AF">
              <w:rPr>
                <w:rFonts w:ascii="Verdana" w:eastAsia="MS Mincho" w:hAnsi="Verdana" w:cs="Arial"/>
                <w:b/>
                <w:snapToGrid w:val="0"/>
                <w:sz w:val="18"/>
                <w:szCs w:val="18"/>
              </w:rPr>
              <w:t>- 6</w:t>
            </w:r>
            <w:r w:rsidR="007970E1" w:rsidRPr="00D457AF">
              <w:rPr>
                <w:rFonts w:ascii="Verdana" w:eastAsia="MS Mincho" w:hAnsi="Verdana" w:cs="Arial"/>
                <w:b/>
                <w:snapToGrid w:val="0"/>
                <w:sz w:val="18"/>
                <w:szCs w:val="18"/>
              </w:rPr>
              <w:t> %</w:t>
            </w:r>
          </w:p>
          <w:p w:rsidR="007970E1" w:rsidRPr="00D457AF" w:rsidRDefault="007970E1" w:rsidP="00280CEC">
            <w:pPr>
              <w:tabs>
                <w:tab w:val="left" w:pos="284"/>
              </w:tabs>
              <w:jc w:val="center"/>
              <w:rPr>
                <w:rFonts w:ascii="Verdana" w:eastAsia="MS Mincho" w:hAnsi="Verdana" w:cs="Arial"/>
                <w:b/>
                <w:snapToGrid w:val="0"/>
                <w:sz w:val="18"/>
                <w:szCs w:val="18"/>
              </w:rPr>
            </w:pPr>
          </w:p>
          <w:p w:rsidR="007970E1" w:rsidRPr="00D457AF" w:rsidRDefault="007970E1" w:rsidP="00280CEC">
            <w:pPr>
              <w:tabs>
                <w:tab w:val="left" w:pos="284"/>
              </w:tabs>
              <w:jc w:val="center"/>
              <w:rPr>
                <w:rFonts w:ascii="Verdana" w:eastAsia="MS Mincho" w:hAnsi="Verdana" w:cs="Arial"/>
                <w:b/>
                <w:snapToGrid w:val="0"/>
                <w:sz w:val="18"/>
                <w:szCs w:val="18"/>
              </w:rPr>
            </w:pPr>
            <w:r w:rsidRPr="00D457AF">
              <w:rPr>
                <w:rFonts w:ascii="Verdana" w:eastAsia="MS Mincho" w:hAnsi="Verdana" w:cs="Arial"/>
                <w:b/>
                <w:snapToGrid w:val="0"/>
                <w:sz w:val="18"/>
                <w:szCs w:val="18"/>
              </w:rPr>
              <w:t>+ </w:t>
            </w:r>
            <w:r w:rsidR="00D457AF" w:rsidRPr="00D457AF">
              <w:rPr>
                <w:rFonts w:ascii="Verdana" w:eastAsia="MS Mincho" w:hAnsi="Verdana" w:cs="Arial"/>
                <w:b/>
                <w:snapToGrid w:val="0"/>
                <w:sz w:val="18"/>
                <w:szCs w:val="18"/>
              </w:rPr>
              <w:t>7</w:t>
            </w:r>
            <w:r w:rsidRPr="00D457AF">
              <w:rPr>
                <w:rFonts w:ascii="Verdana" w:eastAsia="MS Mincho" w:hAnsi="Verdana" w:cs="Arial"/>
                <w:b/>
                <w:snapToGrid w:val="0"/>
                <w:sz w:val="18"/>
                <w:szCs w:val="18"/>
              </w:rPr>
              <w:t> %</w:t>
            </w:r>
          </w:p>
          <w:p w:rsidR="007970E1" w:rsidRPr="00D457AF" w:rsidRDefault="007970E1" w:rsidP="00280CEC">
            <w:pPr>
              <w:tabs>
                <w:tab w:val="left" w:pos="284"/>
              </w:tabs>
              <w:jc w:val="center"/>
              <w:rPr>
                <w:rFonts w:ascii="Verdana" w:eastAsia="MS Mincho" w:hAnsi="Verdana" w:cs="Arial"/>
                <w:b/>
                <w:snapToGrid w:val="0"/>
                <w:sz w:val="18"/>
                <w:szCs w:val="18"/>
              </w:rPr>
            </w:pPr>
          </w:p>
        </w:tc>
        <w:tc>
          <w:tcPr>
            <w:tcW w:w="1168" w:type="dxa"/>
          </w:tcPr>
          <w:p w:rsidR="007970E1" w:rsidRPr="00D457AF" w:rsidRDefault="007970E1" w:rsidP="00280CEC">
            <w:pPr>
              <w:tabs>
                <w:tab w:val="left" w:pos="284"/>
              </w:tabs>
              <w:jc w:val="center"/>
              <w:rPr>
                <w:rFonts w:ascii="Verdana" w:eastAsia="MS Mincho" w:hAnsi="Verdana" w:cs="Arial"/>
                <w:b/>
                <w:snapToGrid w:val="0"/>
                <w:sz w:val="18"/>
                <w:szCs w:val="18"/>
              </w:rPr>
            </w:pPr>
          </w:p>
          <w:p w:rsidR="007970E1" w:rsidRPr="00D457AF" w:rsidRDefault="00D457AF" w:rsidP="00280CEC">
            <w:pPr>
              <w:tabs>
                <w:tab w:val="left" w:pos="284"/>
              </w:tabs>
              <w:jc w:val="center"/>
              <w:rPr>
                <w:rFonts w:ascii="Verdana" w:eastAsia="MS Mincho" w:hAnsi="Verdana" w:cs="Arial"/>
                <w:b/>
                <w:snapToGrid w:val="0"/>
                <w:sz w:val="18"/>
                <w:szCs w:val="18"/>
              </w:rPr>
            </w:pPr>
            <w:r w:rsidRPr="00D457AF">
              <w:rPr>
                <w:rFonts w:ascii="Verdana" w:eastAsia="MS Mincho" w:hAnsi="Verdana" w:cs="Arial"/>
                <w:b/>
                <w:snapToGrid w:val="0"/>
                <w:sz w:val="18"/>
                <w:szCs w:val="18"/>
              </w:rPr>
              <w:t>-</w:t>
            </w:r>
            <w:r w:rsidR="007970E1" w:rsidRPr="00D457AF">
              <w:rPr>
                <w:rFonts w:ascii="Verdana" w:eastAsia="MS Mincho" w:hAnsi="Verdana" w:cs="Arial"/>
                <w:b/>
                <w:snapToGrid w:val="0"/>
                <w:sz w:val="18"/>
                <w:szCs w:val="18"/>
              </w:rPr>
              <w:t> 7 %</w:t>
            </w:r>
          </w:p>
          <w:p w:rsidR="007970E1" w:rsidRPr="00D457AF" w:rsidRDefault="007970E1" w:rsidP="00280CEC">
            <w:pPr>
              <w:tabs>
                <w:tab w:val="left" w:pos="284"/>
              </w:tabs>
              <w:jc w:val="center"/>
              <w:rPr>
                <w:rFonts w:ascii="Verdana" w:eastAsia="MS Mincho" w:hAnsi="Verdana" w:cs="Arial"/>
                <w:b/>
                <w:snapToGrid w:val="0"/>
                <w:sz w:val="18"/>
                <w:szCs w:val="18"/>
              </w:rPr>
            </w:pPr>
          </w:p>
          <w:p w:rsidR="007970E1" w:rsidRPr="00D457AF" w:rsidRDefault="007970E1" w:rsidP="00280CEC">
            <w:pPr>
              <w:tabs>
                <w:tab w:val="left" w:pos="284"/>
              </w:tabs>
              <w:jc w:val="center"/>
              <w:rPr>
                <w:rFonts w:ascii="Verdana" w:eastAsia="MS Mincho" w:hAnsi="Verdana" w:cs="Arial"/>
                <w:b/>
                <w:snapToGrid w:val="0"/>
                <w:sz w:val="18"/>
                <w:szCs w:val="18"/>
              </w:rPr>
            </w:pPr>
            <w:r w:rsidRPr="00D457AF">
              <w:rPr>
                <w:rFonts w:ascii="Verdana" w:eastAsia="MS Mincho" w:hAnsi="Verdana" w:cs="Arial"/>
                <w:b/>
                <w:snapToGrid w:val="0"/>
                <w:sz w:val="18"/>
                <w:szCs w:val="18"/>
              </w:rPr>
              <w:t>+ </w:t>
            </w:r>
            <w:r w:rsidR="00D457AF" w:rsidRPr="00D457AF">
              <w:rPr>
                <w:rFonts w:ascii="Verdana" w:eastAsia="MS Mincho" w:hAnsi="Verdana" w:cs="Arial"/>
                <w:b/>
                <w:snapToGrid w:val="0"/>
                <w:sz w:val="18"/>
                <w:szCs w:val="18"/>
              </w:rPr>
              <w:t>9</w:t>
            </w:r>
            <w:r w:rsidRPr="00D457AF">
              <w:rPr>
                <w:rFonts w:ascii="Verdana" w:eastAsia="MS Mincho" w:hAnsi="Verdana" w:cs="Arial"/>
                <w:b/>
                <w:snapToGrid w:val="0"/>
                <w:sz w:val="18"/>
                <w:szCs w:val="18"/>
              </w:rPr>
              <w:t> %</w:t>
            </w:r>
          </w:p>
          <w:p w:rsidR="007970E1" w:rsidRPr="00D457AF" w:rsidRDefault="007970E1" w:rsidP="00280CEC">
            <w:pPr>
              <w:tabs>
                <w:tab w:val="left" w:pos="284"/>
              </w:tabs>
              <w:jc w:val="center"/>
              <w:rPr>
                <w:rFonts w:ascii="Verdana" w:eastAsia="MS Mincho" w:hAnsi="Verdana" w:cs="Arial"/>
                <w:b/>
                <w:snapToGrid w:val="0"/>
                <w:sz w:val="18"/>
                <w:szCs w:val="18"/>
              </w:rPr>
            </w:pPr>
          </w:p>
        </w:tc>
        <w:tc>
          <w:tcPr>
            <w:tcW w:w="1276" w:type="dxa"/>
            <w:shd w:val="clear" w:color="auto" w:fill="auto"/>
          </w:tcPr>
          <w:p w:rsidR="007970E1" w:rsidRPr="004805AD" w:rsidRDefault="007970E1" w:rsidP="00280CEC">
            <w:pPr>
              <w:tabs>
                <w:tab w:val="left" w:pos="284"/>
              </w:tabs>
              <w:jc w:val="center"/>
              <w:rPr>
                <w:rFonts w:ascii="Verdana" w:eastAsia="MS Mincho" w:hAnsi="Verdana" w:cs="Arial"/>
                <w:b/>
                <w:strike/>
                <w:snapToGrid w:val="0"/>
                <w:sz w:val="18"/>
                <w:szCs w:val="18"/>
              </w:rPr>
            </w:pPr>
          </w:p>
          <w:p w:rsidR="007970E1" w:rsidRPr="006B5502" w:rsidRDefault="007970E1" w:rsidP="00280CEC">
            <w:pPr>
              <w:tabs>
                <w:tab w:val="left" w:pos="284"/>
              </w:tabs>
              <w:jc w:val="center"/>
              <w:rPr>
                <w:rFonts w:ascii="Verdana" w:eastAsia="MS Mincho" w:hAnsi="Verdana" w:cs="Arial"/>
                <w:b/>
                <w:snapToGrid w:val="0"/>
                <w:sz w:val="18"/>
                <w:szCs w:val="18"/>
              </w:rPr>
            </w:pPr>
            <w:r w:rsidRPr="006B5502">
              <w:rPr>
                <w:rFonts w:ascii="Verdana" w:eastAsia="MS Mincho" w:hAnsi="Verdana" w:cs="Arial"/>
                <w:b/>
                <w:snapToGrid w:val="0"/>
                <w:sz w:val="18"/>
                <w:szCs w:val="18"/>
              </w:rPr>
              <w:t>- </w:t>
            </w:r>
            <w:r w:rsidR="006B5502" w:rsidRPr="006B5502">
              <w:rPr>
                <w:rFonts w:ascii="Verdana" w:eastAsia="MS Mincho" w:hAnsi="Verdana" w:cs="Arial"/>
                <w:b/>
                <w:snapToGrid w:val="0"/>
                <w:sz w:val="18"/>
                <w:szCs w:val="18"/>
              </w:rPr>
              <w:t>23</w:t>
            </w:r>
            <w:r w:rsidRPr="006B5502">
              <w:rPr>
                <w:rFonts w:ascii="Verdana" w:eastAsia="MS Mincho" w:hAnsi="Verdana" w:cs="Arial"/>
                <w:b/>
                <w:snapToGrid w:val="0"/>
                <w:sz w:val="18"/>
                <w:szCs w:val="18"/>
              </w:rPr>
              <w:t>%</w:t>
            </w:r>
          </w:p>
          <w:p w:rsidR="007970E1" w:rsidRPr="006B5502" w:rsidRDefault="007970E1" w:rsidP="00280CEC">
            <w:pPr>
              <w:tabs>
                <w:tab w:val="left" w:pos="284"/>
              </w:tabs>
              <w:jc w:val="center"/>
              <w:rPr>
                <w:rFonts w:ascii="Verdana" w:eastAsia="MS Mincho" w:hAnsi="Verdana" w:cs="Arial"/>
                <w:b/>
                <w:snapToGrid w:val="0"/>
                <w:sz w:val="18"/>
                <w:szCs w:val="18"/>
              </w:rPr>
            </w:pPr>
          </w:p>
          <w:p w:rsidR="007970E1" w:rsidRPr="004805AD" w:rsidRDefault="006B5502" w:rsidP="006B5502">
            <w:pPr>
              <w:tabs>
                <w:tab w:val="left" w:pos="284"/>
              </w:tabs>
              <w:jc w:val="center"/>
              <w:rPr>
                <w:rFonts w:ascii="Verdana" w:eastAsia="MS Mincho" w:hAnsi="Verdana" w:cs="Arial"/>
                <w:b/>
                <w:strike/>
                <w:snapToGrid w:val="0"/>
                <w:sz w:val="18"/>
                <w:szCs w:val="18"/>
              </w:rPr>
            </w:pPr>
            <w:r w:rsidRPr="006B5502">
              <w:rPr>
                <w:rFonts w:ascii="Verdana" w:eastAsia="MS Mincho" w:hAnsi="Verdana" w:cs="Arial"/>
                <w:b/>
                <w:snapToGrid w:val="0"/>
                <w:sz w:val="18"/>
                <w:szCs w:val="18"/>
              </w:rPr>
              <w:t>-</w:t>
            </w:r>
            <w:r w:rsidR="007970E1" w:rsidRPr="006B5502">
              <w:rPr>
                <w:rFonts w:ascii="Verdana" w:eastAsia="MS Mincho" w:hAnsi="Verdana" w:cs="Arial"/>
                <w:b/>
                <w:snapToGrid w:val="0"/>
                <w:sz w:val="18"/>
                <w:szCs w:val="18"/>
              </w:rPr>
              <w:t> </w:t>
            </w:r>
            <w:r w:rsidRPr="006B5502">
              <w:rPr>
                <w:rFonts w:ascii="Verdana" w:eastAsia="MS Mincho" w:hAnsi="Verdana" w:cs="Arial"/>
                <w:b/>
                <w:snapToGrid w:val="0"/>
                <w:sz w:val="18"/>
                <w:szCs w:val="18"/>
              </w:rPr>
              <w:t>4</w:t>
            </w:r>
            <w:r w:rsidR="007970E1" w:rsidRPr="006B5502">
              <w:rPr>
                <w:rFonts w:ascii="Verdana" w:eastAsia="MS Mincho" w:hAnsi="Verdana" w:cs="Arial"/>
                <w:b/>
                <w:snapToGrid w:val="0"/>
                <w:sz w:val="18"/>
                <w:szCs w:val="18"/>
              </w:rPr>
              <w:t> %</w:t>
            </w:r>
          </w:p>
        </w:tc>
        <w:tc>
          <w:tcPr>
            <w:tcW w:w="1275" w:type="dxa"/>
            <w:shd w:val="clear" w:color="auto" w:fill="auto"/>
          </w:tcPr>
          <w:p w:rsidR="007970E1" w:rsidRPr="004805AD" w:rsidRDefault="007970E1" w:rsidP="00280CEC">
            <w:pPr>
              <w:tabs>
                <w:tab w:val="left" w:pos="284"/>
              </w:tabs>
              <w:jc w:val="center"/>
              <w:rPr>
                <w:rFonts w:ascii="Verdana" w:eastAsia="MS Mincho" w:hAnsi="Verdana" w:cs="Arial"/>
                <w:b/>
                <w:strike/>
                <w:snapToGrid w:val="0"/>
                <w:sz w:val="18"/>
                <w:szCs w:val="18"/>
              </w:rPr>
            </w:pPr>
          </w:p>
          <w:p w:rsidR="007970E1" w:rsidRPr="00C93055" w:rsidRDefault="00C93055" w:rsidP="00280CEC">
            <w:pPr>
              <w:tabs>
                <w:tab w:val="left" w:pos="284"/>
              </w:tabs>
              <w:jc w:val="center"/>
              <w:rPr>
                <w:rFonts w:ascii="Verdana" w:eastAsia="MS Mincho" w:hAnsi="Verdana" w:cs="Arial"/>
                <w:b/>
                <w:snapToGrid w:val="0"/>
                <w:sz w:val="18"/>
                <w:szCs w:val="18"/>
                <w:lang w:val="en-US"/>
              </w:rPr>
            </w:pPr>
            <w:r w:rsidRPr="00C93055">
              <w:rPr>
                <w:rFonts w:ascii="Verdana" w:eastAsia="MS Mincho" w:hAnsi="Verdana" w:cs="Arial"/>
                <w:b/>
                <w:snapToGrid w:val="0"/>
                <w:sz w:val="18"/>
                <w:szCs w:val="18"/>
              </w:rPr>
              <w:t>+</w:t>
            </w:r>
            <w:r w:rsidR="007970E1" w:rsidRPr="00C93055">
              <w:rPr>
                <w:rFonts w:ascii="Verdana" w:eastAsia="MS Mincho" w:hAnsi="Verdana" w:cs="Arial"/>
                <w:b/>
                <w:snapToGrid w:val="0"/>
                <w:sz w:val="18"/>
                <w:szCs w:val="18"/>
              </w:rPr>
              <w:t> </w:t>
            </w:r>
            <w:r w:rsidRPr="00C93055">
              <w:rPr>
                <w:rFonts w:ascii="Verdana" w:eastAsia="MS Mincho" w:hAnsi="Verdana" w:cs="Arial"/>
                <w:b/>
                <w:snapToGrid w:val="0"/>
                <w:sz w:val="18"/>
                <w:szCs w:val="18"/>
              </w:rPr>
              <w:t>9</w:t>
            </w:r>
            <w:r w:rsidR="007970E1" w:rsidRPr="00C93055">
              <w:rPr>
                <w:rFonts w:ascii="Verdana" w:eastAsia="MS Mincho" w:hAnsi="Verdana" w:cs="Arial"/>
                <w:b/>
                <w:snapToGrid w:val="0"/>
                <w:sz w:val="18"/>
                <w:szCs w:val="18"/>
              </w:rPr>
              <w:t> </w:t>
            </w:r>
            <w:r w:rsidR="007970E1" w:rsidRPr="00C93055">
              <w:rPr>
                <w:rFonts w:ascii="Verdana" w:eastAsia="MS Mincho" w:hAnsi="Verdana" w:cs="Arial"/>
                <w:b/>
                <w:snapToGrid w:val="0"/>
                <w:sz w:val="18"/>
                <w:szCs w:val="18"/>
                <w:lang w:val="en-US"/>
              </w:rPr>
              <w:t>%</w:t>
            </w:r>
          </w:p>
          <w:p w:rsidR="007970E1" w:rsidRPr="00C93055" w:rsidRDefault="007970E1" w:rsidP="00280CEC">
            <w:pPr>
              <w:tabs>
                <w:tab w:val="left" w:pos="284"/>
              </w:tabs>
              <w:jc w:val="center"/>
              <w:rPr>
                <w:rFonts w:ascii="Verdana" w:eastAsia="MS Mincho" w:hAnsi="Verdana" w:cs="Arial"/>
                <w:b/>
                <w:snapToGrid w:val="0"/>
                <w:sz w:val="18"/>
                <w:szCs w:val="18"/>
                <w:lang w:val="en-US"/>
              </w:rPr>
            </w:pPr>
          </w:p>
          <w:p w:rsidR="007970E1" w:rsidRPr="004805AD" w:rsidRDefault="00C93055" w:rsidP="00C93055">
            <w:pPr>
              <w:tabs>
                <w:tab w:val="left" w:pos="284"/>
              </w:tabs>
              <w:jc w:val="center"/>
              <w:rPr>
                <w:rFonts w:ascii="Verdana" w:eastAsia="MS Mincho" w:hAnsi="Verdana" w:cs="Arial"/>
                <w:b/>
                <w:strike/>
                <w:snapToGrid w:val="0"/>
                <w:sz w:val="18"/>
                <w:szCs w:val="18"/>
                <w:lang w:val="en-US"/>
              </w:rPr>
            </w:pPr>
            <w:r w:rsidRPr="00C93055">
              <w:rPr>
                <w:rFonts w:ascii="Verdana" w:eastAsia="MS Mincho" w:hAnsi="Verdana" w:cs="Arial"/>
                <w:b/>
                <w:snapToGrid w:val="0"/>
                <w:sz w:val="18"/>
                <w:szCs w:val="18"/>
              </w:rPr>
              <w:t>+</w:t>
            </w:r>
            <w:r w:rsidR="007970E1" w:rsidRPr="00C93055">
              <w:rPr>
                <w:rFonts w:ascii="Verdana" w:eastAsia="MS Mincho" w:hAnsi="Verdana" w:cs="Arial"/>
                <w:b/>
                <w:snapToGrid w:val="0"/>
                <w:sz w:val="18"/>
                <w:szCs w:val="18"/>
              </w:rPr>
              <w:t> </w:t>
            </w:r>
            <w:r w:rsidRPr="00C93055">
              <w:rPr>
                <w:rFonts w:ascii="Verdana" w:eastAsia="MS Mincho" w:hAnsi="Verdana" w:cs="Arial"/>
                <w:b/>
                <w:snapToGrid w:val="0"/>
                <w:sz w:val="18"/>
                <w:szCs w:val="18"/>
              </w:rPr>
              <w:t>1</w:t>
            </w:r>
            <w:r w:rsidR="007970E1" w:rsidRPr="00C93055">
              <w:rPr>
                <w:rFonts w:ascii="Verdana" w:eastAsia="MS Mincho" w:hAnsi="Verdana" w:cs="Arial"/>
                <w:b/>
                <w:snapToGrid w:val="0"/>
                <w:sz w:val="18"/>
                <w:szCs w:val="18"/>
              </w:rPr>
              <w:t> %</w:t>
            </w:r>
          </w:p>
        </w:tc>
        <w:tc>
          <w:tcPr>
            <w:tcW w:w="1276" w:type="dxa"/>
            <w:shd w:val="clear" w:color="auto" w:fill="auto"/>
          </w:tcPr>
          <w:p w:rsidR="007970E1" w:rsidRPr="004805AD" w:rsidRDefault="007970E1" w:rsidP="00280CEC">
            <w:pPr>
              <w:tabs>
                <w:tab w:val="left" w:pos="284"/>
              </w:tabs>
              <w:jc w:val="center"/>
              <w:rPr>
                <w:rFonts w:ascii="Verdana" w:eastAsia="MS Mincho" w:hAnsi="Verdana" w:cs="Arial"/>
                <w:b/>
                <w:strike/>
                <w:snapToGrid w:val="0"/>
                <w:sz w:val="18"/>
                <w:szCs w:val="18"/>
                <w:highlight w:val="yellow"/>
                <w:lang w:val="en-US"/>
              </w:rPr>
            </w:pPr>
          </w:p>
          <w:p w:rsidR="007970E1" w:rsidRPr="006B5502" w:rsidRDefault="007970E1" w:rsidP="00280CEC">
            <w:pPr>
              <w:tabs>
                <w:tab w:val="left" w:pos="284"/>
              </w:tabs>
              <w:jc w:val="center"/>
              <w:rPr>
                <w:rFonts w:ascii="Verdana" w:eastAsia="MS Mincho" w:hAnsi="Verdana" w:cs="Arial"/>
                <w:b/>
                <w:snapToGrid w:val="0"/>
                <w:sz w:val="18"/>
                <w:szCs w:val="18"/>
                <w:lang w:val="en-US"/>
              </w:rPr>
            </w:pPr>
            <w:r w:rsidRPr="006B5502">
              <w:rPr>
                <w:rFonts w:ascii="Verdana" w:eastAsia="MS Mincho" w:hAnsi="Verdana" w:cs="Arial"/>
                <w:b/>
                <w:snapToGrid w:val="0"/>
                <w:sz w:val="18"/>
                <w:szCs w:val="18"/>
                <w:lang w:val="en-US"/>
              </w:rPr>
              <w:t>- </w:t>
            </w:r>
            <w:r w:rsidR="006B5502" w:rsidRPr="006B5502">
              <w:rPr>
                <w:rFonts w:ascii="Verdana" w:eastAsia="MS Mincho" w:hAnsi="Verdana" w:cs="Arial"/>
                <w:b/>
                <w:snapToGrid w:val="0"/>
                <w:sz w:val="18"/>
                <w:szCs w:val="18"/>
                <w:lang w:val="en-US"/>
              </w:rPr>
              <w:t>8</w:t>
            </w:r>
            <w:r w:rsidR="008933AC" w:rsidRPr="006B5502">
              <w:rPr>
                <w:rFonts w:ascii="Verdana" w:eastAsia="MS Mincho" w:hAnsi="Verdana" w:cs="Arial"/>
                <w:b/>
                <w:snapToGrid w:val="0"/>
                <w:sz w:val="18"/>
                <w:szCs w:val="18"/>
                <w:lang w:val="en-US"/>
              </w:rPr>
              <w:t> </w:t>
            </w:r>
            <w:r w:rsidRPr="006B5502">
              <w:rPr>
                <w:rFonts w:ascii="Verdana" w:eastAsia="MS Mincho" w:hAnsi="Verdana" w:cs="Arial"/>
                <w:b/>
                <w:snapToGrid w:val="0"/>
                <w:sz w:val="18"/>
                <w:szCs w:val="18"/>
                <w:lang w:val="en-US"/>
              </w:rPr>
              <w:t>%</w:t>
            </w:r>
          </w:p>
          <w:p w:rsidR="007970E1" w:rsidRPr="006B5502" w:rsidRDefault="007970E1" w:rsidP="00280CEC">
            <w:pPr>
              <w:tabs>
                <w:tab w:val="left" w:pos="284"/>
              </w:tabs>
              <w:jc w:val="center"/>
              <w:rPr>
                <w:rFonts w:ascii="Verdana" w:eastAsia="MS Mincho" w:hAnsi="Verdana" w:cs="Arial"/>
                <w:b/>
                <w:snapToGrid w:val="0"/>
                <w:sz w:val="18"/>
                <w:szCs w:val="18"/>
                <w:lang w:val="en-US"/>
              </w:rPr>
            </w:pPr>
          </w:p>
          <w:p w:rsidR="007970E1" w:rsidRPr="004805AD" w:rsidRDefault="006B5502" w:rsidP="006B5502">
            <w:pPr>
              <w:tabs>
                <w:tab w:val="left" w:pos="284"/>
              </w:tabs>
              <w:jc w:val="center"/>
              <w:rPr>
                <w:rFonts w:ascii="Verdana" w:eastAsia="MS Mincho" w:hAnsi="Verdana" w:cs="Arial"/>
                <w:b/>
                <w:strike/>
                <w:snapToGrid w:val="0"/>
                <w:sz w:val="18"/>
                <w:szCs w:val="18"/>
                <w:highlight w:val="yellow"/>
                <w:lang w:val="en-US"/>
              </w:rPr>
            </w:pPr>
            <w:r w:rsidRPr="006B5502">
              <w:rPr>
                <w:rFonts w:ascii="Verdana" w:eastAsia="MS Mincho" w:hAnsi="Verdana" w:cs="Arial"/>
                <w:b/>
                <w:snapToGrid w:val="0"/>
                <w:sz w:val="18"/>
                <w:szCs w:val="18"/>
              </w:rPr>
              <w:t>+</w:t>
            </w:r>
            <w:r w:rsidR="007970E1" w:rsidRPr="006B5502">
              <w:rPr>
                <w:rFonts w:ascii="Verdana" w:eastAsia="MS Mincho" w:hAnsi="Verdana" w:cs="Arial"/>
                <w:b/>
                <w:snapToGrid w:val="0"/>
                <w:sz w:val="18"/>
                <w:szCs w:val="18"/>
              </w:rPr>
              <w:t> 3</w:t>
            </w:r>
            <w:r w:rsidR="008933AC" w:rsidRPr="006B5502">
              <w:rPr>
                <w:rFonts w:ascii="Verdana" w:eastAsia="MS Mincho" w:hAnsi="Verdana" w:cs="Arial"/>
                <w:b/>
                <w:snapToGrid w:val="0"/>
                <w:sz w:val="18"/>
                <w:szCs w:val="18"/>
              </w:rPr>
              <w:t> </w:t>
            </w:r>
            <w:r w:rsidR="007970E1" w:rsidRPr="006B5502">
              <w:rPr>
                <w:rFonts w:ascii="Verdana" w:eastAsia="MS Mincho" w:hAnsi="Verdana" w:cs="Arial"/>
                <w:b/>
                <w:snapToGrid w:val="0"/>
                <w:sz w:val="18"/>
                <w:szCs w:val="18"/>
              </w:rPr>
              <w:t>%</w:t>
            </w:r>
          </w:p>
        </w:tc>
        <w:tc>
          <w:tcPr>
            <w:tcW w:w="1276" w:type="dxa"/>
            <w:shd w:val="clear" w:color="auto" w:fill="auto"/>
          </w:tcPr>
          <w:p w:rsidR="007970E1" w:rsidRPr="004805AD" w:rsidRDefault="007970E1" w:rsidP="00280CEC">
            <w:pPr>
              <w:tabs>
                <w:tab w:val="left" w:pos="284"/>
              </w:tabs>
              <w:jc w:val="center"/>
              <w:rPr>
                <w:rFonts w:ascii="Verdana" w:eastAsia="MS Mincho" w:hAnsi="Verdana" w:cs="Arial"/>
                <w:b/>
                <w:strike/>
                <w:snapToGrid w:val="0"/>
                <w:sz w:val="18"/>
                <w:szCs w:val="18"/>
                <w:highlight w:val="yellow"/>
                <w:lang w:val="en-US"/>
              </w:rPr>
            </w:pPr>
          </w:p>
          <w:p w:rsidR="007970E1" w:rsidRPr="006B5502" w:rsidRDefault="006B5502" w:rsidP="00280CEC">
            <w:pPr>
              <w:tabs>
                <w:tab w:val="left" w:pos="284"/>
              </w:tabs>
              <w:jc w:val="center"/>
              <w:rPr>
                <w:rFonts w:ascii="Verdana" w:eastAsia="MS Mincho" w:hAnsi="Verdana" w:cs="Arial"/>
                <w:b/>
                <w:snapToGrid w:val="0"/>
                <w:sz w:val="18"/>
                <w:szCs w:val="18"/>
              </w:rPr>
            </w:pPr>
            <w:r w:rsidRPr="006B5502">
              <w:rPr>
                <w:rFonts w:ascii="Verdana" w:eastAsia="MS Mincho" w:hAnsi="Verdana" w:cs="Arial"/>
                <w:b/>
                <w:snapToGrid w:val="0"/>
                <w:sz w:val="18"/>
                <w:szCs w:val="18"/>
              </w:rPr>
              <w:t>+ 3</w:t>
            </w:r>
            <w:r w:rsidR="007970E1" w:rsidRPr="006B5502">
              <w:rPr>
                <w:rFonts w:ascii="Verdana" w:eastAsia="MS Mincho" w:hAnsi="Verdana" w:cs="Arial"/>
                <w:b/>
                <w:snapToGrid w:val="0"/>
                <w:sz w:val="18"/>
                <w:szCs w:val="18"/>
              </w:rPr>
              <w:t> %</w:t>
            </w:r>
          </w:p>
          <w:p w:rsidR="007970E1" w:rsidRPr="006B5502" w:rsidRDefault="007970E1" w:rsidP="00280CEC">
            <w:pPr>
              <w:tabs>
                <w:tab w:val="left" w:pos="284"/>
              </w:tabs>
              <w:jc w:val="center"/>
              <w:rPr>
                <w:rFonts w:ascii="Verdana" w:eastAsia="MS Mincho" w:hAnsi="Verdana" w:cs="Arial"/>
                <w:b/>
                <w:snapToGrid w:val="0"/>
                <w:sz w:val="18"/>
                <w:szCs w:val="18"/>
                <w:lang w:val="en-US"/>
              </w:rPr>
            </w:pPr>
          </w:p>
          <w:p w:rsidR="007970E1" w:rsidRPr="004805AD" w:rsidRDefault="007970E1" w:rsidP="006B5502">
            <w:pPr>
              <w:tabs>
                <w:tab w:val="left" w:pos="284"/>
              </w:tabs>
              <w:jc w:val="center"/>
              <w:rPr>
                <w:rFonts w:ascii="Verdana" w:eastAsia="MS Mincho" w:hAnsi="Verdana" w:cs="Arial"/>
                <w:b/>
                <w:strike/>
                <w:snapToGrid w:val="0"/>
                <w:sz w:val="18"/>
                <w:szCs w:val="18"/>
                <w:highlight w:val="yellow"/>
                <w:lang w:val="en-US"/>
              </w:rPr>
            </w:pPr>
            <w:r w:rsidRPr="006B5502">
              <w:rPr>
                <w:rFonts w:ascii="Verdana" w:eastAsia="MS Mincho" w:hAnsi="Verdana" w:cs="Arial"/>
                <w:b/>
                <w:snapToGrid w:val="0"/>
                <w:sz w:val="18"/>
                <w:szCs w:val="18"/>
              </w:rPr>
              <w:t>- </w:t>
            </w:r>
            <w:r w:rsidR="006B5502" w:rsidRPr="006B5502">
              <w:rPr>
                <w:rFonts w:ascii="Verdana" w:eastAsia="MS Mincho" w:hAnsi="Verdana" w:cs="Arial"/>
                <w:b/>
                <w:snapToGrid w:val="0"/>
                <w:sz w:val="18"/>
                <w:szCs w:val="18"/>
              </w:rPr>
              <w:t>6</w:t>
            </w:r>
            <w:r w:rsidRPr="006B5502">
              <w:rPr>
                <w:rFonts w:ascii="Verdana" w:eastAsia="MS Mincho" w:hAnsi="Verdana" w:cs="Arial"/>
                <w:b/>
                <w:snapToGrid w:val="0"/>
                <w:sz w:val="18"/>
                <w:szCs w:val="18"/>
              </w:rPr>
              <w:t> %</w:t>
            </w:r>
          </w:p>
        </w:tc>
        <w:tc>
          <w:tcPr>
            <w:tcW w:w="1134" w:type="dxa"/>
            <w:shd w:val="clear" w:color="auto" w:fill="auto"/>
          </w:tcPr>
          <w:p w:rsidR="007970E1" w:rsidRPr="004805AD" w:rsidRDefault="007970E1" w:rsidP="00280CEC">
            <w:pPr>
              <w:tabs>
                <w:tab w:val="left" w:pos="1168"/>
              </w:tabs>
              <w:ind w:right="-108"/>
              <w:jc w:val="center"/>
              <w:rPr>
                <w:rFonts w:ascii="Verdana" w:eastAsia="MS Mincho" w:hAnsi="Verdana" w:cs="Arial"/>
                <w:b/>
                <w:strike/>
                <w:snapToGrid w:val="0"/>
                <w:sz w:val="18"/>
                <w:szCs w:val="18"/>
                <w:highlight w:val="yellow"/>
                <w:lang w:val="en-US"/>
              </w:rPr>
            </w:pPr>
          </w:p>
          <w:p w:rsidR="007970E1" w:rsidRPr="00B32BFF" w:rsidRDefault="007970E1" w:rsidP="00280CEC">
            <w:pPr>
              <w:tabs>
                <w:tab w:val="left" w:pos="1168"/>
              </w:tabs>
              <w:ind w:right="-108"/>
              <w:jc w:val="center"/>
              <w:rPr>
                <w:rFonts w:ascii="Verdana" w:eastAsia="MS Mincho" w:hAnsi="Verdana" w:cs="Arial"/>
                <w:b/>
                <w:snapToGrid w:val="0"/>
                <w:sz w:val="18"/>
                <w:szCs w:val="18"/>
              </w:rPr>
            </w:pPr>
            <w:r w:rsidRPr="00B32BFF">
              <w:rPr>
                <w:rFonts w:ascii="Verdana" w:eastAsia="MS Mincho" w:hAnsi="Verdana" w:cs="Arial"/>
                <w:b/>
                <w:snapToGrid w:val="0"/>
                <w:sz w:val="18"/>
                <w:szCs w:val="18"/>
              </w:rPr>
              <w:t>- </w:t>
            </w:r>
            <w:r w:rsidR="00B32BFF" w:rsidRPr="00B32BFF">
              <w:rPr>
                <w:rFonts w:ascii="Verdana" w:eastAsia="MS Mincho" w:hAnsi="Verdana" w:cs="Arial"/>
                <w:b/>
                <w:snapToGrid w:val="0"/>
                <w:sz w:val="18"/>
                <w:szCs w:val="18"/>
              </w:rPr>
              <w:t>0</w:t>
            </w:r>
            <w:r w:rsidRPr="00B32BFF">
              <w:rPr>
                <w:rFonts w:ascii="Verdana" w:eastAsia="MS Mincho" w:hAnsi="Verdana" w:cs="Arial"/>
                <w:b/>
                <w:snapToGrid w:val="0"/>
                <w:sz w:val="18"/>
                <w:szCs w:val="18"/>
              </w:rPr>
              <w:t> %</w:t>
            </w:r>
          </w:p>
          <w:p w:rsidR="007970E1" w:rsidRPr="00B32BFF" w:rsidRDefault="007970E1" w:rsidP="00280CEC">
            <w:pPr>
              <w:tabs>
                <w:tab w:val="left" w:pos="1168"/>
              </w:tabs>
              <w:ind w:right="-108"/>
              <w:jc w:val="center"/>
              <w:rPr>
                <w:rFonts w:ascii="Verdana" w:eastAsia="MS Mincho" w:hAnsi="Verdana" w:cs="Arial"/>
                <w:b/>
                <w:snapToGrid w:val="0"/>
                <w:sz w:val="18"/>
                <w:szCs w:val="18"/>
                <w:lang w:val="en-US"/>
              </w:rPr>
            </w:pPr>
          </w:p>
          <w:p w:rsidR="007970E1" w:rsidRPr="004805AD" w:rsidRDefault="00B32BFF" w:rsidP="00B32BFF">
            <w:pPr>
              <w:tabs>
                <w:tab w:val="left" w:pos="1168"/>
              </w:tabs>
              <w:ind w:right="-108"/>
              <w:jc w:val="center"/>
              <w:rPr>
                <w:rFonts w:ascii="Verdana" w:eastAsia="MS Mincho" w:hAnsi="Verdana" w:cs="Arial"/>
                <w:b/>
                <w:strike/>
                <w:snapToGrid w:val="0"/>
                <w:sz w:val="18"/>
                <w:szCs w:val="18"/>
                <w:lang w:val="en-US"/>
              </w:rPr>
            </w:pPr>
            <w:r w:rsidRPr="00B32BFF">
              <w:rPr>
                <w:rFonts w:ascii="Verdana" w:eastAsia="MS Mincho" w:hAnsi="Verdana" w:cs="Arial"/>
                <w:b/>
                <w:snapToGrid w:val="0"/>
                <w:sz w:val="18"/>
                <w:szCs w:val="18"/>
              </w:rPr>
              <w:t>+</w:t>
            </w:r>
            <w:r w:rsidR="007970E1" w:rsidRPr="00B32BFF">
              <w:rPr>
                <w:rFonts w:ascii="Verdana" w:eastAsia="MS Mincho" w:hAnsi="Verdana" w:cs="Arial"/>
                <w:b/>
                <w:snapToGrid w:val="0"/>
                <w:sz w:val="18"/>
                <w:szCs w:val="18"/>
              </w:rPr>
              <w:t> </w:t>
            </w:r>
            <w:r w:rsidRPr="00B32BFF">
              <w:rPr>
                <w:rFonts w:ascii="Verdana" w:eastAsia="MS Mincho" w:hAnsi="Verdana" w:cs="Arial"/>
                <w:b/>
                <w:snapToGrid w:val="0"/>
                <w:sz w:val="18"/>
                <w:szCs w:val="18"/>
              </w:rPr>
              <w:t>0</w:t>
            </w:r>
            <w:r w:rsidR="007970E1" w:rsidRPr="00B32BFF">
              <w:rPr>
                <w:rFonts w:ascii="Verdana" w:eastAsia="MS Mincho" w:hAnsi="Verdana" w:cs="Arial"/>
                <w:b/>
                <w:snapToGrid w:val="0"/>
                <w:sz w:val="18"/>
                <w:szCs w:val="18"/>
              </w:rPr>
              <w:t> %</w:t>
            </w:r>
          </w:p>
        </w:tc>
      </w:tr>
    </w:tbl>
    <w:p w:rsidR="007970E1" w:rsidRPr="007970E1" w:rsidRDefault="007970E1" w:rsidP="007970E1">
      <w:pPr>
        <w:keepNext/>
        <w:tabs>
          <w:tab w:val="left" w:pos="284"/>
        </w:tabs>
        <w:jc w:val="both"/>
        <w:rPr>
          <w:rFonts w:ascii="Verdana" w:hAnsi="Verdana" w:cs="Arial"/>
          <w:sz w:val="18"/>
          <w:szCs w:val="18"/>
        </w:rPr>
      </w:pPr>
      <w:r w:rsidRPr="007970E1">
        <w:rPr>
          <w:rFonts w:ascii="Verdana" w:hAnsi="Verdana" w:cs="Arial"/>
          <w:sz w:val="18"/>
          <w:szCs w:val="18"/>
        </w:rPr>
        <w:t>* Y compris Turquie</w:t>
      </w:r>
    </w:p>
    <w:p w:rsidR="00E95091" w:rsidRDefault="00E95091" w:rsidP="00E95091">
      <w:pPr>
        <w:keepNext/>
        <w:tabs>
          <w:tab w:val="left" w:pos="600"/>
        </w:tabs>
        <w:jc w:val="both"/>
        <w:rPr>
          <w:rFonts w:ascii="Verdana" w:hAnsi="Verdana" w:cs="Arial"/>
        </w:rPr>
      </w:pPr>
    </w:p>
    <w:p w:rsidR="00E95091" w:rsidRPr="00E95091" w:rsidRDefault="00E95091" w:rsidP="00E95091">
      <w:pPr>
        <w:keepNext/>
        <w:tabs>
          <w:tab w:val="left" w:pos="600"/>
        </w:tabs>
        <w:spacing w:after="120"/>
        <w:jc w:val="both"/>
        <w:rPr>
          <w:rFonts w:ascii="Verdana" w:hAnsi="Verdana" w:cs="Arial"/>
          <w:sz w:val="18"/>
          <w:szCs w:val="18"/>
        </w:rPr>
      </w:pPr>
      <w:r w:rsidRPr="00E95091">
        <w:rPr>
          <w:rFonts w:ascii="Verdana" w:hAnsi="Verdana" w:cs="Arial"/>
          <w:sz w:val="18"/>
          <w:szCs w:val="18"/>
        </w:rPr>
        <w:t xml:space="preserve">Le marché mondial des pneumatiques Poids lourd neufs, Première monte et Remplacement, est en retrait de </w:t>
      </w:r>
      <w:r>
        <w:rPr>
          <w:rFonts w:ascii="Verdana" w:hAnsi="Verdana" w:cs="Arial"/>
          <w:sz w:val="18"/>
          <w:szCs w:val="18"/>
        </w:rPr>
        <w:t>1</w:t>
      </w:r>
      <w:r w:rsidRPr="00E95091">
        <w:rPr>
          <w:rFonts w:ascii="Verdana" w:hAnsi="Verdana" w:cs="Arial"/>
          <w:sz w:val="18"/>
          <w:szCs w:val="18"/>
        </w:rPr>
        <w:t xml:space="preserve"> % en unités à fin </w:t>
      </w:r>
      <w:r>
        <w:rPr>
          <w:rFonts w:ascii="Verdana" w:hAnsi="Verdana" w:cs="Arial"/>
          <w:sz w:val="18"/>
          <w:szCs w:val="18"/>
        </w:rPr>
        <w:t>décembre</w:t>
      </w:r>
      <w:r w:rsidRPr="00E95091">
        <w:rPr>
          <w:rFonts w:ascii="Verdana" w:hAnsi="Verdana" w:cs="Arial"/>
          <w:sz w:val="18"/>
          <w:szCs w:val="18"/>
        </w:rPr>
        <w:t xml:space="preserve"> 2016; les marchés du rechapage sont également en retrait, </w:t>
      </w:r>
      <w:r>
        <w:rPr>
          <w:rFonts w:ascii="Verdana" w:hAnsi="Verdana" w:cs="Arial"/>
          <w:sz w:val="18"/>
          <w:szCs w:val="18"/>
        </w:rPr>
        <w:t>particuliè</w:t>
      </w:r>
      <w:r w:rsidRPr="00E95091">
        <w:rPr>
          <w:rFonts w:ascii="Verdana" w:hAnsi="Verdana" w:cs="Arial"/>
          <w:sz w:val="18"/>
          <w:szCs w:val="18"/>
        </w:rPr>
        <w:t>r</w:t>
      </w:r>
      <w:r>
        <w:rPr>
          <w:rFonts w:ascii="Verdana" w:hAnsi="Verdana" w:cs="Arial"/>
          <w:sz w:val="18"/>
          <w:szCs w:val="18"/>
        </w:rPr>
        <w:t>ement accentué</w:t>
      </w:r>
      <w:r w:rsidRPr="00E95091">
        <w:rPr>
          <w:rFonts w:ascii="Verdana" w:hAnsi="Verdana" w:cs="Arial"/>
          <w:sz w:val="18"/>
          <w:szCs w:val="18"/>
        </w:rPr>
        <w:t xml:space="preserve"> en Europe.</w:t>
      </w:r>
    </w:p>
    <w:p w:rsidR="007970E1" w:rsidRPr="00B514A1" w:rsidRDefault="007970E1" w:rsidP="007970E1">
      <w:pPr>
        <w:numPr>
          <w:ilvl w:val="0"/>
          <w:numId w:val="4"/>
        </w:numPr>
        <w:tabs>
          <w:tab w:val="clear" w:pos="360"/>
          <w:tab w:val="num" w:pos="709"/>
        </w:tabs>
        <w:spacing w:after="60"/>
        <w:ind w:firstLine="66"/>
        <w:jc w:val="both"/>
        <w:rPr>
          <w:rFonts w:ascii="Verdana" w:hAnsi="Verdana" w:cs="Arial"/>
          <w:smallCaps/>
          <w:sz w:val="18"/>
          <w:szCs w:val="18"/>
          <w:u w:val="single"/>
        </w:rPr>
      </w:pPr>
      <w:r w:rsidRPr="00B514A1">
        <w:rPr>
          <w:rFonts w:ascii="Verdana" w:hAnsi="Verdana" w:cs="Arial"/>
          <w:b/>
          <w:smallCaps/>
          <w:sz w:val="18"/>
          <w:szCs w:val="18"/>
        </w:rPr>
        <w:t>Première monte</w:t>
      </w:r>
    </w:p>
    <w:p w:rsidR="007970E1" w:rsidRPr="00B514A1" w:rsidRDefault="007970E1" w:rsidP="007970E1">
      <w:pPr>
        <w:numPr>
          <w:ilvl w:val="1"/>
          <w:numId w:val="4"/>
        </w:numPr>
        <w:spacing w:after="60"/>
        <w:jc w:val="both"/>
        <w:rPr>
          <w:rFonts w:ascii="Verdana" w:hAnsi="Verdana" w:cs="Arial"/>
          <w:sz w:val="18"/>
          <w:szCs w:val="18"/>
        </w:rPr>
      </w:pPr>
      <w:r w:rsidRPr="00B514A1">
        <w:rPr>
          <w:rFonts w:ascii="Verdana" w:hAnsi="Verdana" w:cs="Arial"/>
          <w:sz w:val="18"/>
          <w:szCs w:val="18"/>
        </w:rPr>
        <w:t xml:space="preserve">En Europe, le marché </w:t>
      </w:r>
      <w:r w:rsidRPr="007E57F1">
        <w:rPr>
          <w:rFonts w:ascii="Verdana" w:hAnsi="Verdana" w:cs="Arial"/>
          <w:sz w:val="18"/>
          <w:szCs w:val="18"/>
        </w:rPr>
        <w:t xml:space="preserve">augmente de </w:t>
      </w:r>
      <w:r w:rsidR="00803EB8" w:rsidRPr="007E57F1">
        <w:rPr>
          <w:rFonts w:ascii="Verdana" w:hAnsi="Verdana" w:cs="Arial"/>
          <w:sz w:val="18"/>
          <w:szCs w:val="18"/>
        </w:rPr>
        <w:t>1</w:t>
      </w:r>
      <w:r w:rsidR="007B0298" w:rsidRPr="007E57F1">
        <w:rPr>
          <w:rFonts w:ascii="Verdana" w:hAnsi="Verdana" w:cs="Arial"/>
          <w:sz w:val="18"/>
          <w:szCs w:val="18"/>
        </w:rPr>
        <w:t> </w:t>
      </w:r>
      <w:r w:rsidRPr="007E57F1">
        <w:rPr>
          <w:rFonts w:ascii="Verdana" w:hAnsi="Verdana" w:cs="Arial"/>
          <w:sz w:val="18"/>
          <w:szCs w:val="18"/>
        </w:rPr>
        <w:t>%</w:t>
      </w:r>
      <w:r w:rsidR="00803EB8" w:rsidRPr="007E57F1">
        <w:rPr>
          <w:rFonts w:ascii="Verdana" w:hAnsi="Verdana" w:cs="Arial"/>
          <w:sz w:val="18"/>
          <w:szCs w:val="18"/>
        </w:rPr>
        <w:t xml:space="preserve"> sur l’année</w:t>
      </w:r>
      <w:r w:rsidRPr="007E57F1">
        <w:rPr>
          <w:rFonts w:ascii="Verdana" w:hAnsi="Verdana" w:cs="Arial"/>
          <w:sz w:val="18"/>
          <w:szCs w:val="18"/>
        </w:rPr>
        <w:t xml:space="preserve">, </w:t>
      </w:r>
      <w:r w:rsidR="00803EB8" w:rsidRPr="007E57F1">
        <w:rPr>
          <w:rFonts w:ascii="Verdana" w:hAnsi="Verdana" w:cs="Arial"/>
          <w:sz w:val="18"/>
          <w:szCs w:val="18"/>
        </w:rPr>
        <w:t>malgré un ralentissement au 2</w:t>
      </w:r>
      <w:r w:rsidR="00803EB8" w:rsidRPr="007E57F1">
        <w:rPr>
          <w:rFonts w:ascii="Verdana" w:hAnsi="Verdana" w:cs="Arial"/>
          <w:sz w:val="18"/>
          <w:szCs w:val="18"/>
          <w:vertAlign w:val="superscript"/>
        </w:rPr>
        <w:t>nd</w:t>
      </w:r>
      <w:r w:rsidR="00803EB8" w:rsidRPr="007E57F1">
        <w:rPr>
          <w:rFonts w:ascii="Verdana" w:hAnsi="Verdana" w:cs="Arial"/>
          <w:sz w:val="18"/>
          <w:szCs w:val="18"/>
        </w:rPr>
        <w:t xml:space="preserve"> semestre</w:t>
      </w:r>
      <w:r w:rsidR="007E57F1">
        <w:rPr>
          <w:rFonts w:ascii="Verdana" w:hAnsi="Verdana" w:cs="Arial"/>
          <w:sz w:val="18"/>
          <w:szCs w:val="18"/>
        </w:rPr>
        <w:t>. E</w:t>
      </w:r>
      <w:r w:rsidR="00676639" w:rsidRPr="007E57F1">
        <w:rPr>
          <w:rFonts w:ascii="Verdana" w:hAnsi="Verdana" w:cs="Arial"/>
          <w:sz w:val="18"/>
          <w:szCs w:val="18"/>
        </w:rPr>
        <w:t>n Europe de l’Ouest</w:t>
      </w:r>
      <w:r w:rsidR="007E57F1" w:rsidRPr="007E57F1">
        <w:rPr>
          <w:rFonts w:ascii="Verdana" w:hAnsi="Verdana" w:cs="Arial"/>
          <w:sz w:val="18"/>
          <w:szCs w:val="18"/>
        </w:rPr>
        <w:t xml:space="preserve">, la hausse de </w:t>
      </w:r>
      <w:r w:rsidR="00676639" w:rsidRPr="007E57F1">
        <w:rPr>
          <w:rFonts w:ascii="Verdana" w:hAnsi="Verdana" w:cs="Arial"/>
          <w:sz w:val="18"/>
          <w:szCs w:val="18"/>
        </w:rPr>
        <w:t>+ </w:t>
      </w:r>
      <w:r w:rsidR="007B0298" w:rsidRPr="007E57F1">
        <w:rPr>
          <w:rFonts w:ascii="Verdana" w:hAnsi="Verdana" w:cs="Arial"/>
          <w:sz w:val="18"/>
          <w:szCs w:val="18"/>
        </w:rPr>
        <w:t>1</w:t>
      </w:r>
      <w:r w:rsidRPr="007E57F1">
        <w:rPr>
          <w:rFonts w:ascii="Verdana" w:hAnsi="Verdana" w:cs="Arial"/>
          <w:sz w:val="18"/>
          <w:szCs w:val="18"/>
        </w:rPr>
        <w:t> %</w:t>
      </w:r>
      <w:r w:rsidR="007E57F1" w:rsidRPr="007E57F1">
        <w:rPr>
          <w:rFonts w:ascii="Verdana" w:hAnsi="Verdana" w:cs="Arial"/>
          <w:sz w:val="18"/>
          <w:szCs w:val="18"/>
        </w:rPr>
        <w:t xml:space="preserve"> </w:t>
      </w:r>
      <w:r w:rsidR="007E57F1">
        <w:rPr>
          <w:rFonts w:ascii="Verdana" w:hAnsi="Verdana" w:cs="Arial"/>
          <w:sz w:val="18"/>
          <w:szCs w:val="18"/>
        </w:rPr>
        <w:t>combine</w:t>
      </w:r>
      <w:r w:rsidR="007E57F1" w:rsidRPr="007E57F1">
        <w:rPr>
          <w:rFonts w:ascii="Verdana" w:hAnsi="Verdana" w:cs="Arial"/>
          <w:sz w:val="18"/>
          <w:szCs w:val="18"/>
        </w:rPr>
        <w:t xml:space="preserve"> une tendance à la baisse sur le segment tracteurs et une croissance pour les remorques ; </w:t>
      </w:r>
      <w:r w:rsidRPr="007E57F1">
        <w:rPr>
          <w:rFonts w:ascii="Verdana" w:hAnsi="Verdana" w:cs="Arial"/>
          <w:sz w:val="18"/>
          <w:szCs w:val="18"/>
        </w:rPr>
        <w:t>en Europe orientale (</w:t>
      </w:r>
      <w:r w:rsidR="007E57F1" w:rsidRPr="007E57F1">
        <w:rPr>
          <w:rFonts w:ascii="Verdana" w:hAnsi="Verdana" w:cs="Arial"/>
          <w:sz w:val="18"/>
          <w:szCs w:val="18"/>
        </w:rPr>
        <w:t>+</w:t>
      </w:r>
      <w:r w:rsidRPr="007E57F1">
        <w:rPr>
          <w:rFonts w:ascii="Verdana" w:hAnsi="Verdana" w:cs="Arial"/>
          <w:sz w:val="18"/>
          <w:szCs w:val="18"/>
        </w:rPr>
        <w:t> </w:t>
      </w:r>
      <w:r w:rsidR="007E57F1" w:rsidRPr="007E57F1">
        <w:rPr>
          <w:rFonts w:ascii="Verdana" w:hAnsi="Verdana" w:cs="Arial"/>
          <w:sz w:val="18"/>
          <w:szCs w:val="18"/>
        </w:rPr>
        <w:t>3</w:t>
      </w:r>
      <w:r w:rsidRPr="007E57F1">
        <w:rPr>
          <w:rFonts w:ascii="Verdana" w:hAnsi="Verdana" w:cs="Arial"/>
          <w:sz w:val="18"/>
          <w:szCs w:val="18"/>
        </w:rPr>
        <w:t> %)</w:t>
      </w:r>
      <w:r w:rsidR="007E57F1">
        <w:rPr>
          <w:rFonts w:ascii="Verdana" w:hAnsi="Verdana" w:cs="Arial"/>
          <w:sz w:val="18"/>
          <w:szCs w:val="18"/>
        </w:rPr>
        <w:t>, la demande affiche des premiers signaux positifs, dans un marché qui reste historiquement bas</w:t>
      </w:r>
      <w:r w:rsidRPr="00B514A1">
        <w:rPr>
          <w:rFonts w:ascii="Verdana" w:hAnsi="Verdana" w:cs="Arial"/>
          <w:sz w:val="18"/>
          <w:szCs w:val="18"/>
        </w:rPr>
        <w:t>.</w:t>
      </w:r>
    </w:p>
    <w:p w:rsidR="004F5E07" w:rsidRPr="00B514A1" w:rsidRDefault="007970E1" w:rsidP="004F5E07">
      <w:pPr>
        <w:numPr>
          <w:ilvl w:val="1"/>
          <w:numId w:val="4"/>
        </w:numPr>
        <w:spacing w:after="60"/>
        <w:jc w:val="both"/>
        <w:rPr>
          <w:rFonts w:ascii="Verdana" w:hAnsi="Verdana" w:cs="Arial"/>
          <w:sz w:val="18"/>
          <w:szCs w:val="18"/>
        </w:rPr>
      </w:pPr>
      <w:r w:rsidRPr="00B514A1">
        <w:rPr>
          <w:rFonts w:ascii="Verdana" w:hAnsi="Verdana" w:cs="Arial"/>
          <w:sz w:val="18"/>
          <w:szCs w:val="18"/>
        </w:rPr>
        <w:t xml:space="preserve">En Amérique du Nord, </w:t>
      </w:r>
      <w:r w:rsidR="004F5E07" w:rsidRPr="00B514A1">
        <w:rPr>
          <w:rFonts w:ascii="Verdana" w:hAnsi="Verdana" w:cs="Arial"/>
          <w:sz w:val="18"/>
          <w:szCs w:val="18"/>
        </w:rPr>
        <w:t xml:space="preserve">le marché </w:t>
      </w:r>
      <w:r w:rsidR="00685825">
        <w:rPr>
          <w:rFonts w:ascii="Verdana" w:hAnsi="Verdana" w:cs="Arial"/>
          <w:sz w:val="18"/>
          <w:szCs w:val="18"/>
        </w:rPr>
        <w:t xml:space="preserve">chute de 19 %, comme attendu, après le rajeunissement des flottes de camions observé </w:t>
      </w:r>
      <w:r w:rsidR="00CA10F0">
        <w:rPr>
          <w:rFonts w:ascii="Verdana" w:hAnsi="Verdana" w:cs="Arial"/>
          <w:sz w:val="18"/>
          <w:szCs w:val="18"/>
        </w:rPr>
        <w:t xml:space="preserve">pendant </w:t>
      </w:r>
      <w:r w:rsidR="00685825">
        <w:rPr>
          <w:rFonts w:ascii="Verdana" w:hAnsi="Verdana" w:cs="Arial"/>
          <w:sz w:val="18"/>
          <w:szCs w:val="18"/>
        </w:rPr>
        <w:t>ces dernières années</w:t>
      </w:r>
      <w:r w:rsidR="001B6A93">
        <w:rPr>
          <w:rFonts w:ascii="Verdana" w:hAnsi="Verdana" w:cs="Arial"/>
          <w:sz w:val="18"/>
          <w:szCs w:val="18"/>
        </w:rPr>
        <w:t>.</w:t>
      </w:r>
    </w:p>
    <w:p w:rsidR="002C6F8B" w:rsidRPr="002C6F8B" w:rsidRDefault="007970E1" w:rsidP="002C6F8B">
      <w:pPr>
        <w:numPr>
          <w:ilvl w:val="1"/>
          <w:numId w:val="4"/>
        </w:numPr>
        <w:spacing w:after="60"/>
        <w:jc w:val="both"/>
        <w:rPr>
          <w:rFonts w:ascii="Arial" w:hAnsi="Arial" w:cs="Arial"/>
          <w:smallCaps/>
          <w:sz w:val="18"/>
          <w:szCs w:val="18"/>
          <w:u w:val="single"/>
        </w:rPr>
      </w:pPr>
      <w:r w:rsidRPr="00B514A1">
        <w:rPr>
          <w:rFonts w:ascii="Verdana" w:hAnsi="Verdana" w:cs="Arial"/>
          <w:sz w:val="18"/>
          <w:szCs w:val="18"/>
        </w:rPr>
        <w:t xml:space="preserve">En Asie (hors Inde), </w:t>
      </w:r>
      <w:r w:rsidR="0036021E" w:rsidRPr="00B514A1">
        <w:rPr>
          <w:rFonts w:ascii="Verdana" w:hAnsi="Verdana" w:cs="Arial"/>
          <w:sz w:val="18"/>
          <w:szCs w:val="18"/>
        </w:rPr>
        <w:t xml:space="preserve">la demande </w:t>
      </w:r>
      <w:proofErr w:type="gramStart"/>
      <w:r w:rsidR="0036021E" w:rsidRPr="00B514A1">
        <w:rPr>
          <w:rFonts w:ascii="Verdana" w:hAnsi="Verdana" w:cs="Arial"/>
          <w:sz w:val="18"/>
          <w:szCs w:val="18"/>
        </w:rPr>
        <w:t>radial</w:t>
      </w:r>
      <w:proofErr w:type="gramEnd"/>
      <w:r w:rsidR="0036021E" w:rsidRPr="00B514A1">
        <w:rPr>
          <w:rFonts w:ascii="Verdana" w:hAnsi="Verdana" w:cs="Arial"/>
          <w:sz w:val="18"/>
          <w:szCs w:val="18"/>
        </w:rPr>
        <w:t xml:space="preserve"> et </w:t>
      </w:r>
      <w:proofErr w:type="spellStart"/>
      <w:r w:rsidR="0036021E" w:rsidRPr="00B514A1">
        <w:rPr>
          <w:rFonts w:ascii="Verdana" w:hAnsi="Verdana" w:cs="Arial"/>
          <w:i/>
          <w:sz w:val="18"/>
          <w:szCs w:val="18"/>
        </w:rPr>
        <w:t>bias</w:t>
      </w:r>
      <w:proofErr w:type="spellEnd"/>
      <w:r w:rsidR="0036021E" w:rsidRPr="00B514A1">
        <w:rPr>
          <w:rFonts w:ascii="Verdana" w:hAnsi="Verdana" w:cs="Arial"/>
          <w:sz w:val="18"/>
          <w:szCs w:val="18"/>
        </w:rPr>
        <w:t xml:space="preserve"> </w:t>
      </w:r>
      <w:r w:rsidR="00C60ADC" w:rsidRPr="00E70717">
        <w:rPr>
          <w:rFonts w:ascii="Verdana" w:hAnsi="Verdana" w:cs="Arial"/>
          <w:sz w:val="18"/>
          <w:szCs w:val="18"/>
        </w:rPr>
        <w:t>progresse</w:t>
      </w:r>
      <w:r w:rsidR="0036021E" w:rsidRPr="00E70717">
        <w:rPr>
          <w:rFonts w:ascii="Verdana" w:hAnsi="Verdana" w:cs="Arial"/>
          <w:sz w:val="18"/>
          <w:szCs w:val="18"/>
        </w:rPr>
        <w:t xml:space="preserve"> de </w:t>
      </w:r>
      <w:r w:rsidR="00C60ADC" w:rsidRPr="00E70717">
        <w:rPr>
          <w:rFonts w:ascii="Verdana" w:hAnsi="Verdana" w:cs="Arial"/>
          <w:sz w:val="18"/>
          <w:szCs w:val="18"/>
        </w:rPr>
        <w:t>6</w:t>
      </w:r>
      <w:r w:rsidR="0036021E" w:rsidRPr="00E70717">
        <w:rPr>
          <w:rFonts w:ascii="Verdana" w:hAnsi="Verdana" w:cs="Arial"/>
          <w:sz w:val="18"/>
          <w:szCs w:val="18"/>
        </w:rPr>
        <w:t xml:space="preserve"> %</w:t>
      </w:r>
      <w:r w:rsidR="00C60ADC" w:rsidRPr="00E70717">
        <w:rPr>
          <w:rFonts w:ascii="Verdana" w:hAnsi="Verdana" w:cs="Arial"/>
          <w:sz w:val="18"/>
          <w:szCs w:val="18"/>
        </w:rPr>
        <w:t xml:space="preserve">, tirée par </w:t>
      </w:r>
      <w:r w:rsidR="005C6640">
        <w:rPr>
          <w:rFonts w:ascii="Verdana" w:hAnsi="Verdana" w:cs="Arial"/>
          <w:sz w:val="18"/>
          <w:szCs w:val="18"/>
        </w:rPr>
        <w:t>la</w:t>
      </w:r>
      <w:r w:rsidR="005C6640" w:rsidRPr="00E70717">
        <w:rPr>
          <w:rFonts w:ascii="Verdana" w:hAnsi="Verdana" w:cs="Arial"/>
          <w:sz w:val="18"/>
          <w:szCs w:val="18"/>
        </w:rPr>
        <w:t xml:space="preserve"> </w:t>
      </w:r>
      <w:r w:rsidR="00C60ADC" w:rsidRPr="00E70717">
        <w:rPr>
          <w:rFonts w:ascii="Verdana" w:hAnsi="Verdana" w:cs="Arial"/>
          <w:sz w:val="18"/>
          <w:szCs w:val="18"/>
        </w:rPr>
        <w:t>hausse d</w:t>
      </w:r>
      <w:r w:rsidR="005C6640">
        <w:rPr>
          <w:rFonts w:ascii="Verdana" w:hAnsi="Verdana" w:cs="Arial"/>
          <w:sz w:val="18"/>
          <w:szCs w:val="18"/>
        </w:rPr>
        <w:t>u</w:t>
      </w:r>
      <w:r w:rsidR="00C60ADC" w:rsidRPr="00E70717">
        <w:rPr>
          <w:rFonts w:ascii="Verdana" w:hAnsi="Verdana" w:cs="Arial"/>
          <w:sz w:val="18"/>
          <w:szCs w:val="18"/>
        </w:rPr>
        <w:t xml:space="preserve"> marchés chinois </w:t>
      </w:r>
      <w:r w:rsidR="00E70717" w:rsidRPr="00E70717">
        <w:rPr>
          <w:rFonts w:ascii="Verdana" w:hAnsi="Verdana" w:cs="Arial"/>
          <w:sz w:val="18"/>
          <w:szCs w:val="18"/>
        </w:rPr>
        <w:t>(+ 9 %), tandis que le marché recule au Japon (- 7 %) et en Thaïlande (- 3 %)</w:t>
      </w:r>
      <w:r w:rsidR="0036021E" w:rsidRPr="00E70717">
        <w:rPr>
          <w:rFonts w:ascii="Verdana" w:hAnsi="Verdana" w:cs="Arial"/>
          <w:sz w:val="18"/>
          <w:szCs w:val="18"/>
        </w:rPr>
        <w:t xml:space="preserve">. </w:t>
      </w:r>
      <w:r w:rsidR="002C6F8B">
        <w:rPr>
          <w:rFonts w:ascii="Verdana" w:hAnsi="Verdana" w:cs="Arial"/>
          <w:sz w:val="18"/>
          <w:szCs w:val="18"/>
        </w:rPr>
        <w:t xml:space="preserve">En Chine, la demande s’affiche en rebond depuis l’automne en raison </w:t>
      </w:r>
      <w:r w:rsidR="00CA10F0">
        <w:rPr>
          <w:rFonts w:ascii="Verdana" w:hAnsi="Verdana" w:cs="Arial"/>
          <w:sz w:val="18"/>
          <w:szCs w:val="18"/>
        </w:rPr>
        <w:t xml:space="preserve">de l’arrivée de nouveaux acteurs et </w:t>
      </w:r>
      <w:r w:rsidR="002C6F8B">
        <w:rPr>
          <w:rFonts w:ascii="Verdana" w:hAnsi="Verdana" w:cs="Arial"/>
          <w:sz w:val="18"/>
          <w:szCs w:val="18"/>
        </w:rPr>
        <w:t>d</w:t>
      </w:r>
      <w:r w:rsidR="00CA10F0">
        <w:rPr>
          <w:rFonts w:ascii="Verdana" w:hAnsi="Verdana" w:cs="Arial"/>
          <w:sz w:val="18"/>
          <w:szCs w:val="18"/>
        </w:rPr>
        <w:t>e l’application de la</w:t>
      </w:r>
      <w:r w:rsidR="002C6F8B">
        <w:rPr>
          <w:rFonts w:ascii="Verdana" w:hAnsi="Verdana" w:cs="Arial"/>
          <w:sz w:val="18"/>
          <w:szCs w:val="18"/>
        </w:rPr>
        <w:t xml:space="preserve"> réglementation </w:t>
      </w:r>
      <w:r w:rsidR="00CA10F0">
        <w:rPr>
          <w:rFonts w:ascii="Verdana" w:hAnsi="Verdana" w:cs="Arial"/>
          <w:sz w:val="18"/>
          <w:szCs w:val="18"/>
        </w:rPr>
        <w:t xml:space="preserve">portant sur </w:t>
      </w:r>
      <w:r w:rsidR="002C6F8B">
        <w:rPr>
          <w:rFonts w:ascii="Verdana" w:hAnsi="Verdana" w:cs="Arial"/>
          <w:sz w:val="18"/>
          <w:szCs w:val="18"/>
        </w:rPr>
        <w:t>la charge et la taille des véhicules poids lourd</w:t>
      </w:r>
      <w:r w:rsidR="00CA10F0">
        <w:rPr>
          <w:rFonts w:ascii="Verdana" w:hAnsi="Verdana" w:cs="Arial"/>
          <w:sz w:val="18"/>
          <w:szCs w:val="18"/>
        </w:rPr>
        <w:t>,</w:t>
      </w:r>
      <w:r w:rsidR="002C6F8B">
        <w:rPr>
          <w:rFonts w:ascii="Verdana" w:hAnsi="Verdana" w:cs="Arial"/>
          <w:sz w:val="18"/>
          <w:szCs w:val="18"/>
        </w:rPr>
        <w:t xml:space="preserve"> qui devrait conduire à un renouvellement significatif du parc.</w:t>
      </w:r>
    </w:p>
    <w:p w:rsidR="00984D9C" w:rsidRPr="00984D9C" w:rsidRDefault="007970E1" w:rsidP="00CA10F0">
      <w:pPr>
        <w:numPr>
          <w:ilvl w:val="1"/>
          <w:numId w:val="4"/>
        </w:numPr>
        <w:spacing w:after="60"/>
        <w:jc w:val="both"/>
        <w:rPr>
          <w:rFonts w:ascii="Arial" w:hAnsi="Arial" w:cs="Arial"/>
          <w:smallCaps/>
          <w:sz w:val="18"/>
          <w:szCs w:val="18"/>
          <w:u w:val="single"/>
        </w:rPr>
      </w:pPr>
      <w:r w:rsidRPr="00B514A1">
        <w:rPr>
          <w:rFonts w:ascii="Verdana" w:hAnsi="Verdana" w:cs="Arial"/>
          <w:sz w:val="18"/>
          <w:szCs w:val="18"/>
        </w:rPr>
        <w:t xml:space="preserve">En Amérique du Sud, </w:t>
      </w:r>
      <w:r w:rsidR="00BC2998" w:rsidRPr="00B514A1">
        <w:rPr>
          <w:rFonts w:ascii="Verdana" w:hAnsi="Verdana" w:cs="Arial"/>
          <w:sz w:val="18"/>
          <w:szCs w:val="18"/>
        </w:rPr>
        <w:t xml:space="preserve">le marché </w:t>
      </w:r>
      <w:r w:rsidR="00611A57">
        <w:rPr>
          <w:rFonts w:ascii="Verdana" w:hAnsi="Verdana" w:cs="Arial"/>
          <w:sz w:val="18"/>
          <w:szCs w:val="18"/>
        </w:rPr>
        <w:t>qui connait une amorce de stabilisation sur la 2</w:t>
      </w:r>
      <w:r w:rsidR="00611A57" w:rsidRPr="00611A57">
        <w:rPr>
          <w:rFonts w:ascii="Verdana" w:hAnsi="Verdana" w:cs="Arial"/>
          <w:sz w:val="18"/>
          <w:szCs w:val="18"/>
          <w:vertAlign w:val="superscript"/>
        </w:rPr>
        <w:t>ème</w:t>
      </w:r>
      <w:r w:rsidR="00611A57">
        <w:rPr>
          <w:rFonts w:ascii="Verdana" w:hAnsi="Verdana" w:cs="Arial"/>
          <w:sz w:val="18"/>
          <w:szCs w:val="18"/>
        </w:rPr>
        <w:t xml:space="preserve"> moitié de l’année, </w:t>
      </w:r>
      <w:r w:rsidR="00BC2998" w:rsidRPr="00611A57">
        <w:rPr>
          <w:rFonts w:ascii="Verdana" w:hAnsi="Verdana" w:cs="Arial"/>
          <w:sz w:val="18"/>
          <w:szCs w:val="18"/>
        </w:rPr>
        <w:t xml:space="preserve">s’inscrit en recul de </w:t>
      </w:r>
      <w:r w:rsidR="00611A57" w:rsidRPr="00611A57">
        <w:rPr>
          <w:rFonts w:ascii="Verdana" w:hAnsi="Verdana" w:cs="Arial"/>
          <w:sz w:val="18"/>
          <w:szCs w:val="18"/>
        </w:rPr>
        <w:t>17</w:t>
      </w:r>
      <w:r w:rsidR="00CB38E3">
        <w:rPr>
          <w:rFonts w:ascii="Verdana" w:hAnsi="Verdana" w:cs="Arial"/>
          <w:sz w:val="18"/>
          <w:szCs w:val="18"/>
        </w:rPr>
        <w:t> </w:t>
      </w:r>
      <w:r w:rsidR="00BC2998" w:rsidRPr="00611A57">
        <w:rPr>
          <w:rFonts w:ascii="Verdana" w:hAnsi="Verdana" w:cs="Arial"/>
          <w:sz w:val="18"/>
          <w:szCs w:val="18"/>
        </w:rPr>
        <w:t>%</w:t>
      </w:r>
      <w:r w:rsidR="00BC2998" w:rsidRPr="009B38A3">
        <w:rPr>
          <w:rFonts w:ascii="Verdana" w:hAnsi="Verdana" w:cs="Arial"/>
          <w:sz w:val="18"/>
          <w:szCs w:val="18"/>
        </w:rPr>
        <w:t>. Au Brésil, le marché (-</w:t>
      </w:r>
      <w:r w:rsidR="00CB38E3">
        <w:rPr>
          <w:rFonts w:ascii="Verdana" w:hAnsi="Verdana" w:cs="Arial"/>
          <w:sz w:val="18"/>
          <w:szCs w:val="18"/>
        </w:rPr>
        <w:t> </w:t>
      </w:r>
      <w:r w:rsidR="009B38A3" w:rsidRPr="009B38A3">
        <w:rPr>
          <w:rFonts w:ascii="Verdana" w:hAnsi="Verdana" w:cs="Arial"/>
          <w:sz w:val="18"/>
          <w:szCs w:val="18"/>
        </w:rPr>
        <w:t>17</w:t>
      </w:r>
      <w:r w:rsidR="00CB38E3">
        <w:rPr>
          <w:rFonts w:ascii="Verdana" w:hAnsi="Verdana" w:cs="Arial"/>
          <w:sz w:val="18"/>
          <w:szCs w:val="18"/>
        </w:rPr>
        <w:t> </w:t>
      </w:r>
      <w:r w:rsidR="00BC2998" w:rsidRPr="009B38A3">
        <w:rPr>
          <w:rFonts w:ascii="Verdana" w:hAnsi="Verdana" w:cs="Arial"/>
          <w:sz w:val="18"/>
          <w:szCs w:val="18"/>
        </w:rPr>
        <w:t xml:space="preserve">%) </w:t>
      </w:r>
      <w:r w:rsidR="00984D9C">
        <w:rPr>
          <w:rFonts w:ascii="Verdana" w:hAnsi="Verdana" w:cs="Arial"/>
          <w:sz w:val="18"/>
          <w:szCs w:val="18"/>
        </w:rPr>
        <w:t>affiche</w:t>
      </w:r>
      <w:r w:rsidR="00CA10F0" w:rsidRPr="00CA10F0">
        <w:rPr>
          <w:rFonts w:ascii="Verdana" w:hAnsi="Verdana" w:cs="Arial"/>
          <w:sz w:val="18"/>
          <w:szCs w:val="18"/>
        </w:rPr>
        <w:t xml:space="preserve"> des premiers signes d’amélioration sur le</w:t>
      </w:r>
      <w:r w:rsidR="00984D9C">
        <w:rPr>
          <w:rFonts w:ascii="Verdana" w:hAnsi="Verdana" w:cs="Arial"/>
          <w:sz w:val="18"/>
          <w:szCs w:val="18"/>
        </w:rPr>
        <w:t>s deux derniers mois.</w:t>
      </w:r>
    </w:p>
    <w:p w:rsidR="007970E1" w:rsidRPr="00B514A1" w:rsidRDefault="007970E1" w:rsidP="007970E1">
      <w:pPr>
        <w:spacing w:after="60"/>
        <w:ind w:left="1080"/>
        <w:jc w:val="both"/>
        <w:rPr>
          <w:rFonts w:ascii="Arial" w:hAnsi="Arial" w:cs="Arial"/>
          <w:smallCaps/>
          <w:sz w:val="18"/>
          <w:szCs w:val="18"/>
          <w:u w:val="single"/>
        </w:rPr>
      </w:pPr>
    </w:p>
    <w:p w:rsidR="007970E1" w:rsidRPr="00B514A1" w:rsidRDefault="007970E1" w:rsidP="007970E1">
      <w:pPr>
        <w:spacing w:after="60"/>
        <w:ind w:left="1080"/>
        <w:jc w:val="both"/>
        <w:rPr>
          <w:rFonts w:ascii="Arial" w:hAnsi="Arial" w:cs="Arial"/>
          <w:smallCaps/>
          <w:sz w:val="18"/>
          <w:szCs w:val="18"/>
          <w:u w:val="single"/>
        </w:rPr>
      </w:pPr>
    </w:p>
    <w:p w:rsidR="007970E1" w:rsidRPr="00B514A1" w:rsidRDefault="007970E1" w:rsidP="007970E1">
      <w:pPr>
        <w:numPr>
          <w:ilvl w:val="0"/>
          <w:numId w:val="4"/>
        </w:numPr>
        <w:tabs>
          <w:tab w:val="clear" w:pos="360"/>
          <w:tab w:val="num" w:pos="709"/>
        </w:tabs>
        <w:spacing w:after="60"/>
        <w:ind w:firstLine="66"/>
        <w:jc w:val="both"/>
        <w:rPr>
          <w:rFonts w:ascii="Arial" w:hAnsi="Arial" w:cs="Arial"/>
          <w:b/>
          <w:smallCaps/>
          <w:sz w:val="18"/>
          <w:szCs w:val="18"/>
          <w:u w:val="single"/>
        </w:rPr>
      </w:pPr>
      <w:r w:rsidRPr="00B514A1">
        <w:rPr>
          <w:rFonts w:ascii="Verdana" w:hAnsi="Verdana" w:cs="Arial"/>
          <w:b/>
          <w:smallCaps/>
          <w:sz w:val="18"/>
          <w:szCs w:val="18"/>
        </w:rPr>
        <w:t>Remplacement</w:t>
      </w:r>
    </w:p>
    <w:p w:rsidR="007F6DBD" w:rsidRPr="00B514A1" w:rsidRDefault="007970E1" w:rsidP="00010AFE">
      <w:pPr>
        <w:numPr>
          <w:ilvl w:val="1"/>
          <w:numId w:val="4"/>
        </w:numPr>
        <w:spacing w:after="60"/>
        <w:jc w:val="both"/>
        <w:rPr>
          <w:rFonts w:ascii="Verdana" w:hAnsi="Verdana" w:cs="Arial"/>
          <w:sz w:val="18"/>
          <w:szCs w:val="18"/>
        </w:rPr>
      </w:pPr>
      <w:r w:rsidRPr="00B514A1">
        <w:rPr>
          <w:rFonts w:ascii="Verdana" w:hAnsi="Verdana" w:cs="Arial"/>
          <w:sz w:val="18"/>
          <w:szCs w:val="18"/>
        </w:rPr>
        <w:t xml:space="preserve">En Europe, </w:t>
      </w:r>
      <w:r w:rsidR="007F6DBD" w:rsidRPr="00B514A1">
        <w:rPr>
          <w:rFonts w:ascii="Verdana" w:hAnsi="Verdana" w:cs="Arial"/>
          <w:sz w:val="18"/>
          <w:szCs w:val="18"/>
        </w:rPr>
        <w:t xml:space="preserve">le </w:t>
      </w:r>
      <w:r w:rsidR="007F6DBD" w:rsidRPr="00E82157">
        <w:rPr>
          <w:rFonts w:ascii="Verdana" w:hAnsi="Verdana" w:cs="Arial"/>
          <w:sz w:val="18"/>
          <w:szCs w:val="18"/>
        </w:rPr>
        <w:t xml:space="preserve">marché augmente de </w:t>
      </w:r>
      <w:r w:rsidR="00E82157" w:rsidRPr="00E82157">
        <w:rPr>
          <w:rFonts w:ascii="Verdana" w:hAnsi="Verdana" w:cs="Arial"/>
          <w:sz w:val="18"/>
          <w:szCs w:val="18"/>
        </w:rPr>
        <w:t>5</w:t>
      </w:r>
      <w:r w:rsidR="007F6DBD" w:rsidRPr="00E82157">
        <w:rPr>
          <w:rFonts w:ascii="Verdana" w:hAnsi="Verdana" w:cs="Arial"/>
          <w:sz w:val="18"/>
          <w:szCs w:val="18"/>
        </w:rPr>
        <w:t xml:space="preserve"> % </w:t>
      </w:r>
      <w:r w:rsidR="00A34331" w:rsidRPr="00E82157">
        <w:rPr>
          <w:rFonts w:ascii="Verdana" w:hAnsi="Verdana" w:cs="Arial"/>
          <w:sz w:val="18"/>
          <w:szCs w:val="18"/>
        </w:rPr>
        <w:t>sur l’</w:t>
      </w:r>
      <w:r w:rsidR="007F6DBD" w:rsidRPr="00E82157">
        <w:rPr>
          <w:rFonts w:ascii="Verdana" w:hAnsi="Verdana" w:cs="Arial"/>
          <w:sz w:val="18"/>
          <w:szCs w:val="18"/>
        </w:rPr>
        <w:t xml:space="preserve">année avec une moindre baisse du marché </w:t>
      </w:r>
      <w:r w:rsidR="00B868EC">
        <w:rPr>
          <w:rFonts w:ascii="Verdana" w:hAnsi="Verdana" w:cs="Arial"/>
          <w:sz w:val="18"/>
          <w:szCs w:val="18"/>
        </w:rPr>
        <w:t>r</w:t>
      </w:r>
      <w:r w:rsidR="007F6DBD" w:rsidRPr="00E82157">
        <w:rPr>
          <w:rFonts w:ascii="Verdana" w:hAnsi="Verdana" w:cs="Arial"/>
          <w:sz w:val="18"/>
          <w:szCs w:val="18"/>
        </w:rPr>
        <w:t>usse au 2</w:t>
      </w:r>
      <w:r w:rsidR="007F6DBD" w:rsidRPr="00E82157">
        <w:rPr>
          <w:rFonts w:ascii="Verdana" w:hAnsi="Verdana" w:cs="Arial"/>
          <w:sz w:val="18"/>
          <w:szCs w:val="18"/>
          <w:vertAlign w:val="superscript"/>
        </w:rPr>
        <w:t>ème</w:t>
      </w:r>
      <w:r w:rsidR="007F6DBD" w:rsidRPr="00E82157">
        <w:rPr>
          <w:rFonts w:ascii="Verdana" w:hAnsi="Verdana" w:cs="Arial"/>
          <w:sz w:val="18"/>
          <w:szCs w:val="18"/>
        </w:rPr>
        <w:t xml:space="preserve"> semestre. En Europe de l’Ouest (+ </w:t>
      </w:r>
      <w:r w:rsidR="00E82157" w:rsidRPr="00E82157">
        <w:rPr>
          <w:rFonts w:ascii="Verdana" w:hAnsi="Verdana" w:cs="Arial"/>
          <w:sz w:val="18"/>
          <w:szCs w:val="18"/>
        </w:rPr>
        <w:t>6</w:t>
      </w:r>
      <w:r w:rsidR="007F6DBD" w:rsidRPr="00E82157">
        <w:rPr>
          <w:rFonts w:ascii="Verdana" w:hAnsi="Verdana" w:cs="Arial"/>
          <w:sz w:val="18"/>
          <w:szCs w:val="18"/>
        </w:rPr>
        <w:t xml:space="preserve"> %), </w:t>
      </w:r>
      <w:r w:rsidR="00E82157" w:rsidRPr="00E82157">
        <w:rPr>
          <w:rFonts w:ascii="Verdana" w:hAnsi="Verdana" w:cs="Arial"/>
          <w:sz w:val="18"/>
          <w:szCs w:val="18"/>
        </w:rPr>
        <w:t xml:space="preserve">le fort rebond du marché est alimenté par l’évolution favorable du fret (tonne/km) </w:t>
      </w:r>
      <w:r w:rsidR="00E82157">
        <w:rPr>
          <w:rFonts w:ascii="Verdana" w:hAnsi="Verdana" w:cs="Arial"/>
          <w:sz w:val="18"/>
          <w:szCs w:val="18"/>
        </w:rPr>
        <w:t xml:space="preserve">ainsi </w:t>
      </w:r>
      <w:r w:rsidR="00E82157" w:rsidRPr="00E82157">
        <w:rPr>
          <w:rFonts w:ascii="Verdana" w:hAnsi="Verdana" w:cs="Arial"/>
          <w:sz w:val="18"/>
          <w:szCs w:val="18"/>
        </w:rPr>
        <w:t xml:space="preserve">que </w:t>
      </w:r>
      <w:r w:rsidR="00282A7C" w:rsidRPr="00E82157">
        <w:rPr>
          <w:rFonts w:ascii="Verdana" w:hAnsi="Verdana" w:cs="Arial"/>
          <w:sz w:val="18"/>
          <w:szCs w:val="18"/>
        </w:rPr>
        <w:t>la</w:t>
      </w:r>
      <w:r w:rsidR="00FE6F4B" w:rsidRPr="00E82157">
        <w:rPr>
          <w:rFonts w:ascii="Verdana" w:hAnsi="Verdana" w:cs="Arial"/>
          <w:sz w:val="18"/>
          <w:szCs w:val="18"/>
        </w:rPr>
        <w:t xml:space="preserve"> </w:t>
      </w:r>
      <w:r w:rsidR="009D6DEB" w:rsidRPr="00E82157">
        <w:rPr>
          <w:rFonts w:ascii="Verdana" w:hAnsi="Verdana" w:cs="Arial"/>
          <w:sz w:val="18"/>
          <w:szCs w:val="18"/>
        </w:rPr>
        <w:t xml:space="preserve">croissance </w:t>
      </w:r>
      <w:r w:rsidR="00FE6F4B" w:rsidRPr="00E82157">
        <w:rPr>
          <w:rFonts w:ascii="Verdana" w:hAnsi="Verdana" w:cs="Arial"/>
          <w:sz w:val="18"/>
          <w:szCs w:val="18"/>
        </w:rPr>
        <w:t>des pneus à bas</w:t>
      </w:r>
      <w:r w:rsidR="00CF5CE1" w:rsidRPr="00E82157">
        <w:rPr>
          <w:rFonts w:ascii="Verdana" w:hAnsi="Verdana" w:cs="Arial"/>
          <w:sz w:val="18"/>
          <w:szCs w:val="18"/>
        </w:rPr>
        <w:t xml:space="preserve"> coût d’origine a</w:t>
      </w:r>
      <w:r w:rsidR="00FE6F4B" w:rsidRPr="00E82157">
        <w:rPr>
          <w:rFonts w:ascii="Verdana" w:hAnsi="Verdana" w:cs="Arial"/>
          <w:sz w:val="18"/>
          <w:szCs w:val="18"/>
        </w:rPr>
        <w:t>s</w:t>
      </w:r>
      <w:r w:rsidR="00CF5CE1" w:rsidRPr="00E82157">
        <w:rPr>
          <w:rFonts w:ascii="Verdana" w:hAnsi="Verdana" w:cs="Arial"/>
          <w:sz w:val="18"/>
          <w:szCs w:val="18"/>
        </w:rPr>
        <w:t>i</w:t>
      </w:r>
      <w:r w:rsidR="00FE6F4B" w:rsidRPr="00E82157">
        <w:rPr>
          <w:rFonts w:ascii="Verdana" w:hAnsi="Verdana" w:cs="Arial"/>
          <w:sz w:val="18"/>
          <w:szCs w:val="18"/>
        </w:rPr>
        <w:t>atique</w:t>
      </w:r>
      <w:r w:rsidR="009D6DEB" w:rsidRPr="00E82157">
        <w:rPr>
          <w:rFonts w:ascii="Verdana" w:hAnsi="Verdana" w:cs="Arial"/>
          <w:sz w:val="18"/>
          <w:szCs w:val="18"/>
        </w:rPr>
        <w:t xml:space="preserve"> qui concurrence</w:t>
      </w:r>
      <w:r w:rsidR="00282A7C" w:rsidRPr="00E82157">
        <w:rPr>
          <w:rFonts w:ascii="Verdana" w:hAnsi="Verdana" w:cs="Arial"/>
          <w:sz w:val="18"/>
          <w:szCs w:val="18"/>
        </w:rPr>
        <w:t>nt</w:t>
      </w:r>
      <w:r w:rsidR="009D6DEB" w:rsidRPr="00E82157">
        <w:rPr>
          <w:rFonts w:ascii="Verdana" w:hAnsi="Verdana" w:cs="Arial"/>
          <w:sz w:val="18"/>
          <w:szCs w:val="18"/>
        </w:rPr>
        <w:t xml:space="preserve"> le segment rechapage</w:t>
      </w:r>
      <w:r w:rsidR="00E82157" w:rsidRPr="00E82157">
        <w:rPr>
          <w:rFonts w:ascii="Verdana" w:hAnsi="Verdana" w:cs="Arial"/>
          <w:sz w:val="18"/>
          <w:szCs w:val="18"/>
        </w:rPr>
        <w:t xml:space="preserve">. </w:t>
      </w:r>
      <w:r w:rsidR="007F6DBD" w:rsidRPr="00E82157">
        <w:rPr>
          <w:rFonts w:ascii="Verdana" w:hAnsi="Verdana" w:cs="Arial"/>
          <w:sz w:val="18"/>
          <w:szCs w:val="18"/>
        </w:rPr>
        <w:t>En Europe orientale</w:t>
      </w:r>
      <w:r w:rsidR="00E82157">
        <w:rPr>
          <w:rFonts w:ascii="Verdana" w:hAnsi="Verdana" w:cs="Arial"/>
          <w:sz w:val="18"/>
          <w:szCs w:val="18"/>
        </w:rPr>
        <w:t xml:space="preserve"> (+ 4 %),</w:t>
      </w:r>
      <w:r w:rsidR="007F6DBD" w:rsidRPr="00E82157">
        <w:rPr>
          <w:rFonts w:ascii="Verdana" w:hAnsi="Verdana" w:cs="Arial"/>
          <w:sz w:val="18"/>
          <w:szCs w:val="18"/>
        </w:rPr>
        <w:t xml:space="preserve"> le marché </w:t>
      </w:r>
      <w:r w:rsidR="00E82157">
        <w:rPr>
          <w:rFonts w:ascii="Verdana" w:hAnsi="Verdana" w:cs="Arial"/>
          <w:sz w:val="18"/>
          <w:szCs w:val="18"/>
        </w:rPr>
        <w:t xml:space="preserve">profite de la bonne dynamique des segments </w:t>
      </w:r>
      <w:proofErr w:type="spellStart"/>
      <w:r w:rsidR="00E82157" w:rsidRPr="00E82157">
        <w:rPr>
          <w:rFonts w:ascii="Verdana" w:hAnsi="Verdana" w:cs="Arial"/>
          <w:i/>
          <w:sz w:val="18"/>
          <w:szCs w:val="18"/>
        </w:rPr>
        <w:t>Intermediate</w:t>
      </w:r>
      <w:proofErr w:type="spellEnd"/>
      <w:r w:rsidR="00ED2B80" w:rsidRPr="00B514A1">
        <w:rPr>
          <w:rFonts w:ascii="Verdana" w:hAnsi="Verdana" w:cs="Arial"/>
          <w:sz w:val="18"/>
          <w:szCs w:val="18"/>
        </w:rPr>
        <w:t>.</w:t>
      </w:r>
    </w:p>
    <w:p w:rsidR="00D03B48" w:rsidRDefault="007970E1" w:rsidP="00D03B48">
      <w:pPr>
        <w:numPr>
          <w:ilvl w:val="1"/>
          <w:numId w:val="4"/>
        </w:numPr>
        <w:spacing w:after="60"/>
        <w:jc w:val="both"/>
        <w:rPr>
          <w:rFonts w:ascii="Verdana" w:hAnsi="Verdana" w:cs="Arial"/>
          <w:sz w:val="18"/>
          <w:szCs w:val="18"/>
        </w:rPr>
      </w:pPr>
      <w:r w:rsidRPr="00B514A1">
        <w:rPr>
          <w:rFonts w:ascii="Verdana" w:hAnsi="Verdana" w:cs="Arial"/>
          <w:sz w:val="18"/>
          <w:szCs w:val="18"/>
        </w:rPr>
        <w:t>En Amérique du Nord, l</w:t>
      </w:r>
      <w:r w:rsidR="00E4495B">
        <w:rPr>
          <w:rFonts w:ascii="Verdana" w:hAnsi="Verdana" w:cs="Arial"/>
          <w:sz w:val="18"/>
          <w:szCs w:val="18"/>
        </w:rPr>
        <w:t xml:space="preserve">a stabilité de la demande sur l’année reflète </w:t>
      </w:r>
      <w:r w:rsidR="00D03B48">
        <w:rPr>
          <w:rFonts w:ascii="Verdana" w:hAnsi="Verdana" w:cs="Arial"/>
          <w:sz w:val="18"/>
          <w:szCs w:val="18"/>
        </w:rPr>
        <w:t>au</w:t>
      </w:r>
      <w:r w:rsidR="00E4495B">
        <w:rPr>
          <w:rFonts w:ascii="Verdana" w:hAnsi="Verdana" w:cs="Arial"/>
          <w:sz w:val="18"/>
          <w:szCs w:val="18"/>
        </w:rPr>
        <w:t xml:space="preserve"> 1</w:t>
      </w:r>
      <w:r w:rsidR="00E4495B" w:rsidRPr="00E4495B">
        <w:rPr>
          <w:rFonts w:ascii="Verdana" w:hAnsi="Verdana" w:cs="Arial"/>
          <w:sz w:val="18"/>
          <w:szCs w:val="18"/>
          <w:vertAlign w:val="superscript"/>
        </w:rPr>
        <w:t>er</w:t>
      </w:r>
      <w:r w:rsidR="00E4495B">
        <w:rPr>
          <w:rFonts w:ascii="Verdana" w:hAnsi="Verdana" w:cs="Arial"/>
          <w:sz w:val="18"/>
          <w:szCs w:val="18"/>
        </w:rPr>
        <w:t xml:space="preserve"> semestre</w:t>
      </w:r>
      <w:r w:rsidR="00D03B48">
        <w:rPr>
          <w:rFonts w:ascii="Verdana" w:hAnsi="Verdana" w:cs="Arial"/>
          <w:sz w:val="18"/>
          <w:szCs w:val="18"/>
        </w:rPr>
        <w:t xml:space="preserve"> les </w:t>
      </w:r>
      <w:r w:rsidR="00D03B48" w:rsidRPr="00D03B48">
        <w:rPr>
          <w:rFonts w:ascii="Verdana" w:hAnsi="Verdana" w:cs="Arial"/>
          <w:sz w:val="18"/>
          <w:szCs w:val="18"/>
        </w:rPr>
        <w:t xml:space="preserve">achats d’anticipation qui ont accompagné l’annonce de nouveaux droits de douane sur les importations chinoises de pneumatiques </w:t>
      </w:r>
      <w:r w:rsidRPr="00B514A1">
        <w:rPr>
          <w:rFonts w:ascii="Verdana" w:hAnsi="Verdana" w:cs="Arial"/>
          <w:sz w:val="18"/>
          <w:szCs w:val="18"/>
        </w:rPr>
        <w:t>e</w:t>
      </w:r>
      <w:r w:rsidR="00D03B48">
        <w:rPr>
          <w:rFonts w:ascii="Verdana" w:hAnsi="Verdana" w:cs="Arial"/>
          <w:sz w:val="18"/>
          <w:szCs w:val="18"/>
        </w:rPr>
        <w:t>t leur contrecoup au 2</w:t>
      </w:r>
      <w:r w:rsidR="00D03B48" w:rsidRPr="00D03B48">
        <w:rPr>
          <w:rFonts w:ascii="Verdana" w:hAnsi="Verdana" w:cs="Arial"/>
          <w:sz w:val="18"/>
          <w:szCs w:val="18"/>
          <w:vertAlign w:val="superscript"/>
        </w:rPr>
        <w:t>nd</w:t>
      </w:r>
      <w:r w:rsidR="00D03B48">
        <w:rPr>
          <w:rFonts w:ascii="Verdana" w:hAnsi="Verdana" w:cs="Arial"/>
          <w:sz w:val="18"/>
          <w:szCs w:val="18"/>
        </w:rPr>
        <w:t xml:space="preserve"> semestre </w:t>
      </w:r>
      <w:r w:rsidR="00B264CE">
        <w:rPr>
          <w:rFonts w:ascii="Verdana" w:hAnsi="Verdana" w:cs="Arial"/>
          <w:sz w:val="18"/>
          <w:szCs w:val="18"/>
        </w:rPr>
        <w:t>en parallèle d’</w:t>
      </w:r>
      <w:r w:rsidR="00D03B48">
        <w:rPr>
          <w:rFonts w:ascii="Verdana" w:hAnsi="Verdana" w:cs="Arial"/>
          <w:sz w:val="18"/>
          <w:szCs w:val="18"/>
        </w:rPr>
        <w:t xml:space="preserve">un attentisme pré-électoral et </w:t>
      </w:r>
      <w:r w:rsidR="00B264CE">
        <w:rPr>
          <w:rFonts w:ascii="Verdana" w:hAnsi="Verdana" w:cs="Arial"/>
          <w:sz w:val="18"/>
          <w:szCs w:val="18"/>
        </w:rPr>
        <w:t xml:space="preserve">du </w:t>
      </w:r>
      <w:r w:rsidR="00D03B48">
        <w:rPr>
          <w:rFonts w:ascii="Verdana" w:hAnsi="Verdana" w:cs="Arial"/>
          <w:sz w:val="18"/>
          <w:szCs w:val="18"/>
        </w:rPr>
        <w:t>ralentissement des indicateurs macro</w:t>
      </w:r>
      <w:r w:rsidR="00712D76">
        <w:rPr>
          <w:rFonts w:ascii="Verdana" w:hAnsi="Verdana" w:cs="Arial"/>
          <w:sz w:val="18"/>
          <w:szCs w:val="18"/>
        </w:rPr>
        <w:t>-</w:t>
      </w:r>
      <w:r w:rsidR="00D03B48">
        <w:rPr>
          <w:rFonts w:ascii="Verdana" w:hAnsi="Verdana" w:cs="Arial"/>
          <w:sz w:val="18"/>
          <w:szCs w:val="18"/>
        </w:rPr>
        <w:t>économiques de la zone.</w:t>
      </w:r>
    </w:p>
    <w:p w:rsidR="00A87D12" w:rsidRPr="00B514A1" w:rsidRDefault="007970E1" w:rsidP="00844D4A">
      <w:pPr>
        <w:numPr>
          <w:ilvl w:val="1"/>
          <w:numId w:val="4"/>
        </w:numPr>
        <w:contextualSpacing/>
        <w:jc w:val="both"/>
        <w:rPr>
          <w:rFonts w:ascii="Verdana" w:hAnsi="Verdana" w:cs="Arial"/>
          <w:sz w:val="18"/>
          <w:szCs w:val="18"/>
        </w:rPr>
      </w:pPr>
      <w:r w:rsidRPr="00B514A1">
        <w:rPr>
          <w:rFonts w:ascii="Verdana" w:hAnsi="Verdana" w:cs="Arial"/>
          <w:sz w:val="18"/>
          <w:szCs w:val="18"/>
        </w:rPr>
        <w:t xml:space="preserve">Les marchés d’Asie (hors Inde) radial et </w:t>
      </w:r>
      <w:proofErr w:type="spellStart"/>
      <w:r w:rsidRPr="00B514A1">
        <w:rPr>
          <w:rFonts w:ascii="Verdana" w:hAnsi="Verdana" w:cs="Arial"/>
          <w:i/>
          <w:sz w:val="18"/>
          <w:szCs w:val="18"/>
        </w:rPr>
        <w:t>bias</w:t>
      </w:r>
      <w:proofErr w:type="spellEnd"/>
      <w:r w:rsidRPr="00B514A1">
        <w:rPr>
          <w:rFonts w:ascii="Verdana" w:hAnsi="Verdana" w:cs="Arial"/>
          <w:sz w:val="18"/>
          <w:szCs w:val="18"/>
        </w:rPr>
        <w:t xml:space="preserve"> </w:t>
      </w:r>
      <w:r w:rsidR="00A87D12" w:rsidRPr="00847088">
        <w:rPr>
          <w:rFonts w:ascii="Verdana" w:hAnsi="Verdana" w:cs="Arial"/>
          <w:sz w:val="18"/>
          <w:szCs w:val="18"/>
        </w:rPr>
        <w:t>s’établissent en retrait de 3 % sur l'année</w:t>
      </w:r>
      <w:r w:rsidR="00A87D12" w:rsidRPr="00B264CE">
        <w:rPr>
          <w:rFonts w:ascii="Verdana" w:hAnsi="Verdana" w:cs="Arial"/>
          <w:sz w:val="18"/>
          <w:szCs w:val="18"/>
        </w:rPr>
        <w:t>.</w:t>
      </w:r>
      <w:r w:rsidR="00B264CE" w:rsidRPr="00B264CE">
        <w:rPr>
          <w:rFonts w:ascii="Verdana" w:hAnsi="Verdana" w:cs="Arial"/>
          <w:sz w:val="18"/>
          <w:szCs w:val="18"/>
        </w:rPr>
        <w:t xml:space="preserve"> </w:t>
      </w:r>
      <w:r w:rsidR="00A87D12" w:rsidRPr="00B264CE">
        <w:rPr>
          <w:rFonts w:ascii="Verdana" w:hAnsi="Verdana" w:cs="Arial"/>
          <w:sz w:val="18"/>
          <w:szCs w:val="18"/>
        </w:rPr>
        <w:t>E</w:t>
      </w:r>
      <w:r w:rsidR="00A87D12" w:rsidRPr="00847088">
        <w:rPr>
          <w:rFonts w:ascii="Verdana" w:hAnsi="Verdana" w:cs="Arial"/>
          <w:sz w:val="18"/>
          <w:szCs w:val="18"/>
        </w:rPr>
        <w:t xml:space="preserve">n Chine, la demande recule de </w:t>
      </w:r>
      <w:r w:rsidR="00847088" w:rsidRPr="00847088">
        <w:rPr>
          <w:rFonts w:ascii="Verdana" w:hAnsi="Verdana" w:cs="Arial"/>
          <w:sz w:val="18"/>
          <w:szCs w:val="18"/>
        </w:rPr>
        <w:t>4</w:t>
      </w:r>
      <w:r w:rsidR="00A87D12" w:rsidRPr="00847088">
        <w:rPr>
          <w:rFonts w:ascii="Verdana" w:hAnsi="Verdana" w:cs="Arial"/>
          <w:sz w:val="18"/>
          <w:szCs w:val="18"/>
        </w:rPr>
        <w:t xml:space="preserve"> %</w:t>
      </w:r>
      <w:r w:rsidR="00844D4A">
        <w:rPr>
          <w:rFonts w:ascii="Verdana" w:hAnsi="Verdana" w:cs="Arial"/>
          <w:sz w:val="18"/>
          <w:szCs w:val="18"/>
        </w:rPr>
        <w:t xml:space="preserve"> sur l’année</w:t>
      </w:r>
      <w:r w:rsidR="004660E5">
        <w:rPr>
          <w:rFonts w:ascii="Verdana" w:hAnsi="Verdana" w:cs="Arial"/>
          <w:sz w:val="18"/>
          <w:szCs w:val="18"/>
        </w:rPr>
        <w:t>, mais</w:t>
      </w:r>
      <w:r w:rsidR="00844D4A">
        <w:rPr>
          <w:rFonts w:ascii="Verdana" w:hAnsi="Verdana" w:cs="Arial"/>
          <w:sz w:val="18"/>
          <w:szCs w:val="18"/>
        </w:rPr>
        <w:t xml:space="preserve"> augmente de 2 % au 4</w:t>
      </w:r>
      <w:r w:rsidR="00844D4A" w:rsidRPr="00844D4A">
        <w:rPr>
          <w:rFonts w:ascii="Verdana" w:hAnsi="Verdana" w:cs="Arial"/>
          <w:sz w:val="18"/>
          <w:szCs w:val="18"/>
          <w:vertAlign w:val="superscript"/>
        </w:rPr>
        <w:t>ème</w:t>
      </w:r>
      <w:r w:rsidR="00844D4A">
        <w:rPr>
          <w:rFonts w:ascii="Verdana" w:hAnsi="Verdana" w:cs="Arial"/>
          <w:sz w:val="18"/>
          <w:szCs w:val="18"/>
        </w:rPr>
        <w:t xml:space="preserve"> trimestre</w:t>
      </w:r>
      <w:r w:rsidR="00A87D12" w:rsidRPr="00847088">
        <w:rPr>
          <w:rFonts w:ascii="Verdana" w:hAnsi="Verdana" w:cs="Arial"/>
          <w:sz w:val="18"/>
          <w:szCs w:val="18"/>
        </w:rPr>
        <w:t>,</w:t>
      </w:r>
      <w:r w:rsidR="00844D4A" w:rsidRPr="00844D4A">
        <w:rPr>
          <w:rFonts w:ascii="Verdana" w:hAnsi="Verdana" w:cs="Arial"/>
          <w:sz w:val="18"/>
          <w:szCs w:val="18"/>
        </w:rPr>
        <w:t xml:space="preserve"> bén</w:t>
      </w:r>
      <w:r w:rsidR="00844D4A">
        <w:rPr>
          <w:rFonts w:ascii="Verdana" w:hAnsi="Verdana" w:cs="Arial"/>
          <w:sz w:val="18"/>
          <w:szCs w:val="18"/>
        </w:rPr>
        <w:t>é</w:t>
      </w:r>
      <w:r w:rsidR="00844D4A" w:rsidRPr="00844D4A">
        <w:rPr>
          <w:rFonts w:ascii="Verdana" w:hAnsi="Verdana" w:cs="Arial"/>
          <w:sz w:val="18"/>
          <w:szCs w:val="18"/>
        </w:rPr>
        <w:t xml:space="preserve">ficiant </w:t>
      </w:r>
      <w:r w:rsidR="00B264CE">
        <w:rPr>
          <w:rFonts w:ascii="Verdana" w:hAnsi="Verdana" w:cs="Arial"/>
          <w:sz w:val="18"/>
          <w:szCs w:val="18"/>
        </w:rPr>
        <w:t xml:space="preserve">de l’effet du commerce digital en explosion et </w:t>
      </w:r>
      <w:r w:rsidR="00844D4A" w:rsidRPr="00844D4A">
        <w:rPr>
          <w:rFonts w:ascii="Verdana" w:hAnsi="Verdana" w:cs="Arial"/>
          <w:sz w:val="18"/>
          <w:szCs w:val="18"/>
        </w:rPr>
        <w:t xml:space="preserve">de la </w:t>
      </w:r>
      <w:r w:rsidR="00844D4A">
        <w:rPr>
          <w:rFonts w:ascii="Verdana" w:hAnsi="Verdana" w:cs="Arial"/>
          <w:sz w:val="18"/>
          <w:szCs w:val="18"/>
        </w:rPr>
        <w:t>relance budgétaire favorable, en particulier, au secteur de la construction</w:t>
      </w:r>
      <w:r w:rsidR="00433911">
        <w:rPr>
          <w:rFonts w:ascii="Verdana" w:hAnsi="Verdana" w:cs="Arial"/>
          <w:sz w:val="18"/>
          <w:szCs w:val="18"/>
        </w:rPr>
        <w:t xml:space="preserve"> et aux investissements d’infrastructure. </w:t>
      </w:r>
      <w:r w:rsidR="00A87D12" w:rsidRPr="00F62575">
        <w:rPr>
          <w:rFonts w:ascii="Verdana" w:hAnsi="Verdana" w:cs="Arial"/>
          <w:sz w:val="18"/>
          <w:szCs w:val="18"/>
        </w:rPr>
        <w:t xml:space="preserve">Dans le reste de la zone, les marchés sont globalement en </w:t>
      </w:r>
      <w:r w:rsidR="00F62575" w:rsidRPr="00F62575">
        <w:rPr>
          <w:rFonts w:ascii="Verdana" w:hAnsi="Verdana" w:cs="Arial"/>
          <w:sz w:val="18"/>
          <w:szCs w:val="18"/>
        </w:rPr>
        <w:t xml:space="preserve">léger </w:t>
      </w:r>
      <w:r w:rsidR="00A87D12" w:rsidRPr="00F62575">
        <w:rPr>
          <w:rFonts w:ascii="Verdana" w:hAnsi="Verdana" w:cs="Arial"/>
          <w:sz w:val="18"/>
          <w:szCs w:val="18"/>
        </w:rPr>
        <w:t>retrait</w:t>
      </w:r>
      <w:r w:rsidR="00F62575" w:rsidRPr="00F62575">
        <w:rPr>
          <w:rFonts w:ascii="Verdana" w:hAnsi="Verdana" w:cs="Arial"/>
          <w:sz w:val="18"/>
          <w:szCs w:val="18"/>
        </w:rPr>
        <w:t xml:space="preserve"> (- 1 %)</w:t>
      </w:r>
      <w:r w:rsidR="0074379A">
        <w:rPr>
          <w:rFonts w:ascii="Verdana" w:hAnsi="Verdana" w:cs="Arial"/>
          <w:sz w:val="18"/>
          <w:szCs w:val="18"/>
        </w:rPr>
        <w:t xml:space="preserve"> dans un environnement économique difficile</w:t>
      </w:r>
      <w:r w:rsidR="00A87D12" w:rsidRPr="00F62575">
        <w:rPr>
          <w:rFonts w:ascii="Verdana" w:hAnsi="Verdana" w:cs="Arial"/>
          <w:sz w:val="18"/>
          <w:szCs w:val="18"/>
        </w:rPr>
        <w:t xml:space="preserve">, avec un recul significatif en Thaïlande </w:t>
      </w:r>
      <w:r w:rsidR="00F62575" w:rsidRPr="00F62575">
        <w:rPr>
          <w:rFonts w:ascii="Verdana" w:hAnsi="Verdana" w:cs="Arial"/>
          <w:sz w:val="18"/>
          <w:szCs w:val="18"/>
        </w:rPr>
        <w:t xml:space="preserve">(- 12 %) </w:t>
      </w:r>
      <w:r w:rsidR="00A87D12" w:rsidRPr="00F62575">
        <w:rPr>
          <w:rFonts w:ascii="Verdana" w:hAnsi="Verdana" w:cs="Arial"/>
          <w:sz w:val="18"/>
          <w:szCs w:val="18"/>
        </w:rPr>
        <w:t xml:space="preserve">et </w:t>
      </w:r>
      <w:r w:rsidR="00F62575" w:rsidRPr="00F62575">
        <w:rPr>
          <w:rFonts w:ascii="Verdana" w:hAnsi="Verdana" w:cs="Arial"/>
          <w:sz w:val="18"/>
          <w:szCs w:val="18"/>
        </w:rPr>
        <w:t>une progression de 2 % au Japon</w:t>
      </w:r>
      <w:r w:rsidR="00A87D12" w:rsidRPr="00F62575">
        <w:rPr>
          <w:rFonts w:ascii="Verdana" w:hAnsi="Verdana" w:cs="Arial"/>
          <w:sz w:val="18"/>
          <w:szCs w:val="18"/>
        </w:rPr>
        <w:t>.</w:t>
      </w:r>
    </w:p>
    <w:p w:rsidR="007970E1" w:rsidRPr="00B514A1" w:rsidRDefault="007970E1" w:rsidP="00513B28">
      <w:pPr>
        <w:numPr>
          <w:ilvl w:val="1"/>
          <w:numId w:val="4"/>
        </w:numPr>
        <w:spacing w:after="60"/>
        <w:jc w:val="both"/>
        <w:rPr>
          <w:rFonts w:ascii="Verdana" w:hAnsi="Verdana" w:cs="Arial"/>
          <w:sz w:val="18"/>
          <w:szCs w:val="18"/>
        </w:rPr>
      </w:pPr>
      <w:r w:rsidRPr="00B514A1">
        <w:rPr>
          <w:rFonts w:ascii="Verdana" w:hAnsi="Verdana" w:cs="Arial"/>
          <w:sz w:val="18"/>
          <w:szCs w:val="18"/>
        </w:rPr>
        <w:t xml:space="preserve">En Amérique du Sud, le marché radial et </w:t>
      </w:r>
      <w:proofErr w:type="spellStart"/>
      <w:r w:rsidRPr="00B514A1">
        <w:rPr>
          <w:rFonts w:ascii="Verdana" w:hAnsi="Verdana" w:cs="Arial"/>
          <w:i/>
          <w:sz w:val="18"/>
          <w:szCs w:val="18"/>
        </w:rPr>
        <w:t>bias</w:t>
      </w:r>
      <w:proofErr w:type="spellEnd"/>
      <w:r w:rsidRPr="00B514A1">
        <w:rPr>
          <w:rFonts w:ascii="Verdana" w:hAnsi="Verdana" w:cs="Arial"/>
          <w:sz w:val="18"/>
          <w:szCs w:val="18"/>
        </w:rPr>
        <w:t xml:space="preserve"> </w:t>
      </w:r>
      <w:r w:rsidR="00712D76">
        <w:rPr>
          <w:rFonts w:ascii="Verdana" w:hAnsi="Verdana" w:cs="Arial"/>
          <w:sz w:val="18"/>
          <w:szCs w:val="18"/>
        </w:rPr>
        <w:t xml:space="preserve">reste en léger retrait </w:t>
      </w:r>
      <w:r w:rsidR="00B31735">
        <w:rPr>
          <w:rFonts w:ascii="Verdana" w:hAnsi="Verdana" w:cs="Arial"/>
          <w:sz w:val="18"/>
          <w:szCs w:val="18"/>
        </w:rPr>
        <w:t xml:space="preserve"> </w:t>
      </w:r>
      <w:r w:rsidR="00B31735">
        <w:rPr>
          <w:rFonts w:ascii="Verdana" w:hAnsi="Verdana" w:cs="Arial"/>
          <w:sz w:val="18"/>
          <w:szCs w:val="18"/>
        </w:rPr>
        <w:br/>
      </w:r>
      <w:r w:rsidR="00712D76">
        <w:rPr>
          <w:rFonts w:ascii="Verdana" w:hAnsi="Verdana" w:cs="Arial"/>
          <w:sz w:val="18"/>
          <w:szCs w:val="18"/>
        </w:rPr>
        <w:t xml:space="preserve">(- 1 %), avec des signes de reprise au dernier trimestre (+ 4 %) portés </w:t>
      </w:r>
      <w:r w:rsidR="00712D76">
        <w:rPr>
          <w:rFonts w:ascii="Verdana" w:hAnsi="Verdana" w:cs="Arial"/>
          <w:sz w:val="18"/>
          <w:szCs w:val="18"/>
        </w:rPr>
        <w:lastRenderedPageBreak/>
        <w:t>par le Brésil (+ 2 % sur l’année et + 11 % au 4</w:t>
      </w:r>
      <w:r w:rsidR="00712D76" w:rsidRPr="00712D76">
        <w:rPr>
          <w:rFonts w:ascii="Verdana" w:hAnsi="Verdana" w:cs="Arial"/>
          <w:sz w:val="18"/>
          <w:szCs w:val="18"/>
          <w:vertAlign w:val="superscript"/>
        </w:rPr>
        <w:t>ème</w:t>
      </w:r>
      <w:r w:rsidR="00712D76">
        <w:rPr>
          <w:rFonts w:ascii="Verdana" w:hAnsi="Verdana" w:cs="Arial"/>
          <w:sz w:val="18"/>
          <w:szCs w:val="18"/>
        </w:rPr>
        <w:t xml:space="preserve"> trimestre) et l’Argentine</w:t>
      </w:r>
      <w:r w:rsidRPr="00B514A1">
        <w:rPr>
          <w:rFonts w:ascii="Verdana" w:hAnsi="Verdana" w:cs="Arial"/>
          <w:sz w:val="18"/>
          <w:szCs w:val="18"/>
        </w:rPr>
        <w:t>.</w:t>
      </w:r>
    </w:p>
    <w:p w:rsidR="007970E1" w:rsidRPr="007970E1" w:rsidRDefault="007970E1" w:rsidP="007970E1">
      <w:pPr>
        <w:tabs>
          <w:tab w:val="left" w:pos="284"/>
        </w:tabs>
        <w:jc w:val="both"/>
        <w:rPr>
          <w:rFonts w:ascii="Verdana" w:hAnsi="Verdana" w:cs="Arial"/>
          <w:b/>
          <w:sz w:val="18"/>
          <w:szCs w:val="18"/>
        </w:rPr>
      </w:pPr>
    </w:p>
    <w:p w:rsidR="007970E1" w:rsidRPr="007970E1" w:rsidRDefault="007970E1" w:rsidP="007970E1">
      <w:pPr>
        <w:tabs>
          <w:tab w:val="left" w:pos="284"/>
        </w:tabs>
        <w:jc w:val="both"/>
        <w:rPr>
          <w:rFonts w:ascii="Verdana" w:hAnsi="Verdana" w:cs="Arial"/>
          <w:b/>
          <w:sz w:val="18"/>
          <w:szCs w:val="18"/>
        </w:rPr>
      </w:pPr>
    </w:p>
    <w:p w:rsidR="007970E1" w:rsidRPr="007970E1" w:rsidRDefault="007970E1" w:rsidP="007970E1">
      <w:pPr>
        <w:numPr>
          <w:ilvl w:val="0"/>
          <w:numId w:val="2"/>
        </w:numPr>
        <w:tabs>
          <w:tab w:val="left" w:pos="284"/>
        </w:tabs>
        <w:jc w:val="both"/>
        <w:rPr>
          <w:rFonts w:ascii="Verdana" w:hAnsi="Verdana" w:cs="Arial"/>
          <w:b/>
        </w:rPr>
      </w:pPr>
      <w:r w:rsidRPr="007970E1">
        <w:rPr>
          <w:rFonts w:ascii="Verdana" w:hAnsi="Verdana" w:cs="Arial"/>
          <w:b/>
        </w:rPr>
        <w:t xml:space="preserve"> </w:t>
      </w:r>
      <w:r w:rsidRPr="007970E1">
        <w:rPr>
          <w:rFonts w:ascii="Arial" w:hAnsi="Arial" w:cs="Arial"/>
          <w:smallCaps/>
          <w:sz w:val="24"/>
          <w:szCs w:val="24"/>
        </w:rPr>
        <w:t>P</w:t>
      </w:r>
      <w:r w:rsidRPr="007970E1">
        <w:rPr>
          <w:rFonts w:ascii="Arial" w:hAnsi="Arial" w:cs="Arial"/>
          <w:bCs/>
          <w:smallCaps/>
          <w:sz w:val="24"/>
          <w:szCs w:val="24"/>
        </w:rPr>
        <w:t>neumatiques de spécialités</w:t>
      </w:r>
    </w:p>
    <w:p w:rsidR="007970E1" w:rsidRPr="007970E1" w:rsidRDefault="007970E1" w:rsidP="007970E1">
      <w:pPr>
        <w:tabs>
          <w:tab w:val="left" w:pos="284"/>
        </w:tabs>
        <w:jc w:val="both"/>
        <w:rPr>
          <w:rFonts w:ascii="Verdana" w:hAnsi="Verdana" w:cs="Arial"/>
          <w:b/>
          <w:sz w:val="24"/>
          <w:szCs w:val="24"/>
        </w:rPr>
      </w:pPr>
    </w:p>
    <w:p w:rsidR="002B6EA8" w:rsidRPr="00B514A1" w:rsidRDefault="007970E1" w:rsidP="00073EFB">
      <w:pPr>
        <w:numPr>
          <w:ilvl w:val="0"/>
          <w:numId w:val="4"/>
        </w:numPr>
        <w:spacing w:after="60"/>
        <w:jc w:val="both"/>
        <w:rPr>
          <w:rFonts w:ascii="Verdana" w:hAnsi="Verdana" w:cs="Arial"/>
          <w:sz w:val="18"/>
          <w:szCs w:val="18"/>
        </w:rPr>
      </w:pPr>
      <w:r w:rsidRPr="00B514A1">
        <w:rPr>
          <w:rFonts w:ascii="Verdana" w:hAnsi="Verdana" w:cs="Arial"/>
          <w:b/>
          <w:smallCaps/>
          <w:sz w:val="18"/>
          <w:szCs w:val="18"/>
        </w:rPr>
        <w:t xml:space="preserve">Génie civil : </w:t>
      </w:r>
      <w:r w:rsidRPr="00B514A1">
        <w:rPr>
          <w:rFonts w:ascii="Verdana" w:hAnsi="Verdana" w:cs="Arial"/>
          <w:sz w:val="18"/>
          <w:szCs w:val="18"/>
        </w:rPr>
        <w:t xml:space="preserve">le marché </w:t>
      </w:r>
      <w:r w:rsidR="002B6EA8" w:rsidRPr="00B514A1">
        <w:rPr>
          <w:rFonts w:ascii="Verdana" w:hAnsi="Verdana" w:cs="Arial"/>
          <w:sz w:val="18"/>
          <w:szCs w:val="18"/>
        </w:rPr>
        <w:t xml:space="preserve">des pneumatiques pour les mines </w:t>
      </w:r>
      <w:r w:rsidR="00D71934">
        <w:rPr>
          <w:rFonts w:ascii="Verdana" w:hAnsi="Verdana" w:cs="Arial"/>
          <w:sz w:val="18"/>
          <w:szCs w:val="18"/>
        </w:rPr>
        <w:t>est</w:t>
      </w:r>
      <w:r w:rsidR="00D71934" w:rsidRPr="00073EFB">
        <w:rPr>
          <w:rFonts w:ascii="Verdana" w:hAnsi="Verdana" w:cs="Arial"/>
          <w:sz w:val="18"/>
          <w:szCs w:val="18"/>
        </w:rPr>
        <w:t xml:space="preserve"> </w:t>
      </w:r>
      <w:r w:rsidR="00073EFB" w:rsidRPr="00073EFB">
        <w:rPr>
          <w:rFonts w:ascii="Verdana" w:hAnsi="Verdana" w:cs="Arial"/>
          <w:sz w:val="18"/>
          <w:szCs w:val="18"/>
        </w:rPr>
        <w:t xml:space="preserve">en </w:t>
      </w:r>
      <w:r w:rsidR="00073EFB">
        <w:rPr>
          <w:rFonts w:ascii="Verdana" w:hAnsi="Verdana" w:cs="Arial"/>
          <w:sz w:val="18"/>
          <w:szCs w:val="18"/>
        </w:rPr>
        <w:t>recul</w:t>
      </w:r>
      <w:r w:rsidR="00073EFB" w:rsidRPr="00073EFB">
        <w:rPr>
          <w:rFonts w:ascii="Verdana" w:hAnsi="Verdana" w:cs="Arial"/>
          <w:sz w:val="18"/>
          <w:szCs w:val="18"/>
        </w:rPr>
        <w:t xml:space="preserve"> pour la troisième année consécutive, pénalisé par la forte diminution des stocks dans les mines. La tendance s’est cependant inversée au 4</w:t>
      </w:r>
      <w:r w:rsidR="00073EFB" w:rsidRPr="00B75034">
        <w:rPr>
          <w:rFonts w:ascii="Verdana" w:hAnsi="Verdana" w:cs="Arial"/>
          <w:sz w:val="18"/>
          <w:szCs w:val="18"/>
          <w:vertAlign w:val="superscript"/>
        </w:rPr>
        <w:t>ème</w:t>
      </w:r>
      <w:r w:rsidR="00073EFB" w:rsidRPr="00073EFB">
        <w:rPr>
          <w:rFonts w:ascii="Verdana" w:hAnsi="Verdana" w:cs="Arial"/>
          <w:sz w:val="18"/>
          <w:szCs w:val="18"/>
        </w:rPr>
        <w:t xml:space="preserve"> trimestre avec la reprise des achats des </w:t>
      </w:r>
      <w:r w:rsidR="00073EFB">
        <w:rPr>
          <w:rFonts w:ascii="Verdana" w:hAnsi="Verdana" w:cs="Arial"/>
          <w:sz w:val="18"/>
          <w:szCs w:val="18"/>
        </w:rPr>
        <w:t>entreprises miniè</w:t>
      </w:r>
      <w:r w:rsidR="00073EFB" w:rsidRPr="00073EFB">
        <w:rPr>
          <w:rFonts w:ascii="Verdana" w:hAnsi="Verdana" w:cs="Arial"/>
          <w:sz w:val="18"/>
          <w:szCs w:val="18"/>
        </w:rPr>
        <w:t>r</w:t>
      </w:r>
      <w:r w:rsidR="00073EFB">
        <w:rPr>
          <w:rFonts w:ascii="Verdana" w:hAnsi="Verdana" w:cs="Arial"/>
          <w:sz w:val="18"/>
          <w:szCs w:val="18"/>
        </w:rPr>
        <w:t>es, en ligne avec leur consommation de pneumatiques</w:t>
      </w:r>
      <w:r w:rsidR="00073EFB" w:rsidRPr="00073EFB">
        <w:rPr>
          <w:rFonts w:ascii="Verdana" w:hAnsi="Verdana" w:cs="Arial"/>
          <w:sz w:val="18"/>
          <w:szCs w:val="18"/>
        </w:rPr>
        <w:t>.</w:t>
      </w:r>
    </w:p>
    <w:p w:rsidR="002B6EA8" w:rsidRPr="00B514A1" w:rsidRDefault="002B6EA8" w:rsidP="002B6EA8">
      <w:pPr>
        <w:spacing w:after="60"/>
        <w:ind w:left="360"/>
        <w:jc w:val="both"/>
        <w:rPr>
          <w:rFonts w:ascii="Verdana" w:hAnsi="Verdana" w:cs="Arial"/>
          <w:sz w:val="18"/>
          <w:szCs w:val="18"/>
        </w:rPr>
      </w:pPr>
      <w:r w:rsidRPr="00B514A1">
        <w:rPr>
          <w:rFonts w:ascii="Verdana" w:hAnsi="Verdana" w:cs="Arial"/>
          <w:sz w:val="18"/>
          <w:szCs w:val="18"/>
        </w:rPr>
        <w:t>Les marchés du 1</w:t>
      </w:r>
      <w:r w:rsidRPr="00B514A1">
        <w:rPr>
          <w:rFonts w:ascii="Verdana" w:hAnsi="Verdana" w:cs="Arial"/>
          <w:sz w:val="18"/>
          <w:szCs w:val="18"/>
          <w:vertAlign w:val="superscript"/>
        </w:rPr>
        <w:t>er</w:t>
      </w:r>
      <w:r w:rsidRPr="00B514A1">
        <w:rPr>
          <w:rFonts w:ascii="Verdana" w:hAnsi="Verdana" w:cs="Arial"/>
          <w:sz w:val="18"/>
          <w:szCs w:val="18"/>
        </w:rPr>
        <w:t xml:space="preserve"> équipement </w:t>
      </w:r>
      <w:r w:rsidR="008F0711" w:rsidRPr="008F0711">
        <w:rPr>
          <w:rFonts w:ascii="Verdana" w:hAnsi="Verdana" w:cs="Arial"/>
          <w:sz w:val="18"/>
          <w:szCs w:val="18"/>
        </w:rPr>
        <w:t>baissent significativement dans les zones m</w:t>
      </w:r>
      <w:r w:rsidR="008F0711">
        <w:rPr>
          <w:rFonts w:ascii="Verdana" w:hAnsi="Verdana" w:cs="Arial"/>
          <w:sz w:val="18"/>
          <w:szCs w:val="18"/>
        </w:rPr>
        <w:t>atu</w:t>
      </w:r>
      <w:r w:rsidR="008F0711" w:rsidRPr="008F0711">
        <w:rPr>
          <w:rFonts w:ascii="Verdana" w:hAnsi="Verdana" w:cs="Arial"/>
          <w:sz w:val="18"/>
          <w:szCs w:val="18"/>
        </w:rPr>
        <w:t xml:space="preserve">res dans un contexte de demande faible. Le marché chinois est également en décroissance </w:t>
      </w:r>
      <w:r w:rsidR="008F0711">
        <w:rPr>
          <w:rFonts w:ascii="Verdana" w:hAnsi="Verdana" w:cs="Arial"/>
          <w:sz w:val="18"/>
          <w:szCs w:val="18"/>
        </w:rPr>
        <w:t>en 2016,</w:t>
      </w:r>
      <w:r w:rsidR="008F0711" w:rsidRPr="008F0711">
        <w:rPr>
          <w:rFonts w:ascii="Verdana" w:hAnsi="Verdana" w:cs="Arial"/>
          <w:sz w:val="18"/>
          <w:szCs w:val="18"/>
        </w:rPr>
        <w:t xml:space="preserve"> après une très forte baisse en</w:t>
      </w:r>
      <w:r w:rsidR="008F0711">
        <w:rPr>
          <w:rFonts w:ascii="Verdana" w:hAnsi="Verdana" w:cs="Arial"/>
          <w:sz w:val="18"/>
          <w:szCs w:val="18"/>
        </w:rPr>
        <w:t xml:space="preserve"> 2015</w:t>
      </w:r>
      <w:r w:rsidRPr="00B514A1">
        <w:rPr>
          <w:rFonts w:ascii="Verdana" w:hAnsi="Verdana" w:cs="Arial"/>
          <w:sz w:val="18"/>
          <w:szCs w:val="18"/>
        </w:rPr>
        <w:t>.</w:t>
      </w:r>
    </w:p>
    <w:p w:rsidR="002B6EA8" w:rsidRPr="00B514A1" w:rsidRDefault="002B6EA8" w:rsidP="002B6EA8">
      <w:pPr>
        <w:spacing w:after="60"/>
        <w:ind w:left="360"/>
        <w:jc w:val="both"/>
        <w:rPr>
          <w:rFonts w:ascii="Verdana" w:hAnsi="Verdana" w:cs="Arial"/>
          <w:sz w:val="18"/>
          <w:szCs w:val="18"/>
        </w:rPr>
      </w:pPr>
      <w:r w:rsidRPr="00B514A1">
        <w:rPr>
          <w:rFonts w:ascii="Verdana" w:hAnsi="Verdana" w:cs="Arial"/>
          <w:sz w:val="18"/>
          <w:szCs w:val="18"/>
        </w:rPr>
        <w:t xml:space="preserve">Les marchés de pneumatiques destinés aux infrastructures et aux carrières </w:t>
      </w:r>
      <w:r w:rsidR="00FD2D10">
        <w:rPr>
          <w:rFonts w:ascii="Verdana" w:hAnsi="Verdana" w:cs="Arial"/>
          <w:sz w:val="18"/>
          <w:szCs w:val="18"/>
        </w:rPr>
        <w:t>sont en baisse, pénalisé</w:t>
      </w:r>
      <w:r w:rsidR="002F76C7">
        <w:rPr>
          <w:rFonts w:ascii="Verdana" w:hAnsi="Verdana" w:cs="Arial"/>
          <w:sz w:val="18"/>
          <w:szCs w:val="18"/>
        </w:rPr>
        <w:t>s</w:t>
      </w:r>
      <w:r w:rsidR="00FD2D10" w:rsidRPr="00FD2D10">
        <w:rPr>
          <w:rFonts w:ascii="Verdana" w:hAnsi="Verdana" w:cs="Arial"/>
          <w:sz w:val="18"/>
          <w:szCs w:val="18"/>
        </w:rPr>
        <w:t xml:space="preserve"> par l’attentisme de la distribution</w:t>
      </w:r>
      <w:r w:rsidR="00A34331">
        <w:rPr>
          <w:rFonts w:ascii="Verdana" w:hAnsi="Verdana" w:cs="Arial"/>
          <w:sz w:val="18"/>
          <w:szCs w:val="18"/>
        </w:rPr>
        <w:t>.</w:t>
      </w:r>
    </w:p>
    <w:p w:rsidR="00CC2148" w:rsidRPr="00CC2148" w:rsidRDefault="007970E1" w:rsidP="00CC2148">
      <w:pPr>
        <w:numPr>
          <w:ilvl w:val="0"/>
          <w:numId w:val="4"/>
        </w:numPr>
        <w:spacing w:after="60"/>
        <w:jc w:val="both"/>
        <w:rPr>
          <w:rFonts w:ascii="Verdana" w:hAnsi="Verdana" w:cs="Arial"/>
          <w:sz w:val="18"/>
          <w:szCs w:val="18"/>
        </w:rPr>
      </w:pPr>
      <w:r w:rsidRPr="00B514A1">
        <w:rPr>
          <w:rFonts w:ascii="Verdana" w:hAnsi="Verdana" w:cs="Arial"/>
          <w:b/>
          <w:smallCaps/>
          <w:sz w:val="18"/>
          <w:szCs w:val="18"/>
        </w:rPr>
        <w:t xml:space="preserve">Agricole : </w:t>
      </w:r>
      <w:r w:rsidRPr="00B514A1">
        <w:rPr>
          <w:rFonts w:ascii="Verdana" w:hAnsi="Verdana" w:cs="Arial"/>
          <w:sz w:val="18"/>
          <w:szCs w:val="18"/>
        </w:rPr>
        <w:t xml:space="preserve">la demande </w:t>
      </w:r>
      <w:r w:rsidR="00BF1D2E" w:rsidRPr="00B514A1">
        <w:rPr>
          <w:rFonts w:ascii="Verdana" w:hAnsi="Verdana" w:cs="Arial"/>
          <w:sz w:val="18"/>
          <w:szCs w:val="18"/>
        </w:rPr>
        <w:t>sur le marché du 1</w:t>
      </w:r>
      <w:r w:rsidR="00BF1D2E" w:rsidRPr="0054215C">
        <w:rPr>
          <w:rFonts w:ascii="Verdana" w:hAnsi="Verdana" w:cs="Arial"/>
          <w:sz w:val="18"/>
          <w:szCs w:val="18"/>
          <w:vertAlign w:val="superscript"/>
        </w:rPr>
        <w:t xml:space="preserve">er </w:t>
      </w:r>
      <w:r w:rsidR="00BF1D2E" w:rsidRPr="00B514A1">
        <w:rPr>
          <w:rFonts w:ascii="Verdana" w:hAnsi="Verdana" w:cs="Arial"/>
          <w:sz w:val="18"/>
          <w:szCs w:val="18"/>
        </w:rPr>
        <w:t>équipement</w:t>
      </w:r>
      <w:r w:rsidR="00C17F01">
        <w:rPr>
          <w:rFonts w:ascii="Verdana" w:hAnsi="Verdana" w:cs="Arial"/>
          <w:sz w:val="18"/>
          <w:szCs w:val="18"/>
        </w:rPr>
        <w:t>, a</w:t>
      </w:r>
      <w:r w:rsidR="00C17F01" w:rsidRPr="00C17F01">
        <w:rPr>
          <w:rFonts w:ascii="Verdana" w:hAnsi="Verdana" w:cs="Arial"/>
          <w:sz w:val="18"/>
          <w:szCs w:val="18"/>
        </w:rPr>
        <w:t>près une forte baisse en 2015</w:t>
      </w:r>
      <w:r w:rsidR="00C17F01">
        <w:rPr>
          <w:rFonts w:ascii="Verdana" w:hAnsi="Verdana" w:cs="Arial"/>
          <w:sz w:val="18"/>
          <w:szCs w:val="18"/>
        </w:rPr>
        <w:t>, est</w:t>
      </w:r>
      <w:r w:rsidR="00881A9E" w:rsidRPr="00881A9E">
        <w:rPr>
          <w:rFonts w:ascii="Verdana" w:hAnsi="Verdana" w:cs="Arial"/>
          <w:sz w:val="18"/>
          <w:szCs w:val="18"/>
        </w:rPr>
        <w:t xml:space="preserve"> </w:t>
      </w:r>
      <w:r w:rsidR="00881A9E">
        <w:rPr>
          <w:rFonts w:ascii="Verdana" w:hAnsi="Verdana" w:cs="Arial"/>
          <w:sz w:val="18"/>
          <w:szCs w:val="18"/>
        </w:rPr>
        <w:t>en érosion</w:t>
      </w:r>
      <w:r w:rsidR="00881A9E" w:rsidRPr="00881A9E">
        <w:rPr>
          <w:rFonts w:ascii="Verdana" w:hAnsi="Verdana" w:cs="Arial"/>
          <w:sz w:val="18"/>
          <w:szCs w:val="18"/>
        </w:rPr>
        <w:t xml:space="preserve"> dans les pays m</w:t>
      </w:r>
      <w:r w:rsidR="00881A9E">
        <w:rPr>
          <w:rFonts w:ascii="Verdana" w:hAnsi="Verdana" w:cs="Arial"/>
          <w:sz w:val="18"/>
          <w:szCs w:val="18"/>
        </w:rPr>
        <w:t>atu</w:t>
      </w:r>
      <w:r w:rsidR="00881A9E" w:rsidRPr="00881A9E">
        <w:rPr>
          <w:rFonts w:ascii="Verdana" w:hAnsi="Verdana" w:cs="Arial"/>
          <w:sz w:val="18"/>
          <w:szCs w:val="18"/>
        </w:rPr>
        <w:t>r</w:t>
      </w:r>
      <w:r w:rsidR="00881A9E">
        <w:rPr>
          <w:rFonts w:ascii="Verdana" w:hAnsi="Verdana" w:cs="Arial"/>
          <w:sz w:val="18"/>
          <w:szCs w:val="18"/>
        </w:rPr>
        <w:t>e</w:t>
      </w:r>
      <w:r w:rsidR="00881A9E" w:rsidRPr="00881A9E">
        <w:rPr>
          <w:rFonts w:ascii="Verdana" w:hAnsi="Verdana" w:cs="Arial"/>
          <w:sz w:val="18"/>
          <w:szCs w:val="18"/>
        </w:rPr>
        <w:t>s en 201</w:t>
      </w:r>
      <w:r w:rsidR="00CC2148">
        <w:rPr>
          <w:rFonts w:ascii="Verdana" w:hAnsi="Verdana" w:cs="Arial"/>
          <w:sz w:val="18"/>
          <w:szCs w:val="18"/>
        </w:rPr>
        <w:t>6</w:t>
      </w:r>
      <w:r w:rsidR="00881A9E" w:rsidRPr="00881A9E">
        <w:rPr>
          <w:rFonts w:ascii="Verdana" w:hAnsi="Verdana" w:cs="Arial"/>
          <w:sz w:val="18"/>
          <w:szCs w:val="18"/>
        </w:rPr>
        <w:t>, le rebond du 1</w:t>
      </w:r>
      <w:r w:rsidR="00881A9E" w:rsidRPr="00CC2148">
        <w:rPr>
          <w:rFonts w:ascii="Verdana" w:hAnsi="Verdana" w:cs="Arial"/>
          <w:sz w:val="18"/>
          <w:szCs w:val="18"/>
          <w:vertAlign w:val="superscript"/>
        </w:rPr>
        <w:t>er</w:t>
      </w:r>
      <w:r w:rsidR="00881A9E" w:rsidRPr="00881A9E">
        <w:rPr>
          <w:rFonts w:ascii="Verdana" w:hAnsi="Verdana" w:cs="Arial"/>
          <w:sz w:val="18"/>
          <w:szCs w:val="18"/>
        </w:rPr>
        <w:t xml:space="preserve"> semestre étant effacé par la chute du 2</w:t>
      </w:r>
      <w:r w:rsidR="00881A9E" w:rsidRPr="00CC2148">
        <w:rPr>
          <w:rFonts w:ascii="Verdana" w:hAnsi="Verdana" w:cs="Arial"/>
          <w:sz w:val="18"/>
          <w:szCs w:val="18"/>
          <w:vertAlign w:val="superscript"/>
        </w:rPr>
        <w:t>ème</w:t>
      </w:r>
      <w:r w:rsidR="00881A9E" w:rsidRPr="00881A9E">
        <w:rPr>
          <w:rFonts w:ascii="Verdana" w:hAnsi="Verdana" w:cs="Arial"/>
          <w:sz w:val="18"/>
          <w:szCs w:val="18"/>
        </w:rPr>
        <w:t xml:space="preserve"> semestre</w:t>
      </w:r>
      <w:r w:rsidR="00CC2148">
        <w:rPr>
          <w:rFonts w:ascii="Verdana" w:hAnsi="Verdana" w:cs="Arial"/>
          <w:sz w:val="18"/>
          <w:szCs w:val="18"/>
        </w:rPr>
        <w:t>.</w:t>
      </w:r>
    </w:p>
    <w:p w:rsidR="00BF1D2E" w:rsidRPr="00B514A1" w:rsidRDefault="00CC2148" w:rsidP="00CC2148">
      <w:pPr>
        <w:spacing w:after="60"/>
        <w:ind w:left="360"/>
        <w:jc w:val="both"/>
        <w:rPr>
          <w:rFonts w:ascii="Verdana" w:hAnsi="Verdana" w:cs="Arial"/>
          <w:sz w:val="18"/>
          <w:szCs w:val="18"/>
        </w:rPr>
      </w:pPr>
      <w:r w:rsidRPr="00CC2148">
        <w:rPr>
          <w:rFonts w:ascii="Verdana" w:hAnsi="Verdana" w:cs="Arial"/>
          <w:sz w:val="18"/>
          <w:szCs w:val="18"/>
        </w:rPr>
        <w:t>L</w:t>
      </w:r>
      <w:r w:rsidR="00BF1D2E" w:rsidRPr="00CC2148">
        <w:rPr>
          <w:rFonts w:ascii="Verdana" w:hAnsi="Verdana" w:cs="Arial"/>
          <w:sz w:val="18"/>
          <w:szCs w:val="18"/>
        </w:rPr>
        <w:t>e</w:t>
      </w:r>
      <w:r w:rsidRPr="00CC2148">
        <w:rPr>
          <w:rFonts w:ascii="Verdana" w:hAnsi="Verdana" w:cs="Arial"/>
          <w:sz w:val="18"/>
          <w:szCs w:val="18"/>
        </w:rPr>
        <w:t>s</w:t>
      </w:r>
      <w:r w:rsidR="00BF1D2E" w:rsidRPr="00CC2148">
        <w:rPr>
          <w:rFonts w:ascii="Verdana" w:hAnsi="Verdana" w:cs="Arial"/>
          <w:sz w:val="18"/>
          <w:szCs w:val="18"/>
        </w:rPr>
        <w:t xml:space="preserve"> marché</w:t>
      </w:r>
      <w:r>
        <w:rPr>
          <w:rFonts w:ascii="Verdana" w:hAnsi="Verdana" w:cs="Arial"/>
          <w:sz w:val="18"/>
          <w:szCs w:val="18"/>
        </w:rPr>
        <w:t>s</w:t>
      </w:r>
      <w:r w:rsidR="00BF1D2E" w:rsidRPr="00CC2148">
        <w:rPr>
          <w:rFonts w:ascii="Verdana" w:hAnsi="Verdana" w:cs="Arial"/>
          <w:sz w:val="18"/>
          <w:szCs w:val="18"/>
        </w:rPr>
        <w:t xml:space="preserve"> du remplacement </w:t>
      </w:r>
      <w:r w:rsidRPr="00CC2148">
        <w:rPr>
          <w:rFonts w:ascii="Verdana" w:hAnsi="Verdana" w:cs="Arial"/>
          <w:sz w:val="18"/>
          <w:szCs w:val="18"/>
        </w:rPr>
        <w:t>sont en baisse significative dans les zones matures, pénalisés par des cours des denrées agricoles bas</w:t>
      </w:r>
      <w:r w:rsidR="009E1AE4">
        <w:rPr>
          <w:rFonts w:ascii="Verdana" w:hAnsi="Verdana" w:cs="Arial"/>
          <w:sz w:val="18"/>
          <w:szCs w:val="18"/>
        </w:rPr>
        <w:t>.</w:t>
      </w:r>
    </w:p>
    <w:p w:rsidR="007970E1" w:rsidRPr="00B514A1" w:rsidRDefault="007970E1" w:rsidP="00A80C7B">
      <w:pPr>
        <w:numPr>
          <w:ilvl w:val="0"/>
          <w:numId w:val="4"/>
        </w:numPr>
        <w:spacing w:after="60"/>
        <w:jc w:val="both"/>
        <w:rPr>
          <w:rFonts w:ascii="Verdana" w:hAnsi="Verdana" w:cs="Arial"/>
          <w:sz w:val="18"/>
          <w:szCs w:val="18"/>
        </w:rPr>
      </w:pPr>
      <w:r w:rsidRPr="00B514A1">
        <w:rPr>
          <w:rFonts w:ascii="Verdana" w:hAnsi="Verdana" w:cs="Arial"/>
          <w:b/>
          <w:smallCaps/>
          <w:sz w:val="18"/>
          <w:szCs w:val="18"/>
        </w:rPr>
        <w:t xml:space="preserve">Deux-roues : </w:t>
      </w:r>
      <w:r w:rsidR="00652C92" w:rsidRPr="00B514A1">
        <w:rPr>
          <w:rFonts w:ascii="Verdana" w:hAnsi="Verdana" w:cs="Arial"/>
          <w:sz w:val="18"/>
          <w:szCs w:val="18"/>
        </w:rPr>
        <w:t xml:space="preserve">la </w:t>
      </w:r>
      <w:r w:rsidR="00A80C7B" w:rsidRPr="00B514A1">
        <w:rPr>
          <w:rFonts w:ascii="Verdana" w:hAnsi="Verdana" w:cs="Arial"/>
          <w:sz w:val="18"/>
          <w:szCs w:val="18"/>
        </w:rPr>
        <w:t xml:space="preserve">demande </w:t>
      </w:r>
      <w:r w:rsidR="00A80C7B">
        <w:rPr>
          <w:rFonts w:ascii="Verdana" w:hAnsi="Verdana" w:cs="Arial"/>
          <w:sz w:val="18"/>
          <w:szCs w:val="18"/>
        </w:rPr>
        <w:t>M</w:t>
      </w:r>
      <w:r w:rsidR="00A80C7B" w:rsidRPr="00A80C7B">
        <w:rPr>
          <w:rFonts w:ascii="Verdana" w:hAnsi="Verdana" w:cs="Arial"/>
          <w:sz w:val="18"/>
          <w:szCs w:val="18"/>
        </w:rPr>
        <w:t xml:space="preserve">oto </w:t>
      </w:r>
      <w:r w:rsidR="00A80C7B">
        <w:rPr>
          <w:rFonts w:ascii="Verdana" w:hAnsi="Verdana" w:cs="Arial"/>
          <w:sz w:val="18"/>
          <w:szCs w:val="18"/>
        </w:rPr>
        <w:t>augmente</w:t>
      </w:r>
      <w:r w:rsidR="00A80C7B" w:rsidRPr="00A80C7B">
        <w:rPr>
          <w:rFonts w:ascii="Verdana" w:hAnsi="Verdana" w:cs="Arial"/>
          <w:sz w:val="18"/>
          <w:szCs w:val="18"/>
        </w:rPr>
        <w:t xml:space="preserve"> en Europe pour la 4</w:t>
      </w:r>
      <w:r w:rsidR="00A80C7B" w:rsidRPr="00A80C7B">
        <w:rPr>
          <w:rFonts w:ascii="Verdana" w:hAnsi="Verdana" w:cs="Arial"/>
          <w:sz w:val="18"/>
          <w:szCs w:val="18"/>
          <w:vertAlign w:val="superscript"/>
        </w:rPr>
        <w:t>ème</w:t>
      </w:r>
      <w:r w:rsidR="00A80C7B">
        <w:rPr>
          <w:rFonts w:ascii="Verdana" w:hAnsi="Verdana" w:cs="Arial"/>
          <w:sz w:val="18"/>
          <w:szCs w:val="18"/>
        </w:rPr>
        <w:t xml:space="preserve"> année consécutive, soutenue</w:t>
      </w:r>
      <w:r w:rsidR="00A80C7B" w:rsidRPr="00A80C7B">
        <w:rPr>
          <w:rFonts w:ascii="Verdana" w:hAnsi="Verdana" w:cs="Arial"/>
          <w:sz w:val="18"/>
          <w:szCs w:val="18"/>
        </w:rPr>
        <w:t xml:space="preserve"> par la hausse des achats de la distribution en Europe</w:t>
      </w:r>
      <w:r w:rsidR="00A80C7B">
        <w:rPr>
          <w:rFonts w:ascii="Verdana" w:hAnsi="Verdana" w:cs="Arial"/>
          <w:sz w:val="18"/>
          <w:szCs w:val="18"/>
        </w:rPr>
        <w:t xml:space="preserve">, tandis qu’elle est en retrait significatif </w:t>
      </w:r>
      <w:r w:rsidR="00A80C7B" w:rsidRPr="00A80C7B">
        <w:rPr>
          <w:rFonts w:ascii="Verdana" w:hAnsi="Verdana" w:cs="Arial"/>
          <w:sz w:val="18"/>
          <w:szCs w:val="18"/>
        </w:rPr>
        <w:t>en Amérique du Nord. Les marchés émergents restent globalement bien orientés</w:t>
      </w:r>
      <w:r w:rsidR="00A80C7B">
        <w:rPr>
          <w:rFonts w:ascii="Verdana" w:hAnsi="Verdana" w:cs="Arial"/>
          <w:sz w:val="18"/>
          <w:szCs w:val="18"/>
        </w:rPr>
        <w:t>.</w:t>
      </w:r>
    </w:p>
    <w:p w:rsidR="007970E1" w:rsidRPr="00A80C7B" w:rsidRDefault="007970E1" w:rsidP="00073105">
      <w:pPr>
        <w:numPr>
          <w:ilvl w:val="0"/>
          <w:numId w:val="4"/>
        </w:numPr>
        <w:spacing w:after="60"/>
        <w:jc w:val="both"/>
        <w:rPr>
          <w:rFonts w:ascii="Verdana" w:hAnsi="Verdana" w:cs="Arial"/>
          <w:sz w:val="18"/>
          <w:szCs w:val="18"/>
        </w:rPr>
      </w:pPr>
      <w:r w:rsidRPr="00A80C7B">
        <w:rPr>
          <w:rFonts w:ascii="Verdana" w:hAnsi="Verdana" w:cs="Arial"/>
          <w:b/>
          <w:smallCaps/>
          <w:sz w:val="18"/>
          <w:szCs w:val="18"/>
        </w:rPr>
        <w:t xml:space="preserve">Avion : </w:t>
      </w:r>
      <w:r w:rsidRPr="00A80C7B">
        <w:rPr>
          <w:rFonts w:ascii="Verdana" w:hAnsi="Verdana" w:cs="Arial"/>
          <w:sz w:val="18"/>
          <w:szCs w:val="18"/>
        </w:rPr>
        <w:t xml:space="preserve">le marché </w:t>
      </w:r>
      <w:r w:rsidR="00073105" w:rsidRPr="00A80C7B">
        <w:rPr>
          <w:rFonts w:ascii="Verdana" w:hAnsi="Verdana" w:cs="Arial"/>
          <w:sz w:val="18"/>
          <w:szCs w:val="18"/>
        </w:rPr>
        <w:t>pneumatique pour les avions commerciaux poursuit sa croissance, porté par la hausse du trafic passager</w:t>
      </w:r>
      <w:r w:rsidRPr="00A80C7B">
        <w:rPr>
          <w:rFonts w:ascii="Verdana" w:hAnsi="Verdana" w:cs="Arial"/>
          <w:sz w:val="18"/>
          <w:szCs w:val="18"/>
        </w:rPr>
        <w:t>.</w:t>
      </w:r>
    </w:p>
    <w:p w:rsidR="007970E1" w:rsidRPr="007970E1" w:rsidRDefault="007970E1" w:rsidP="007970E1">
      <w:pPr>
        <w:tabs>
          <w:tab w:val="left" w:pos="360"/>
        </w:tabs>
        <w:jc w:val="both"/>
        <w:rPr>
          <w:rFonts w:ascii="Verdana" w:hAnsi="Verdana" w:cs="Arial"/>
          <w:b/>
          <w:bCs/>
          <w:sz w:val="18"/>
          <w:szCs w:val="18"/>
        </w:rPr>
      </w:pPr>
    </w:p>
    <w:p w:rsidR="007970E1" w:rsidRPr="007970E1" w:rsidRDefault="007970E1" w:rsidP="007970E1">
      <w:pPr>
        <w:jc w:val="both"/>
        <w:rPr>
          <w:rFonts w:ascii="Verdana" w:hAnsi="Verdana" w:cs="Arial"/>
          <w:b/>
          <w:sz w:val="18"/>
          <w:szCs w:val="18"/>
        </w:rPr>
      </w:pPr>
    </w:p>
    <w:p w:rsidR="007970E1" w:rsidRPr="007970E1" w:rsidRDefault="007970E1" w:rsidP="007970E1">
      <w:pPr>
        <w:jc w:val="both"/>
        <w:rPr>
          <w:rFonts w:ascii="Verdana" w:hAnsi="Verdana" w:cs="Arial"/>
          <w:b/>
          <w:sz w:val="18"/>
          <w:szCs w:val="18"/>
        </w:rPr>
      </w:pPr>
    </w:p>
    <w:p w:rsidR="007970E1" w:rsidRPr="007970E1" w:rsidRDefault="007970E1" w:rsidP="007970E1">
      <w:pPr>
        <w:pBdr>
          <w:top w:val="single" w:sz="4" w:space="1" w:color="auto"/>
          <w:left w:val="single" w:sz="4" w:space="4" w:color="auto"/>
          <w:bottom w:val="single" w:sz="4" w:space="1" w:color="auto"/>
          <w:right w:val="single" w:sz="4" w:space="0" w:color="auto"/>
        </w:pBdr>
        <w:ind w:right="2691"/>
        <w:jc w:val="both"/>
        <w:rPr>
          <w:rFonts w:ascii="Verdana" w:hAnsi="Verdana" w:cs="Arial"/>
          <w:b/>
          <w:bCs/>
          <w:sz w:val="24"/>
          <w:szCs w:val="24"/>
        </w:rPr>
      </w:pPr>
      <w:r w:rsidRPr="007970E1">
        <w:rPr>
          <w:rFonts w:ascii="Verdana" w:hAnsi="Verdana" w:cs="Arial"/>
          <w:b/>
          <w:bCs/>
          <w:sz w:val="24"/>
          <w:szCs w:val="24"/>
        </w:rPr>
        <w:t xml:space="preserve">Activité et résultats </w:t>
      </w:r>
      <w:r w:rsidR="00EB75CE">
        <w:rPr>
          <w:rFonts w:ascii="Verdana" w:hAnsi="Verdana" w:cs="Arial"/>
          <w:b/>
          <w:bCs/>
          <w:sz w:val="24"/>
          <w:szCs w:val="24"/>
        </w:rPr>
        <w:t>2016</w:t>
      </w:r>
    </w:p>
    <w:p w:rsidR="007970E1" w:rsidRPr="007970E1" w:rsidRDefault="007970E1" w:rsidP="007970E1">
      <w:pPr>
        <w:tabs>
          <w:tab w:val="left" w:pos="360"/>
        </w:tabs>
        <w:jc w:val="both"/>
        <w:rPr>
          <w:rFonts w:ascii="Verdana" w:hAnsi="Verdana" w:cs="Arial"/>
          <w:b/>
          <w:bCs/>
        </w:rPr>
      </w:pPr>
    </w:p>
    <w:p w:rsidR="007970E1" w:rsidRPr="007970E1" w:rsidRDefault="007970E1" w:rsidP="00BE16D2">
      <w:pPr>
        <w:numPr>
          <w:ilvl w:val="0"/>
          <w:numId w:val="2"/>
        </w:numPr>
        <w:tabs>
          <w:tab w:val="left" w:pos="284"/>
        </w:tabs>
        <w:spacing w:before="240" w:after="240"/>
        <w:ind w:left="357" w:hanging="357"/>
        <w:jc w:val="both"/>
        <w:rPr>
          <w:rFonts w:ascii="Verdana" w:hAnsi="Verdana" w:cs="Arial"/>
          <w:b/>
        </w:rPr>
      </w:pPr>
      <w:r w:rsidRPr="007970E1">
        <w:rPr>
          <w:rFonts w:ascii="Arial" w:hAnsi="Arial" w:cs="Arial"/>
          <w:bCs/>
          <w:smallCaps/>
          <w:sz w:val="24"/>
          <w:szCs w:val="24"/>
        </w:rPr>
        <w:t>Ventes nettes</w:t>
      </w:r>
    </w:p>
    <w:p w:rsidR="003258BB" w:rsidRPr="003258BB" w:rsidRDefault="003258BB" w:rsidP="0054215C">
      <w:pPr>
        <w:tabs>
          <w:tab w:val="left" w:pos="360"/>
        </w:tabs>
        <w:adjustRightInd w:val="0"/>
        <w:snapToGrid w:val="0"/>
        <w:spacing w:after="120"/>
        <w:jc w:val="both"/>
        <w:rPr>
          <w:rFonts w:ascii="Verdana" w:hAnsi="Verdana" w:cs="Arial"/>
          <w:sz w:val="18"/>
          <w:szCs w:val="18"/>
        </w:rPr>
      </w:pPr>
      <w:r w:rsidRPr="00F44CED">
        <w:rPr>
          <w:rFonts w:ascii="Verdana" w:hAnsi="Verdana" w:cs="Arial"/>
          <w:sz w:val="18"/>
          <w:szCs w:val="18"/>
        </w:rPr>
        <w:t>Les ventes nettes s’établissent à 2</w:t>
      </w:r>
      <w:r w:rsidR="0067394B" w:rsidRPr="00F44CED">
        <w:rPr>
          <w:rFonts w:ascii="Verdana" w:hAnsi="Verdana" w:cs="Arial"/>
          <w:sz w:val="18"/>
          <w:szCs w:val="18"/>
        </w:rPr>
        <w:t>0 90</w:t>
      </w:r>
      <w:r w:rsidR="00956D71" w:rsidRPr="00F44CED">
        <w:rPr>
          <w:rFonts w:ascii="Verdana" w:hAnsi="Verdana" w:cs="Arial"/>
          <w:sz w:val="18"/>
          <w:szCs w:val="18"/>
        </w:rPr>
        <w:t>7</w:t>
      </w:r>
      <w:r w:rsidRPr="00F44CED">
        <w:rPr>
          <w:rFonts w:ascii="Verdana" w:hAnsi="Verdana" w:cs="Arial"/>
          <w:sz w:val="18"/>
          <w:szCs w:val="18"/>
        </w:rPr>
        <w:t xml:space="preserve"> millions </w:t>
      </w:r>
      <w:r w:rsidR="00D11AC1" w:rsidRPr="00702DED">
        <w:rPr>
          <w:rFonts w:ascii="Verdana" w:hAnsi="Verdana" w:cs="Arial"/>
          <w:sz w:val="18"/>
          <w:szCs w:val="18"/>
        </w:rPr>
        <w:t>d’</w:t>
      </w:r>
      <w:r w:rsidRPr="00702DED">
        <w:rPr>
          <w:rFonts w:ascii="Verdana" w:hAnsi="Verdana" w:cs="Arial"/>
          <w:sz w:val="18"/>
          <w:szCs w:val="18"/>
        </w:rPr>
        <w:t xml:space="preserve">€, en </w:t>
      </w:r>
      <w:r w:rsidR="008A404A" w:rsidRPr="00702DED">
        <w:rPr>
          <w:rFonts w:ascii="Verdana" w:hAnsi="Verdana" w:cs="Arial"/>
          <w:sz w:val="18"/>
          <w:szCs w:val="18"/>
        </w:rPr>
        <w:t>retrait de</w:t>
      </w:r>
      <w:r w:rsidRPr="00702DED">
        <w:rPr>
          <w:rFonts w:ascii="Verdana" w:hAnsi="Verdana" w:cs="Arial"/>
          <w:sz w:val="18"/>
          <w:szCs w:val="18"/>
        </w:rPr>
        <w:t xml:space="preserve"> de </w:t>
      </w:r>
      <w:r w:rsidR="008A404A" w:rsidRPr="00702DED">
        <w:rPr>
          <w:rFonts w:ascii="Verdana" w:hAnsi="Verdana" w:cs="Arial"/>
          <w:sz w:val="18"/>
          <w:szCs w:val="18"/>
        </w:rPr>
        <w:t>1</w:t>
      </w:r>
      <w:r w:rsidRPr="00702DED">
        <w:rPr>
          <w:rFonts w:ascii="Verdana" w:hAnsi="Verdana" w:cs="Arial"/>
          <w:sz w:val="18"/>
          <w:szCs w:val="18"/>
        </w:rPr>
        <w:t>,4 %</w:t>
      </w:r>
      <w:r w:rsidRPr="00702DED">
        <w:t xml:space="preserve"> </w:t>
      </w:r>
      <w:r w:rsidRPr="00702DED">
        <w:rPr>
          <w:rFonts w:ascii="Verdana" w:hAnsi="Verdana" w:cs="Arial"/>
          <w:sz w:val="18"/>
          <w:szCs w:val="18"/>
        </w:rPr>
        <w:t>par rapport à 201</w:t>
      </w:r>
      <w:r w:rsidR="008A404A" w:rsidRPr="00702DED">
        <w:rPr>
          <w:rFonts w:ascii="Verdana" w:hAnsi="Verdana" w:cs="Arial"/>
          <w:sz w:val="18"/>
          <w:szCs w:val="18"/>
        </w:rPr>
        <w:t>5</w:t>
      </w:r>
      <w:r w:rsidRPr="00702DED">
        <w:rPr>
          <w:rFonts w:ascii="Verdana" w:hAnsi="Verdana" w:cs="Arial"/>
          <w:sz w:val="18"/>
          <w:szCs w:val="18"/>
        </w:rPr>
        <w:t>, sous</w:t>
      </w:r>
      <w:r w:rsidRPr="003258BB">
        <w:rPr>
          <w:rFonts w:ascii="Verdana" w:hAnsi="Verdana" w:cs="Arial"/>
          <w:sz w:val="18"/>
          <w:szCs w:val="18"/>
        </w:rPr>
        <w:t xml:space="preserve"> l’effet des facteurs suivants :</w:t>
      </w:r>
    </w:p>
    <w:p w:rsidR="003258BB" w:rsidRPr="008A404A" w:rsidRDefault="003258BB" w:rsidP="0054215C">
      <w:pPr>
        <w:numPr>
          <w:ilvl w:val="0"/>
          <w:numId w:val="4"/>
        </w:numPr>
        <w:tabs>
          <w:tab w:val="left" w:pos="360"/>
        </w:tabs>
        <w:spacing w:after="120"/>
        <w:jc w:val="both"/>
        <w:rPr>
          <w:rFonts w:ascii="Verdana" w:hAnsi="Verdana" w:cs="Arial"/>
          <w:sz w:val="18"/>
          <w:szCs w:val="18"/>
        </w:rPr>
      </w:pPr>
      <w:r w:rsidRPr="008A404A">
        <w:rPr>
          <w:rFonts w:ascii="Verdana" w:hAnsi="Verdana" w:cs="Arial"/>
          <w:sz w:val="18"/>
          <w:szCs w:val="18"/>
        </w:rPr>
        <w:t xml:space="preserve">l’effet </w:t>
      </w:r>
      <w:r w:rsidRPr="00343293">
        <w:rPr>
          <w:rFonts w:ascii="Verdana" w:hAnsi="Verdana" w:cs="Arial"/>
          <w:sz w:val="18"/>
          <w:szCs w:val="18"/>
        </w:rPr>
        <w:t>favorable (</w:t>
      </w:r>
      <w:r w:rsidR="007B3725" w:rsidRPr="00343293">
        <w:rPr>
          <w:rFonts w:ascii="Verdana" w:hAnsi="Verdana" w:cs="Arial"/>
          <w:sz w:val="18"/>
          <w:szCs w:val="18"/>
        </w:rPr>
        <w:t>4</w:t>
      </w:r>
      <w:r w:rsidR="00343293" w:rsidRPr="00343293">
        <w:rPr>
          <w:rFonts w:ascii="Verdana" w:hAnsi="Verdana" w:cs="Arial"/>
          <w:sz w:val="18"/>
          <w:szCs w:val="18"/>
        </w:rPr>
        <w:t>4</w:t>
      </w:r>
      <w:r w:rsidR="007B3725" w:rsidRPr="00343293">
        <w:rPr>
          <w:rFonts w:ascii="Verdana" w:hAnsi="Verdana" w:cs="Arial"/>
          <w:sz w:val="18"/>
          <w:szCs w:val="18"/>
        </w:rPr>
        <w:t>0</w:t>
      </w:r>
      <w:r w:rsidRPr="00343293">
        <w:rPr>
          <w:rFonts w:ascii="Verdana" w:hAnsi="Verdana" w:cs="Arial"/>
          <w:sz w:val="18"/>
          <w:szCs w:val="18"/>
        </w:rPr>
        <w:t xml:space="preserve"> millions</w:t>
      </w:r>
      <w:r w:rsidRPr="008A404A">
        <w:rPr>
          <w:rFonts w:ascii="Verdana" w:hAnsi="Verdana" w:cs="Arial"/>
          <w:sz w:val="18"/>
          <w:szCs w:val="18"/>
        </w:rPr>
        <w:t xml:space="preserve"> </w:t>
      </w:r>
      <w:r w:rsidR="00D11AC1" w:rsidRPr="008A404A">
        <w:rPr>
          <w:rFonts w:ascii="Verdana" w:hAnsi="Verdana" w:cs="Arial"/>
          <w:sz w:val="18"/>
          <w:szCs w:val="18"/>
        </w:rPr>
        <w:t>d’</w:t>
      </w:r>
      <w:r w:rsidRPr="008A404A">
        <w:rPr>
          <w:rFonts w:ascii="Verdana" w:hAnsi="Verdana" w:cs="Arial"/>
          <w:sz w:val="18"/>
          <w:szCs w:val="18"/>
        </w:rPr>
        <w:t xml:space="preserve">€) de la hausse de </w:t>
      </w:r>
      <w:r w:rsidR="00E95689" w:rsidRPr="008A404A">
        <w:rPr>
          <w:rFonts w:ascii="Verdana" w:hAnsi="Verdana" w:cs="Arial"/>
          <w:sz w:val="18"/>
          <w:szCs w:val="18"/>
        </w:rPr>
        <w:t>2,1</w:t>
      </w:r>
      <w:r w:rsidRPr="008A404A">
        <w:rPr>
          <w:rFonts w:ascii="Verdana" w:hAnsi="Verdana" w:cs="Arial"/>
          <w:sz w:val="18"/>
          <w:szCs w:val="18"/>
        </w:rPr>
        <w:t xml:space="preserve"> % des volumes</w:t>
      </w:r>
      <w:r w:rsidR="002C00F8" w:rsidRPr="008A404A">
        <w:rPr>
          <w:rFonts w:ascii="Verdana" w:hAnsi="Verdana" w:cs="Arial"/>
          <w:sz w:val="18"/>
          <w:szCs w:val="18"/>
        </w:rPr>
        <w:t> ;</w:t>
      </w:r>
    </w:p>
    <w:p w:rsidR="00C70B45" w:rsidRPr="00E67103" w:rsidRDefault="003258BB" w:rsidP="00E67103">
      <w:pPr>
        <w:numPr>
          <w:ilvl w:val="0"/>
          <w:numId w:val="4"/>
        </w:numPr>
        <w:tabs>
          <w:tab w:val="left" w:pos="360"/>
        </w:tabs>
        <w:spacing w:after="60"/>
        <w:jc w:val="both"/>
        <w:rPr>
          <w:rFonts w:ascii="Verdana" w:hAnsi="Verdana" w:cs="Arial"/>
          <w:sz w:val="18"/>
          <w:szCs w:val="18"/>
        </w:rPr>
      </w:pPr>
      <w:r w:rsidRPr="00F44CED">
        <w:rPr>
          <w:rFonts w:ascii="Verdana" w:hAnsi="Verdana" w:cs="Arial"/>
          <w:sz w:val="18"/>
          <w:szCs w:val="18"/>
        </w:rPr>
        <w:t xml:space="preserve">l’effet prix-mix négatif de </w:t>
      </w:r>
      <w:r w:rsidR="00F04616">
        <w:rPr>
          <w:rFonts w:ascii="Verdana" w:hAnsi="Verdana" w:cs="Arial"/>
          <w:sz w:val="18"/>
          <w:szCs w:val="18"/>
        </w:rPr>
        <w:t>386</w:t>
      </w:r>
      <w:r w:rsidRPr="00F44CED">
        <w:rPr>
          <w:rFonts w:ascii="Verdana" w:hAnsi="Verdana" w:cs="Arial"/>
          <w:sz w:val="18"/>
          <w:szCs w:val="18"/>
        </w:rPr>
        <w:t xml:space="preserve"> millions </w:t>
      </w:r>
      <w:r w:rsidR="00D11AC1" w:rsidRPr="00F44CED">
        <w:rPr>
          <w:rFonts w:ascii="Verdana" w:hAnsi="Verdana" w:cs="Arial"/>
          <w:sz w:val="18"/>
          <w:szCs w:val="18"/>
        </w:rPr>
        <w:t>d’</w:t>
      </w:r>
      <w:r w:rsidRPr="00F44CED">
        <w:rPr>
          <w:rFonts w:ascii="Verdana" w:hAnsi="Verdana" w:cs="Arial"/>
          <w:sz w:val="18"/>
          <w:szCs w:val="18"/>
        </w:rPr>
        <w:t xml:space="preserve">€ </w:t>
      </w:r>
      <w:r w:rsidR="00903FDD">
        <w:rPr>
          <w:rFonts w:ascii="Verdana" w:hAnsi="Verdana" w:cs="Arial"/>
          <w:sz w:val="18"/>
          <w:szCs w:val="18"/>
        </w:rPr>
        <w:t>(- </w:t>
      </w:r>
      <w:r w:rsidR="007B3725" w:rsidRPr="00903FDD">
        <w:rPr>
          <w:rFonts w:ascii="Verdana" w:hAnsi="Verdana" w:cs="Arial"/>
          <w:sz w:val="18"/>
          <w:szCs w:val="18"/>
        </w:rPr>
        <w:t>1</w:t>
      </w:r>
      <w:r w:rsidRPr="00903FDD">
        <w:rPr>
          <w:rFonts w:ascii="Verdana" w:hAnsi="Verdana" w:cs="Arial"/>
          <w:sz w:val="18"/>
          <w:szCs w:val="18"/>
        </w:rPr>
        <w:t>,</w:t>
      </w:r>
      <w:r w:rsidR="007B3725" w:rsidRPr="00903FDD">
        <w:rPr>
          <w:rFonts w:ascii="Verdana" w:hAnsi="Verdana" w:cs="Arial"/>
          <w:sz w:val="18"/>
          <w:szCs w:val="18"/>
        </w:rPr>
        <w:t>9</w:t>
      </w:r>
      <w:r w:rsidR="00903FDD">
        <w:rPr>
          <w:rFonts w:ascii="Verdana" w:hAnsi="Verdana" w:cs="Arial"/>
          <w:sz w:val="18"/>
          <w:szCs w:val="18"/>
        </w:rPr>
        <w:t> </w:t>
      </w:r>
      <w:r w:rsidR="007B3725" w:rsidRPr="00903FDD">
        <w:rPr>
          <w:rFonts w:ascii="Verdana" w:hAnsi="Verdana" w:cs="Arial"/>
          <w:sz w:val="18"/>
          <w:szCs w:val="18"/>
        </w:rPr>
        <w:t>%).</w:t>
      </w:r>
      <w:r w:rsidR="007B3725" w:rsidRPr="00F44CED">
        <w:rPr>
          <w:rFonts w:ascii="Verdana" w:hAnsi="Verdana" w:cs="Arial"/>
          <w:sz w:val="18"/>
          <w:szCs w:val="18"/>
        </w:rPr>
        <w:t xml:space="preserve"> Il traduit, à hauteur </w:t>
      </w:r>
      <w:r w:rsidR="007B3725" w:rsidRPr="00F04616">
        <w:rPr>
          <w:rFonts w:ascii="Verdana" w:hAnsi="Verdana" w:cs="Arial"/>
          <w:sz w:val="18"/>
          <w:szCs w:val="18"/>
        </w:rPr>
        <w:t>de</w:t>
      </w:r>
      <w:r w:rsidRPr="00F04616">
        <w:rPr>
          <w:rFonts w:ascii="Verdana" w:hAnsi="Verdana" w:cs="Arial"/>
          <w:sz w:val="18"/>
          <w:szCs w:val="18"/>
        </w:rPr>
        <w:t xml:space="preserve"> </w:t>
      </w:r>
      <w:r w:rsidR="007B3725" w:rsidRPr="00F04616">
        <w:rPr>
          <w:rFonts w:ascii="Verdana" w:hAnsi="Verdana" w:cs="Arial"/>
          <w:sz w:val="18"/>
          <w:szCs w:val="18"/>
        </w:rPr>
        <w:t>4</w:t>
      </w:r>
      <w:r w:rsidR="00343293">
        <w:rPr>
          <w:rFonts w:ascii="Verdana" w:hAnsi="Verdana" w:cs="Arial"/>
          <w:sz w:val="18"/>
          <w:szCs w:val="18"/>
        </w:rPr>
        <w:t>38</w:t>
      </w:r>
      <w:r w:rsidRPr="00F44CED">
        <w:rPr>
          <w:rFonts w:ascii="Verdana" w:hAnsi="Verdana" w:cs="Arial"/>
          <w:sz w:val="18"/>
          <w:szCs w:val="18"/>
        </w:rPr>
        <w:t xml:space="preserve"> millions </w:t>
      </w:r>
      <w:r w:rsidR="00D11AC1" w:rsidRPr="00F44CED">
        <w:rPr>
          <w:rFonts w:ascii="Verdana" w:hAnsi="Verdana" w:cs="Arial"/>
          <w:sz w:val="18"/>
          <w:szCs w:val="18"/>
        </w:rPr>
        <w:t>d’</w:t>
      </w:r>
      <w:r w:rsidRPr="00F44CED">
        <w:rPr>
          <w:rFonts w:ascii="Verdana" w:hAnsi="Verdana" w:cs="Arial"/>
          <w:sz w:val="18"/>
          <w:szCs w:val="18"/>
        </w:rPr>
        <w:t xml:space="preserve">€, l’évolution des </w:t>
      </w:r>
      <w:r w:rsidRPr="00650C70">
        <w:rPr>
          <w:rFonts w:ascii="Verdana" w:hAnsi="Verdana" w:cs="Arial"/>
          <w:sz w:val="18"/>
          <w:szCs w:val="18"/>
        </w:rPr>
        <w:t xml:space="preserve">prix dont </w:t>
      </w:r>
      <w:r w:rsidR="00650C70" w:rsidRPr="00650C70">
        <w:rPr>
          <w:rFonts w:ascii="Verdana" w:hAnsi="Verdana" w:cs="Arial"/>
          <w:sz w:val="18"/>
          <w:szCs w:val="18"/>
        </w:rPr>
        <w:t>près de la moitié</w:t>
      </w:r>
      <w:r w:rsidRPr="00650C70">
        <w:rPr>
          <w:rFonts w:ascii="Verdana" w:hAnsi="Verdana" w:cs="Arial"/>
          <w:sz w:val="18"/>
          <w:szCs w:val="18"/>
        </w:rPr>
        <w:t xml:space="preserve"> correspond aux ajustements liés aux clauses d’indexation sur les coûts de matières premières.</w:t>
      </w:r>
      <w:r w:rsidR="0036433C">
        <w:rPr>
          <w:rFonts w:ascii="Verdana" w:hAnsi="Verdana" w:cs="Arial"/>
          <w:sz w:val="18"/>
          <w:szCs w:val="18"/>
        </w:rPr>
        <w:t xml:space="preserve"> </w:t>
      </w:r>
      <w:r w:rsidRPr="00F44CED">
        <w:rPr>
          <w:rFonts w:ascii="Verdana" w:hAnsi="Verdana" w:cs="Arial"/>
          <w:sz w:val="18"/>
          <w:szCs w:val="18"/>
        </w:rPr>
        <w:t xml:space="preserve">L’effet positif du mix s’élève à </w:t>
      </w:r>
      <w:r w:rsidR="00343293">
        <w:rPr>
          <w:rFonts w:ascii="Verdana" w:hAnsi="Verdana" w:cs="Arial"/>
          <w:sz w:val="18"/>
          <w:szCs w:val="18"/>
        </w:rPr>
        <w:t>52</w:t>
      </w:r>
      <w:r w:rsidR="00343293" w:rsidRPr="00F44CED">
        <w:rPr>
          <w:rFonts w:ascii="Verdana" w:hAnsi="Verdana" w:cs="Arial"/>
          <w:sz w:val="18"/>
          <w:szCs w:val="18"/>
        </w:rPr>
        <w:t xml:space="preserve"> </w:t>
      </w:r>
      <w:r w:rsidRPr="00F44CED">
        <w:rPr>
          <w:rFonts w:ascii="Verdana" w:hAnsi="Verdana" w:cs="Arial"/>
          <w:sz w:val="18"/>
          <w:szCs w:val="18"/>
        </w:rPr>
        <w:t xml:space="preserve">millions </w:t>
      </w:r>
      <w:r w:rsidR="00D11AC1" w:rsidRPr="00F44CED">
        <w:rPr>
          <w:rFonts w:ascii="Verdana" w:hAnsi="Verdana" w:cs="Arial"/>
          <w:sz w:val="18"/>
          <w:szCs w:val="18"/>
        </w:rPr>
        <w:t>d’</w:t>
      </w:r>
      <w:r w:rsidRPr="00F44CED">
        <w:rPr>
          <w:rFonts w:ascii="Verdana" w:hAnsi="Verdana" w:cs="Arial"/>
          <w:sz w:val="18"/>
          <w:szCs w:val="18"/>
        </w:rPr>
        <w:t>€ ; le mix produit</w:t>
      </w:r>
      <w:r w:rsidR="00F23BBF" w:rsidRPr="00F44CED">
        <w:rPr>
          <w:rFonts w:ascii="Verdana" w:hAnsi="Verdana" w:cs="Arial"/>
          <w:sz w:val="18"/>
          <w:szCs w:val="18"/>
        </w:rPr>
        <w:t>,</w:t>
      </w:r>
      <w:r w:rsidRPr="00F44CED">
        <w:rPr>
          <w:rFonts w:ascii="Verdana" w:hAnsi="Verdana" w:cs="Arial"/>
          <w:sz w:val="18"/>
          <w:szCs w:val="18"/>
        </w:rPr>
        <w:t xml:space="preserve"> toujours fortement positif</w:t>
      </w:r>
      <w:r w:rsidR="00343293">
        <w:rPr>
          <w:rFonts w:ascii="Verdana" w:hAnsi="Verdana" w:cs="Arial"/>
          <w:sz w:val="18"/>
          <w:szCs w:val="18"/>
        </w:rPr>
        <w:t xml:space="preserve"> et l’effet favorable du rebond au 4</w:t>
      </w:r>
      <w:r w:rsidR="00343293" w:rsidRPr="00343293">
        <w:rPr>
          <w:rFonts w:ascii="Verdana" w:hAnsi="Verdana" w:cs="Arial"/>
          <w:sz w:val="18"/>
          <w:szCs w:val="18"/>
          <w:vertAlign w:val="superscript"/>
        </w:rPr>
        <w:t>e</w:t>
      </w:r>
      <w:r w:rsidR="00343293">
        <w:rPr>
          <w:rFonts w:ascii="Verdana" w:hAnsi="Verdana" w:cs="Arial"/>
          <w:sz w:val="18"/>
          <w:szCs w:val="18"/>
        </w:rPr>
        <w:t xml:space="preserve"> trimestre de l’activité Génie civil</w:t>
      </w:r>
      <w:r w:rsidRPr="00F44CED">
        <w:rPr>
          <w:rFonts w:ascii="Verdana" w:hAnsi="Verdana" w:cs="Arial"/>
          <w:sz w:val="18"/>
          <w:szCs w:val="18"/>
        </w:rPr>
        <w:t xml:space="preserve"> </w:t>
      </w:r>
      <w:r w:rsidR="00343293">
        <w:rPr>
          <w:rFonts w:ascii="Verdana" w:hAnsi="Verdana" w:cs="Arial"/>
          <w:sz w:val="18"/>
          <w:szCs w:val="18"/>
        </w:rPr>
        <w:t>sont</w:t>
      </w:r>
      <w:r w:rsidR="00343293" w:rsidRPr="00F44CED">
        <w:rPr>
          <w:rFonts w:ascii="Verdana" w:hAnsi="Verdana" w:cs="Arial"/>
          <w:sz w:val="18"/>
          <w:szCs w:val="18"/>
        </w:rPr>
        <w:t xml:space="preserve"> </w:t>
      </w:r>
      <w:r w:rsidRPr="00F44CED">
        <w:rPr>
          <w:rFonts w:ascii="Verdana" w:hAnsi="Verdana" w:cs="Arial"/>
          <w:sz w:val="18"/>
          <w:szCs w:val="18"/>
        </w:rPr>
        <w:t>partiellement amputé</w:t>
      </w:r>
      <w:r w:rsidR="00343293">
        <w:rPr>
          <w:rFonts w:ascii="Verdana" w:hAnsi="Verdana" w:cs="Arial"/>
          <w:sz w:val="18"/>
          <w:szCs w:val="18"/>
        </w:rPr>
        <w:t>s</w:t>
      </w:r>
      <w:r w:rsidRPr="00F44CED">
        <w:rPr>
          <w:rFonts w:ascii="Verdana" w:hAnsi="Verdana" w:cs="Arial"/>
          <w:sz w:val="18"/>
          <w:szCs w:val="18"/>
        </w:rPr>
        <w:t xml:space="preserve"> par le mix géographique et les effets de mix liés à la </w:t>
      </w:r>
      <w:r w:rsidR="00E67103" w:rsidRPr="00F44CED">
        <w:rPr>
          <w:rFonts w:ascii="Verdana" w:hAnsi="Verdana" w:cs="Arial"/>
          <w:sz w:val="18"/>
          <w:szCs w:val="18"/>
        </w:rPr>
        <w:t xml:space="preserve">progression relative des pneus de milieu de </w:t>
      </w:r>
      <w:r w:rsidR="00E67103" w:rsidRPr="002705F3">
        <w:rPr>
          <w:rFonts w:ascii="Verdana" w:hAnsi="Verdana" w:cs="Arial"/>
          <w:sz w:val="18"/>
          <w:szCs w:val="18"/>
        </w:rPr>
        <w:t>gamme</w:t>
      </w:r>
      <w:r w:rsidR="00343293">
        <w:rPr>
          <w:rFonts w:ascii="Verdana" w:hAnsi="Verdana" w:cs="Arial"/>
          <w:sz w:val="18"/>
          <w:szCs w:val="18"/>
        </w:rPr>
        <w:t xml:space="preserve"> et</w:t>
      </w:r>
      <w:r w:rsidR="00E67103" w:rsidRPr="002705F3">
        <w:rPr>
          <w:rFonts w:ascii="Verdana" w:hAnsi="Verdana" w:cs="Arial"/>
          <w:sz w:val="18"/>
          <w:szCs w:val="18"/>
        </w:rPr>
        <w:t xml:space="preserve"> de la Première monte</w:t>
      </w:r>
      <w:r w:rsidR="00E67103" w:rsidRPr="00F44CED">
        <w:rPr>
          <w:rFonts w:ascii="Verdana" w:hAnsi="Verdana" w:cs="Arial"/>
          <w:sz w:val="18"/>
          <w:szCs w:val="18"/>
        </w:rPr>
        <w:t>;</w:t>
      </w:r>
    </w:p>
    <w:p w:rsidR="003258BB" w:rsidRPr="00E67103" w:rsidRDefault="00C70B45" w:rsidP="005D3990">
      <w:pPr>
        <w:numPr>
          <w:ilvl w:val="0"/>
          <w:numId w:val="4"/>
        </w:numPr>
        <w:tabs>
          <w:tab w:val="left" w:pos="360"/>
        </w:tabs>
        <w:spacing w:after="60"/>
        <w:jc w:val="both"/>
        <w:rPr>
          <w:rFonts w:ascii="Verdana" w:hAnsi="Verdana" w:cs="Arial"/>
          <w:sz w:val="18"/>
          <w:szCs w:val="18"/>
        </w:rPr>
      </w:pPr>
      <w:r w:rsidRPr="007B3725">
        <w:rPr>
          <w:rFonts w:ascii="Verdana" w:hAnsi="Verdana" w:cs="Arial"/>
          <w:sz w:val="18"/>
          <w:szCs w:val="18"/>
        </w:rPr>
        <w:t>l’impact négatif (</w:t>
      </w:r>
      <w:r w:rsidRPr="00343293">
        <w:rPr>
          <w:rFonts w:ascii="Verdana" w:hAnsi="Verdana" w:cs="Arial"/>
          <w:sz w:val="18"/>
          <w:szCs w:val="18"/>
        </w:rPr>
        <w:t>370 millions</w:t>
      </w:r>
      <w:r w:rsidRPr="007B3725">
        <w:rPr>
          <w:rFonts w:ascii="Verdana" w:hAnsi="Verdana" w:cs="Arial"/>
          <w:sz w:val="18"/>
          <w:szCs w:val="18"/>
        </w:rPr>
        <w:t xml:space="preserve"> d’€) des parités de </w:t>
      </w:r>
      <w:r w:rsidRPr="00E67103">
        <w:rPr>
          <w:rFonts w:ascii="Verdana" w:hAnsi="Verdana" w:cs="Arial"/>
          <w:sz w:val="18"/>
          <w:szCs w:val="18"/>
        </w:rPr>
        <w:t xml:space="preserve">change </w:t>
      </w:r>
      <w:r w:rsidR="003258BB" w:rsidRPr="00E67103">
        <w:rPr>
          <w:rFonts w:ascii="Verdana" w:hAnsi="Verdana" w:cs="Arial"/>
          <w:sz w:val="18"/>
          <w:szCs w:val="18"/>
        </w:rPr>
        <w:t>;</w:t>
      </w:r>
    </w:p>
    <w:p w:rsidR="003258BB" w:rsidRPr="007B3725" w:rsidRDefault="00C70B45" w:rsidP="002705F3">
      <w:pPr>
        <w:numPr>
          <w:ilvl w:val="0"/>
          <w:numId w:val="4"/>
        </w:numPr>
        <w:spacing w:after="120"/>
        <w:jc w:val="both"/>
        <w:rPr>
          <w:rFonts w:ascii="Verdana" w:hAnsi="Verdana" w:cs="Arial"/>
          <w:sz w:val="18"/>
          <w:szCs w:val="18"/>
        </w:rPr>
      </w:pPr>
      <w:r w:rsidRPr="00E67103">
        <w:rPr>
          <w:rFonts w:ascii="Verdana" w:hAnsi="Verdana" w:cs="Arial"/>
          <w:sz w:val="18"/>
          <w:szCs w:val="18"/>
        </w:rPr>
        <w:t>l’écart favorable de périmètre (24 millions d’</w:t>
      </w:r>
      <w:r w:rsidRPr="002705F3">
        <w:rPr>
          <w:rFonts w:ascii="Verdana" w:hAnsi="Verdana" w:cs="Arial"/>
          <w:sz w:val="18"/>
          <w:szCs w:val="18"/>
        </w:rPr>
        <w:t xml:space="preserve">€) lié à l’intégration </w:t>
      </w:r>
      <w:r w:rsidR="002705F3" w:rsidRPr="002705F3">
        <w:rPr>
          <w:rFonts w:ascii="Verdana" w:hAnsi="Verdana" w:cs="Arial"/>
          <w:sz w:val="18"/>
          <w:szCs w:val="18"/>
        </w:rPr>
        <w:t xml:space="preserve">de </w:t>
      </w:r>
      <w:proofErr w:type="spellStart"/>
      <w:r w:rsidR="002705F3" w:rsidRPr="002705F3">
        <w:rPr>
          <w:rFonts w:ascii="Verdana" w:hAnsi="Verdana" w:cs="Arial"/>
          <w:sz w:val="18"/>
          <w:szCs w:val="18"/>
        </w:rPr>
        <w:t>BookaTable</w:t>
      </w:r>
      <w:proofErr w:type="spellEnd"/>
      <w:r w:rsidR="002705F3" w:rsidRPr="002705F3">
        <w:rPr>
          <w:rFonts w:ascii="Verdana" w:hAnsi="Verdana" w:cs="Arial"/>
          <w:sz w:val="18"/>
          <w:szCs w:val="18"/>
        </w:rPr>
        <w:t>, leader europée</w:t>
      </w:r>
      <w:r w:rsidR="002705F3">
        <w:rPr>
          <w:rFonts w:ascii="Verdana" w:hAnsi="Verdana" w:cs="Arial"/>
          <w:sz w:val="18"/>
          <w:szCs w:val="18"/>
        </w:rPr>
        <w:t>n de la réservation en ligne de</w:t>
      </w:r>
      <w:r w:rsidR="002705F3" w:rsidRPr="002705F3">
        <w:rPr>
          <w:rFonts w:ascii="Verdana" w:hAnsi="Verdana" w:cs="Arial"/>
          <w:sz w:val="18"/>
          <w:szCs w:val="18"/>
        </w:rPr>
        <w:t xml:space="preserve"> restaurants</w:t>
      </w:r>
      <w:r w:rsidR="003258BB" w:rsidRPr="007B3725">
        <w:rPr>
          <w:rFonts w:ascii="Verdana" w:hAnsi="Verdana" w:cs="Arial"/>
          <w:sz w:val="18"/>
          <w:szCs w:val="18"/>
        </w:rPr>
        <w:t>.</w:t>
      </w:r>
    </w:p>
    <w:p w:rsidR="007970E1" w:rsidRPr="007970E1" w:rsidRDefault="007970E1" w:rsidP="00BE16D2">
      <w:pPr>
        <w:numPr>
          <w:ilvl w:val="0"/>
          <w:numId w:val="2"/>
        </w:numPr>
        <w:tabs>
          <w:tab w:val="left" w:pos="284"/>
        </w:tabs>
        <w:spacing w:before="240" w:after="240"/>
        <w:ind w:left="357" w:hanging="357"/>
        <w:jc w:val="both"/>
        <w:rPr>
          <w:rFonts w:ascii="Verdana" w:hAnsi="Verdana" w:cs="Arial"/>
          <w:b/>
        </w:rPr>
      </w:pPr>
      <w:r w:rsidRPr="007970E1">
        <w:rPr>
          <w:rFonts w:ascii="Arial" w:hAnsi="Arial" w:cs="Arial"/>
          <w:bCs/>
          <w:smallCaps/>
          <w:sz w:val="24"/>
          <w:szCs w:val="24"/>
        </w:rPr>
        <w:t>Résultats</w:t>
      </w:r>
    </w:p>
    <w:p w:rsidR="00390433" w:rsidRPr="00956D71" w:rsidRDefault="007970E1" w:rsidP="00390433">
      <w:pPr>
        <w:spacing w:after="120"/>
        <w:ind w:left="426"/>
        <w:jc w:val="both"/>
        <w:rPr>
          <w:rFonts w:ascii="Verdana" w:hAnsi="Verdana" w:cs="Arial"/>
          <w:b/>
          <w:strike/>
          <w:sz w:val="18"/>
          <w:szCs w:val="18"/>
        </w:rPr>
      </w:pPr>
      <w:r w:rsidRPr="003F19EE">
        <w:rPr>
          <w:rFonts w:ascii="Verdana" w:hAnsi="Verdana" w:cs="Arial"/>
          <w:b/>
          <w:sz w:val="18"/>
          <w:szCs w:val="18"/>
        </w:rPr>
        <w:t xml:space="preserve">Le résultat opérationnel du Groupe </w:t>
      </w:r>
      <w:r w:rsidR="008D6571">
        <w:rPr>
          <w:rFonts w:ascii="Verdana" w:hAnsi="Verdana" w:cs="Arial"/>
          <w:b/>
          <w:sz w:val="18"/>
          <w:szCs w:val="18"/>
        </w:rPr>
        <w:t>sur activités courantes</w:t>
      </w:r>
      <w:r w:rsidRPr="003F19EE">
        <w:rPr>
          <w:rFonts w:ascii="Verdana" w:hAnsi="Verdana" w:cs="Arial"/>
          <w:b/>
          <w:sz w:val="18"/>
          <w:szCs w:val="18"/>
        </w:rPr>
        <w:t xml:space="preserve"> </w:t>
      </w:r>
      <w:r w:rsidR="00390433" w:rsidRPr="003F19EE">
        <w:rPr>
          <w:rFonts w:ascii="Verdana" w:hAnsi="Verdana" w:cs="Arial"/>
          <w:sz w:val="18"/>
          <w:szCs w:val="18"/>
        </w:rPr>
        <w:t xml:space="preserve">s’établit à 2 </w:t>
      </w:r>
      <w:r w:rsidR="003F19EE" w:rsidRPr="003F19EE">
        <w:rPr>
          <w:rFonts w:ascii="Verdana" w:hAnsi="Verdana" w:cs="Arial"/>
          <w:sz w:val="18"/>
          <w:szCs w:val="18"/>
        </w:rPr>
        <w:t>692</w:t>
      </w:r>
      <w:r w:rsidR="00390433" w:rsidRPr="003F19EE">
        <w:rPr>
          <w:rFonts w:ascii="Verdana" w:hAnsi="Verdana" w:cs="Arial"/>
          <w:sz w:val="18"/>
          <w:szCs w:val="18"/>
        </w:rPr>
        <w:t xml:space="preserve"> millions </w:t>
      </w:r>
      <w:r w:rsidR="00D11AC1" w:rsidRPr="003F19EE">
        <w:rPr>
          <w:rFonts w:ascii="Verdana" w:hAnsi="Verdana" w:cs="Arial"/>
          <w:sz w:val="18"/>
          <w:szCs w:val="18"/>
        </w:rPr>
        <w:t>d’</w:t>
      </w:r>
      <w:r w:rsidR="00390433" w:rsidRPr="003F19EE">
        <w:rPr>
          <w:rFonts w:ascii="Verdana" w:hAnsi="Verdana" w:cs="Arial"/>
          <w:sz w:val="18"/>
          <w:szCs w:val="18"/>
        </w:rPr>
        <w:t>€, soit 12,</w:t>
      </w:r>
      <w:r w:rsidR="003F19EE" w:rsidRPr="003F19EE">
        <w:rPr>
          <w:rFonts w:ascii="Verdana" w:hAnsi="Verdana" w:cs="Arial"/>
          <w:sz w:val="18"/>
          <w:szCs w:val="18"/>
        </w:rPr>
        <w:t>9</w:t>
      </w:r>
      <w:r w:rsidR="00390433" w:rsidRPr="003F19EE">
        <w:rPr>
          <w:rFonts w:ascii="Verdana" w:hAnsi="Verdana" w:cs="Arial"/>
          <w:sz w:val="18"/>
          <w:szCs w:val="18"/>
        </w:rPr>
        <w:t xml:space="preserve"> % des ventes nettes, contre 2 </w:t>
      </w:r>
      <w:r w:rsidR="003F19EE" w:rsidRPr="003F19EE">
        <w:rPr>
          <w:rFonts w:ascii="Verdana" w:hAnsi="Verdana" w:cs="Arial"/>
          <w:sz w:val="18"/>
          <w:szCs w:val="18"/>
        </w:rPr>
        <w:t>577</w:t>
      </w:r>
      <w:r w:rsidR="00390433" w:rsidRPr="003F19EE">
        <w:rPr>
          <w:rFonts w:ascii="Verdana" w:hAnsi="Verdana" w:cs="Arial"/>
          <w:sz w:val="18"/>
          <w:szCs w:val="18"/>
        </w:rPr>
        <w:t xml:space="preserve"> millions d’€ et 1</w:t>
      </w:r>
      <w:r w:rsidR="003F19EE" w:rsidRPr="003F19EE">
        <w:rPr>
          <w:rFonts w:ascii="Verdana" w:hAnsi="Verdana" w:cs="Arial"/>
          <w:sz w:val="18"/>
          <w:szCs w:val="18"/>
        </w:rPr>
        <w:t>2</w:t>
      </w:r>
      <w:r w:rsidR="00390433" w:rsidRPr="003F19EE">
        <w:rPr>
          <w:rFonts w:ascii="Verdana" w:hAnsi="Verdana" w:cs="Arial"/>
          <w:sz w:val="18"/>
          <w:szCs w:val="18"/>
        </w:rPr>
        <w:t>,</w:t>
      </w:r>
      <w:r w:rsidR="003F19EE" w:rsidRPr="003F19EE">
        <w:rPr>
          <w:rFonts w:ascii="Verdana" w:hAnsi="Verdana" w:cs="Arial"/>
          <w:sz w:val="18"/>
          <w:szCs w:val="18"/>
        </w:rPr>
        <w:t>2</w:t>
      </w:r>
      <w:r w:rsidR="00390433" w:rsidRPr="003F19EE">
        <w:rPr>
          <w:rFonts w:ascii="Verdana" w:hAnsi="Verdana" w:cs="Arial"/>
          <w:sz w:val="18"/>
          <w:szCs w:val="18"/>
        </w:rPr>
        <w:t> % publiés en 201</w:t>
      </w:r>
      <w:r w:rsidR="003F19EE" w:rsidRPr="003F19EE">
        <w:rPr>
          <w:rFonts w:ascii="Verdana" w:hAnsi="Verdana" w:cs="Arial"/>
          <w:sz w:val="18"/>
          <w:szCs w:val="18"/>
        </w:rPr>
        <w:t>5</w:t>
      </w:r>
      <w:r w:rsidR="00390433" w:rsidRPr="00384877">
        <w:rPr>
          <w:rFonts w:ascii="Verdana" w:hAnsi="Verdana" w:cs="Arial"/>
          <w:sz w:val="18"/>
          <w:szCs w:val="18"/>
        </w:rPr>
        <w:t xml:space="preserve">. </w:t>
      </w:r>
      <w:r w:rsidR="00384877" w:rsidRPr="00384877">
        <w:rPr>
          <w:rFonts w:ascii="Verdana" w:hAnsi="Verdana" w:cs="Arial"/>
          <w:sz w:val="18"/>
          <w:szCs w:val="18"/>
        </w:rPr>
        <w:t>Le résultat opérationnel hors activités courantes</w:t>
      </w:r>
      <w:r w:rsidR="00390433" w:rsidRPr="00384877">
        <w:rPr>
          <w:rFonts w:ascii="Verdana" w:hAnsi="Verdana" w:cs="Arial"/>
          <w:sz w:val="18"/>
          <w:szCs w:val="18"/>
        </w:rPr>
        <w:t xml:space="preserve"> de </w:t>
      </w:r>
      <w:r w:rsidR="00384877" w:rsidRPr="00384877">
        <w:rPr>
          <w:rFonts w:ascii="Verdana" w:hAnsi="Verdana" w:cs="Arial"/>
          <w:sz w:val="18"/>
          <w:szCs w:val="18"/>
        </w:rPr>
        <w:t>99</w:t>
      </w:r>
      <w:r w:rsidR="00390433" w:rsidRPr="00384877">
        <w:rPr>
          <w:rFonts w:ascii="Verdana" w:hAnsi="Verdana" w:cs="Arial"/>
          <w:sz w:val="18"/>
          <w:szCs w:val="18"/>
        </w:rPr>
        <w:t xml:space="preserve"> millions </w:t>
      </w:r>
      <w:r w:rsidR="00D11AC1" w:rsidRPr="00384877">
        <w:rPr>
          <w:rFonts w:ascii="Verdana" w:hAnsi="Verdana" w:cs="Arial"/>
          <w:sz w:val="18"/>
          <w:szCs w:val="18"/>
        </w:rPr>
        <w:t>d’</w:t>
      </w:r>
      <w:r w:rsidR="00390433" w:rsidRPr="00384877">
        <w:rPr>
          <w:rFonts w:ascii="Verdana" w:hAnsi="Verdana" w:cs="Arial"/>
          <w:sz w:val="18"/>
          <w:szCs w:val="18"/>
        </w:rPr>
        <w:t xml:space="preserve">€ correspond </w:t>
      </w:r>
      <w:r w:rsidR="00AA64A3" w:rsidRPr="00AA64A3">
        <w:rPr>
          <w:rFonts w:ascii="Verdana" w:hAnsi="Verdana" w:cs="Arial"/>
          <w:sz w:val="18"/>
          <w:szCs w:val="18"/>
        </w:rPr>
        <w:t>à un produit généré par une modification d</w:t>
      </w:r>
      <w:r w:rsidR="00AA64A3">
        <w:rPr>
          <w:rFonts w:ascii="Verdana" w:hAnsi="Verdana" w:cs="Arial"/>
          <w:sz w:val="18"/>
          <w:szCs w:val="18"/>
        </w:rPr>
        <w:t>e</w:t>
      </w:r>
      <w:r w:rsidR="00AA64A3" w:rsidRPr="00AA64A3">
        <w:rPr>
          <w:rFonts w:ascii="Verdana" w:hAnsi="Verdana" w:cs="Arial"/>
          <w:sz w:val="18"/>
          <w:szCs w:val="18"/>
        </w:rPr>
        <w:t xml:space="preserve"> régime du plan médical des retraités aux Etats-Unis, partiellement compensé par les frais de restructuration liés aux projets d’amélioration de la compétitivité du Groupe.</w:t>
      </w:r>
    </w:p>
    <w:p w:rsidR="007970E1" w:rsidRPr="00F16171" w:rsidRDefault="00722AA6">
      <w:pPr>
        <w:spacing w:after="120"/>
        <w:ind w:left="426"/>
        <w:jc w:val="both"/>
        <w:rPr>
          <w:rFonts w:ascii="Verdana" w:hAnsi="Verdana" w:cs="Arial"/>
          <w:bCs/>
          <w:sz w:val="18"/>
          <w:szCs w:val="18"/>
        </w:rPr>
      </w:pPr>
      <w:r w:rsidRPr="002705F3">
        <w:rPr>
          <w:rFonts w:ascii="Verdana" w:hAnsi="Verdana" w:cs="Arial"/>
          <w:bCs/>
          <w:sz w:val="18"/>
          <w:szCs w:val="18"/>
        </w:rPr>
        <w:t>L</w:t>
      </w:r>
      <w:r w:rsidR="007970E1" w:rsidRPr="002705F3">
        <w:rPr>
          <w:rFonts w:ascii="Verdana" w:hAnsi="Verdana" w:cs="Arial"/>
          <w:bCs/>
          <w:sz w:val="18"/>
          <w:szCs w:val="18"/>
        </w:rPr>
        <w:t xml:space="preserve">e résultat opérationnel </w:t>
      </w:r>
      <w:r w:rsidR="008D6571" w:rsidRPr="002705F3">
        <w:rPr>
          <w:rFonts w:ascii="Verdana" w:hAnsi="Verdana" w:cs="Arial"/>
          <w:bCs/>
          <w:sz w:val="18"/>
          <w:szCs w:val="18"/>
        </w:rPr>
        <w:t>sur activités courantes</w:t>
      </w:r>
      <w:r w:rsidR="007970E1" w:rsidRPr="002705F3">
        <w:rPr>
          <w:rFonts w:ascii="Verdana" w:hAnsi="Verdana" w:cs="Arial"/>
          <w:bCs/>
          <w:sz w:val="18"/>
          <w:szCs w:val="18"/>
        </w:rPr>
        <w:t xml:space="preserve"> enregistre l’effet de la hausse des volumes</w:t>
      </w:r>
      <w:r w:rsidR="007970E1" w:rsidRPr="00A430C8">
        <w:rPr>
          <w:rFonts w:ascii="Verdana" w:hAnsi="Verdana" w:cs="Arial"/>
          <w:bCs/>
          <w:sz w:val="18"/>
          <w:szCs w:val="18"/>
        </w:rPr>
        <w:t xml:space="preserve"> (+ </w:t>
      </w:r>
      <w:r w:rsidR="00912832" w:rsidRPr="00A430C8">
        <w:rPr>
          <w:rFonts w:ascii="Verdana" w:hAnsi="Verdana" w:cs="Arial"/>
          <w:bCs/>
          <w:sz w:val="18"/>
          <w:szCs w:val="18"/>
        </w:rPr>
        <w:t>176</w:t>
      </w:r>
      <w:r w:rsidR="007970E1" w:rsidRPr="00A430C8">
        <w:rPr>
          <w:rFonts w:ascii="Verdana" w:hAnsi="Verdana" w:cs="Arial"/>
          <w:bCs/>
          <w:sz w:val="18"/>
          <w:szCs w:val="18"/>
        </w:rPr>
        <w:t xml:space="preserve"> millions d’€)</w:t>
      </w:r>
      <w:r w:rsidRPr="00A430C8">
        <w:rPr>
          <w:rFonts w:ascii="Verdana" w:hAnsi="Verdana" w:cs="Arial"/>
          <w:bCs/>
          <w:sz w:val="18"/>
          <w:szCs w:val="18"/>
        </w:rPr>
        <w:t xml:space="preserve"> et</w:t>
      </w:r>
      <w:r w:rsidR="007970E1" w:rsidRPr="00A430C8">
        <w:rPr>
          <w:rFonts w:ascii="Verdana" w:hAnsi="Verdana" w:cs="Arial"/>
          <w:bCs/>
          <w:sz w:val="18"/>
          <w:szCs w:val="18"/>
        </w:rPr>
        <w:t xml:space="preserve"> </w:t>
      </w:r>
      <w:r w:rsidR="00912832" w:rsidRPr="00A430C8">
        <w:rPr>
          <w:rFonts w:ascii="Verdana" w:hAnsi="Verdana" w:cs="Arial"/>
          <w:bCs/>
          <w:sz w:val="18"/>
          <w:szCs w:val="18"/>
        </w:rPr>
        <w:t xml:space="preserve">l’impact net favorable de 159 millions d’€ lié au </w:t>
      </w:r>
      <w:r w:rsidR="007970E1" w:rsidRPr="00A430C8">
        <w:rPr>
          <w:rFonts w:ascii="Verdana" w:hAnsi="Verdana" w:cs="Arial"/>
          <w:bCs/>
          <w:sz w:val="18"/>
          <w:szCs w:val="18"/>
        </w:rPr>
        <w:t xml:space="preserve">pilotage </w:t>
      </w:r>
      <w:r w:rsidR="00912832" w:rsidRPr="00A430C8">
        <w:rPr>
          <w:rFonts w:ascii="Verdana" w:hAnsi="Verdana" w:cs="Arial"/>
          <w:bCs/>
          <w:sz w:val="18"/>
          <w:szCs w:val="18"/>
        </w:rPr>
        <w:t xml:space="preserve">efficace </w:t>
      </w:r>
      <w:r w:rsidR="007970E1" w:rsidRPr="00A430C8">
        <w:rPr>
          <w:rFonts w:ascii="Verdana" w:hAnsi="Verdana" w:cs="Arial"/>
          <w:bCs/>
          <w:sz w:val="18"/>
          <w:szCs w:val="18"/>
        </w:rPr>
        <w:t>du prix-mix (- </w:t>
      </w:r>
      <w:r w:rsidR="00A430C8" w:rsidRPr="00A430C8">
        <w:rPr>
          <w:rFonts w:ascii="Verdana" w:hAnsi="Verdana" w:cs="Arial"/>
          <w:bCs/>
          <w:sz w:val="18"/>
          <w:szCs w:val="18"/>
        </w:rPr>
        <w:t xml:space="preserve">386 </w:t>
      </w:r>
      <w:r w:rsidR="007970E1" w:rsidRPr="00A430C8">
        <w:rPr>
          <w:rFonts w:ascii="Verdana" w:hAnsi="Verdana" w:cs="Arial"/>
          <w:bCs/>
          <w:sz w:val="18"/>
          <w:szCs w:val="18"/>
        </w:rPr>
        <w:t>millions d’€) compte tenu de l’impact favorable des matières premières (+ </w:t>
      </w:r>
      <w:r w:rsidR="00A430C8" w:rsidRPr="00A430C8">
        <w:rPr>
          <w:rFonts w:ascii="Verdana" w:hAnsi="Verdana" w:cs="Arial"/>
          <w:bCs/>
          <w:sz w:val="18"/>
          <w:szCs w:val="18"/>
        </w:rPr>
        <w:t xml:space="preserve">545 </w:t>
      </w:r>
      <w:r w:rsidR="007970E1" w:rsidRPr="00A430C8">
        <w:rPr>
          <w:rFonts w:ascii="Verdana" w:hAnsi="Verdana" w:cs="Arial"/>
          <w:bCs/>
          <w:sz w:val="18"/>
          <w:szCs w:val="18"/>
        </w:rPr>
        <w:t>millions d’€).</w:t>
      </w:r>
      <w:r w:rsidR="007970E1" w:rsidRPr="00F16171">
        <w:rPr>
          <w:rFonts w:ascii="Verdana" w:hAnsi="Verdana" w:cs="Arial"/>
          <w:bCs/>
          <w:sz w:val="18"/>
          <w:szCs w:val="18"/>
        </w:rPr>
        <w:t xml:space="preserve"> </w:t>
      </w:r>
      <w:r w:rsidR="00E2180C">
        <w:rPr>
          <w:rFonts w:ascii="Verdana" w:hAnsi="Verdana" w:cs="Arial"/>
          <w:bCs/>
          <w:sz w:val="18"/>
          <w:szCs w:val="18"/>
        </w:rPr>
        <w:t>Même si elle a subi l’effet du ralentissement d’activité dans certaines usines</w:t>
      </w:r>
      <w:r w:rsidR="000C7B68">
        <w:rPr>
          <w:rFonts w:ascii="Verdana" w:hAnsi="Verdana" w:cs="Arial"/>
          <w:bCs/>
          <w:sz w:val="18"/>
          <w:szCs w:val="18"/>
        </w:rPr>
        <w:t xml:space="preserve"> décidé pour modérer les stocks</w:t>
      </w:r>
      <w:r w:rsidR="00E2180C">
        <w:rPr>
          <w:rFonts w:ascii="Verdana" w:hAnsi="Verdana" w:cs="Arial"/>
          <w:bCs/>
          <w:sz w:val="18"/>
          <w:szCs w:val="18"/>
        </w:rPr>
        <w:t>, l</w:t>
      </w:r>
      <w:r w:rsidR="00F16171" w:rsidRPr="00F16171">
        <w:rPr>
          <w:rFonts w:ascii="Verdana" w:hAnsi="Verdana" w:cs="Arial"/>
          <w:bCs/>
          <w:sz w:val="18"/>
          <w:szCs w:val="18"/>
        </w:rPr>
        <w:t xml:space="preserve">a poursuite du plan de compétitivité (+ 233 millions d’€) permet </w:t>
      </w:r>
      <w:r w:rsidR="00E2180C">
        <w:rPr>
          <w:rFonts w:ascii="Verdana" w:hAnsi="Verdana" w:cs="Arial"/>
          <w:bCs/>
          <w:sz w:val="18"/>
          <w:szCs w:val="18"/>
        </w:rPr>
        <w:t xml:space="preserve">de compenser </w:t>
      </w:r>
      <w:r w:rsidR="00F16171" w:rsidRPr="00F16171">
        <w:rPr>
          <w:rFonts w:ascii="Verdana" w:hAnsi="Verdana" w:cs="Arial"/>
          <w:bCs/>
          <w:sz w:val="18"/>
          <w:szCs w:val="18"/>
        </w:rPr>
        <w:t xml:space="preserve">la majeure partie de l’inflation sur les coûts de production et les frais généraux (- 264 millions d’€). Enfin, </w:t>
      </w:r>
      <w:r w:rsidR="00E2180C">
        <w:rPr>
          <w:rFonts w:ascii="Verdana" w:hAnsi="Verdana" w:cs="Arial"/>
          <w:bCs/>
          <w:sz w:val="18"/>
          <w:szCs w:val="18"/>
        </w:rPr>
        <w:t xml:space="preserve">le </w:t>
      </w:r>
      <w:r w:rsidR="00E2180C" w:rsidRPr="00E2180C">
        <w:rPr>
          <w:rFonts w:ascii="Verdana" w:hAnsi="Verdana" w:cs="Arial"/>
          <w:bCs/>
          <w:sz w:val="18"/>
          <w:szCs w:val="18"/>
        </w:rPr>
        <w:t xml:space="preserve">résultat opérationnel sur activités courantes </w:t>
      </w:r>
      <w:r w:rsidR="00F16171" w:rsidRPr="00F16171">
        <w:rPr>
          <w:rFonts w:ascii="Verdana" w:hAnsi="Verdana" w:cs="Arial"/>
          <w:bCs/>
          <w:sz w:val="18"/>
          <w:szCs w:val="18"/>
        </w:rPr>
        <w:t xml:space="preserve">reflète </w:t>
      </w:r>
      <w:r w:rsidR="00F16171" w:rsidRPr="00F16171">
        <w:rPr>
          <w:rFonts w:ascii="Verdana" w:hAnsi="Verdana" w:cs="Arial"/>
          <w:bCs/>
          <w:sz w:val="18"/>
          <w:szCs w:val="18"/>
        </w:rPr>
        <w:lastRenderedPageBreak/>
        <w:t xml:space="preserve">également l’effet de la hausse prévue des amortissements (- 89 millions d’€), </w:t>
      </w:r>
      <w:r w:rsidRPr="00F16171">
        <w:rPr>
          <w:rFonts w:ascii="Verdana" w:hAnsi="Verdana" w:cs="Arial"/>
          <w:bCs/>
          <w:sz w:val="18"/>
          <w:szCs w:val="18"/>
        </w:rPr>
        <w:t>l’effet favorable des variations de change (+ </w:t>
      </w:r>
      <w:r w:rsidR="00BB1A0B">
        <w:rPr>
          <w:rFonts w:ascii="Verdana" w:hAnsi="Verdana" w:cs="Arial"/>
          <w:bCs/>
          <w:sz w:val="18"/>
          <w:szCs w:val="18"/>
        </w:rPr>
        <w:t>1</w:t>
      </w:r>
      <w:r w:rsidR="00F16171" w:rsidRPr="00F16171">
        <w:rPr>
          <w:rFonts w:ascii="Verdana" w:hAnsi="Verdana" w:cs="Arial"/>
          <w:bCs/>
          <w:sz w:val="18"/>
          <w:szCs w:val="18"/>
        </w:rPr>
        <w:t>22</w:t>
      </w:r>
      <w:r w:rsidRPr="00F16171">
        <w:rPr>
          <w:rFonts w:ascii="Verdana" w:hAnsi="Verdana" w:cs="Arial"/>
          <w:bCs/>
          <w:sz w:val="18"/>
          <w:szCs w:val="18"/>
        </w:rPr>
        <w:t xml:space="preserve"> millions d’€)</w:t>
      </w:r>
      <w:r w:rsidR="00F16171">
        <w:rPr>
          <w:rFonts w:ascii="Verdana" w:hAnsi="Verdana" w:cs="Arial"/>
          <w:bCs/>
          <w:sz w:val="18"/>
          <w:szCs w:val="18"/>
        </w:rPr>
        <w:t xml:space="preserve"> et la réduction </w:t>
      </w:r>
      <w:r w:rsidR="00F16171" w:rsidRPr="00F16171">
        <w:rPr>
          <w:rFonts w:ascii="Verdana" w:hAnsi="Verdana" w:cs="Arial"/>
          <w:bCs/>
          <w:sz w:val="18"/>
          <w:szCs w:val="18"/>
        </w:rPr>
        <w:t xml:space="preserve">des frais de démarrage </w:t>
      </w:r>
      <w:r w:rsidR="00F16171">
        <w:rPr>
          <w:rFonts w:ascii="Verdana" w:hAnsi="Verdana" w:cs="Arial"/>
          <w:bCs/>
          <w:sz w:val="18"/>
          <w:szCs w:val="18"/>
        </w:rPr>
        <w:t>(+ </w:t>
      </w:r>
      <w:r w:rsidR="00F16171" w:rsidRPr="00F16171">
        <w:rPr>
          <w:rFonts w:ascii="Verdana" w:hAnsi="Verdana" w:cs="Arial"/>
          <w:bCs/>
          <w:sz w:val="18"/>
          <w:szCs w:val="18"/>
        </w:rPr>
        <w:t>31 millions €</w:t>
      </w:r>
      <w:r w:rsidR="00F16171">
        <w:rPr>
          <w:rFonts w:ascii="Verdana" w:hAnsi="Verdana" w:cs="Arial"/>
          <w:bCs/>
          <w:sz w:val="18"/>
          <w:szCs w:val="18"/>
        </w:rPr>
        <w:t>).</w:t>
      </w:r>
    </w:p>
    <w:p w:rsidR="007970E1" w:rsidRPr="007970E1" w:rsidRDefault="007970E1" w:rsidP="007970E1">
      <w:pPr>
        <w:spacing w:after="120"/>
        <w:ind w:left="426"/>
        <w:jc w:val="both"/>
        <w:rPr>
          <w:rFonts w:ascii="Verdana" w:hAnsi="Verdana" w:cs="Arial"/>
          <w:sz w:val="18"/>
          <w:szCs w:val="18"/>
        </w:rPr>
      </w:pPr>
      <w:r w:rsidRPr="007970E1">
        <w:rPr>
          <w:rFonts w:ascii="Verdana" w:hAnsi="Verdana" w:cs="Arial"/>
          <w:b/>
          <w:sz w:val="18"/>
          <w:szCs w:val="18"/>
        </w:rPr>
        <w:t xml:space="preserve">Le résultat net s’établit en bénéfice de </w:t>
      </w:r>
      <w:r w:rsidR="00722AA6">
        <w:rPr>
          <w:rFonts w:ascii="Verdana" w:hAnsi="Verdana" w:cs="Arial"/>
          <w:b/>
          <w:sz w:val="18"/>
          <w:szCs w:val="18"/>
        </w:rPr>
        <w:t>1</w:t>
      </w:r>
      <w:r w:rsidRPr="007970E1">
        <w:rPr>
          <w:rFonts w:ascii="Verdana" w:hAnsi="Verdana" w:cs="Arial"/>
          <w:b/>
          <w:sz w:val="18"/>
          <w:szCs w:val="18"/>
        </w:rPr>
        <w:t> </w:t>
      </w:r>
      <w:r w:rsidR="00956D71">
        <w:rPr>
          <w:rFonts w:ascii="Verdana" w:hAnsi="Verdana" w:cs="Arial"/>
          <w:b/>
          <w:sz w:val="18"/>
          <w:szCs w:val="18"/>
        </w:rPr>
        <w:t>667</w:t>
      </w:r>
      <w:r w:rsidRPr="007970E1">
        <w:rPr>
          <w:rFonts w:ascii="Verdana" w:hAnsi="Verdana" w:cs="Arial"/>
          <w:b/>
          <w:sz w:val="18"/>
          <w:szCs w:val="18"/>
        </w:rPr>
        <w:t xml:space="preserve"> millions </w:t>
      </w:r>
      <w:r w:rsidR="00D11AC1">
        <w:rPr>
          <w:rFonts w:ascii="Verdana" w:hAnsi="Verdana" w:cs="Arial"/>
          <w:b/>
          <w:sz w:val="18"/>
          <w:szCs w:val="18"/>
        </w:rPr>
        <w:t>d’</w:t>
      </w:r>
      <w:r w:rsidRPr="007970E1">
        <w:rPr>
          <w:rFonts w:ascii="Verdana" w:hAnsi="Verdana" w:cs="Arial"/>
          <w:b/>
          <w:sz w:val="18"/>
          <w:szCs w:val="18"/>
        </w:rPr>
        <w:t>€</w:t>
      </w:r>
      <w:r w:rsidRPr="007970E1">
        <w:rPr>
          <w:rFonts w:ascii="Verdana" w:hAnsi="Verdana" w:cs="Arial"/>
          <w:sz w:val="18"/>
          <w:szCs w:val="18"/>
        </w:rPr>
        <w:t xml:space="preserve">. </w:t>
      </w:r>
    </w:p>
    <w:p w:rsidR="007970E1" w:rsidRPr="007970E1" w:rsidRDefault="007970E1" w:rsidP="00BE16D2">
      <w:pPr>
        <w:keepNext/>
        <w:numPr>
          <w:ilvl w:val="0"/>
          <w:numId w:val="2"/>
        </w:numPr>
        <w:tabs>
          <w:tab w:val="left" w:pos="284"/>
        </w:tabs>
        <w:spacing w:before="240" w:after="240"/>
        <w:ind w:left="357" w:hanging="357"/>
        <w:jc w:val="both"/>
        <w:rPr>
          <w:rFonts w:ascii="Verdana" w:hAnsi="Verdana" w:cs="Arial"/>
          <w:b/>
        </w:rPr>
      </w:pPr>
      <w:r w:rsidRPr="007970E1">
        <w:rPr>
          <w:rFonts w:ascii="Verdana" w:hAnsi="Verdana" w:cs="Arial"/>
          <w:b/>
        </w:rPr>
        <w:t xml:space="preserve"> </w:t>
      </w:r>
      <w:r w:rsidRPr="007970E1">
        <w:rPr>
          <w:rFonts w:ascii="Arial" w:hAnsi="Arial" w:cs="Arial"/>
          <w:bCs/>
          <w:smallCaps/>
          <w:sz w:val="24"/>
          <w:szCs w:val="24"/>
        </w:rPr>
        <w:t>Position financière nette</w:t>
      </w:r>
    </w:p>
    <w:p w:rsidR="00EB51FD" w:rsidRPr="007F70FB" w:rsidRDefault="00EB51FD" w:rsidP="00EB51FD">
      <w:pPr>
        <w:keepNext/>
        <w:tabs>
          <w:tab w:val="num" w:pos="1134"/>
        </w:tabs>
        <w:spacing w:after="120"/>
        <w:ind w:left="426"/>
        <w:jc w:val="both"/>
        <w:rPr>
          <w:rFonts w:ascii="Verdana" w:hAnsi="Verdana" w:cs="Arial"/>
          <w:strike/>
          <w:sz w:val="18"/>
          <w:szCs w:val="18"/>
        </w:rPr>
      </w:pPr>
      <w:r w:rsidRPr="00D821A1">
        <w:rPr>
          <w:rFonts w:ascii="Verdana" w:hAnsi="Verdana" w:cs="Arial"/>
          <w:sz w:val="18"/>
          <w:szCs w:val="18"/>
        </w:rPr>
        <w:t xml:space="preserve">Sur l’exercice, le Groupe a généré un </w:t>
      </w:r>
      <w:r w:rsidR="00C41446">
        <w:rPr>
          <w:rFonts w:ascii="Verdana" w:hAnsi="Verdana" w:cs="Arial"/>
          <w:b/>
          <w:i/>
          <w:sz w:val="18"/>
          <w:szCs w:val="18"/>
        </w:rPr>
        <w:t>C</w:t>
      </w:r>
      <w:r w:rsidR="00C41446" w:rsidRPr="00D821A1">
        <w:rPr>
          <w:rFonts w:ascii="Verdana" w:hAnsi="Verdana" w:cs="Arial"/>
          <w:b/>
          <w:i/>
          <w:sz w:val="18"/>
          <w:szCs w:val="18"/>
        </w:rPr>
        <w:t>ash-flow</w:t>
      </w:r>
      <w:r w:rsidRPr="00D821A1">
        <w:rPr>
          <w:rFonts w:ascii="Verdana" w:hAnsi="Verdana" w:cs="Arial"/>
          <w:b/>
          <w:sz w:val="18"/>
          <w:szCs w:val="18"/>
        </w:rPr>
        <w:t xml:space="preserve"> libre de </w:t>
      </w:r>
      <w:r w:rsidR="00D821A1" w:rsidRPr="00D821A1">
        <w:rPr>
          <w:rFonts w:ascii="Verdana" w:hAnsi="Verdana" w:cs="Arial"/>
          <w:b/>
          <w:sz w:val="18"/>
          <w:szCs w:val="18"/>
        </w:rPr>
        <w:t>1 024</w:t>
      </w:r>
      <w:r w:rsidRPr="00D821A1">
        <w:rPr>
          <w:rFonts w:ascii="Verdana" w:hAnsi="Verdana" w:cs="Arial"/>
          <w:b/>
          <w:sz w:val="18"/>
          <w:szCs w:val="18"/>
        </w:rPr>
        <w:t xml:space="preserve"> millions </w:t>
      </w:r>
      <w:r w:rsidR="00D11AC1" w:rsidRPr="00D821A1">
        <w:rPr>
          <w:rFonts w:ascii="Verdana" w:hAnsi="Verdana" w:cs="Arial"/>
          <w:b/>
          <w:sz w:val="18"/>
          <w:szCs w:val="18"/>
        </w:rPr>
        <w:t>d’</w:t>
      </w:r>
      <w:r w:rsidRPr="00D821A1">
        <w:rPr>
          <w:rFonts w:ascii="Verdana" w:hAnsi="Verdana" w:cs="Arial"/>
          <w:b/>
          <w:sz w:val="18"/>
          <w:szCs w:val="18"/>
        </w:rPr>
        <w:t>€</w:t>
      </w:r>
      <w:r w:rsidRPr="00D821A1">
        <w:rPr>
          <w:rFonts w:ascii="Verdana" w:hAnsi="Verdana" w:cs="Arial"/>
          <w:sz w:val="18"/>
          <w:szCs w:val="18"/>
        </w:rPr>
        <w:t xml:space="preserve">, en amélioration de </w:t>
      </w:r>
      <w:r w:rsidR="00D821A1" w:rsidRPr="00D821A1">
        <w:rPr>
          <w:rFonts w:ascii="Verdana" w:hAnsi="Verdana" w:cs="Arial"/>
          <w:sz w:val="18"/>
          <w:szCs w:val="18"/>
        </w:rPr>
        <w:t>370</w:t>
      </w:r>
      <w:r w:rsidR="00992448" w:rsidRPr="00D821A1">
        <w:rPr>
          <w:rFonts w:ascii="Verdana" w:hAnsi="Verdana" w:cs="Arial"/>
          <w:sz w:val="18"/>
          <w:szCs w:val="18"/>
        </w:rPr>
        <w:t xml:space="preserve"> </w:t>
      </w:r>
      <w:r w:rsidRPr="00D821A1">
        <w:rPr>
          <w:rFonts w:ascii="Verdana" w:hAnsi="Verdana" w:cs="Arial"/>
          <w:sz w:val="18"/>
          <w:szCs w:val="18"/>
        </w:rPr>
        <w:t>millions d’€</w:t>
      </w:r>
      <w:r w:rsidR="006B389C">
        <w:rPr>
          <w:rFonts w:ascii="Verdana" w:hAnsi="Verdana" w:cs="Arial"/>
          <w:sz w:val="18"/>
          <w:szCs w:val="18"/>
        </w:rPr>
        <w:t>, compte tenu d</w:t>
      </w:r>
      <w:r w:rsidRPr="00D821A1">
        <w:rPr>
          <w:rFonts w:ascii="Verdana" w:hAnsi="Verdana" w:cs="Arial"/>
          <w:sz w:val="18"/>
          <w:szCs w:val="18"/>
        </w:rPr>
        <w:t xml:space="preserve">es investissements </w:t>
      </w:r>
      <w:r w:rsidR="006B389C">
        <w:rPr>
          <w:rFonts w:ascii="Verdana" w:hAnsi="Verdana" w:cs="Arial"/>
          <w:sz w:val="18"/>
          <w:szCs w:val="18"/>
        </w:rPr>
        <w:t xml:space="preserve">qui </w:t>
      </w:r>
      <w:r w:rsidRPr="00D821A1">
        <w:rPr>
          <w:rFonts w:ascii="Verdana" w:hAnsi="Verdana" w:cs="Arial"/>
          <w:sz w:val="18"/>
          <w:szCs w:val="18"/>
        </w:rPr>
        <w:t>s’élèvent à 1 8</w:t>
      </w:r>
      <w:r w:rsidR="00D821A1" w:rsidRPr="00D821A1">
        <w:rPr>
          <w:rFonts w:ascii="Verdana" w:hAnsi="Verdana" w:cs="Arial"/>
          <w:sz w:val="18"/>
          <w:szCs w:val="18"/>
        </w:rPr>
        <w:t>11</w:t>
      </w:r>
      <w:r w:rsidRPr="00D821A1">
        <w:rPr>
          <w:rFonts w:ascii="Verdana" w:hAnsi="Verdana" w:cs="Arial"/>
          <w:sz w:val="18"/>
          <w:szCs w:val="18"/>
        </w:rPr>
        <w:t xml:space="preserve"> millions </w:t>
      </w:r>
      <w:r w:rsidR="00D11AC1" w:rsidRPr="00D821A1">
        <w:rPr>
          <w:rFonts w:ascii="Verdana" w:hAnsi="Verdana" w:cs="Arial"/>
          <w:sz w:val="18"/>
          <w:szCs w:val="18"/>
        </w:rPr>
        <w:t>d’</w:t>
      </w:r>
      <w:r w:rsidRPr="00D821A1">
        <w:rPr>
          <w:rFonts w:ascii="Verdana" w:hAnsi="Verdana" w:cs="Arial"/>
          <w:sz w:val="18"/>
          <w:szCs w:val="18"/>
        </w:rPr>
        <w:t>€.</w:t>
      </w:r>
    </w:p>
    <w:p w:rsidR="00EB51FD" w:rsidRPr="002B1930" w:rsidRDefault="00EB51FD" w:rsidP="00EB51FD">
      <w:pPr>
        <w:tabs>
          <w:tab w:val="left" w:pos="9070"/>
        </w:tabs>
        <w:spacing w:after="120"/>
        <w:ind w:left="426" w:hanging="1"/>
        <w:jc w:val="both"/>
        <w:rPr>
          <w:rFonts w:ascii="Verdana" w:hAnsi="Verdana" w:cs="Arial"/>
          <w:sz w:val="18"/>
          <w:szCs w:val="18"/>
        </w:rPr>
      </w:pPr>
      <w:r w:rsidRPr="002B1930">
        <w:rPr>
          <w:rFonts w:ascii="Verdana" w:hAnsi="Verdana" w:cs="Arial"/>
          <w:sz w:val="18"/>
          <w:szCs w:val="18"/>
        </w:rPr>
        <w:t xml:space="preserve">Au 31 décembre </w:t>
      </w:r>
      <w:r w:rsidR="00EB75CE" w:rsidRPr="002B1930">
        <w:rPr>
          <w:rFonts w:ascii="Verdana" w:hAnsi="Verdana" w:cs="Arial"/>
          <w:sz w:val="18"/>
          <w:szCs w:val="18"/>
        </w:rPr>
        <w:t>2016</w:t>
      </w:r>
      <w:r w:rsidRPr="002B1930">
        <w:rPr>
          <w:rFonts w:ascii="Verdana" w:hAnsi="Verdana" w:cs="Arial"/>
          <w:sz w:val="18"/>
          <w:szCs w:val="18"/>
        </w:rPr>
        <w:t xml:space="preserve">, </w:t>
      </w:r>
      <w:r w:rsidR="006A03B0" w:rsidRPr="002B1930">
        <w:rPr>
          <w:rFonts w:ascii="Verdana" w:hAnsi="Verdana" w:cs="Arial"/>
          <w:sz w:val="18"/>
          <w:szCs w:val="18"/>
        </w:rPr>
        <w:t xml:space="preserve">prenant en compte </w:t>
      </w:r>
      <w:r w:rsidR="008A09ED">
        <w:rPr>
          <w:rFonts w:ascii="Verdana" w:hAnsi="Verdana" w:cs="Arial"/>
          <w:sz w:val="18"/>
          <w:szCs w:val="18"/>
        </w:rPr>
        <w:t xml:space="preserve">principalement </w:t>
      </w:r>
      <w:r w:rsidR="006A03B0" w:rsidRPr="002B1930">
        <w:rPr>
          <w:rFonts w:ascii="Verdana" w:hAnsi="Verdana" w:cs="Arial"/>
          <w:sz w:val="18"/>
          <w:szCs w:val="18"/>
        </w:rPr>
        <w:t xml:space="preserve">le </w:t>
      </w:r>
      <w:r w:rsidR="00C41446">
        <w:rPr>
          <w:rFonts w:ascii="Verdana" w:hAnsi="Verdana" w:cs="Arial"/>
          <w:i/>
          <w:sz w:val="18"/>
          <w:szCs w:val="18"/>
        </w:rPr>
        <w:t>C</w:t>
      </w:r>
      <w:r w:rsidR="00C41446" w:rsidRPr="002B1930">
        <w:rPr>
          <w:rFonts w:ascii="Verdana" w:hAnsi="Verdana" w:cs="Arial"/>
          <w:i/>
          <w:sz w:val="18"/>
          <w:szCs w:val="18"/>
        </w:rPr>
        <w:t>ash-flow</w:t>
      </w:r>
      <w:r w:rsidR="006A03B0" w:rsidRPr="002B1930">
        <w:rPr>
          <w:rFonts w:ascii="Verdana" w:hAnsi="Verdana" w:cs="Arial"/>
          <w:sz w:val="18"/>
          <w:szCs w:val="18"/>
        </w:rPr>
        <w:t xml:space="preserve"> libre, </w:t>
      </w:r>
      <w:r w:rsidR="002B1930" w:rsidRPr="002B1930">
        <w:rPr>
          <w:rFonts w:ascii="Verdana" w:hAnsi="Verdana" w:cs="Arial"/>
          <w:sz w:val="18"/>
          <w:szCs w:val="18"/>
        </w:rPr>
        <w:t xml:space="preserve">les versements de </w:t>
      </w:r>
      <w:r w:rsidR="008A09ED" w:rsidRPr="002B1930">
        <w:rPr>
          <w:rFonts w:ascii="Verdana" w:hAnsi="Verdana" w:cs="Arial"/>
          <w:sz w:val="18"/>
          <w:szCs w:val="18"/>
        </w:rPr>
        <w:t>dividende</w:t>
      </w:r>
      <w:r w:rsidR="008A09ED">
        <w:rPr>
          <w:rFonts w:ascii="Verdana" w:hAnsi="Verdana" w:cs="Arial"/>
          <w:sz w:val="18"/>
          <w:szCs w:val="18"/>
        </w:rPr>
        <w:t xml:space="preserve"> et </w:t>
      </w:r>
      <w:r w:rsidR="008A09ED" w:rsidRPr="008A09ED">
        <w:rPr>
          <w:rFonts w:ascii="Verdana" w:hAnsi="Verdana" w:cs="Arial"/>
          <w:sz w:val="18"/>
          <w:szCs w:val="18"/>
        </w:rPr>
        <w:t xml:space="preserve">distributions </w:t>
      </w:r>
      <w:r w:rsidR="002B1930" w:rsidRPr="008A09ED">
        <w:rPr>
          <w:rFonts w:ascii="Verdana" w:hAnsi="Verdana" w:cs="Arial"/>
          <w:sz w:val="18"/>
          <w:szCs w:val="18"/>
        </w:rPr>
        <w:t>(5</w:t>
      </w:r>
      <w:r w:rsidR="008A09ED" w:rsidRPr="008A09ED">
        <w:rPr>
          <w:rFonts w:ascii="Verdana" w:hAnsi="Verdana" w:cs="Arial"/>
          <w:sz w:val="18"/>
          <w:szCs w:val="18"/>
        </w:rPr>
        <w:t>38</w:t>
      </w:r>
      <w:r w:rsidR="002B1930" w:rsidRPr="002B1930">
        <w:rPr>
          <w:rFonts w:ascii="Verdana" w:hAnsi="Verdana" w:cs="Arial"/>
          <w:sz w:val="18"/>
          <w:szCs w:val="18"/>
        </w:rPr>
        <w:t xml:space="preserve"> millions d’€)</w:t>
      </w:r>
      <w:r w:rsidR="008A09ED">
        <w:rPr>
          <w:rFonts w:ascii="Verdana" w:hAnsi="Verdana" w:cs="Arial"/>
          <w:sz w:val="18"/>
          <w:szCs w:val="18"/>
        </w:rPr>
        <w:t xml:space="preserve"> </w:t>
      </w:r>
      <w:r w:rsidR="002B1930" w:rsidRPr="002B1930">
        <w:rPr>
          <w:rFonts w:ascii="Verdana" w:hAnsi="Verdana" w:cs="Arial"/>
          <w:sz w:val="18"/>
          <w:szCs w:val="18"/>
        </w:rPr>
        <w:t>et</w:t>
      </w:r>
      <w:r w:rsidR="006A03B0" w:rsidRPr="002B1930">
        <w:rPr>
          <w:rFonts w:ascii="Verdana" w:hAnsi="Verdana" w:cs="Arial"/>
          <w:sz w:val="18"/>
          <w:szCs w:val="18"/>
        </w:rPr>
        <w:t xml:space="preserve"> les rachats d’actions (</w:t>
      </w:r>
      <w:r w:rsidR="00D821A1" w:rsidRPr="002B1930">
        <w:rPr>
          <w:rFonts w:ascii="Verdana" w:hAnsi="Verdana" w:cs="Arial"/>
          <w:sz w:val="18"/>
          <w:szCs w:val="18"/>
        </w:rPr>
        <w:t>30</w:t>
      </w:r>
      <w:r w:rsidR="002B1930" w:rsidRPr="002B1930">
        <w:rPr>
          <w:rFonts w:ascii="Verdana" w:hAnsi="Verdana" w:cs="Arial"/>
          <w:sz w:val="18"/>
          <w:szCs w:val="18"/>
        </w:rPr>
        <w:t>1</w:t>
      </w:r>
      <w:r w:rsidR="006A03B0" w:rsidRPr="002B1930">
        <w:rPr>
          <w:rFonts w:ascii="Verdana" w:hAnsi="Verdana" w:cs="Arial"/>
          <w:sz w:val="18"/>
          <w:szCs w:val="18"/>
        </w:rPr>
        <w:t xml:space="preserve"> millions </w:t>
      </w:r>
      <w:r w:rsidR="00D11AC1" w:rsidRPr="002B1930">
        <w:rPr>
          <w:rFonts w:ascii="Verdana" w:hAnsi="Verdana" w:cs="Arial"/>
          <w:sz w:val="18"/>
          <w:szCs w:val="18"/>
        </w:rPr>
        <w:t>d’</w:t>
      </w:r>
      <w:r w:rsidR="002B1930" w:rsidRPr="002B1930">
        <w:rPr>
          <w:rFonts w:ascii="Verdana" w:hAnsi="Verdana" w:cs="Arial"/>
          <w:sz w:val="18"/>
          <w:szCs w:val="18"/>
        </w:rPr>
        <w:t>€)</w:t>
      </w:r>
      <w:r w:rsidR="006A03B0" w:rsidRPr="002B1930">
        <w:rPr>
          <w:rFonts w:ascii="Verdana" w:hAnsi="Verdana" w:cs="Arial"/>
          <w:sz w:val="18"/>
          <w:szCs w:val="18"/>
        </w:rPr>
        <w:t xml:space="preserve">, </w:t>
      </w:r>
      <w:r w:rsidRPr="002B1930">
        <w:rPr>
          <w:rFonts w:ascii="Verdana" w:hAnsi="Verdana" w:cs="Arial"/>
          <w:sz w:val="18"/>
          <w:szCs w:val="18"/>
        </w:rPr>
        <w:t>le Groupe affiche un</w:t>
      </w:r>
      <w:r w:rsidRPr="002B1930">
        <w:rPr>
          <w:rFonts w:ascii="Verdana" w:hAnsi="Verdana" w:cs="Arial"/>
          <w:b/>
          <w:sz w:val="18"/>
          <w:szCs w:val="18"/>
        </w:rPr>
        <w:t xml:space="preserve"> ratio d’endettement de</w:t>
      </w:r>
      <w:r w:rsidR="008A09ED">
        <w:rPr>
          <w:rFonts w:ascii="Verdana" w:hAnsi="Verdana" w:cs="Arial"/>
          <w:b/>
          <w:sz w:val="18"/>
          <w:szCs w:val="18"/>
        </w:rPr>
        <w:t xml:space="preserve"> 9</w:t>
      </w:r>
      <w:r w:rsidRPr="002B1930">
        <w:rPr>
          <w:rFonts w:ascii="Verdana" w:hAnsi="Verdana" w:cs="Arial"/>
          <w:b/>
          <w:sz w:val="18"/>
          <w:szCs w:val="18"/>
        </w:rPr>
        <w:t xml:space="preserve"> %, </w:t>
      </w:r>
      <w:r w:rsidRPr="002B1930">
        <w:rPr>
          <w:rFonts w:ascii="Verdana" w:hAnsi="Verdana" w:cs="Arial"/>
          <w:sz w:val="18"/>
          <w:szCs w:val="18"/>
        </w:rPr>
        <w:t>correspondant à un endettement</w:t>
      </w:r>
      <w:r w:rsidRPr="002B1930">
        <w:rPr>
          <w:rFonts w:ascii="Verdana" w:hAnsi="Verdana" w:cs="Arial"/>
          <w:b/>
          <w:sz w:val="18"/>
          <w:szCs w:val="18"/>
        </w:rPr>
        <w:t xml:space="preserve"> </w:t>
      </w:r>
      <w:r w:rsidRPr="002B1930">
        <w:rPr>
          <w:rFonts w:ascii="Verdana" w:hAnsi="Verdana" w:cs="Arial"/>
          <w:sz w:val="18"/>
          <w:szCs w:val="18"/>
        </w:rPr>
        <w:t xml:space="preserve">financier net de </w:t>
      </w:r>
      <w:r w:rsidR="002B1930" w:rsidRPr="002B1930">
        <w:rPr>
          <w:rFonts w:ascii="Verdana" w:hAnsi="Verdana" w:cs="Arial"/>
          <w:sz w:val="18"/>
          <w:szCs w:val="18"/>
        </w:rPr>
        <w:t>944</w:t>
      </w:r>
      <w:r w:rsidRPr="002B1930">
        <w:rPr>
          <w:rFonts w:ascii="Verdana" w:hAnsi="Verdana" w:cs="Arial"/>
          <w:sz w:val="18"/>
          <w:szCs w:val="18"/>
        </w:rPr>
        <w:t xml:space="preserve"> millions </w:t>
      </w:r>
      <w:r w:rsidR="00D11AC1" w:rsidRPr="002B1930">
        <w:rPr>
          <w:rFonts w:ascii="Verdana" w:hAnsi="Verdana" w:cs="Arial"/>
          <w:sz w:val="18"/>
          <w:szCs w:val="18"/>
        </w:rPr>
        <w:t>d’</w:t>
      </w:r>
      <w:r w:rsidRPr="002B1930">
        <w:rPr>
          <w:rFonts w:ascii="Verdana" w:hAnsi="Verdana" w:cs="Arial"/>
          <w:sz w:val="18"/>
          <w:szCs w:val="18"/>
        </w:rPr>
        <w:t xml:space="preserve">€, contre </w:t>
      </w:r>
      <w:r w:rsidR="00D821A1" w:rsidRPr="002B1930">
        <w:rPr>
          <w:rFonts w:ascii="Verdana" w:hAnsi="Verdana" w:cs="Arial"/>
          <w:sz w:val="18"/>
          <w:szCs w:val="18"/>
        </w:rPr>
        <w:t>11</w:t>
      </w:r>
      <w:r w:rsidRPr="002B1930">
        <w:rPr>
          <w:rFonts w:ascii="Verdana" w:hAnsi="Verdana" w:cs="Arial"/>
          <w:sz w:val="18"/>
          <w:szCs w:val="18"/>
        </w:rPr>
        <w:t xml:space="preserve"> % et </w:t>
      </w:r>
      <w:r w:rsidR="00D821A1" w:rsidRPr="002B1930">
        <w:rPr>
          <w:rFonts w:ascii="Verdana" w:hAnsi="Verdana" w:cs="Arial"/>
          <w:sz w:val="18"/>
          <w:szCs w:val="18"/>
        </w:rPr>
        <w:t>1 008</w:t>
      </w:r>
      <w:r w:rsidRPr="002B1930">
        <w:rPr>
          <w:rFonts w:ascii="Verdana" w:hAnsi="Verdana" w:cs="Arial"/>
          <w:sz w:val="18"/>
          <w:szCs w:val="18"/>
        </w:rPr>
        <w:t xml:space="preserve"> millions</w:t>
      </w:r>
      <w:r w:rsidR="00D11AC1" w:rsidRPr="002B1930">
        <w:rPr>
          <w:rFonts w:ascii="Verdana" w:hAnsi="Verdana" w:cs="Arial"/>
          <w:sz w:val="18"/>
          <w:szCs w:val="18"/>
        </w:rPr>
        <w:t xml:space="preserve"> d’</w:t>
      </w:r>
      <w:r w:rsidRPr="002B1930">
        <w:rPr>
          <w:rFonts w:ascii="Verdana" w:hAnsi="Verdana" w:cs="Arial"/>
          <w:sz w:val="18"/>
          <w:szCs w:val="18"/>
        </w:rPr>
        <w:t>€ à fin décembre 201</w:t>
      </w:r>
      <w:r w:rsidR="00D821A1" w:rsidRPr="002B1930">
        <w:rPr>
          <w:rFonts w:ascii="Verdana" w:hAnsi="Verdana" w:cs="Arial"/>
          <w:sz w:val="18"/>
          <w:szCs w:val="18"/>
        </w:rPr>
        <w:t>5</w:t>
      </w:r>
      <w:r w:rsidRPr="002B1930">
        <w:rPr>
          <w:rFonts w:ascii="Verdana" w:hAnsi="Verdana" w:cs="Arial"/>
          <w:sz w:val="18"/>
          <w:szCs w:val="18"/>
        </w:rPr>
        <w:t>.</w:t>
      </w:r>
    </w:p>
    <w:p w:rsidR="00E3021F" w:rsidRPr="0034399D" w:rsidRDefault="00E3021F">
      <w:pPr>
        <w:tabs>
          <w:tab w:val="left" w:pos="9070"/>
        </w:tabs>
        <w:spacing w:after="120"/>
        <w:ind w:left="426" w:hanging="1"/>
        <w:jc w:val="both"/>
        <w:rPr>
          <w:rFonts w:ascii="Verdana" w:hAnsi="Verdana" w:cs="Arial"/>
          <w:sz w:val="18"/>
          <w:szCs w:val="18"/>
        </w:rPr>
      </w:pPr>
      <w:r w:rsidRPr="0034399D">
        <w:rPr>
          <w:rFonts w:ascii="Verdana" w:hAnsi="Verdana" w:cs="Arial"/>
          <w:sz w:val="18"/>
          <w:szCs w:val="18"/>
        </w:rPr>
        <w:t xml:space="preserve">En </w:t>
      </w:r>
      <w:r w:rsidR="00EB75CE" w:rsidRPr="0034399D">
        <w:rPr>
          <w:rFonts w:ascii="Verdana" w:hAnsi="Verdana" w:cs="Arial"/>
          <w:sz w:val="18"/>
          <w:szCs w:val="18"/>
        </w:rPr>
        <w:t>2016</w:t>
      </w:r>
      <w:r w:rsidRPr="0034399D">
        <w:rPr>
          <w:rFonts w:ascii="Verdana" w:hAnsi="Verdana" w:cs="Arial"/>
          <w:sz w:val="18"/>
          <w:szCs w:val="18"/>
        </w:rPr>
        <w:t>, le retour sur capitaux investis (ROCE) après impôts</w:t>
      </w:r>
      <w:r w:rsidR="002D0BD4" w:rsidRPr="0034399D">
        <w:rPr>
          <w:rFonts w:ascii="Verdana" w:hAnsi="Verdana" w:cs="Arial"/>
          <w:sz w:val="18"/>
          <w:szCs w:val="18"/>
        </w:rPr>
        <w:t>,</w:t>
      </w:r>
      <w:r w:rsidRPr="0034399D">
        <w:rPr>
          <w:rFonts w:ascii="Verdana" w:hAnsi="Verdana" w:cs="Arial"/>
          <w:sz w:val="18"/>
          <w:szCs w:val="18"/>
        </w:rPr>
        <w:t xml:space="preserve"> à 12,</w:t>
      </w:r>
      <w:r w:rsidR="0034399D" w:rsidRPr="0034399D">
        <w:rPr>
          <w:rFonts w:ascii="Verdana" w:hAnsi="Verdana" w:cs="Arial"/>
          <w:sz w:val="18"/>
          <w:szCs w:val="18"/>
        </w:rPr>
        <w:t>1</w:t>
      </w:r>
      <w:r w:rsidRPr="0034399D">
        <w:rPr>
          <w:rFonts w:ascii="Verdana" w:hAnsi="Verdana" w:cs="Arial"/>
          <w:sz w:val="18"/>
          <w:szCs w:val="18"/>
        </w:rPr>
        <w:t xml:space="preserve"> %</w:t>
      </w:r>
      <w:r w:rsidR="002D0BD4" w:rsidRPr="0034399D">
        <w:rPr>
          <w:rFonts w:ascii="Verdana" w:hAnsi="Verdana" w:cs="Arial"/>
          <w:sz w:val="18"/>
          <w:szCs w:val="18"/>
        </w:rPr>
        <w:t>,</w:t>
      </w:r>
      <w:r w:rsidRPr="0034399D">
        <w:rPr>
          <w:rFonts w:ascii="Verdana" w:hAnsi="Verdana" w:cs="Arial"/>
          <w:sz w:val="18"/>
          <w:szCs w:val="18"/>
        </w:rPr>
        <w:t xml:space="preserve"> assure une création de valeur, par comparaison avec le coût </w:t>
      </w:r>
      <w:r w:rsidR="002D0BD4" w:rsidRPr="0034399D">
        <w:rPr>
          <w:rFonts w:ascii="Verdana" w:hAnsi="Verdana" w:cs="Arial"/>
          <w:sz w:val="18"/>
          <w:szCs w:val="18"/>
        </w:rPr>
        <w:t xml:space="preserve">moyen pondéré </w:t>
      </w:r>
      <w:r w:rsidRPr="0034399D">
        <w:rPr>
          <w:rFonts w:ascii="Verdana" w:hAnsi="Verdana" w:cs="Arial"/>
          <w:sz w:val="18"/>
          <w:szCs w:val="18"/>
        </w:rPr>
        <w:t xml:space="preserve">des capitaux du Groupe. </w:t>
      </w:r>
    </w:p>
    <w:p w:rsidR="007970E1" w:rsidRPr="007970E1" w:rsidRDefault="007970E1" w:rsidP="00BE16D2">
      <w:pPr>
        <w:keepNext/>
        <w:numPr>
          <w:ilvl w:val="0"/>
          <w:numId w:val="2"/>
        </w:numPr>
        <w:tabs>
          <w:tab w:val="left" w:pos="284"/>
        </w:tabs>
        <w:spacing w:before="240" w:after="240"/>
        <w:ind w:left="357" w:hanging="357"/>
        <w:jc w:val="both"/>
        <w:rPr>
          <w:rFonts w:ascii="Verdana" w:hAnsi="Verdana" w:cs="Arial"/>
          <w:b/>
        </w:rPr>
      </w:pPr>
      <w:r w:rsidRPr="007970E1">
        <w:rPr>
          <w:rFonts w:ascii="Verdana" w:hAnsi="Verdana" w:cs="Arial"/>
          <w:b/>
        </w:rPr>
        <w:t xml:space="preserve"> </w:t>
      </w:r>
      <w:r w:rsidRPr="007970E1">
        <w:rPr>
          <w:rFonts w:ascii="Arial" w:hAnsi="Arial" w:cs="Arial"/>
          <w:bCs/>
          <w:smallCaps/>
          <w:sz w:val="24"/>
          <w:szCs w:val="24"/>
        </w:rPr>
        <w:t>Information sectorielle</w:t>
      </w:r>
    </w:p>
    <w:tbl>
      <w:tblPr>
        <w:tblW w:w="8368" w:type="dxa"/>
        <w:tblInd w:w="708" w:type="dxa"/>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1668"/>
        <w:gridCol w:w="1080"/>
        <w:gridCol w:w="1080"/>
        <w:gridCol w:w="1060"/>
        <w:gridCol w:w="1080"/>
        <w:gridCol w:w="1200"/>
        <w:gridCol w:w="1200"/>
      </w:tblGrid>
      <w:tr w:rsidR="007970E1" w:rsidRPr="007970E1" w:rsidTr="00280CEC">
        <w:tc>
          <w:tcPr>
            <w:tcW w:w="1668" w:type="dxa"/>
            <w:tcBorders>
              <w:top w:val="single" w:sz="2" w:space="0" w:color="auto"/>
              <w:bottom w:val="single" w:sz="2" w:space="0" w:color="auto"/>
              <w:right w:val="single" w:sz="2" w:space="0" w:color="auto"/>
            </w:tcBorders>
            <w:shd w:val="clear" w:color="auto" w:fill="E6E6E6"/>
          </w:tcPr>
          <w:p w:rsidR="007970E1" w:rsidRPr="007970E1" w:rsidRDefault="007970E1" w:rsidP="00280CEC">
            <w:pPr>
              <w:keepNext/>
              <w:jc w:val="center"/>
              <w:rPr>
                <w:rFonts w:ascii="Verdana" w:hAnsi="Verdana" w:cs="Arial"/>
                <w:sz w:val="18"/>
                <w:szCs w:val="18"/>
              </w:rPr>
            </w:pPr>
          </w:p>
          <w:p w:rsidR="007970E1" w:rsidRPr="007970E1" w:rsidRDefault="007970E1" w:rsidP="00280CEC">
            <w:pPr>
              <w:keepNext/>
              <w:jc w:val="center"/>
              <w:rPr>
                <w:rFonts w:ascii="Arial" w:hAnsi="Arial" w:cs="Arial"/>
              </w:rPr>
            </w:pPr>
            <w:r w:rsidRPr="007970E1">
              <w:rPr>
                <w:rFonts w:ascii="Verdana" w:hAnsi="Verdana" w:cs="Arial"/>
                <w:sz w:val="18"/>
                <w:szCs w:val="18"/>
              </w:rPr>
              <w:t>M</w:t>
            </w:r>
            <w:r w:rsidRPr="007970E1">
              <w:rPr>
                <w:rFonts w:ascii="Verdana" w:hAnsi="Verdana" w:cs="Arial"/>
                <w:smallCaps/>
                <w:sz w:val="18"/>
                <w:szCs w:val="18"/>
              </w:rPr>
              <w:t>illions d’€</w:t>
            </w:r>
          </w:p>
        </w:tc>
        <w:tc>
          <w:tcPr>
            <w:tcW w:w="2160" w:type="dxa"/>
            <w:gridSpan w:val="2"/>
            <w:tcBorders>
              <w:top w:val="single" w:sz="2" w:space="0" w:color="auto"/>
              <w:left w:val="single" w:sz="2" w:space="0" w:color="auto"/>
              <w:bottom w:val="single" w:sz="2" w:space="0" w:color="auto"/>
              <w:right w:val="single" w:sz="2" w:space="0" w:color="auto"/>
            </w:tcBorders>
            <w:shd w:val="clear" w:color="auto" w:fill="E6E6E6"/>
          </w:tcPr>
          <w:p w:rsidR="007970E1" w:rsidRPr="007970E1" w:rsidRDefault="007970E1" w:rsidP="00280CEC">
            <w:pPr>
              <w:keepNext/>
              <w:spacing w:after="120"/>
              <w:jc w:val="center"/>
              <w:rPr>
                <w:rFonts w:ascii="Arial" w:hAnsi="Arial" w:cs="Arial"/>
                <w:smallCaps/>
                <w:sz w:val="18"/>
                <w:szCs w:val="18"/>
              </w:rPr>
            </w:pPr>
            <w:r w:rsidRPr="007970E1">
              <w:rPr>
                <w:rFonts w:ascii="Arial" w:hAnsi="Arial" w:cs="Arial"/>
                <w:smallCaps/>
                <w:sz w:val="18"/>
                <w:szCs w:val="18"/>
              </w:rPr>
              <w:t>Ventes nettes</w:t>
            </w:r>
          </w:p>
        </w:tc>
        <w:tc>
          <w:tcPr>
            <w:tcW w:w="2140" w:type="dxa"/>
            <w:gridSpan w:val="2"/>
            <w:tcBorders>
              <w:top w:val="single" w:sz="2" w:space="0" w:color="auto"/>
              <w:left w:val="single" w:sz="2" w:space="0" w:color="auto"/>
              <w:bottom w:val="single" w:sz="2" w:space="0" w:color="auto"/>
              <w:right w:val="single" w:sz="2" w:space="0" w:color="auto"/>
            </w:tcBorders>
            <w:shd w:val="clear" w:color="auto" w:fill="E6E6E6"/>
          </w:tcPr>
          <w:p w:rsidR="007970E1" w:rsidRPr="007970E1" w:rsidRDefault="007970E1" w:rsidP="003E7239">
            <w:pPr>
              <w:keepNext/>
              <w:spacing w:after="120"/>
              <w:jc w:val="center"/>
              <w:rPr>
                <w:rFonts w:ascii="Arial" w:hAnsi="Arial" w:cs="Arial"/>
                <w:smallCaps/>
                <w:sz w:val="18"/>
                <w:szCs w:val="18"/>
              </w:rPr>
            </w:pPr>
            <w:r w:rsidRPr="007970E1">
              <w:rPr>
                <w:rFonts w:ascii="Arial" w:hAnsi="Arial" w:cs="Arial"/>
                <w:smallCaps/>
                <w:sz w:val="18"/>
                <w:szCs w:val="18"/>
              </w:rPr>
              <w:t xml:space="preserve">Résultat opérationnel </w:t>
            </w:r>
            <w:r w:rsidR="003E7239">
              <w:rPr>
                <w:rFonts w:ascii="Arial" w:hAnsi="Arial" w:cs="Arial"/>
                <w:smallCaps/>
                <w:sz w:val="18"/>
                <w:szCs w:val="18"/>
              </w:rPr>
              <w:t>sur activité courante</w:t>
            </w:r>
          </w:p>
        </w:tc>
        <w:tc>
          <w:tcPr>
            <w:tcW w:w="2400" w:type="dxa"/>
            <w:gridSpan w:val="2"/>
            <w:tcBorders>
              <w:top w:val="single" w:sz="2" w:space="0" w:color="auto"/>
              <w:left w:val="single" w:sz="2" w:space="0" w:color="auto"/>
              <w:bottom w:val="single" w:sz="2" w:space="0" w:color="auto"/>
            </w:tcBorders>
            <w:shd w:val="clear" w:color="auto" w:fill="E6E6E6"/>
          </w:tcPr>
          <w:p w:rsidR="007970E1" w:rsidRPr="007970E1" w:rsidRDefault="007970E1" w:rsidP="003E7239">
            <w:pPr>
              <w:keepNext/>
              <w:spacing w:after="120"/>
              <w:jc w:val="center"/>
              <w:rPr>
                <w:rFonts w:ascii="Arial" w:hAnsi="Arial" w:cs="Arial"/>
                <w:smallCaps/>
                <w:sz w:val="18"/>
                <w:szCs w:val="18"/>
              </w:rPr>
            </w:pPr>
            <w:r w:rsidRPr="007970E1">
              <w:rPr>
                <w:rFonts w:ascii="Arial" w:hAnsi="Arial" w:cs="Arial"/>
                <w:smallCaps/>
                <w:sz w:val="18"/>
                <w:szCs w:val="18"/>
              </w:rPr>
              <w:t xml:space="preserve">Marge opérationnelle </w:t>
            </w:r>
            <w:r w:rsidR="003E7239">
              <w:rPr>
                <w:rFonts w:ascii="Arial" w:hAnsi="Arial" w:cs="Arial"/>
                <w:smallCaps/>
                <w:sz w:val="18"/>
                <w:szCs w:val="18"/>
              </w:rPr>
              <w:t>sur activité courante</w:t>
            </w:r>
          </w:p>
        </w:tc>
      </w:tr>
      <w:tr w:rsidR="007970E1" w:rsidRPr="007970E1" w:rsidTr="00280CEC">
        <w:tc>
          <w:tcPr>
            <w:tcW w:w="1668" w:type="dxa"/>
            <w:tcBorders>
              <w:top w:val="single" w:sz="2" w:space="0" w:color="auto"/>
              <w:bottom w:val="single" w:sz="2" w:space="0" w:color="auto"/>
              <w:right w:val="single" w:sz="2" w:space="0" w:color="auto"/>
            </w:tcBorders>
          </w:tcPr>
          <w:p w:rsidR="007970E1" w:rsidRPr="007970E1" w:rsidRDefault="007970E1" w:rsidP="00280CEC">
            <w:pPr>
              <w:keepNext/>
              <w:spacing w:after="120"/>
              <w:jc w:val="both"/>
              <w:rPr>
                <w:rFonts w:ascii="Arial" w:hAnsi="Arial" w:cs="Arial"/>
                <w:b/>
              </w:rPr>
            </w:pPr>
          </w:p>
        </w:tc>
        <w:tc>
          <w:tcPr>
            <w:tcW w:w="1080" w:type="dxa"/>
            <w:tcBorders>
              <w:top w:val="single" w:sz="2" w:space="0" w:color="auto"/>
              <w:left w:val="single" w:sz="2" w:space="0" w:color="auto"/>
              <w:bottom w:val="single" w:sz="2" w:space="0" w:color="auto"/>
              <w:right w:val="single" w:sz="2" w:space="0" w:color="auto"/>
            </w:tcBorders>
          </w:tcPr>
          <w:p w:rsidR="007970E1" w:rsidRPr="007970E1" w:rsidRDefault="00EB75CE" w:rsidP="00280CEC">
            <w:pPr>
              <w:keepNext/>
              <w:spacing w:after="120"/>
              <w:jc w:val="center"/>
              <w:rPr>
                <w:rFonts w:ascii="Verdana" w:hAnsi="Verdana" w:cs="Arial"/>
                <w:smallCaps/>
                <w:sz w:val="18"/>
                <w:szCs w:val="18"/>
              </w:rPr>
            </w:pPr>
            <w:r>
              <w:rPr>
                <w:rFonts w:ascii="Verdana" w:hAnsi="Verdana" w:cs="Arial"/>
                <w:smallCaps/>
                <w:sz w:val="18"/>
                <w:szCs w:val="18"/>
              </w:rPr>
              <w:t>2016</w:t>
            </w:r>
          </w:p>
        </w:tc>
        <w:tc>
          <w:tcPr>
            <w:tcW w:w="1080" w:type="dxa"/>
            <w:tcBorders>
              <w:top w:val="single" w:sz="2" w:space="0" w:color="auto"/>
              <w:left w:val="single" w:sz="2" w:space="0" w:color="auto"/>
              <w:bottom w:val="single" w:sz="2" w:space="0" w:color="auto"/>
              <w:right w:val="single" w:sz="2" w:space="0" w:color="auto"/>
            </w:tcBorders>
          </w:tcPr>
          <w:p w:rsidR="007970E1" w:rsidRPr="007970E1" w:rsidRDefault="007970E1" w:rsidP="0001455B">
            <w:pPr>
              <w:keepNext/>
              <w:spacing w:after="120"/>
              <w:jc w:val="center"/>
              <w:rPr>
                <w:rFonts w:ascii="Verdana" w:hAnsi="Verdana" w:cs="Arial"/>
                <w:smallCaps/>
                <w:sz w:val="18"/>
                <w:szCs w:val="18"/>
              </w:rPr>
            </w:pPr>
            <w:r w:rsidRPr="007970E1">
              <w:rPr>
                <w:rFonts w:ascii="Verdana" w:hAnsi="Verdana" w:cs="Arial"/>
                <w:smallCaps/>
                <w:sz w:val="18"/>
                <w:szCs w:val="18"/>
              </w:rPr>
              <w:t>201</w:t>
            </w:r>
            <w:r w:rsidR="0001455B">
              <w:rPr>
                <w:rFonts w:ascii="Verdana" w:hAnsi="Verdana" w:cs="Arial"/>
                <w:smallCaps/>
                <w:sz w:val="18"/>
                <w:szCs w:val="18"/>
              </w:rPr>
              <w:t>5</w:t>
            </w:r>
          </w:p>
        </w:tc>
        <w:tc>
          <w:tcPr>
            <w:tcW w:w="1060" w:type="dxa"/>
            <w:tcBorders>
              <w:top w:val="single" w:sz="2" w:space="0" w:color="auto"/>
              <w:left w:val="single" w:sz="2" w:space="0" w:color="auto"/>
              <w:bottom w:val="single" w:sz="2" w:space="0" w:color="auto"/>
              <w:right w:val="single" w:sz="2" w:space="0" w:color="auto"/>
            </w:tcBorders>
          </w:tcPr>
          <w:p w:rsidR="007970E1" w:rsidRPr="007970E1" w:rsidRDefault="00EB75CE" w:rsidP="00280CEC">
            <w:pPr>
              <w:keepNext/>
              <w:spacing w:after="120"/>
              <w:jc w:val="center"/>
              <w:rPr>
                <w:rFonts w:ascii="Verdana" w:hAnsi="Verdana" w:cs="Arial"/>
                <w:sz w:val="18"/>
                <w:szCs w:val="18"/>
              </w:rPr>
            </w:pPr>
            <w:r>
              <w:rPr>
                <w:rFonts w:ascii="Verdana" w:hAnsi="Verdana" w:cs="Arial"/>
                <w:smallCaps/>
                <w:sz w:val="18"/>
                <w:szCs w:val="18"/>
              </w:rPr>
              <w:t>2016</w:t>
            </w:r>
          </w:p>
        </w:tc>
        <w:tc>
          <w:tcPr>
            <w:tcW w:w="1080" w:type="dxa"/>
            <w:tcBorders>
              <w:top w:val="single" w:sz="2" w:space="0" w:color="auto"/>
              <w:left w:val="single" w:sz="2" w:space="0" w:color="auto"/>
              <w:bottom w:val="single" w:sz="2" w:space="0" w:color="auto"/>
              <w:right w:val="single" w:sz="2" w:space="0" w:color="auto"/>
            </w:tcBorders>
          </w:tcPr>
          <w:p w:rsidR="007970E1" w:rsidRPr="007970E1" w:rsidRDefault="007970E1" w:rsidP="0001455B">
            <w:pPr>
              <w:keepNext/>
              <w:spacing w:after="120"/>
              <w:jc w:val="center"/>
              <w:rPr>
                <w:rFonts w:ascii="Verdana" w:hAnsi="Verdana" w:cs="Arial"/>
                <w:sz w:val="18"/>
                <w:szCs w:val="18"/>
              </w:rPr>
            </w:pPr>
            <w:r w:rsidRPr="007970E1">
              <w:rPr>
                <w:rFonts w:ascii="Verdana" w:hAnsi="Verdana" w:cs="Arial"/>
                <w:smallCaps/>
                <w:sz w:val="18"/>
                <w:szCs w:val="18"/>
              </w:rPr>
              <w:t>201</w:t>
            </w:r>
            <w:r w:rsidR="0001455B">
              <w:rPr>
                <w:rFonts w:ascii="Verdana" w:hAnsi="Verdana" w:cs="Arial"/>
                <w:smallCaps/>
                <w:sz w:val="18"/>
                <w:szCs w:val="18"/>
              </w:rPr>
              <w:t>5</w:t>
            </w:r>
          </w:p>
        </w:tc>
        <w:tc>
          <w:tcPr>
            <w:tcW w:w="1200" w:type="dxa"/>
            <w:tcBorders>
              <w:top w:val="single" w:sz="2" w:space="0" w:color="auto"/>
              <w:left w:val="single" w:sz="2" w:space="0" w:color="auto"/>
              <w:bottom w:val="single" w:sz="2" w:space="0" w:color="auto"/>
              <w:right w:val="single" w:sz="2" w:space="0" w:color="auto"/>
            </w:tcBorders>
          </w:tcPr>
          <w:p w:rsidR="007970E1" w:rsidRPr="007970E1" w:rsidRDefault="00EB75CE" w:rsidP="00280CEC">
            <w:pPr>
              <w:keepNext/>
              <w:spacing w:after="120"/>
              <w:jc w:val="center"/>
              <w:rPr>
                <w:rFonts w:ascii="Verdana" w:hAnsi="Verdana" w:cs="Arial"/>
              </w:rPr>
            </w:pPr>
            <w:r>
              <w:rPr>
                <w:rFonts w:ascii="Verdana" w:hAnsi="Verdana" w:cs="Arial"/>
                <w:smallCaps/>
                <w:sz w:val="18"/>
                <w:szCs w:val="18"/>
              </w:rPr>
              <w:t>2016</w:t>
            </w:r>
          </w:p>
        </w:tc>
        <w:tc>
          <w:tcPr>
            <w:tcW w:w="1200" w:type="dxa"/>
            <w:tcBorders>
              <w:top w:val="single" w:sz="2" w:space="0" w:color="auto"/>
              <w:left w:val="single" w:sz="2" w:space="0" w:color="auto"/>
              <w:bottom w:val="single" w:sz="2" w:space="0" w:color="auto"/>
            </w:tcBorders>
          </w:tcPr>
          <w:p w:rsidR="007970E1" w:rsidRPr="007970E1" w:rsidRDefault="007970E1" w:rsidP="0001455B">
            <w:pPr>
              <w:keepNext/>
              <w:spacing w:after="120"/>
              <w:jc w:val="center"/>
              <w:rPr>
                <w:rFonts w:ascii="Verdana" w:hAnsi="Verdana" w:cs="Arial"/>
              </w:rPr>
            </w:pPr>
            <w:r w:rsidRPr="007970E1">
              <w:rPr>
                <w:rFonts w:ascii="Verdana" w:hAnsi="Verdana" w:cs="Arial"/>
                <w:smallCaps/>
                <w:sz w:val="18"/>
                <w:szCs w:val="18"/>
              </w:rPr>
              <w:t>201</w:t>
            </w:r>
            <w:r w:rsidR="0001455B">
              <w:rPr>
                <w:rFonts w:ascii="Verdana" w:hAnsi="Verdana" w:cs="Arial"/>
                <w:smallCaps/>
                <w:sz w:val="18"/>
                <w:szCs w:val="18"/>
              </w:rPr>
              <w:t>5</w:t>
            </w:r>
          </w:p>
        </w:tc>
      </w:tr>
      <w:tr w:rsidR="0001455B" w:rsidRPr="007970E1" w:rsidTr="00280CEC">
        <w:tc>
          <w:tcPr>
            <w:tcW w:w="1668" w:type="dxa"/>
            <w:tcBorders>
              <w:top w:val="single" w:sz="2" w:space="0" w:color="auto"/>
              <w:bottom w:val="single" w:sz="2" w:space="0" w:color="auto"/>
              <w:right w:val="single" w:sz="2" w:space="0" w:color="auto"/>
            </w:tcBorders>
          </w:tcPr>
          <w:p w:rsidR="0001455B" w:rsidRPr="007970E1" w:rsidRDefault="0001455B" w:rsidP="00280CEC">
            <w:pPr>
              <w:spacing w:after="120"/>
              <w:rPr>
                <w:rFonts w:ascii="Arial" w:hAnsi="Arial" w:cs="Arial"/>
                <w:smallCaps/>
                <w:sz w:val="18"/>
                <w:szCs w:val="18"/>
              </w:rPr>
            </w:pPr>
            <w:r w:rsidRPr="007970E1">
              <w:rPr>
                <w:rFonts w:ascii="Arial" w:hAnsi="Arial" w:cs="Arial"/>
                <w:smallCaps/>
                <w:sz w:val="18"/>
                <w:szCs w:val="18"/>
              </w:rPr>
              <w:t>Tourisme camionnette et distribution associée</w:t>
            </w:r>
          </w:p>
        </w:tc>
        <w:tc>
          <w:tcPr>
            <w:tcW w:w="1080" w:type="dxa"/>
            <w:tcBorders>
              <w:top w:val="single" w:sz="2" w:space="0" w:color="auto"/>
              <w:left w:val="single" w:sz="2" w:space="0" w:color="auto"/>
              <w:bottom w:val="single" w:sz="2" w:space="0" w:color="auto"/>
              <w:right w:val="single" w:sz="2" w:space="0" w:color="auto"/>
            </w:tcBorders>
          </w:tcPr>
          <w:p w:rsidR="0001455B" w:rsidRPr="007970E1" w:rsidRDefault="0001455B" w:rsidP="00280CEC">
            <w:pPr>
              <w:tabs>
                <w:tab w:val="left" w:pos="360"/>
              </w:tabs>
              <w:jc w:val="center"/>
              <w:rPr>
                <w:rFonts w:ascii="Verdana" w:hAnsi="Verdana" w:cs="Arial"/>
                <w:b/>
                <w:bCs/>
                <w:sz w:val="18"/>
                <w:szCs w:val="18"/>
              </w:rPr>
            </w:pPr>
          </w:p>
          <w:p w:rsidR="0001455B" w:rsidRPr="007970E1" w:rsidRDefault="0001455B" w:rsidP="00280CEC">
            <w:pPr>
              <w:tabs>
                <w:tab w:val="left" w:pos="360"/>
              </w:tabs>
              <w:jc w:val="center"/>
              <w:rPr>
                <w:rFonts w:ascii="Verdana" w:hAnsi="Verdana" w:cs="Arial"/>
                <w:b/>
                <w:bCs/>
                <w:sz w:val="18"/>
                <w:szCs w:val="18"/>
              </w:rPr>
            </w:pPr>
          </w:p>
          <w:p w:rsidR="0001455B" w:rsidRPr="007970E1" w:rsidRDefault="0001455B" w:rsidP="00280CEC">
            <w:pPr>
              <w:tabs>
                <w:tab w:val="left" w:pos="360"/>
              </w:tabs>
              <w:jc w:val="center"/>
              <w:rPr>
                <w:rFonts w:ascii="Verdana" w:hAnsi="Verdana" w:cs="Arial"/>
                <w:b/>
                <w:bCs/>
                <w:sz w:val="18"/>
                <w:szCs w:val="18"/>
              </w:rPr>
            </w:pPr>
          </w:p>
          <w:p w:rsidR="0001455B" w:rsidRPr="007970E1" w:rsidRDefault="0001455B" w:rsidP="0036433C">
            <w:pPr>
              <w:tabs>
                <w:tab w:val="left" w:pos="360"/>
              </w:tabs>
              <w:jc w:val="center"/>
              <w:rPr>
                <w:rFonts w:ascii="Verdana" w:hAnsi="Verdana" w:cs="Arial"/>
                <w:b/>
                <w:bCs/>
                <w:sz w:val="18"/>
                <w:szCs w:val="18"/>
              </w:rPr>
            </w:pPr>
            <w:r w:rsidRPr="007970E1">
              <w:rPr>
                <w:rFonts w:ascii="Verdana" w:hAnsi="Verdana" w:cs="Arial"/>
                <w:b/>
                <w:bCs/>
                <w:sz w:val="18"/>
                <w:szCs w:val="18"/>
              </w:rPr>
              <w:t>12 </w:t>
            </w:r>
            <w:r w:rsidR="007348D2">
              <w:rPr>
                <w:rFonts w:ascii="Verdana" w:hAnsi="Verdana" w:cs="Arial"/>
                <w:b/>
                <w:bCs/>
                <w:sz w:val="18"/>
                <w:szCs w:val="18"/>
              </w:rPr>
              <w:t>1</w:t>
            </w:r>
            <w:r w:rsidR="0036433C">
              <w:rPr>
                <w:rFonts w:ascii="Verdana" w:hAnsi="Verdana" w:cs="Arial"/>
                <w:b/>
                <w:bCs/>
                <w:sz w:val="18"/>
                <w:szCs w:val="18"/>
              </w:rPr>
              <w:t>05</w:t>
            </w:r>
          </w:p>
        </w:tc>
        <w:tc>
          <w:tcPr>
            <w:tcW w:w="1080" w:type="dxa"/>
            <w:tcBorders>
              <w:top w:val="single" w:sz="2" w:space="0" w:color="auto"/>
              <w:left w:val="single" w:sz="2" w:space="0" w:color="auto"/>
              <w:bottom w:val="single" w:sz="2" w:space="0" w:color="auto"/>
              <w:right w:val="single" w:sz="2" w:space="0" w:color="auto"/>
            </w:tcBorders>
          </w:tcPr>
          <w:p w:rsidR="0001455B" w:rsidRPr="007970E1" w:rsidRDefault="0001455B" w:rsidP="008A404A">
            <w:pPr>
              <w:tabs>
                <w:tab w:val="left" w:pos="360"/>
              </w:tabs>
              <w:jc w:val="center"/>
              <w:rPr>
                <w:rFonts w:ascii="Verdana" w:hAnsi="Verdana" w:cs="Arial"/>
                <w:b/>
                <w:bCs/>
                <w:sz w:val="18"/>
                <w:szCs w:val="18"/>
              </w:rPr>
            </w:pPr>
          </w:p>
          <w:p w:rsidR="0001455B" w:rsidRPr="007970E1" w:rsidRDefault="0001455B" w:rsidP="008A404A">
            <w:pPr>
              <w:tabs>
                <w:tab w:val="left" w:pos="360"/>
              </w:tabs>
              <w:jc w:val="center"/>
              <w:rPr>
                <w:rFonts w:ascii="Verdana" w:hAnsi="Verdana" w:cs="Arial"/>
                <w:b/>
                <w:bCs/>
                <w:sz w:val="18"/>
                <w:szCs w:val="18"/>
              </w:rPr>
            </w:pPr>
          </w:p>
          <w:p w:rsidR="0001455B" w:rsidRPr="007970E1" w:rsidRDefault="0001455B" w:rsidP="008A404A">
            <w:pPr>
              <w:tabs>
                <w:tab w:val="left" w:pos="360"/>
              </w:tabs>
              <w:jc w:val="center"/>
              <w:rPr>
                <w:rFonts w:ascii="Verdana" w:hAnsi="Verdana" w:cs="Arial"/>
                <w:b/>
                <w:bCs/>
                <w:sz w:val="18"/>
                <w:szCs w:val="18"/>
              </w:rPr>
            </w:pPr>
          </w:p>
          <w:p w:rsidR="0001455B" w:rsidRPr="007970E1" w:rsidRDefault="0001455B" w:rsidP="008A404A">
            <w:pPr>
              <w:tabs>
                <w:tab w:val="left" w:pos="360"/>
              </w:tabs>
              <w:jc w:val="center"/>
              <w:rPr>
                <w:rFonts w:ascii="Verdana" w:hAnsi="Verdana" w:cs="Arial"/>
                <w:b/>
                <w:bCs/>
                <w:sz w:val="18"/>
                <w:szCs w:val="18"/>
              </w:rPr>
            </w:pPr>
            <w:r w:rsidRPr="007970E1">
              <w:rPr>
                <w:rFonts w:ascii="Verdana" w:hAnsi="Verdana" w:cs="Arial"/>
                <w:b/>
                <w:bCs/>
                <w:sz w:val="18"/>
                <w:szCs w:val="18"/>
              </w:rPr>
              <w:t>12 028</w:t>
            </w:r>
          </w:p>
        </w:tc>
        <w:tc>
          <w:tcPr>
            <w:tcW w:w="1060" w:type="dxa"/>
            <w:tcBorders>
              <w:top w:val="single" w:sz="2" w:space="0" w:color="auto"/>
              <w:left w:val="single" w:sz="2" w:space="0" w:color="auto"/>
              <w:bottom w:val="single" w:sz="2" w:space="0" w:color="auto"/>
              <w:right w:val="single" w:sz="2" w:space="0" w:color="auto"/>
            </w:tcBorders>
          </w:tcPr>
          <w:p w:rsidR="0001455B" w:rsidRPr="007970E1" w:rsidRDefault="0001455B" w:rsidP="00280CEC">
            <w:pPr>
              <w:jc w:val="center"/>
              <w:rPr>
                <w:rFonts w:ascii="Verdana" w:hAnsi="Verdana" w:cs="Arial"/>
                <w:b/>
                <w:sz w:val="18"/>
                <w:szCs w:val="18"/>
              </w:rPr>
            </w:pPr>
          </w:p>
          <w:p w:rsidR="0001455B" w:rsidRPr="007970E1" w:rsidRDefault="0001455B" w:rsidP="00280CEC">
            <w:pPr>
              <w:jc w:val="center"/>
              <w:rPr>
                <w:rFonts w:ascii="Verdana" w:hAnsi="Verdana" w:cs="Arial"/>
                <w:b/>
                <w:sz w:val="18"/>
                <w:szCs w:val="18"/>
              </w:rPr>
            </w:pPr>
          </w:p>
          <w:p w:rsidR="0001455B" w:rsidRPr="007970E1" w:rsidRDefault="0001455B" w:rsidP="00280CEC">
            <w:pPr>
              <w:jc w:val="center"/>
              <w:rPr>
                <w:rFonts w:ascii="Verdana" w:hAnsi="Verdana" w:cs="Arial"/>
                <w:b/>
                <w:sz w:val="18"/>
                <w:szCs w:val="18"/>
              </w:rPr>
            </w:pPr>
          </w:p>
          <w:p w:rsidR="0001455B" w:rsidRPr="007970E1" w:rsidRDefault="0001455B" w:rsidP="0036433C">
            <w:pPr>
              <w:jc w:val="center"/>
              <w:rPr>
                <w:rFonts w:ascii="Verdana" w:hAnsi="Verdana" w:cs="Arial"/>
                <w:b/>
                <w:sz w:val="18"/>
                <w:szCs w:val="18"/>
              </w:rPr>
            </w:pPr>
            <w:r w:rsidRPr="007970E1">
              <w:rPr>
                <w:rFonts w:ascii="Verdana" w:hAnsi="Verdana" w:cs="Arial"/>
                <w:b/>
                <w:sz w:val="18"/>
                <w:szCs w:val="18"/>
              </w:rPr>
              <w:t>1 </w:t>
            </w:r>
            <w:r w:rsidR="003D0E4A">
              <w:rPr>
                <w:rFonts w:ascii="Verdana" w:hAnsi="Verdana" w:cs="Arial"/>
                <w:b/>
                <w:sz w:val="18"/>
                <w:szCs w:val="18"/>
              </w:rPr>
              <w:t>5</w:t>
            </w:r>
            <w:r w:rsidR="0036433C">
              <w:rPr>
                <w:rFonts w:ascii="Verdana" w:hAnsi="Verdana" w:cs="Arial"/>
                <w:b/>
                <w:sz w:val="18"/>
                <w:szCs w:val="18"/>
              </w:rPr>
              <w:t>85</w:t>
            </w:r>
          </w:p>
        </w:tc>
        <w:tc>
          <w:tcPr>
            <w:tcW w:w="1080" w:type="dxa"/>
            <w:tcBorders>
              <w:top w:val="single" w:sz="2" w:space="0" w:color="auto"/>
              <w:left w:val="single" w:sz="2" w:space="0" w:color="auto"/>
              <w:bottom w:val="single" w:sz="2" w:space="0" w:color="auto"/>
              <w:right w:val="single" w:sz="2" w:space="0" w:color="auto"/>
            </w:tcBorders>
          </w:tcPr>
          <w:p w:rsidR="0001455B" w:rsidRPr="007970E1" w:rsidRDefault="0001455B" w:rsidP="008A404A">
            <w:pPr>
              <w:jc w:val="center"/>
              <w:rPr>
                <w:rFonts w:ascii="Verdana" w:hAnsi="Verdana" w:cs="Arial"/>
                <w:b/>
                <w:sz w:val="18"/>
                <w:szCs w:val="18"/>
              </w:rPr>
            </w:pPr>
          </w:p>
          <w:p w:rsidR="0001455B" w:rsidRPr="007970E1" w:rsidRDefault="0001455B" w:rsidP="008A404A">
            <w:pPr>
              <w:jc w:val="center"/>
              <w:rPr>
                <w:rFonts w:ascii="Verdana" w:hAnsi="Verdana" w:cs="Arial"/>
                <w:b/>
                <w:sz w:val="18"/>
                <w:szCs w:val="18"/>
              </w:rPr>
            </w:pPr>
          </w:p>
          <w:p w:rsidR="0001455B" w:rsidRPr="007970E1" w:rsidRDefault="0001455B" w:rsidP="008A404A">
            <w:pPr>
              <w:jc w:val="center"/>
              <w:rPr>
                <w:rFonts w:ascii="Verdana" w:hAnsi="Verdana" w:cs="Arial"/>
                <w:b/>
                <w:sz w:val="18"/>
                <w:szCs w:val="18"/>
              </w:rPr>
            </w:pPr>
          </w:p>
          <w:p w:rsidR="0001455B" w:rsidRPr="007970E1" w:rsidRDefault="0001455B" w:rsidP="008A404A">
            <w:pPr>
              <w:jc w:val="center"/>
              <w:rPr>
                <w:rFonts w:ascii="Verdana" w:hAnsi="Verdana" w:cs="Arial"/>
                <w:b/>
                <w:sz w:val="18"/>
                <w:szCs w:val="18"/>
              </w:rPr>
            </w:pPr>
            <w:r w:rsidRPr="007970E1">
              <w:rPr>
                <w:rFonts w:ascii="Verdana" w:hAnsi="Verdana" w:cs="Arial"/>
                <w:b/>
                <w:sz w:val="18"/>
                <w:szCs w:val="18"/>
              </w:rPr>
              <w:t>1 384</w:t>
            </w:r>
          </w:p>
        </w:tc>
        <w:tc>
          <w:tcPr>
            <w:tcW w:w="1200" w:type="dxa"/>
            <w:tcBorders>
              <w:top w:val="single" w:sz="2" w:space="0" w:color="auto"/>
              <w:left w:val="single" w:sz="2" w:space="0" w:color="auto"/>
              <w:bottom w:val="single" w:sz="2" w:space="0" w:color="auto"/>
              <w:right w:val="single" w:sz="2" w:space="0" w:color="auto"/>
            </w:tcBorders>
          </w:tcPr>
          <w:p w:rsidR="0001455B" w:rsidRPr="007970E1" w:rsidRDefault="0001455B" w:rsidP="00280CEC">
            <w:pPr>
              <w:tabs>
                <w:tab w:val="left" w:pos="360"/>
              </w:tabs>
              <w:jc w:val="center"/>
              <w:rPr>
                <w:rFonts w:ascii="Verdana" w:hAnsi="Verdana" w:cs="Arial"/>
                <w:b/>
                <w:bCs/>
                <w:sz w:val="18"/>
                <w:szCs w:val="18"/>
              </w:rPr>
            </w:pPr>
          </w:p>
          <w:p w:rsidR="0001455B" w:rsidRPr="007970E1" w:rsidRDefault="0001455B" w:rsidP="00280CEC">
            <w:pPr>
              <w:tabs>
                <w:tab w:val="left" w:pos="360"/>
              </w:tabs>
              <w:jc w:val="center"/>
              <w:rPr>
                <w:rFonts w:ascii="Verdana" w:hAnsi="Verdana" w:cs="Arial"/>
                <w:b/>
                <w:bCs/>
                <w:sz w:val="18"/>
                <w:szCs w:val="18"/>
              </w:rPr>
            </w:pPr>
          </w:p>
          <w:p w:rsidR="0001455B" w:rsidRPr="007970E1" w:rsidRDefault="0001455B" w:rsidP="00280CEC">
            <w:pPr>
              <w:tabs>
                <w:tab w:val="left" w:pos="360"/>
              </w:tabs>
              <w:jc w:val="center"/>
              <w:rPr>
                <w:rFonts w:ascii="Verdana" w:hAnsi="Verdana" w:cs="Arial"/>
                <w:b/>
                <w:bCs/>
                <w:sz w:val="18"/>
                <w:szCs w:val="18"/>
              </w:rPr>
            </w:pPr>
          </w:p>
          <w:p w:rsidR="0001455B" w:rsidRPr="007970E1" w:rsidRDefault="0001455B" w:rsidP="0036433C">
            <w:pPr>
              <w:tabs>
                <w:tab w:val="left" w:pos="360"/>
              </w:tabs>
              <w:jc w:val="center"/>
              <w:rPr>
                <w:rFonts w:ascii="Verdana" w:hAnsi="Verdana" w:cs="Arial"/>
                <w:b/>
                <w:bCs/>
                <w:sz w:val="18"/>
                <w:szCs w:val="18"/>
              </w:rPr>
            </w:pPr>
            <w:r w:rsidRPr="007970E1">
              <w:rPr>
                <w:rFonts w:ascii="Verdana" w:hAnsi="Verdana" w:cs="Arial"/>
                <w:b/>
                <w:bCs/>
                <w:sz w:val="18"/>
                <w:szCs w:val="18"/>
              </w:rPr>
              <w:t>1</w:t>
            </w:r>
            <w:r w:rsidR="003D0E4A">
              <w:rPr>
                <w:rFonts w:ascii="Verdana" w:hAnsi="Verdana" w:cs="Arial"/>
                <w:b/>
                <w:bCs/>
                <w:sz w:val="18"/>
                <w:szCs w:val="18"/>
              </w:rPr>
              <w:t>3</w:t>
            </w:r>
            <w:r w:rsidRPr="007970E1">
              <w:rPr>
                <w:rFonts w:ascii="Verdana" w:hAnsi="Verdana" w:cs="Arial"/>
                <w:b/>
                <w:bCs/>
                <w:sz w:val="18"/>
                <w:szCs w:val="18"/>
              </w:rPr>
              <w:t>,</w:t>
            </w:r>
            <w:r w:rsidR="0036433C">
              <w:rPr>
                <w:rFonts w:ascii="Verdana" w:hAnsi="Verdana" w:cs="Arial"/>
                <w:b/>
                <w:bCs/>
                <w:sz w:val="18"/>
                <w:szCs w:val="18"/>
              </w:rPr>
              <w:t>1</w:t>
            </w:r>
            <w:r w:rsidRPr="007970E1">
              <w:rPr>
                <w:rFonts w:ascii="Verdana" w:hAnsi="Verdana" w:cs="Arial"/>
                <w:b/>
                <w:bCs/>
                <w:sz w:val="18"/>
                <w:szCs w:val="18"/>
              </w:rPr>
              <w:t xml:space="preserve"> %</w:t>
            </w:r>
          </w:p>
        </w:tc>
        <w:tc>
          <w:tcPr>
            <w:tcW w:w="1200" w:type="dxa"/>
            <w:tcBorders>
              <w:top w:val="single" w:sz="2" w:space="0" w:color="auto"/>
              <w:left w:val="single" w:sz="2" w:space="0" w:color="auto"/>
              <w:bottom w:val="single" w:sz="2" w:space="0" w:color="auto"/>
            </w:tcBorders>
          </w:tcPr>
          <w:p w:rsidR="0001455B" w:rsidRPr="007970E1" w:rsidRDefault="0001455B" w:rsidP="008A404A">
            <w:pPr>
              <w:tabs>
                <w:tab w:val="left" w:pos="360"/>
              </w:tabs>
              <w:jc w:val="center"/>
              <w:rPr>
                <w:rFonts w:ascii="Verdana" w:hAnsi="Verdana" w:cs="Arial"/>
                <w:b/>
                <w:bCs/>
                <w:sz w:val="18"/>
                <w:szCs w:val="18"/>
              </w:rPr>
            </w:pPr>
          </w:p>
          <w:p w:rsidR="0001455B" w:rsidRPr="007970E1" w:rsidRDefault="0001455B" w:rsidP="008A404A">
            <w:pPr>
              <w:tabs>
                <w:tab w:val="left" w:pos="360"/>
              </w:tabs>
              <w:jc w:val="center"/>
              <w:rPr>
                <w:rFonts w:ascii="Verdana" w:hAnsi="Verdana" w:cs="Arial"/>
                <w:b/>
                <w:bCs/>
                <w:sz w:val="18"/>
                <w:szCs w:val="18"/>
              </w:rPr>
            </w:pPr>
          </w:p>
          <w:p w:rsidR="0001455B" w:rsidRPr="007970E1" w:rsidRDefault="0001455B" w:rsidP="008A404A">
            <w:pPr>
              <w:tabs>
                <w:tab w:val="left" w:pos="360"/>
              </w:tabs>
              <w:jc w:val="center"/>
              <w:rPr>
                <w:rFonts w:ascii="Verdana" w:hAnsi="Verdana" w:cs="Arial"/>
                <w:b/>
                <w:bCs/>
                <w:sz w:val="18"/>
                <w:szCs w:val="18"/>
              </w:rPr>
            </w:pPr>
          </w:p>
          <w:p w:rsidR="0001455B" w:rsidRPr="007970E1" w:rsidRDefault="0001455B" w:rsidP="008A404A">
            <w:pPr>
              <w:tabs>
                <w:tab w:val="left" w:pos="360"/>
              </w:tabs>
              <w:jc w:val="center"/>
              <w:rPr>
                <w:rFonts w:ascii="Verdana" w:hAnsi="Verdana" w:cs="Arial"/>
                <w:b/>
                <w:bCs/>
                <w:sz w:val="18"/>
                <w:szCs w:val="18"/>
              </w:rPr>
            </w:pPr>
            <w:r w:rsidRPr="007970E1">
              <w:rPr>
                <w:rFonts w:ascii="Verdana" w:hAnsi="Verdana" w:cs="Arial"/>
                <w:b/>
                <w:bCs/>
                <w:sz w:val="18"/>
                <w:szCs w:val="18"/>
              </w:rPr>
              <w:t>11,5 %</w:t>
            </w:r>
          </w:p>
        </w:tc>
      </w:tr>
      <w:tr w:rsidR="0001455B" w:rsidRPr="007970E1" w:rsidTr="00280CEC">
        <w:tc>
          <w:tcPr>
            <w:tcW w:w="1668" w:type="dxa"/>
            <w:tcBorders>
              <w:top w:val="single" w:sz="2" w:space="0" w:color="auto"/>
              <w:bottom w:val="single" w:sz="2" w:space="0" w:color="auto"/>
              <w:right w:val="single" w:sz="2" w:space="0" w:color="auto"/>
            </w:tcBorders>
          </w:tcPr>
          <w:p w:rsidR="0001455B" w:rsidRPr="007970E1" w:rsidRDefault="0001455B" w:rsidP="00280CEC">
            <w:pPr>
              <w:spacing w:after="120"/>
              <w:rPr>
                <w:rFonts w:ascii="Arial" w:hAnsi="Arial" w:cs="Arial"/>
                <w:smallCaps/>
                <w:sz w:val="18"/>
                <w:szCs w:val="18"/>
              </w:rPr>
            </w:pPr>
            <w:r w:rsidRPr="007970E1">
              <w:rPr>
                <w:rFonts w:ascii="Arial" w:hAnsi="Arial" w:cs="Arial"/>
                <w:smallCaps/>
                <w:sz w:val="18"/>
                <w:szCs w:val="18"/>
              </w:rPr>
              <w:t>Poids lourd et distribution associée</w:t>
            </w:r>
          </w:p>
        </w:tc>
        <w:tc>
          <w:tcPr>
            <w:tcW w:w="1080" w:type="dxa"/>
            <w:tcBorders>
              <w:top w:val="single" w:sz="2" w:space="0" w:color="auto"/>
              <w:left w:val="single" w:sz="2" w:space="0" w:color="auto"/>
              <w:bottom w:val="single" w:sz="2" w:space="0" w:color="auto"/>
              <w:right w:val="single" w:sz="2" w:space="0" w:color="auto"/>
            </w:tcBorders>
          </w:tcPr>
          <w:p w:rsidR="0001455B" w:rsidRPr="007970E1" w:rsidRDefault="0001455B" w:rsidP="00280CEC">
            <w:pPr>
              <w:tabs>
                <w:tab w:val="left" w:pos="360"/>
              </w:tabs>
              <w:jc w:val="center"/>
              <w:rPr>
                <w:rFonts w:ascii="Verdana" w:hAnsi="Verdana" w:cs="Arial"/>
                <w:b/>
                <w:bCs/>
                <w:sz w:val="18"/>
                <w:szCs w:val="18"/>
              </w:rPr>
            </w:pPr>
          </w:p>
          <w:p w:rsidR="0001455B" w:rsidRPr="007970E1" w:rsidRDefault="0001455B" w:rsidP="00280CEC">
            <w:pPr>
              <w:tabs>
                <w:tab w:val="left" w:pos="360"/>
              </w:tabs>
              <w:jc w:val="center"/>
              <w:rPr>
                <w:rFonts w:ascii="Verdana" w:hAnsi="Verdana" w:cs="Arial"/>
                <w:b/>
                <w:bCs/>
                <w:sz w:val="18"/>
                <w:szCs w:val="18"/>
              </w:rPr>
            </w:pPr>
          </w:p>
          <w:p w:rsidR="0001455B" w:rsidRPr="007970E1" w:rsidRDefault="007348D2" w:rsidP="0036433C">
            <w:pPr>
              <w:tabs>
                <w:tab w:val="left" w:pos="360"/>
              </w:tabs>
              <w:jc w:val="center"/>
              <w:rPr>
                <w:rFonts w:ascii="Verdana" w:hAnsi="Verdana" w:cs="Arial"/>
                <w:b/>
                <w:bCs/>
                <w:sz w:val="18"/>
                <w:szCs w:val="18"/>
              </w:rPr>
            </w:pPr>
            <w:r>
              <w:rPr>
                <w:rFonts w:ascii="Verdana" w:hAnsi="Verdana" w:cs="Arial"/>
                <w:b/>
                <w:bCs/>
                <w:sz w:val="18"/>
                <w:szCs w:val="18"/>
              </w:rPr>
              <w:t>5</w:t>
            </w:r>
            <w:r w:rsidR="0001455B" w:rsidRPr="007970E1">
              <w:rPr>
                <w:rFonts w:ascii="Verdana" w:hAnsi="Verdana" w:cs="Arial"/>
                <w:b/>
                <w:bCs/>
                <w:sz w:val="18"/>
                <w:szCs w:val="18"/>
              </w:rPr>
              <w:t> </w:t>
            </w:r>
            <w:r>
              <w:rPr>
                <w:rFonts w:ascii="Verdana" w:hAnsi="Verdana" w:cs="Arial"/>
                <w:b/>
                <w:bCs/>
                <w:sz w:val="18"/>
                <w:szCs w:val="18"/>
              </w:rPr>
              <w:t>9</w:t>
            </w:r>
            <w:r w:rsidR="0036433C">
              <w:rPr>
                <w:rFonts w:ascii="Verdana" w:hAnsi="Verdana" w:cs="Arial"/>
                <w:b/>
                <w:bCs/>
                <w:sz w:val="18"/>
                <w:szCs w:val="18"/>
              </w:rPr>
              <w:t>66</w:t>
            </w:r>
          </w:p>
        </w:tc>
        <w:tc>
          <w:tcPr>
            <w:tcW w:w="1080" w:type="dxa"/>
            <w:tcBorders>
              <w:top w:val="single" w:sz="2" w:space="0" w:color="auto"/>
              <w:left w:val="single" w:sz="2" w:space="0" w:color="auto"/>
              <w:bottom w:val="single" w:sz="2" w:space="0" w:color="auto"/>
              <w:right w:val="single" w:sz="2" w:space="0" w:color="auto"/>
            </w:tcBorders>
          </w:tcPr>
          <w:p w:rsidR="0001455B" w:rsidRPr="007970E1" w:rsidRDefault="0001455B" w:rsidP="008A404A">
            <w:pPr>
              <w:tabs>
                <w:tab w:val="left" w:pos="360"/>
              </w:tabs>
              <w:jc w:val="center"/>
              <w:rPr>
                <w:rFonts w:ascii="Verdana" w:hAnsi="Verdana" w:cs="Arial"/>
                <w:b/>
                <w:bCs/>
                <w:sz w:val="18"/>
                <w:szCs w:val="18"/>
              </w:rPr>
            </w:pPr>
          </w:p>
          <w:p w:rsidR="0001455B" w:rsidRPr="007970E1" w:rsidRDefault="0001455B" w:rsidP="008A404A">
            <w:pPr>
              <w:tabs>
                <w:tab w:val="left" w:pos="360"/>
              </w:tabs>
              <w:jc w:val="center"/>
              <w:rPr>
                <w:rFonts w:ascii="Verdana" w:hAnsi="Verdana" w:cs="Arial"/>
                <w:b/>
                <w:bCs/>
                <w:sz w:val="18"/>
                <w:szCs w:val="18"/>
              </w:rPr>
            </w:pPr>
          </w:p>
          <w:p w:rsidR="0001455B" w:rsidRPr="007970E1" w:rsidRDefault="0001455B" w:rsidP="008A404A">
            <w:pPr>
              <w:tabs>
                <w:tab w:val="left" w:pos="360"/>
              </w:tabs>
              <w:jc w:val="center"/>
              <w:rPr>
                <w:rFonts w:ascii="Verdana" w:hAnsi="Verdana" w:cs="Arial"/>
                <w:b/>
                <w:bCs/>
                <w:sz w:val="18"/>
                <w:szCs w:val="18"/>
              </w:rPr>
            </w:pPr>
            <w:r w:rsidRPr="007970E1">
              <w:rPr>
                <w:rFonts w:ascii="Verdana" w:hAnsi="Verdana" w:cs="Arial"/>
                <w:b/>
                <w:bCs/>
                <w:sz w:val="18"/>
                <w:szCs w:val="18"/>
              </w:rPr>
              <w:t>6 229</w:t>
            </w:r>
          </w:p>
        </w:tc>
        <w:tc>
          <w:tcPr>
            <w:tcW w:w="1060" w:type="dxa"/>
            <w:tcBorders>
              <w:top w:val="single" w:sz="2" w:space="0" w:color="auto"/>
              <w:left w:val="single" w:sz="2" w:space="0" w:color="auto"/>
              <w:bottom w:val="single" w:sz="2" w:space="0" w:color="auto"/>
              <w:right w:val="single" w:sz="2" w:space="0" w:color="auto"/>
            </w:tcBorders>
          </w:tcPr>
          <w:p w:rsidR="0001455B" w:rsidRPr="007970E1" w:rsidRDefault="0001455B" w:rsidP="00280CEC">
            <w:pPr>
              <w:jc w:val="center"/>
              <w:rPr>
                <w:rFonts w:ascii="Verdana" w:hAnsi="Verdana" w:cs="Arial"/>
                <w:b/>
                <w:sz w:val="18"/>
                <w:szCs w:val="18"/>
              </w:rPr>
            </w:pPr>
          </w:p>
          <w:p w:rsidR="0001455B" w:rsidRPr="007970E1" w:rsidRDefault="0001455B" w:rsidP="00280CEC">
            <w:pPr>
              <w:jc w:val="center"/>
              <w:rPr>
                <w:rFonts w:ascii="Verdana" w:hAnsi="Verdana" w:cs="Arial"/>
                <w:b/>
                <w:sz w:val="18"/>
                <w:szCs w:val="18"/>
              </w:rPr>
            </w:pPr>
          </w:p>
          <w:p w:rsidR="0001455B" w:rsidRPr="007970E1" w:rsidRDefault="003D0E4A" w:rsidP="0036433C">
            <w:pPr>
              <w:jc w:val="center"/>
              <w:rPr>
                <w:rFonts w:ascii="Verdana" w:hAnsi="Verdana" w:cs="Arial"/>
                <w:b/>
                <w:sz w:val="18"/>
                <w:szCs w:val="18"/>
              </w:rPr>
            </w:pPr>
            <w:r>
              <w:rPr>
                <w:rFonts w:ascii="Verdana" w:hAnsi="Verdana" w:cs="Arial"/>
                <w:b/>
                <w:sz w:val="18"/>
                <w:szCs w:val="18"/>
              </w:rPr>
              <w:t>58</w:t>
            </w:r>
            <w:r w:rsidR="0036433C">
              <w:rPr>
                <w:rFonts w:ascii="Verdana" w:hAnsi="Verdana" w:cs="Arial"/>
                <w:b/>
                <w:sz w:val="18"/>
                <w:szCs w:val="18"/>
              </w:rPr>
              <w:t>0</w:t>
            </w:r>
          </w:p>
        </w:tc>
        <w:tc>
          <w:tcPr>
            <w:tcW w:w="1080" w:type="dxa"/>
            <w:tcBorders>
              <w:top w:val="single" w:sz="2" w:space="0" w:color="auto"/>
              <w:left w:val="single" w:sz="2" w:space="0" w:color="auto"/>
              <w:bottom w:val="single" w:sz="2" w:space="0" w:color="auto"/>
              <w:right w:val="single" w:sz="2" w:space="0" w:color="auto"/>
            </w:tcBorders>
          </w:tcPr>
          <w:p w:rsidR="0001455B" w:rsidRPr="007970E1" w:rsidRDefault="0001455B" w:rsidP="008A404A">
            <w:pPr>
              <w:jc w:val="center"/>
              <w:rPr>
                <w:rFonts w:ascii="Verdana" w:hAnsi="Verdana" w:cs="Arial"/>
                <w:b/>
                <w:sz w:val="18"/>
                <w:szCs w:val="18"/>
              </w:rPr>
            </w:pPr>
          </w:p>
          <w:p w:rsidR="0001455B" w:rsidRPr="007970E1" w:rsidRDefault="0001455B" w:rsidP="008A404A">
            <w:pPr>
              <w:jc w:val="center"/>
              <w:rPr>
                <w:rFonts w:ascii="Verdana" w:hAnsi="Verdana" w:cs="Arial"/>
                <w:b/>
                <w:sz w:val="18"/>
                <w:szCs w:val="18"/>
              </w:rPr>
            </w:pPr>
          </w:p>
          <w:p w:rsidR="0001455B" w:rsidRPr="007970E1" w:rsidRDefault="0001455B" w:rsidP="008A404A">
            <w:pPr>
              <w:jc w:val="center"/>
              <w:rPr>
                <w:rFonts w:ascii="Verdana" w:hAnsi="Verdana" w:cs="Arial"/>
                <w:b/>
                <w:sz w:val="18"/>
                <w:szCs w:val="18"/>
              </w:rPr>
            </w:pPr>
            <w:r w:rsidRPr="007970E1">
              <w:rPr>
                <w:rFonts w:ascii="Verdana" w:hAnsi="Verdana" w:cs="Arial"/>
                <w:b/>
                <w:sz w:val="18"/>
                <w:szCs w:val="18"/>
              </w:rPr>
              <w:t>645</w:t>
            </w:r>
          </w:p>
        </w:tc>
        <w:tc>
          <w:tcPr>
            <w:tcW w:w="1200" w:type="dxa"/>
            <w:tcBorders>
              <w:top w:val="single" w:sz="2" w:space="0" w:color="auto"/>
              <w:left w:val="single" w:sz="2" w:space="0" w:color="auto"/>
              <w:bottom w:val="single" w:sz="2" w:space="0" w:color="auto"/>
              <w:right w:val="single" w:sz="2" w:space="0" w:color="auto"/>
            </w:tcBorders>
          </w:tcPr>
          <w:p w:rsidR="0001455B" w:rsidRPr="007970E1" w:rsidRDefault="0001455B" w:rsidP="00280CEC">
            <w:pPr>
              <w:tabs>
                <w:tab w:val="left" w:pos="360"/>
              </w:tabs>
              <w:jc w:val="center"/>
              <w:rPr>
                <w:rFonts w:ascii="Verdana" w:hAnsi="Verdana" w:cs="Arial"/>
                <w:b/>
                <w:bCs/>
                <w:sz w:val="18"/>
                <w:szCs w:val="18"/>
              </w:rPr>
            </w:pPr>
          </w:p>
          <w:p w:rsidR="0001455B" w:rsidRPr="007970E1" w:rsidRDefault="0001455B" w:rsidP="00280CEC">
            <w:pPr>
              <w:tabs>
                <w:tab w:val="left" w:pos="360"/>
              </w:tabs>
              <w:jc w:val="center"/>
              <w:rPr>
                <w:rFonts w:ascii="Verdana" w:hAnsi="Verdana" w:cs="Arial"/>
                <w:b/>
                <w:bCs/>
                <w:sz w:val="18"/>
                <w:szCs w:val="18"/>
              </w:rPr>
            </w:pPr>
          </w:p>
          <w:p w:rsidR="0001455B" w:rsidRPr="007970E1" w:rsidRDefault="0036433C" w:rsidP="0036433C">
            <w:pPr>
              <w:tabs>
                <w:tab w:val="left" w:pos="360"/>
              </w:tabs>
              <w:jc w:val="center"/>
              <w:rPr>
                <w:rFonts w:ascii="Verdana" w:hAnsi="Verdana" w:cs="Arial"/>
                <w:b/>
                <w:bCs/>
                <w:sz w:val="18"/>
                <w:szCs w:val="18"/>
              </w:rPr>
            </w:pPr>
            <w:r>
              <w:rPr>
                <w:rFonts w:ascii="Verdana" w:hAnsi="Verdana" w:cs="Arial"/>
                <w:b/>
                <w:bCs/>
                <w:sz w:val="18"/>
                <w:szCs w:val="18"/>
              </w:rPr>
              <w:t>9,7</w:t>
            </w:r>
            <w:r w:rsidR="0001455B" w:rsidRPr="007970E1">
              <w:rPr>
                <w:rFonts w:ascii="Verdana" w:hAnsi="Verdana" w:cs="Arial"/>
                <w:b/>
                <w:bCs/>
                <w:sz w:val="18"/>
                <w:szCs w:val="18"/>
              </w:rPr>
              <w:t>%</w:t>
            </w:r>
          </w:p>
        </w:tc>
        <w:tc>
          <w:tcPr>
            <w:tcW w:w="1200" w:type="dxa"/>
            <w:tcBorders>
              <w:top w:val="single" w:sz="2" w:space="0" w:color="auto"/>
              <w:left w:val="single" w:sz="2" w:space="0" w:color="auto"/>
              <w:bottom w:val="single" w:sz="2" w:space="0" w:color="auto"/>
            </w:tcBorders>
          </w:tcPr>
          <w:p w:rsidR="0001455B" w:rsidRPr="007970E1" w:rsidRDefault="0001455B" w:rsidP="008A404A">
            <w:pPr>
              <w:tabs>
                <w:tab w:val="left" w:pos="360"/>
              </w:tabs>
              <w:jc w:val="center"/>
              <w:rPr>
                <w:rFonts w:ascii="Verdana" w:hAnsi="Verdana" w:cs="Arial"/>
                <w:b/>
                <w:bCs/>
                <w:sz w:val="18"/>
                <w:szCs w:val="18"/>
              </w:rPr>
            </w:pPr>
          </w:p>
          <w:p w:rsidR="0001455B" w:rsidRPr="007970E1" w:rsidRDefault="0001455B" w:rsidP="008A404A">
            <w:pPr>
              <w:tabs>
                <w:tab w:val="left" w:pos="360"/>
              </w:tabs>
              <w:jc w:val="center"/>
              <w:rPr>
                <w:rFonts w:ascii="Verdana" w:hAnsi="Verdana" w:cs="Arial"/>
                <w:b/>
                <w:bCs/>
                <w:sz w:val="18"/>
                <w:szCs w:val="18"/>
              </w:rPr>
            </w:pPr>
          </w:p>
          <w:p w:rsidR="0001455B" w:rsidRPr="007970E1" w:rsidRDefault="0001455B" w:rsidP="008A404A">
            <w:pPr>
              <w:tabs>
                <w:tab w:val="left" w:pos="360"/>
              </w:tabs>
              <w:jc w:val="center"/>
              <w:rPr>
                <w:rFonts w:ascii="Verdana" w:hAnsi="Verdana" w:cs="Arial"/>
                <w:b/>
                <w:bCs/>
                <w:sz w:val="18"/>
                <w:szCs w:val="18"/>
              </w:rPr>
            </w:pPr>
            <w:r w:rsidRPr="007970E1">
              <w:rPr>
                <w:rFonts w:ascii="Verdana" w:hAnsi="Verdana" w:cs="Arial"/>
                <w:b/>
                <w:bCs/>
                <w:sz w:val="18"/>
                <w:szCs w:val="18"/>
              </w:rPr>
              <w:t>10,4 %</w:t>
            </w:r>
          </w:p>
        </w:tc>
      </w:tr>
      <w:tr w:rsidR="0001455B" w:rsidRPr="007970E1" w:rsidTr="00280CEC">
        <w:tc>
          <w:tcPr>
            <w:tcW w:w="1668" w:type="dxa"/>
            <w:tcBorders>
              <w:top w:val="single" w:sz="2" w:space="0" w:color="auto"/>
              <w:bottom w:val="single" w:sz="2" w:space="0" w:color="auto"/>
              <w:right w:val="single" w:sz="2" w:space="0" w:color="auto"/>
            </w:tcBorders>
          </w:tcPr>
          <w:p w:rsidR="0001455B" w:rsidRPr="007970E1" w:rsidRDefault="0001455B" w:rsidP="00280CEC">
            <w:pPr>
              <w:spacing w:after="120"/>
              <w:rPr>
                <w:rFonts w:ascii="Arial" w:hAnsi="Arial" w:cs="Arial"/>
                <w:smallCaps/>
                <w:sz w:val="18"/>
                <w:szCs w:val="18"/>
              </w:rPr>
            </w:pPr>
            <w:r w:rsidRPr="007970E1">
              <w:rPr>
                <w:rFonts w:ascii="Arial" w:hAnsi="Arial" w:cs="Arial"/>
                <w:smallCaps/>
                <w:sz w:val="18"/>
                <w:szCs w:val="18"/>
              </w:rPr>
              <w:t>Activités de spécialités</w:t>
            </w:r>
          </w:p>
        </w:tc>
        <w:tc>
          <w:tcPr>
            <w:tcW w:w="1080" w:type="dxa"/>
            <w:tcBorders>
              <w:top w:val="single" w:sz="2" w:space="0" w:color="auto"/>
              <w:left w:val="single" w:sz="2" w:space="0" w:color="auto"/>
              <w:bottom w:val="single" w:sz="2" w:space="0" w:color="auto"/>
              <w:right w:val="single" w:sz="2" w:space="0" w:color="auto"/>
            </w:tcBorders>
          </w:tcPr>
          <w:p w:rsidR="0001455B" w:rsidRPr="007970E1" w:rsidRDefault="0001455B" w:rsidP="00280CEC">
            <w:pPr>
              <w:tabs>
                <w:tab w:val="left" w:pos="360"/>
              </w:tabs>
              <w:jc w:val="center"/>
              <w:rPr>
                <w:rFonts w:ascii="Verdana" w:hAnsi="Verdana" w:cs="Arial"/>
                <w:b/>
                <w:bCs/>
                <w:sz w:val="18"/>
                <w:szCs w:val="18"/>
              </w:rPr>
            </w:pPr>
          </w:p>
          <w:p w:rsidR="0001455B" w:rsidRPr="007970E1" w:rsidRDefault="0001455B" w:rsidP="0036433C">
            <w:pPr>
              <w:tabs>
                <w:tab w:val="left" w:pos="360"/>
              </w:tabs>
              <w:jc w:val="center"/>
              <w:rPr>
                <w:rFonts w:ascii="Verdana" w:hAnsi="Verdana" w:cs="Arial"/>
                <w:b/>
                <w:bCs/>
                <w:sz w:val="18"/>
                <w:szCs w:val="18"/>
              </w:rPr>
            </w:pPr>
            <w:r w:rsidRPr="007970E1">
              <w:rPr>
                <w:rFonts w:ascii="Verdana" w:hAnsi="Verdana" w:cs="Arial"/>
                <w:b/>
                <w:bCs/>
                <w:sz w:val="18"/>
                <w:szCs w:val="18"/>
              </w:rPr>
              <w:t>2 </w:t>
            </w:r>
            <w:r w:rsidR="007348D2">
              <w:rPr>
                <w:rFonts w:ascii="Verdana" w:hAnsi="Verdana" w:cs="Arial"/>
                <w:b/>
                <w:bCs/>
                <w:sz w:val="18"/>
                <w:szCs w:val="18"/>
              </w:rPr>
              <w:t>8</w:t>
            </w:r>
            <w:r w:rsidR="0036433C">
              <w:rPr>
                <w:rFonts w:ascii="Verdana" w:hAnsi="Verdana" w:cs="Arial"/>
                <w:b/>
                <w:bCs/>
                <w:sz w:val="18"/>
                <w:szCs w:val="18"/>
              </w:rPr>
              <w:t>36</w:t>
            </w:r>
          </w:p>
        </w:tc>
        <w:tc>
          <w:tcPr>
            <w:tcW w:w="1080" w:type="dxa"/>
            <w:tcBorders>
              <w:top w:val="single" w:sz="2" w:space="0" w:color="auto"/>
              <w:left w:val="single" w:sz="2" w:space="0" w:color="auto"/>
              <w:bottom w:val="single" w:sz="2" w:space="0" w:color="auto"/>
              <w:right w:val="single" w:sz="2" w:space="0" w:color="auto"/>
            </w:tcBorders>
          </w:tcPr>
          <w:p w:rsidR="0001455B" w:rsidRPr="007970E1" w:rsidRDefault="0001455B" w:rsidP="008A404A">
            <w:pPr>
              <w:tabs>
                <w:tab w:val="left" w:pos="360"/>
              </w:tabs>
              <w:jc w:val="center"/>
              <w:rPr>
                <w:rFonts w:ascii="Verdana" w:hAnsi="Verdana" w:cs="Arial"/>
                <w:b/>
                <w:bCs/>
                <w:sz w:val="18"/>
                <w:szCs w:val="18"/>
              </w:rPr>
            </w:pPr>
          </w:p>
          <w:p w:rsidR="0001455B" w:rsidRPr="007970E1" w:rsidRDefault="0001455B" w:rsidP="008A404A">
            <w:pPr>
              <w:tabs>
                <w:tab w:val="left" w:pos="360"/>
              </w:tabs>
              <w:jc w:val="center"/>
              <w:rPr>
                <w:rFonts w:ascii="Verdana" w:hAnsi="Verdana" w:cs="Arial"/>
                <w:b/>
                <w:bCs/>
                <w:sz w:val="18"/>
                <w:szCs w:val="18"/>
              </w:rPr>
            </w:pPr>
            <w:r w:rsidRPr="007970E1">
              <w:rPr>
                <w:rFonts w:ascii="Verdana" w:hAnsi="Verdana" w:cs="Arial"/>
                <w:b/>
                <w:bCs/>
                <w:sz w:val="18"/>
                <w:szCs w:val="18"/>
              </w:rPr>
              <w:t>2 942</w:t>
            </w:r>
          </w:p>
        </w:tc>
        <w:tc>
          <w:tcPr>
            <w:tcW w:w="1060" w:type="dxa"/>
            <w:tcBorders>
              <w:top w:val="single" w:sz="2" w:space="0" w:color="auto"/>
              <w:left w:val="single" w:sz="2" w:space="0" w:color="auto"/>
              <w:bottom w:val="single" w:sz="2" w:space="0" w:color="auto"/>
              <w:right w:val="single" w:sz="2" w:space="0" w:color="auto"/>
            </w:tcBorders>
          </w:tcPr>
          <w:p w:rsidR="0001455B" w:rsidRPr="007970E1" w:rsidRDefault="0001455B" w:rsidP="00280CEC">
            <w:pPr>
              <w:jc w:val="center"/>
              <w:rPr>
                <w:rFonts w:ascii="Verdana" w:hAnsi="Verdana" w:cs="Arial"/>
                <w:b/>
                <w:sz w:val="18"/>
                <w:szCs w:val="18"/>
              </w:rPr>
            </w:pPr>
          </w:p>
          <w:p w:rsidR="0001455B" w:rsidRPr="007970E1" w:rsidRDefault="0001455B" w:rsidP="0036433C">
            <w:pPr>
              <w:jc w:val="center"/>
              <w:rPr>
                <w:rFonts w:ascii="Verdana" w:hAnsi="Verdana" w:cs="Arial"/>
                <w:b/>
                <w:sz w:val="18"/>
                <w:szCs w:val="18"/>
              </w:rPr>
            </w:pPr>
            <w:r w:rsidRPr="007970E1">
              <w:rPr>
                <w:rFonts w:ascii="Verdana" w:hAnsi="Verdana" w:cs="Arial"/>
                <w:b/>
                <w:sz w:val="18"/>
                <w:szCs w:val="18"/>
              </w:rPr>
              <w:t>5</w:t>
            </w:r>
            <w:r w:rsidR="0036433C">
              <w:rPr>
                <w:rFonts w:ascii="Verdana" w:hAnsi="Verdana" w:cs="Arial"/>
                <w:b/>
                <w:sz w:val="18"/>
                <w:szCs w:val="18"/>
              </w:rPr>
              <w:t>27</w:t>
            </w:r>
          </w:p>
        </w:tc>
        <w:tc>
          <w:tcPr>
            <w:tcW w:w="1080" w:type="dxa"/>
            <w:tcBorders>
              <w:top w:val="single" w:sz="2" w:space="0" w:color="auto"/>
              <w:left w:val="single" w:sz="2" w:space="0" w:color="auto"/>
              <w:bottom w:val="single" w:sz="2" w:space="0" w:color="auto"/>
              <w:right w:val="single" w:sz="2" w:space="0" w:color="auto"/>
            </w:tcBorders>
          </w:tcPr>
          <w:p w:rsidR="0001455B" w:rsidRPr="007970E1" w:rsidRDefault="0001455B" w:rsidP="008A404A">
            <w:pPr>
              <w:jc w:val="center"/>
              <w:rPr>
                <w:rFonts w:ascii="Verdana" w:hAnsi="Verdana" w:cs="Arial"/>
                <w:b/>
                <w:sz w:val="18"/>
                <w:szCs w:val="18"/>
              </w:rPr>
            </w:pPr>
          </w:p>
          <w:p w:rsidR="0001455B" w:rsidRPr="007970E1" w:rsidRDefault="0001455B" w:rsidP="008A404A">
            <w:pPr>
              <w:jc w:val="center"/>
              <w:rPr>
                <w:rFonts w:ascii="Verdana" w:hAnsi="Verdana" w:cs="Arial"/>
                <w:b/>
                <w:sz w:val="18"/>
                <w:szCs w:val="18"/>
              </w:rPr>
            </w:pPr>
            <w:r w:rsidRPr="007970E1">
              <w:rPr>
                <w:rFonts w:ascii="Verdana" w:hAnsi="Verdana" w:cs="Arial"/>
                <w:b/>
                <w:sz w:val="18"/>
                <w:szCs w:val="18"/>
              </w:rPr>
              <w:t>548</w:t>
            </w:r>
          </w:p>
        </w:tc>
        <w:tc>
          <w:tcPr>
            <w:tcW w:w="1200" w:type="dxa"/>
            <w:tcBorders>
              <w:top w:val="single" w:sz="2" w:space="0" w:color="auto"/>
              <w:left w:val="single" w:sz="2" w:space="0" w:color="auto"/>
              <w:bottom w:val="single" w:sz="2" w:space="0" w:color="auto"/>
              <w:right w:val="single" w:sz="2" w:space="0" w:color="auto"/>
            </w:tcBorders>
          </w:tcPr>
          <w:p w:rsidR="0001455B" w:rsidRPr="007970E1" w:rsidRDefault="0001455B" w:rsidP="00280CEC">
            <w:pPr>
              <w:tabs>
                <w:tab w:val="left" w:pos="360"/>
              </w:tabs>
              <w:jc w:val="center"/>
              <w:rPr>
                <w:rFonts w:ascii="Verdana" w:hAnsi="Verdana" w:cs="Arial"/>
                <w:b/>
                <w:bCs/>
                <w:sz w:val="18"/>
                <w:szCs w:val="18"/>
              </w:rPr>
            </w:pPr>
          </w:p>
          <w:p w:rsidR="0001455B" w:rsidRPr="007970E1" w:rsidRDefault="0001455B" w:rsidP="0036433C">
            <w:pPr>
              <w:tabs>
                <w:tab w:val="left" w:pos="360"/>
              </w:tabs>
              <w:jc w:val="center"/>
              <w:rPr>
                <w:rFonts w:ascii="Verdana" w:hAnsi="Verdana" w:cs="Arial"/>
                <w:b/>
                <w:bCs/>
                <w:sz w:val="18"/>
                <w:szCs w:val="18"/>
              </w:rPr>
            </w:pPr>
            <w:r w:rsidRPr="007970E1">
              <w:rPr>
                <w:rFonts w:ascii="Verdana" w:hAnsi="Verdana" w:cs="Arial"/>
                <w:b/>
                <w:bCs/>
                <w:sz w:val="18"/>
                <w:szCs w:val="18"/>
              </w:rPr>
              <w:t>18,</w:t>
            </w:r>
            <w:r w:rsidR="0036433C">
              <w:rPr>
                <w:rFonts w:ascii="Verdana" w:hAnsi="Verdana" w:cs="Arial"/>
                <w:b/>
                <w:bCs/>
                <w:sz w:val="18"/>
                <w:szCs w:val="18"/>
              </w:rPr>
              <w:t>6</w:t>
            </w:r>
            <w:r w:rsidRPr="007970E1">
              <w:rPr>
                <w:rFonts w:ascii="Verdana" w:hAnsi="Verdana" w:cs="Arial"/>
                <w:b/>
                <w:bCs/>
                <w:sz w:val="18"/>
                <w:szCs w:val="18"/>
              </w:rPr>
              <w:t> %</w:t>
            </w:r>
          </w:p>
        </w:tc>
        <w:tc>
          <w:tcPr>
            <w:tcW w:w="1200" w:type="dxa"/>
            <w:tcBorders>
              <w:top w:val="single" w:sz="2" w:space="0" w:color="auto"/>
              <w:left w:val="single" w:sz="2" w:space="0" w:color="auto"/>
              <w:bottom w:val="single" w:sz="2" w:space="0" w:color="auto"/>
            </w:tcBorders>
          </w:tcPr>
          <w:p w:rsidR="0001455B" w:rsidRPr="007970E1" w:rsidRDefault="0001455B" w:rsidP="008A404A">
            <w:pPr>
              <w:tabs>
                <w:tab w:val="left" w:pos="360"/>
              </w:tabs>
              <w:jc w:val="center"/>
              <w:rPr>
                <w:rFonts w:ascii="Verdana" w:hAnsi="Verdana" w:cs="Arial"/>
                <w:b/>
                <w:bCs/>
                <w:sz w:val="18"/>
                <w:szCs w:val="18"/>
              </w:rPr>
            </w:pPr>
          </w:p>
          <w:p w:rsidR="0001455B" w:rsidRPr="007970E1" w:rsidRDefault="0001455B" w:rsidP="008A404A">
            <w:pPr>
              <w:tabs>
                <w:tab w:val="left" w:pos="360"/>
              </w:tabs>
              <w:jc w:val="center"/>
              <w:rPr>
                <w:rFonts w:ascii="Verdana" w:hAnsi="Verdana" w:cs="Arial"/>
                <w:b/>
                <w:bCs/>
                <w:sz w:val="18"/>
                <w:szCs w:val="18"/>
              </w:rPr>
            </w:pPr>
            <w:r w:rsidRPr="007970E1">
              <w:rPr>
                <w:rFonts w:ascii="Verdana" w:hAnsi="Verdana" w:cs="Arial"/>
                <w:b/>
                <w:bCs/>
                <w:sz w:val="18"/>
                <w:szCs w:val="18"/>
              </w:rPr>
              <w:t>18,6 %</w:t>
            </w:r>
          </w:p>
        </w:tc>
      </w:tr>
      <w:tr w:rsidR="0001455B" w:rsidRPr="007970E1" w:rsidTr="00280CEC">
        <w:tc>
          <w:tcPr>
            <w:tcW w:w="1668" w:type="dxa"/>
            <w:tcBorders>
              <w:top w:val="single" w:sz="2" w:space="0" w:color="auto"/>
              <w:right w:val="single" w:sz="2" w:space="0" w:color="auto"/>
            </w:tcBorders>
          </w:tcPr>
          <w:p w:rsidR="0001455B" w:rsidRPr="007970E1" w:rsidRDefault="0001455B" w:rsidP="00280CEC">
            <w:pPr>
              <w:jc w:val="both"/>
              <w:rPr>
                <w:rFonts w:ascii="Arial" w:hAnsi="Arial" w:cs="Arial"/>
                <w:smallCaps/>
              </w:rPr>
            </w:pPr>
          </w:p>
          <w:p w:rsidR="0001455B" w:rsidRPr="007970E1" w:rsidRDefault="0001455B" w:rsidP="00280CEC">
            <w:pPr>
              <w:jc w:val="both"/>
              <w:rPr>
                <w:rFonts w:ascii="Arial" w:hAnsi="Arial" w:cs="Arial"/>
                <w:smallCaps/>
              </w:rPr>
            </w:pPr>
            <w:r w:rsidRPr="007970E1">
              <w:rPr>
                <w:rFonts w:ascii="Arial" w:hAnsi="Arial" w:cs="Arial"/>
                <w:smallCaps/>
                <w:sz w:val="18"/>
                <w:szCs w:val="18"/>
              </w:rPr>
              <w:t>Groupe</w:t>
            </w:r>
          </w:p>
          <w:p w:rsidR="0001455B" w:rsidRPr="007970E1" w:rsidRDefault="0001455B" w:rsidP="00280CEC">
            <w:pPr>
              <w:jc w:val="both"/>
              <w:rPr>
                <w:rFonts w:ascii="Arial" w:hAnsi="Arial" w:cs="Arial"/>
                <w:smallCaps/>
                <w:sz w:val="16"/>
                <w:szCs w:val="16"/>
              </w:rPr>
            </w:pPr>
          </w:p>
        </w:tc>
        <w:tc>
          <w:tcPr>
            <w:tcW w:w="1080" w:type="dxa"/>
            <w:tcBorders>
              <w:top w:val="single" w:sz="2" w:space="0" w:color="auto"/>
              <w:left w:val="single" w:sz="2" w:space="0" w:color="auto"/>
              <w:bottom w:val="single" w:sz="2" w:space="0" w:color="auto"/>
              <w:right w:val="single" w:sz="2" w:space="0" w:color="auto"/>
            </w:tcBorders>
          </w:tcPr>
          <w:p w:rsidR="0001455B" w:rsidRPr="007970E1" w:rsidRDefault="0001455B" w:rsidP="00280CEC">
            <w:pPr>
              <w:tabs>
                <w:tab w:val="left" w:pos="360"/>
              </w:tabs>
              <w:jc w:val="center"/>
              <w:rPr>
                <w:rFonts w:ascii="Verdana" w:hAnsi="Verdana" w:cs="Arial"/>
                <w:b/>
                <w:bCs/>
                <w:sz w:val="18"/>
                <w:szCs w:val="18"/>
              </w:rPr>
            </w:pPr>
          </w:p>
          <w:p w:rsidR="0001455B" w:rsidRPr="007970E1" w:rsidRDefault="0001455B" w:rsidP="007348D2">
            <w:pPr>
              <w:tabs>
                <w:tab w:val="left" w:pos="360"/>
              </w:tabs>
              <w:jc w:val="center"/>
              <w:rPr>
                <w:rFonts w:ascii="Verdana" w:hAnsi="Verdana" w:cs="Arial"/>
                <w:b/>
                <w:bCs/>
                <w:sz w:val="18"/>
                <w:szCs w:val="18"/>
              </w:rPr>
            </w:pPr>
            <w:r w:rsidRPr="007970E1">
              <w:rPr>
                <w:rFonts w:ascii="Verdana" w:hAnsi="Verdana" w:cs="Arial"/>
                <w:b/>
                <w:bCs/>
                <w:sz w:val="18"/>
                <w:szCs w:val="18"/>
              </w:rPr>
              <w:t>2</w:t>
            </w:r>
            <w:r w:rsidR="007348D2">
              <w:rPr>
                <w:rFonts w:ascii="Verdana" w:hAnsi="Verdana" w:cs="Arial"/>
                <w:b/>
                <w:bCs/>
                <w:sz w:val="18"/>
                <w:szCs w:val="18"/>
              </w:rPr>
              <w:t>0</w:t>
            </w:r>
            <w:r w:rsidRPr="007970E1">
              <w:rPr>
                <w:rFonts w:ascii="Verdana" w:hAnsi="Verdana" w:cs="Arial"/>
                <w:b/>
                <w:bCs/>
                <w:sz w:val="18"/>
                <w:szCs w:val="18"/>
              </w:rPr>
              <w:t> </w:t>
            </w:r>
            <w:r w:rsidR="007348D2">
              <w:rPr>
                <w:rFonts w:ascii="Verdana" w:hAnsi="Verdana" w:cs="Arial"/>
                <w:b/>
                <w:bCs/>
                <w:sz w:val="18"/>
                <w:szCs w:val="18"/>
              </w:rPr>
              <w:t>907</w:t>
            </w:r>
          </w:p>
        </w:tc>
        <w:tc>
          <w:tcPr>
            <w:tcW w:w="1080" w:type="dxa"/>
            <w:tcBorders>
              <w:top w:val="single" w:sz="2" w:space="0" w:color="auto"/>
              <w:left w:val="single" w:sz="2" w:space="0" w:color="auto"/>
              <w:bottom w:val="single" w:sz="2" w:space="0" w:color="auto"/>
              <w:right w:val="single" w:sz="2" w:space="0" w:color="auto"/>
            </w:tcBorders>
          </w:tcPr>
          <w:p w:rsidR="0001455B" w:rsidRPr="007970E1" w:rsidRDefault="0001455B" w:rsidP="008A404A">
            <w:pPr>
              <w:tabs>
                <w:tab w:val="left" w:pos="360"/>
              </w:tabs>
              <w:jc w:val="center"/>
              <w:rPr>
                <w:rFonts w:ascii="Verdana" w:hAnsi="Verdana" w:cs="Arial"/>
                <w:b/>
                <w:bCs/>
                <w:sz w:val="18"/>
                <w:szCs w:val="18"/>
              </w:rPr>
            </w:pPr>
          </w:p>
          <w:p w:rsidR="0001455B" w:rsidRPr="007970E1" w:rsidRDefault="0001455B" w:rsidP="008A404A">
            <w:pPr>
              <w:tabs>
                <w:tab w:val="left" w:pos="360"/>
              </w:tabs>
              <w:jc w:val="center"/>
              <w:rPr>
                <w:rFonts w:ascii="Verdana" w:hAnsi="Verdana" w:cs="Arial"/>
                <w:b/>
                <w:bCs/>
                <w:sz w:val="18"/>
                <w:szCs w:val="18"/>
              </w:rPr>
            </w:pPr>
            <w:r w:rsidRPr="007970E1">
              <w:rPr>
                <w:rFonts w:ascii="Verdana" w:hAnsi="Verdana" w:cs="Arial"/>
                <w:b/>
                <w:bCs/>
                <w:sz w:val="18"/>
                <w:szCs w:val="18"/>
              </w:rPr>
              <w:t>21 199</w:t>
            </w:r>
          </w:p>
        </w:tc>
        <w:tc>
          <w:tcPr>
            <w:tcW w:w="1060" w:type="dxa"/>
            <w:tcBorders>
              <w:top w:val="single" w:sz="2" w:space="0" w:color="auto"/>
              <w:left w:val="single" w:sz="2" w:space="0" w:color="auto"/>
              <w:bottom w:val="single" w:sz="2" w:space="0" w:color="auto"/>
              <w:right w:val="single" w:sz="2" w:space="0" w:color="auto"/>
            </w:tcBorders>
          </w:tcPr>
          <w:p w:rsidR="0001455B" w:rsidRPr="007970E1" w:rsidRDefault="0001455B" w:rsidP="00280CEC">
            <w:pPr>
              <w:jc w:val="center"/>
              <w:rPr>
                <w:rFonts w:ascii="Verdana" w:hAnsi="Verdana" w:cs="Arial"/>
                <w:b/>
                <w:sz w:val="18"/>
                <w:szCs w:val="18"/>
              </w:rPr>
            </w:pPr>
          </w:p>
          <w:p w:rsidR="0001455B" w:rsidRPr="007970E1" w:rsidRDefault="0001455B" w:rsidP="007348D2">
            <w:pPr>
              <w:jc w:val="center"/>
              <w:rPr>
                <w:rFonts w:ascii="Verdana" w:hAnsi="Verdana" w:cs="Arial"/>
                <w:b/>
                <w:sz w:val="18"/>
                <w:szCs w:val="18"/>
              </w:rPr>
            </w:pPr>
            <w:r w:rsidRPr="007970E1">
              <w:rPr>
                <w:rFonts w:ascii="Verdana" w:hAnsi="Verdana" w:cs="Arial"/>
                <w:b/>
                <w:sz w:val="18"/>
                <w:szCs w:val="18"/>
              </w:rPr>
              <w:t>2 </w:t>
            </w:r>
            <w:r w:rsidR="007348D2">
              <w:rPr>
                <w:rFonts w:ascii="Verdana" w:hAnsi="Verdana" w:cs="Arial"/>
                <w:b/>
                <w:sz w:val="18"/>
                <w:szCs w:val="18"/>
              </w:rPr>
              <w:t>692</w:t>
            </w:r>
          </w:p>
        </w:tc>
        <w:tc>
          <w:tcPr>
            <w:tcW w:w="1080" w:type="dxa"/>
            <w:tcBorders>
              <w:top w:val="single" w:sz="2" w:space="0" w:color="auto"/>
              <w:left w:val="single" w:sz="2" w:space="0" w:color="auto"/>
              <w:bottom w:val="single" w:sz="2" w:space="0" w:color="auto"/>
              <w:right w:val="single" w:sz="2" w:space="0" w:color="auto"/>
            </w:tcBorders>
          </w:tcPr>
          <w:p w:rsidR="0001455B" w:rsidRPr="007970E1" w:rsidRDefault="0001455B" w:rsidP="008A404A">
            <w:pPr>
              <w:jc w:val="center"/>
              <w:rPr>
                <w:rFonts w:ascii="Verdana" w:hAnsi="Verdana" w:cs="Arial"/>
                <w:b/>
                <w:sz w:val="18"/>
                <w:szCs w:val="18"/>
              </w:rPr>
            </w:pPr>
          </w:p>
          <w:p w:rsidR="0001455B" w:rsidRPr="007970E1" w:rsidRDefault="0001455B" w:rsidP="008A404A">
            <w:pPr>
              <w:jc w:val="center"/>
              <w:rPr>
                <w:rFonts w:ascii="Verdana" w:hAnsi="Verdana" w:cs="Arial"/>
                <w:b/>
                <w:sz w:val="18"/>
                <w:szCs w:val="18"/>
              </w:rPr>
            </w:pPr>
            <w:r w:rsidRPr="007970E1">
              <w:rPr>
                <w:rFonts w:ascii="Verdana" w:hAnsi="Verdana" w:cs="Arial"/>
                <w:b/>
                <w:sz w:val="18"/>
                <w:szCs w:val="18"/>
              </w:rPr>
              <w:t>2 577</w:t>
            </w:r>
          </w:p>
        </w:tc>
        <w:tc>
          <w:tcPr>
            <w:tcW w:w="1200" w:type="dxa"/>
            <w:tcBorders>
              <w:top w:val="single" w:sz="2" w:space="0" w:color="auto"/>
              <w:left w:val="single" w:sz="2" w:space="0" w:color="auto"/>
              <w:bottom w:val="single" w:sz="2" w:space="0" w:color="auto"/>
              <w:right w:val="single" w:sz="2" w:space="0" w:color="auto"/>
            </w:tcBorders>
          </w:tcPr>
          <w:p w:rsidR="0001455B" w:rsidRPr="007970E1" w:rsidRDefault="0001455B" w:rsidP="00280CEC">
            <w:pPr>
              <w:jc w:val="center"/>
              <w:rPr>
                <w:rFonts w:ascii="Verdana" w:hAnsi="Verdana" w:cs="Arial"/>
                <w:b/>
                <w:sz w:val="18"/>
                <w:szCs w:val="18"/>
              </w:rPr>
            </w:pPr>
          </w:p>
          <w:p w:rsidR="0001455B" w:rsidRPr="007970E1" w:rsidRDefault="0001455B" w:rsidP="003D0E4A">
            <w:pPr>
              <w:jc w:val="center"/>
              <w:rPr>
                <w:rFonts w:ascii="Verdana" w:hAnsi="Verdana" w:cs="Arial"/>
                <w:b/>
                <w:sz w:val="18"/>
                <w:szCs w:val="18"/>
              </w:rPr>
            </w:pPr>
            <w:r w:rsidRPr="007970E1">
              <w:rPr>
                <w:rFonts w:ascii="Verdana" w:hAnsi="Verdana" w:cs="Arial"/>
                <w:b/>
                <w:sz w:val="18"/>
                <w:szCs w:val="18"/>
              </w:rPr>
              <w:t>12,</w:t>
            </w:r>
            <w:r w:rsidR="003D0E4A">
              <w:rPr>
                <w:rFonts w:ascii="Verdana" w:hAnsi="Verdana" w:cs="Arial"/>
                <w:b/>
                <w:sz w:val="18"/>
                <w:szCs w:val="18"/>
              </w:rPr>
              <w:t>9</w:t>
            </w:r>
            <w:r w:rsidRPr="007970E1">
              <w:rPr>
                <w:rFonts w:ascii="Verdana" w:hAnsi="Verdana" w:cs="Arial"/>
                <w:b/>
                <w:sz w:val="18"/>
                <w:szCs w:val="18"/>
              </w:rPr>
              <w:t> %</w:t>
            </w:r>
          </w:p>
        </w:tc>
        <w:tc>
          <w:tcPr>
            <w:tcW w:w="1200" w:type="dxa"/>
            <w:tcBorders>
              <w:top w:val="single" w:sz="2" w:space="0" w:color="auto"/>
              <w:left w:val="single" w:sz="2" w:space="0" w:color="auto"/>
            </w:tcBorders>
          </w:tcPr>
          <w:p w:rsidR="0001455B" w:rsidRPr="007970E1" w:rsidRDefault="0001455B" w:rsidP="008A404A">
            <w:pPr>
              <w:jc w:val="center"/>
              <w:rPr>
                <w:rFonts w:ascii="Verdana" w:hAnsi="Verdana" w:cs="Arial"/>
                <w:b/>
                <w:sz w:val="18"/>
                <w:szCs w:val="18"/>
              </w:rPr>
            </w:pPr>
          </w:p>
          <w:p w:rsidR="0001455B" w:rsidRPr="007970E1" w:rsidRDefault="0001455B" w:rsidP="008A404A">
            <w:pPr>
              <w:jc w:val="center"/>
              <w:rPr>
                <w:rFonts w:ascii="Verdana" w:hAnsi="Verdana" w:cs="Arial"/>
                <w:b/>
                <w:sz w:val="18"/>
                <w:szCs w:val="18"/>
              </w:rPr>
            </w:pPr>
            <w:r w:rsidRPr="007970E1">
              <w:rPr>
                <w:rFonts w:ascii="Verdana" w:hAnsi="Verdana" w:cs="Arial"/>
                <w:b/>
                <w:sz w:val="18"/>
                <w:szCs w:val="18"/>
              </w:rPr>
              <w:t>12,2 %</w:t>
            </w:r>
          </w:p>
        </w:tc>
      </w:tr>
    </w:tbl>
    <w:p w:rsidR="007970E1" w:rsidRPr="007970E1" w:rsidRDefault="007970E1" w:rsidP="007970E1">
      <w:pPr>
        <w:spacing w:after="60"/>
        <w:jc w:val="both"/>
        <w:rPr>
          <w:rFonts w:ascii="Verdana" w:hAnsi="Verdana" w:cs="Arial"/>
          <w:smallCaps/>
          <w:sz w:val="18"/>
          <w:szCs w:val="18"/>
          <w:u w:val="single"/>
        </w:rPr>
      </w:pPr>
    </w:p>
    <w:p w:rsidR="007970E1" w:rsidRPr="007970E1" w:rsidRDefault="007970E1" w:rsidP="007970E1">
      <w:pPr>
        <w:spacing w:after="60"/>
        <w:jc w:val="both"/>
        <w:rPr>
          <w:rFonts w:ascii="Verdana" w:hAnsi="Verdana" w:cs="Arial"/>
          <w:smallCaps/>
          <w:sz w:val="18"/>
          <w:szCs w:val="18"/>
          <w:u w:val="single"/>
        </w:rPr>
      </w:pPr>
    </w:p>
    <w:p w:rsidR="007970E1" w:rsidRPr="007970E1" w:rsidRDefault="007970E1" w:rsidP="007970E1">
      <w:pPr>
        <w:spacing w:after="60"/>
        <w:jc w:val="both"/>
        <w:rPr>
          <w:rFonts w:ascii="Verdana" w:hAnsi="Verdana" w:cs="Arial"/>
          <w:smallCaps/>
          <w:sz w:val="18"/>
          <w:szCs w:val="18"/>
          <w:u w:val="single"/>
        </w:rPr>
      </w:pPr>
    </w:p>
    <w:p w:rsidR="007970E1" w:rsidRPr="007970E1" w:rsidRDefault="007970E1" w:rsidP="007970E1">
      <w:pPr>
        <w:numPr>
          <w:ilvl w:val="0"/>
          <w:numId w:val="4"/>
        </w:numPr>
        <w:tabs>
          <w:tab w:val="clear" w:pos="360"/>
          <w:tab w:val="num" w:pos="709"/>
        </w:tabs>
        <w:spacing w:after="60"/>
        <w:ind w:firstLine="66"/>
        <w:jc w:val="both"/>
        <w:rPr>
          <w:rFonts w:ascii="Verdana" w:hAnsi="Verdana" w:cs="Arial"/>
          <w:smallCaps/>
          <w:sz w:val="18"/>
          <w:szCs w:val="18"/>
          <w:u w:val="single"/>
        </w:rPr>
      </w:pPr>
      <w:r w:rsidRPr="007970E1">
        <w:rPr>
          <w:rFonts w:ascii="Verdana" w:hAnsi="Verdana" w:cs="Arial"/>
          <w:b/>
          <w:bCs/>
          <w:smallCaps/>
          <w:sz w:val="18"/>
          <w:szCs w:val="18"/>
        </w:rPr>
        <w:t>Tourisme camionnette et distribution associée</w:t>
      </w:r>
    </w:p>
    <w:p w:rsidR="007970E1" w:rsidRPr="007970E1" w:rsidRDefault="007970E1" w:rsidP="007970E1">
      <w:pPr>
        <w:spacing w:after="60"/>
        <w:jc w:val="both"/>
        <w:rPr>
          <w:rFonts w:ascii="Verdana" w:hAnsi="Verdana" w:cs="Arial"/>
          <w:sz w:val="18"/>
          <w:szCs w:val="18"/>
        </w:rPr>
      </w:pPr>
    </w:p>
    <w:p w:rsidR="007970E1" w:rsidRPr="007970E1" w:rsidRDefault="007970E1" w:rsidP="007970E1">
      <w:pPr>
        <w:spacing w:after="60"/>
        <w:ind w:left="708" w:right="-2"/>
        <w:jc w:val="both"/>
        <w:rPr>
          <w:rFonts w:ascii="Verdana" w:hAnsi="Verdana"/>
          <w:sz w:val="18"/>
          <w:szCs w:val="18"/>
        </w:rPr>
      </w:pPr>
      <w:r w:rsidRPr="007970E1">
        <w:rPr>
          <w:rFonts w:ascii="Verdana" w:hAnsi="Verdana"/>
          <w:sz w:val="18"/>
          <w:szCs w:val="18"/>
        </w:rPr>
        <w:t xml:space="preserve">Les ventes nettes du secteur opérationnel Tourisme camionnette et distribution associée s’élèvent à </w:t>
      </w:r>
      <w:r w:rsidR="009C415F">
        <w:rPr>
          <w:rFonts w:ascii="Verdana" w:hAnsi="Verdana"/>
          <w:sz w:val="18"/>
          <w:szCs w:val="18"/>
        </w:rPr>
        <w:t>12</w:t>
      </w:r>
      <w:r w:rsidRPr="007970E1">
        <w:rPr>
          <w:rFonts w:ascii="Verdana" w:hAnsi="Verdana"/>
          <w:sz w:val="18"/>
          <w:szCs w:val="18"/>
        </w:rPr>
        <w:t> </w:t>
      </w:r>
      <w:r w:rsidR="007F70FB">
        <w:rPr>
          <w:rFonts w:ascii="Verdana" w:hAnsi="Verdana"/>
          <w:sz w:val="18"/>
          <w:szCs w:val="18"/>
        </w:rPr>
        <w:t>1</w:t>
      </w:r>
      <w:r w:rsidR="009B3993">
        <w:rPr>
          <w:rFonts w:ascii="Verdana" w:hAnsi="Verdana"/>
          <w:sz w:val="18"/>
          <w:szCs w:val="18"/>
        </w:rPr>
        <w:t>05</w:t>
      </w:r>
      <w:r w:rsidRPr="007970E1">
        <w:rPr>
          <w:rFonts w:ascii="Verdana" w:hAnsi="Verdana"/>
          <w:sz w:val="18"/>
          <w:szCs w:val="18"/>
        </w:rPr>
        <w:t xml:space="preserve"> millions d’€, contre </w:t>
      </w:r>
      <w:r w:rsidR="009C415F">
        <w:rPr>
          <w:rFonts w:ascii="Verdana" w:hAnsi="Verdana"/>
          <w:sz w:val="18"/>
          <w:szCs w:val="18"/>
        </w:rPr>
        <w:t>1</w:t>
      </w:r>
      <w:r w:rsidR="007F70FB">
        <w:rPr>
          <w:rFonts w:ascii="Verdana" w:hAnsi="Verdana"/>
          <w:sz w:val="18"/>
          <w:szCs w:val="18"/>
        </w:rPr>
        <w:t>2</w:t>
      </w:r>
      <w:r w:rsidR="009C415F">
        <w:rPr>
          <w:rFonts w:ascii="Verdana" w:hAnsi="Verdana"/>
          <w:sz w:val="18"/>
          <w:szCs w:val="18"/>
        </w:rPr>
        <w:t> </w:t>
      </w:r>
      <w:r w:rsidR="007F70FB">
        <w:rPr>
          <w:rFonts w:ascii="Verdana" w:hAnsi="Verdana"/>
          <w:sz w:val="18"/>
          <w:szCs w:val="18"/>
        </w:rPr>
        <w:t>028</w:t>
      </w:r>
      <w:r w:rsidRPr="007970E1">
        <w:rPr>
          <w:rFonts w:ascii="Verdana" w:hAnsi="Verdana"/>
          <w:sz w:val="18"/>
          <w:szCs w:val="18"/>
        </w:rPr>
        <w:t xml:space="preserve"> millions d’€ </w:t>
      </w:r>
      <w:r w:rsidR="009C415F">
        <w:rPr>
          <w:rFonts w:ascii="Verdana" w:hAnsi="Verdana"/>
          <w:sz w:val="18"/>
          <w:szCs w:val="18"/>
        </w:rPr>
        <w:t xml:space="preserve">en </w:t>
      </w:r>
      <w:r w:rsidRPr="007970E1">
        <w:rPr>
          <w:rFonts w:ascii="Verdana" w:hAnsi="Verdana"/>
          <w:sz w:val="18"/>
          <w:szCs w:val="18"/>
        </w:rPr>
        <w:t>201</w:t>
      </w:r>
      <w:r w:rsidR="007F70FB">
        <w:rPr>
          <w:rFonts w:ascii="Verdana" w:hAnsi="Verdana"/>
          <w:sz w:val="18"/>
          <w:szCs w:val="18"/>
        </w:rPr>
        <w:t>5</w:t>
      </w:r>
      <w:r w:rsidRPr="007970E1">
        <w:rPr>
          <w:rFonts w:ascii="Verdana" w:hAnsi="Verdana"/>
          <w:sz w:val="18"/>
          <w:szCs w:val="18"/>
        </w:rPr>
        <w:t xml:space="preserve">, soit une hausse de </w:t>
      </w:r>
      <w:r w:rsidR="007F70FB">
        <w:rPr>
          <w:rFonts w:ascii="Verdana" w:hAnsi="Verdana"/>
          <w:sz w:val="18"/>
          <w:szCs w:val="18"/>
        </w:rPr>
        <w:t>0</w:t>
      </w:r>
      <w:r w:rsidR="007D5CF3">
        <w:rPr>
          <w:rFonts w:ascii="Verdana" w:hAnsi="Verdana"/>
          <w:sz w:val="18"/>
          <w:szCs w:val="18"/>
        </w:rPr>
        <w:t>,</w:t>
      </w:r>
      <w:r w:rsidR="009B3993">
        <w:rPr>
          <w:rFonts w:ascii="Verdana" w:hAnsi="Verdana"/>
          <w:sz w:val="18"/>
          <w:szCs w:val="18"/>
        </w:rPr>
        <w:t>6</w:t>
      </w:r>
      <w:r w:rsidR="00F23BBF">
        <w:rPr>
          <w:rFonts w:ascii="Verdana" w:hAnsi="Verdana"/>
          <w:sz w:val="18"/>
          <w:szCs w:val="18"/>
        </w:rPr>
        <w:t> </w:t>
      </w:r>
      <w:r w:rsidRPr="007970E1">
        <w:rPr>
          <w:rFonts w:ascii="Verdana" w:hAnsi="Verdana"/>
          <w:sz w:val="18"/>
          <w:szCs w:val="18"/>
        </w:rPr>
        <w:t>%. </w:t>
      </w:r>
    </w:p>
    <w:p w:rsidR="007970E1" w:rsidRPr="007970E1" w:rsidRDefault="007970E1" w:rsidP="007970E1">
      <w:pPr>
        <w:spacing w:after="60"/>
        <w:ind w:left="708" w:right="-2"/>
        <w:jc w:val="both"/>
        <w:rPr>
          <w:rFonts w:ascii="Verdana" w:hAnsi="Verdana"/>
          <w:sz w:val="18"/>
          <w:szCs w:val="18"/>
        </w:rPr>
      </w:pPr>
      <w:r w:rsidRPr="007970E1">
        <w:rPr>
          <w:rFonts w:ascii="Verdana" w:hAnsi="Verdana"/>
          <w:sz w:val="18"/>
          <w:szCs w:val="18"/>
        </w:rPr>
        <w:t xml:space="preserve">Le résultat opérationnel </w:t>
      </w:r>
      <w:r w:rsidR="007C6E26" w:rsidRPr="007C6E26">
        <w:rPr>
          <w:rFonts w:ascii="Verdana" w:hAnsi="Verdana"/>
          <w:sz w:val="18"/>
          <w:szCs w:val="18"/>
        </w:rPr>
        <w:t xml:space="preserve">sur activités courantes </w:t>
      </w:r>
      <w:r w:rsidRPr="007970E1">
        <w:rPr>
          <w:rFonts w:ascii="Verdana" w:hAnsi="Verdana"/>
          <w:sz w:val="18"/>
          <w:szCs w:val="18"/>
        </w:rPr>
        <w:t xml:space="preserve">s’est établi à </w:t>
      </w:r>
      <w:r w:rsidR="007D5CF3">
        <w:rPr>
          <w:rFonts w:ascii="Verdana" w:hAnsi="Verdana"/>
          <w:sz w:val="18"/>
          <w:szCs w:val="18"/>
        </w:rPr>
        <w:t>1 </w:t>
      </w:r>
      <w:r w:rsidR="007F70FB">
        <w:rPr>
          <w:rFonts w:ascii="Verdana" w:hAnsi="Verdana"/>
          <w:sz w:val="18"/>
          <w:szCs w:val="18"/>
        </w:rPr>
        <w:t>5</w:t>
      </w:r>
      <w:r w:rsidR="009B3993">
        <w:rPr>
          <w:rFonts w:ascii="Verdana" w:hAnsi="Verdana"/>
          <w:sz w:val="18"/>
          <w:szCs w:val="18"/>
        </w:rPr>
        <w:t>85</w:t>
      </w:r>
      <w:r w:rsidRPr="007970E1">
        <w:rPr>
          <w:rFonts w:ascii="Verdana" w:hAnsi="Verdana"/>
          <w:sz w:val="18"/>
          <w:szCs w:val="18"/>
        </w:rPr>
        <w:t xml:space="preserve"> millions d’€ soit 1</w:t>
      </w:r>
      <w:r w:rsidR="007F70FB">
        <w:rPr>
          <w:rFonts w:ascii="Verdana" w:hAnsi="Verdana"/>
          <w:sz w:val="18"/>
          <w:szCs w:val="18"/>
        </w:rPr>
        <w:t>3</w:t>
      </w:r>
      <w:r w:rsidRPr="007970E1">
        <w:rPr>
          <w:rFonts w:ascii="Verdana" w:hAnsi="Verdana"/>
          <w:sz w:val="18"/>
          <w:szCs w:val="18"/>
        </w:rPr>
        <w:t>,</w:t>
      </w:r>
      <w:r w:rsidR="009B3993">
        <w:rPr>
          <w:rFonts w:ascii="Verdana" w:hAnsi="Verdana"/>
          <w:sz w:val="18"/>
          <w:szCs w:val="18"/>
        </w:rPr>
        <w:t>1</w:t>
      </w:r>
      <w:r w:rsidRPr="007970E1">
        <w:rPr>
          <w:rFonts w:ascii="Verdana" w:hAnsi="Verdana"/>
          <w:sz w:val="18"/>
          <w:szCs w:val="18"/>
        </w:rPr>
        <w:t xml:space="preserve"> % des ventes nettes, contre </w:t>
      </w:r>
      <w:r w:rsidR="007D5CF3">
        <w:rPr>
          <w:rFonts w:ascii="Verdana" w:hAnsi="Verdana"/>
          <w:sz w:val="18"/>
          <w:szCs w:val="18"/>
        </w:rPr>
        <w:t>1 </w:t>
      </w:r>
      <w:r w:rsidR="007F70FB">
        <w:rPr>
          <w:rFonts w:ascii="Verdana" w:hAnsi="Verdana"/>
          <w:sz w:val="18"/>
          <w:szCs w:val="18"/>
        </w:rPr>
        <w:t>384</w:t>
      </w:r>
      <w:r w:rsidRPr="007970E1">
        <w:rPr>
          <w:rFonts w:ascii="Verdana" w:hAnsi="Verdana"/>
          <w:sz w:val="18"/>
          <w:szCs w:val="18"/>
        </w:rPr>
        <w:t xml:space="preserve"> millions d’€ et 1</w:t>
      </w:r>
      <w:r w:rsidR="007F70FB">
        <w:rPr>
          <w:rFonts w:ascii="Verdana" w:hAnsi="Verdana"/>
          <w:sz w:val="18"/>
          <w:szCs w:val="18"/>
        </w:rPr>
        <w:t>1</w:t>
      </w:r>
      <w:r w:rsidRPr="007970E1">
        <w:rPr>
          <w:rFonts w:ascii="Verdana" w:hAnsi="Verdana"/>
          <w:sz w:val="18"/>
          <w:szCs w:val="18"/>
        </w:rPr>
        <w:t>,</w:t>
      </w:r>
      <w:r w:rsidR="007D5CF3">
        <w:rPr>
          <w:rFonts w:ascii="Verdana" w:hAnsi="Verdana"/>
          <w:sz w:val="18"/>
          <w:szCs w:val="18"/>
        </w:rPr>
        <w:t>5</w:t>
      </w:r>
      <w:r w:rsidRPr="007970E1">
        <w:rPr>
          <w:rFonts w:ascii="Verdana" w:hAnsi="Verdana"/>
          <w:sz w:val="18"/>
          <w:szCs w:val="18"/>
        </w:rPr>
        <w:t xml:space="preserve"> % publiés </w:t>
      </w:r>
      <w:r w:rsidR="007D5CF3">
        <w:rPr>
          <w:rFonts w:ascii="Verdana" w:hAnsi="Verdana"/>
          <w:sz w:val="18"/>
          <w:szCs w:val="18"/>
        </w:rPr>
        <w:t>en</w:t>
      </w:r>
      <w:r w:rsidRPr="007970E1">
        <w:rPr>
          <w:rFonts w:ascii="Verdana" w:hAnsi="Verdana"/>
          <w:sz w:val="18"/>
          <w:szCs w:val="18"/>
        </w:rPr>
        <w:t xml:space="preserve"> 201</w:t>
      </w:r>
      <w:r w:rsidR="007F70FB">
        <w:rPr>
          <w:rFonts w:ascii="Verdana" w:hAnsi="Verdana"/>
          <w:sz w:val="18"/>
          <w:szCs w:val="18"/>
        </w:rPr>
        <w:t>5</w:t>
      </w:r>
      <w:r w:rsidRPr="007970E1">
        <w:rPr>
          <w:rFonts w:ascii="Verdana" w:hAnsi="Verdana"/>
          <w:sz w:val="18"/>
          <w:szCs w:val="18"/>
        </w:rPr>
        <w:t>.</w:t>
      </w:r>
    </w:p>
    <w:p w:rsidR="00682A71" w:rsidRPr="008B03FC" w:rsidRDefault="007D5CF3" w:rsidP="003A3ACD">
      <w:pPr>
        <w:spacing w:after="60"/>
        <w:ind w:left="708" w:right="-2"/>
        <w:jc w:val="both"/>
        <w:rPr>
          <w:rFonts w:ascii="Verdana" w:hAnsi="Verdana"/>
          <w:sz w:val="18"/>
          <w:szCs w:val="18"/>
        </w:rPr>
      </w:pPr>
      <w:r w:rsidRPr="007C6E26">
        <w:rPr>
          <w:rFonts w:ascii="Verdana" w:hAnsi="Verdana"/>
          <w:sz w:val="18"/>
          <w:szCs w:val="18"/>
        </w:rPr>
        <w:t>Cette hausse de 1</w:t>
      </w:r>
      <w:r w:rsidR="007C6E26" w:rsidRPr="007C6E26">
        <w:rPr>
          <w:rFonts w:ascii="Verdana" w:hAnsi="Verdana"/>
          <w:sz w:val="18"/>
          <w:szCs w:val="18"/>
        </w:rPr>
        <w:t>,</w:t>
      </w:r>
      <w:r w:rsidR="009B3993">
        <w:rPr>
          <w:rFonts w:ascii="Verdana" w:hAnsi="Verdana"/>
          <w:sz w:val="18"/>
          <w:szCs w:val="18"/>
        </w:rPr>
        <w:t>6</w:t>
      </w:r>
      <w:r w:rsidRPr="007C6E26">
        <w:rPr>
          <w:rFonts w:ascii="Verdana" w:hAnsi="Verdana"/>
          <w:sz w:val="18"/>
          <w:szCs w:val="18"/>
        </w:rPr>
        <w:t xml:space="preserve"> point de la marge opérationnelle </w:t>
      </w:r>
      <w:r w:rsidR="007C6E26" w:rsidRPr="007C6E26">
        <w:rPr>
          <w:rFonts w:ascii="Verdana" w:hAnsi="Verdana"/>
          <w:sz w:val="18"/>
          <w:szCs w:val="18"/>
        </w:rPr>
        <w:t>sur activités courantes</w:t>
      </w:r>
      <w:r w:rsidRPr="007C6E26">
        <w:rPr>
          <w:rFonts w:ascii="Verdana" w:hAnsi="Verdana"/>
          <w:sz w:val="18"/>
          <w:szCs w:val="18"/>
        </w:rPr>
        <w:t xml:space="preserve"> </w:t>
      </w:r>
      <w:r w:rsidR="004F7C1D" w:rsidRPr="007C6E26">
        <w:rPr>
          <w:rFonts w:ascii="Verdana" w:hAnsi="Verdana"/>
          <w:sz w:val="18"/>
          <w:szCs w:val="18"/>
        </w:rPr>
        <w:t xml:space="preserve">est principalement liée à la croissance de </w:t>
      </w:r>
      <w:r w:rsidR="007C6E26" w:rsidRPr="007C6E26">
        <w:rPr>
          <w:rFonts w:ascii="Verdana" w:hAnsi="Verdana"/>
          <w:sz w:val="18"/>
          <w:szCs w:val="18"/>
        </w:rPr>
        <w:t>3</w:t>
      </w:r>
      <w:r w:rsidR="00F23BBF" w:rsidRPr="007C6E26">
        <w:rPr>
          <w:rFonts w:ascii="Verdana" w:hAnsi="Verdana"/>
          <w:sz w:val="18"/>
          <w:szCs w:val="18"/>
        </w:rPr>
        <w:t> </w:t>
      </w:r>
      <w:r w:rsidR="004F7C1D" w:rsidRPr="007C6E26">
        <w:rPr>
          <w:rFonts w:ascii="Verdana" w:hAnsi="Verdana"/>
          <w:sz w:val="18"/>
          <w:szCs w:val="18"/>
        </w:rPr>
        <w:t xml:space="preserve">%, </w:t>
      </w:r>
      <w:r w:rsidR="008B03FC">
        <w:rPr>
          <w:rFonts w:ascii="Verdana" w:hAnsi="Verdana"/>
          <w:sz w:val="18"/>
          <w:szCs w:val="18"/>
        </w:rPr>
        <w:t xml:space="preserve">légèrement </w:t>
      </w:r>
      <w:r w:rsidR="004F7C1D" w:rsidRPr="007C6E26">
        <w:rPr>
          <w:rFonts w:ascii="Verdana" w:hAnsi="Verdana"/>
          <w:sz w:val="18"/>
          <w:szCs w:val="18"/>
        </w:rPr>
        <w:t xml:space="preserve">supérieure à celle du marché (+ </w:t>
      </w:r>
      <w:r w:rsidR="008B03FC" w:rsidRPr="008B03FC">
        <w:rPr>
          <w:rFonts w:ascii="Verdana" w:hAnsi="Verdana"/>
          <w:sz w:val="18"/>
          <w:szCs w:val="18"/>
        </w:rPr>
        <w:t>3</w:t>
      </w:r>
      <w:r w:rsidR="00C41446">
        <w:rPr>
          <w:rFonts w:ascii="Verdana" w:hAnsi="Verdana"/>
          <w:sz w:val="18"/>
          <w:szCs w:val="18"/>
        </w:rPr>
        <w:t> </w:t>
      </w:r>
      <w:r w:rsidR="008B03FC">
        <w:rPr>
          <w:rFonts w:ascii="Verdana" w:hAnsi="Verdana"/>
          <w:sz w:val="18"/>
          <w:szCs w:val="18"/>
        </w:rPr>
        <w:t>%)</w:t>
      </w:r>
      <w:r w:rsidR="004F7C1D" w:rsidRPr="003A3ACD">
        <w:rPr>
          <w:rFonts w:ascii="Verdana" w:hAnsi="Verdana"/>
          <w:sz w:val="18"/>
          <w:szCs w:val="18"/>
        </w:rPr>
        <w:t xml:space="preserve">. </w:t>
      </w:r>
      <w:r w:rsidR="00E93E04" w:rsidRPr="003A3ACD">
        <w:rPr>
          <w:rFonts w:ascii="Verdana" w:hAnsi="Verdana"/>
          <w:sz w:val="18"/>
          <w:szCs w:val="18"/>
        </w:rPr>
        <w:t>L</w:t>
      </w:r>
      <w:r w:rsidR="008B03FC" w:rsidRPr="003A3ACD">
        <w:rPr>
          <w:rFonts w:ascii="Verdana" w:hAnsi="Verdana"/>
          <w:sz w:val="18"/>
          <w:szCs w:val="18"/>
        </w:rPr>
        <w:t xml:space="preserve">’effet mix reste favorable, nourri par </w:t>
      </w:r>
      <w:r w:rsidR="008B03FC">
        <w:rPr>
          <w:rFonts w:ascii="Verdana" w:hAnsi="Verdana"/>
          <w:sz w:val="18"/>
          <w:szCs w:val="18"/>
        </w:rPr>
        <w:t>le</w:t>
      </w:r>
      <w:r w:rsidR="007970E1" w:rsidRPr="003A3ACD">
        <w:rPr>
          <w:rFonts w:ascii="Verdana" w:hAnsi="Verdana"/>
          <w:sz w:val="18"/>
          <w:szCs w:val="18"/>
        </w:rPr>
        <w:t xml:space="preserve"> succès des nouvelles gammes MICHELIN </w:t>
      </w:r>
      <w:proofErr w:type="spellStart"/>
      <w:r w:rsidR="007970E1" w:rsidRPr="003A3ACD">
        <w:rPr>
          <w:rFonts w:ascii="Verdana" w:hAnsi="Verdana"/>
          <w:sz w:val="18"/>
          <w:szCs w:val="18"/>
        </w:rPr>
        <w:t>CrossClimate</w:t>
      </w:r>
      <w:proofErr w:type="spellEnd"/>
      <w:r w:rsidR="008B03FC">
        <w:rPr>
          <w:rFonts w:ascii="Verdana" w:hAnsi="Verdana"/>
          <w:sz w:val="18"/>
          <w:szCs w:val="18"/>
        </w:rPr>
        <w:t xml:space="preserve"> et</w:t>
      </w:r>
      <w:r w:rsidR="007970E1" w:rsidRPr="003A3ACD">
        <w:rPr>
          <w:rFonts w:ascii="Verdana" w:hAnsi="Verdana"/>
          <w:sz w:val="18"/>
          <w:szCs w:val="18"/>
        </w:rPr>
        <w:t xml:space="preserve"> MICHELIN </w:t>
      </w:r>
      <w:r w:rsidR="008B03FC" w:rsidRPr="003A3ACD">
        <w:rPr>
          <w:rFonts w:ascii="Verdana" w:hAnsi="Verdana"/>
          <w:sz w:val="18"/>
          <w:szCs w:val="18"/>
        </w:rPr>
        <w:t>Pilot Sport 4S</w:t>
      </w:r>
      <w:r w:rsidR="007970E1" w:rsidRPr="003A3ACD">
        <w:rPr>
          <w:rFonts w:ascii="Verdana" w:hAnsi="Verdana"/>
          <w:sz w:val="18"/>
          <w:szCs w:val="18"/>
        </w:rPr>
        <w:t xml:space="preserve">, </w:t>
      </w:r>
      <w:r w:rsidR="008B03FC" w:rsidRPr="003A3ACD">
        <w:rPr>
          <w:rFonts w:ascii="Verdana" w:hAnsi="Verdana"/>
          <w:sz w:val="18"/>
          <w:szCs w:val="18"/>
        </w:rPr>
        <w:t xml:space="preserve">qui </w:t>
      </w:r>
      <w:r w:rsidR="00E93E04" w:rsidRPr="003A3ACD">
        <w:rPr>
          <w:rFonts w:ascii="Verdana" w:hAnsi="Verdana"/>
          <w:sz w:val="18"/>
          <w:szCs w:val="18"/>
        </w:rPr>
        <w:t xml:space="preserve">a permis des progressions fortes à la marque MICHELIN (+ </w:t>
      </w:r>
      <w:r w:rsidR="00F146B6">
        <w:rPr>
          <w:rFonts w:ascii="Verdana" w:hAnsi="Verdana"/>
          <w:sz w:val="18"/>
          <w:szCs w:val="18"/>
        </w:rPr>
        <w:t>4</w:t>
      </w:r>
      <w:r w:rsidR="00E93E04" w:rsidRPr="003A3ACD">
        <w:rPr>
          <w:rFonts w:ascii="Verdana" w:hAnsi="Verdana"/>
          <w:sz w:val="18"/>
          <w:szCs w:val="18"/>
        </w:rPr>
        <w:t xml:space="preserve"> %), en pneumatiques 17’’ et plus (+13</w:t>
      </w:r>
      <w:r w:rsidR="00F23BBF" w:rsidRPr="003A3ACD">
        <w:rPr>
          <w:rFonts w:ascii="Verdana" w:hAnsi="Verdana"/>
          <w:sz w:val="18"/>
          <w:szCs w:val="18"/>
        </w:rPr>
        <w:t> </w:t>
      </w:r>
      <w:r w:rsidR="00E93E04" w:rsidRPr="003A3ACD">
        <w:rPr>
          <w:rFonts w:ascii="Verdana" w:hAnsi="Verdana"/>
          <w:sz w:val="18"/>
          <w:szCs w:val="18"/>
        </w:rPr>
        <w:t>%)</w:t>
      </w:r>
      <w:r w:rsidR="0056723A">
        <w:rPr>
          <w:rFonts w:ascii="Verdana" w:hAnsi="Verdana"/>
          <w:sz w:val="18"/>
          <w:szCs w:val="18"/>
        </w:rPr>
        <w:t xml:space="preserve"> comme</w:t>
      </w:r>
      <w:r w:rsidR="00E93E04" w:rsidRPr="003A3ACD">
        <w:rPr>
          <w:rFonts w:ascii="Verdana" w:hAnsi="Verdana"/>
          <w:sz w:val="18"/>
          <w:szCs w:val="18"/>
        </w:rPr>
        <w:t xml:space="preserve"> </w:t>
      </w:r>
      <w:r w:rsidR="008B03FC" w:rsidRPr="003A3ACD">
        <w:rPr>
          <w:rFonts w:ascii="Verdana" w:hAnsi="Verdana"/>
          <w:sz w:val="18"/>
          <w:szCs w:val="18"/>
        </w:rPr>
        <w:t>en pneumatiques 1</w:t>
      </w:r>
      <w:r w:rsidR="0056723A">
        <w:rPr>
          <w:rFonts w:ascii="Verdana" w:hAnsi="Verdana"/>
          <w:sz w:val="18"/>
          <w:szCs w:val="18"/>
        </w:rPr>
        <w:t>8</w:t>
      </w:r>
      <w:r w:rsidR="008B03FC" w:rsidRPr="003A3ACD">
        <w:rPr>
          <w:rFonts w:ascii="Verdana" w:hAnsi="Verdana"/>
          <w:sz w:val="18"/>
          <w:szCs w:val="18"/>
        </w:rPr>
        <w:t>’’ et plus (+1</w:t>
      </w:r>
      <w:r w:rsidR="00F83013">
        <w:rPr>
          <w:rFonts w:ascii="Verdana" w:hAnsi="Verdana"/>
          <w:sz w:val="18"/>
          <w:szCs w:val="18"/>
        </w:rPr>
        <w:t>7</w:t>
      </w:r>
      <w:r w:rsidR="00F146B6">
        <w:rPr>
          <w:rFonts w:ascii="Verdana" w:hAnsi="Verdana"/>
          <w:sz w:val="18"/>
          <w:szCs w:val="18"/>
        </w:rPr>
        <w:t> </w:t>
      </w:r>
      <w:r w:rsidR="008B03FC" w:rsidRPr="003A3ACD">
        <w:rPr>
          <w:rFonts w:ascii="Verdana" w:hAnsi="Verdana"/>
          <w:sz w:val="18"/>
          <w:szCs w:val="18"/>
        </w:rPr>
        <w:t xml:space="preserve">%), </w:t>
      </w:r>
      <w:r w:rsidR="008B03FC">
        <w:rPr>
          <w:rFonts w:ascii="Verdana" w:hAnsi="Verdana"/>
          <w:sz w:val="18"/>
          <w:szCs w:val="18"/>
        </w:rPr>
        <w:t>tandis</w:t>
      </w:r>
      <w:r w:rsidR="008B03FC" w:rsidRPr="003A3ACD">
        <w:rPr>
          <w:rFonts w:ascii="Verdana" w:hAnsi="Verdana"/>
          <w:sz w:val="18"/>
          <w:szCs w:val="18"/>
        </w:rPr>
        <w:t xml:space="preserve"> </w:t>
      </w:r>
      <w:r w:rsidR="00E93E04" w:rsidRPr="003A3ACD">
        <w:rPr>
          <w:rFonts w:ascii="Verdana" w:hAnsi="Verdana"/>
          <w:sz w:val="18"/>
          <w:szCs w:val="18"/>
        </w:rPr>
        <w:t xml:space="preserve">que les autres marques du Groupe </w:t>
      </w:r>
      <w:r w:rsidR="008B03FC">
        <w:rPr>
          <w:rFonts w:ascii="Verdana" w:hAnsi="Verdana"/>
          <w:sz w:val="18"/>
          <w:szCs w:val="18"/>
        </w:rPr>
        <w:t xml:space="preserve">augmentent de </w:t>
      </w:r>
      <w:r w:rsidR="00F146B6">
        <w:rPr>
          <w:rFonts w:ascii="Verdana" w:hAnsi="Verdana"/>
          <w:sz w:val="18"/>
          <w:szCs w:val="18"/>
        </w:rPr>
        <w:t>3</w:t>
      </w:r>
      <w:r w:rsidR="003A3ACD">
        <w:rPr>
          <w:rFonts w:ascii="Verdana" w:hAnsi="Verdana"/>
          <w:sz w:val="18"/>
          <w:szCs w:val="18"/>
        </w:rPr>
        <w:t> </w:t>
      </w:r>
      <w:r w:rsidR="00E93E04" w:rsidRPr="003A3ACD">
        <w:rPr>
          <w:rFonts w:ascii="Verdana" w:hAnsi="Verdana"/>
          <w:sz w:val="18"/>
          <w:szCs w:val="18"/>
        </w:rPr>
        <w:t xml:space="preserve">%. </w:t>
      </w:r>
      <w:r w:rsidR="0056723A">
        <w:rPr>
          <w:rFonts w:ascii="Verdana" w:hAnsi="Verdana"/>
          <w:sz w:val="18"/>
          <w:szCs w:val="18"/>
        </w:rPr>
        <w:t>L</w:t>
      </w:r>
      <w:r w:rsidR="0056723A" w:rsidRPr="0056723A">
        <w:rPr>
          <w:rFonts w:ascii="Verdana" w:hAnsi="Verdana"/>
          <w:sz w:val="18"/>
          <w:szCs w:val="18"/>
        </w:rPr>
        <w:t xml:space="preserve">a baisse des coûts de matières premières </w:t>
      </w:r>
      <w:r w:rsidR="0056723A">
        <w:rPr>
          <w:rFonts w:ascii="Verdana" w:hAnsi="Verdana"/>
          <w:sz w:val="18"/>
          <w:szCs w:val="18"/>
        </w:rPr>
        <w:t xml:space="preserve">n’a été </w:t>
      </w:r>
      <w:r w:rsidR="0056723A" w:rsidRPr="0056723A">
        <w:rPr>
          <w:rFonts w:ascii="Verdana" w:hAnsi="Verdana"/>
          <w:sz w:val="18"/>
          <w:szCs w:val="18"/>
        </w:rPr>
        <w:t>que partiellement amputée</w:t>
      </w:r>
      <w:r w:rsidR="0056723A">
        <w:rPr>
          <w:rFonts w:ascii="Verdana" w:hAnsi="Verdana"/>
          <w:sz w:val="18"/>
          <w:szCs w:val="18"/>
        </w:rPr>
        <w:t xml:space="preserve"> par </w:t>
      </w:r>
      <w:r w:rsidR="0056723A" w:rsidRPr="0056723A">
        <w:rPr>
          <w:rFonts w:ascii="Verdana" w:hAnsi="Verdana"/>
          <w:sz w:val="18"/>
          <w:szCs w:val="18"/>
        </w:rPr>
        <w:t>l’évolution des prix</w:t>
      </w:r>
      <w:r w:rsidR="00A732E0">
        <w:rPr>
          <w:rFonts w:ascii="Verdana" w:hAnsi="Verdana"/>
          <w:sz w:val="18"/>
          <w:szCs w:val="18"/>
        </w:rPr>
        <w:t>,</w:t>
      </w:r>
      <w:r w:rsidR="0056723A" w:rsidRPr="0056723A">
        <w:rPr>
          <w:rFonts w:ascii="Verdana" w:hAnsi="Verdana"/>
          <w:sz w:val="18"/>
          <w:szCs w:val="18"/>
        </w:rPr>
        <w:t xml:space="preserve"> </w:t>
      </w:r>
      <w:r w:rsidR="00A732E0">
        <w:rPr>
          <w:rFonts w:ascii="Verdana" w:hAnsi="Verdana"/>
          <w:sz w:val="18"/>
          <w:szCs w:val="18"/>
        </w:rPr>
        <w:t>dont un peu moins de la moitié</w:t>
      </w:r>
      <w:r w:rsidR="0056723A">
        <w:rPr>
          <w:rFonts w:ascii="Verdana" w:hAnsi="Verdana"/>
          <w:sz w:val="18"/>
          <w:szCs w:val="18"/>
        </w:rPr>
        <w:t xml:space="preserve"> </w:t>
      </w:r>
      <w:r w:rsidR="0056723A" w:rsidRPr="0098243A">
        <w:rPr>
          <w:rFonts w:ascii="Verdana" w:hAnsi="Verdana"/>
          <w:sz w:val="18"/>
          <w:szCs w:val="18"/>
        </w:rPr>
        <w:t>reflète l’application des clauses d'indexation en Première monte</w:t>
      </w:r>
      <w:r w:rsidR="0056723A" w:rsidRPr="0056723A">
        <w:rPr>
          <w:rFonts w:ascii="Verdana" w:hAnsi="Verdana"/>
          <w:sz w:val="18"/>
          <w:szCs w:val="18"/>
        </w:rPr>
        <w:t xml:space="preserve">. L’amélioration </w:t>
      </w:r>
      <w:r w:rsidR="00A732E0">
        <w:rPr>
          <w:rFonts w:ascii="Verdana" w:hAnsi="Verdana"/>
          <w:sz w:val="18"/>
          <w:szCs w:val="18"/>
        </w:rPr>
        <w:t xml:space="preserve">de </w:t>
      </w:r>
      <w:r w:rsidR="0056723A" w:rsidRPr="0056723A">
        <w:rPr>
          <w:rFonts w:ascii="Verdana" w:hAnsi="Verdana"/>
          <w:sz w:val="18"/>
          <w:szCs w:val="18"/>
        </w:rPr>
        <w:t>la compétitivité industrielle</w:t>
      </w:r>
      <w:r w:rsidR="0056723A">
        <w:rPr>
          <w:rFonts w:ascii="Verdana" w:hAnsi="Verdana"/>
          <w:sz w:val="18"/>
          <w:szCs w:val="18"/>
        </w:rPr>
        <w:t xml:space="preserve"> s’est poursuivie, </w:t>
      </w:r>
      <w:r w:rsidR="00A732E0">
        <w:rPr>
          <w:rFonts w:ascii="Verdana" w:hAnsi="Verdana"/>
          <w:sz w:val="18"/>
          <w:szCs w:val="18"/>
        </w:rPr>
        <w:t>bien que</w:t>
      </w:r>
      <w:r w:rsidR="0056723A">
        <w:rPr>
          <w:rFonts w:ascii="Verdana" w:hAnsi="Verdana"/>
          <w:sz w:val="18"/>
          <w:szCs w:val="18"/>
        </w:rPr>
        <w:t xml:space="preserve"> modérée au 2</w:t>
      </w:r>
      <w:r w:rsidR="0056723A" w:rsidRPr="003A3ACD">
        <w:rPr>
          <w:rFonts w:ascii="Verdana" w:hAnsi="Verdana"/>
          <w:sz w:val="18"/>
          <w:szCs w:val="18"/>
          <w:vertAlign w:val="superscript"/>
        </w:rPr>
        <w:t>nd</w:t>
      </w:r>
      <w:r w:rsidR="0056723A">
        <w:rPr>
          <w:rFonts w:ascii="Verdana" w:hAnsi="Verdana"/>
          <w:sz w:val="18"/>
          <w:szCs w:val="18"/>
        </w:rPr>
        <w:t xml:space="preserve"> semestre par les ralentissements de production décidés pour quelques usines.</w:t>
      </w:r>
    </w:p>
    <w:p w:rsidR="007970E1" w:rsidRPr="007970E1" w:rsidRDefault="007970E1" w:rsidP="007970E1">
      <w:pPr>
        <w:spacing w:after="60"/>
        <w:ind w:left="708" w:right="-2"/>
        <w:jc w:val="both"/>
        <w:rPr>
          <w:rFonts w:ascii="Verdana" w:hAnsi="Verdana" w:cs="Arial"/>
          <w:sz w:val="18"/>
          <w:szCs w:val="18"/>
        </w:rPr>
      </w:pPr>
    </w:p>
    <w:p w:rsidR="007970E1" w:rsidRPr="007970E1" w:rsidRDefault="007970E1" w:rsidP="007970E1">
      <w:pPr>
        <w:keepNext/>
        <w:numPr>
          <w:ilvl w:val="0"/>
          <w:numId w:val="4"/>
        </w:numPr>
        <w:tabs>
          <w:tab w:val="clear" w:pos="360"/>
          <w:tab w:val="num" w:pos="709"/>
        </w:tabs>
        <w:spacing w:after="60"/>
        <w:ind w:firstLine="66"/>
        <w:jc w:val="both"/>
        <w:rPr>
          <w:rFonts w:ascii="Verdana" w:hAnsi="Verdana" w:cs="Arial"/>
          <w:smallCaps/>
          <w:sz w:val="18"/>
          <w:szCs w:val="18"/>
          <w:u w:val="single"/>
        </w:rPr>
      </w:pPr>
      <w:r w:rsidRPr="007970E1">
        <w:rPr>
          <w:rFonts w:ascii="Verdana" w:hAnsi="Verdana" w:cs="Arial"/>
          <w:b/>
          <w:bCs/>
          <w:smallCaps/>
          <w:sz w:val="18"/>
          <w:szCs w:val="18"/>
        </w:rPr>
        <w:t>Poids lourd et distribution associée</w:t>
      </w:r>
    </w:p>
    <w:p w:rsidR="007970E1" w:rsidRPr="007970E1" w:rsidRDefault="007970E1" w:rsidP="007970E1">
      <w:pPr>
        <w:keepNext/>
        <w:spacing w:after="60"/>
        <w:jc w:val="both"/>
        <w:rPr>
          <w:rFonts w:ascii="Verdana" w:hAnsi="Verdana" w:cs="Arial"/>
          <w:smallCaps/>
          <w:sz w:val="18"/>
          <w:szCs w:val="18"/>
          <w:u w:val="single"/>
        </w:rPr>
      </w:pPr>
    </w:p>
    <w:p w:rsidR="007970E1" w:rsidRPr="007970E1" w:rsidRDefault="007970E1" w:rsidP="007970E1">
      <w:pPr>
        <w:spacing w:after="60"/>
        <w:ind w:left="709"/>
        <w:jc w:val="both"/>
        <w:rPr>
          <w:rFonts w:ascii="Verdana" w:hAnsi="Verdana"/>
          <w:sz w:val="18"/>
          <w:szCs w:val="18"/>
          <w:highlight w:val="yellow"/>
        </w:rPr>
      </w:pPr>
      <w:r w:rsidRPr="007970E1">
        <w:rPr>
          <w:rFonts w:ascii="Verdana" w:hAnsi="Verdana"/>
          <w:sz w:val="18"/>
          <w:szCs w:val="18"/>
        </w:rPr>
        <w:t xml:space="preserve">Les ventes nettes du secteur opérationnel Poids lourd et distribution associée s’élèvent à </w:t>
      </w:r>
      <w:r w:rsidR="00916F6A">
        <w:rPr>
          <w:rFonts w:ascii="Verdana" w:hAnsi="Verdana"/>
          <w:sz w:val="18"/>
          <w:szCs w:val="18"/>
        </w:rPr>
        <w:t>5</w:t>
      </w:r>
      <w:r w:rsidRPr="007970E1">
        <w:rPr>
          <w:rFonts w:ascii="Verdana" w:hAnsi="Verdana"/>
          <w:sz w:val="18"/>
          <w:szCs w:val="18"/>
        </w:rPr>
        <w:t> </w:t>
      </w:r>
      <w:r w:rsidR="00916F6A">
        <w:rPr>
          <w:rFonts w:ascii="Verdana" w:hAnsi="Verdana"/>
          <w:sz w:val="18"/>
          <w:szCs w:val="18"/>
        </w:rPr>
        <w:t>9</w:t>
      </w:r>
      <w:r w:rsidR="009B3993">
        <w:rPr>
          <w:rFonts w:ascii="Verdana" w:hAnsi="Verdana"/>
          <w:sz w:val="18"/>
          <w:szCs w:val="18"/>
        </w:rPr>
        <w:t>66</w:t>
      </w:r>
      <w:r w:rsidRPr="007970E1">
        <w:rPr>
          <w:rFonts w:ascii="Verdana" w:hAnsi="Verdana"/>
          <w:sz w:val="18"/>
          <w:szCs w:val="18"/>
        </w:rPr>
        <w:t xml:space="preserve"> millions</w:t>
      </w:r>
      <w:r w:rsidR="007D5CF3">
        <w:rPr>
          <w:rFonts w:ascii="Verdana" w:hAnsi="Verdana"/>
          <w:sz w:val="18"/>
          <w:szCs w:val="18"/>
        </w:rPr>
        <w:t xml:space="preserve"> d’</w:t>
      </w:r>
      <w:r w:rsidRPr="007970E1">
        <w:rPr>
          <w:rFonts w:ascii="Verdana" w:hAnsi="Verdana"/>
          <w:sz w:val="18"/>
          <w:szCs w:val="18"/>
        </w:rPr>
        <w:t xml:space="preserve">€, contre </w:t>
      </w:r>
      <w:r w:rsidR="007D5CF3">
        <w:rPr>
          <w:rFonts w:ascii="Verdana" w:hAnsi="Verdana"/>
          <w:sz w:val="18"/>
          <w:szCs w:val="18"/>
        </w:rPr>
        <w:t>6</w:t>
      </w:r>
      <w:r w:rsidRPr="007970E1">
        <w:rPr>
          <w:rFonts w:ascii="Verdana" w:hAnsi="Verdana"/>
          <w:sz w:val="18"/>
          <w:szCs w:val="18"/>
        </w:rPr>
        <w:t> </w:t>
      </w:r>
      <w:r w:rsidR="00916F6A">
        <w:rPr>
          <w:rFonts w:ascii="Verdana" w:hAnsi="Verdana"/>
          <w:sz w:val="18"/>
          <w:szCs w:val="18"/>
        </w:rPr>
        <w:t>229</w:t>
      </w:r>
      <w:r w:rsidRPr="007970E1">
        <w:rPr>
          <w:rFonts w:ascii="Verdana" w:hAnsi="Verdana"/>
          <w:sz w:val="18"/>
          <w:szCs w:val="18"/>
        </w:rPr>
        <w:t xml:space="preserve"> millions d’€ </w:t>
      </w:r>
      <w:r w:rsidR="007D5CF3">
        <w:rPr>
          <w:rFonts w:ascii="Verdana" w:hAnsi="Verdana"/>
          <w:sz w:val="18"/>
          <w:szCs w:val="18"/>
        </w:rPr>
        <w:t xml:space="preserve">publiés en </w:t>
      </w:r>
      <w:r w:rsidRPr="007970E1">
        <w:rPr>
          <w:rFonts w:ascii="Verdana" w:hAnsi="Verdana"/>
          <w:sz w:val="18"/>
          <w:szCs w:val="18"/>
        </w:rPr>
        <w:t>201</w:t>
      </w:r>
      <w:r w:rsidR="00916F6A">
        <w:rPr>
          <w:rFonts w:ascii="Verdana" w:hAnsi="Verdana"/>
          <w:sz w:val="18"/>
          <w:szCs w:val="18"/>
        </w:rPr>
        <w:t>5</w:t>
      </w:r>
      <w:r w:rsidRPr="007970E1">
        <w:rPr>
          <w:rFonts w:ascii="Verdana" w:hAnsi="Verdana"/>
          <w:sz w:val="18"/>
          <w:szCs w:val="18"/>
        </w:rPr>
        <w:t xml:space="preserve">. </w:t>
      </w:r>
    </w:p>
    <w:p w:rsidR="007970E1" w:rsidRPr="007970E1" w:rsidRDefault="007970E1" w:rsidP="007970E1">
      <w:pPr>
        <w:spacing w:after="60"/>
        <w:ind w:left="709"/>
        <w:jc w:val="both"/>
        <w:rPr>
          <w:rFonts w:ascii="Verdana" w:hAnsi="Verdana"/>
          <w:sz w:val="18"/>
          <w:szCs w:val="18"/>
        </w:rPr>
      </w:pPr>
      <w:r w:rsidRPr="007970E1">
        <w:rPr>
          <w:rFonts w:ascii="Verdana" w:hAnsi="Verdana"/>
          <w:sz w:val="18"/>
          <w:szCs w:val="18"/>
        </w:rPr>
        <w:lastRenderedPageBreak/>
        <w:t xml:space="preserve">Le résultat opérationnel </w:t>
      </w:r>
      <w:r w:rsidR="007C6E26" w:rsidRPr="007C6E26">
        <w:rPr>
          <w:rFonts w:ascii="Verdana" w:hAnsi="Verdana"/>
          <w:sz w:val="18"/>
          <w:szCs w:val="18"/>
        </w:rPr>
        <w:t xml:space="preserve">sur activités courantes </w:t>
      </w:r>
      <w:r w:rsidRPr="007970E1">
        <w:rPr>
          <w:rFonts w:ascii="Verdana" w:hAnsi="Verdana"/>
          <w:sz w:val="18"/>
          <w:szCs w:val="18"/>
        </w:rPr>
        <w:t xml:space="preserve">s’élève à </w:t>
      </w:r>
      <w:r w:rsidR="00916F6A">
        <w:rPr>
          <w:rFonts w:ascii="Verdana" w:hAnsi="Verdana"/>
          <w:sz w:val="18"/>
          <w:szCs w:val="18"/>
        </w:rPr>
        <w:t>58</w:t>
      </w:r>
      <w:r w:rsidR="009B3993">
        <w:rPr>
          <w:rFonts w:ascii="Verdana" w:hAnsi="Verdana"/>
          <w:sz w:val="18"/>
          <w:szCs w:val="18"/>
        </w:rPr>
        <w:t>0</w:t>
      </w:r>
      <w:r w:rsidRPr="007970E1">
        <w:rPr>
          <w:rFonts w:ascii="Verdana" w:hAnsi="Verdana"/>
          <w:sz w:val="18"/>
          <w:szCs w:val="18"/>
        </w:rPr>
        <w:t xml:space="preserve"> millions d’€, représentant </w:t>
      </w:r>
      <w:r w:rsidR="00916F6A">
        <w:rPr>
          <w:rFonts w:ascii="Verdana" w:hAnsi="Verdana"/>
          <w:sz w:val="18"/>
          <w:szCs w:val="18"/>
        </w:rPr>
        <w:t>9</w:t>
      </w:r>
      <w:r w:rsidR="007D5CF3">
        <w:rPr>
          <w:rFonts w:ascii="Verdana" w:hAnsi="Verdana"/>
          <w:sz w:val="18"/>
          <w:szCs w:val="18"/>
        </w:rPr>
        <w:t>,</w:t>
      </w:r>
      <w:r w:rsidR="009B3993">
        <w:rPr>
          <w:rFonts w:ascii="Verdana" w:hAnsi="Verdana"/>
          <w:sz w:val="18"/>
          <w:szCs w:val="18"/>
        </w:rPr>
        <w:t>7</w:t>
      </w:r>
      <w:r w:rsidRPr="007970E1">
        <w:rPr>
          <w:rFonts w:ascii="Verdana" w:hAnsi="Verdana"/>
          <w:sz w:val="18"/>
          <w:szCs w:val="18"/>
        </w:rPr>
        <w:t xml:space="preserve"> % des ventes nettes, à comparer à </w:t>
      </w:r>
      <w:r w:rsidR="00916F6A">
        <w:rPr>
          <w:rFonts w:ascii="Verdana" w:hAnsi="Verdana"/>
          <w:sz w:val="18"/>
          <w:szCs w:val="18"/>
        </w:rPr>
        <w:t>645</w:t>
      </w:r>
      <w:r w:rsidRPr="007970E1">
        <w:rPr>
          <w:rFonts w:ascii="Verdana" w:hAnsi="Verdana"/>
          <w:sz w:val="18"/>
          <w:szCs w:val="18"/>
        </w:rPr>
        <w:t xml:space="preserve"> millions d’€ et </w:t>
      </w:r>
      <w:r w:rsidR="00916F6A">
        <w:rPr>
          <w:rFonts w:ascii="Verdana" w:hAnsi="Verdana"/>
          <w:sz w:val="18"/>
          <w:szCs w:val="18"/>
        </w:rPr>
        <w:t>10</w:t>
      </w:r>
      <w:r w:rsidR="007D5CF3">
        <w:rPr>
          <w:rFonts w:ascii="Verdana" w:hAnsi="Verdana"/>
          <w:sz w:val="18"/>
          <w:szCs w:val="18"/>
        </w:rPr>
        <w:t>,</w:t>
      </w:r>
      <w:r w:rsidR="00916F6A">
        <w:rPr>
          <w:rFonts w:ascii="Verdana" w:hAnsi="Verdana"/>
          <w:sz w:val="18"/>
          <w:szCs w:val="18"/>
        </w:rPr>
        <w:t>4</w:t>
      </w:r>
      <w:r w:rsidRPr="007970E1">
        <w:rPr>
          <w:rFonts w:ascii="Verdana" w:hAnsi="Verdana"/>
          <w:sz w:val="18"/>
          <w:szCs w:val="18"/>
        </w:rPr>
        <w:t xml:space="preserve"> % des ventes nettes publiés </w:t>
      </w:r>
      <w:r w:rsidR="007D5CF3">
        <w:rPr>
          <w:rFonts w:ascii="Verdana" w:hAnsi="Verdana"/>
          <w:sz w:val="18"/>
          <w:szCs w:val="18"/>
        </w:rPr>
        <w:t>à fin</w:t>
      </w:r>
      <w:r w:rsidRPr="007970E1">
        <w:rPr>
          <w:rFonts w:ascii="Verdana" w:hAnsi="Verdana"/>
          <w:sz w:val="18"/>
          <w:szCs w:val="18"/>
        </w:rPr>
        <w:t xml:space="preserve"> 201</w:t>
      </w:r>
      <w:r w:rsidR="00916F6A">
        <w:rPr>
          <w:rFonts w:ascii="Verdana" w:hAnsi="Verdana"/>
          <w:sz w:val="18"/>
          <w:szCs w:val="18"/>
        </w:rPr>
        <w:t>5</w:t>
      </w:r>
      <w:r w:rsidRPr="007970E1">
        <w:rPr>
          <w:rFonts w:ascii="Verdana" w:hAnsi="Verdana"/>
          <w:sz w:val="18"/>
          <w:szCs w:val="18"/>
        </w:rPr>
        <w:t xml:space="preserve">. </w:t>
      </w:r>
    </w:p>
    <w:p w:rsidR="003A3ACD" w:rsidRDefault="00804465" w:rsidP="00916F6A">
      <w:pPr>
        <w:spacing w:after="60"/>
        <w:ind w:left="709"/>
        <w:jc w:val="both"/>
        <w:rPr>
          <w:rFonts w:ascii="Verdana" w:hAnsi="Verdana"/>
          <w:sz w:val="18"/>
          <w:szCs w:val="18"/>
        </w:rPr>
      </w:pPr>
      <w:r w:rsidRPr="00570D3D">
        <w:rPr>
          <w:rFonts w:ascii="Verdana" w:hAnsi="Verdana"/>
          <w:sz w:val="18"/>
          <w:szCs w:val="18"/>
        </w:rPr>
        <w:t>L’</w:t>
      </w:r>
      <w:r w:rsidR="00A37C0A" w:rsidRPr="00570D3D">
        <w:rPr>
          <w:rFonts w:ascii="Verdana" w:hAnsi="Verdana"/>
          <w:sz w:val="18"/>
          <w:szCs w:val="18"/>
        </w:rPr>
        <w:t>évolu</w:t>
      </w:r>
      <w:r w:rsidRPr="00570D3D">
        <w:rPr>
          <w:rFonts w:ascii="Verdana" w:hAnsi="Verdana"/>
          <w:sz w:val="18"/>
          <w:szCs w:val="18"/>
        </w:rPr>
        <w:t xml:space="preserve">tion de de la rentabilité reflète </w:t>
      </w:r>
      <w:r w:rsidR="003A3ACD">
        <w:rPr>
          <w:rFonts w:ascii="Verdana" w:hAnsi="Verdana"/>
          <w:sz w:val="18"/>
          <w:szCs w:val="18"/>
        </w:rPr>
        <w:t>d’abord</w:t>
      </w:r>
      <w:r w:rsidR="00A37C0A" w:rsidRPr="00570D3D">
        <w:rPr>
          <w:rFonts w:ascii="Verdana" w:hAnsi="Verdana"/>
          <w:sz w:val="18"/>
          <w:szCs w:val="18"/>
        </w:rPr>
        <w:t xml:space="preserve"> </w:t>
      </w:r>
      <w:r w:rsidRPr="00570D3D">
        <w:rPr>
          <w:rFonts w:ascii="Verdana" w:hAnsi="Verdana"/>
          <w:sz w:val="18"/>
          <w:szCs w:val="18"/>
        </w:rPr>
        <w:t xml:space="preserve">la résilience des volumes, en progression de </w:t>
      </w:r>
      <w:r w:rsidR="00A37C0A" w:rsidRPr="00570D3D">
        <w:rPr>
          <w:rFonts w:ascii="Verdana" w:hAnsi="Verdana"/>
          <w:sz w:val="18"/>
          <w:szCs w:val="18"/>
        </w:rPr>
        <w:t>1</w:t>
      </w:r>
      <w:r w:rsidRPr="00570D3D">
        <w:rPr>
          <w:rFonts w:ascii="Verdana" w:hAnsi="Verdana"/>
          <w:sz w:val="18"/>
          <w:szCs w:val="18"/>
        </w:rPr>
        <w:t xml:space="preserve"> %, dans des marchés de pneus Poids lourd en baisse de </w:t>
      </w:r>
      <w:r w:rsidR="003A3ACD" w:rsidRPr="00570D3D">
        <w:rPr>
          <w:rFonts w:ascii="Verdana" w:hAnsi="Verdana"/>
          <w:sz w:val="18"/>
          <w:szCs w:val="18"/>
        </w:rPr>
        <w:t>1</w:t>
      </w:r>
      <w:r w:rsidR="00156CC3" w:rsidRPr="00570D3D">
        <w:rPr>
          <w:rFonts w:ascii="Verdana" w:hAnsi="Verdana"/>
          <w:sz w:val="18"/>
          <w:szCs w:val="18"/>
        </w:rPr>
        <w:t> </w:t>
      </w:r>
      <w:r w:rsidRPr="00570D3D">
        <w:rPr>
          <w:rFonts w:ascii="Verdana" w:hAnsi="Verdana"/>
          <w:sz w:val="18"/>
          <w:szCs w:val="18"/>
        </w:rPr>
        <w:t>%</w:t>
      </w:r>
      <w:r w:rsidR="003A3ACD">
        <w:rPr>
          <w:rFonts w:ascii="Verdana" w:hAnsi="Verdana"/>
          <w:sz w:val="18"/>
          <w:szCs w:val="18"/>
        </w:rPr>
        <w:t xml:space="preserve">. Dans un environnement concurrentiel soutenu dans l’ensemble des zones géographiques, les repositionnements de prix, conjugués </w:t>
      </w:r>
      <w:r w:rsidR="003A3ACD" w:rsidRPr="00AE12E1">
        <w:rPr>
          <w:rFonts w:ascii="Verdana" w:hAnsi="Verdana"/>
          <w:sz w:val="18"/>
          <w:szCs w:val="18"/>
        </w:rPr>
        <w:t xml:space="preserve">à la forte croissance des </w:t>
      </w:r>
      <w:r w:rsidR="003A3ACD" w:rsidRPr="003A3ACD">
        <w:rPr>
          <w:rFonts w:ascii="Verdana" w:hAnsi="Verdana"/>
          <w:sz w:val="18"/>
          <w:szCs w:val="18"/>
        </w:rPr>
        <w:t>ventes</w:t>
      </w:r>
      <w:r w:rsidR="003A3ACD" w:rsidRPr="00570D3D">
        <w:rPr>
          <w:rFonts w:ascii="Verdana" w:hAnsi="Verdana"/>
          <w:sz w:val="18"/>
          <w:szCs w:val="18"/>
        </w:rPr>
        <w:t xml:space="preserve"> de gammes </w:t>
      </w:r>
      <w:proofErr w:type="spellStart"/>
      <w:r w:rsidR="003A3ACD" w:rsidRPr="00570D3D">
        <w:rPr>
          <w:rFonts w:ascii="Verdana" w:hAnsi="Verdana"/>
          <w:i/>
          <w:sz w:val="18"/>
          <w:szCs w:val="18"/>
        </w:rPr>
        <w:t>Intermediate</w:t>
      </w:r>
      <w:proofErr w:type="spellEnd"/>
      <w:r w:rsidR="003A3ACD">
        <w:rPr>
          <w:rFonts w:ascii="Verdana" w:hAnsi="Verdana"/>
          <w:i/>
          <w:sz w:val="18"/>
          <w:szCs w:val="18"/>
        </w:rPr>
        <w:t>,</w:t>
      </w:r>
      <w:r w:rsidR="003A3ACD" w:rsidRPr="00570D3D">
        <w:rPr>
          <w:rFonts w:ascii="Verdana" w:hAnsi="Verdana"/>
          <w:i/>
          <w:sz w:val="18"/>
          <w:szCs w:val="18"/>
        </w:rPr>
        <w:t xml:space="preserve"> </w:t>
      </w:r>
      <w:r w:rsidR="003A3ACD" w:rsidRPr="00570D3D">
        <w:rPr>
          <w:rFonts w:ascii="Verdana" w:hAnsi="Verdana"/>
          <w:sz w:val="18"/>
          <w:szCs w:val="18"/>
        </w:rPr>
        <w:t>n’ont été que partiellement compensés par l’évolution favorable des coûts de matières premières.</w:t>
      </w:r>
      <w:r w:rsidR="00E2180C">
        <w:rPr>
          <w:rFonts w:ascii="Verdana" w:hAnsi="Verdana"/>
          <w:sz w:val="18"/>
          <w:szCs w:val="18"/>
        </w:rPr>
        <w:t xml:space="preserve"> En revanche, malgré le freinage d’activité de certaines usines au 2</w:t>
      </w:r>
      <w:r w:rsidR="00E2180C" w:rsidRPr="00570D3D">
        <w:rPr>
          <w:rFonts w:ascii="Verdana" w:hAnsi="Verdana"/>
          <w:sz w:val="18"/>
          <w:szCs w:val="18"/>
          <w:vertAlign w:val="superscript"/>
        </w:rPr>
        <w:t>nd</w:t>
      </w:r>
      <w:r w:rsidR="00E2180C">
        <w:rPr>
          <w:rFonts w:ascii="Verdana" w:hAnsi="Verdana"/>
          <w:sz w:val="18"/>
          <w:szCs w:val="18"/>
        </w:rPr>
        <w:t xml:space="preserve"> semestre, </w:t>
      </w:r>
      <w:r w:rsidR="008D4BC2">
        <w:rPr>
          <w:rFonts w:ascii="Verdana" w:hAnsi="Verdana"/>
          <w:sz w:val="18"/>
          <w:szCs w:val="18"/>
        </w:rPr>
        <w:t xml:space="preserve">l’optimisation industrielle et </w:t>
      </w:r>
      <w:r w:rsidR="008D4BC2" w:rsidRPr="003E674A">
        <w:rPr>
          <w:rFonts w:ascii="Verdana" w:hAnsi="Verdana"/>
          <w:sz w:val="18"/>
          <w:szCs w:val="18"/>
        </w:rPr>
        <w:t>la maîtrise des frais</w:t>
      </w:r>
      <w:r w:rsidR="008D4BC2">
        <w:rPr>
          <w:rFonts w:ascii="Verdana" w:hAnsi="Verdana"/>
          <w:sz w:val="18"/>
          <w:szCs w:val="18"/>
        </w:rPr>
        <w:t xml:space="preserve"> continuent de produire leurs effets.</w:t>
      </w:r>
    </w:p>
    <w:p w:rsidR="00156CC3" w:rsidRPr="007970E1" w:rsidRDefault="00156CC3" w:rsidP="007970E1">
      <w:pPr>
        <w:spacing w:after="60"/>
        <w:ind w:left="709"/>
        <w:jc w:val="both"/>
        <w:rPr>
          <w:rFonts w:ascii="Arial" w:hAnsi="Arial" w:cs="Arial"/>
          <w:smallCaps/>
          <w:sz w:val="18"/>
          <w:szCs w:val="18"/>
          <w:u w:val="single"/>
        </w:rPr>
      </w:pPr>
    </w:p>
    <w:p w:rsidR="007970E1" w:rsidRPr="007970E1" w:rsidRDefault="007970E1" w:rsidP="007970E1">
      <w:pPr>
        <w:numPr>
          <w:ilvl w:val="0"/>
          <w:numId w:val="4"/>
        </w:numPr>
        <w:tabs>
          <w:tab w:val="clear" w:pos="360"/>
          <w:tab w:val="num" w:pos="709"/>
        </w:tabs>
        <w:spacing w:after="60"/>
        <w:ind w:firstLine="66"/>
        <w:jc w:val="both"/>
        <w:rPr>
          <w:rFonts w:ascii="Verdana" w:hAnsi="Verdana" w:cs="Arial"/>
          <w:smallCaps/>
          <w:sz w:val="18"/>
          <w:szCs w:val="18"/>
          <w:u w:val="single"/>
        </w:rPr>
      </w:pPr>
      <w:r w:rsidRPr="007970E1">
        <w:rPr>
          <w:rFonts w:ascii="Verdana" w:hAnsi="Verdana" w:cs="Arial"/>
          <w:b/>
          <w:bCs/>
          <w:smallCaps/>
          <w:sz w:val="18"/>
          <w:szCs w:val="18"/>
        </w:rPr>
        <w:t>Activités de spécialités</w:t>
      </w:r>
    </w:p>
    <w:p w:rsidR="007970E1" w:rsidRPr="007970E1" w:rsidRDefault="007970E1" w:rsidP="007970E1">
      <w:pPr>
        <w:tabs>
          <w:tab w:val="left" w:pos="360"/>
        </w:tabs>
        <w:ind w:left="360"/>
        <w:jc w:val="both"/>
        <w:rPr>
          <w:rFonts w:ascii="Arial" w:hAnsi="Arial" w:cs="Arial"/>
          <w:b/>
          <w:bCs/>
          <w:smallCaps/>
          <w:sz w:val="18"/>
          <w:szCs w:val="18"/>
        </w:rPr>
      </w:pPr>
    </w:p>
    <w:p w:rsidR="007970E1" w:rsidRPr="007970E1" w:rsidRDefault="007970E1" w:rsidP="007970E1">
      <w:pPr>
        <w:spacing w:after="60"/>
        <w:ind w:left="709"/>
        <w:jc w:val="both"/>
        <w:rPr>
          <w:rFonts w:ascii="Verdana" w:hAnsi="Verdana"/>
          <w:sz w:val="18"/>
          <w:szCs w:val="18"/>
        </w:rPr>
      </w:pPr>
      <w:r w:rsidRPr="007970E1">
        <w:rPr>
          <w:rFonts w:ascii="Verdana" w:hAnsi="Verdana"/>
          <w:sz w:val="18"/>
          <w:szCs w:val="18"/>
        </w:rPr>
        <w:t xml:space="preserve">Les ventes nettes du secteur opérationnel des Activités de spécialités s’élèvent à </w:t>
      </w:r>
      <w:r w:rsidR="00AB5527">
        <w:rPr>
          <w:rFonts w:ascii="Verdana" w:hAnsi="Verdana"/>
          <w:sz w:val="18"/>
          <w:szCs w:val="18"/>
        </w:rPr>
        <w:t>2</w:t>
      </w:r>
      <w:r w:rsidRPr="007970E1">
        <w:rPr>
          <w:rFonts w:ascii="Verdana" w:hAnsi="Verdana"/>
          <w:sz w:val="18"/>
          <w:szCs w:val="18"/>
        </w:rPr>
        <w:t> </w:t>
      </w:r>
      <w:r w:rsidR="009B3993">
        <w:rPr>
          <w:rFonts w:ascii="Verdana" w:hAnsi="Verdana"/>
          <w:sz w:val="18"/>
          <w:szCs w:val="18"/>
        </w:rPr>
        <w:t>836</w:t>
      </w:r>
      <w:r w:rsidRPr="007970E1">
        <w:rPr>
          <w:rFonts w:ascii="Verdana" w:hAnsi="Verdana"/>
          <w:sz w:val="18"/>
          <w:szCs w:val="18"/>
        </w:rPr>
        <w:t xml:space="preserve"> millions</w:t>
      </w:r>
      <w:r w:rsidR="009D6DEB">
        <w:rPr>
          <w:rFonts w:ascii="Verdana" w:hAnsi="Verdana"/>
          <w:sz w:val="18"/>
          <w:szCs w:val="18"/>
        </w:rPr>
        <w:t> </w:t>
      </w:r>
      <w:r w:rsidRPr="007970E1">
        <w:rPr>
          <w:rFonts w:ascii="Verdana" w:hAnsi="Verdana"/>
          <w:sz w:val="18"/>
          <w:szCs w:val="18"/>
        </w:rPr>
        <w:t xml:space="preserve">d’€, </w:t>
      </w:r>
      <w:r w:rsidR="009B3993">
        <w:rPr>
          <w:rFonts w:ascii="Verdana" w:hAnsi="Verdana"/>
          <w:sz w:val="18"/>
          <w:szCs w:val="18"/>
        </w:rPr>
        <w:t>contre</w:t>
      </w:r>
      <w:r w:rsidRPr="007970E1">
        <w:rPr>
          <w:rFonts w:ascii="Verdana" w:hAnsi="Verdana"/>
          <w:sz w:val="18"/>
          <w:szCs w:val="18"/>
        </w:rPr>
        <w:t xml:space="preserve"> </w:t>
      </w:r>
      <w:r w:rsidR="00D11AC1">
        <w:rPr>
          <w:rFonts w:ascii="Verdana" w:hAnsi="Verdana"/>
          <w:sz w:val="18"/>
          <w:szCs w:val="18"/>
        </w:rPr>
        <w:t>2</w:t>
      </w:r>
      <w:r w:rsidRPr="007970E1">
        <w:rPr>
          <w:rFonts w:ascii="Verdana" w:hAnsi="Verdana"/>
          <w:sz w:val="18"/>
          <w:szCs w:val="18"/>
        </w:rPr>
        <w:t> </w:t>
      </w:r>
      <w:r w:rsidR="00D11AC1">
        <w:rPr>
          <w:rFonts w:ascii="Verdana" w:hAnsi="Verdana"/>
          <w:sz w:val="18"/>
          <w:szCs w:val="18"/>
        </w:rPr>
        <w:t>9</w:t>
      </w:r>
      <w:r w:rsidR="007B7523">
        <w:rPr>
          <w:rFonts w:ascii="Verdana" w:hAnsi="Verdana"/>
          <w:sz w:val="18"/>
          <w:szCs w:val="18"/>
        </w:rPr>
        <w:t>42</w:t>
      </w:r>
      <w:r w:rsidRPr="007970E1">
        <w:rPr>
          <w:rFonts w:ascii="Verdana" w:hAnsi="Verdana"/>
          <w:sz w:val="18"/>
          <w:szCs w:val="18"/>
        </w:rPr>
        <w:t xml:space="preserve"> millions d’€ </w:t>
      </w:r>
      <w:r w:rsidR="00D11AC1">
        <w:rPr>
          <w:rFonts w:ascii="Verdana" w:hAnsi="Verdana"/>
          <w:sz w:val="18"/>
          <w:szCs w:val="18"/>
        </w:rPr>
        <w:t>en</w:t>
      </w:r>
      <w:r w:rsidRPr="007970E1">
        <w:rPr>
          <w:rFonts w:ascii="Verdana" w:hAnsi="Verdana"/>
          <w:sz w:val="18"/>
          <w:szCs w:val="18"/>
        </w:rPr>
        <w:t xml:space="preserve"> 201</w:t>
      </w:r>
      <w:r w:rsidR="007B7523">
        <w:rPr>
          <w:rFonts w:ascii="Verdana" w:hAnsi="Verdana"/>
          <w:sz w:val="18"/>
          <w:szCs w:val="18"/>
        </w:rPr>
        <w:t>5</w:t>
      </w:r>
      <w:r w:rsidRPr="007970E1">
        <w:rPr>
          <w:rFonts w:ascii="Verdana" w:hAnsi="Verdana"/>
          <w:sz w:val="18"/>
          <w:szCs w:val="18"/>
        </w:rPr>
        <w:t>.</w:t>
      </w:r>
    </w:p>
    <w:p w:rsidR="007970E1" w:rsidRPr="007970E1" w:rsidRDefault="007970E1" w:rsidP="007970E1">
      <w:pPr>
        <w:spacing w:after="60"/>
        <w:ind w:left="709"/>
        <w:jc w:val="both"/>
        <w:rPr>
          <w:rFonts w:ascii="Verdana" w:hAnsi="Verdana"/>
          <w:sz w:val="18"/>
          <w:szCs w:val="18"/>
        </w:rPr>
      </w:pPr>
      <w:r w:rsidRPr="007970E1">
        <w:rPr>
          <w:rFonts w:ascii="Verdana" w:hAnsi="Verdana"/>
          <w:sz w:val="18"/>
          <w:szCs w:val="18"/>
        </w:rPr>
        <w:t xml:space="preserve">Le résultat opérationnel </w:t>
      </w:r>
      <w:r w:rsidR="007C6E26" w:rsidRPr="007C6E26">
        <w:rPr>
          <w:rFonts w:ascii="Verdana" w:hAnsi="Verdana"/>
          <w:sz w:val="18"/>
          <w:szCs w:val="18"/>
        </w:rPr>
        <w:t xml:space="preserve">sur activités courantes </w:t>
      </w:r>
      <w:r w:rsidR="00D11AC1">
        <w:rPr>
          <w:rFonts w:ascii="Verdana" w:hAnsi="Verdana"/>
          <w:sz w:val="18"/>
          <w:szCs w:val="18"/>
        </w:rPr>
        <w:t>atteint 5</w:t>
      </w:r>
      <w:r w:rsidR="009B3993">
        <w:rPr>
          <w:rFonts w:ascii="Verdana" w:hAnsi="Verdana"/>
          <w:sz w:val="18"/>
          <w:szCs w:val="18"/>
        </w:rPr>
        <w:t>27</w:t>
      </w:r>
      <w:r w:rsidRPr="007970E1">
        <w:rPr>
          <w:rFonts w:ascii="Verdana" w:hAnsi="Verdana"/>
          <w:sz w:val="18"/>
          <w:szCs w:val="18"/>
        </w:rPr>
        <w:t xml:space="preserve"> millions d’€</w:t>
      </w:r>
      <w:r w:rsidR="009B3993">
        <w:rPr>
          <w:rFonts w:ascii="Verdana" w:hAnsi="Verdana"/>
          <w:sz w:val="18"/>
          <w:szCs w:val="18"/>
        </w:rPr>
        <w:t>,</w:t>
      </w:r>
      <w:r w:rsidRPr="007970E1">
        <w:rPr>
          <w:rFonts w:ascii="Verdana" w:hAnsi="Verdana"/>
          <w:sz w:val="18"/>
          <w:szCs w:val="18"/>
        </w:rPr>
        <w:t xml:space="preserve"> </w:t>
      </w:r>
      <w:r w:rsidR="009B3993" w:rsidRPr="007970E1">
        <w:rPr>
          <w:rFonts w:ascii="Verdana" w:hAnsi="Verdana"/>
          <w:sz w:val="18"/>
          <w:szCs w:val="18"/>
        </w:rPr>
        <w:t xml:space="preserve">contre </w:t>
      </w:r>
      <w:r w:rsidR="009B3993">
        <w:rPr>
          <w:rFonts w:ascii="Verdana" w:hAnsi="Verdana"/>
          <w:sz w:val="18"/>
          <w:szCs w:val="18"/>
        </w:rPr>
        <w:t>548</w:t>
      </w:r>
      <w:r w:rsidR="009B3993" w:rsidRPr="007970E1">
        <w:rPr>
          <w:rFonts w:ascii="Verdana" w:hAnsi="Verdana"/>
          <w:sz w:val="18"/>
          <w:szCs w:val="18"/>
        </w:rPr>
        <w:t xml:space="preserve"> millions d’€ publiés </w:t>
      </w:r>
      <w:r w:rsidR="009B3993">
        <w:rPr>
          <w:rFonts w:ascii="Verdana" w:hAnsi="Verdana"/>
          <w:sz w:val="18"/>
          <w:szCs w:val="18"/>
        </w:rPr>
        <w:t>en</w:t>
      </w:r>
      <w:r w:rsidR="009B3993" w:rsidRPr="007970E1">
        <w:rPr>
          <w:rFonts w:ascii="Verdana" w:hAnsi="Verdana"/>
          <w:sz w:val="18"/>
          <w:szCs w:val="18"/>
        </w:rPr>
        <w:t xml:space="preserve"> 201</w:t>
      </w:r>
      <w:r w:rsidR="009B3993">
        <w:rPr>
          <w:rFonts w:ascii="Verdana" w:hAnsi="Verdana"/>
          <w:sz w:val="18"/>
          <w:szCs w:val="18"/>
        </w:rPr>
        <w:t xml:space="preserve">5, </w:t>
      </w:r>
      <w:r w:rsidRPr="007970E1">
        <w:rPr>
          <w:rFonts w:ascii="Verdana" w:hAnsi="Verdana"/>
          <w:sz w:val="18"/>
          <w:szCs w:val="18"/>
        </w:rPr>
        <w:t xml:space="preserve">soit </w:t>
      </w:r>
      <w:r w:rsidR="009B3993">
        <w:rPr>
          <w:rFonts w:ascii="Verdana" w:hAnsi="Verdana"/>
          <w:sz w:val="18"/>
          <w:szCs w:val="18"/>
        </w:rPr>
        <w:t xml:space="preserve">une marge </w:t>
      </w:r>
      <w:r w:rsidR="00B31735">
        <w:rPr>
          <w:rFonts w:ascii="Verdana" w:hAnsi="Verdana"/>
          <w:sz w:val="18"/>
          <w:szCs w:val="18"/>
        </w:rPr>
        <w:t>i</w:t>
      </w:r>
      <w:r w:rsidR="00396428">
        <w:rPr>
          <w:rFonts w:ascii="Verdana" w:hAnsi="Verdana"/>
          <w:sz w:val="18"/>
          <w:szCs w:val="18"/>
        </w:rPr>
        <w:t xml:space="preserve">nchangée </w:t>
      </w:r>
      <w:r w:rsidR="009B3993">
        <w:rPr>
          <w:rFonts w:ascii="Verdana" w:hAnsi="Verdana"/>
          <w:sz w:val="18"/>
          <w:szCs w:val="18"/>
        </w:rPr>
        <w:t xml:space="preserve">à </w:t>
      </w:r>
      <w:r w:rsidR="00D11AC1">
        <w:rPr>
          <w:rFonts w:ascii="Verdana" w:hAnsi="Verdana"/>
          <w:sz w:val="18"/>
          <w:szCs w:val="18"/>
        </w:rPr>
        <w:t>18,</w:t>
      </w:r>
      <w:r w:rsidR="009B3993">
        <w:rPr>
          <w:rFonts w:ascii="Verdana" w:hAnsi="Verdana"/>
          <w:sz w:val="18"/>
          <w:szCs w:val="18"/>
        </w:rPr>
        <w:t>6 % des ventes nettes</w:t>
      </w:r>
      <w:r w:rsidRPr="007970E1">
        <w:rPr>
          <w:rFonts w:ascii="Verdana" w:hAnsi="Verdana"/>
          <w:sz w:val="18"/>
          <w:szCs w:val="18"/>
        </w:rPr>
        <w:t>.</w:t>
      </w:r>
    </w:p>
    <w:p w:rsidR="007970E1" w:rsidRPr="00570D3D" w:rsidRDefault="00570D3D" w:rsidP="007970E1">
      <w:pPr>
        <w:spacing w:after="60"/>
        <w:ind w:left="709"/>
        <w:jc w:val="both"/>
        <w:rPr>
          <w:rFonts w:ascii="Verdana" w:hAnsi="Verdana"/>
          <w:sz w:val="18"/>
          <w:szCs w:val="18"/>
        </w:rPr>
      </w:pPr>
      <w:r w:rsidRPr="00570D3D">
        <w:rPr>
          <w:rFonts w:ascii="Verdana" w:hAnsi="Verdana"/>
          <w:sz w:val="18"/>
          <w:szCs w:val="18"/>
        </w:rPr>
        <w:t>Ce maintien</w:t>
      </w:r>
      <w:r w:rsidR="007E29A6" w:rsidRPr="00570D3D">
        <w:rPr>
          <w:rFonts w:ascii="Verdana" w:hAnsi="Verdana"/>
          <w:sz w:val="18"/>
          <w:szCs w:val="18"/>
        </w:rPr>
        <w:t xml:space="preserve"> de la marge opérationnelle </w:t>
      </w:r>
      <w:r w:rsidR="003C5C5C" w:rsidRPr="00570D3D">
        <w:rPr>
          <w:rFonts w:ascii="Verdana" w:hAnsi="Verdana"/>
          <w:sz w:val="18"/>
          <w:szCs w:val="18"/>
        </w:rPr>
        <w:t>enregistre</w:t>
      </w:r>
      <w:r w:rsidR="007E29A6" w:rsidRPr="00570D3D">
        <w:rPr>
          <w:rFonts w:ascii="Verdana" w:hAnsi="Verdana"/>
          <w:sz w:val="18"/>
          <w:szCs w:val="18"/>
        </w:rPr>
        <w:t xml:space="preserve"> l</w:t>
      </w:r>
      <w:r w:rsidR="007970E1" w:rsidRPr="00570D3D">
        <w:rPr>
          <w:rFonts w:ascii="Verdana" w:hAnsi="Verdana"/>
          <w:sz w:val="18"/>
          <w:szCs w:val="18"/>
        </w:rPr>
        <w:t>'évolution des volumes vendus (- </w:t>
      </w:r>
      <w:r w:rsidR="00874C15">
        <w:rPr>
          <w:rFonts w:ascii="Verdana" w:hAnsi="Verdana"/>
          <w:sz w:val="18"/>
          <w:szCs w:val="18"/>
        </w:rPr>
        <w:t>1</w:t>
      </w:r>
      <w:r w:rsidR="007970E1" w:rsidRPr="00570D3D">
        <w:rPr>
          <w:rFonts w:ascii="Verdana" w:hAnsi="Verdana"/>
          <w:sz w:val="18"/>
          <w:szCs w:val="18"/>
        </w:rPr>
        <w:t xml:space="preserve"> %), </w:t>
      </w:r>
      <w:r w:rsidR="007E29A6" w:rsidRPr="00570D3D">
        <w:rPr>
          <w:rFonts w:ascii="Verdana" w:hAnsi="Verdana"/>
          <w:sz w:val="18"/>
          <w:szCs w:val="18"/>
        </w:rPr>
        <w:t xml:space="preserve">dans un marché </w:t>
      </w:r>
      <w:r w:rsidR="007603C9" w:rsidRPr="00570D3D">
        <w:rPr>
          <w:rFonts w:ascii="Verdana" w:hAnsi="Verdana"/>
          <w:sz w:val="18"/>
          <w:szCs w:val="18"/>
        </w:rPr>
        <w:t>en contraction</w:t>
      </w:r>
      <w:r w:rsidR="007E29A6" w:rsidRPr="00570D3D">
        <w:rPr>
          <w:rFonts w:ascii="Verdana" w:hAnsi="Verdana"/>
          <w:sz w:val="18"/>
          <w:szCs w:val="18"/>
        </w:rPr>
        <w:t xml:space="preserve"> de </w:t>
      </w:r>
      <w:r w:rsidR="00874C15">
        <w:rPr>
          <w:rFonts w:ascii="Verdana" w:hAnsi="Verdana"/>
          <w:sz w:val="18"/>
          <w:szCs w:val="18"/>
        </w:rPr>
        <w:t>4</w:t>
      </w:r>
      <w:r w:rsidR="007E29A6" w:rsidRPr="00570D3D">
        <w:rPr>
          <w:rFonts w:ascii="Verdana" w:hAnsi="Verdana"/>
          <w:sz w:val="18"/>
          <w:szCs w:val="18"/>
        </w:rPr>
        <w:t> %</w:t>
      </w:r>
      <w:r w:rsidRPr="00570D3D">
        <w:rPr>
          <w:rFonts w:ascii="Verdana" w:hAnsi="Verdana"/>
          <w:sz w:val="18"/>
          <w:szCs w:val="18"/>
        </w:rPr>
        <w:t>, grâce notamment au rebond de l’activité de pneus miniers au 4</w:t>
      </w:r>
      <w:r w:rsidRPr="00570D3D">
        <w:rPr>
          <w:rFonts w:ascii="Verdana" w:hAnsi="Verdana"/>
          <w:sz w:val="18"/>
          <w:szCs w:val="18"/>
          <w:vertAlign w:val="superscript"/>
        </w:rPr>
        <w:t>ème</w:t>
      </w:r>
      <w:r w:rsidRPr="00570D3D">
        <w:rPr>
          <w:rFonts w:ascii="Verdana" w:hAnsi="Verdana"/>
          <w:sz w:val="18"/>
          <w:szCs w:val="18"/>
        </w:rPr>
        <w:t xml:space="preserve"> trimestre</w:t>
      </w:r>
      <w:r w:rsidR="00874C15">
        <w:rPr>
          <w:rFonts w:ascii="Verdana" w:hAnsi="Verdana"/>
          <w:sz w:val="18"/>
          <w:szCs w:val="18"/>
        </w:rPr>
        <w:t>,</w:t>
      </w:r>
      <w:r w:rsidR="00396428">
        <w:rPr>
          <w:rFonts w:ascii="Verdana" w:hAnsi="Verdana"/>
          <w:sz w:val="18"/>
          <w:szCs w:val="18"/>
        </w:rPr>
        <w:t xml:space="preserve"> aux fortes ventes dans les nouveaux marchés</w:t>
      </w:r>
      <w:r w:rsidR="00396428" w:rsidRPr="00570D3D" w:rsidDel="00874C15">
        <w:rPr>
          <w:rFonts w:ascii="Verdana" w:hAnsi="Verdana"/>
          <w:sz w:val="18"/>
          <w:szCs w:val="18"/>
        </w:rPr>
        <w:t xml:space="preserve"> </w:t>
      </w:r>
      <w:r w:rsidRPr="00570D3D">
        <w:rPr>
          <w:rFonts w:ascii="Verdana" w:hAnsi="Verdana"/>
          <w:sz w:val="18"/>
          <w:szCs w:val="18"/>
        </w:rPr>
        <w:t>et</w:t>
      </w:r>
      <w:r>
        <w:rPr>
          <w:rFonts w:ascii="Verdana" w:hAnsi="Verdana"/>
          <w:sz w:val="18"/>
          <w:szCs w:val="18"/>
        </w:rPr>
        <w:t xml:space="preserve"> à</w:t>
      </w:r>
      <w:r w:rsidRPr="00570D3D">
        <w:rPr>
          <w:rFonts w:ascii="Verdana" w:hAnsi="Verdana"/>
          <w:sz w:val="18"/>
          <w:szCs w:val="18"/>
        </w:rPr>
        <w:t xml:space="preserve"> la bonne résistance de l’activité Agricole dans un contexte de </w:t>
      </w:r>
      <w:r w:rsidR="007E29A6" w:rsidRPr="00570D3D">
        <w:rPr>
          <w:rFonts w:ascii="Verdana" w:hAnsi="Verdana"/>
          <w:sz w:val="18"/>
          <w:szCs w:val="18"/>
        </w:rPr>
        <w:t>baisse de la demande. En</w:t>
      </w:r>
      <w:r w:rsidR="007970E1" w:rsidRPr="00570D3D">
        <w:rPr>
          <w:rFonts w:ascii="Verdana" w:hAnsi="Verdana"/>
          <w:sz w:val="18"/>
          <w:szCs w:val="18"/>
        </w:rPr>
        <w:t xml:space="preserve"> parallèle, </w:t>
      </w:r>
      <w:r>
        <w:rPr>
          <w:rFonts w:ascii="Verdana" w:hAnsi="Verdana"/>
          <w:sz w:val="18"/>
          <w:szCs w:val="18"/>
        </w:rPr>
        <w:t xml:space="preserve">l’impact favorable des matières premières n’a que partiellement atténué </w:t>
      </w:r>
      <w:r w:rsidR="007970E1" w:rsidRPr="00570D3D">
        <w:rPr>
          <w:rFonts w:ascii="Verdana" w:hAnsi="Verdana"/>
          <w:sz w:val="18"/>
          <w:szCs w:val="18"/>
        </w:rPr>
        <w:t xml:space="preserve">l’effet retardé des ajustements de prix liés aux clauses d’indexation matières premières. </w:t>
      </w:r>
    </w:p>
    <w:p w:rsidR="007970E1" w:rsidRPr="007970E1" w:rsidRDefault="007970E1" w:rsidP="007970E1">
      <w:pPr>
        <w:spacing w:after="60"/>
        <w:ind w:left="709"/>
        <w:jc w:val="both"/>
        <w:rPr>
          <w:rFonts w:ascii="Verdana" w:hAnsi="Verdana"/>
          <w:sz w:val="18"/>
          <w:szCs w:val="18"/>
        </w:rPr>
      </w:pPr>
    </w:p>
    <w:p w:rsidR="007970E1" w:rsidRPr="007970E1" w:rsidRDefault="007970E1" w:rsidP="007970E1">
      <w:pPr>
        <w:tabs>
          <w:tab w:val="left" w:pos="360"/>
        </w:tabs>
        <w:jc w:val="both"/>
        <w:rPr>
          <w:rFonts w:ascii="Verdana" w:hAnsi="Verdana" w:cs="Arial"/>
          <w:b/>
          <w:bCs/>
          <w:sz w:val="18"/>
          <w:szCs w:val="18"/>
        </w:rPr>
      </w:pPr>
    </w:p>
    <w:p w:rsidR="007970E1" w:rsidRPr="007970E1" w:rsidRDefault="007970E1" w:rsidP="007970E1">
      <w:pPr>
        <w:tabs>
          <w:tab w:val="left" w:pos="360"/>
        </w:tabs>
        <w:jc w:val="both"/>
        <w:rPr>
          <w:rFonts w:ascii="Verdana" w:hAnsi="Verdana" w:cs="Arial"/>
          <w:b/>
          <w:bCs/>
          <w:sz w:val="18"/>
          <w:szCs w:val="18"/>
        </w:rPr>
      </w:pPr>
    </w:p>
    <w:p w:rsidR="007970E1" w:rsidRPr="007970E1" w:rsidRDefault="007970E1" w:rsidP="007970E1">
      <w:pPr>
        <w:tabs>
          <w:tab w:val="left" w:pos="360"/>
        </w:tabs>
        <w:jc w:val="both"/>
        <w:rPr>
          <w:rFonts w:ascii="Verdana" w:hAnsi="Verdana" w:cs="Arial"/>
          <w:b/>
          <w:bCs/>
          <w:sz w:val="18"/>
          <w:szCs w:val="18"/>
        </w:rPr>
      </w:pPr>
    </w:p>
    <w:p w:rsidR="007970E1" w:rsidRPr="007970E1" w:rsidRDefault="007970E1" w:rsidP="007970E1">
      <w:pPr>
        <w:tabs>
          <w:tab w:val="left" w:pos="360"/>
        </w:tabs>
        <w:jc w:val="both"/>
        <w:rPr>
          <w:rFonts w:ascii="Verdana" w:hAnsi="Verdana" w:cs="Arial"/>
          <w:b/>
          <w:bCs/>
          <w:sz w:val="18"/>
          <w:szCs w:val="18"/>
        </w:rPr>
      </w:pPr>
    </w:p>
    <w:p w:rsidR="007970E1" w:rsidRPr="007970E1" w:rsidRDefault="007970E1" w:rsidP="007970E1">
      <w:pPr>
        <w:tabs>
          <w:tab w:val="left" w:pos="360"/>
        </w:tabs>
        <w:jc w:val="both"/>
        <w:rPr>
          <w:rFonts w:ascii="Verdana" w:hAnsi="Verdana" w:cs="Arial"/>
          <w:b/>
          <w:bCs/>
          <w:sz w:val="18"/>
          <w:szCs w:val="18"/>
        </w:rPr>
      </w:pPr>
    </w:p>
    <w:p w:rsidR="007970E1" w:rsidRPr="007970E1" w:rsidRDefault="007970E1" w:rsidP="007970E1">
      <w:pPr>
        <w:pBdr>
          <w:top w:val="single" w:sz="4" w:space="1" w:color="auto"/>
          <w:left w:val="single" w:sz="4" w:space="4" w:color="auto"/>
          <w:bottom w:val="single" w:sz="4" w:space="1" w:color="auto"/>
          <w:right w:val="single" w:sz="4" w:space="0" w:color="auto"/>
        </w:pBdr>
        <w:ind w:right="1982"/>
        <w:jc w:val="both"/>
        <w:rPr>
          <w:rFonts w:ascii="Verdana" w:hAnsi="Verdana" w:cs="Arial"/>
          <w:b/>
          <w:bCs/>
          <w:sz w:val="24"/>
          <w:szCs w:val="24"/>
        </w:rPr>
      </w:pPr>
      <w:r w:rsidRPr="007970E1">
        <w:rPr>
          <w:rFonts w:ascii="Verdana" w:hAnsi="Verdana" w:cs="Arial"/>
          <w:b/>
          <w:bCs/>
          <w:sz w:val="24"/>
          <w:szCs w:val="24"/>
        </w:rPr>
        <w:t>Compagnie Générale des Etablissements Michelin</w:t>
      </w:r>
    </w:p>
    <w:p w:rsidR="007970E1" w:rsidRPr="007970E1" w:rsidRDefault="007970E1" w:rsidP="007970E1">
      <w:pPr>
        <w:tabs>
          <w:tab w:val="left" w:pos="360"/>
        </w:tabs>
        <w:jc w:val="both"/>
        <w:rPr>
          <w:rFonts w:ascii="Verdana" w:hAnsi="Verdana" w:cs="Arial"/>
          <w:b/>
          <w:bCs/>
          <w:sz w:val="18"/>
          <w:szCs w:val="18"/>
        </w:rPr>
      </w:pPr>
    </w:p>
    <w:p w:rsidR="007970E1" w:rsidRPr="007970E1" w:rsidRDefault="007970E1" w:rsidP="007970E1">
      <w:pPr>
        <w:tabs>
          <w:tab w:val="left" w:pos="360"/>
        </w:tabs>
        <w:jc w:val="both"/>
        <w:rPr>
          <w:rFonts w:ascii="Verdana" w:hAnsi="Verdana" w:cs="Arial"/>
          <w:b/>
          <w:bCs/>
          <w:sz w:val="18"/>
          <w:szCs w:val="18"/>
        </w:rPr>
      </w:pPr>
    </w:p>
    <w:p w:rsidR="007970E1" w:rsidRPr="007970E1" w:rsidRDefault="007970E1" w:rsidP="007970E1">
      <w:pPr>
        <w:spacing w:after="120"/>
        <w:jc w:val="both"/>
        <w:rPr>
          <w:rFonts w:ascii="Verdana" w:hAnsi="Verdana" w:cs="Arial"/>
          <w:sz w:val="18"/>
          <w:szCs w:val="18"/>
        </w:rPr>
      </w:pPr>
      <w:r w:rsidRPr="007970E1">
        <w:rPr>
          <w:rFonts w:ascii="Verdana" w:hAnsi="Verdana" w:cs="Arial"/>
          <w:sz w:val="18"/>
          <w:szCs w:val="18"/>
        </w:rPr>
        <w:t xml:space="preserve">La Compagnie Générale des Etablissements Michelin a réalisé un bénéfice de </w:t>
      </w:r>
      <w:r w:rsidR="0005170A">
        <w:rPr>
          <w:rFonts w:ascii="Verdana" w:hAnsi="Verdana" w:cs="Arial"/>
          <w:sz w:val="18"/>
          <w:szCs w:val="18"/>
        </w:rPr>
        <w:t>1 416</w:t>
      </w:r>
      <w:r w:rsidR="0005170A" w:rsidRPr="007970E1">
        <w:rPr>
          <w:rFonts w:ascii="Verdana" w:hAnsi="Verdana" w:cs="Arial"/>
          <w:sz w:val="18"/>
          <w:szCs w:val="18"/>
        </w:rPr>
        <w:t xml:space="preserve"> </w:t>
      </w:r>
      <w:r w:rsidRPr="007970E1">
        <w:rPr>
          <w:rFonts w:ascii="Verdana" w:hAnsi="Verdana" w:cs="Arial"/>
          <w:sz w:val="18"/>
          <w:szCs w:val="18"/>
        </w:rPr>
        <w:t xml:space="preserve">millions </w:t>
      </w:r>
      <w:r w:rsidR="00453661">
        <w:rPr>
          <w:rFonts w:ascii="Verdana" w:hAnsi="Verdana" w:cs="Arial"/>
          <w:sz w:val="18"/>
          <w:szCs w:val="18"/>
        </w:rPr>
        <w:t>d’</w:t>
      </w:r>
      <w:r w:rsidRPr="007970E1">
        <w:rPr>
          <w:rFonts w:ascii="Verdana" w:hAnsi="Verdana" w:cs="Arial"/>
          <w:sz w:val="18"/>
          <w:szCs w:val="18"/>
        </w:rPr>
        <w:t>€ pour l’exercice 201</w:t>
      </w:r>
      <w:r w:rsidR="00A75015">
        <w:rPr>
          <w:rFonts w:ascii="Verdana" w:hAnsi="Verdana" w:cs="Arial"/>
          <w:sz w:val="18"/>
          <w:szCs w:val="18"/>
        </w:rPr>
        <w:t>6</w:t>
      </w:r>
      <w:r w:rsidRPr="007970E1">
        <w:rPr>
          <w:rFonts w:ascii="Verdana" w:hAnsi="Verdana" w:cs="Arial"/>
          <w:sz w:val="18"/>
          <w:szCs w:val="18"/>
        </w:rPr>
        <w:t>, après un bénéfice de 5</w:t>
      </w:r>
      <w:r w:rsidR="00A75015">
        <w:rPr>
          <w:rFonts w:ascii="Verdana" w:hAnsi="Verdana" w:cs="Arial"/>
          <w:sz w:val="18"/>
          <w:szCs w:val="18"/>
        </w:rPr>
        <w:t>90</w:t>
      </w:r>
      <w:r w:rsidRPr="007970E1">
        <w:rPr>
          <w:rFonts w:ascii="Verdana" w:hAnsi="Verdana" w:cs="Arial"/>
          <w:sz w:val="18"/>
          <w:szCs w:val="18"/>
        </w:rPr>
        <w:t xml:space="preserve"> millions </w:t>
      </w:r>
      <w:r w:rsidR="00453661">
        <w:rPr>
          <w:rFonts w:ascii="Verdana" w:hAnsi="Verdana" w:cs="Arial"/>
          <w:sz w:val="18"/>
          <w:szCs w:val="18"/>
        </w:rPr>
        <w:t>d’</w:t>
      </w:r>
      <w:r w:rsidRPr="007970E1">
        <w:rPr>
          <w:rFonts w:ascii="Verdana" w:hAnsi="Verdana" w:cs="Arial"/>
          <w:sz w:val="18"/>
          <w:szCs w:val="18"/>
        </w:rPr>
        <w:t>€ en 201</w:t>
      </w:r>
      <w:r w:rsidR="00A75015">
        <w:rPr>
          <w:rFonts w:ascii="Verdana" w:hAnsi="Verdana" w:cs="Arial"/>
          <w:sz w:val="18"/>
          <w:szCs w:val="18"/>
        </w:rPr>
        <w:t>5</w:t>
      </w:r>
      <w:r w:rsidRPr="007970E1">
        <w:rPr>
          <w:rFonts w:ascii="Verdana" w:hAnsi="Verdana" w:cs="Arial"/>
          <w:sz w:val="18"/>
          <w:szCs w:val="18"/>
        </w:rPr>
        <w:t>.</w:t>
      </w:r>
    </w:p>
    <w:p w:rsidR="007970E1" w:rsidRPr="007970E1" w:rsidRDefault="007970E1" w:rsidP="007970E1">
      <w:pPr>
        <w:spacing w:after="120"/>
        <w:jc w:val="both"/>
        <w:rPr>
          <w:rFonts w:ascii="Verdana" w:hAnsi="Verdana" w:cs="Arial"/>
          <w:sz w:val="18"/>
          <w:szCs w:val="18"/>
        </w:rPr>
      </w:pPr>
      <w:r w:rsidRPr="007970E1">
        <w:rPr>
          <w:rFonts w:ascii="Verdana" w:hAnsi="Verdana" w:cs="Arial"/>
          <w:sz w:val="18"/>
          <w:szCs w:val="18"/>
        </w:rPr>
        <w:t xml:space="preserve">Les comptes ont été présentés au Conseil de Surveillance qui s’est réuni le </w:t>
      </w:r>
      <w:r w:rsidR="00A75015" w:rsidRPr="00B75034">
        <w:rPr>
          <w:rFonts w:ascii="Verdana" w:hAnsi="Verdana" w:cs="Arial"/>
          <w:sz w:val="18"/>
          <w:szCs w:val="18"/>
        </w:rPr>
        <w:t>9</w:t>
      </w:r>
      <w:r w:rsidRPr="007970E1">
        <w:rPr>
          <w:rFonts w:ascii="Verdana" w:hAnsi="Verdana" w:cs="Arial"/>
          <w:sz w:val="18"/>
          <w:szCs w:val="18"/>
        </w:rPr>
        <w:t xml:space="preserve"> février </w:t>
      </w:r>
      <w:r w:rsidR="00EB75CE">
        <w:rPr>
          <w:rFonts w:ascii="Verdana" w:hAnsi="Verdana" w:cs="Arial"/>
          <w:sz w:val="18"/>
          <w:szCs w:val="18"/>
        </w:rPr>
        <w:t>2017</w:t>
      </w:r>
      <w:r w:rsidRPr="007970E1">
        <w:rPr>
          <w:rFonts w:ascii="Verdana" w:hAnsi="Verdana" w:cs="Arial"/>
          <w:sz w:val="18"/>
          <w:szCs w:val="18"/>
        </w:rPr>
        <w:t xml:space="preserve">. Les procédures d'audit ont été effectuées et le rapport d'audit a été émis le </w:t>
      </w:r>
      <w:r w:rsidR="00396428">
        <w:rPr>
          <w:rFonts w:ascii="Verdana" w:hAnsi="Verdana" w:cs="Arial"/>
          <w:sz w:val="18"/>
          <w:szCs w:val="18"/>
        </w:rPr>
        <w:t>13</w:t>
      </w:r>
      <w:r w:rsidR="00DD598A" w:rsidRPr="007970E1">
        <w:rPr>
          <w:rFonts w:ascii="Verdana" w:hAnsi="Verdana" w:cs="Arial"/>
          <w:sz w:val="18"/>
          <w:szCs w:val="18"/>
        </w:rPr>
        <w:t xml:space="preserve"> </w:t>
      </w:r>
      <w:r w:rsidRPr="007970E1">
        <w:rPr>
          <w:rFonts w:ascii="Verdana" w:hAnsi="Verdana" w:cs="Arial"/>
          <w:sz w:val="18"/>
          <w:szCs w:val="18"/>
        </w:rPr>
        <w:t xml:space="preserve">février </w:t>
      </w:r>
      <w:r w:rsidR="00EB75CE">
        <w:rPr>
          <w:rFonts w:ascii="Verdana" w:hAnsi="Verdana" w:cs="Arial"/>
          <w:sz w:val="18"/>
          <w:szCs w:val="18"/>
        </w:rPr>
        <w:t>2017</w:t>
      </w:r>
      <w:r w:rsidRPr="007970E1">
        <w:rPr>
          <w:rFonts w:ascii="Verdana" w:hAnsi="Verdana" w:cs="Arial"/>
          <w:sz w:val="18"/>
          <w:szCs w:val="18"/>
        </w:rPr>
        <w:t>.</w:t>
      </w:r>
    </w:p>
    <w:p w:rsidR="007970E1" w:rsidRPr="007970E1" w:rsidRDefault="007970E1" w:rsidP="007970E1">
      <w:pPr>
        <w:spacing w:after="120"/>
        <w:jc w:val="both"/>
        <w:rPr>
          <w:rFonts w:ascii="Verdana" w:hAnsi="Verdana" w:cs="Arial"/>
          <w:sz w:val="18"/>
          <w:szCs w:val="18"/>
        </w:rPr>
      </w:pPr>
      <w:r w:rsidRPr="007970E1">
        <w:rPr>
          <w:rFonts w:ascii="Verdana" w:hAnsi="Verdana" w:cs="Arial"/>
          <w:sz w:val="18"/>
          <w:szCs w:val="18"/>
        </w:rPr>
        <w:t>Le Président de la Gérance convoquera une Assemblée générale des actionnaires le vendredi 1</w:t>
      </w:r>
      <w:r w:rsidR="00A75015">
        <w:rPr>
          <w:rFonts w:ascii="Verdana" w:hAnsi="Verdana" w:cs="Arial"/>
          <w:sz w:val="18"/>
          <w:szCs w:val="18"/>
        </w:rPr>
        <w:t>9</w:t>
      </w:r>
      <w:r w:rsidRPr="007970E1">
        <w:rPr>
          <w:rFonts w:ascii="Verdana" w:hAnsi="Verdana" w:cs="Arial"/>
          <w:sz w:val="18"/>
          <w:szCs w:val="18"/>
        </w:rPr>
        <w:t xml:space="preserve"> mai </w:t>
      </w:r>
      <w:r w:rsidR="00EB75CE">
        <w:rPr>
          <w:rFonts w:ascii="Verdana" w:hAnsi="Verdana" w:cs="Arial"/>
          <w:sz w:val="18"/>
          <w:szCs w:val="18"/>
        </w:rPr>
        <w:t>2017</w:t>
      </w:r>
      <w:r w:rsidRPr="007970E1">
        <w:rPr>
          <w:rFonts w:ascii="Verdana" w:hAnsi="Verdana" w:cs="Arial"/>
          <w:sz w:val="18"/>
          <w:szCs w:val="18"/>
        </w:rPr>
        <w:t xml:space="preserve"> à 9 heures à Clermont-Ferrand.</w:t>
      </w:r>
    </w:p>
    <w:p w:rsidR="007970E1" w:rsidRPr="007970E1" w:rsidRDefault="007970E1" w:rsidP="007970E1">
      <w:pPr>
        <w:spacing w:after="120"/>
        <w:jc w:val="both"/>
        <w:rPr>
          <w:rFonts w:ascii="Verdana" w:hAnsi="Verdana" w:cs="Arial"/>
          <w:sz w:val="18"/>
          <w:szCs w:val="18"/>
        </w:rPr>
      </w:pPr>
      <w:r w:rsidRPr="007970E1">
        <w:rPr>
          <w:rFonts w:ascii="Verdana" w:hAnsi="Verdana" w:cs="Arial"/>
          <w:sz w:val="18"/>
          <w:szCs w:val="18"/>
        </w:rPr>
        <w:t xml:space="preserve">Le Président de la Gérance soumettra à l’approbation des actionnaires le versement d’un dividende de </w:t>
      </w:r>
      <w:r w:rsidR="003F11A4">
        <w:rPr>
          <w:rFonts w:ascii="Verdana" w:hAnsi="Verdana" w:cs="Arial"/>
          <w:sz w:val="18"/>
          <w:szCs w:val="18"/>
        </w:rPr>
        <w:t>3,25</w:t>
      </w:r>
      <w:r w:rsidRPr="007C6E26">
        <w:rPr>
          <w:rFonts w:ascii="Verdana" w:hAnsi="Verdana" w:cs="Arial"/>
          <w:sz w:val="18"/>
          <w:szCs w:val="18"/>
        </w:rPr>
        <w:t> € par</w:t>
      </w:r>
      <w:r w:rsidRPr="007970E1">
        <w:rPr>
          <w:rFonts w:ascii="Verdana" w:hAnsi="Verdana" w:cs="Arial"/>
          <w:sz w:val="18"/>
          <w:szCs w:val="18"/>
        </w:rPr>
        <w:t xml:space="preserve"> action, contre 2,</w:t>
      </w:r>
      <w:r w:rsidR="00A75015">
        <w:rPr>
          <w:rFonts w:ascii="Verdana" w:hAnsi="Verdana" w:cs="Arial"/>
          <w:sz w:val="18"/>
          <w:szCs w:val="18"/>
        </w:rPr>
        <w:t>8</w:t>
      </w:r>
      <w:r w:rsidRPr="007970E1">
        <w:rPr>
          <w:rFonts w:ascii="Verdana" w:hAnsi="Verdana" w:cs="Arial"/>
          <w:sz w:val="18"/>
          <w:szCs w:val="18"/>
        </w:rPr>
        <w:t>5 € au titre de l’exercice précédent.</w:t>
      </w:r>
    </w:p>
    <w:p w:rsidR="007970E1" w:rsidRPr="007970E1" w:rsidRDefault="007970E1" w:rsidP="007970E1">
      <w:pPr>
        <w:rPr>
          <w:rFonts w:ascii="Verdana" w:hAnsi="Verdana"/>
          <w:iCs/>
        </w:rPr>
      </w:pPr>
      <w:r w:rsidRPr="007970E1">
        <w:rPr>
          <w:rFonts w:ascii="Verdana" w:hAnsi="Verdana"/>
          <w:i/>
          <w:iCs/>
        </w:rPr>
        <w:br w:type="page"/>
      </w:r>
    </w:p>
    <w:p w:rsidR="007970E1" w:rsidRPr="007970E1" w:rsidRDefault="007970E1" w:rsidP="007970E1">
      <w:pPr>
        <w:pBdr>
          <w:top w:val="single" w:sz="4" w:space="1" w:color="auto"/>
          <w:left w:val="single" w:sz="4" w:space="4" w:color="auto"/>
          <w:bottom w:val="single" w:sz="4" w:space="1" w:color="auto"/>
          <w:right w:val="single" w:sz="4" w:space="0" w:color="auto"/>
        </w:pBdr>
        <w:ind w:right="3400"/>
        <w:jc w:val="both"/>
        <w:rPr>
          <w:rFonts w:ascii="Verdana" w:hAnsi="Verdana"/>
          <w:b/>
          <w:sz w:val="24"/>
          <w:szCs w:val="24"/>
        </w:rPr>
      </w:pPr>
      <w:r w:rsidRPr="007970E1">
        <w:rPr>
          <w:rFonts w:ascii="Verdana" w:hAnsi="Verdana"/>
          <w:b/>
          <w:sz w:val="24"/>
          <w:szCs w:val="24"/>
        </w:rPr>
        <w:lastRenderedPageBreak/>
        <w:t xml:space="preserve">Faits marquants </w:t>
      </w:r>
      <w:r w:rsidR="00EB75CE">
        <w:rPr>
          <w:rFonts w:ascii="Verdana" w:hAnsi="Verdana"/>
          <w:b/>
          <w:sz w:val="24"/>
          <w:szCs w:val="24"/>
        </w:rPr>
        <w:t>2016</w:t>
      </w:r>
    </w:p>
    <w:p w:rsidR="007970E1" w:rsidRPr="007970E1" w:rsidRDefault="007970E1" w:rsidP="007970E1">
      <w:pPr>
        <w:jc w:val="center"/>
        <w:rPr>
          <w:rFonts w:ascii="Verdana" w:hAnsi="Verdana" w:cs="Arial"/>
        </w:rPr>
      </w:pPr>
    </w:p>
    <w:p w:rsidR="007970E1" w:rsidRDefault="007970E1" w:rsidP="007970E1">
      <w:pPr>
        <w:jc w:val="center"/>
        <w:rPr>
          <w:rFonts w:ascii="Verdana" w:hAnsi="Verdana" w:cs="Arial"/>
        </w:rPr>
      </w:pPr>
    </w:p>
    <w:p w:rsidR="000373F0" w:rsidRDefault="000373F0" w:rsidP="007970E1">
      <w:pPr>
        <w:jc w:val="center"/>
        <w:rPr>
          <w:rFonts w:ascii="Verdana" w:hAnsi="Verdana" w:cs="Arial"/>
        </w:rPr>
      </w:pPr>
    </w:p>
    <w:p w:rsidR="00E8308C" w:rsidRDefault="00E8308C" w:rsidP="000373F0">
      <w:pPr>
        <w:numPr>
          <w:ilvl w:val="0"/>
          <w:numId w:val="2"/>
        </w:numPr>
        <w:tabs>
          <w:tab w:val="left" w:pos="284"/>
        </w:tabs>
        <w:spacing w:after="120"/>
        <w:ind w:left="357" w:hanging="357"/>
        <w:jc w:val="both"/>
        <w:rPr>
          <w:rFonts w:ascii="Verdana" w:hAnsi="Verdana" w:cs="Arial"/>
          <w:b/>
          <w:sz w:val="18"/>
          <w:szCs w:val="18"/>
        </w:rPr>
      </w:pPr>
      <w:r w:rsidRPr="00E8308C">
        <w:rPr>
          <w:rFonts w:ascii="Verdana" w:hAnsi="Verdana" w:cs="Arial"/>
          <w:b/>
          <w:sz w:val="18"/>
          <w:szCs w:val="18"/>
        </w:rPr>
        <w:t xml:space="preserve">Avec l’acquisition de </w:t>
      </w:r>
      <w:proofErr w:type="spellStart"/>
      <w:r w:rsidRPr="00E8308C">
        <w:rPr>
          <w:rFonts w:ascii="Verdana" w:hAnsi="Verdana" w:cs="Arial"/>
          <w:b/>
          <w:sz w:val="18"/>
          <w:szCs w:val="18"/>
        </w:rPr>
        <w:t>BookaTable</w:t>
      </w:r>
      <w:proofErr w:type="spellEnd"/>
      <w:r w:rsidRPr="00E8308C">
        <w:rPr>
          <w:rFonts w:ascii="Verdana" w:hAnsi="Verdana" w:cs="Arial"/>
          <w:b/>
          <w:sz w:val="18"/>
          <w:szCs w:val="18"/>
        </w:rPr>
        <w:t xml:space="preserve">, Michelin devient le leader européen de la réservation en ligne de restaurants </w:t>
      </w:r>
      <w:r>
        <w:rPr>
          <w:rFonts w:ascii="Verdana" w:hAnsi="Verdana" w:cs="Arial"/>
          <w:b/>
          <w:sz w:val="18"/>
          <w:szCs w:val="18"/>
        </w:rPr>
        <w:t xml:space="preserve"> </w:t>
      </w:r>
      <w:r w:rsidRPr="00E8308C">
        <w:rPr>
          <w:rFonts w:ascii="Verdana" w:hAnsi="Verdana" w:cs="Arial"/>
          <w:b/>
          <w:sz w:val="18"/>
          <w:szCs w:val="18"/>
        </w:rPr>
        <w:t>(11 janvier 2016)</w:t>
      </w:r>
    </w:p>
    <w:p w:rsidR="00641AC9" w:rsidRPr="00ED48D8" w:rsidRDefault="00641AC9" w:rsidP="00ED48D8">
      <w:pPr>
        <w:numPr>
          <w:ilvl w:val="0"/>
          <w:numId w:val="2"/>
        </w:numPr>
        <w:tabs>
          <w:tab w:val="left" w:pos="284"/>
        </w:tabs>
        <w:spacing w:after="120"/>
        <w:jc w:val="both"/>
        <w:rPr>
          <w:rFonts w:ascii="Verdana" w:hAnsi="Verdana" w:cs="Arial"/>
          <w:b/>
          <w:sz w:val="18"/>
          <w:szCs w:val="18"/>
        </w:rPr>
      </w:pPr>
      <w:r w:rsidRPr="00ED48D8">
        <w:rPr>
          <w:rFonts w:ascii="Verdana" w:hAnsi="Verdana" w:cs="Arial"/>
          <w:b/>
          <w:sz w:val="18"/>
          <w:szCs w:val="18"/>
        </w:rPr>
        <w:t xml:space="preserve">Michelin reconnu comme l’une des dix meilleures entreprises en Europe </w:t>
      </w:r>
      <w:r w:rsidR="00ED48D8" w:rsidRPr="00B75034">
        <w:rPr>
          <w:rFonts w:ascii="Verdana" w:hAnsi="Verdana" w:cs="Arial"/>
          <w:b/>
          <w:sz w:val="18"/>
          <w:szCs w:val="18"/>
        </w:rPr>
        <w:t xml:space="preserve">par l’enquête </w:t>
      </w:r>
      <w:r w:rsidR="00ED48D8">
        <w:rPr>
          <w:rFonts w:ascii="Verdana" w:hAnsi="Verdana" w:cs="Arial"/>
          <w:b/>
          <w:sz w:val="18"/>
          <w:szCs w:val="18"/>
        </w:rPr>
        <w:t>‘‘</w:t>
      </w:r>
      <w:r w:rsidR="00ED48D8" w:rsidRPr="00B75034">
        <w:rPr>
          <w:rFonts w:ascii="Verdana" w:hAnsi="Verdana" w:cs="Arial"/>
          <w:b/>
          <w:sz w:val="18"/>
          <w:szCs w:val="18"/>
        </w:rPr>
        <w:t>Best Brands</w:t>
      </w:r>
      <w:r w:rsidR="00ED48D8">
        <w:rPr>
          <w:rFonts w:ascii="Verdana" w:hAnsi="Verdana" w:cs="Arial"/>
          <w:b/>
          <w:sz w:val="18"/>
          <w:szCs w:val="18"/>
        </w:rPr>
        <w:t>’’</w:t>
      </w:r>
      <w:r w:rsidR="00ED48D8" w:rsidRPr="00B75034">
        <w:rPr>
          <w:rFonts w:ascii="Verdana" w:hAnsi="Verdana" w:cs="Arial"/>
          <w:b/>
          <w:sz w:val="18"/>
          <w:szCs w:val="18"/>
        </w:rPr>
        <w:t xml:space="preserve"> </w:t>
      </w:r>
      <w:r w:rsidRPr="00ED48D8">
        <w:rPr>
          <w:rFonts w:ascii="Verdana" w:hAnsi="Verdana" w:cs="Arial"/>
          <w:b/>
          <w:sz w:val="18"/>
          <w:szCs w:val="18"/>
        </w:rPr>
        <w:t>(19 février 2016)</w:t>
      </w:r>
    </w:p>
    <w:p w:rsidR="00AF171B" w:rsidRPr="00AF171B" w:rsidRDefault="00AF171B" w:rsidP="000373F0">
      <w:pPr>
        <w:numPr>
          <w:ilvl w:val="0"/>
          <w:numId w:val="2"/>
        </w:numPr>
        <w:tabs>
          <w:tab w:val="left" w:pos="284"/>
        </w:tabs>
        <w:spacing w:after="120"/>
        <w:ind w:left="357" w:hanging="357"/>
        <w:jc w:val="both"/>
        <w:rPr>
          <w:rFonts w:ascii="Verdana" w:hAnsi="Verdana" w:cs="Arial"/>
          <w:b/>
          <w:sz w:val="18"/>
          <w:szCs w:val="18"/>
        </w:rPr>
      </w:pPr>
      <w:r w:rsidRPr="00AF171B">
        <w:rPr>
          <w:rFonts w:ascii="Verdana" w:hAnsi="Verdana" w:cs="Arial"/>
          <w:b/>
          <w:sz w:val="18"/>
          <w:szCs w:val="18"/>
        </w:rPr>
        <w:t xml:space="preserve">Michelin lance la dernière version de sa gamme Poids lourd MICHELIN X LINE ENERGY Z en Amérique du Nord  (28 février 2016) </w:t>
      </w:r>
    </w:p>
    <w:p w:rsidR="00AF171B" w:rsidRPr="00AF171B" w:rsidRDefault="00AF171B" w:rsidP="000373F0">
      <w:pPr>
        <w:pStyle w:val="Paragraphedeliste"/>
        <w:numPr>
          <w:ilvl w:val="0"/>
          <w:numId w:val="2"/>
        </w:numPr>
        <w:spacing w:after="120"/>
        <w:ind w:left="357" w:hanging="357"/>
        <w:rPr>
          <w:rFonts w:ascii="Verdana" w:hAnsi="Verdana" w:cs="Arial"/>
          <w:b/>
          <w:sz w:val="18"/>
          <w:szCs w:val="18"/>
        </w:rPr>
      </w:pPr>
      <w:r w:rsidRPr="00AF171B">
        <w:rPr>
          <w:rFonts w:ascii="Verdana" w:hAnsi="Verdana" w:cs="Arial"/>
          <w:b/>
          <w:sz w:val="18"/>
          <w:szCs w:val="18"/>
        </w:rPr>
        <w:t>Michelin adapte l’organisation de ses activités à Clermont-Ferrand  (1er mars 2016)</w:t>
      </w:r>
    </w:p>
    <w:p w:rsidR="00AF171B" w:rsidRPr="00ED48D8" w:rsidRDefault="00AF171B">
      <w:pPr>
        <w:numPr>
          <w:ilvl w:val="0"/>
          <w:numId w:val="2"/>
        </w:numPr>
        <w:tabs>
          <w:tab w:val="left" w:pos="284"/>
        </w:tabs>
        <w:spacing w:after="120"/>
        <w:ind w:left="357" w:hanging="357"/>
        <w:jc w:val="both"/>
        <w:rPr>
          <w:rFonts w:ascii="Verdana" w:hAnsi="Verdana" w:cs="Arial"/>
          <w:b/>
          <w:sz w:val="18"/>
          <w:szCs w:val="18"/>
        </w:rPr>
      </w:pPr>
      <w:r w:rsidRPr="00AF171B">
        <w:rPr>
          <w:rFonts w:ascii="Verdana" w:hAnsi="Verdana" w:cs="Arial"/>
          <w:b/>
          <w:sz w:val="18"/>
          <w:szCs w:val="18"/>
        </w:rPr>
        <w:t xml:space="preserve">Le Groupe PSA décerne à Michelin son premier </w:t>
      </w:r>
      <w:proofErr w:type="spellStart"/>
      <w:r w:rsidR="00FC39ED">
        <w:rPr>
          <w:rFonts w:ascii="Verdana" w:hAnsi="Verdana" w:cs="Arial"/>
          <w:b/>
          <w:sz w:val="18"/>
          <w:szCs w:val="18"/>
        </w:rPr>
        <w:t>A</w:t>
      </w:r>
      <w:r w:rsidRPr="00AF171B">
        <w:rPr>
          <w:rFonts w:ascii="Verdana" w:hAnsi="Verdana" w:cs="Arial"/>
          <w:b/>
          <w:sz w:val="18"/>
          <w:szCs w:val="18"/>
        </w:rPr>
        <w:t>ward</w:t>
      </w:r>
      <w:proofErr w:type="spellEnd"/>
      <w:r w:rsidRPr="00AF171B">
        <w:rPr>
          <w:rFonts w:ascii="Verdana" w:hAnsi="Verdana" w:cs="Arial"/>
          <w:b/>
          <w:sz w:val="18"/>
          <w:szCs w:val="18"/>
        </w:rPr>
        <w:t xml:space="preserve"> </w:t>
      </w:r>
      <w:r w:rsidR="00ED48D8">
        <w:rPr>
          <w:rFonts w:ascii="Verdana" w:hAnsi="Verdana" w:cs="Arial"/>
          <w:b/>
          <w:sz w:val="18"/>
          <w:szCs w:val="18"/>
        </w:rPr>
        <w:t>‘</w:t>
      </w:r>
      <w:r w:rsidR="00ED48D8" w:rsidRPr="00ED48D8">
        <w:rPr>
          <w:rFonts w:ascii="Verdana" w:hAnsi="Verdana" w:cs="Arial"/>
          <w:b/>
          <w:sz w:val="18"/>
          <w:szCs w:val="18"/>
        </w:rPr>
        <w:t>‘</w:t>
      </w:r>
      <w:r w:rsidRPr="00ED48D8">
        <w:rPr>
          <w:rFonts w:ascii="Verdana" w:hAnsi="Verdana" w:cs="Arial"/>
          <w:b/>
          <w:sz w:val="18"/>
          <w:szCs w:val="18"/>
        </w:rPr>
        <w:t>Responsabilité Sociale et Environnementale</w:t>
      </w:r>
      <w:r w:rsidR="00ED48D8">
        <w:rPr>
          <w:rFonts w:ascii="Verdana" w:hAnsi="Verdana" w:cs="Arial"/>
          <w:b/>
          <w:sz w:val="18"/>
          <w:szCs w:val="18"/>
        </w:rPr>
        <w:t>’’</w:t>
      </w:r>
      <w:r w:rsidRPr="00ED48D8">
        <w:rPr>
          <w:rFonts w:ascii="Verdana" w:hAnsi="Verdana" w:cs="Arial"/>
          <w:b/>
          <w:sz w:val="18"/>
          <w:szCs w:val="18"/>
        </w:rPr>
        <w:t xml:space="preserve">  (2 juin 2016)</w:t>
      </w:r>
    </w:p>
    <w:p w:rsidR="00AF171B" w:rsidRPr="00AF171B" w:rsidRDefault="00AF171B" w:rsidP="000373F0">
      <w:pPr>
        <w:numPr>
          <w:ilvl w:val="0"/>
          <w:numId w:val="2"/>
        </w:numPr>
        <w:tabs>
          <w:tab w:val="left" w:pos="284"/>
        </w:tabs>
        <w:spacing w:after="120"/>
        <w:ind w:left="357" w:hanging="357"/>
        <w:jc w:val="both"/>
        <w:rPr>
          <w:rFonts w:ascii="Verdana" w:hAnsi="Verdana" w:cs="Arial"/>
          <w:b/>
          <w:sz w:val="18"/>
          <w:szCs w:val="18"/>
        </w:rPr>
      </w:pPr>
      <w:r w:rsidRPr="00AF171B">
        <w:rPr>
          <w:rFonts w:ascii="Verdana" w:hAnsi="Verdana" w:cs="Arial"/>
          <w:b/>
          <w:sz w:val="18"/>
          <w:szCs w:val="18"/>
        </w:rPr>
        <w:t xml:space="preserve">A l’occasion de sa Journée Investisseurs au Centre de Technologies de </w:t>
      </w:r>
      <w:proofErr w:type="spellStart"/>
      <w:r w:rsidRPr="00AF171B">
        <w:rPr>
          <w:rFonts w:ascii="Verdana" w:hAnsi="Verdana" w:cs="Arial"/>
          <w:b/>
          <w:sz w:val="18"/>
          <w:szCs w:val="18"/>
        </w:rPr>
        <w:t>Ladoux</w:t>
      </w:r>
      <w:proofErr w:type="spellEnd"/>
      <w:r w:rsidRPr="00AF171B">
        <w:rPr>
          <w:rFonts w:ascii="Verdana" w:hAnsi="Verdana" w:cs="Arial"/>
          <w:b/>
          <w:sz w:val="18"/>
          <w:szCs w:val="18"/>
        </w:rPr>
        <w:t xml:space="preserve"> (France), Michelin a présenté sa vision stratégique, ses ambitions de croissance et son plan de compétitivité de 1,2 milliard d’€ à l’horizon 2020  (6 juin 2016)</w:t>
      </w:r>
    </w:p>
    <w:p w:rsidR="00641AC9" w:rsidRDefault="00641AC9" w:rsidP="000373F0">
      <w:pPr>
        <w:numPr>
          <w:ilvl w:val="0"/>
          <w:numId w:val="2"/>
        </w:numPr>
        <w:tabs>
          <w:tab w:val="left" w:pos="284"/>
        </w:tabs>
        <w:spacing w:after="120"/>
        <w:ind w:left="357" w:hanging="357"/>
        <w:jc w:val="both"/>
        <w:rPr>
          <w:rFonts w:ascii="Verdana" w:hAnsi="Verdana" w:cs="Arial"/>
          <w:b/>
          <w:sz w:val="18"/>
          <w:szCs w:val="18"/>
        </w:rPr>
      </w:pPr>
      <w:r>
        <w:rPr>
          <w:rFonts w:ascii="Verdana" w:hAnsi="Verdana" w:cs="Arial"/>
          <w:b/>
          <w:sz w:val="18"/>
          <w:szCs w:val="18"/>
        </w:rPr>
        <w:t xml:space="preserve">Une nouvelle usine de production de pneus tourisme haut de gamme au Mexique </w:t>
      </w:r>
      <w:r w:rsidR="00575904">
        <w:rPr>
          <w:rFonts w:ascii="Verdana" w:hAnsi="Verdana" w:cs="Arial"/>
          <w:b/>
          <w:sz w:val="18"/>
          <w:szCs w:val="18"/>
        </w:rPr>
        <w:t xml:space="preserve"> </w:t>
      </w:r>
      <w:r>
        <w:rPr>
          <w:rFonts w:ascii="Verdana" w:hAnsi="Verdana" w:cs="Arial"/>
          <w:b/>
          <w:sz w:val="18"/>
          <w:szCs w:val="18"/>
        </w:rPr>
        <w:t>(4 juillet 2016)</w:t>
      </w:r>
    </w:p>
    <w:p w:rsidR="00473E53" w:rsidRPr="00AF171B" w:rsidRDefault="00473E53" w:rsidP="000373F0">
      <w:pPr>
        <w:numPr>
          <w:ilvl w:val="0"/>
          <w:numId w:val="2"/>
        </w:numPr>
        <w:tabs>
          <w:tab w:val="left" w:pos="284"/>
        </w:tabs>
        <w:spacing w:after="120"/>
        <w:ind w:left="357" w:hanging="357"/>
        <w:jc w:val="both"/>
        <w:rPr>
          <w:rFonts w:ascii="Verdana" w:hAnsi="Verdana" w:cs="Arial"/>
          <w:b/>
          <w:sz w:val="18"/>
          <w:szCs w:val="18"/>
        </w:rPr>
      </w:pPr>
      <w:r w:rsidRPr="00AF171B">
        <w:rPr>
          <w:rFonts w:ascii="Verdana" w:hAnsi="Verdana" w:cs="Arial"/>
          <w:b/>
          <w:sz w:val="18"/>
          <w:szCs w:val="18"/>
        </w:rPr>
        <w:t xml:space="preserve">Michelin et </w:t>
      </w:r>
      <w:proofErr w:type="spellStart"/>
      <w:r w:rsidRPr="00AF171B">
        <w:rPr>
          <w:rFonts w:ascii="Verdana" w:hAnsi="Verdana" w:cs="Arial"/>
          <w:b/>
          <w:sz w:val="18"/>
          <w:szCs w:val="18"/>
        </w:rPr>
        <w:t>Aviall</w:t>
      </w:r>
      <w:proofErr w:type="spellEnd"/>
      <w:r w:rsidRPr="00AF171B">
        <w:rPr>
          <w:rFonts w:ascii="Verdana" w:hAnsi="Verdana" w:cs="Arial"/>
          <w:b/>
          <w:sz w:val="18"/>
          <w:szCs w:val="18"/>
        </w:rPr>
        <w:t>, filiale de Boeing, annoncent la signature d'un accord de collaboration stratégique  (12 juillet 2016)</w:t>
      </w:r>
    </w:p>
    <w:p w:rsidR="00473E53" w:rsidRPr="00853B56" w:rsidRDefault="00473E53" w:rsidP="000373F0">
      <w:pPr>
        <w:numPr>
          <w:ilvl w:val="0"/>
          <w:numId w:val="2"/>
        </w:numPr>
        <w:tabs>
          <w:tab w:val="left" w:pos="284"/>
        </w:tabs>
        <w:spacing w:after="120"/>
        <w:ind w:left="357" w:hanging="357"/>
        <w:jc w:val="both"/>
        <w:rPr>
          <w:rFonts w:ascii="Verdana" w:hAnsi="Verdana" w:cs="Arial"/>
          <w:b/>
          <w:sz w:val="18"/>
          <w:szCs w:val="18"/>
        </w:rPr>
      </w:pPr>
      <w:r w:rsidRPr="00853B56">
        <w:rPr>
          <w:rFonts w:ascii="Verdana" w:hAnsi="Verdana" w:cs="Arial"/>
          <w:b/>
          <w:sz w:val="18"/>
          <w:szCs w:val="18"/>
        </w:rPr>
        <w:t xml:space="preserve">L’acquisition de </w:t>
      </w:r>
      <w:proofErr w:type="spellStart"/>
      <w:r w:rsidRPr="00853B56">
        <w:rPr>
          <w:rFonts w:ascii="Verdana" w:hAnsi="Verdana" w:cs="Arial"/>
          <w:b/>
          <w:sz w:val="18"/>
          <w:szCs w:val="18"/>
        </w:rPr>
        <w:t>Levorin</w:t>
      </w:r>
      <w:proofErr w:type="spellEnd"/>
      <w:r>
        <w:rPr>
          <w:rFonts w:ascii="Verdana" w:hAnsi="Verdana" w:cs="Arial"/>
          <w:b/>
          <w:sz w:val="18"/>
          <w:szCs w:val="18"/>
        </w:rPr>
        <w:t>,</w:t>
      </w:r>
      <w:r w:rsidRPr="00853B56">
        <w:rPr>
          <w:rFonts w:ascii="Verdana" w:hAnsi="Verdana" w:cs="Arial"/>
          <w:b/>
          <w:sz w:val="18"/>
          <w:szCs w:val="18"/>
        </w:rPr>
        <w:t xml:space="preserve"> spécialiste local du pneu deux roues</w:t>
      </w:r>
      <w:r>
        <w:rPr>
          <w:rFonts w:ascii="Verdana" w:hAnsi="Verdana" w:cs="Arial"/>
          <w:b/>
          <w:sz w:val="18"/>
          <w:szCs w:val="18"/>
        </w:rPr>
        <w:t>,</w:t>
      </w:r>
      <w:r w:rsidRPr="00853B56">
        <w:rPr>
          <w:rFonts w:ascii="Verdana" w:hAnsi="Verdana" w:cs="Arial"/>
          <w:b/>
          <w:sz w:val="18"/>
          <w:szCs w:val="18"/>
        </w:rPr>
        <w:t xml:space="preserve"> renforce la présence de Michelin au Brésil</w:t>
      </w:r>
      <w:r>
        <w:rPr>
          <w:rFonts w:ascii="Verdana" w:hAnsi="Verdana" w:cs="Arial"/>
          <w:b/>
          <w:sz w:val="18"/>
          <w:szCs w:val="18"/>
        </w:rPr>
        <w:t xml:space="preserve">  (</w:t>
      </w:r>
      <w:r w:rsidRPr="00853B56">
        <w:rPr>
          <w:rFonts w:ascii="Verdana" w:hAnsi="Verdana" w:cs="Arial"/>
          <w:b/>
          <w:sz w:val="18"/>
          <w:szCs w:val="18"/>
        </w:rPr>
        <w:t>26</w:t>
      </w:r>
      <w:r>
        <w:rPr>
          <w:rFonts w:ascii="Verdana" w:hAnsi="Verdana" w:cs="Arial"/>
          <w:b/>
          <w:sz w:val="18"/>
          <w:szCs w:val="18"/>
        </w:rPr>
        <w:t xml:space="preserve"> août 2</w:t>
      </w:r>
      <w:r w:rsidRPr="00853B56">
        <w:rPr>
          <w:rFonts w:ascii="Verdana" w:hAnsi="Verdana" w:cs="Arial"/>
          <w:b/>
          <w:sz w:val="18"/>
          <w:szCs w:val="18"/>
        </w:rPr>
        <w:t>016</w:t>
      </w:r>
      <w:r>
        <w:rPr>
          <w:rFonts w:ascii="Verdana" w:hAnsi="Verdana" w:cs="Arial"/>
          <w:b/>
          <w:sz w:val="18"/>
          <w:szCs w:val="18"/>
        </w:rPr>
        <w:t>)</w:t>
      </w:r>
    </w:p>
    <w:p w:rsidR="00473E53" w:rsidRPr="00F6504F" w:rsidRDefault="00473E53" w:rsidP="000373F0">
      <w:pPr>
        <w:numPr>
          <w:ilvl w:val="0"/>
          <w:numId w:val="2"/>
        </w:numPr>
        <w:tabs>
          <w:tab w:val="left" w:pos="284"/>
        </w:tabs>
        <w:spacing w:after="120"/>
        <w:ind w:left="357" w:hanging="357"/>
        <w:jc w:val="both"/>
        <w:rPr>
          <w:rFonts w:ascii="Verdana" w:hAnsi="Verdana" w:cs="Arial"/>
          <w:b/>
          <w:sz w:val="18"/>
          <w:szCs w:val="18"/>
        </w:rPr>
      </w:pPr>
      <w:r>
        <w:rPr>
          <w:rFonts w:ascii="Verdana" w:hAnsi="Verdana" w:cs="Arial"/>
          <w:b/>
          <w:sz w:val="18"/>
          <w:szCs w:val="18"/>
        </w:rPr>
        <w:t xml:space="preserve">Le pneu Poids lourd </w:t>
      </w:r>
      <w:r w:rsidRPr="00F6504F">
        <w:rPr>
          <w:rFonts w:ascii="Verdana" w:hAnsi="Verdana" w:cs="Arial"/>
          <w:b/>
          <w:sz w:val="18"/>
          <w:szCs w:val="18"/>
        </w:rPr>
        <w:t>MICHELIN X GUARD pour transporter la Chine</w:t>
      </w:r>
      <w:r>
        <w:rPr>
          <w:rFonts w:ascii="Verdana" w:hAnsi="Verdana" w:cs="Arial"/>
          <w:b/>
          <w:sz w:val="18"/>
          <w:szCs w:val="18"/>
        </w:rPr>
        <w:t xml:space="preserve">  (</w:t>
      </w:r>
      <w:r w:rsidRPr="00F6504F">
        <w:rPr>
          <w:rFonts w:ascii="Verdana" w:hAnsi="Verdana" w:cs="Arial"/>
          <w:b/>
          <w:sz w:val="18"/>
          <w:szCs w:val="18"/>
        </w:rPr>
        <w:t>31</w:t>
      </w:r>
      <w:r>
        <w:rPr>
          <w:rFonts w:ascii="Verdana" w:hAnsi="Verdana" w:cs="Arial"/>
          <w:b/>
          <w:sz w:val="18"/>
          <w:szCs w:val="18"/>
        </w:rPr>
        <w:t xml:space="preserve"> août </w:t>
      </w:r>
      <w:r w:rsidRPr="00F6504F">
        <w:rPr>
          <w:rFonts w:ascii="Verdana" w:hAnsi="Verdana" w:cs="Arial"/>
          <w:b/>
          <w:sz w:val="18"/>
          <w:szCs w:val="18"/>
        </w:rPr>
        <w:t>2016</w:t>
      </w:r>
      <w:r>
        <w:rPr>
          <w:rFonts w:ascii="Verdana" w:hAnsi="Verdana" w:cs="Arial"/>
          <w:b/>
          <w:sz w:val="18"/>
          <w:szCs w:val="18"/>
        </w:rPr>
        <w:t>)</w:t>
      </w:r>
    </w:p>
    <w:p w:rsidR="00473E53" w:rsidRDefault="00473E53" w:rsidP="000373F0">
      <w:pPr>
        <w:numPr>
          <w:ilvl w:val="0"/>
          <w:numId w:val="2"/>
        </w:numPr>
        <w:tabs>
          <w:tab w:val="left" w:pos="284"/>
        </w:tabs>
        <w:spacing w:after="120"/>
        <w:ind w:left="357" w:hanging="357"/>
        <w:jc w:val="both"/>
        <w:rPr>
          <w:rFonts w:ascii="Verdana" w:hAnsi="Verdana" w:cs="Arial"/>
          <w:b/>
          <w:sz w:val="18"/>
          <w:szCs w:val="18"/>
        </w:rPr>
      </w:pPr>
      <w:r w:rsidRPr="002B48B5">
        <w:rPr>
          <w:rFonts w:ascii="Verdana" w:hAnsi="Verdana" w:cs="Arial"/>
          <w:b/>
          <w:sz w:val="18"/>
          <w:szCs w:val="18"/>
        </w:rPr>
        <w:t>Formula-E 2016/2017 - Les nouveaux pneus MICHELIN Pilot Sport EV2 passent les tests de présaison avec succès</w:t>
      </w:r>
      <w:r>
        <w:rPr>
          <w:rFonts w:ascii="Verdana" w:hAnsi="Verdana" w:cs="Arial"/>
          <w:b/>
          <w:sz w:val="18"/>
          <w:szCs w:val="18"/>
        </w:rPr>
        <w:t xml:space="preserve">  (12 septembre 2016)</w:t>
      </w:r>
    </w:p>
    <w:p w:rsidR="00473E53" w:rsidRDefault="00473E53" w:rsidP="000373F0">
      <w:pPr>
        <w:numPr>
          <w:ilvl w:val="0"/>
          <w:numId w:val="2"/>
        </w:numPr>
        <w:tabs>
          <w:tab w:val="left" w:pos="284"/>
        </w:tabs>
        <w:spacing w:after="120"/>
        <w:ind w:left="357" w:hanging="357"/>
        <w:jc w:val="both"/>
        <w:rPr>
          <w:rFonts w:ascii="Verdana" w:hAnsi="Verdana" w:cs="Arial"/>
          <w:b/>
          <w:sz w:val="18"/>
          <w:szCs w:val="18"/>
        </w:rPr>
      </w:pPr>
      <w:r w:rsidRPr="00F6504F">
        <w:rPr>
          <w:rFonts w:ascii="Verdana" w:hAnsi="Verdana" w:cs="Arial"/>
          <w:b/>
          <w:sz w:val="18"/>
          <w:szCs w:val="18"/>
        </w:rPr>
        <w:t>Un nouveau plan d’actionnariat salarié</w:t>
      </w:r>
      <w:r w:rsidR="00D73D85">
        <w:rPr>
          <w:rFonts w:ascii="Verdana" w:hAnsi="Verdana" w:cs="Arial"/>
          <w:b/>
          <w:sz w:val="18"/>
          <w:szCs w:val="18"/>
        </w:rPr>
        <w:t xml:space="preserve"> </w:t>
      </w:r>
      <w:r w:rsidRPr="00F6504F">
        <w:rPr>
          <w:rFonts w:ascii="Verdana" w:hAnsi="Verdana" w:cs="Arial"/>
          <w:b/>
          <w:sz w:val="18"/>
          <w:szCs w:val="18"/>
        </w:rPr>
        <w:t xml:space="preserve"> </w:t>
      </w:r>
      <w:r>
        <w:rPr>
          <w:rFonts w:ascii="Verdana" w:hAnsi="Verdana" w:cs="Arial"/>
          <w:b/>
          <w:sz w:val="18"/>
          <w:szCs w:val="18"/>
        </w:rPr>
        <w:t>(</w:t>
      </w:r>
      <w:r w:rsidRPr="00F6504F">
        <w:rPr>
          <w:rFonts w:ascii="Verdana" w:hAnsi="Verdana" w:cs="Arial"/>
          <w:b/>
          <w:sz w:val="18"/>
          <w:szCs w:val="18"/>
        </w:rPr>
        <w:t>15</w:t>
      </w:r>
      <w:r>
        <w:rPr>
          <w:rFonts w:ascii="Verdana" w:hAnsi="Verdana" w:cs="Arial"/>
          <w:b/>
          <w:sz w:val="18"/>
          <w:szCs w:val="18"/>
        </w:rPr>
        <w:t xml:space="preserve"> septembre </w:t>
      </w:r>
      <w:r w:rsidRPr="00F6504F">
        <w:rPr>
          <w:rFonts w:ascii="Verdana" w:hAnsi="Verdana" w:cs="Arial"/>
          <w:b/>
          <w:sz w:val="18"/>
          <w:szCs w:val="18"/>
        </w:rPr>
        <w:t>2016</w:t>
      </w:r>
      <w:r w:rsidR="00641AC9">
        <w:rPr>
          <w:rFonts w:ascii="Verdana" w:hAnsi="Verdana" w:cs="Arial"/>
          <w:b/>
          <w:sz w:val="18"/>
          <w:szCs w:val="18"/>
        </w:rPr>
        <w:t>)</w:t>
      </w:r>
    </w:p>
    <w:p w:rsidR="00473E53" w:rsidRPr="00F247CB" w:rsidRDefault="00473E53" w:rsidP="000373F0">
      <w:pPr>
        <w:numPr>
          <w:ilvl w:val="0"/>
          <w:numId w:val="2"/>
        </w:numPr>
        <w:tabs>
          <w:tab w:val="left" w:pos="284"/>
        </w:tabs>
        <w:spacing w:after="120"/>
        <w:ind w:left="357" w:hanging="357"/>
        <w:jc w:val="both"/>
        <w:rPr>
          <w:rFonts w:ascii="Verdana" w:hAnsi="Verdana" w:cs="Arial"/>
          <w:b/>
          <w:sz w:val="18"/>
          <w:szCs w:val="18"/>
        </w:rPr>
      </w:pPr>
      <w:r>
        <w:rPr>
          <w:rFonts w:ascii="Verdana" w:hAnsi="Verdana" w:cs="Arial"/>
          <w:b/>
          <w:sz w:val="18"/>
          <w:szCs w:val="18"/>
        </w:rPr>
        <w:t>Le Groupe inaugure u</w:t>
      </w:r>
      <w:r w:rsidRPr="00F247CB">
        <w:rPr>
          <w:rFonts w:ascii="Verdana" w:hAnsi="Verdana" w:cs="Arial"/>
          <w:b/>
          <w:sz w:val="18"/>
          <w:szCs w:val="18"/>
        </w:rPr>
        <w:t>n nouveau campus R&amp;D au cœur de l’innovation Michelin</w:t>
      </w:r>
      <w:r>
        <w:rPr>
          <w:rFonts w:ascii="Verdana" w:hAnsi="Verdana" w:cs="Arial"/>
          <w:b/>
          <w:sz w:val="18"/>
          <w:szCs w:val="18"/>
        </w:rPr>
        <w:t xml:space="preserve"> (</w:t>
      </w:r>
      <w:r w:rsidRPr="00F247CB">
        <w:rPr>
          <w:rFonts w:ascii="Verdana" w:hAnsi="Verdana" w:cs="Arial"/>
          <w:b/>
          <w:sz w:val="18"/>
          <w:szCs w:val="18"/>
        </w:rPr>
        <w:t>16</w:t>
      </w:r>
      <w:r>
        <w:rPr>
          <w:rFonts w:ascii="Verdana" w:hAnsi="Verdana" w:cs="Arial"/>
          <w:b/>
          <w:sz w:val="18"/>
          <w:szCs w:val="18"/>
        </w:rPr>
        <w:t xml:space="preserve"> septembre </w:t>
      </w:r>
      <w:r w:rsidRPr="00F247CB">
        <w:rPr>
          <w:rFonts w:ascii="Verdana" w:hAnsi="Verdana" w:cs="Arial"/>
          <w:b/>
          <w:sz w:val="18"/>
          <w:szCs w:val="18"/>
        </w:rPr>
        <w:t>2016</w:t>
      </w:r>
      <w:r>
        <w:rPr>
          <w:rFonts w:ascii="Verdana" w:hAnsi="Verdana" w:cs="Arial"/>
          <w:b/>
          <w:sz w:val="18"/>
          <w:szCs w:val="18"/>
        </w:rPr>
        <w:t>)</w:t>
      </w:r>
    </w:p>
    <w:p w:rsidR="00473E53" w:rsidRDefault="00473E53" w:rsidP="000373F0">
      <w:pPr>
        <w:numPr>
          <w:ilvl w:val="0"/>
          <w:numId w:val="2"/>
        </w:numPr>
        <w:tabs>
          <w:tab w:val="left" w:pos="284"/>
        </w:tabs>
        <w:spacing w:after="120"/>
        <w:ind w:left="357" w:hanging="357"/>
        <w:jc w:val="both"/>
        <w:rPr>
          <w:rFonts w:ascii="Verdana" w:hAnsi="Verdana" w:cs="Arial"/>
          <w:b/>
          <w:sz w:val="18"/>
          <w:szCs w:val="18"/>
        </w:rPr>
      </w:pPr>
      <w:r w:rsidRPr="00DC2B06">
        <w:rPr>
          <w:rFonts w:ascii="Verdana" w:hAnsi="Verdana" w:cs="Arial"/>
          <w:b/>
          <w:sz w:val="18"/>
          <w:szCs w:val="18"/>
        </w:rPr>
        <w:t>MICHELIN XDR3 : l’innovation au service de la mine   (16 septembre 2016)</w:t>
      </w:r>
    </w:p>
    <w:p w:rsidR="00473E53" w:rsidRPr="001E5320" w:rsidRDefault="00473E53" w:rsidP="000373F0">
      <w:pPr>
        <w:numPr>
          <w:ilvl w:val="0"/>
          <w:numId w:val="2"/>
        </w:numPr>
        <w:tabs>
          <w:tab w:val="left" w:pos="284"/>
        </w:tabs>
        <w:spacing w:after="120"/>
        <w:ind w:left="357" w:hanging="357"/>
        <w:jc w:val="both"/>
        <w:rPr>
          <w:rFonts w:ascii="Verdana" w:hAnsi="Verdana" w:cs="Arial"/>
          <w:b/>
          <w:sz w:val="18"/>
          <w:szCs w:val="18"/>
        </w:rPr>
      </w:pPr>
      <w:r w:rsidRPr="001E5320">
        <w:rPr>
          <w:rFonts w:ascii="Verdana" w:hAnsi="Verdana" w:cs="Arial"/>
          <w:b/>
          <w:sz w:val="18"/>
          <w:szCs w:val="18"/>
        </w:rPr>
        <w:t xml:space="preserve">ENGIE rejoint Michelin au capital de </w:t>
      </w:r>
      <w:proofErr w:type="spellStart"/>
      <w:r w:rsidRPr="001E5320">
        <w:rPr>
          <w:rFonts w:ascii="Verdana" w:hAnsi="Verdana" w:cs="Arial"/>
          <w:b/>
          <w:sz w:val="18"/>
          <w:szCs w:val="18"/>
        </w:rPr>
        <w:t>Symbio</w:t>
      </w:r>
      <w:proofErr w:type="spellEnd"/>
      <w:r w:rsidRPr="001E5320">
        <w:rPr>
          <w:rFonts w:ascii="Verdana" w:hAnsi="Verdana" w:cs="Arial"/>
          <w:b/>
          <w:sz w:val="18"/>
          <w:szCs w:val="18"/>
        </w:rPr>
        <w:t xml:space="preserve"> </w:t>
      </w:r>
      <w:proofErr w:type="spellStart"/>
      <w:r w:rsidRPr="001E5320">
        <w:rPr>
          <w:rFonts w:ascii="Verdana" w:hAnsi="Verdana" w:cs="Arial"/>
          <w:b/>
          <w:sz w:val="18"/>
          <w:szCs w:val="18"/>
        </w:rPr>
        <w:t>FCell</w:t>
      </w:r>
      <w:proofErr w:type="spellEnd"/>
      <w:r w:rsidRPr="001E5320">
        <w:rPr>
          <w:rFonts w:ascii="Verdana" w:hAnsi="Verdana" w:cs="Arial"/>
          <w:b/>
          <w:sz w:val="18"/>
          <w:szCs w:val="18"/>
        </w:rPr>
        <w:t xml:space="preserve">, spécialiste européen de la pile à combustible </w:t>
      </w:r>
      <w:r>
        <w:rPr>
          <w:rFonts w:ascii="Verdana" w:hAnsi="Verdana" w:cs="Arial"/>
          <w:b/>
          <w:sz w:val="18"/>
          <w:szCs w:val="18"/>
        </w:rPr>
        <w:t xml:space="preserve"> (</w:t>
      </w:r>
      <w:r w:rsidRPr="001E5320">
        <w:rPr>
          <w:rFonts w:ascii="Verdana" w:hAnsi="Verdana" w:cs="Arial"/>
          <w:b/>
          <w:sz w:val="18"/>
          <w:szCs w:val="18"/>
        </w:rPr>
        <w:t>19</w:t>
      </w:r>
      <w:r>
        <w:rPr>
          <w:rFonts w:ascii="Verdana" w:hAnsi="Verdana" w:cs="Arial"/>
          <w:b/>
          <w:sz w:val="18"/>
          <w:szCs w:val="18"/>
        </w:rPr>
        <w:t xml:space="preserve"> septembre </w:t>
      </w:r>
      <w:r w:rsidRPr="001E5320">
        <w:rPr>
          <w:rFonts w:ascii="Verdana" w:hAnsi="Verdana" w:cs="Arial"/>
          <w:b/>
          <w:sz w:val="18"/>
          <w:szCs w:val="18"/>
        </w:rPr>
        <w:t>2016</w:t>
      </w:r>
      <w:r>
        <w:rPr>
          <w:rFonts w:ascii="Verdana" w:hAnsi="Verdana" w:cs="Arial"/>
          <w:b/>
          <w:sz w:val="18"/>
          <w:szCs w:val="18"/>
        </w:rPr>
        <w:t>)</w:t>
      </w:r>
    </w:p>
    <w:p w:rsidR="00473E53" w:rsidRPr="00DC2B06" w:rsidRDefault="008E2BB4" w:rsidP="000373F0">
      <w:pPr>
        <w:numPr>
          <w:ilvl w:val="0"/>
          <w:numId w:val="2"/>
        </w:numPr>
        <w:tabs>
          <w:tab w:val="left" w:pos="284"/>
        </w:tabs>
        <w:spacing w:after="120"/>
        <w:ind w:left="357" w:hanging="357"/>
        <w:jc w:val="both"/>
        <w:rPr>
          <w:rFonts w:ascii="Verdana" w:hAnsi="Verdana" w:cs="Arial"/>
          <w:b/>
          <w:sz w:val="18"/>
          <w:szCs w:val="18"/>
        </w:rPr>
      </w:pPr>
      <w:r>
        <w:rPr>
          <w:rFonts w:ascii="Verdana" w:hAnsi="Verdana" w:cs="Arial"/>
          <w:b/>
          <w:sz w:val="18"/>
          <w:szCs w:val="18"/>
        </w:rPr>
        <w:t>Sortie</w:t>
      </w:r>
      <w:r w:rsidRPr="001E5320">
        <w:rPr>
          <w:rFonts w:ascii="Verdana" w:hAnsi="Verdana" w:cs="Arial"/>
          <w:b/>
          <w:sz w:val="18"/>
          <w:szCs w:val="18"/>
        </w:rPr>
        <w:t xml:space="preserve"> </w:t>
      </w:r>
      <w:r w:rsidR="001861F9">
        <w:rPr>
          <w:rFonts w:ascii="Verdana" w:hAnsi="Verdana" w:cs="Arial"/>
          <w:b/>
          <w:sz w:val="18"/>
          <w:szCs w:val="18"/>
        </w:rPr>
        <w:t xml:space="preserve">du </w:t>
      </w:r>
      <w:r w:rsidR="00473E53" w:rsidRPr="001E5320">
        <w:rPr>
          <w:rFonts w:ascii="Verdana" w:hAnsi="Verdana" w:cs="Arial"/>
          <w:b/>
          <w:sz w:val="18"/>
          <w:szCs w:val="18"/>
        </w:rPr>
        <w:t>guide MICHELIN Shanghai</w:t>
      </w:r>
      <w:r w:rsidR="00473E53">
        <w:rPr>
          <w:rFonts w:ascii="Verdana" w:hAnsi="Verdana" w:cs="Arial"/>
          <w:b/>
          <w:sz w:val="18"/>
          <w:szCs w:val="18"/>
        </w:rPr>
        <w:t xml:space="preserve">  (21 septembre 2016)</w:t>
      </w:r>
    </w:p>
    <w:p w:rsidR="00473E53" w:rsidRPr="00360378" w:rsidRDefault="00473E53" w:rsidP="000373F0">
      <w:pPr>
        <w:numPr>
          <w:ilvl w:val="0"/>
          <w:numId w:val="2"/>
        </w:numPr>
        <w:tabs>
          <w:tab w:val="left" w:pos="284"/>
        </w:tabs>
        <w:spacing w:after="120"/>
        <w:ind w:left="357" w:hanging="357"/>
        <w:jc w:val="both"/>
        <w:rPr>
          <w:rFonts w:ascii="Verdana" w:hAnsi="Verdana" w:cs="Arial"/>
          <w:b/>
          <w:sz w:val="18"/>
          <w:szCs w:val="18"/>
        </w:rPr>
      </w:pPr>
      <w:r w:rsidRPr="000373F0">
        <w:rPr>
          <w:rFonts w:ascii="Verdana" w:hAnsi="Verdana" w:cs="Arial"/>
          <w:b/>
          <w:sz w:val="18"/>
          <w:szCs w:val="18"/>
        </w:rPr>
        <w:t xml:space="preserve">Le nouveau MICHELIN </w:t>
      </w:r>
      <w:proofErr w:type="spellStart"/>
      <w:r w:rsidRPr="000373F0">
        <w:rPr>
          <w:rFonts w:ascii="Verdana" w:hAnsi="Verdana" w:cs="Arial"/>
          <w:b/>
          <w:sz w:val="18"/>
          <w:szCs w:val="18"/>
        </w:rPr>
        <w:t>CrossClimate</w:t>
      </w:r>
      <w:proofErr w:type="spellEnd"/>
      <w:r w:rsidRPr="000373F0">
        <w:rPr>
          <w:rFonts w:ascii="Verdana" w:hAnsi="Verdana" w:cs="Arial"/>
          <w:b/>
          <w:sz w:val="18"/>
          <w:szCs w:val="18"/>
        </w:rPr>
        <w:t xml:space="preserve">+, la sécurité dans toutes les conditions, du premier au </w:t>
      </w:r>
      <w:r w:rsidRPr="00360378">
        <w:rPr>
          <w:rFonts w:ascii="Verdana" w:hAnsi="Verdana" w:cs="Arial"/>
          <w:b/>
          <w:sz w:val="18"/>
          <w:szCs w:val="18"/>
        </w:rPr>
        <w:t>dernier kilomètre</w:t>
      </w:r>
      <w:r w:rsidR="00CD1BDE" w:rsidRPr="00360378">
        <w:rPr>
          <w:rFonts w:ascii="Verdana" w:hAnsi="Verdana" w:cs="Arial"/>
          <w:b/>
          <w:sz w:val="18"/>
          <w:szCs w:val="18"/>
        </w:rPr>
        <w:t xml:space="preserve"> </w:t>
      </w:r>
      <w:r w:rsidRPr="00360378" w:rsidDel="008717F5">
        <w:rPr>
          <w:rFonts w:ascii="Verdana" w:hAnsi="Verdana" w:cs="Arial"/>
          <w:b/>
          <w:sz w:val="18"/>
          <w:szCs w:val="18"/>
        </w:rPr>
        <w:t xml:space="preserve"> </w:t>
      </w:r>
      <w:r w:rsidRPr="00360378">
        <w:rPr>
          <w:rFonts w:ascii="Verdana" w:hAnsi="Verdana" w:cs="Arial"/>
          <w:b/>
          <w:sz w:val="18"/>
          <w:szCs w:val="18"/>
        </w:rPr>
        <w:t>(01 octobre 2016)</w:t>
      </w:r>
    </w:p>
    <w:p w:rsidR="00473E53" w:rsidRPr="00360378" w:rsidRDefault="00473E53" w:rsidP="000373F0">
      <w:pPr>
        <w:numPr>
          <w:ilvl w:val="0"/>
          <w:numId w:val="2"/>
        </w:numPr>
        <w:tabs>
          <w:tab w:val="left" w:pos="284"/>
        </w:tabs>
        <w:spacing w:after="120"/>
        <w:ind w:left="357" w:hanging="357"/>
        <w:jc w:val="both"/>
        <w:rPr>
          <w:rFonts w:ascii="Verdana" w:hAnsi="Verdana" w:cs="Arial"/>
          <w:b/>
          <w:sz w:val="18"/>
          <w:szCs w:val="18"/>
        </w:rPr>
      </w:pPr>
      <w:r w:rsidRPr="00360378">
        <w:rPr>
          <w:rFonts w:ascii="Verdana" w:hAnsi="Verdana" w:cs="Arial"/>
          <w:b/>
          <w:sz w:val="18"/>
          <w:szCs w:val="18"/>
        </w:rPr>
        <w:t>MICHELIN Pilot Sport4 S, premier sur toute la ligne  (01 octobre 2016)</w:t>
      </w:r>
    </w:p>
    <w:p w:rsidR="00A00D1E" w:rsidRPr="00A00D1E" w:rsidRDefault="00A00D1E" w:rsidP="00A00D1E">
      <w:pPr>
        <w:numPr>
          <w:ilvl w:val="0"/>
          <w:numId w:val="2"/>
        </w:numPr>
        <w:tabs>
          <w:tab w:val="left" w:pos="284"/>
        </w:tabs>
        <w:spacing w:after="120"/>
        <w:jc w:val="both"/>
        <w:rPr>
          <w:rFonts w:ascii="Verdana" w:hAnsi="Verdana" w:cs="Arial"/>
          <w:b/>
          <w:sz w:val="18"/>
          <w:szCs w:val="18"/>
        </w:rPr>
      </w:pPr>
      <w:r>
        <w:rPr>
          <w:rFonts w:ascii="Verdana" w:hAnsi="Verdana" w:cs="Arial"/>
          <w:b/>
          <w:sz w:val="18"/>
          <w:szCs w:val="18"/>
        </w:rPr>
        <w:t>Salon de Hanovre : Michelin présente l</w:t>
      </w:r>
      <w:r w:rsidRPr="00A00D1E">
        <w:rPr>
          <w:rFonts w:ascii="Verdana" w:hAnsi="Verdana" w:cs="Arial"/>
          <w:b/>
          <w:sz w:val="18"/>
          <w:szCs w:val="18"/>
        </w:rPr>
        <w:t>’ensemble MICHELIN X® LINE</w:t>
      </w:r>
      <w:r w:rsidRPr="0091627B">
        <w:rPr>
          <w:rFonts w:ascii="Verdana" w:hAnsi="Verdana" w:cs="Arial"/>
          <w:b/>
          <w:sz w:val="18"/>
          <w:szCs w:val="18"/>
          <w:vertAlign w:val="superscript"/>
        </w:rPr>
        <w:t>TM</w:t>
      </w:r>
      <w:r w:rsidRPr="00A00D1E">
        <w:rPr>
          <w:rFonts w:ascii="Verdana" w:hAnsi="Verdana" w:cs="Arial"/>
          <w:b/>
          <w:sz w:val="18"/>
          <w:szCs w:val="18"/>
        </w:rPr>
        <w:t xml:space="preserve"> </w:t>
      </w:r>
      <w:proofErr w:type="spellStart"/>
      <w:r w:rsidRPr="00A00D1E">
        <w:rPr>
          <w:rFonts w:ascii="Verdana" w:hAnsi="Verdana" w:cs="Arial"/>
          <w:b/>
          <w:sz w:val="18"/>
          <w:szCs w:val="18"/>
        </w:rPr>
        <w:t>Energy</w:t>
      </w:r>
      <w:r w:rsidRPr="0091627B">
        <w:rPr>
          <w:rFonts w:ascii="Verdana" w:hAnsi="Verdana" w:cs="Arial"/>
          <w:b/>
          <w:sz w:val="18"/>
          <w:szCs w:val="18"/>
          <w:vertAlign w:val="superscript"/>
        </w:rPr>
        <w:t>TM</w:t>
      </w:r>
      <w:proofErr w:type="spellEnd"/>
      <w:r>
        <w:rPr>
          <w:rFonts w:ascii="Verdana" w:hAnsi="Verdana" w:cs="Arial"/>
          <w:b/>
          <w:sz w:val="18"/>
          <w:szCs w:val="18"/>
        </w:rPr>
        <w:t>, p</w:t>
      </w:r>
      <w:r w:rsidRPr="00A00D1E">
        <w:rPr>
          <w:rFonts w:ascii="Verdana" w:hAnsi="Verdana" w:cs="Arial"/>
          <w:b/>
          <w:sz w:val="18"/>
          <w:szCs w:val="18"/>
        </w:rPr>
        <w:t>remier ensemble de pneus poids lourds AAA</w:t>
      </w:r>
      <w:r>
        <w:rPr>
          <w:rFonts w:ascii="Verdana" w:hAnsi="Verdana" w:cs="Arial"/>
          <w:b/>
          <w:sz w:val="18"/>
          <w:szCs w:val="18"/>
        </w:rPr>
        <w:t xml:space="preserve"> </w:t>
      </w:r>
      <w:r w:rsidRPr="00A00D1E">
        <w:rPr>
          <w:rFonts w:ascii="Verdana" w:hAnsi="Verdana" w:cs="Arial"/>
          <w:b/>
          <w:sz w:val="18"/>
          <w:szCs w:val="18"/>
        </w:rPr>
        <w:t>du marché en résistance au roulement</w:t>
      </w:r>
      <w:r>
        <w:rPr>
          <w:rFonts w:ascii="Verdana" w:hAnsi="Verdana" w:cs="Arial"/>
          <w:b/>
          <w:sz w:val="18"/>
          <w:szCs w:val="18"/>
        </w:rPr>
        <w:t xml:space="preserve">  (novembre 2016)</w:t>
      </w:r>
    </w:p>
    <w:p w:rsidR="00F62D55" w:rsidRPr="000373F0" w:rsidRDefault="00F62D55" w:rsidP="000373F0">
      <w:pPr>
        <w:numPr>
          <w:ilvl w:val="0"/>
          <w:numId w:val="2"/>
        </w:numPr>
        <w:tabs>
          <w:tab w:val="left" w:pos="284"/>
        </w:tabs>
        <w:spacing w:after="120"/>
        <w:ind w:left="357" w:hanging="357"/>
        <w:jc w:val="both"/>
        <w:rPr>
          <w:rFonts w:ascii="Verdana" w:hAnsi="Verdana" w:cs="Arial"/>
          <w:b/>
          <w:sz w:val="18"/>
          <w:szCs w:val="18"/>
        </w:rPr>
      </w:pPr>
      <w:r w:rsidRPr="000373F0">
        <w:rPr>
          <w:rFonts w:ascii="Verdana" w:hAnsi="Verdana" w:cs="Arial"/>
          <w:b/>
          <w:sz w:val="18"/>
          <w:szCs w:val="18"/>
        </w:rPr>
        <w:t>Rachat d’action</w:t>
      </w:r>
      <w:r w:rsidR="001861F9">
        <w:rPr>
          <w:rFonts w:ascii="Verdana" w:hAnsi="Verdana" w:cs="Arial"/>
          <w:b/>
          <w:sz w:val="18"/>
          <w:szCs w:val="18"/>
        </w:rPr>
        <w:t>s</w:t>
      </w:r>
      <w:r w:rsidRPr="000373F0">
        <w:rPr>
          <w:rFonts w:ascii="Verdana" w:hAnsi="Verdana" w:cs="Arial"/>
          <w:b/>
          <w:sz w:val="18"/>
          <w:szCs w:val="18"/>
        </w:rPr>
        <w:t xml:space="preserve"> Michelin et réduction du capital  (15 décembre 2016)</w:t>
      </w:r>
    </w:p>
    <w:p w:rsidR="00F62D55" w:rsidRPr="000373F0" w:rsidRDefault="00F62D55" w:rsidP="00ED48D8">
      <w:pPr>
        <w:numPr>
          <w:ilvl w:val="0"/>
          <w:numId w:val="2"/>
        </w:numPr>
        <w:tabs>
          <w:tab w:val="left" w:pos="284"/>
        </w:tabs>
        <w:spacing w:after="120"/>
        <w:jc w:val="both"/>
        <w:rPr>
          <w:rFonts w:ascii="Verdana" w:hAnsi="Verdana" w:cs="Arial"/>
          <w:b/>
          <w:sz w:val="18"/>
          <w:szCs w:val="18"/>
        </w:rPr>
      </w:pPr>
      <w:r w:rsidRPr="000373F0">
        <w:rPr>
          <w:rFonts w:ascii="Verdana" w:hAnsi="Verdana" w:cs="Arial"/>
          <w:b/>
          <w:sz w:val="18"/>
          <w:szCs w:val="18"/>
        </w:rPr>
        <w:t>Acquisition de Restaurantes.com</w:t>
      </w:r>
      <w:r w:rsidR="00ED48D8">
        <w:rPr>
          <w:rFonts w:ascii="Verdana" w:hAnsi="Verdana" w:cs="Arial"/>
          <w:b/>
          <w:sz w:val="18"/>
          <w:szCs w:val="18"/>
        </w:rPr>
        <w:t xml:space="preserve">, </w:t>
      </w:r>
      <w:r w:rsidR="00ED48D8" w:rsidRPr="00ED48D8">
        <w:rPr>
          <w:rFonts w:ascii="Verdana" w:hAnsi="Verdana" w:cs="Arial"/>
          <w:b/>
          <w:sz w:val="18"/>
          <w:szCs w:val="18"/>
        </w:rPr>
        <w:t>leader en Espagne sur le marché de la réservation en ligne de restaurants</w:t>
      </w:r>
      <w:r w:rsidRPr="000373F0">
        <w:rPr>
          <w:rFonts w:ascii="Verdana" w:hAnsi="Verdana" w:cs="Arial"/>
          <w:b/>
          <w:sz w:val="18"/>
          <w:szCs w:val="18"/>
        </w:rPr>
        <w:t xml:space="preserve"> (20 décembre 2016)</w:t>
      </w:r>
    </w:p>
    <w:p w:rsidR="00F62D55" w:rsidRPr="000373F0" w:rsidRDefault="00F62D55" w:rsidP="000373F0">
      <w:pPr>
        <w:numPr>
          <w:ilvl w:val="0"/>
          <w:numId w:val="2"/>
        </w:numPr>
        <w:tabs>
          <w:tab w:val="left" w:pos="284"/>
        </w:tabs>
        <w:spacing w:after="120"/>
        <w:ind w:left="357" w:hanging="357"/>
        <w:jc w:val="both"/>
        <w:rPr>
          <w:rFonts w:ascii="Verdana" w:hAnsi="Verdana" w:cs="Arial"/>
          <w:b/>
          <w:sz w:val="18"/>
          <w:szCs w:val="18"/>
        </w:rPr>
      </w:pPr>
      <w:r w:rsidRPr="000373F0">
        <w:rPr>
          <w:rFonts w:ascii="Verdana" w:hAnsi="Verdana" w:cs="Arial"/>
          <w:b/>
          <w:sz w:val="18"/>
          <w:szCs w:val="18"/>
        </w:rPr>
        <w:t>Succès de l'émission obligataire convertible non-dilutive par Michelin  (5 janvier 2017)</w:t>
      </w:r>
    </w:p>
    <w:p w:rsidR="00473E53" w:rsidRPr="000373F0" w:rsidRDefault="00473E53" w:rsidP="000373F0">
      <w:pPr>
        <w:numPr>
          <w:ilvl w:val="0"/>
          <w:numId w:val="2"/>
        </w:numPr>
        <w:tabs>
          <w:tab w:val="left" w:pos="284"/>
        </w:tabs>
        <w:spacing w:after="120"/>
        <w:ind w:left="357" w:hanging="357"/>
        <w:jc w:val="both"/>
        <w:rPr>
          <w:rFonts w:ascii="Verdana" w:hAnsi="Verdana" w:cs="Arial"/>
          <w:b/>
          <w:sz w:val="18"/>
          <w:szCs w:val="18"/>
        </w:rPr>
      </w:pPr>
      <w:r w:rsidRPr="000373F0">
        <w:rPr>
          <w:rFonts w:ascii="Verdana" w:hAnsi="Verdana" w:cs="Arial"/>
          <w:b/>
          <w:sz w:val="18"/>
          <w:szCs w:val="18"/>
        </w:rPr>
        <w:t xml:space="preserve">Michelin </w:t>
      </w:r>
      <w:proofErr w:type="spellStart"/>
      <w:r w:rsidRPr="000373F0">
        <w:rPr>
          <w:rFonts w:ascii="Verdana" w:hAnsi="Verdana" w:cs="Arial"/>
          <w:b/>
          <w:sz w:val="18"/>
          <w:szCs w:val="18"/>
        </w:rPr>
        <w:t>North</w:t>
      </w:r>
      <w:proofErr w:type="spellEnd"/>
      <w:r w:rsidRPr="000373F0">
        <w:rPr>
          <w:rFonts w:ascii="Verdana" w:hAnsi="Verdana" w:cs="Arial"/>
          <w:b/>
          <w:sz w:val="18"/>
          <w:szCs w:val="18"/>
        </w:rPr>
        <w:t xml:space="preserve"> </w:t>
      </w:r>
      <w:proofErr w:type="spellStart"/>
      <w:r w:rsidRPr="000373F0">
        <w:rPr>
          <w:rFonts w:ascii="Verdana" w:hAnsi="Verdana" w:cs="Arial"/>
          <w:b/>
          <w:sz w:val="18"/>
          <w:szCs w:val="18"/>
        </w:rPr>
        <w:t>America</w:t>
      </w:r>
      <w:proofErr w:type="spellEnd"/>
      <w:r w:rsidR="00575904" w:rsidRPr="000373F0">
        <w:rPr>
          <w:rFonts w:ascii="Verdana" w:hAnsi="Verdana" w:cs="Arial"/>
          <w:b/>
          <w:sz w:val="18"/>
          <w:szCs w:val="18"/>
        </w:rPr>
        <w:t xml:space="preserve"> a</w:t>
      </w:r>
      <w:r w:rsidRPr="000373F0">
        <w:rPr>
          <w:rFonts w:ascii="Verdana" w:hAnsi="Verdana" w:cs="Arial"/>
          <w:b/>
          <w:sz w:val="18"/>
          <w:szCs w:val="18"/>
        </w:rPr>
        <w:t>nnonce</w:t>
      </w:r>
      <w:r w:rsidR="00575904" w:rsidRPr="000373F0">
        <w:rPr>
          <w:rFonts w:ascii="Verdana" w:hAnsi="Verdana" w:cs="Arial"/>
          <w:b/>
          <w:sz w:val="18"/>
          <w:szCs w:val="18"/>
        </w:rPr>
        <w:t xml:space="preserve"> une </w:t>
      </w:r>
      <w:r w:rsidR="000373F0">
        <w:rPr>
          <w:rFonts w:ascii="Verdana" w:hAnsi="Verdana" w:cs="Arial"/>
          <w:b/>
          <w:sz w:val="18"/>
          <w:szCs w:val="18"/>
        </w:rPr>
        <w:t>augmentation générale</w:t>
      </w:r>
      <w:r w:rsidR="000373F0" w:rsidRPr="000373F0">
        <w:rPr>
          <w:rFonts w:ascii="Verdana" w:hAnsi="Verdana" w:cs="Arial"/>
          <w:b/>
          <w:sz w:val="18"/>
          <w:szCs w:val="18"/>
        </w:rPr>
        <w:t xml:space="preserve"> de ses prix</w:t>
      </w:r>
      <w:r w:rsidR="00D73D85" w:rsidRPr="000373F0">
        <w:rPr>
          <w:rFonts w:ascii="Verdana" w:hAnsi="Verdana" w:cs="Arial"/>
          <w:b/>
          <w:sz w:val="18"/>
          <w:szCs w:val="18"/>
        </w:rPr>
        <w:t xml:space="preserve"> </w:t>
      </w:r>
      <w:r w:rsidRPr="000373F0">
        <w:rPr>
          <w:rFonts w:ascii="Verdana" w:hAnsi="Verdana" w:cs="Arial"/>
          <w:b/>
          <w:sz w:val="18"/>
          <w:szCs w:val="18"/>
        </w:rPr>
        <w:t xml:space="preserve"> (31 janvier 2017)</w:t>
      </w:r>
    </w:p>
    <w:p w:rsidR="000373F0" w:rsidRDefault="000373F0" w:rsidP="000373F0">
      <w:pPr>
        <w:numPr>
          <w:ilvl w:val="0"/>
          <w:numId w:val="2"/>
        </w:numPr>
        <w:tabs>
          <w:tab w:val="left" w:pos="284"/>
        </w:tabs>
        <w:spacing w:after="120"/>
        <w:ind w:left="357" w:hanging="357"/>
        <w:jc w:val="both"/>
        <w:rPr>
          <w:rFonts w:ascii="Verdana" w:hAnsi="Verdana" w:cs="Arial"/>
          <w:b/>
          <w:sz w:val="18"/>
          <w:szCs w:val="18"/>
        </w:rPr>
      </w:pPr>
      <w:r w:rsidRPr="000373F0">
        <w:rPr>
          <w:rFonts w:ascii="Verdana" w:hAnsi="Verdana" w:cs="Arial"/>
          <w:b/>
          <w:sz w:val="18"/>
          <w:szCs w:val="18"/>
        </w:rPr>
        <w:t xml:space="preserve">Le groupe Michelin relève les prix de ses pneumatiques </w:t>
      </w:r>
      <w:r>
        <w:rPr>
          <w:rFonts w:ascii="Verdana" w:hAnsi="Verdana" w:cs="Arial"/>
          <w:b/>
          <w:sz w:val="18"/>
          <w:szCs w:val="18"/>
        </w:rPr>
        <w:t xml:space="preserve">en Europe </w:t>
      </w:r>
      <w:r w:rsidRPr="000373F0">
        <w:rPr>
          <w:rFonts w:ascii="Verdana" w:hAnsi="Verdana" w:cs="Arial"/>
          <w:b/>
          <w:sz w:val="18"/>
          <w:szCs w:val="18"/>
        </w:rPr>
        <w:t>afin de répercuter l’augmentation des coûts des matières premières</w:t>
      </w:r>
      <w:r>
        <w:rPr>
          <w:rFonts w:ascii="Verdana" w:hAnsi="Verdana" w:cs="Arial"/>
          <w:b/>
          <w:sz w:val="18"/>
          <w:szCs w:val="18"/>
        </w:rPr>
        <w:t xml:space="preserve">  (3 février 2017)</w:t>
      </w:r>
    </w:p>
    <w:p w:rsidR="00473E53" w:rsidRDefault="00473E53" w:rsidP="007970E1">
      <w:pPr>
        <w:jc w:val="center"/>
        <w:rPr>
          <w:rFonts w:ascii="Verdana" w:hAnsi="Verdana" w:cs="Arial"/>
        </w:rPr>
      </w:pPr>
    </w:p>
    <w:p w:rsidR="000373F0" w:rsidRPr="000373F0" w:rsidRDefault="000373F0" w:rsidP="007970E1">
      <w:pPr>
        <w:jc w:val="center"/>
        <w:rPr>
          <w:rFonts w:ascii="Verdana" w:hAnsi="Verdana" w:cs="Arial"/>
        </w:rPr>
      </w:pPr>
    </w:p>
    <w:p w:rsidR="007970E1" w:rsidRPr="000373F0" w:rsidRDefault="007970E1" w:rsidP="007970E1">
      <w:pPr>
        <w:jc w:val="center"/>
        <w:rPr>
          <w:rFonts w:ascii="Verdana" w:hAnsi="Verdana" w:cs="Arial"/>
          <w:sz w:val="2"/>
        </w:rPr>
      </w:pPr>
    </w:p>
    <w:p w:rsidR="007970E1" w:rsidRPr="00BE16D2" w:rsidRDefault="007970E1" w:rsidP="007970E1">
      <w:pPr>
        <w:keepNext/>
        <w:pBdr>
          <w:top w:val="single" w:sz="4" w:space="1" w:color="auto"/>
          <w:left w:val="single" w:sz="4" w:space="4" w:color="auto"/>
          <w:bottom w:val="single" w:sz="4" w:space="1" w:color="auto"/>
          <w:right w:val="single" w:sz="4" w:space="4" w:color="auto"/>
        </w:pBdr>
        <w:jc w:val="center"/>
        <w:rPr>
          <w:rFonts w:ascii="Verdana" w:hAnsi="Verdana" w:cs="Arial"/>
          <w:sz w:val="16"/>
          <w:szCs w:val="18"/>
        </w:rPr>
      </w:pPr>
      <w:r w:rsidRPr="00BE16D2">
        <w:rPr>
          <w:rFonts w:ascii="Verdana" w:hAnsi="Verdana" w:cs="Arial"/>
          <w:sz w:val="16"/>
          <w:szCs w:val="18"/>
        </w:rPr>
        <w:t>La liste complète des Faits marquants d</w:t>
      </w:r>
      <w:r w:rsidR="00DA3B3D" w:rsidRPr="00BE16D2">
        <w:rPr>
          <w:rFonts w:ascii="Verdana" w:hAnsi="Verdana" w:cs="Arial"/>
          <w:sz w:val="16"/>
          <w:szCs w:val="18"/>
        </w:rPr>
        <w:t>e l’année</w:t>
      </w:r>
      <w:r w:rsidRPr="00BE16D2">
        <w:rPr>
          <w:rFonts w:ascii="Verdana" w:hAnsi="Verdana" w:cs="Arial"/>
          <w:sz w:val="16"/>
          <w:szCs w:val="18"/>
        </w:rPr>
        <w:t xml:space="preserve"> </w:t>
      </w:r>
      <w:r w:rsidR="00EB75CE">
        <w:rPr>
          <w:rFonts w:ascii="Verdana" w:hAnsi="Verdana" w:cs="Arial"/>
          <w:sz w:val="16"/>
          <w:szCs w:val="18"/>
        </w:rPr>
        <w:t>2016</w:t>
      </w:r>
    </w:p>
    <w:p w:rsidR="007970E1" w:rsidRPr="00BE16D2" w:rsidRDefault="007970E1" w:rsidP="007970E1">
      <w:pPr>
        <w:keepNext/>
        <w:pBdr>
          <w:top w:val="single" w:sz="4" w:space="1" w:color="auto"/>
          <w:left w:val="single" w:sz="4" w:space="4" w:color="auto"/>
          <w:bottom w:val="single" w:sz="4" w:space="1" w:color="auto"/>
          <w:right w:val="single" w:sz="4" w:space="4" w:color="auto"/>
        </w:pBdr>
        <w:jc w:val="center"/>
        <w:rPr>
          <w:rFonts w:ascii="Verdana" w:hAnsi="Verdana" w:cs="Arial"/>
          <w:sz w:val="16"/>
          <w:szCs w:val="18"/>
          <w:u w:val="single"/>
        </w:rPr>
      </w:pPr>
      <w:proofErr w:type="gramStart"/>
      <w:r w:rsidRPr="00BE16D2">
        <w:rPr>
          <w:rFonts w:ascii="Verdana" w:hAnsi="Verdana" w:cs="Arial"/>
          <w:sz w:val="16"/>
          <w:szCs w:val="18"/>
        </w:rPr>
        <w:t>est</w:t>
      </w:r>
      <w:proofErr w:type="gramEnd"/>
      <w:r w:rsidRPr="00BE16D2">
        <w:rPr>
          <w:rFonts w:ascii="Verdana" w:hAnsi="Verdana" w:cs="Arial"/>
          <w:sz w:val="16"/>
          <w:szCs w:val="18"/>
        </w:rPr>
        <w:t xml:space="preserve"> disponible sur le site Internet du Groupe : </w:t>
      </w:r>
      <w:hyperlink r:id="rId9" w:history="1">
        <w:r w:rsidRPr="00BE16D2">
          <w:rPr>
            <w:rFonts w:ascii="Verdana" w:hAnsi="Verdana"/>
            <w:color w:val="0000FF"/>
            <w:sz w:val="16"/>
            <w:szCs w:val="18"/>
            <w:u w:val="single"/>
          </w:rPr>
          <w:t>http://</w:t>
        </w:r>
      </w:hyperlink>
      <w:hyperlink r:id="rId10" w:history="1">
        <w:r w:rsidRPr="00BE16D2">
          <w:rPr>
            <w:rFonts w:ascii="Verdana" w:hAnsi="Verdana"/>
            <w:color w:val="0000FF"/>
            <w:sz w:val="16"/>
            <w:szCs w:val="18"/>
            <w:u w:val="single"/>
          </w:rPr>
          <w:t>www.michelin.com/fre</w:t>
        </w:r>
      </w:hyperlink>
    </w:p>
    <w:p w:rsidR="007970E1" w:rsidRPr="007970E1" w:rsidRDefault="007970E1" w:rsidP="007970E1">
      <w:pPr>
        <w:keepNext/>
        <w:pBdr>
          <w:top w:val="single" w:sz="4" w:space="1" w:color="auto"/>
          <w:left w:val="single" w:sz="4" w:space="4" w:color="auto"/>
          <w:bottom w:val="single" w:sz="4" w:space="1" w:color="auto"/>
          <w:right w:val="single" w:sz="4" w:space="4" w:color="auto"/>
        </w:pBdr>
        <w:jc w:val="center"/>
        <w:rPr>
          <w:rFonts w:ascii="Verdana" w:hAnsi="Verdana" w:cs="Arial"/>
          <w:sz w:val="18"/>
          <w:szCs w:val="18"/>
          <w:u w:val="single"/>
        </w:rPr>
      </w:pPr>
    </w:p>
    <w:p w:rsidR="007970E1" w:rsidRPr="007970E1" w:rsidRDefault="007970E1" w:rsidP="007970E1">
      <w:pPr>
        <w:tabs>
          <w:tab w:val="left" w:pos="360"/>
        </w:tabs>
        <w:jc w:val="both"/>
        <w:rPr>
          <w:rFonts w:ascii="Verdana" w:hAnsi="Verdana" w:cs="Arial"/>
          <w:b/>
          <w:bCs/>
          <w:smallCaps/>
          <w:sz w:val="18"/>
          <w:szCs w:val="18"/>
        </w:rPr>
      </w:pPr>
      <w:r w:rsidRPr="007970E1">
        <w:br w:type="page"/>
      </w:r>
    </w:p>
    <w:p w:rsidR="007970E1" w:rsidRPr="007970E1" w:rsidRDefault="00FC39ED" w:rsidP="007970E1">
      <w:pPr>
        <w:tabs>
          <w:tab w:val="left" w:pos="360"/>
        </w:tabs>
        <w:jc w:val="both"/>
        <w:rPr>
          <w:rFonts w:ascii="Verdana" w:hAnsi="Verdana" w:cs="Arial"/>
          <w:b/>
          <w:bCs/>
          <w:smallCaps/>
          <w:sz w:val="18"/>
          <w:szCs w:val="18"/>
        </w:rPr>
      </w:pPr>
      <w:r w:rsidRPr="007970E1">
        <w:rPr>
          <w:rFonts w:ascii="Verdana" w:hAnsi="Verdana" w:cs="Arial"/>
          <w:b/>
          <w:bCs/>
          <w:smallCaps/>
          <w:sz w:val="18"/>
          <w:szCs w:val="18"/>
        </w:rPr>
        <w:lastRenderedPageBreak/>
        <w:t>Présentation</w:t>
      </w:r>
      <w:r w:rsidR="007970E1" w:rsidRPr="007970E1">
        <w:rPr>
          <w:rFonts w:ascii="Verdana" w:hAnsi="Verdana" w:cs="Arial"/>
          <w:b/>
          <w:bCs/>
          <w:smallCaps/>
          <w:sz w:val="18"/>
          <w:szCs w:val="18"/>
        </w:rPr>
        <w:t xml:space="preserve"> et </w:t>
      </w:r>
      <w:proofErr w:type="spellStart"/>
      <w:r w:rsidR="007970E1" w:rsidRPr="007970E1">
        <w:rPr>
          <w:rFonts w:ascii="Verdana" w:hAnsi="Verdana" w:cs="Arial"/>
          <w:b/>
          <w:bCs/>
          <w:smallCaps/>
          <w:sz w:val="18"/>
          <w:szCs w:val="18"/>
        </w:rPr>
        <w:t>Conference</w:t>
      </w:r>
      <w:proofErr w:type="spellEnd"/>
      <w:r w:rsidR="007970E1" w:rsidRPr="007970E1">
        <w:rPr>
          <w:rFonts w:ascii="Verdana" w:hAnsi="Verdana" w:cs="Arial"/>
          <w:b/>
          <w:bCs/>
          <w:smallCaps/>
          <w:sz w:val="18"/>
          <w:szCs w:val="18"/>
        </w:rPr>
        <w:t xml:space="preserve"> call</w:t>
      </w:r>
    </w:p>
    <w:p w:rsidR="007970E1" w:rsidRPr="007970E1" w:rsidRDefault="007970E1" w:rsidP="007970E1">
      <w:pPr>
        <w:autoSpaceDE w:val="0"/>
        <w:autoSpaceDN w:val="0"/>
        <w:adjustRightInd w:val="0"/>
        <w:jc w:val="both"/>
        <w:rPr>
          <w:rFonts w:ascii="Verdana" w:hAnsi="Verdana" w:cs="Arial"/>
          <w:sz w:val="18"/>
        </w:rPr>
      </w:pPr>
      <w:r w:rsidRPr="007970E1">
        <w:rPr>
          <w:rFonts w:ascii="Verdana" w:hAnsi="Verdana" w:cs="Arial"/>
          <w:sz w:val="18"/>
        </w:rPr>
        <w:t xml:space="preserve">Les résultats au 31 décembre </w:t>
      </w:r>
      <w:r w:rsidR="00EB75CE">
        <w:rPr>
          <w:rFonts w:ascii="Verdana" w:hAnsi="Verdana" w:cs="Arial"/>
          <w:sz w:val="18"/>
        </w:rPr>
        <w:t>2016</w:t>
      </w:r>
      <w:r w:rsidRPr="007970E1">
        <w:rPr>
          <w:rFonts w:ascii="Verdana" w:hAnsi="Verdana" w:cs="Arial"/>
          <w:sz w:val="18"/>
        </w:rPr>
        <w:t xml:space="preserve"> seront commentés aux analystes et investisseurs lors d’une présentation en anglais, simultanément traduite en français ce jour (mardi 1</w:t>
      </w:r>
      <w:r w:rsidR="00DB51F6">
        <w:rPr>
          <w:rFonts w:ascii="Verdana" w:hAnsi="Verdana" w:cs="Arial"/>
          <w:sz w:val="18"/>
        </w:rPr>
        <w:t>4</w:t>
      </w:r>
      <w:r w:rsidRPr="007970E1">
        <w:rPr>
          <w:rFonts w:ascii="Verdana" w:hAnsi="Verdana" w:cs="Arial"/>
          <w:sz w:val="18"/>
        </w:rPr>
        <w:t xml:space="preserve"> février </w:t>
      </w:r>
      <w:r w:rsidR="00EB75CE">
        <w:rPr>
          <w:rFonts w:ascii="Verdana" w:hAnsi="Verdana" w:cs="Arial"/>
          <w:sz w:val="18"/>
        </w:rPr>
        <w:t>2017</w:t>
      </w:r>
      <w:r w:rsidRPr="007970E1">
        <w:rPr>
          <w:rFonts w:ascii="Verdana" w:hAnsi="Verdana" w:cs="Arial"/>
          <w:sz w:val="18"/>
        </w:rPr>
        <w:t xml:space="preserve">) à 11h, heure de Paris. </w:t>
      </w:r>
    </w:p>
    <w:p w:rsidR="007970E1" w:rsidRPr="007970E1" w:rsidRDefault="007970E1" w:rsidP="007970E1">
      <w:pPr>
        <w:autoSpaceDE w:val="0"/>
        <w:autoSpaceDN w:val="0"/>
        <w:adjustRightInd w:val="0"/>
        <w:jc w:val="both"/>
        <w:rPr>
          <w:rFonts w:ascii="Verdana" w:hAnsi="Verdana" w:cs="Arial"/>
          <w:sz w:val="18"/>
        </w:rPr>
      </w:pPr>
    </w:p>
    <w:p w:rsidR="007970E1" w:rsidRPr="007970E1" w:rsidRDefault="007970E1" w:rsidP="007970E1">
      <w:pPr>
        <w:autoSpaceDE w:val="0"/>
        <w:autoSpaceDN w:val="0"/>
        <w:adjustRightInd w:val="0"/>
        <w:jc w:val="both"/>
        <w:rPr>
          <w:rFonts w:ascii="Verdana" w:hAnsi="Verdana" w:cs="Arial"/>
          <w:b/>
        </w:rPr>
      </w:pPr>
      <w:proofErr w:type="spellStart"/>
      <w:r w:rsidRPr="007970E1">
        <w:rPr>
          <w:rFonts w:ascii="Verdana" w:hAnsi="Verdana" w:cs="Arial"/>
          <w:b/>
        </w:rPr>
        <w:t>Webcast</w:t>
      </w:r>
      <w:proofErr w:type="spellEnd"/>
    </w:p>
    <w:p w:rsidR="007970E1" w:rsidRPr="007970E1" w:rsidRDefault="007970E1" w:rsidP="007970E1">
      <w:pPr>
        <w:autoSpaceDE w:val="0"/>
        <w:autoSpaceDN w:val="0"/>
        <w:adjustRightInd w:val="0"/>
        <w:jc w:val="both"/>
        <w:rPr>
          <w:rFonts w:ascii="Verdana" w:hAnsi="Verdana" w:cs="Arial"/>
        </w:rPr>
      </w:pPr>
      <w:r w:rsidRPr="007970E1">
        <w:rPr>
          <w:rFonts w:ascii="Verdana" w:hAnsi="Verdana" w:cs="Arial"/>
        </w:rPr>
        <w:t xml:space="preserve">La présentation sera diffusée en direct sur le site internet : </w:t>
      </w:r>
      <w:hyperlink r:id="rId11" w:history="1">
        <w:r w:rsidRPr="007970E1">
          <w:rPr>
            <w:rFonts w:ascii="Verdana" w:hAnsi="Verdana"/>
            <w:color w:val="0000FF"/>
            <w:u w:val="single"/>
          </w:rPr>
          <w:t>www.michelin.com/fre</w:t>
        </w:r>
      </w:hyperlink>
    </w:p>
    <w:p w:rsidR="007970E1" w:rsidRPr="007970E1" w:rsidRDefault="007970E1" w:rsidP="007970E1">
      <w:pPr>
        <w:autoSpaceDE w:val="0"/>
        <w:autoSpaceDN w:val="0"/>
        <w:adjustRightInd w:val="0"/>
        <w:jc w:val="both"/>
        <w:rPr>
          <w:rFonts w:ascii="Verdana" w:hAnsi="Verdana" w:cs="Arial"/>
          <w:sz w:val="18"/>
        </w:rPr>
      </w:pPr>
    </w:p>
    <w:p w:rsidR="007970E1" w:rsidRPr="007970E1" w:rsidRDefault="007970E1" w:rsidP="007970E1">
      <w:pPr>
        <w:autoSpaceDE w:val="0"/>
        <w:autoSpaceDN w:val="0"/>
        <w:adjustRightInd w:val="0"/>
        <w:jc w:val="both"/>
        <w:rPr>
          <w:rFonts w:ascii="Verdana" w:hAnsi="Verdana" w:cs="Arial"/>
          <w:sz w:val="16"/>
        </w:rPr>
      </w:pPr>
      <w:r w:rsidRPr="007970E1">
        <w:rPr>
          <w:rFonts w:ascii="Verdana" w:hAnsi="Verdana" w:cs="Arial"/>
          <w:sz w:val="16"/>
        </w:rPr>
        <w:t>Conférence téléphonique</w:t>
      </w:r>
    </w:p>
    <w:p w:rsidR="007970E1" w:rsidRPr="007970E1" w:rsidRDefault="007970E1" w:rsidP="007970E1">
      <w:pPr>
        <w:autoSpaceDE w:val="0"/>
        <w:autoSpaceDN w:val="0"/>
        <w:adjustRightInd w:val="0"/>
        <w:jc w:val="both"/>
        <w:rPr>
          <w:rFonts w:ascii="Verdana" w:hAnsi="Verdana" w:cs="Arial"/>
          <w:sz w:val="16"/>
        </w:rPr>
      </w:pPr>
      <w:r w:rsidRPr="007970E1">
        <w:rPr>
          <w:rFonts w:ascii="Verdana" w:hAnsi="Verdana" w:cs="Arial"/>
          <w:sz w:val="16"/>
        </w:rPr>
        <w:t>Veuillez composer à partir de 10h50 l’un des numéros suivants :</w:t>
      </w:r>
    </w:p>
    <w:p w:rsidR="007970E1" w:rsidRPr="00B07616" w:rsidRDefault="007970E1" w:rsidP="00BF7F72">
      <w:pPr>
        <w:numPr>
          <w:ilvl w:val="0"/>
          <w:numId w:val="3"/>
        </w:numPr>
        <w:tabs>
          <w:tab w:val="left" w:pos="3828"/>
        </w:tabs>
        <w:autoSpaceDE w:val="0"/>
        <w:autoSpaceDN w:val="0"/>
        <w:adjustRightInd w:val="0"/>
        <w:jc w:val="both"/>
        <w:rPr>
          <w:rFonts w:ascii="Verdana" w:hAnsi="Verdana" w:cs="Arial"/>
          <w:sz w:val="16"/>
        </w:rPr>
      </w:pPr>
      <w:r w:rsidRPr="00B07616">
        <w:rPr>
          <w:rFonts w:ascii="Verdana" w:hAnsi="Verdana" w:cs="Arial"/>
          <w:sz w:val="16"/>
        </w:rPr>
        <w:t xml:space="preserve">Depuis la France </w:t>
      </w:r>
      <w:r w:rsidRPr="00B07616">
        <w:rPr>
          <w:rFonts w:ascii="Verdana" w:hAnsi="Verdana" w:cs="Arial"/>
          <w:sz w:val="16"/>
        </w:rPr>
        <w:tab/>
      </w:r>
      <w:r w:rsidRPr="00B07616">
        <w:rPr>
          <w:rFonts w:ascii="Verdana" w:hAnsi="Verdana" w:cs="Arial"/>
          <w:sz w:val="16"/>
        </w:rPr>
        <w:tab/>
        <w:t xml:space="preserve">01 70 77 09 </w:t>
      </w:r>
      <w:r w:rsidR="00BF7F72" w:rsidRPr="00B07616">
        <w:rPr>
          <w:rFonts w:ascii="Verdana" w:hAnsi="Verdana" w:cs="Arial"/>
          <w:sz w:val="16"/>
        </w:rPr>
        <w:t>21</w:t>
      </w:r>
      <w:r w:rsidRPr="00B07616" w:rsidDel="00A56752">
        <w:rPr>
          <w:rFonts w:ascii="Verdana" w:hAnsi="Verdana" w:cs="Arial"/>
          <w:sz w:val="16"/>
        </w:rPr>
        <w:t xml:space="preserve"> </w:t>
      </w:r>
      <w:r w:rsidRPr="00B07616">
        <w:rPr>
          <w:rFonts w:ascii="Verdana" w:hAnsi="Verdana" w:cs="Arial"/>
          <w:sz w:val="16"/>
        </w:rPr>
        <w:t>(en français)</w:t>
      </w:r>
      <w:r w:rsidR="00BF7F72" w:rsidRPr="00B07616">
        <w:t xml:space="preserve"> </w:t>
      </w:r>
    </w:p>
    <w:p w:rsidR="007970E1" w:rsidRPr="00B07616" w:rsidRDefault="007970E1" w:rsidP="00B07616">
      <w:pPr>
        <w:numPr>
          <w:ilvl w:val="0"/>
          <w:numId w:val="3"/>
        </w:numPr>
        <w:tabs>
          <w:tab w:val="left" w:pos="3828"/>
        </w:tabs>
        <w:autoSpaceDE w:val="0"/>
        <w:autoSpaceDN w:val="0"/>
        <w:adjustRightInd w:val="0"/>
        <w:jc w:val="both"/>
        <w:rPr>
          <w:rFonts w:ascii="Verdana" w:hAnsi="Verdana" w:cs="Arial"/>
          <w:sz w:val="16"/>
        </w:rPr>
      </w:pPr>
      <w:r w:rsidRPr="00B07616">
        <w:rPr>
          <w:rFonts w:ascii="Verdana" w:hAnsi="Verdana" w:cs="Arial"/>
          <w:sz w:val="16"/>
        </w:rPr>
        <w:t>Depuis la France</w:t>
      </w:r>
      <w:r w:rsidRPr="00B07616">
        <w:rPr>
          <w:rFonts w:ascii="Verdana" w:hAnsi="Verdana" w:cs="Arial"/>
          <w:sz w:val="16"/>
        </w:rPr>
        <w:tab/>
      </w:r>
      <w:r w:rsidRPr="00B07616">
        <w:rPr>
          <w:rFonts w:ascii="Verdana" w:hAnsi="Verdana" w:cs="Arial"/>
          <w:sz w:val="16"/>
        </w:rPr>
        <w:tab/>
        <w:t xml:space="preserve">01 </w:t>
      </w:r>
      <w:r w:rsidR="00B07616" w:rsidRPr="00B07616">
        <w:rPr>
          <w:rFonts w:ascii="Verdana" w:hAnsi="Verdana" w:cs="Arial"/>
          <w:sz w:val="16"/>
        </w:rPr>
        <w:t xml:space="preserve">70 77 09 37 </w:t>
      </w:r>
      <w:r w:rsidRPr="00B07616">
        <w:rPr>
          <w:rFonts w:ascii="Verdana" w:hAnsi="Verdana" w:cs="Arial"/>
          <w:sz w:val="16"/>
        </w:rPr>
        <w:t>(en anglais)</w:t>
      </w:r>
    </w:p>
    <w:p w:rsidR="007970E1" w:rsidRPr="00B07616" w:rsidRDefault="007970E1" w:rsidP="00B07616">
      <w:pPr>
        <w:numPr>
          <w:ilvl w:val="0"/>
          <w:numId w:val="3"/>
        </w:numPr>
        <w:tabs>
          <w:tab w:val="left" w:pos="3828"/>
        </w:tabs>
        <w:autoSpaceDE w:val="0"/>
        <w:autoSpaceDN w:val="0"/>
        <w:adjustRightInd w:val="0"/>
        <w:jc w:val="both"/>
        <w:rPr>
          <w:rFonts w:ascii="Verdana" w:hAnsi="Verdana" w:cs="Arial"/>
          <w:sz w:val="16"/>
        </w:rPr>
      </w:pPr>
      <w:r w:rsidRPr="00B07616">
        <w:rPr>
          <w:rFonts w:ascii="Verdana" w:hAnsi="Verdana" w:cs="Arial"/>
          <w:sz w:val="16"/>
        </w:rPr>
        <w:t xml:space="preserve">Depuis le Royaume-Uni </w:t>
      </w:r>
      <w:r w:rsidRPr="00B07616">
        <w:rPr>
          <w:rFonts w:ascii="Verdana" w:hAnsi="Verdana" w:cs="Arial"/>
          <w:sz w:val="16"/>
        </w:rPr>
        <w:tab/>
      </w:r>
      <w:r w:rsidRPr="00B07616">
        <w:rPr>
          <w:rFonts w:ascii="Verdana" w:hAnsi="Verdana" w:cs="Arial"/>
          <w:sz w:val="16"/>
        </w:rPr>
        <w:tab/>
        <w:t>(0) 20</w:t>
      </w:r>
      <w:r w:rsidR="00B07616" w:rsidRPr="00B07616">
        <w:rPr>
          <w:rFonts w:ascii="Verdana" w:hAnsi="Verdana" w:cs="Arial"/>
          <w:sz w:val="16"/>
        </w:rPr>
        <w:t>7</w:t>
      </w:r>
      <w:r w:rsidRPr="00B07616">
        <w:rPr>
          <w:rFonts w:ascii="Verdana" w:hAnsi="Verdana" w:cs="Arial"/>
          <w:sz w:val="16"/>
        </w:rPr>
        <w:t xml:space="preserve"> </w:t>
      </w:r>
      <w:r w:rsidR="00B07616" w:rsidRPr="00B07616">
        <w:rPr>
          <w:rFonts w:ascii="Verdana" w:hAnsi="Verdana" w:cs="Arial"/>
          <w:sz w:val="16"/>
        </w:rPr>
        <w:t xml:space="preserve">107 1613 </w:t>
      </w:r>
      <w:r w:rsidRPr="00B07616">
        <w:rPr>
          <w:rFonts w:ascii="Verdana" w:hAnsi="Verdana" w:cs="Arial"/>
          <w:sz w:val="16"/>
        </w:rPr>
        <w:t>(en anglais)</w:t>
      </w:r>
    </w:p>
    <w:p w:rsidR="007970E1" w:rsidRPr="00B07616" w:rsidRDefault="007970E1" w:rsidP="00B07616">
      <w:pPr>
        <w:numPr>
          <w:ilvl w:val="0"/>
          <w:numId w:val="3"/>
        </w:numPr>
        <w:tabs>
          <w:tab w:val="left" w:pos="3828"/>
        </w:tabs>
        <w:autoSpaceDE w:val="0"/>
        <w:autoSpaceDN w:val="0"/>
        <w:adjustRightInd w:val="0"/>
        <w:jc w:val="both"/>
        <w:rPr>
          <w:rFonts w:ascii="Verdana" w:hAnsi="Verdana" w:cs="Arial"/>
          <w:sz w:val="16"/>
        </w:rPr>
      </w:pPr>
      <w:r w:rsidRPr="00B07616">
        <w:rPr>
          <w:rFonts w:ascii="Verdana" w:hAnsi="Verdana" w:cs="Arial"/>
          <w:sz w:val="16"/>
        </w:rPr>
        <w:t>Depuis l’Amérique du Nord</w:t>
      </w:r>
      <w:r w:rsidRPr="00B07616">
        <w:rPr>
          <w:rFonts w:ascii="Verdana" w:hAnsi="Verdana" w:cs="Arial"/>
          <w:sz w:val="16"/>
        </w:rPr>
        <w:tab/>
      </w:r>
      <w:r w:rsidRPr="00B07616">
        <w:rPr>
          <w:rFonts w:ascii="Verdana" w:hAnsi="Verdana" w:cs="Arial"/>
          <w:sz w:val="16"/>
        </w:rPr>
        <w:tab/>
        <w:t xml:space="preserve">(+1) </w:t>
      </w:r>
      <w:r w:rsidR="00B07616" w:rsidRPr="00B07616">
        <w:rPr>
          <w:rFonts w:ascii="Verdana" w:hAnsi="Verdana" w:cs="Arial"/>
          <w:sz w:val="16"/>
        </w:rPr>
        <w:t xml:space="preserve">866 907 5928 </w:t>
      </w:r>
      <w:r w:rsidRPr="00B07616">
        <w:rPr>
          <w:rFonts w:ascii="Verdana" w:hAnsi="Verdana" w:cs="Arial"/>
          <w:sz w:val="16"/>
        </w:rPr>
        <w:t>(en anglais)</w:t>
      </w:r>
    </w:p>
    <w:p w:rsidR="007970E1" w:rsidRPr="00B07616" w:rsidRDefault="007970E1" w:rsidP="00B07616">
      <w:pPr>
        <w:numPr>
          <w:ilvl w:val="0"/>
          <w:numId w:val="3"/>
        </w:numPr>
        <w:tabs>
          <w:tab w:val="left" w:pos="3828"/>
        </w:tabs>
        <w:autoSpaceDE w:val="0"/>
        <w:autoSpaceDN w:val="0"/>
        <w:adjustRightInd w:val="0"/>
        <w:spacing w:after="60"/>
        <w:jc w:val="both"/>
        <w:rPr>
          <w:rFonts w:ascii="Verdana" w:hAnsi="Verdana" w:cs="Arial"/>
          <w:sz w:val="16"/>
        </w:rPr>
      </w:pPr>
      <w:r w:rsidRPr="00B07616">
        <w:rPr>
          <w:rFonts w:ascii="Verdana" w:hAnsi="Verdana" w:cs="Arial"/>
          <w:sz w:val="16"/>
        </w:rPr>
        <w:t xml:space="preserve">Depuis le reste du monde </w:t>
      </w:r>
      <w:r w:rsidRPr="00B07616">
        <w:rPr>
          <w:rFonts w:ascii="Verdana" w:hAnsi="Verdana" w:cs="Arial"/>
          <w:sz w:val="16"/>
        </w:rPr>
        <w:tab/>
      </w:r>
      <w:r w:rsidRPr="00B07616">
        <w:rPr>
          <w:rFonts w:ascii="Verdana" w:hAnsi="Verdana" w:cs="Arial"/>
          <w:sz w:val="16"/>
        </w:rPr>
        <w:tab/>
        <w:t xml:space="preserve">+44 (0) </w:t>
      </w:r>
      <w:r w:rsidR="00B07616" w:rsidRPr="00B07616">
        <w:rPr>
          <w:rFonts w:ascii="Verdana" w:hAnsi="Verdana" w:cs="Arial"/>
          <w:sz w:val="16"/>
        </w:rPr>
        <w:t xml:space="preserve">207 107 1613 </w:t>
      </w:r>
      <w:r w:rsidRPr="00B07616">
        <w:rPr>
          <w:rFonts w:ascii="Verdana" w:hAnsi="Verdana" w:cs="Arial"/>
          <w:sz w:val="16"/>
        </w:rPr>
        <w:t>(en anglais)</w:t>
      </w:r>
    </w:p>
    <w:p w:rsidR="007970E1" w:rsidRPr="007970E1" w:rsidRDefault="007970E1" w:rsidP="007970E1">
      <w:pPr>
        <w:spacing w:after="60"/>
        <w:jc w:val="both"/>
        <w:rPr>
          <w:rFonts w:ascii="Verdana" w:hAnsi="Verdana" w:cs="Arial"/>
          <w:sz w:val="18"/>
        </w:rPr>
      </w:pPr>
    </w:p>
    <w:p w:rsidR="007970E1" w:rsidRPr="007970E1" w:rsidRDefault="007970E1" w:rsidP="007970E1">
      <w:pPr>
        <w:spacing w:after="60"/>
        <w:jc w:val="both"/>
        <w:rPr>
          <w:rFonts w:ascii="Verdana" w:hAnsi="Verdana" w:cs="Arial"/>
          <w:sz w:val="18"/>
        </w:rPr>
      </w:pPr>
      <w:r w:rsidRPr="007970E1">
        <w:rPr>
          <w:rFonts w:ascii="Verdana" w:hAnsi="Verdana" w:cs="Arial"/>
          <w:sz w:val="18"/>
        </w:rPr>
        <w:t xml:space="preserve">La présentation de l’information financière au 31 décembre </w:t>
      </w:r>
      <w:r w:rsidR="00EB75CE">
        <w:rPr>
          <w:rFonts w:ascii="Verdana" w:hAnsi="Verdana" w:cs="Arial"/>
          <w:sz w:val="18"/>
        </w:rPr>
        <w:t>2016</w:t>
      </w:r>
      <w:r w:rsidRPr="007970E1">
        <w:rPr>
          <w:rFonts w:ascii="Verdana" w:hAnsi="Verdana" w:cs="Arial"/>
          <w:sz w:val="18"/>
        </w:rPr>
        <w:t xml:space="preserve"> </w:t>
      </w:r>
      <w:r w:rsidR="00CB201F">
        <w:rPr>
          <w:rFonts w:ascii="Verdana" w:hAnsi="Verdana" w:cs="Arial"/>
          <w:sz w:val="18"/>
        </w:rPr>
        <w:t xml:space="preserve">(communiqué de presse, présentation, rapport d’activité 2016, chiffres-clés et états financiers consolidés au 31 décembre 2016) </w:t>
      </w:r>
      <w:r w:rsidRPr="007970E1">
        <w:rPr>
          <w:rFonts w:ascii="Verdana" w:hAnsi="Verdana" w:cs="Arial"/>
          <w:sz w:val="18"/>
        </w:rPr>
        <w:t>peut être consultée sur le site http://www.michelin.com/fre, ainsi que des informations pratiques relatives à cette conférence.</w:t>
      </w:r>
    </w:p>
    <w:p w:rsidR="007970E1" w:rsidRPr="007970E1" w:rsidRDefault="007970E1" w:rsidP="007970E1">
      <w:pPr>
        <w:spacing w:after="60"/>
        <w:jc w:val="both"/>
        <w:rPr>
          <w:rFonts w:ascii="Verdana" w:hAnsi="Verdana" w:cs="Arial"/>
          <w:sz w:val="18"/>
        </w:rPr>
      </w:pPr>
    </w:p>
    <w:p w:rsidR="007970E1" w:rsidRPr="007970E1" w:rsidRDefault="007970E1" w:rsidP="007970E1">
      <w:pPr>
        <w:tabs>
          <w:tab w:val="left" w:pos="360"/>
        </w:tabs>
        <w:jc w:val="both"/>
        <w:rPr>
          <w:rFonts w:ascii="Verdana" w:hAnsi="Verdana" w:cs="Arial"/>
          <w:b/>
          <w:bCs/>
          <w:sz w:val="18"/>
          <w:u w:val="single"/>
        </w:rPr>
      </w:pPr>
    </w:p>
    <w:p w:rsidR="007970E1" w:rsidRPr="007970E1" w:rsidRDefault="007970E1" w:rsidP="007970E1">
      <w:pPr>
        <w:tabs>
          <w:tab w:val="left" w:pos="360"/>
        </w:tabs>
        <w:jc w:val="both"/>
        <w:rPr>
          <w:rFonts w:ascii="Verdana" w:hAnsi="Verdana" w:cs="Arial"/>
          <w:b/>
          <w:bCs/>
          <w:smallCaps/>
          <w:sz w:val="18"/>
        </w:rPr>
      </w:pPr>
      <w:r w:rsidRPr="007970E1">
        <w:rPr>
          <w:rFonts w:ascii="Verdana" w:hAnsi="Verdana" w:cs="Arial"/>
          <w:b/>
          <w:bCs/>
          <w:smallCaps/>
          <w:sz w:val="18"/>
        </w:rPr>
        <w:t>Calendrier</w:t>
      </w:r>
    </w:p>
    <w:p w:rsidR="007970E1" w:rsidRPr="007970E1" w:rsidRDefault="007970E1" w:rsidP="007970E1">
      <w:pPr>
        <w:numPr>
          <w:ilvl w:val="0"/>
          <w:numId w:val="5"/>
        </w:numPr>
        <w:tabs>
          <w:tab w:val="left" w:pos="360"/>
        </w:tabs>
        <w:jc w:val="both"/>
        <w:rPr>
          <w:rFonts w:ascii="Verdana" w:hAnsi="Verdana" w:cs="Arial"/>
          <w:b/>
          <w:sz w:val="18"/>
        </w:rPr>
      </w:pPr>
      <w:r w:rsidRPr="007970E1">
        <w:rPr>
          <w:rFonts w:ascii="Verdana" w:hAnsi="Verdana" w:cs="Arial"/>
          <w:b/>
          <w:sz w:val="18"/>
        </w:rPr>
        <w:t xml:space="preserve">Information trimestrielle au 31 mars </w:t>
      </w:r>
      <w:r w:rsidR="00EB75CE">
        <w:rPr>
          <w:rFonts w:ascii="Verdana" w:hAnsi="Verdana" w:cs="Arial"/>
          <w:b/>
          <w:sz w:val="18"/>
        </w:rPr>
        <w:t>2017</w:t>
      </w:r>
      <w:r w:rsidRPr="007970E1">
        <w:rPr>
          <w:rFonts w:ascii="Verdana" w:hAnsi="Verdana" w:cs="Arial"/>
          <w:b/>
          <w:sz w:val="18"/>
        </w:rPr>
        <w:t> :</w:t>
      </w:r>
    </w:p>
    <w:p w:rsidR="007970E1" w:rsidRPr="007970E1" w:rsidRDefault="00656940" w:rsidP="007970E1">
      <w:pPr>
        <w:tabs>
          <w:tab w:val="left" w:pos="360"/>
        </w:tabs>
        <w:jc w:val="center"/>
        <w:rPr>
          <w:rFonts w:ascii="Verdana" w:hAnsi="Verdana" w:cs="Arial"/>
          <w:sz w:val="18"/>
        </w:rPr>
      </w:pPr>
      <w:r>
        <w:rPr>
          <w:rFonts w:ascii="Verdana" w:hAnsi="Verdana" w:cs="Arial"/>
          <w:sz w:val="18"/>
        </w:rPr>
        <w:t>Jeudi</w:t>
      </w:r>
      <w:r w:rsidR="00F12746">
        <w:rPr>
          <w:rFonts w:ascii="Verdana" w:hAnsi="Verdana" w:cs="Arial"/>
          <w:sz w:val="18"/>
        </w:rPr>
        <w:t xml:space="preserve"> 20 avril </w:t>
      </w:r>
      <w:r w:rsidR="00EB75CE">
        <w:rPr>
          <w:rFonts w:ascii="Verdana" w:hAnsi="Verdana" w:cs="Arial"/>
          <w:sz w:val="18"/>
        </w:rPr>
        <w:t>2017</w:t>
      </w:r>
      <w:r w:rsidR="007970E1" w:rsidRPr="007970E1">
        <w:rPr>
          <w:rFonts w:ascii="Verdana" w:hAnsi="Verdana" w:cs="Arial"/>
          <w:sz w:val="18"/>
        </w:rPr>
        <w:t xml:space="preserve"> après Bourse</w:t>
      </w:r>
    </w:p>
    <w:p w:rsidR="007970E1" w:rsidRPr="007970E1" w:rsidRDefault="007970E1" w:rsidP="007970E1">
      <w:pPr>
        <w:numPr>
          <w:ilvl w:val="0"/>
          <w:numId w:val="5"/>
        </w:numPr>
        <w:tabs>
          <w:tab w:val="left" w:pos="360"/>
        </w:tabs>
        <w:jc w:val="both"/>
        <w:rPr>
          <w:rFonts w:ascii="Verdana" w:hAnsi="Verdana" w:cs="Arial"/>
          <w:b/>
          <w:sz w:val="18"/>
        </w:rPr>
      </w:pPr>
      <w:r w:rsidRPr="007970E1">
        <w:rPr>
          <w:rFonts w:ascii="Verdana" w:hAnsi="Verdana" w:cs="Arial"/>
          <w:b/>
          <w:sz w:val="18"/>
        </w:rPr>
        <w:t xml:space="preserve">Ventes nettes et résultats au 30 juin </w:t>
      </w:r>
      <w:r w:rsidR="00EB75CE">
        <w:rPr>
          <w:rFonts w:ascii="Verdana" w:hAnsi="Verdana" w:cs="Arial"/>
          <w:b/>
          <w:sz w:val="18"/>
        </w:rPr>
        <w:t>2017</w:t>
      </w:r>
      <w:r w:rsidRPr="007970E1">
        <w:rPr>
          <w:rFonts w:ascii="Verdana" w:hAnsi="Verdana" w:cs="Arial"/>
          <w:b/>
          <w:sz w:val="18"/>
        </w:rPr>
        <w:t> :</w:t>
      </w:r>
    </w:p>
    <w:p w:rsidR="007970E1" w:rsidRPr="007970E1" w:rsidRDefault="000C5577" w:rsidP="007970E1">
      <w:pPr>
        <w:tabs>
          <w:tab w:val="left" w:pos="360"/>
        </w:tabs>
        <w:jc w:val="center"/>
        <w:rPr>
          <w:rFonts w:ascii="Verdana" w:hAnsi="Verdana" w:cs="Arial"/>
          <w:sz w:val="18"/>
        </w:rPr>
      </w:pPr>
      <w:r>
        <w:rPr>
          <w:rFonts w:ascii="Verdana" w:hAnsi="Verdana" w:cs="Arial"/>
          <w:sz w:val="18"/>
        </w:rPr>
        <w:t>Mardi 2</w:t>
      </w:r>
      <w:r w:rsidR="00656940">
        <w:rPr>
          <w:rFonts w:ascii="Verdana" w:hAnsi="Verdana" w:cs="Arial"/>
          <w:sz w:val="18"/>
        </w:rPr>
        <w:t>5</w:t>
      </w:r>
      <w:r>
        <w:rPr>
          <w:rFonts w:ascii="Verdana" w:hAnsi="Verdana" w:cs="Arial"/>
          <w:sz w:val="18"/>
        </w:rPr>
        <w:t xml:space="preserve"> juillet</w:t>
      </w:r>
      <w:r w:rsidR="007970E1" w:rsidRPr="007970E1">
        <w:rPr>
          <w:rFonts w:ascii="Verdana" w:hAnsi="Verdana" w:cs="Arial"/>
          <w:sz w:val="18"/>
        </w:rPr>
        <w:t xml:space="preserve"> </w:t>
      </w:r>
      <w:r w:rsidR="00EB75CE">
        <w:rPr>
          <w:rFonts w:ascii="Verdana" w:hAnsi="Verdana" w:cs="Arial"/>
          <w:sz w:val="18"/>
        </w:rPr>
        <w:t>2017</w:t>
      </w:r>
      <w:r w:rsidR="007970E1" w:rsidRPr="007970E1">
        <w:rPr>
          <w:rFonts w:ascii="Verdana" w:hAnsi="Verdana" w:cs="Arial"/>
          <w:sz w:val="18"/>
        </w:rPr>
        <w:t xml:space="preserve"> </w:t>
      </w:r>
      <w:r w:rsidR="00656940">
        <w:rPr>
          <w:rFonts w:ascii="Verdana" w:hAnsi="Verdana" w:cs="Arial"/>
          <w:sz w:val="18"/>
        </w:rPr>
        <w:t>après</w:t>
      </w:r>
      <w:r w:rsidR="007970E1" w:rsidRPr="007970E1">
        <w:rPr>
          <w:rFonts w:ascii="Verdana" w:hAnsi="Verdana" w:cs="Arial"/>
          <w:sz w:val="18"/>
        </w:rPr>
        <w:t xml:space="preserve"> Bourse</w:t>
      </w:r>
    </w:p>
    <w:p w:rsidR="007970E1" w:rsidRPr="007970E1" w:rsidRDefault="007970E1" w:rsidP="007970E1">
      <w:pPr>
        <w:tabs>
          <w:tab w:val="left" w:pos="360"/>
        </w:tabs>
        <w:jc w:val="both"/>
        <w:rPr>
          <w:rFonts w:ascii="Verdana" w:hAnsi="Verdana" w:cs="Arial"/>
          <w:sz w:val="18"/>
        </w:rPr>
      </w:pPr>
    </w:p>
    <w:p w:rsidR="007970E1" w:rsidRPr="007970E1" w:rsidRDefault="007970E1" w:rsidP="007970E1">
      <w:pPr>
        <w:tabs>
          <w:tab w:val="left" w:pos="360"/>
        </w:tabs>
        <w:jc w:val="both"/>
        <w:rPr>
          <w:rFonts w:ascii="Verdana" w:hAnsi="Verdana" w:cs="Arial"/>
          <w:sz w:val="18"/>
        </w:rPr>
      </w:pPr>
    </w:p>
    <w:p w:rsidR="007970E1" w:rsidRPr="007970E1" w:rsidRDefault="007970E1" w:rsidP="007970E1">
      <w:pPr>
        <w:keepNext/>
        <w:tabs>
          <w:tab w:val="left" w:pos="360"/>
        </w:tabs>
        <w:jc w:val="both"/>
        <w:rPr>
          <w:rFonts w:ascii="Verdana" w:hAnsi="Verdana" w:cs="f\fswiss\fcharsetArial"/>
          <w:b/>
          <w:bCs/>
          <w:smallCaps/>
          <w:color w:val="000000"/>
          <w:sz w:val="18"/>
        </w:rPr>
      </w:pPr>
    </w:p>
    <w:p w:rsidR="007970E1" w:rsidRPr="007970E1" w:rsidRDefault="007970E1" w:rsidP="007970E1">
      <w:pPr>
        <w:keepNext/>
        <w:tabs>
          <w:tab w:val="left" w:pos="360"/>
        </w:tabs>
        <w:jc w:val="both"/>
        <w:rPr>
          <w:rFonts w:ascii="Verdana" w:hAnsi="Verdana" w:cs="Arial"/>
          <w:b/>
          <w:bCs/>
          <w:sz w:val="18"/>
          <w:u w:val="single"/>
        </w:rPr>
      </w:pPr>
    </w:p>
    <w:p w:rsidR="007970E1" w:rsidRPr="007970E1" w:rsidRDefault="007970E1" w:rsidP="007970E1">
      <w:pPr>
        <w:keepNext/>
        <w:tabs>
          <w:tab w:val="left" w:pos="360"/>
        </w:tabs>
        <w:jc w:val="both"/>
        <w:rPr>
          <w:rFonts w:ascii="Verdana" w:hAnsi="Verdana" w:cs="Arial"/>
          <w:b/>
          <w:bCs/>
          <w:sz w:val="18"/>
          <w:u w:val="single"/>
        </w:rPr>
      </w:pPr>
    </w:p>
    <w:p w:rsidR="007970E1" w:rsidRPr="00B55C32" w:rsidRDefault="00B55C32" w:rsidP="00B55C32">
      <w:pPr>
        <w:keepNext/>
        <w:tabs>
          <w:tab w:val="left" w:pos="360"/>
        </w:tabs>
        <w:jc w:val="center"/>
        <w:rPr>
          <w:rFonts w:asciiTheme="minorHAnsi" w:hAnsiTheme="minorHAnsi" w:cstheme="minorHAnsi"/>
          <w:bCs/>
          <w:sz w:val="24"/>
          <w:szCs w:val="24"/>
        </w:rPr>
      </w:pPr>
      <w:r w:rsidRPr="00B55C32">
        <w:rPr>
          <w:rFonts w:asciiTheme="minorHAnsi" w:hAnsiTheme="minorHAnsi" w:cstheme="minorHAnsi"/>
          <w:bCs/>
          <w:sz w:val="24"/>
          <w:szCs w:val="24"/>
        </w:rPr>
        <w:t>Service de Presse du groupe Michelin : 01 45 66 22 22</w:t>
      </w:r>
    </w:p>
    <w:p w:rsidR="007970E1" w:rsidRPr="007970E1" w:rsidRDefault="007970E1" w:rsidP="007970E1">
      <w:pPr>
        <w:keepNext/>
        <w:tabs>
          <w:tab w:val="left" w:pos="360"/>
        </w:tabs>
        <w:jc w:val="center"/>
        <w:rPr>
          <w:rFonts w:ascii="Verdana" w:hAnsi="Verdana" w:cs="Arial"/>
          <w:b/>
          <w:sz w:val="16"/>
          <w:szCs w:val="16"/>
        </w:rPr>
      </w:pPr>
      <w:bookmarkStart w:id="0" w:name="_GoBack"/>
      <w:bookmarkEnd w:id="0"/>
    </w:p>
    <w:p w:rsidR="007970E1" w:rsidRDefault="007970E1" w:rsidP="007970E1">
      <w:pPr>
        <w:keepNext/>
        <w:tabs>
          <w:tab w:val="left" w:pos="360"/>
        </w:tabs>
        <w:jc w:val="center"/>
        <w:rPr>
          <w:rFonts w:ascii="Verdana" w:hAnsi="Verdana" w:cs="Arial"/>
          <w:b/>
          <w:sz w:val="16"/>
          <w:szCs w:val="16"/>
        </w:rPr>
      </w:pPr>
    </w:p>
    <w:p w:rsidR="00B55C32" w:rsidRPr="007970E1" w:rsidRDefault="00B55C32" w:rsidP="007970E1">
      <w:pPr>
        <w:keepNext/>
        <w:tabs>
          <w:tab w:val="left" w:pos="360"/>
        </w:tabs>
        <w:jc w:val="center"/>
        <w:rPr>
          <w:rFonts w:ascii="Verdana" w:hAnsi="Verdana" w:cs="Arial"/>
          <w:b/>
          <w:sz w:val="16"/>
          <w:szCs w:val="16"/>
        </w:rPr>
      </w:pPr>
    </w:p>
    <w:p w:rsidR="007970E1" w:rsidRPr="007970E1" w:rsidRDefault="007970E1" w:rsidP="007970E1">
      <w:pPr>
        <w:keepNext/>
        <w:tabs>
          <w:tab w:val="left" w:pos="360"/>
        </w:tabs>
        <w:jc w:val="center"/>
        <w:rPr>
          <w:rFonts w:ascii="Verdana" w:hAnsi="Verdana" w:cs="Arial"/>
          <w:b/>
          <w:sz w:val="16"/>
          <w:szCs w:val="16"/>
        </w:rPr>
      </w:pPr>
    </w:p>
    <w:p w:rsidR="007970E1" w:rsidRPr="007970E1" w:rsidRDefault="007970E1" w:rsidP="007970E1">
      <w:pPr>
        <w:keepNext/>
        <w:tabs>
          <w:tab w:val="left" w:pos="360"/>
        </w:tabs>
        <w:jc w:val="center"/>
        <w:rPr>
          <w:rFonts w:ascii="Verdana" w:hAnsi="Verdana" w:cs="Arial"/>
          <w:b/>
          <w:sz w:val="16"/>
          <w:szCs w:val="16"/>
        </w:rPr>
      </w:pPr>
      <w:r w:rsidRPr="007970E1">
        <w:rPr>
          <w:rFonts w:ascii="Verdana" w:hAnsi="Verdana" w:cs="Arial"/>
          <w:b/>
          <w:sz w:val="16"/>
          <w:szCs w:val="16"/>
        </w:rPr>
        <w:t>AVERTISSEMENT</w:t>
      </w:r>
    </w:p>
    <w:p w:rsidR="007970E1" w:rsidRPr="007970E1" w:rsidRDefault="007970E1" w:rsidP="007970E1">
      <w:pPr>
        <w:keepNext/>
        <w:tabs>
          <w:tab w:val="left" w:pos="360"/>
        </w:tabs>
        <w:jc w:val="both"/>
        <w:rPr>
          <w:rFonts w:ascii="Verdana" w:hAnsi="Verdana"/>
          <w:sz w:val="16"/>
          <w:szCs w:val="16"/>
        </w:rPr>
      </w:pPr>
    </w:p>
    <w:p w:rsidR="007970E1" w:rsidRPr="007970E1" w:rsidRDefault="007970E1" w:rsidP="007970E1">
      <w:pPr>
        <w:keepNext/>
        <w:tabs>
          <w:tab w:val="left" w:pos="360"/>
        </w:tabs>
        <w:jc w:val="both"/>
        <w:rPr>
          <w:rFonts w:ascii="Verdana" w:hAnsi="Verdana" w:cs="Arial"/>
          <w:b/>
          <w:i/>
          <w:iCs/>
          <w:sz w:val="16"/>
          <w:szCs w:val="16"/>
        </w:rPr>
      </w:pPr>
      <w:r w:rsidRPr="007970E1">
        <w:rPr>
          <w:rFonts w:ascii="Verdana" w:hAnsi="Verdana" w:cs="Arial"/>
          <w:b/>
          <w:i/>
          <w:iCs/>
          <w:sz w:val="16"/>
          <w:szCs w:val="16"/>
        </w:rPr>
        <w:t xml:space="preserve">Ce communiqué de presse ne constitue pas une offre de vente ou la sollicitation d’une offre d’achat de titres Michelin. Si vous souhaitez obtenir des informations plus complètes concernant Michelin, nous vous invitons à vous reporter aux documents publics déposés en France auprès de l’Autorité des marchés financiers, également disponibles sur notre site Internet </w:t>
      </w:r>
      <w:hyperlink r:id="rId12" w:history="1">
        <w:r w:rsidRPr="007970E1">
          <w:rPr>
            <w:rFonts w:ascii="Verdana" w:hAnsi="Verdana" w:cs="Arial"/>
            <w:b/>
            <w:i/>
            <w:iCs/>
            <w:color w:val="0000FF"/>
            <w:sz w:val="16"/>
            <w:szCs w:val="16"/>
            <w:u w:val="single"/>
          </w:rPr>
          <w:t>www.michelin.com</w:t>
        </w:r>
      </w:hyperlink>
      <w:r w:rsidRPr="007970E1">
        <w:rPr>
          <w:rFonts w:ascii="Verdana" w:hAnsi="Verdana" w:cs="Arial"/>
          <w:b/>
          <w:i/>
          <w:iCs/>
          <w:color w:val="0000FF"/>
          <w:sz w:val="16"/>
          <w:szCs w:val="16"/>
          <w:u w:val="single"/>
        </w:rPr>
        <w:t>/fre</w:t>
      </w:r>
      <w:r w:rsidRPr="007970E1">
        <w:rPr>
          <w:rFonts w:ascii="Verdana" w:hAnsi="Verdana" w:cs="Arial"/>
          <w:b/>
          <w:i/>
          <w:iCs/>
          <w:sz w:val="16"/>
          <w:szCs w:val="16"/>
        </w:rPr>
        <w:t xml:space="preserve">.               </w:t>
      </w:r>
    </w:p>
    <w:p w:rsidR="007970E1" w:rsidRPr="007970E1" w:rsidRDefault="007970E1" w:rsidP="007970E1">
      <w:pPr>
        <w:keepNext/>
        <w:tabs>
          <w:tab w:val="left" w:pos="360"/>
        </w:tabs>
        <w:jc w:val="both"/>
        <w:rPr>
          <w:rFonts w:ascii="Verdana" w:hAnsi="Verdana" w:cs="Arial"/>
          <w:b/>
          <w:sz w:val="16"/>
          <w:szCs w:val="16"/>
        </w:rPr>
      </w:pPr>
      <w:r w:rsidRPr="007970E1">
        <w:rPr>
          <w:rFonts w:ascii="Verdana" w:hAnsi="Verdana" w:cs="Arial"/>
          <w:b/>
          <w:i/>
          <w:iCs/>
          <w:sz w:val="16"/>
          <w:szCs w:val="16"/>
        </w:rPr>
        <w:t>Ce communiqué peut contenir certaines déclarations de nature prévisionnelle. Bien que la Société estime que ces déclarations reposent sur des hypothèses raisonnables à la date de publication du présent document, elles sont par nature soumises à des risques et incertitudes pouvant donner lieu à un écart entre les chiffres réels et ceux indiqués ou induits dans ces déclarations.</w:t>
      </w:r>
    </w:p>
    <w:p w:rsidR="007970E1" w:rsidRPr="007970E1" w:rsidRDefault="007970E1" w:rsidP="007970E1"/>
    <w:p w:rsidR="00E8447A" w:rsidRPr="00346B80" w:rsidRDefault="00E8447A" w:rsidP="00E8447A"/>
    <w:sectPr w:rsidR="00E8447A" w:rsidRPr="00346B80" w:rsidSect="00944ACE">
      <w:headerReference w:type="default" r:id="rId13"/>
      <w:footerReference w:type="default" r:id="rId14"/>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7B" w:rsidRDefault="0049107B" w:rsidP="00DB4D9F">
      <w:r>
        <w:separator/>
      </w:r>
    </w:p>
  </w:endnote>
  <w:endnote w:type="continuationSeparator" w:id="0">
    <w:p w:rsidR="0049107B" w:rsidRDefault="0049107B" w:rsidP="00DB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topia">
    <w:altName w:val="Cambria"/>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fswiss\fcharset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97" w:rsidRDefault="00400997" w:rsidP="00A838CF">
    <w:pPr>
      <w:pStyle w:val="Pieddepage"/>
    </w:pPr>
    <w:r>
      <w:rPr>
        <w:noProof/>
      </w:rPr>
      <mc:AlternateContent>
        <mc:Choice Requires="wps">
          <w:drawing>
            <wp:anchor distT="0" distB="0" distL="114300" distR="114300" simplePos="0" relativeHeight="251661312" behindDoc="0" locked="0" layoutInCell="1" allowOverlap="1" wp14:anchorId="1186CB9A" wp14:editId="7B3D7DE0">
              <wp:simplePos x="0" y="0"/>
              <wp:positionH relativeFrom="column">
                <wp:posOffset>2622550</wp:posOffset>
              </wp:positionH>
              <wp:positionV relativeFrom="paragraph">
                <wp:posOffset>130175</wp:posOffset>
              </wp:positionV>
              <wp:extent cx="594995" cy="28575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997" w:rsidRPr="00127162" w:rsidRDefault="00400997" w:rsidP="00BE116E">
                          <w:pPr>
                            <w:rPr>
                              <w:rFonts w:ascii="Arial" w:hAnsi="Arial" w:cs="Arial"/>
                            </w:rPr>
                          </w:pPr>
                          <w:r w:rsidRPr="00127162">
                            <w:rPr>
                              <w:rFonts w:ascii="Arial" w:hAnsi="Arial" w:cs="Arial"/>
                            </w:rPr>
                            <w:fldChar w:fldCharType="begin"/>
                          </w:r>
                          <w:r w:rsidRPr="00127162">
                            <w:rPr>
                              <w:rFonts w:ascii="Arial" w:hAnsi="Arial" w:cs="Arial"/>
                            </w:rPr>
                            <w:instrText xml:space="preserve"> PAGE  \* Arabic  \* MERGEFORMAT </w:instrText>
                          </w:r>
                          <w:r w:rsidRPr="00127162">
                            <w:rPr>
                              <w:rFonts w:ascii="Arial" w:hAnsi="Arial" w:cs="Arial"/>
                            </w:rPr>
                            <w:fldChar w:fldCharType="separate"/>
                          </w:r>
                          <w:r w:rsidR="00AF55EB">
                            <w:rPr>
                              <w:rFonts w:ascii="Arial" w:hAnsi="Arial" w:cs="Arial"/>
                              <w:noProof/>
                            </w:rPr>
                            <w:t>9</w:t>
                          </w:r>
                          <w:r w:rsidRPr="00127162">
                            <w:rPr>
                              <w:rFonts w:ascii="Arial" w:hAnsi="Arial" w:cs="Arial"/>
                            </w:rPr>
                            <w:fldChar w:fldCharType="end"/>
                          </w:r>
                          <w:r w:rsidRPr="00127162">
                            <w:rPr>
                              <w:rFonts w:ascii="Arial" w:hAnsi="Arial" w:cs="Arial"/>
                            </w:rPr>
                            <w:t xml:space="preserve"> / </w:t>
                          </w:r>
                          <w:r w:rsidRPr="00127162">
                            <w:rPr>
                              <w:rFonts w:ascii="Arial" w:hAnsi="Arial" w:cs="Arial"/>
                            </w:rPr>
                            <w:fldChar w:fldCharType="begin"/>
                          </w:r>
                          <w:r w:rsidRPr="00127162">
                            <w:rPr>
                              <w:rFonts w:ascii="Arial" w:hAnsi="Arial" w:cs="Arial"/>
                            </w:rPr>
                            <w:instrText xml:space="preserve"> NUMPAGES  \* Arabic  \* MERGEFORMAT </w:instrText>
                          </w:r>
                          <w:r w:rsidRPr="00127162">
                            <w:rPr>
                              <w:rFonts w:ascii="Arial" w:hAnsi="Arial" w:cs="Arial"/>
                            </w:rPr>
                            <w:fldChar w:fldCharType="separate"/>
                          </w:r>
                          <w:r w:rsidR="00AF55EB">
                            <w:rPr>
                              <w:rFonts w:ascii="Arial" w:hAnsi="Arial" w:cs="Arial"/>
                              <w:noProof/>
                            </w:rPr>
                            <w:t>9</w:t>
                          </w:r>
                          <w:r w:rsidRPr="00127162">
                            <w:rPr>
                              <w:rFonts w:ascii="Arial" w:hAnsi="Arial" w:cs="Arial"/>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06.5pt;margin-top:10.25pt;width:46.8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5XpggIAAA8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" stroked="f">
              <v:textbox>
                <w:txbxContent>
                  <w:p w:rsidR="00400997" w:rsidRPr="00127162" w:rsidRDefault="00400997" w:rsidP="00BE116E">
                    <w:pPr>
                      <w:rPr>
                        <w:rFonts w:ascii="Arial" w:hAnsi="Arial" w:cs="Arial"/>
                      </w:rPr>
                    </w:pPr>
                    <w:r w:rsidRPr="00127162">
                      <w:rPr>
                        <w:rFonts w:ascii="Arial" w:hAnsi="Arial" w:cs="Arial"/>
                      </w:rPr>
                      <w:fldChar w:fldCharType="begin"/>
                    </w:r>
                    <w:r w:rsidRPr="00127162">
                      <w:rPr>
                        <w:rFonts w:ascii="Arial" w:hAnsi="Arial" w:cs="Arial"/>
                      </w:rPr>
                      <w:instrText xml:space="preserve"> PAGE  \* Arabic  \* MERGEFORMAT </w:instrText>
                    </w:r>
                    <w:r w:rsidRPr="00127162">
                      <w:rPr>
                        <w:rFonts w:ascii="Arial" w:hAnsi="Arial" w:cs="Arial"/>
                      </w:rPr>
                      <w:fldChar w:fldCharType="separate"/>
                    </w:r>
                    <w:r w:rsidR="00AF55EB">
                      <w:rPr>
                        <w:rFonts w:ascii="Arial" w:hAnsi="Arial" w:cs="Arial"/>
                        <w:noProof/>
                      </w:rPr>
                      <w:t>9</w:t>
                    </w:r>
                    <w:r w:rsidRPr="00127162">
                      <w:rPr>
                        <w:rFonts w:ascii="Arial" w:hAnsi="Arial" w:cs="Arial"/>
                      </w:rPr>
                      <w:fldChar w:fldCharType="end"/>
                    </w:r>
                    <w:r w:rsidRPr="00127162">
                      <w:rPr>
                        <w:rFonts w:ascii="Arial" w:hAnsi="Arial" w:cs="Arial"/>
                      </w:rPr>
                      <w:t xml:space="preserve"> / </w:t>
                    </w:r>
                    <w:r w:rsidRPr="00127162">
                      <w:rPr>
                        <w:rFonts w:ascii="Arial" w:hAnsi="Arial" w:cs="Arial"/>
                      </w:rPr>
                      <w:fldChar w:fldCharType="begin"/>
                    </w:r>
                    <w:r w:rsidRPr="00127162">
                      <w:rPr>
                        <w:rFonts w:ascii="Arial" w:hAnsi="Arial" w:cs="Arial"/>
                      </w:rPr>
                      <w:instrText xml:space="preserve"> NUMPAGES  \* Arabic  \* MERGEFORMAT </w:instrText>
                    </w:r>
                    <w:r w:rsidRPr="00127162">
                      <w:rPr>
                        <w:rFonts w:ascii="Arial" w:hAnsi="Arial" w:cs="Arial"/>
                      </w:rPr>
                      <w:fldChar w:fldCharType="separate"/>
                    </w:r>
                    <w:r w:rsidR="00AF55EB">
                      <w:rPr>
                        <w:rFonts w:ascii="Arial" w:hAnsi="Arial" w:cs="Arial"/>
                        <w:noProof/>
                      </w:rPr>
                      <w:t>9</w:t>
                    </w:r>
                    <w:r w:rsidRPr="00127162">
                      <w:rPr>
                        <w:rFonts w:ascii="Arial" w:hAnsi="Arial" w:cs="Arial"/>
                        <w:noProof/>
                      </w:rPr>
                      <w:fldChar w:fldCharType="end"/>
                    </w:r>
                  </w:p>
                </w:txbxContent>
              </v:textbox>
            </v:shape>
          </w:pict>
        </mc:Fallback>
      </mc:AlternateContent>
    </w:r>
    <w:r>
      <w:rPr>
        <w:noProof/>
      </w:rPr>
      <mc:AlternateContent>
        <mc:Choice Requires="wpg">
          <w:drawing>
            <wp:anchor distT="0" distB="0" distL="114300" distR="114300" simplePos="0" relativeHeight="251659264" behindDoc="1" locked="1" layoutInCell="1" allowOverlap="1" wp14:anchorId="5099AC22" wp14:editId="326D8499">
              <wp:simplePos x="0" y="0"/>
              <wp:positionH relativeFrom="column">
                <wp:posOffset>4870450</wp:posOffset>
              </wp:positionH>
              <wp:positionV relativeFrom="paragraph">
                <wp:posOffset>-454025</wp:posOffset>
              </wp:positionV>
              <wp:extent cx="1832610" cy="777875"/>
              <wp:effectExtent l="0" t="0" r="0" b="3175"/>
              <wp:wrapTight wrapText="bothSides">
                <wp:wrapPolygon edited="0">
                  <wp:start x="2694" y="0"/>
                  <wp:lineTo x="225" y="16927"/>
                  <wp:lineTo x="0" y="20101"/>
                  <wp:lineTo x="0" y="21159"/>
                  <wp:lineTo x="21331" y="21159"/>
                  <wp:lineTo x="21331" y="0"/>
                  <wp:lineTo x="2694" y="0"/>
                </wp:wrapPolygon>
              </wp:wrapTight>
              <wp:docPr id="2" name="Groupe 2"/>
              <wp:cNvGraphicFramePr/>
              <a:graphic xmlns:a="http://schemas.openxmlformats.org/drawingml/2006/main">
                <a:graphicData uri="http://schemas.microsoft.com/office/word/2010/wordprocessingGroup">
                  <wpg:wgp>
                    <wpg:cNvGrpSpPr/>
                    <wpg:grpSpPr>
                      <a:xfrm>
                        <a:off x="0" y="0"/>
                        <a:ext cx="1832610" cy="777875"/>
                        <a:chOff x="2573996" y="63577"/>
                        <a:chExt cx="1835785" cy="778095"/>
                      </a:xfrm>
                    </wpg:grpSpPr>
                    <wps:wsp>
                      <wps:cNvPr id="6" name="Rectangle 6"/>
                      <wps:cNvSpPr/>
                      <wps:spPr>
                        <a:xfrm>
                          <a:off x="2573996" y="63577"/>
                          <a:ext cx="1835785" cy="778095"/>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ysClr val="window" lastClr="FFFFFF"/>
                        </a:solidFill>
                        <a:ln w="9525" cap="flat" cmpd="sng" algn="ctr">
                          <a:noFill/>
                          <a:prstDash val="solid"/>
                        </a:ln>
                        <a:effectLst/>
                      </wps:spPr>
                      <wps:bodyPr rtlCol="0" anchor="ctr"/>
                    </wps:wsp>
                    <pic:pic xmlns:pic="http://schemas.openxmlformats.org/drawingml/2006/picture">
                      <pic:nvPicPr>
                        <pic:cNvPr id="10" name="Picture 20"/>
                        <pic:cNvPicPr>
                          <a:picLocks noChangeAspect="1"/>
                        </pic:cNvPicPr>
                      </pic:nvPicPr>
                      <pic:blipFill rotWithShape="1">
                        <a:blip r:embed="rId1" cstate="print">
                          <a:extLst>
                            <a:ext uri="{28A0092B-C50C-407E-A947-70E740481C1C}">
                              <a14:useLocalDpi xmlns:a14="http://schemas.microsoft.com/office/drawing/2010/main" val="0"/>
                            </a:ext>
                          </a:extLst>
                        </a:blip>
                        <a:srcRect l="9370" t="11235" r="10473" b="21847"/>
                        <a:stretch/>
                      </pic:blipFill>
                      <pic:spPr bwMode="auto">
                        <a:xfrm>
                          <a:off x="2996580" y="235915"/>
                          <a:ext cx="1297650" cy="407068"/>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e 2" o:spid="_x0000_s1026" style="position:absolute;margin-left:383.5pt;margin-top:-35.75pt;width:144.3pt;height:61.25pt;z-index:-251657216;mso-width-relative:margin;mso-height-relative:margin" coordorigin="25739,635" coordsize="18357,7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">
              <v:shape id="Rectangle 6" o:spid="_x0000_s1027" style="position:absolute;left:25739;top:635;width:18358;height:7781;visibility:visible;mso-wrap-style:square;v-text-anchor:middle" coordsize="2416175,102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cwsQA&#10;AADaAAAADwAAAGRycy9kb3ducmV2LnhtbESP0WqDQBRE3wv9h+UG8lKa1UAkWNeQBhJ8SSVpP+Di&#10;3qrUvWvcjdq/7xYKfRxm5gyT7WbTiZEG11pWEK8iEMSV1S3XCj7ej89bEM4ja+wsk4JvcrDLHx8y&#10;TLWd+ELj1dciQNilqKDxvk+ldFVDBt3K9sTB+7SDQR/kUEs94BTgppPrKEqkwZbDQoM9HRqqvq53&#10;o+B4usTlZjpz+Vbc5sNTTNvp9a7UcjHvX0B4mv1/+K9daAUJ/F4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HMLEAAAA2gAAAA8AAAAAAAAAAAAAAAAAmAIAAGRycy9k&#10;b3ducmV2LnhtbFBLBQYAAAAABAAEAPUAAACJAwAAAAA=&#10;" path="m377825,l2416175,r,1028700l,1028700,377825,xe" fillcolor="window" stroked="f">
                <v:path arrowok="t" o:connecttype="custom" o:connectlocs="287068,0;1835785,0;1835785,778095;0,778095;28706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29965;top:2359;width:12977;height:4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PxqrGAAAA2wAAAA8AAABkcnMvZG93bnJldi54bWxEj0FrwkAQhe+F/odlhF6KbtqDlegqtlAo&#10;CNKqB70N2TEbzc6m2a2m+fWdQ8HbDO/Ne9/MFp2v1YXaWAU28DTKQBEXwVZcGtht34cTUDEhW6wD&#10;k4FfirCY39/NMLfhyl902aRSSQjHHA24lJpc61g48hhHoSEW7Rhaj0nWttS2xauE+1o/Z9lYe6xY&#10;Ghw29OaoOG9+vIGti/1Kv9Snx1f/vf489NTvcW3Mw6BbTkEl6tLN/H/9YQVf6OUXGUD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A/GqsYAAADbAAAADwAAAAAAAAAAAAAA&#10;AACfAgAAZHJzL2Rvd25yZXYueG1sUEsFBgAAAAAEAAQA9wAAAJIDAAAAAA==&#10;">
                <v:imagedata r:id="rId2" o:title="" croptop="7363f" cropbottom="14318f" cropleft="6141f" cropright="6864f"/>
                <v:path arrowok="t"/>
              </v:shape>
              <w10:wrap type="tight"/>
              <w10:anchorlock/>
            </v:group>
          </w:pict>
        </mc:Fallback>
      </mc:AlternateContent>
    </w:r>
  </w:p>
  <w:tbl>
    <w:tblPr>
      <w:tblStyle w:val="Grilledutableau"/>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400997" w:rsidRPr="00102BAB" w:rsidTr="0070229B">
      <w:trPr>
        <w:trHeight w:val="155"/>
        <w:jc w:val="center"/>
      </w:trPr>
      <w:tc>
        <w:tcPr>
          <w:tcW w:w="1842" w:type="dxa"/>
          <w:vAlign w:val="center"/>
        </w:tcPr>
        <w:p w:rsidR="00400997" w:rsidRPr="00102BAB" w:rsidRDefault="00400997" w:rsidP="007764AF">
          <w:pPr>
            <w:pStyle w:val="Pieddepage"/>
            <w:rPr>
              <w:rFonts w:ascii="Arial" w:hAnsi="Arial" w:cs="Arial"/>
              <w:color w:val="424242" w:themeColor="accent6" w:themeShade="BF"/>
              <w:sz w:val="14"/>
            </w:rPr>
          </w:pPr>
        </w:p>
      </w:tc>
      <w:tc>
        <w:tcPr>
          <w:tcW w:w="1685" w:type="dxa"/>
          <w:vAlign w:val="center"/>
        </w:tcPr>
        <w:p w:rsidR="00400997" w:rsidRPr="00102BAB" w:rsidRDefault="00400997" w:rsidP="007764AF">
          <w:pPr>
            <w:pStyle w:val="Pieddepage"/>
            <w:rPr>
              <w:rFonts w:ascii="Arial" w:hAnsi="Arial" w:cs="Arial"/>
              <w:color w:val="424242" w:themeColor="accent6" w:themeShade="BF"/>
              <w:sz w:val="14"/>
            </w:rPr>
          </w:pPr>
        </w:p>
      </w:tc>
      <w:tc>
        <w:tcPr>
          <w:tcW w:w="1656" w:type="dxa"/>
          <w:vAlign w:val="center"/>
        </w:tcPr>
        <w:p w:rsidR="00400997" w:rsidRPr="00102BAB" w:rsidRDefault="00400997" w:rsidP="007764AF">
          <w:pPr>
            <w:pStyle w:val="Pieddepage"/>
            <w:rPr>
              <w:rFonts w:ascii="Arial" w:hAnsi="Arial" w:cs="Arial"/>
              <w:color w:val="424242" w:themeColor="accent6" w:themeShade="BF"/>
              <w:sz w:val="14"/>
            </w:rPr>
          </w:pPr>
        </w:p>
      </w:tc>
      <w:tc>
        <w:tcPr>
          <w:tcW w:w="1412" w:type="dxa"/>
          <w:vAlign w:val="center"/>
        </w:tcPr>
        <w:p w:rsidR="00400997" w:rsidRPr="00102BAB" w:rsidRDefault="00400997" w:rsidP="007764AF">
          <w:pPr>
            <w:pStyle w:val="Pieddepage"/>
            <w:rPr>
              <w:rFonts w:ascii="Arial" w:hAnsi="Arial" w:cs="Arial"/>
              <w:color w:val="424242" w:themeColor="accent6" w:themeShade="BF"/>
              <w:sz w:val="14"/>
            </w:rPr>
          </w:pPr>
        </w:p>
      </w:tc>
      <w:tc>
        <w:tcPr>
          <w:tcW w:w="1412" w:type="dxa"/>
          <w:vAlign w:val="center"/>
        </w:tcPr>
        <w:p w:rsidR="00400997" w:rsidRPr="00102BAB" w:rsidRDefault="00400997" w:rsidP="007764AF">
          <w:pPr>
            <w:pStyle w:val="Pieddepage"/>
            <w:rPr>
              <w:rFonts w:ascii="Arial" w:hAnsi="Arial" w:cs="Arial"/>
              <w:color w:val="424242" w:themeColor="accent6" w:themeShade="BF"/>
              <w:sz w:val="14"/>
            </w:rPr>
          </w:pPr>
        </w:p>
      </w:tc>
      <w:tc>
        <w:tcPr>
          <w:tcW w:w="860" w:type="dxa"/>
          <w:vAlign w:val="center"/>
        </w:tcPr>
        <w:p w:rsidR="00400997" w:rsidRPr="00102BAB" w:rsidRDefault="00400997" w:rsidP="007764AF">
          <w:pPr>
            <w:pStyle w:val="Pieddepage"/>
            <w:rPr>
              <w:rFonts w:ascii="Arial" w:hAnsi="Arial" w:cs="Arial"/>
              <w:color w:val="424242" w:themeColor="accent6" w:themeShade="BF"/>
              <w:sz w:val="14"/>
            </w:rPr>
          </w:pPr>
        </w:p>
      </w:tc>
    </w:tr>
  </w:tbl>
  <w:p w:rsidR="00400997" w:rsidRDefault="00400997" w:rsidP="00944A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7B" w:rsidRDefault="0049107B" w:rsidP="00DB4D9F">
      <w:r>
        <w:separator/>
      </w:r>
    </w:p>
  </w:footnote>
  <w:footnote w:type="continuationSeparator" w:id="0">
    <w:p w:rsidR="0049107B" w:rsidRDefault="0049107B" w:rsidP="00DB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97" w:rsidRDefault="004009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6D"/>
    <w:multiLevelType w:val="hybridMultilevel"/>
    <w:tmpl w:val="80D03DF8"/>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AD26DE"/>
    <w:multiLevelType w:val="hybridMultilevel"/>
    <w:tmpl w:val="8340B5BC"/>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nsid w:val="0FD166C4"/>
    <w:multiLevelType w:val="hybridMultilevel"/>
    <w:tmpl w:val="47060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C40F17"/>
    <w:multiLevelType w:val="hybridMultilevel"/>
    <w:tmpl w:val="E3EA3CDE"/>
    <w:lvl w:ilvl="0" w:tplc="D0222E8A">
      <w:start w:val="2015"/>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93FD6"/>
    <w:multiLevelType w:val="hybridMultilevel"/>
    <w:tmpl w:val="615696FC"/>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F0324EF6">
      <w:numFmt w:val="bullet"/>
      <w:lvlText w:val="•"/>
      <w:lvlJc w:val="left"/>
      <w:pPr>
        <w:ind w:left="2520" w:hanging="360"/>
      </w:pPr>
      <w:rPr>
        <w:rFonts w:ascii="Verdana" w:eastAsia="Times New Roman" w:hAnsi="Verdana" w:cs="Aria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629E1330"/>
    <w:multiLevelType w:val="hybridMultilevel"/>
    <w:tmpl w:val="5600D968"/>
    <w:lvl w:ilvl="0" w:tplc="E8220E3E">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26"/>
    <w:rsid w:val="00010491"/>
    <w:rsid w:val="00010AFE"/>
    <w:rsid w:val="0001455B"/>
    <w:rsid w:val="0001558B"/>
    <w:rsid w:val="0002125A"/>
    <w:rsid w:val="00022B94"/>
    <w:rsid w:val="000321C4"/>
    <w:rsid w:val="000373F0"/>
    <w:rsid w:val="00037F46"/>
    <w:rsid w:val="000400A0"/>
    <w:rsid w:val="000476C9"/>
    <w:rsid w:val="0005170A"/>
    <w:rsid w:val="0006143A"/>
    <w:rsid w:val="00073105"/>
    <w:rsid w:val="00073EFB"/>
    <w:rsid w:val="0007736A"/>
    <w:rsid w:val="00086031"/>
    <w:rsid w:val="000933F5"/>
    <w:rsid w:val="00094A30"/>
    <w:rsid w:val="000A5A3B"/>
    <w:rsid w:val="000A6E83"/>
    <w:rsid w:val="000B0F58"/>
    <w:rsid w:val="000B67C5"/>
    <w:rsid w:val="000C3F95"/>
    <w:rsid w:val="000C483B"/>
    <w:rsid w:val="000C5577"/>
    <w:rsid w:val="000C7B68"/>
    <w:rsid w:val="000D17D7"/>
    <w:rsid w:val="000D724D"/>
    <w:rsid w:val="000E50A4"/>
    <w:rsid w:val="000E7EB6"/>
    <w:rsid w:val="000F007C"/>
    <w:rsid w:val="000F0A6A"/>
    <w:rsid w:val="000F5E7A"/>
    <w:rsid w:val="000F689A"/>
    <w:rsid w:val="001009C6"/>
    <w:rsid w:val="0010184C"/>
    <w:rsid w:val="00101C94"/>
    <w:rsid w:val="00102BAB"/>
    <w:rsid w:val="00121584"/>
    <w:rsid w:val="00122C66"/>
    <w:rsid w:val="00123BA0"/>
    <w:rsid w:val="001365F6"/>
    <w:rsid w:val="00140CFA"/>
    <w:rsid w:val="001441EB"/>
    <w:rsid w:val="00146AF8"/>
    <w:rsid w:val="00152670"/>
    <w:rsid w:val="00156CC3"/>
    <w:rsid w:val="00157D99"/>
    <w:rsid w:val="001649F4"/>
    <w:rsid w:val="00175330"/>
    <w:rsid w:val="0017538D"/>
    <w:rsid w:val="00176C0B"/>
    <w:rsid w:val="001820B6"/>
    <w:rsid w:val="001842FE"/>
    <w:rsid w:val="001861F9"/>
    <w:rsid w:val="001A3B9A"/>
    <w:rsid w:val="001B5341"/>
    <w:rsid w:val="001B6836"/>
    <w:rsid w:val="001B6A93"/>
    <w:rsid w:val="001C1213"/>
    <w:rsid w:val="001C1677"/>
    <w:rsid w:val="001D6E6D"/>
    <w:rsid w:val="001D777E"/>
    <w:rsid w:val="001E350B"/>
    <w:rsid w:val="001F089A"/>
    <w:rsid w:val="001F2E9D"/>
    <w:rsid w:val="001F41BE"/>
    <w:rsid w:val="001F4F49"/>
    <w:rsid w:val="001F6661"/>
    <w:rsid w:val="00206BBF"/>
    <w:rsid w:val="0021458B"/>
    <w:rsid w:val="00233927"/>
    <w:rsid w:val="00243721"/>
    <w:rsid w:val="00263572"/>
    <w:rsid w:val="002705F3"/>
    <w:rsid w:val="0027069A"/>
    <w:rsid w:val="00275BA1"/>
    <w:rsid w:val="00276D16"/>
    <w:rsid w:val="00280CEC"/>
    <w:rsid w:val="00282A7C"/>
    <w:rsid w:val="0029123C"/>
    <w:rsid w:val="002A5A3B"/>
    <w:rsid w:val="002B00FF"/>
    <w:rsid w:val="002B1930"/>
    <w:rsid w:val="002B6A57"/>
    <w:rsid w:val="002B6EA8"/>
    <w:rsid w:val="002B75D9"/>
    <w:rsid w:val="002C00F8"/>
    <w:rsid w:val="002C2756"/>
    <w:rsid w:val="002C5FE0"/>
    <w:rsid w:val="002C6F8B"/>
    <w:rsid w:val="002C7D4C"/>
    <w:rsid w:val="002D0BD4"/>
    <w:rsid w:val="002D677A"/>
    <w:rsid w:val="002D6AB4"/>
    <w:rsid w:val="002F176E"/>
    <w:rsid w:val="002F6172"/>
    <w:rsid w:val="002F76C7"/>
    <w:rsid w:val="003007BA"/>
    <w:rsid w:val="0030375E"/>
    <w:rsid w:val="00307EA1"/>
    <w:rsid w:val="0031670F"/>
    <w:rsid w:val="00316A75"/>
    <w:rsid w:val="0032017F"/>
    <w:rsid w:val="00323143"/>
    <w:rsid w:val="00323C20"/>
    <w:rsid w:val="00325343"/>
    <w:rsid w:val="003258BB"/>
    <w:rsid w:val="00330F20"/>
    <w:rsid w:val="00334B89"/>
    <w:rsid w:val="003365A2"/>
    <w:rsid w:val="00342847"/>
    <w:rsid w:val="00343293"/>
    <w:rsid w:val="0034399D"/>
    <w:rsid w:val="00346934"/>
    <w:rsid w:val="00346B80"/>
    <w:rsid w:val="00353B4C"/>
    <w:rsid w:val="0035624B"/>
    <w:rsid w:val="0036021E"/>
    <w:rsid w:val="00360378"/>
    <w:rsid w:val="00360B40"/>
    <w:rsid w:val="00361293"/>
    <w:rsid w:val="00361B2C"/>
    <w:rsid w:val="0036433C"/>
    <w:rsid w:val="00366AA8"/>
    <w:rsid w:val="00384877"/>
    <w:rsid w:val="00387EF8"/>
    <w:rsid w:val="00390433"/>
    <w:rsid w:val="0039571F"/>
    <w:rsid w:val="003958E9"/>
    <w:rsid w:val="00396428"/>
    <w:rsid w:val="003A052F"/>
    <w:rsid w:val="003A0CD3"/>
    <w:rsid w:val="003A3ACD"/>
    <w:rsid w:val="003A6D0B"/>
    <w:rsid w:val="003C4C70"/>
    <w:rsid w:val="003C5C5C"/>
    <w:rsid w:val="003D0E4A"/>
    <w:rsid w:val="003E7239"/>
    <w:rsid w:val="003F11A4"/>
    <w:rsid w:val="003F1862"/>
    <w:rsid w:val="003F19EE"/>
    <w:rsid w:val="003F349F"/>
    <w:rsid w:val="003F3B65"/>
    <w:rsid w:val="003F40A8"/>
    <w:rsid w:val="003F4BD0"/>
    <w:rsid w:val="003F7CA4"/>
    <w:rsid w:val="00400997"/>
    <w:rsid w:val="0040399C"/>
    <w:rsid w:val="00412DED"/>
    <w:rsid w:val="00424F30"/>
    <w:rsid w:val="00433911"/>
    <w:rsid w:val="00434D2F"/>
    <w:rsid w:val="00435201"/>
    <w:rsid w:val="004405AC"/>
    <w:rsid w:val="004420EE"/>
    <w:rsid w:val="00443AC1"/>
    <w:rsid w:val="00445F81"/>
    <w:rsid w:val="00447A8A"/>
    <w:rsid w:val="00452FA8"/>
    <w:rsid w:val="00453661"/>
    <w:rsid w:val="00465F0A"/>
    <w:rsid w:val="004660E5"/>
    <w:rsid w:val="0047348D"/>
    <w:rsid w:val="00473E53"/>
    <w:rsid w:val="00475076"/>
    <w:rsid w:val="0047622B"/>
    <w:rsid w:val="004805AD"/>
    <w:rsid w:val="00481B8C"/>
    <w:rsid w:val="00487B98"/>
    <w:rsid w:val="00490C53"/>
    <w:rsid w:val="0049107B"/>
    <w:rsid w:val="004B050D"/>
    <w:rsid w:val="004B15F0"/>
    <w:rsid w:val="004C2054"/>
    <w:rsid w:val="004E1D8C"/>
    <w:rsid w:val="004E4268"/>
    <w:rsid w:val="004F4FFB"/>
    <w:rsid w:val="004F5E07"/>
    <w:rsid w:val="004F6326"/>
    <w:rsid w:val="004F7C1D"/>
    <w:rsid w:val="00513B28"/>
    <w:rsid w:val="00523B50"/>
    <w:rsid w:val="00524B7D"/>
    <w:rsid w:val="00525758"/>
    <w:rsid w:val="00533B65"/>
    <w:rsid w:val="0054215C"/>
    <w:rsid w:val="00542E99"/>
    <w:rsid w:val="00545869"/>
    <w:rsid w:val="005525DA"/>
    <w:rsid w:val="005625B4"/>
    <w:rsid w:val="005625C7"/>
    <w:rsid w:val="00562AB5"/>
    <w:rsid w:val="00562EC6"/>
    <w:rsid w:val="0056723A"/>
    <w:rsid w:val="00570D3D"/>
    <w:rsid w:val="00575904"/>
    <w:rsid w:val="005A3184"/>
    <w:rsid w:val="005B3960"/>
    <w:rsid w:val="005B5C5F"/>
    <w:rsid w:val="005B5EC4"/>
    <w:rsid w:val="005C6640"/>
    <w:rsid w:val="005C668C"/>
    <w:rsid w:val="005D3990"/>
    <w:rsid w:val="005E71A7"/>
    <w:rsid w:val="005E75B4"/>
    <w:rsid w:val="005F1D40"/>
    <w:rsid w:val="005F41EF"/>
    <w:rsid w:val="00605B8B"/>
    <w:rsid w:val="00611A57"/>
    <w:rsid w:val="00612516"/>
    <w:rsid w:val="00614491"/>
    <w:rsid w:val="00617996"/>
    <w:rsid w:val="00634B6A"/>
    <w:rsid w:val="006405A1"/>
    <w:rsid w:val="00641AC9"/>
    <w:rsid w:val="006437E2"/>
    <w:rsid w:val="006447C2"/>
    <w:rsid w:val="00650C70"/>
    <w:rsid w:val="00652C92"/>
    <w:rsid w:val="00656940"/>
    <w:rsid w:val="00657317"/>
    <w:rsid w:val="006600DA"/>
    <w:rsid w:val="00664BD0"/>
    <w:rsid w:val="006676CD"/>
    <w:rsid w:val="0066777C"/>
    <w:rsid w:val="00671822"/>
    <w:rsid w:val="0067394B"/>
    <w:rsid w:val="00675868"/>
    <w:rsid w:val="00676639"/>
    <w:rsid w:val="00680376"/>
    <w:rsid w:val="00682A71"/>
    <w:rsid w:val="00685825"/>
    <w:rsid w:val="0069361D"/>
    <w:rsid w:val="0069404A"/>
    <w:rsid w:val="00694E76"/>
    <w:rsid w:val="006A03B0"/>
    <w:rsid w:val="006A7E26"/>
    <w:rsid w:val="006B29EB"/>
    <w:rsid w:val="006B389C"/>
    <w:rsid w:val="006B5502"/>
    <w:rsid w:val="006C6FD5"/>
    <w:rsid w:val="006D472C"/>
    <w:rsid w:val="006F03AF"/>
    <w:rsid w:val="006F199D"/>
    <w:rsid w:val="006F3BB1"/>
    <w:rsid w:val="00701093"/>
    <w:rsid w:val="0070229B"/>
    <w:rsid w:val="00702DED"/>
    <w:rsid w:val="00705D04"/>
    <w:rsid w:val="007128E4"/>
    <w:rsid w:val="00712D76"/>
    <w:rsid w:val="00716FB5"/>
    <w:rsid w:val="007223BF"/>
    <w:rsid w:val="00722AA6"/>
    <w:rsid w:val="00726DA7"/>
    <w:rsid w:val="00731E99"/>
    <w:rsid w:val="0073377F"/>
    <w:rsid w:val="00734355"/>
    <w:rsid w:val="007348D2"/>
    <w:rsid w:val="007356EB"/>
    <w:rsid w:val="0074379A"/>
    <w:rsid w:val="007479F6"/>
    <w:rsid w:val="00752264"/>
    <w:rsid w:val="0075697E"/>
    <w:rsid w:val="007603C9"/>
    <w:rsid w:val="007764AF"/>
    <w:rsid w:val="0077750F"/>
    <w:rsid w:val="007970E1"/>
    <w:rsid w:val="007A1129"/>
    <w:rsid w:val="007A2784"/>
    <w:rsid w:val="007A33EC"/>
    <w:rsid w:val="007A5F72"/>
    <w:rsid w:val="007B0298"/>
    <w:rsid w:val="007B3725"/>
    <w:rsid w:val="007B4DA3"/>
    <w:rsid w:val="007B7523"/>
    <w:rsid w:val="007C36AB"/>
    <w:rsid w:val="007C6E26"/>
    <w:rsid w:val="007C7729"/>
    <w:rsid w:val="007D5CF3"/>
    <w:rsid w:val="007E29A6"/>
    <w:rsid w:val="007E3308"/>
    <w:rsid w:val="007E39B1"/>
    <w:rsid w:val="007E57F1"/>
    <w:rsid w:val="007E5EE3"/>
    <w:rsid w:val="007E62CA"/>
    <w:rsid w:val="007E65E5"/>
    <w:rsid w:val="007F0FBB"/>
    <w:rsid w:val="007F1BE2"/>
    <w:rsid w:val="007F6DBD"/>
    <w:rsid w:val="007F70FB"/>
    <w:rsid w:val="00801E94"/>
    <w:rsid w:val="008039EB"/>
    <w:rsid w:val="00803AFC"/>
    <w:rsid w:val="00803EB8"/>
    <w:rsid w:val="00803EF3"/>
    <w:rsid w:val="00804465"/>
    <w:rsid w:val="00820286"/>
    <w:rsid w:val="008225D0"/>
    <w:rsid w:val="00823BD1"/>
    <w:rsid w:val="008277CF"/>
    <w:rsid w:val="00844D4A"/>
    <w:rsid w:val="00847088"/>
    <w:rsid w:val="00851CA3"/>
    <w:rsid w:val="00860F37"/>
    <w:rsid w:val="00861D41"/>
    <w:rsid w:val="00865090"/>
    <w:rsid w:val="00873A7C"/>
    <w:rsid w:val="00874C15"/>
    <w:rsid w:val="0087799A"/>
    <w:rsid w:val="00877E9C"/>
    <w:rsid w:val="00881A9E"/>
    <w:rsid w:val="008841DC"/>
    <w:rsid w:val="008933AC"/>
    <w:rsid w:val="00893B88"/>
    <w:rsid w:val="00893DB3"/>
    <w:rsid w:val="008A09ED"/>
    <w:rsid w:val="008A285F"/>
    <w:rsid w:val="008A34DE"/>
    <w:rsid w:val="008A404A"/>
    <w:rsid w:val="008A42D8"/>
    <w:rsid w:val="008A5507"/>
    <w:rsid w:val="008B03FC"/>
    <w:rsid w:val="008B1122"/>
    <w:rsid w:val="008C4EAF"/>
    <w:rsid w:val="008C52B2"/>
    <w:rsid w:val="008C59F3"/>
    <w:rsid w:val="008C600D"/>
    <w:rsid w:val="008D3522"/>
    <w:rsid w:val="008D4BC2"/>
    <w:rsid w:val="008D6571"/>
    <w:rsid w:val="008E2BB4"/>
    <w:rsid w:val="008E6B7E"/>
    <w:rsid w:val="008F0711"/>
    <w:rsid w:val="008F3C00"/>
    <w:rsid w:val="00903551"/>
    <w:rsid w:val="00903FDD"/>
    <w:rsid w:val="00911939"/>
    <w:rsid w:val="00911BA1"/>
    <w:rsid w:val="00912832"/>
    <w:rsid w:val="00915256"/>
    <w:rsid w:val="00916F6A"/>
    <w:rsid w:val="0093537C"/>
    <w:rsid w:val="00937F4D"/>
    <w:rsid w:val="00941FAF"/>
    <w:rsid w:val="00943432"/>
    <w:rsid w:val="00944ACE"/>
    <w:rsid w:val="00956D71"/>
    <w:rsid w:val="00971E3A"/>
    <w:rsid w:val="00981F5B"/>
    <w:rsid w:val="00982757"/>
    <w:rsid w:val="009844F9"/>
    <w:rsid w:val="00984D35"/>
    <w:rsid w:val="00984D9C"/>
    <w:rsid w:val="00991895"/>
    <w:rsid w:val="00992448"/>
    <w:rsid w:val="00994659"/>
    <w:rsid w:val="00996D35"/>
    <w:rsid w:val="009977B1"/>
    <w:rsid w:val="009A045D"/>
    <w:rsid w:val="009A2801"/>
    <w:rsid w:val="009B2422"/>
    <w:rsid w:val="009B38A3"/>
    <w:rsid w:val="009B3993"/>
    <w:rsid w:val="009C03A8"/>
    <w:rsid w:val="009C2C96"/>
    <w:rsid w:val="009C415F"/>
    <w:rsid w:val="009C506F"/>
    <w:rsid w:val="009C6985"/>
    <w:rsid w:val="009D1A4B"/>
    <w:rsid w:val="009D267D"/>
    <w:rsid w:val="009D383E"/>
    <w:rsid w:val="009D577D"/>
    <w:rsid w:val="009D6DEB"/>
    <w:rsid w:val="009E0661"/>
    <w:rsid w:val="009E0869"/>
    <w:rsid w:val="009E1AE4"/>
    <w:rsid w:val="00A00D1E"/>
    <w:rsid w:val="00A163BA"/>
    <w:rsid w:val="00A224DD"/>
    <w:rsid w:val="00A230E2"/>
    <w:rsid w:val="00A30E93"/>
    <w:rsid w:val="00A34331"/>
    <w:rsid w:val="00A35C9F"/>
    <w:rsid w:val="00A3708F"/>
    <w:rsid w:val="00A37C0A"/>
    <w:rsid w:val="00A41995"/>
    <w:rsid w:val="00A430C8"/>
    <w:rsid w:val="00A551DB"/>
    <w:rsid w:val="00A570DF"/>
    <w:rsid w:val="00A573F0"/>
    <w:rsid w:val="00A732E0"/>
    <w:rsid w:val="00A75015"/>
    <w:rsid w:val="00A80C7B"/>
    <w:rsid w:val="00A838CF"/>
    <w:rsid w:val="00A87D12"/>
    <w:rsid w:val="00A967B6"/>
    <w:rsid w:val="00AA3495"/>
    <w:rsid w:val="00AA64A3"/>
    <w:rsid w:val="00AA65EF"/>
    <w:rsid w:val="00AB1778"/>
    <w:rsid w:val="00AB1C87"/>
    <w:rsid w:val="00AB5527"/>
    <w:rsid w:val="00AC3CCE"/>
    <w:rsid w:val="00AC4FD3"/>
    <w:rsid w:val="00AC614D"/>
    <w:rsid w:val="00AC663E"/>
    <w:rsid w:val="00AD2C06"/>
    <w:rsid w:val="00AD45A1"/>
    <w:rsid w:val="00AE17E8"/>
    <w:rsid w:val="00AE6EC3"/>
    <w:rsid w:val="00AF0D14"/>
    <w:rsid w:val="00AF171B"/>
    <w:rsid w:val="00AF53B7"/>
    <w:rsid w:val="00AF55EB"/>
    <w:rsid w:val="00B032AD"/>
    <w:rsid w:val="00B07616"/>
    <w:rsid w:val="00B207BB"/>
    <w:rsid w:val="00B22A47"/>
    <w:rsid w:val="00B24F59"/>
    <w:rsid w:val="00B258BC"/>
    <w:rsid w:val="00B264CE"/>
    <w:rsid w:val="00B270FB"/>
    <w:rsid w:val="00B30C36"/>
    <w:rsid w:val="00B31735"/>
    <w:rsid w:val="00B32BFF"/>
    <w:rsid w:val="00B37C4A"/>
    <w:rsid w:val="00B40AF8"/>
    <w:rsid w:val="00B42A5A"/>
    <w:rsid w:val="00B47B95"/>
    <w:rsid w:val="00B5054A"/>
    <w:rsid w:val="00B514A1"/>
    <w:rsid w:val="00B514FD"/>
    <w:rsid w:val="00B53637"/>
    <w:rsid w:val="00B55C32"/>
    <w:rsid w:val="00B56858"/>
    <w:rsid w:val="00B6074B"/>
    <w:rsid w:val="00B62294"/>
    <w:rsid w:val="00B62B42"/>
    <w:rsid w:val="00B642F5"/>
    <w:rsid w:val="00B74697"/>
    <w:rsid w:val="00B74AF4"/>
    <w:rsid w:val="00B75034"/>
    <w:rsid w:val="00B75C85"/>
    <w:rsid w:val="00B8423F"/>
    <w:rsid w:val="00B868EC"/>
    <w:rsid w:val="00B91E9E"/>
    <w:rsid w:val="00BA2D96"/>
    <w:rsid w:val="00BA4D4C"/>
    <w:rsid w:val="00BB1A0B"/>
    <w:rsid w:val="00BB7431"/>
    <w:rsid w:val="00BC2998"/>
    <w:rsid w:val="00BC4862"/>
    <w:rsid w:val="00BC7809"/>
    <w:rsid w:val="00BD5A47"/>
    <w:rsid w:val="00BD5CD2"/>
    <w:rsid w:val="00BD7E5D"/>
    <w:rsid w:val="00BE116E"/>
    <w:rsid w:val="00BE1483"/>
    <w:rsid w:val="00BE16D2"/>
    <w:rsid w:val="00BE771B"/>
    <w:rsid w:val="00BE7E2D"/>
    <w:rsid w:val="00BF1D2E"/>
    <w:rsid w:val="00BF3F00"/>
    <w:rsid w:val="00BF7F72"/>
    <w:rsid w:val="00C05B4B"/>
    <w:rsid w:val="00C06F27"/>
    <w:rsid w:val="00C101E0"/>
    <w:rsid w:val="00C165D9"/>
    <w:rsid w:val="00C16B35"/>
    <w:rsid w:val="00C17F01"/>
    <w:rsid w:val="00C24E64"/>
    <w:rsid w:val="00C375F2"/>
    <w:rsid w:val="00C37D1B"/>
    <w:rsid w:val="00C41446"/>
    <w:rsid w:val="00C567A7"/>
    <w:rsid w:val="00C56F08"/>
    <w:rsid w:val="00C60ADC"/>
    <w:rsid w:val="00C6184E"/>
    <w:rsid w:val="00C61ACA"/>
    <w:rsid w:val="00C65A3E"/>
    <w:rsid w:val="00C70B45"/>
    <w:rsid w:val="00C765BD"/>
    <w:rsid w:val="00C805EB"/>
    <w:rsid w:val="00C80F4D"/>
    <w:rsid w:val="00C82415"/>
    <w:rsid w:val="00C873F4"/>
    <w:rsid w:val="00C93055"/>
    <w:rsid w:val="00C934B2"/>
    <w:rsid w:val="00C940CA"/>
    <w:rsid w:val="00CA0FEA"/>
    <w:rsid w:val="00CA10F0"/>
    <w:rsid w:val="00CB201F"/>
    <w:rsid w:val="00CB2E7A"/>
    <w:rsid w:val="00CB38E3"/>
    <w:rsid w:val="00CC2148"/>
    <w:rsid w:val="00CD0125"/>
    <w:rsid w:val="00CD1A7C"/>
    <w:rsid w:val="00CD1BDE"/>
    <w:rsid w:val="00CF5CE1"/>
    <w:rsid w:val="00D03B48"/>
    <w:rsid w:val="00D06C40"/>
    <w:rsid w:val="00D10B02"/>
    <w:rsid w:val="00D11AC1"/>
    <w:rsid w:val="00D2104D"/>
    <w:rsid w:val="00D21453"/>
    <w:rsid w:val="00D257B0"/>
    <w:rsid w:val="00D33B89"/>
    <w:rsid w:val="00D44549"/>
    <w:rsid w:val="00D457AF"/>
    <w:rsid w:val="00D4617D"/>
    <w:rsid w:val="00D46AB7"/>
    <w:rsid w:val="00D61124"/>
    <w:rsid w:val="00D66D96"/>
    <w:rsid w:val="00D716B2"/>
    <w:rsid w:val="00D71721"/>
    <w:rsid w:val="00D71934"/>
    <w:rsid w:val="00D73D85"/>
    <w:rsid w:val="00D7604E"/>
    <w:rsid w:val="00D76372"/>
    <w:rsid w:val="00D81513"/>
    <w:rsid w:val="00D821A1"/>
    <w:rsid w:val="00D93689"/>
    <w:rsid w:val="00D94C87"/>
    <w:rsid w:val="00DA0722"/>
    <w:rsid w:val="00DA3B3D"/>
    <w:rsid w:val="00DB4D9F"/>
    <w:rsid w:val="00DB51F6"/>
    <w:rsid w:val="00DC0B87"/>
    <w:rsid w:val="00DD277A"/>
    <w:rsid w:val="00DD2CDF"/>
    <w:rsid w:val="00DD4CC4"/>
    <w:rsid w:val="00DD598A"/>
    <w:rsid w:val="00DE753A"/>
    <w:rsid w:val="00E00FB0"/>
    <w:rsid w:val="00E050AD"/>
    <w:rsid w:val="00E13343"/>
    <w:rsid w:val="00E16A45"/>
    <w:rsid w:val="00E21800"/>
    <w:rsid w:val="00E2180C"/>
    <w:rsid w:val="00E3021F"/>
    <w:rsid w:val="00E35553"/>
    <w:rsid w:val="00E375B5"/>
    <w:rsid w:val="00E4495B"/>
    <w:rsid w:val="00E51A9F"/>
    <w:rsid w:val="00E5519C"/>
    <w:rsid w:val="00E60A81"/>
    <w:rsid w:val="00E66E97"/>
    <w:rsid w:val="00E67103"/>
    <w:rsid w:val="00E70458"/>
    <w:rsid w:val="00E70717"/>
    <w:rsid w:val="00E74074"/>
    <w:rsid w:val="00E82157"/>
    <w:rsid w:val="00E8308C"/>
    <w:rsid w:val="00E8447A"/>
    <w:rsid w:val="00E92682"/>
    <w:rsid w:val="00E9293E"/>
    <w:rsid w:val="00E93E04"/>
    <w:rsid w:val="00E95091"/>
    <w:rsid w:val="00E95689"/>
    <w:rsid w:val="00E95E8E"/>
    <w:rsid w:val="00EB24C4"/>
    <w:rsid w:val="00EB3764"/>
    <w:rsid w:val="00EB51FD"/>
    <w:rsid w:val="00EB75CE"/>
    <w:rsid w:val="00EC3B13"/>
    <w:rsid w:val="00ED2B80"/>
    <w:rsid w:val="00ED3024"/>
    <w:rsid w:val="00ED48D8"/>
    <w:rsid w:val="00F04616"/>
    <w:rsid w:val="00F124D3"/>
    <w:rsid w:val="00F12746"/>
    <w:rsid w:val="00F146B6"/>
    <w:rsid w:val="00F15494"/>
    <w:rsid w:val="00F16171"/>
    <w:rsid w:val="00F17219"/>
    <w:rsid w:val="00F23BBF"/>
    <w:rsid w:val="00F248DF"/>
    <w:rsid w:val="00F44B56"/>
    <w:rsid w:val="00F44CED"/>
    <w:rsid w:val="00F53B9D"/>
    <w:rsid w:val="00F62575"/>
    <w:rsid w:val="00F62941"/>
    <w:rsid w:val="00F62D55"/>
    <w:rsid w:val="00F72A40"/>
    <w:rsid w:val="00F76A08"/>
    <w:rsid w:val="00F81D47"/>
    <w:rsid w:val="00F83013"/>
    <w:rsid w:val="00F8448A"/>
    <w:rsid w:val="00FA21FA"/>
    <w:rsid w:val="00FA3D58"/>
    <w:rsid w:val="00FA66B8"/>
    <w:rsid w:val="00FA7EC1"/>
    <w:rsid w:val="00FC044A"/>
    <w:rsid w:val="00FC39ED"/>
    <w:rsid w:val="00FC5155"/>
    <w:rsid w:val="00FC7EB5"/>
    <w:rsid w:val="00FD2D10"/>
    <w:rsid w:val="00FE4773"/>
    <w:rsid w:val="00FE6CFE"/>
    <w:rsid w:val="00FE6F4B"/>
    <w:rsid w:val="00FF3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AF"/>
    <w:pPr>
      <w:spacing w:after="0" w:line="240" w:lineRule="auto"/>
    </w:pPr>
    <w:rPr>
      <w:rFonts w:ascii="Utopia" w:eastAsia="Times New Roman" w:hAnsi="Utopia" w:cs="Times New Roman"/>
      <w:sz w:val="20"/>
      <w:szCs w:val="20"/>
    </w:rPr>
  </w:style>
  <w:style w:type="paragraph" w:styleId="Titre1">
    <w:name w:val="heading 1"/>
    <w:basedOn w:val="Normal"/>
    <w:next w:val="Normal"/>
    <w:link w:val="Titre1Car"/>
    <w:uiPriority w:val="9"/>
    <w:qFormat/>
    <w:rsid w:val="00E8447A"/>
    <w:pPr>
      <w:keepNext/>
      <w:keepLines/>
      <w:spacing w:before="480"/>
      <w:outlineLvl w:val="0"/>
    </w:pPr>
    <w:rPr>
      <w:rFonts w:asciiTheme="majorHAnsi" w:eastAsiaTheme="majorEastAsia" w:hAnsiTheme="majorHAnsi" w:cstheme="majorBidi"/>
      <w:bCs/>
      <w:i/>
      <w:caps/>
      <w:color w:val="27509B" w:themeColor="accent1"/>
      <w:sz w:val="28"/>
      <w:szCs w:val="28"/>
    </w:rPr>
  </w:style>
  <w:style w:type="paragraph" w:styleId="Titre2">
    <w:name w:val="heading 2"/>
    <w:basedOn w:val="Normal"/>
    <w:next w:val="Normal"/>
    <w:link w:val="Titre2Car"/>
    <w:uiPriority w:val="9"/>
    <w:semiHidden/>
    <w:unhideWhenUsed/>
    <w:qFormat/>
    <w:rsid w:val="00E8447A"/>
    <w:pPr>
      <w:keepNext/>
      <w:keepLines/>
      <w:spacing w:before="200"/>
      <w:outlineLvl w:val="1"/>
    </w:pPr>
    <w:rPr>
      <w:rFonts w:asciiTheme="majorHAnsi" w:eastAsiaTheme="majorEastAsia" w:hAnsiTheme="majorHAnsi" w:cstheme="majorBidi"/>
      <w:bCs/>
      <w:i/>
      <w:cap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4D9F"/>
    <w:pPr>
      <w:tabs>
        <w:tab w:val="center" w:pos="4536"/>
        <w:tab w:val="right" w:pos="9072"/>
      </w:tabs>
    </w:pPr>
  </w:style>
  <w:style w:type="character" w:customStyle="1" w:styleId="En-tteCar">
    <w:name w:val="En-tête Car"/>
    <w:basedOn w:val="Policepardfaut"/>
    <w:link w:val="En-tte"/>
    <w:uiPriority w:val="99"/>
    <w:rsid w:val="00DB4D9F"/>
  </w:style>
  <w:style w:type="paragraph" w:styleId="Pieddepage">
    <w:name w:val="footer"/>
    <w:basedOn w:val="Normal"/>
    <w:link w:val="PieddepageCar"/>
    <w:uiPriority w:val="99"/>
    <w:unhideWhenUsed/>
    <w:rsid w:val="00DB4D9F"/>
    <w:pPr>
      <w:tabs>
        <w:tab w:val="center" w:pos="4536"/>
        <w:tab w:val="right" w:pos="9072"/>
      </w:tabs>
    </w:pPr>
  </w:style>
  <w:style w:type="character" w:customStyle="1" w:styleId="PieddepageCar">
    <w:name w:val="Pied de page Car"/>
    <w:basedOn w:val="Policepardfaut"/>
    <w:link w:val="Pieddepage"/>
    <w:uiPriority w:val="99"/>
    <w:rsid w:val="00DB4D9F"/>
  </w:style>
  <w:style w:type="character" w:customStyle="1" w:styleId="Titre1Car">
    <w:name w:val="Titre 1 Car"/>
    <w:basedOn w:val="Policepardfaut"/>
    <w:link w:val="Titre1"/>
    <w:uiPriority w:val="9"/>
    <w:rsid w:val="00E8447A"/>
    <w:rPr>
      <w:rFonts w:asciiTheme="majorHAnsi" w:eastAsiaTheme="majorEastAsia" w:hAnsiTheme="majorHAnsi" w:cstheme="majorBidi"/>
      <w:bCs/>
      <w:i/>
      <w:caps/>
      <w:color w:val="27509B" w:themeColor="accent1"/>
      <w:sz w:val="28"/>
      <w:szCs w:val="28"/>
    </w:rPr>
  </w:style>
  <w:style w:type="character" w:customStyle="1" w:styleId="Titre2Car">
    <w:name w:val="Titre 2 Car"/>
    <w:basedOn w:val="Policepardfaut"/>
    <w:link w:val="Titre2"/>
    <w:uiPriority w:val="9"/>
    <w:semiHidden/>
    <w:rsid w:val="00E8447A"/>
    <w:rPr>
      <w:rFonts w:asciiTheme="majorHAnsi" w:eastAsiaTheme="majorEastAsia" w:hAnsiTheme="majorHAnsi" w:cstheme="majorBidi"/>
      <w:bCs/>
      <w:i/>
      <w:caps/>
      <w:color w:val="262626" w:themeColor="text1"/>
      <w:sz w:val="26"/>
      <w:szCs w:val="26"/>
    </w:rPr>
  </w:style>
  <w:style w:type="paragraph" w:styleId="Sansinterligne">
    <w:name w:val="No Spacing"/>
    <w:uiPriority w:val="1"/>
    <w:qFormat/>
    <w:rsid w:val="00E8447A"/>
    <w:pPr>
      <w:spacing w:after="0" w:line="240" w:lineRule="auto"/>
    </w:pPr>
    <w:rPr>
      <w:color w:val="262626" w:themeColor="text1"/>
    </w:rPr>
  </w:style>
  <w:style w:type="paragraph" w:styleId="Titre">
    <w:name w:val="Title"/>
    <w:basedOn w:val="Normal"/>
    <w:next w:val="Normal"/>
    <w:link w:val="TitreCar"/>
    <w:autoRedefine/>
    <w:uiPriority w:val="10"/>
    <w:qFormat/>
    <w:rsid w:val="00E8447A"/>
    <w:pPr>
      <w:pBdr>
        <w:bottom w:val="single" w:sz="8" w:space="4" w:color="FCE500" w:themeColor="text2"/>
      </w:pBdr>
      <w:spacing w:after="300"/>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itreCar">
    <w:name w:val="Titre Car"/>
    <w:basedOn w:val="Policepardfaut"/>
    <w:link w:val="Titre"/>
    <w:uiPriority w:val="10"/>
    <w:rsid w:val="00E8447A"/>
    <w:rPr>
      <w:rFonts w:asciiTheme="majorHAnsi" w:eastAsiaTheme="majorEastAsia" w:hAnsiTheme="majorHAnsi" w:cstheme="majorBidi"/>
      <w:i/>
      <w:caps/>
      <w:color w:val="27509B" w:themeColor="accent1"/>
      <w:spacing w:val="5"/>
      <w:kern w:val="28"/>
      <w:sz w:val="52"/>
      <w:szCs w:val="52"/>
    </w:rPr>
  </w:style>
  <w:style w:type="table" w:styleId="Grilledutableau">
    <w:name w:val="Table Grid"/>
    <w:basedOn w:val="Tableau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ous-titreCar">
    <w:name w:val="Sous-titre Car"/>
    <w:basedOn w:val="Policepardfaut"/>
    <w:link w:val="Sous-titre"/>
    <w:uiPriority w:val="11"/>
    <w:rsid w:val="00E8447A"/>
    <w:rPr>
      <w:rFonts w:asciiTheme="majorHAnsi" w:eastAsiaTheme="majorEastAsia" w:hAnsiTheme="majorHAnsi" w:cstheme="majorBidi"/>
      <w:i/>
      <w:iCs/>
      <w:color w:val="262626" w:themeColor="text1"/>
      <w:spacing w:val="15"/>
      <w:sz w:val="24"/>
      <w:szCs w:val="24"/>
    </w:rPr>
  </w:style>
  <w:style w:type="paragraph" w:styleId="Paragraphedeliste">
    <w:name w:val="List Paragraph"/>
    <w:basedOn w:val="Normal"/>
    <w:uiPriority w:val="34"/>
    <w:qFormat/>
    <w:rsid w:val="008C4EAF"/>
    <w:pPr>
      <w:ind w:left="720"/>
      <w:contextualSpacing/>
    </w:pPr>
  </w:style>
  <w:style w:type="paragraph" w:styleId="Textedebulles">
    <w:name w:val="Balloon Text"/>
    <w:basedOn w:val="Normal"/>
    <w:link w:val="TextedebullesCar"/>
    <w:uiPriority w:val="99"/>
    <w:semiHidden/>
    <w:unhideWhenUsed/>
    <w:rsid w:val="00010AFE"/>
    <w:rPr>
      <w:rFonts w:ascii="Tahoma" w:hAnsi="Tahoma" w:cs="Tahoma"/>
      <w:sz w:val="16"/>
      <w:szCs w:val="16"/>
    </w:rPr>
  </w:style>
  <w:style w:type="character" w:customStyle="1" w:styleId="TextedebullesCar">
    <w:name w:val="Texte de bulles Car"/>
    <w:basedOn w:val="Policepardfaut"/>
    <w:link w:val="Textedebulles"/>
    <w:uiPriority w:val="99"/>
    <w:semiHidden/>
    <w:rsid w:val="00010AFE"/>
    <w:rPr>
      <w:rFonts w:ascii="Tahoma" w:eastAsia="Times New Roman" w:hAnsi="Tahoma" w:cs="Tahoma"/>
      <w:sz w:val="16"/>
      <w:szCs w:val="16"/>
    </w:rPr>
  </w:style>
  <w:style w:type="character" w:styleId="Marquedecommentaire">
    <w:name w:val="annotation reference"/>
    <w:basedOn w:val="Policepardfaut"/>
    <w:uiPriority w:val="99"/>
    <w:semiHidden/>
    <w:unhideWhenUsed/>
    <w:rsid w:val="009C6985"/>
    <w:rPr>
      <w:sz w:val="16"/>
      <w:szCs w:val="16"/>
    </w:rPr>
  </w:style>
  <w:style w:type="paragraph" w:styleId="Commentaire">
    <w:name w:val="annotation text"/>
    <w:basedOn w:val="Normal"/>
    <w:link w:val="CommentaireCar"/>
    <w:uiPriority w:val="99"/>
    <w:semiHidden/>
    <w:unhideWhenUsed/>
    <w:rsid w:val="009C6985"/>
  </w:style>
  <w:style w:type="character" w:customStyle="1" w:styleId="CommentaireCar">
    <w:name w:val="Commentaire Car"/>
    <w:basedOn w:val="Policepardfaut"/>
    <w:link w:val="Commentaire"/>
    <w:uiPriority w:val="99"/>
    <w:semiHidden/>
    <w:rsid w:val="009C6985"/>
    <w:rPr>
      <w:rFonts w:ascii="Utopia" w:eastAsia="Times New Roman" w:hAnsi="Utopia" w:cs="Times New Roman"/>
      <w:sz w:val="20"/>
      <w:szCs w:val="20"/>
    </w:rPr>
  </w:style>
  <w:style w:type="paragraph" w:styleId="Objetducommentaire">
    <w:name w:val="annotation subject"/>
    <w:basedOn w:val="Commentaire"/>
    <w:next w:val="Commentaire"/>
    <w:link w:val="ObjetducommentaireCar"/>
    <w:uiPriority w:val="99"/>
    <w:semiHidden/>
    <w:unhideWhenUsed/>
    <w:rsid w:val="009C6985"/>
    <w:rPr>
      <w:b/>
      <w:bCs/>
    </w:rPr>
  </w:style>
  <w:style w:type="character" w:customStyle="1" w:styleId="ObjetducommentaireCar">
    <w:name w:val="Objet du commentaire Car"/>
    <w:basedOn w:val="CommentaireCar"/>
    <w:link w:val="Objetducommentaire"/>
    <w:uiPriority w:val="99"/>
    <w:semiHidden/>
    <w:rsid w:val="009C6985"/>
    <w:rPr>
      <w:rFonts w:ascii="Utopia" w:eastAsia="Times New Roman" w:hAnsi="Utopia" w:cs="Times New Roman"/>
      <w:b/>
      <w:bCs/>
      <w:sz w:val="20"/>
      <w:szCs w:val="20"/>
    </w:rPr>
  </w:style>
  <w:style w:type="character" w:styleId="Lienhypertexte">
    <w:name w:val="Hyperlink"/>
    <w:basedOn w:val="Policepardfaut"/>
    <w:uiPriority w:val="99"/>
    <w:unhideWhenUsed/>
    <w:rsid w:val="00D71934"/>
    <w:rPr>
      <w:color w:val="3F3F3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AF"/>
    <w:pPr>
      <w:spacing w:after="0" w:line="240" w:lineRule="auto"/>
    </w:pPr>
    <w:rPr>
      <w:rFonts w:ascii="Utopia" w:eastAsia="Times New Roman" w:hAnsi="Utopia" w:cs="Times New Roman"/>
      <w:sz w:val="20"/>
      <w:szCs w:val="20"/>
    </w:rPr>
  </w:style>
  <w:style w:type="paragraph" w:styleId="Titre1">
    <w:name w:val="heading 1"/>
    <w:basedOn w:val="Normal"/>
    <w:next w:val="Normal"/>
    <w:link w:val="Titre1Car"/>
    <w:uiPriority w:val="9"/>
    <w:qFormat/>
    <w:rsid w:val="00E8447A"/>
    <w:pPr>
      <w:keepNext/>
      <w:keepLines/>
      <w:spacing w:before="480"/>
      <w:outlineLvl w:val="0"/>
    </w:pPr>
    <w:rPr>
      <w:rFonts w:asciiTheme="majorHAnsi" w:eastAsiaTheme="majorEastAsia" w:hAnsiTheme="majorHAnsi" w:cstheme="majorBidi"/>
      <w:bCs/>
      <w:i/>
      <w:caps/>
      <w:color w:val="27509B" w:themeColor="accent1"/>
      <w:sz w:val="28"/>
      <w:szCs w:val="28"/>
    </w:rPr>
  </w:style>
  <w:style w:type="paragraph" w:styleId="Titre2">
    <w:name w:val="heading 2"/>
    <w:basedOn w:val="Normal"/>
    <w:next w:val="Normal"/>
    <w:link w:val="Titre2Car"/>
    <w:uiPriority w:val="9"/>
    <w:semiHidden/>
    <w:unhideWhenUsed/>
    <w:qFormat/>
    <w:rsid w:val="00E8447A"/>
    <w:pPr>
      <w:keepNext/>
      <w:keepLines/>
      <w:spacing w:before="200"/>
      <w:outlineLvl w:val="1"/>
    </w:pPr>
    <w:rPr>
      <w:rFonts w:asciiTheme="majorHAnsi" w:eastAsiaTheme="majorEastAsia" w:hAnsiTheme="majorHAnsi" w:cstheme="majorBidi"/>
      <w:bCs/>
      <w:i/>
      <w:cap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4D9F"/>
    <w:pPr>
      <w:tabs>
        <w:tab w:val="center" w:pos="4536"/>
        <w:tab w:val="right" w:pos="9072"/>
      </w:tabs>
    </w:pPr>
  </w:style>
  <w:style w:type="character" w:customStyle="1" w:styleId="En-tteCar">
    <w:name w:val="En-tête Car"/>
    <w:basedOn w:val="Policepardfaut"/>
    <w:link w:val="En-tte"/>
    <w:uiPriority w:val="99"/>
    <w:rsid w:val="00DB4D9F"/>
  </w:style>
  <w:style w:type="paragraph" w:styleId="Pieddepage">
    <w:name w:val="footer"/>
    <w:basedOn w:val="Normal"/>
    <w:link w:val="PieddepageCar"/>
    <w:uiPriority w:val="99"/>
    <w:unhideWhenUsed/>
    <w:rsid w:val="00DB4D9F"/>
    <w:pPr>
      <w:tabs>
        <w:tab w:val="center" w:pos="4536"/>
        <w:tab w:val="right" w:pos="9072"/>
      </w:tabs>
    </w:pPr>
  </w:style>
  <w:style w:type="character" w:customStyle="1" w:styleId="PieddepageCar">
    <w:name w:val="Pied de page Car"/>
    <w:basedOn w:val="Policepardfaut"/>
    <w:link w:val="Pieddepage"/>
    <w:uiPriority w:val="99"/>
    <w:rsid w:val="00DB4D9F"/>
  </w:style>
  <w:style w:type="character" w:customStyle="1" w:styleId="Titre1Car">
    <w:name w:val="Titre 1 Car"/>
    <w:basedOn w:val="Policepardfaut"/>
    <w:link w:val="Titre1"/>
    <w:uiPriority w:val="9"/>
    <w:rsid w:val="00E8447A"/>
    <w:rPr>
      <w:rFonts w:asciiTheme="majorHAnsi" w:eastAsiaTheme="majorEastAsia" w:hAnsiTheme="majorHAnsi" w:cstheme="majorBidi"/>
      <w:bCs/>
      <w:i/>
      <w:caps/>
      <w:color w:val="27509B" w:themeColor="accent1"/>
      <w:sz w:val="28"/>
      <w:szCs w:val="28"/>
    </w:rPr>
  </w:style>
  <w:style w:type="character" w:customStyle="1" w:styleId="Titre2Car">
    <w:name w:val="Titre 2 Car"/>
    <w:basedOn w:val="Policepardfaut"/>
    <w:link w:val="Titre2"/>
    <w:uiPriority w:val="9"/>
    <w:semiHidden/>
    <w:rsid w:val="00E8447A"/>
    <w:rPr>
      <w:rFonts w:asciiTheme="majorHAnsi" w:eastAsiaTheme="majorEastAsia" w:hAnsiTheme="majorHAnsi" w:cstheme="majorBidi"/>
      <w:bCs/>
      <w:i/>
      <w:caps/>
      <w:color w:val="262626" w:themeColor="text1"/>
      <w:sz w:val="26"/>
      <w:szCs w:val="26"/>
    </w:rPr>
  </w:style>
  <w:style w:type="paragraph" w:styleId="Sansinterligne">
    <w:name w:val="No Spacing"/>
    <w:uiPriority w:val="1"/>
    <w:qFormat/>
    <w:rsid w:val="00E8447A"/>
    <w:pPr>
      <w:spacing w:after="0" w:line="240" w:lineRule="auto"/>
    </w:pPr>
    <w:rPr>
      <w:color w:val="262626" w:themeColor="text1"/>
    </w:rPr>
  </w:style>
  <w:style w:type="paragraph" w:styleId="Titre">
    <w:name w:val="Title"/>
    <w:basedOn w:val="Normal"/>
    <w:next w:val="Normal"/>
    <w:link w:val="TitreCar"/>
    <w:autoRedefine/>
    <w:uiPriority w:val="10"/>
    <w:qFormat/>
    <w:rsid w:val="00E8447A"/>
    <w:pPr>
      <w:pBdr>
        <w:bottom w:val="single" w:sz="8" w:space="4" w:color="FCE500" w:themeColor="text2"/>
      </w:pBdr>
      <w:spacing w:after="300"/>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itreCar">
    <w:name w:val="Titre Car"/>
    <w:basedOn w:val="Policepardfaut"/>
    <w:link w:val="Titre"/>
    <w:uiPriority w:val="10"/>
    <w:rsid w:val="00E8447A"/>
    <w:rPr>
      <w:rFonts w:asciiTheme="majorHAnsi" w:eastAsiaTheme="majorEastAsia" w:hAnsiTheme="majorHAnsi" w:cstheme="majorBidi"/>
      <w:i/>
      <w:caps/>
      <w:color w:val="27509B" w:themeColor="accent1"/>
      <w:spacing w:val="5"/>
      <w:kern w:val="28"/>
      <w:sz w:val="52"/>
      <w:szCs w:val="52"/>
    </w:rPr>
  </w:style>
  <w:style w:type="table" w:styleId="Grilledutableau">
    <w:name w:val="Table Grid"/>
    <w:basedOn w:val="Tableau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ous-titreCar">
    <w:name w:val="Sous-titre Car"/>
    <w:basedOn w:val="Policepardfaut"/>
    <w:link w:val="Sous-titre"/>
    <w:uiPriority w:val="11"/>
    <w:rsid w:val="00E8447A"/>
    <w:rPr>
      <w:rFonts w:asciiTheme="majorHAnsi" w:eastAsiaTheme="majorEastAsia" w:hAnsiTheme="majorHAnsi" w:cstheme="majorBidi"/>
      <w:i/>
      <w:iCs/>
      <w:color w:val="262626" w:themeColor="text1"/>
      <w:spacing w:val="15"/>
      <w:sz w:val="24"/>
      <w:szCs w:val="24"/>
    </w:rPr>
  </w:style>
  <w:style w:type="paragraph" w:styleId="Paragraphedeliste">
    <w:name w:val="List Paragraph"/>
    <w:basedOn w:val="Normal"/>
    <w:uiPriority w:val="34"/>
    <w:qFormat/>
    <w:rsid w:val="008C4EAF"/>
    <w:pPr>
      <w:ind w:left="720"/>
      <w:contextualSpacing/>
    </w:pPr>
  </w:style>
  <w:style w:type="paragraph" w:styleId="Textedebulles">
    <w:name w:val="Balloon Text"/>
    <w:basedOn w:val="Normal"/>
    <w:link w:val="TextedebullesCar"/>
    <w:uiPriority w:val="99"/>
    <w:semiHidden/>
    <w:unhideWhenUsed/>
    <w:rsid w:val="00010AFE"/>
    <w:rPr>
      <w:rFonts w:ascii="Tahoma" w:hAnsi="Tahoma" w:cs="Tahoma"/>
      <w:sz w:val="16"/>
      <w:szCs w:val="16"/>
    </w:rPr>
  </w:style>
  <w:style w:type="character" w:customStyle="1" w:styleId="TextedebullesCar">
    <w:name w:val="Texte de bulles Car"/>
    <w:basedOn w:val="Policepardfaut"/>
    <w:link w:val="Textedebulles"/>
    <w:uiPriority w:val="99"/>
    <w:semiHidden/>
    <w:rsid w:val="00010AFE"/>
    <w:rPr>
      <w:rFonts w:ascii="Tahoma" w:eastAsia="Times New Roman" w:hAnsi="Tahoma" w:cs="Tahoma"/>
      <w:sz w:val="16"/>
      <w:szCs w:val="16"/>
    </w:rPr>
  </w:style>
  <w:style w:type="character" w:styleId="Marquedecommentaire">
    <w:name w:val="annotation reference"/>
    <w:basedOn w:val="Policepardfaut"/>
    <w:uiPriority w:val="99"/>
    <w:semiHidden/>
    <w:unhideWhenUsed/>
    <w:rsid w:val="009C6985"/>
    <w:rPr>
      <w:sz w:val="16"/>
      <w:szCs w:val="16"/>
    </w:rPr>
  </w:style>
  <w:style w:type="paragraph" w:styleId="Commentaire">
    <w:name w:val="annotation text"/>
    <w:basedOn w:val="Normal"/>
    <w:link w:val="CommentaireCar"/>
    <w:uiPriority w:val="99"/>
    <w:semiHidden/>
    <w:unhideWhenUsed/>
    <w:rsid w:val="009C6985"/>
  </w:style>
  <w:style w:type="character" w:customStyle="1" w:styleId="CommentaireCar">
    <w:name w:val="Commentaire Car"/>
    <w:basedOn w:val="Policepardfaut"/>
    <w:link w:val="Commentaire"/>
    <w:uiPriority w:val="99"/>
    <w:semiHidden/>
    <w:rsid w:val="009C6985"/>
    <w:rPr>
      <w:rFonts w:ascii="Utopia" w:eastAsia="Times New Roman" w:hAnsi="Utopia" w:cs="Times New Roman"/>
      <w:sz w:val="20"/>
      <w:szCs w:val="20"/>
    </w:rPr>
  </w:style>
  <w:style w:type="paragraph" w:styleId="Objetducommentaire">
    <w:name w:val="annotation subject"/>
    <w:basedOn w:val="Commentaire"/>
    <w:next w:val="Commentaire"/>
    <w:link w:val="ObjetducommentaireCar"/>
    <w:uiPriority w:val="99"/>
    <w:semiHidden/>
    <w:unhideWhenUsed/>
    <w:rsid w:val="009C6985"/>
    <w:rPr>
      <w:b/>
      <w:bCs/>
    </w:rPr>
  </w:style>
  <w:style w:type="character" w:customStyle="1" w:styleId="ObjetducommentaireCar">
    <w:name w:val="Objet du commentaire Car"/>
    <w:basedOn w:val="CommentaireCar"/>
    <w:link w:val="Objetducommentaire"/>
    <w:uiPriority w:val="99"/>
    <w:semiHidden/>
    <w:rsid w:val="009C6985"/>
    <w:rPr>
      <w:rFonts w:ascii="Utopia" w:eastAsia="Times New Roman" w:hAnsi="Utopia" w:cs="Times New Roman"/>
      <w:b/>
      <w:bCs/>
      <w:sz w:val="20"/>
      <w:szCs w:val="20"/>
    </w:rPr>
  </w:style>
  <w:style w:type="character" w:styleId="Lienhypertexte">
    <w:name w:val="Hyperlink"/>
    <w:basedOn w:val="Policepardfaut"/>
    <w:uiPriority w:val="99"/>
    <w:unhideWhenUsed/>
    <w:rsid w:val="00D71934"/>
    <w:rPr>
      <w:color w:val="3F3F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cheli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helin.com/fr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chelin.com/fre" TargetMode="External"/><Relationship Id="rId4" Type="http://schemas.microsoft.com/office/2007/relationships/stylesWithEffects" Target="stylesWithEffects.xml"/><Relationship Id="rId9" Type="http://schemas.openxmlformats.org/officeDocument/2006/relationships/hyperlink" Target="http://www.michelin.com/fr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288465\AppData\Local\Temp\notes829BEF\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D852-2F1E-43E2-BBA3-5B7C570B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portrait</Template>
  <TotalTime>2</TotalTime>
  <Pages>9</Pages>
  <Words>3862</Words>
  <Characters>21247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MICHELIN</Company>
  <LinksUpToDate>false</LinksUpToDate>
  <CharactersWithSpaces>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Martin-Duvert</dc:creator>
  <cp:lastModifiedBy>Michelin</cp:lastModifiedBy>
  <cp:revision>4</cp:revision>
  <cp:lastPrinted>2017-02-14T05:57:00Z</cp:lastPrinted>
  <dcterms:created xsi:type="dcterms:W3CDTF">2017-02-13T10:00:00Z</dcterms:created>
  <dcterms:modified xsi:type="dcterms:W3CDTF">2017-02-14T05:57:00Z</dcterms:modified>
</cp:coreProperties>
</file>