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647C" w14:textId="432C1B6A" w:rsidR="007C77B5" w:rsidRPr="007C77B5" w:rsidRDefault="007C77B5" w:rsidP="00B50D0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30" w:line="240" w:lineRule="auto"/>
        <w:ind w:left="567"/>
        <w:jc w:val="right"/>
        <w:outlineLvl w:val="0"/>
        <w:rPr>
          <w:rFonts w:ascii="Times" w:eastAsia="Times" w:hAnsi="Times" w:cs="Times"/>
          <w:b/>
          <w:bCs/>
          <w:color w:val="808080"/>
          <w:sz w:val="24"/>
          <w:szCs w:val="24"/>
          <w:u w:color="808080"/>
          <w:bdr w:val="nil"/>
          <w:lang w:eastAsia="es-ES"/>
        </w:rPr>
      </w:pPr>
      <w:r w:rsidRPr="007C77B5">
        <w:rPr>
          <w:rFonts w:ascii="Times" w:eastAsia="Times" w:hAnsi="Times" w:cs="Times"/>
          <w:b/>
          <w:bCs/>
          <w:color w:val="808080"/>
          <w:sz w:val="24"/>
          <w:szCs w:val="24"/>
          <w:u w:color="808080"/>
          <w:bdr w:val="nil"/>
          <w:lang w:eastAsia="es-ES"/>
        </w:rPr>
        <w:t>INFORMACIÓN DE PRENSA</w:t>
      </w:r>
      <w:r w:rsidRPr="007C77B5">
        <w:rPr>
          <w:rFonts w:ascii="Times" w:eastAsia="Times" w:hAnsi="Times" w:cs="Times"/>
          <w:b/>
          <w:bCs/>
          <w:color w:val="808080"/>
          <w:sz w:val="24"/>
          <w:szCs w:val="24"/>
          <w:u w:color="808080"/>
          <w:bdr w:val="nil"/>
          <w:lang w:eastAsia="es-ES"/>
        </w:rPr>
        <w:br/>
      </w:r>
      <w:r w:rsidRPr="007C77B5">
        <w:rPr>
          <w:rFonts w:ascii="Times" w:eastAsia="Times" w:hAnsi="Times" w:cs="Times"/>
          <w:color w:val="808080"/>
          <w:sz w:val="24"/>
          <w:szCs w:val="24"/>
          <w:u w:color="808080"/>
          <w:bdr w:val="nil"/>
          <w:lang w:eastAsia="es-ES"/>
        </w:rPr>
        <w:fldChar w:fldCharType="begin"/>
      </w:r>
      <w:r w:rsidRPr="007C77B5">
        <w:rPr>
          <w:rFonts w:ascii="Times" w:eastAsia="Times" w:hAnsi="Times" w:cs="Times"/>
          <w:color w:val="808080"/>
          <w:sz w:val="24"/>
          <w:szCs w:val="24"/>
          <w:u w:color="808080"/>
          <w:bdr w:val="nil"/>
          <w:lang w:eastAsia="es-ES"/>
        </w:rPr>
        <w:instrText xml:space="preserve"> TIME \@ "d/M/yyyy" </w:instrText>
      </w:r>
      <w:r w:rsidRPr="007C77B5">
        <w:rPr>
          <w:rFonts w:ascii="Times" w:eastAsia="Times" w:hAnsi="Times" w:cs="Times"/>
          <w:color w:val="808080"/>
          <w:sz w:val="24"/>
          <w:szCs w:val="24"/>
          <w:u w:color="808080"/>
          <w:bdr w:val="nil"/>
          <w:lang w:eastAsia="es-ES"/>
        </w:rPr>
        <w:fldChar w:fldCharType="separate"/>
      </w:r>
      <w:r w:rsidR="00771A47">
        <w:rPr>
          <w:rFonts w:ascii="Times" w:eastAsia="Times" w:hAnsi="Times" w:cs="Times"/>
          <w:noProof/>
          <w:color w:val="808080"/>
          <w:sz w:val="24"/>
          <w:szCs w:val="24"/>
          <w:u w:color="808080"/>
          <w:bdr w:val="nil"/>
          <w:lang w:eastAsia="es-ES"/>
        </w:rPr>
        <w:t>14/2/2017</w:t>
      </w:r>
      <w:r w:rsidRPr="007C77B5">
        <w:rPr>
          <w:rFonts w:ascii="Times" w:eastAsia="Times" w:hAnsi="Times" w:cs="Times"/>
          <w:color w:val="808080"/>
          <w:sz w:val="24"/>
          <w:szCs w:val="24"/>
          <w:u w:color="808080"/>
          <w:bdr w:val="nil"/>
          <w:lang w:eastAsia="es-ES"/>
        </w:rPr>
        <w:fldChar w:fldCharType="end"/>
      </w:r>
    </w:p>
    <w:p w14:paraId="6CB0DDB5" w14:textId="77777777" w:rsidR="007C77B5" w:rsidRPr="007C77B5" w:rsidRDefault="007C77B5" w:rsidP="001A4F1C">
      <w:pPr>
        <w:pBdr>
          <w:top w:val="nil"/>
          <w:left w:val="nil"/>
          <w:bottom w:val="nil"/>
          <w:right w:val="nil"/>
          <w:between w:val="nil"/>
          <w:bar w:val="nil"/>
        </w:pBdr>
        <w:spacing w:after="230" w:line="360" w:lineRule="exact"/>
        <w:ind w:left="567"/>
        <w:jc w:val="center"/>
        <w:rPr>
          <w:rFonts w:ascii="Arial" w:eastAsia="Arial" w:hAnsi="Arial" w:cs="Arial"/>
          <w:b/>
          <w:bCs/>
          <w:color w:val="333399"/>
          <w:sz w:val="40"/>
          <w:szCs w:val="40"/>
          <w:u w:color="333399"/>
          <w:bdr w:val="nil"/>
          <w:lang w:eastAsia="es-ES"/>
        </w:rPr>
      </w:pPr>
    </w:p>
    <w:p w14:paraId="583661D6" w14:textId="77777777" w:rsidR="007C77B5" w:rsidRPr="007C77B5" w:rsidRDefault="007C77B5" w:rsidP="001A4F1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exact"/>
        <w:ind w:left="567"/>
        <w:jc w:val="center"/>
        <w:rPr>
          <w:rFonts w:ascii="Times" w:eastAsia="Times" w:hAnsi="Times" w:cs="Times"/>
          <w:b/>
          <w:bCs/>
          <w:color w:val="365F91"/>
          <w:sz w:val="28"/>
          <w:szCs w:val="28"/>
          <w:u w:color="365F91"/>
          <w:bdr w:val="nil"/>
          <w:lang w:eastAsia="es-ES"/>
        </w:rPr>
      </w:pPr>
      <w:r w:rsidRPr="007C77B5">
        <w:rPr>
          <w:rFonts w:ascii="Times" w:eastAsia="Times" w:hAnsi="Times" w:cs="Times"/>
          <w:b/>
          <w:bCs/>
          <w:color w:val="333399"/>
          <w:sz w:val="40"/>
          <w:szCs w:val="40"/>
          <w:u w:color="333399"/>
          <w:bdr w:val="nil"/>
          <w:lang w:eastAsia="es-ES"/>
        </w:rPr>
        <w:t xml:space="preserve">Resultados financieros del Grupo Michelin </w:t>
      </w:r>
      <w:r w:rsidRPr="007C77B5">
        <w:rPr>
          <w:rFonts w:ascii="Times" w:eastAsia="Times" w:hAnsi="Times" w:cs="Times"/>
          <w:b/>
          <w:bCs/>
          <w:color w:val="333399"/>
          <w:sz w:val="40"/>
          <w:szCs w:val="40"/>
          <w:u w:color="333399"/>
          <w:bdr w:val="nil"/>
          <w:lang w:eastAsia="es-ES"/>
        </w:rPr>
        <w:br/>
      </w:r>
      <w:r w:rsidRPr="007C77B5">
        <w:rPr>
          <w:rFonts w:ascii="Times" w:eastAsia="Times" w:hAnsi="Times" w:cs="Times"/>
          <w:b/>
          <w:bCs/>
          <w:color w:val="365F91"/>
          <w:sz w:val="28"/>
          <w:szCs w:val="28"/>
          <w:u w:color="365F91"/>
          <w:bdr w:val="nil"/>
          <w:lang w:eastAsia="es-ES"/>
        </w:rPr>
        <w:t>Información financiera correspondiente al 31 de diciembre de 2016</w:t>
      </w:r>
    </w:p>
    <w:p w14:paraId="39543CF6" w14:textId="77777777" w:rsidR="007C77B5" w:rsidRPr="007C77B5" w:rsidRDefault="007C77B5" w:rsidP="00771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  <w:u w:color="000000"/>
          <w:bdr w:val="nil"/>
          <w:lang w:eastAsia="es-ES"/>
        </w:rPr>
      </w:pPr>
    </w:p>
    <w:p w14:paraId="01949DE2" w14:textId="27FDD549" w:rsidR="00771A47" w:rsidRDefault="00D733CA" w:rsidP="007744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color w:val="000000"/>
          <w:bdr w:val="nil"/>
          <w:lang w:eastAsia="es-ES"/>
        </w:rPr>
      </w:pP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>2016</w:t>
      </w:r>
      <w:r w:rsidR="00771A47" w:rsidRP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: </w:t>
      </w:r>
      <w:r w:rsid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Objetivos alcanzados. </w:t>
      </w:r>
      <w:r w:rsidR="00771A47" w:rsidRP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Volume</w:t>
      </w:r>
      <w:r w:rsid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>n en crecimiento</w:t>
      </w:r>
      <w:r w:rsidR="00771A47" w:rsidRP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de</w:t>
      </w:r>
      <w:r w:rsid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>l 2,</w:t>
      </w:r>
      <w:r w:rsidR="007744B0">
        <w:rPr>
          <w:rFonts w:ascii="Arial" w:eastAsia="Times" w:hAnsi="Arial" w:cs="Times"/>
          <w:b/>
          <w:bCs/>
          <w:color w:val="000000"/>
          <w:bdr w:val="nil"/>
          <w:lang w:eastAsia="es-ES"/>
        </w:rPr>
        <w:t>1 %</w:t>
      </w:r>
    </w:p>
    <w:p w14:paraId="6BD53A6B" w14:textId="4FEC08BE" w:rsidR="007744B0" w:rsidRDefault="007744B0" w:rsidP="007744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color w:val="000000"/>
          <w:bdr w:val="nil"/>
          <w:lang w:eastAsia="es-ES"/>
        </w:rPr>
      </w:pP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>Resultado operativo antes de elementos no recurrentes de 2.692 mill</w:t>
      </w:r>
      <w:r w:rsidR="00771A47" w:rsidRP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>on</w:t>
      </w: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>es de euros</w:t>
      </w:r>
      <w:r w:rsidR="00D733CA">
        <w:rPr>
          <w:rFonts w:ascii="Arial" w:eastAsia="Times" w:hAnsi="Arial" w:cs="Times"/>
          <w:b/>
          <w:bCs/>
          <w:color w:val="000000"/>
          <w:bdr w:val="nil"/>
          <w:lang w:eastAsia="es-ES"/>
        </w:rPr>
        <w:t>,</w:t>
      </w:r>
      <w:r w:rsidR="00771A47" w:rsidRP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</w:t>
      </w:r>
    </w:p>
    <w:p w14:paraId="6877E4E0" w14:textId="78DD1240" w:rsidR="007744B0" w:rsidRDefault="00D733CA" w:rsidP="007744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color w:val="000000"/>
          <w:bdr w:val="nil"/>
          <w:lang w:eastAsia="es-ES"/>
        </w:rPr>
      </w:pPr>
      <w:proofErr w:type="gramStart"/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>e</w:t>
      </w:r>
      <w:r w:rsidR="007744B0">
        <w:rPr>
          <w:rFonts w:ascii="Arial" w:eastAsia="Times" w:hAnsi="Arial" w:cs="Times"/>
          <w:b/>
          <w:bCs/>
          <w:color w:val="000000"/>
          <w:bdr w:val="nil"/>
          <w:lang w:eastAsia="es-ES"/>
        </w:rPr>
        <w:t>n</w:t>
      </w:r>
      <w:proofErr w:type="gramEnd"/>
      <w:r w:rsidR="007744B0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alza de 235 mill</w:t>
      </w:r>
      <w:r w:rsidR="00771A47" w:rsidRP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>on</w:t>
      </w:r>
      <w:r w:rsidR="007744B0">
        <w:rPr>
          <w:rFonts w:ascii="Arial" w:eastAsia="Times" w:hAnsi="Arial" w:cs="Times"/>
          <w:b/>
          <w:bCs/>
          <w:color w:val="000000"/>
          <w:bdr w:val="nil"/>
          <w:lang w:eastAsia="es-ES"/>
        </w:rPr>
        <w:t>e</w:t>
      </w:r>
      <w:r w:rsidR="00560DAB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s </w:t>
      </w:r>
      <w:r w:rsidR="007744B0">
        <w:rPr>
          <w:rFonts w:ascii="Arial" w:eastAsia="Times" w:hAnsi="Arial" w:cs="Times"/>
          <w:b/>
          <w:bCs/>
          <w:color w:val="000000"/>
          <w:bdr w:val="nil"/>
          <w:lang w:eastAsia="es-ES"/>
        </w:rPr>
        <w:t>de euros a tipos de cambio constantes</w:t>
      </w:r>
    </w:p>
    <w:p w14:paraId="0A38AE59" w14:textId="5E0E3022" w:rsidR="00771A47" w:rsidRDefault="00560DAB" w:rsidP="007744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color w:val="000000"/>
          <w:bdr w:val="nil"/>
          <w:lang w:eastAsia="es-ES"/>
        </w:rPr>
      </w:pP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Cash </w:t>
      </w:r>
      <w:proofErr w:type="spellStart"/>
      <w:r w:rsidR="00771A47" w:rsidRP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>flow</w:t>
      </w:r>
      <w:proofErr w:type="spellEnd"/>
      <w:r w:rsidR="00771A47" w:rsidRP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libre </w:t>
      </w:r>
      <w:r w:rsidR="007744B0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superior </w:t>
      </w: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>a</w:t>
      </w:r>
      <w:r w:rsidR="00771A47" w:rsidRP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1</w:t>
      </w:r>
      <w:r w:rsidR="007744B0">
        <w:rPr>
          <w:rFonts w:ascii="Arial" w:eastAsia="Times" w:hAnsi="Arial" w:cs="Times"/>
          <w:b/>
          <w:bCs/>
          <w:color w:val="000000"/>
          <w:bdr w:val="nil"/>
          <w:lang w:eastAsia="es-ES"/>
        </w:rPr>
        <w:t>.000 millones de euros</w:t>
      </w:r>
    </w:p>
    <w:p w14:paraId="605B2F23" w14:textId="77777777" w:rsidR="007744B0" w:rsidRPr="00771A47" w:rsidRDefault="007744B0" w:rsidP="007744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color w:val="000000"/>
          <w:bdr w:val="nil"/>
          <w:lang w:eastAsia="es-ES"/>
        </w:rPr>
      </w:pPr>
    </w:p>
    <w:p w14:paraId="2A651795" w14:textId="1E8B60D7" w:rsidR="007C77B5" w:rsidRDefault="00D733CA" w:rsidP="00771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 w:line="240" w:lineRule="atLeast"/>
        <w:ind w:left="567"/>
        <w:jc w:val="center"/>
        <w:rPr>
          <w:rFonts w:ascii="Arial" w:eastAsia="Times" w:hAnsi="Arial" w:cs="Times"/>
          <w:b/>
          <w:bCs/>
          <w:color w:val="000000"/>
          <w:bdr w:val="nil"/>
          <w:lang w:eastAsia="es-ES"/>
        </w:rPr>
      </w:pP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>2017</w:t>
      </w:r>
      <w:r w:rsidR="00771A47" w:rsidRP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: </w:t>
      </w:r>
      <w:r w:rsidR="007744B0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Un nuevo año de progreso, en línea con los objetivos del Grupo </w:t>
      </w:r>
      <w:r w:rsidR="001A4F1C">
        <w:rPr>
          <w:rFonts w:ascii="Arial" w:eastAsia="Times" w:hAnsi="Arial" w:cs="Times"/>
          <w:b/>
          <w:bCs/>
          <w:color w:val="000000"/>
          <w:bdr w:val="nil"/>
          <w:lang w:eastAsia="es-ES"/>
        </w:rPr>
        <w:t>para 2020</w:t>
      </w:r>
    </w:p>
    <w:p w14:paraId="0875981A" w14:textId="2258DB90" w:rsidR="001A4F1C" w:rsidRPr="00DC42D4" w:rsidRDefault="001A4F1C" w:rsidP="00BD1E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ind w:left="567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4"/>
          <w:u w:color="000000"/>
          <w:bdr w:val="nil"/>
          <w:lang w:eastAsia="es-ES"/>
        </w:rPr>
      </w:pPr>
      <w:r w:rsidRPr="00DC42D4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4"/>
          <w:u w:color="000000"/>
          <w:bdr w:val="nil"/>
          <w:lang w:eastAsia="es-ES"/>
        </w:rPr>
        <w:t xml:space="preserve"> </w:t>
      </w:r>
    </w:p>
    <w:p w14:paraId="38513B3A" w14:textId="09188FF3" w:rsidR="007C39D0" w:rsidRPr="00D92E4D" w:rsidRDefault="00DC42D4" w:rsidP="00BD1EAB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Volume</w:t>
      </w:r>
      <w:r w:rsidR="007C39D0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n</w:t>
      </w: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en cr</w:t>
      </w:r>
      <w:r w:rsidR="007C39D0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ecimiento</w:t>
      </w: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de</w:t>
      </w:r>
      <w:r w:rsidR="007C39D0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l 2,1 %, superior a los mercados</w:t>
      </w: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,</w:t>
      </w:r>
    </w:p>
    <w:p w14:paraId="524D0A8E" w14:textId="348A76A3" w:rsidR="0021635E" w:rsidRPr="00D92E4D" w:rsidRDefault="0021635E" w:rsidP="00BD1EAB">
      <w:pPr>
        <w:pStyle w:val="Prrafodelist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Turismo </w:t>
      </w:r>
      <w:r w:rsidR="007C39D0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Camioneta (+ 3 %), Camión</w:t>
      </w:r>
      <w:r w:rsidR="00DC42D4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(+ 1 %) </w:t>
      </w:r>
      <w:r w:rsidR="007C39D0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y Especialidades </w:t>
      </w:r>
      <w:r w:rsidR="00DC42D4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(- 1 %).</w:t>
      </w:r>
    </w:p>
    <w:p w14:paraId="5647A524" w14:textId="57CBC610" w:rsidR="00DC42D4" w:rsidRPr="00D92E4D" w:rsidRDefault="0021635E" w:rsidP="00BD1EAB">
      <w:pPr>
        <w:pStyle w:val="Prrafodelist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Progresió</w:t>
      </w:r>
      <w:r w:rsidR="00DC42D4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n </w:t>
      </w: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en el 4ª Trimestre del</w:t>
      </w:r>
      <w:r w:rsidR="00DC42D4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4,2 % </w:t>
      </w: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para el Grupo, con un alza</w:t>
      </w:r>
      <w:r w:rsidR="00DC42D4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de</w:t>
      </w: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l 5 % en Turismo Camioneta y del 6 % para las actividades de Especialidades.</w:t>
      </w:r>
    </w:p>
    <w:p w14:paraId="0E5716FA" w14:textId="37EFC7EA" w:rsidR="0021635E" w:rsidRPr="00D92E4D" w:rsidRDefault="0021635E" w:rsidP="00BD1EAB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Resultado operativo de 2.692 millones de euros, que supone el 12,9 % de las ventas netas. En progresión de 235 millones de euros a tipos de cambio constantes. </w:t>
      </w:r>
    </w:p>
    <w:p w14:paraId="635E2451" w14:textId="5D99154C" w:rsidR="00DC42D4" w:rsidRPr="00D92E4D" w:rsidRDefault="0021635E" w:rsidP="00BD1EAB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Efecto precio-mix/materias primas positivo de 159 millones de euros, gracias a un </w:t>
      </w:r>
      <w:r w:rsidR="00E14200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pilotaje</w:t>
      </w: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eficaz.</w:t>
      </w:r>
    </w:p>
    <w:p w14:paraId="1CE4BC6B" w14:textId="77777777" w:rsidR="00E14200" w:rsidRPr="00D92E4D" w:rsidRDefault="00E14200" w:rsidP="00BD1EAB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Alcanzado el objetivo del plan de competitividad de obtener 1.200 millones de euros en el periodo 2012-2016</w:t>
      </w:r>
    </w:p>
    <w:p w14:paraId="2DA43262" w14:textId="585C8A37" w:rsidR="00DC42D4" w:rsidRPr="00D92E4D" w:rsidRDefault="00E14200" w:rsidP="00BD1EAB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Fuerte generaci</w:t>
      </w:r>
      <w:r w:rsidR="009675E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ón de cash </w:t>
      </w:r>
      <w:proofErr w:type="spellStart"/>
      <w:r w:rsidR="009675E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f</w:t>
      </w: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low</w:t>
      </w:r>
      <w:proofErr w:type="spellEnd"/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libre de 1.024 millones de euros</w:t>
      </w:r>
      <w:r w:rsidR="00DC42D4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.</w:t>
      </w:r>
    </w:p>
    <w:p w14:paraId="57A8441A" w14:textId="11BF9BED" w:rsidR="00E14200" w:rsidRPr="00D92E4D" w:rsidRDefault="002B4CBB" w:rsidP="00BD1EAB">
      <w:pPr>
        <w:pStyle w:val="Prrafodelist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Mejora de 128 m</w:t>
      </w:r>
      <w:r w:rsidR="009675E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illones de euros del cash </w:t>
      </w:r>
      <w:proofErr w:type="spellStart"/>
      <w:r w:rsidR="009675E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f</w:t>
      </w: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low</w:t>
      </w:r>
      <w:proofErr w:type="spellEnd"/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libre estructural hasta 961 millones de euros.</w:t>
      </w:r>
    </w:p>
    <w:p w14:paraId="03FA9471" w14:textId="1FA94FD1" w:rsidR="002B4CBB" w:rsidRPr="00D92E4D" w:rsidRDefault="002B4CBB" w:rsidP="00BD1EAB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Finalización del programa de compra de acciones de 750 millones de euros en 2015 y 2016.</w:t>
      </w:r>
    </w:p>
    <w:p w14:paraId="6BE1D382" w14:textId="77777777" w:rsidR="00BB0DC1" w:rsidRPr="00D92E4D" w:rsidRDefault="002B4CBB" w:rsidP="00BD1EAB">
      <w:pPr>
        <w:pStyle w:val="Prrafodelist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Anulación del 1,8 % de capital en 2016, que corresponde a 301 millones de euros.</w:t>
      </w:r>
    </w:p>
    <w:p w14:paraId="6EF0A19C" w14:textId="517C05F5" w:rsidR="00BB0DC1" w:rsidRDefault="002B4CBB" w:rsidP="00BD1EAB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Proposición de un dividendo de 3,25 euros por acción, que supone una tasa de distribución del 36,5 %, </w:t>
      </w:r>
      <w:r w:rsidR="00BB0DC1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que refleja el compromiso del Grupo hacia sus accionistas y que se someterá a la aprobación de la Asamblea General de Accionistas del 19 de mayo de 2017.</w:t>
      </w:r>
    </w:p>
    <w:p w14:paraId="77E6D0C9" w14:textId="77777777" w:rsidR="00BD1EAB" w:rsidRPr="00BB0DC1" w:rsidRDefault="00BD1EAB" w:rsidP="00D92E4D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1095"/>
        <w:jc w:val="both"/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14:paraId="17A22697" w14:textId="6CDF9110" w:rsidR="00954398" w:rsidRDefault="00BD5548" w:rsidP="0095439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tLeast"/>
        <w:ind w:left="567"/>
        <w:jc w:val="both"/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</w:pP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eastAsia="es-ES"/>
        </w:rPr>
        <w:t xml:space="preserve">Jean-Dominique </w:t>
      </w:r>
      <w:proofErr w:type="spellStart"/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eastAsia="es-ES"/>
        </w:rPr>
        <w:t>Senard</w:t>
      </w:r>
      <w:proofErr w:type="spellEnd"/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eastAsia="es-ES"/>
        </w:rPr>
        <w:t>, Pre</w:t>
      </w:r>
      <w:r w:rsidR="00DC42D4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eastAsia="es-ES"/>
        </w:rPr>
        <w:t>sident</w:t>
      </w: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eastAsia="es-ES"/>
        </w:rPr>
        <w:t>e</w:t>
      </w:r>
      <w:r w:rsidR="00DC42D4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eastAsia="es-ES"/>
        </w:rPr>
        <w:t xml:space="preserve">, </w:t>
      </w:r>
      <w:r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eastAsia="es-ES"/>
        </w:rPr>
        <w:t>ha declarado</w:t>
      </w:r>
      <w:r w:rsidR="00DC42D4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eastAsia="es-ES"/>
        </w:rPr>
        <w:t>:</w:t>
      </w:r>
      <w:r w:rsidR="00DC42D4" w:rsidRPr="00DC42D4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‘‘</w:t>
      </w:r>
      <w:r w:rsidR="00D92E4D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El año 2016 constituye una etapa exitosa en nuestra hoja de ruta estratégica. Nuestro crecimiento, una vez</w:t>
      </w:r>
      <w:r w:rsidR="00554F12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</w:t>
      </w:r>
      <w:r w:rsidR="00D92E4D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más superior al de los mercados, es el fruto de la fuerza de la marca MICHELIN, de nuestro ritmo de innovaciones</w:t>
      </w:r>
      <w:r w:rsidR="00DC42D4" w:rsidRPr="00DC42D4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,</w:t>
      </w:r>
      <w:r w:rsidR="00D92E4D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de la mejora de la calida</w:t>
      </w:r>
      <w:r w:rsidR="00554F12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d</w:t>
      </w:r>
      <w:r w:rsidR="00D92E4D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de servicio en beneficio de nuestros clientes,</w:t>
      </w:r>
      <w:r w:rsidR="00554F12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</w:t>
      </w:r>
      <w:r w:rsidR="00E40274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y del éxito de las gamas intermedias</w:t>
      </w:r>
      <w:r w:rsidR="00DC42D4" w:rsidRPr="00DC42D4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.</w:t>
      </w:r>
      <w:r w:rsidR="00E40274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Nuestra política de precios, que pone en valor el liderazgo tecnológico del Grupo,</w:t>
      </w:r>
      <w:r w:rsidR="00554F12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</w:t>
      </w:r>
      <w:r w:rsidR="00E40274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y nuestro esfuerzo de mejora de la competitividad, nos </w:t>
      </w:r>
      <w:proofErr w:type="gramStart"/>
      <w:r w:rsidR="00E40274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ha</w:t>
      </w:r>
      <w:proofErr w:type="gramEnd"/>
      <w:r w:rsidR="00E40274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permitido alcanzar los objetivos financieros anunciados a principios de año.</w:t>
      </w:r>
      <w:r w:rsidR="00DC42D4" w:rsidRPr="00DC42D4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</w:t>
      </w:r>
      <w:r w:rsidR="00E40274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Esperamos seguir progresando en </w:t>
      </w:r>
      <w:r w:rsidR="00DC42D4" w:rsidRPr="00DC42D4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2017, en </w:t>
      </w:r>
      <w:r w:rsidR="00E40274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línea con los objetivos del Grupo en el Horizonte 2020</w:t>
      </w:r>
      <w:r w:rsidR="00954398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’’</w:t>
      </w:r>
    </w:p>
    <w:p w14:paraId="58CA3AFF" w14:textId="0FEA88AC" w:rsidR="00DC42D4" w:rsidRPr="00072B13" w:rsidRDefault="001817C2" w:rsidP="0095439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tLeast"/>
        <w:ind w:left="567"/>
        <w:jc w:val="both"/>
        <w:rPr>
          <w:rFonts w:ascii="Times" w:eastAsia="Times" w:hAnsi="Times" w:cs="Times"/>
          <w:b/>
          <w:bCs/>
          <w:i/>
          <w:iCs/>
          <w:color w:val="000000"/>
          <w:sz w:val="21"/>
          <w:szCs w:val="25"/>
          <w:u w:color="000000"/>
          <w:bdr w:val="nil"/>
          <w:lang w:val="es-ES" w:eastAsia="es-ES"/>
        </w:rPr>
      </w:pPr>
      <w:r>
        <w:rPr>
          <w:rFonts w:ascii="Times" w:eastAsia="Times" w:hAnsi="Times" w:cs="Times"/>
          <w:b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Perspectiva</w:t>
      </w:r>
      <w:r w:rsidR="00DC42D4" w:rsidRPr="00072B13">
        <w:rPr>
          <w:rFonts w:ascii="Times" w:eastAsia="Times" w:hAnsi="Times" w:cs="Times"/>
          <w:b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s</w:t>
      </w:r>
    </w:p>
    <w:p w14:paraId="61463B20" w14:textId="35CDEB49" w:rsidR="00DC42D4" w:rsidRPr="00072B13" w:rsidRDefault="00DC42D4" w:rsidP="00E40274">
      <w:pPr>
        <w:pStyle w:val="Prrafodelista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En 2017, </w:t>
      </w:r>
      <w:r w:rsidR="00554F12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los mercados de </w:t>
      </w:r>
      <w:r w:rsidR="001817C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n</w:t>
      </w:r>
      <w:r w:rsidR="00554F12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eumáticos deberían estar en línea con las tendencias observadas a fin de 2016</w:t>
      </w:r>
      <w:r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,</w:t>
      </w:r>
      <w:r w:rsidR="00554F12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en particular con el relanzamiento de las ventas de </w:t>
      </w:r>
      <w:r w:rsidR="001817C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n</w:t>
      </w:r>
      <w:r w:rsidR="00554F12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eumáticos para las </w:t>
      </w:r>
      <w:r w:rsidR="00072B13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compañías</w:t>
      </w:r>
      <w:r w:rsidR="00554F12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mineras.</w:t>
      </w:r>
      <w:r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</w:t>
      </w:r>
      <w:r w:rsidR="00554F12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El año estará también marcado por el alza de las materias primas (cuyo impacto está estimado </w:t>
      </w:r>
      <w:r w:rsidR="00072B13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actualmente</w:t>
      </w:r>
      <w:r w:rsidR="00554F12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en unos -900</w:t>
      </w:r>
      <w:r w:rsid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</w:t>
      </w:r>
      <w:r w:rsidR="00554F12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millones de euros) a la que</w:t>
      </w:r>
      <w:r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Michelin</w:t>
      </w:r>
      <w:r w:rsidR="00554F12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responderá con el pilotaje </w:t>
      </w:r>
      <w:r w:rsidR="00072B13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ágil</w:t>
      </w:r>
      <w:r w:rsidR="00554F12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de sus precios </w:t>
      </w:r>
      <w:r w:rsid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para</w:t>
      </w:r>
      <w:r w:rsidR="00554F12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asegurar </w:t>
      </w:r>
      <w:r w:rsidR="00072B13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márgenes</w:t>
      </w:r>
      <w:r w:rsidR="00554F12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unitarios constant</w:t>
      </w:r>
      <w:r w:rsid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e</w:t>
      </w:r>
      <w:r w:rsidR="00554F12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s en las actividades no indexadas.</w:t>
      </w:r>
    </w:p>
    <w:p w14:paraId="552B8C18" w14:textId="02FA267E" w:rsidR="007C77B5" w:rsidRPr="00072B13" w:rsidRDefault="009F11CE" w:rsidP="00E40274">
      <w:pPr>
        <w:pStyle w:val="Prrafodelista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tLeast"/>
        <w:jc w:val="both"/>
        <w:rPr>
          <w:rFonts w:ascii="Times" w:eastAsia="Times" w:hAnsi="Times" w:cs="Times"/>
          <w:bCs/>
          <w:iCs/>
          <w:color w:val="000000"/>
          <w:sz w:val="25"/>
          <w:szCs w:val="25"/>
          <w:u w:color="000000"/>
          <w:bdr w:val="nil"/>
          <w:lang w:val="es-ES" w:eastAsia="es-ES"/>
        </w:rPr>
      </w:pPr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En esta situación de los mercados, los objetivos de Michelin para 2017 son:</w:t>
      </w:r>
      <w:r w:rsidR="00DC42D4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</w:t>
      </w:r>
      <w:r w:rsidR="00FA1714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crecimiento en volumen en línea con la evolución mundial de los mercados, </w:t>
      </w:r>
      <w:r w:rsidR="005E4948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resultado operativo superior o igual al de 2016, y generaci</w:t>
      </w:r>
      <w:r w:rsidR="001817C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ón de cash </w:t>
      </w:r>
      <w:proofErr w:type="spellStart"/>
      <w:r w:rsidR="001817C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f</w:t>
      </w:r>
      <w:r w:rsidR="005E4948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low</w:t>
      </w:r>
      <w:proofErr w:type="spellEnd"/>
      <w:r w:rsidR="005E4948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estructural superior a </w:t>
      </w:r>
      <w:r w:rsidR="00DC42D4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900 </w:t>
      </w:r>
      <w:r w:rsidR="005E4948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millones de euros</w:t>
      </w:r>
      <w:r w:rsidR="00DC42D4" w:rsidRPr="00072B1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.</w:t>
      </w:r>
    </w:p>
    <w:p w14:paraId="02AA4F33" w14:textId="77777777" w:rsidR="007C77B5" w:rsidRPr="00072B13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0" w:lineRule="atLeast"/>
        <w:ind w:left="567"/>
        <w:jc w:val="both"/>
        <w:rPr>
          <w:rFonts w:ascii="Arial" w:eastAsia="Arial Unicode MS" w:hAnsi="Arial" w:cs="Arial Unicode MS"/>
          <w:b/>
          <w:bCs/>
          <w:color w:val="000000"/>
          <w:sz w:val="18"/>
          <w:szCs w:val="21"/>
          <w:u w:color="000000"/>
          <w:bdr w:val="nil"/>
          <w:lang w:val="es-ES" w:eastAsia="es-ES"/>
        </w:rPr>
      </w:pPr>
    </w:p>
    <w:p w14:paraId="0C82F57A" w14:textId="77777777" w:rsidR="007C77B5" w:rsidRPr="007C77B5" w:rsidRDefault="007C77B5" w:rsidP="00B50D0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567"/>
        <w:jc w:val="center"/>
        <w:rPr>
          <w:rFonts w:ascii="Arial" w:eastAsia="Times" w:hAnsi="Times" w:cs="Times"/>
          <w:b/>
          <w:bCs/>
          <w:color w:val="000000"/>
          <w:sz w:val="21"/>
          <w:szCs w:val="21"/>
          <w:u w:color="000000"/>
          <w:bdr w:val="nil"/>
          <w:lang w:eastAsia="es-ES"/>
        </w:rPr>
      </w:pPr>
    </w:p>
    <w:p w14:paraId="170FF5D5" w14:textId="77777777" w:rsidR="007C77B5" w:rsidRPr="007C77B5" w:rsidRDefault="007C77B5" w:rsidP="00B50D0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567"/>
        <w:jc w:val="both"/>
        <w:rPr>
          <w:rFonts w:ascii="Arial" w:eastAsia="Verdana" w:hAnsi="Arial" w:cs="Arial"/>
          <w:color w:val="000000"/>
          <w:sz w:val="24"/>
          <w:szCs w:val="24"/>
          <w:u w:color="000000"/>
          <w:bdr w:val="nil"/>
          <w:lang w:eastAsia="es-ES"/>
        </w:rPr>
      </w:pPr>
    </w:p>
    <w:tbl>
      <w:tblPr>
        <w:tblpPr w:leftFromText="141" w:rightFromText="141" w:vertAnchor="page" w:horzAnchor="margin" w:tblpXSpec="right" w:tblpY="995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96"/>
        <w:gridCol w:w="1843"/>
      </w:tblGrid>
      <w:tr w:rsidR="001A4F1C" w:rsidRPr="001A4F1C" w14:paraId="164078B6" w14:textId="77777777" w:rsidTr="00DE727C">
        <w:trPr>
          <w:trHeight w:val="410"/>
        </w:trPr>
        <w:tc>
          <w:tcPr>
            <w:tcW w:w="47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B0655" w14:textId="48D769E8" w:rsidR="001A4F1C" w:rsidRPr="001A4F1C" w:rsidRDefault="009F11CE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jc w:val="center"/>
              <w:rPr>
                <w:rFonts w:ascii="Arial" w:eastAsia="Times" w:hAnsi="Arial" w:cs="Times"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>
              <w:rPr>
                <w:rFonts w:ascii="Arial" w:eastAsia="Times" w:hAnsi="Arial" w:cs="Times"/>
                <w:color w:val="000000"/>
                <w:sz w:val="20"/>
                <w:szCs w:val="20"/>
                <w:u w:color="000000"/>
                <w:bdr w:val="nil"/>
                <w:lang w:eastAsia="es-ES"/>
              </w:rPr>
              <w:lastRenderedPageBreak/>
              <w:t xml:space="preserve">(EN MILLONES </w:t>
            </w:r>
            <w:r w:rsidR="001A4F1C" w:rsidRPr="001A4F1C">
              <w:rPr>
                <w:rFonts w:ascii="Arial" w:eastAsia="Times" w:hAnsi="Arial" w:cs="Times"/>
                <w:color w:val="000000"/>
                <w:sz w:val="20"/>
                <w:szCs w:val="20"/>
                <w:u w:color="000000"/>
                <w:bdr w:val="nil"/>
                <w:lang w:eastAsia="es-ES"/>
              </w:rPr>
              <w:t>DE EUROS)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6ED43A" w14:textId="77777777" w:rsidR="001A4F1C" w:rsidRPr="001A4F1C" w:rsidRDefault="001A4F1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</w:tabs>
              <w:spacing w:after="240" w:line="270" w:lineRule="atLeast"/>
              <w:ind w:left="69"/>
              <w:jc w:val="center"/>
              <w:rPr>
                <w:rFonts w:ascii="Arial" w:eastAsia="Times" w:hAnsi="Arial" w:cs="Times"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 w:rsidRPr="001A4F1C">
              <w:rPr>
                <w:rFonts w:ascii="Arial" w:eastAsia="Times" w:hAnsi="Arial" w:cs="Times"/>
                <w:color w:val="000000"/>
                <w:sz w:val="20"/>
                <w:szCs w:val="20"/>
                <w:u w:color="000000"/>
                <w:bdr w:val="nil"/>
                <w:lang w:eastAsia="es-ES"/>
              </w:rPr>
              <w:t>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D09DBF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Times" w:hAnsi="Arial" w:cs="Times"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 w:rsidRPr="001A4F1C">
              <w:rPr>
                <w:rFonts w:ascii="Arial" w:eastAsia="Times" w:hAnsi="Arial" w:cs="Times"/>
                <w:color w:val="000000"/>
                <w:sz w:val="20"/>
                <w:szCs w:val="20"/>
                <w:u w:color="000000"/>
                <w:bdr w:val="nil"/>
                <w:lang w:eastAsia="es-ES"/>
              </w:rPr>
              <w:t>2015</w:t>
            </w:r>
          </w:p>
        </w:tc>
      </w:tr>
      <w:tr w:rsidR="001A4F1C" w:rsidRPr="001A4F1C" w14:paraId="49D91E30" w14:textId="77777777" w:rsidTr="00DE727C">
        <w:tc>
          <w:tcPr>
            <w:tcW w:w="4751" w:type="dxa"/>
          </w:tcPr>
          <w:p w14:paraId="4263AD2B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Ventas netas</w:t>
            </w:r>
          </w:p>
        </w:tc>
        <w:tc>
          <w:tcPr>
            <w:tcW w:w="1696" w:type="dxa"/>
          </w:tcPr>
          <w:p w14:paraId="04F7164D" w14:textId="653219D4" w:rsidR="001A4F1C" w:rsidRPr="001A4F1C" w:rsidRDefault="007D339A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  <w:t>20.907</w:t>
            </w:r>
          </w:p>
        </w:tc>
        <w:tc>
          <w:tcPr>
            <w:tcW w:w="1843" w:type="dxa"/>
          </w:tcPr>
          <w:p w14:paraId="161F4CFC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21.199</w:t>
            </w:r>
          </w:p>
        </w:tc>
      </w:tr>
      <w:tr w:rsidR="001A4F1C" w:rsidRPr="001A4F1C" w14:paraId="3CE3EA9F" w14:textId="77777777" w:rsidTr="00DE727C">
        <w:tc>
          <w:tcPr>
            <w:tcW w:w="4751" w:type="dxa"/>
          </w:tcPr>
          <w:p w14:paraId="2967EB95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Resultado operativo antes de elementos no recurrentes</w:t>
            </w:r>
          </w:p>
        </w:tc>
        <w:tc>
          <w:tcPr>
            <w:tcW w:w="1696" w:type="dxa"/>
          </w:tcPr>
          <w:p w14:paraId="184B39F1" w14:textId="77777777" w:rsidR="00064032" w:rsidRDefault="00064032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</w:p>
          <w:p w14:paraId="12C58C4C" w14:textId="02BC9921" w:rsidR="001A4F1C" w:rsidRPr="001A4F1C" w:rsidRDefault="00064032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  <w:t>2.692</w:t>
            </w:r>
          </w:p>
        </w:tc>
        <w:tc>
          <w:tcPr>
            <w:tcW w:w="1843" w:type="dxa"/>
          </w:tcPr>
          <w:p w14:paraId="3FA3F8EE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Arial Unicode MS" w:hAnsi="Arial" w:cs="Arial"/>
                <w:bCs/>
                <w:color w:val="auto"/>
                <w:sz w:val="20"/>
                <w:szCs w:val="20"/>
                <w:bdr w:val="nil"/>
                <w:lang w:eastAsia="en-US"/>
              </w:rPr>
            </w:pPr>
          </w:p>
          <w:p w14:paraId="10919A94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2.577</w:t>
            </w:r>
          </w:p>
        </w:tc>
      </w:tr>
      <w:tr w:rsidR="001A4F1C" w:rsidRPr="001A4F1C" w14:paraId="1A2D9837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AD9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Margen operativo antes de elementos no recurrentes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F383" w14:textId="77777777" w:rsidR="001A4F1C" w:rsidRDefault="001A4F1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</w:p>
          <w:p w14:paraId="0EBD3C72" w14:textId="778E91CC" w:rsidR="0041295D" w:rsidRPr="001A4F1C" w:rsidRDefault="0041295D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  <w:t>12,9 %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8B14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</w:p>
          <w:p w14:paraId="6B183170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12,2 %</w:t>
            </w:r>
          </w:p>
        </w:tc>
      </w:tr>
      <w:tr w:rsidR="001A4F1C" w:rsidRPr="001A4F1C" w14:paraId="2A3EF1EC" w14:textId="77777777" w:rsidTr="00DE727C">
        <w:tc>
          <w:tcPr>
            <w:tcW w:w="4751" w:type="dxa"/>
          </w:tcPr>
          <w:p w14:paraId="623539A4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 xml:space="preserve">Turismo, camioneta y distribución asociada </w:t>
            </w:r>
          </w:p>
        </w:tc>
        <w:tc>
          <w:tcPr>
            <w:tcW w:w="1696" w:type="dxa"/>
          </w:tcPr>
          <w:p w14:paraId="337C3B91" w14:textId="77777777" w:rsidR="001A4F1C" w:rsidRDefault="001A4F1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</w:p>
          <w:p w14:paraId="4005F847" w14:textId="40128406" w:rsidR="0041295D" w:rsidRDefault="0041295D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  <w:t>13,1 %</w:t>
            </w:r>
          </w:p>
          <w:p w14:paraId="2EF1233E" w14:textId="77777777" w:rsidR="0041295D" w:rsidRPr="001A4F1C" w:rsidRDefault="0041295D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</w:p>
        </w:tc>
        <w:tc>
          <w:tcPr>
            <w:tcW w:w="1843" w:type="dxa"/>
          </w:tcPr>
          <w:p w14:paraId="73E1D31E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</w:p>
          <w:p w14:paraId="396D1EAF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11,5 %</w:t>
            </w:r>
          </w:p>
        </w:tc>
      </w:tr>
      <w:tr w:rsidR="001A4F1C" w:rsidRPr="001A4F1C" w14:paraId="2F837357" w14:textId="77777777" w:rsidTr="00DE727C">
        <w:tc>
          <w:tcPr>
            <w:tcW w:w="4751" w:type="dxa"/>
          </w:tcPr>
          <w:p w14:paraId="4BD3B61D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 xml:space="preserve">Camión y distribución asociada </w:t>
            </w:r>
          </w:p>
        </w:tc>
        <w:tc>
          <w:tcPr>
            <w:tcW w:w="1696" w:type="dxa"/>
          </w:tcPr>
          <w:p w14:paraId="13FE4609" w14:textId="1A7E5398" w:rsidR="001A4F1C" w:rsidRPr="001A4F1C" w:rsidRDefault="009F6738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9,7 %</w:t>
            </w:r>
          </w:p>
        </w:tc>
        <w:tc>
          <w:tcPr>
            <w:tcW w:w="1843" w:type="dxa"/>
          </w:tcPr>
          <w:p w14:paraId="1CD19665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10,4 %</w:t>
            </w:r>
          </w:p>
        </w:tc>
      </w:tr>
      <w:tr w:rsidR="001A4F1C" w:rsidRPr="001A4F1C" w14:paraId="29A74C4F" w14:textId="77777777" w:rsidTr="00DE727C">
        <w:trPr>
          <w:trHeight w:val="530"/>
        </w:trPr>
        <w:tc>
          <w:tcPr>
            <w:tcW w:w="4751" w:type="dxa"/>
          </w:tcPr>
          <w:p w14:paraId="60EC917E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Actividades de especialidades</w:t>
            </w:r>
          </w:p>
        </w:tc>
        <w:tc>
          <w:tcPr>
            <w:tcW w:w="1696" w:type="dxa"/>
          </w:tcPr>
          <w:p w14:paraId="6E967426" w14:textId="7B59BE77" w:rsidR="001A4F1C" w:rsidRPr="001A4F1C" w:rsidRDefault="009F6738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18,6 %</w:t>
            </w:r>
          </w:p>
        </w:tc>
        <w:tc>
          <w:tcPr>
            <w:tcW w:w="1843" w:type="dxa"/>
          </w:tcPr>
          <w:p w14:paraId="1CF2CCCB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18,6 %</w:t>
            </w:r>
          </w:p>
        </w:tc>
      </w:tr>
      <w:tr w:rsidR="001A4F1C" w:rsidRPr="001A4F1C" w14:paraId="2D8F675E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2DE5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Elementos no recurrentes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0B4" w14:textId="1F1AB205" w:rsidR="001A4F1C" w:rsidRPr="001A4F1C" w:rsidRDefault="00FD66F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9F2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- 370</w:t>
            </w:r>
          </w:p>
        </w:tc>
      </w:tr>
      <w:tr w:rsidR="001A4F1C" w:rsidRPr="001A4F1C" w14:paraId="6ABFA51F" w14:textId="77777777" w:rsidTr="00DE727C">
        <w:trPr>
          <w:trHeight w:val="795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B71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Resultado operativo tras elementos no recurrentes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4407" w14:textId="5E2C24EF" w:rsidR="001A4F1C" w:rsidRPr="001A4F1C" w:rsidRDefault="00FD66F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2.791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29F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2.207</w:t>
            </w:r>
          </w:p>
        </w:tc>
      </w:tr>
      <w:tr w:rsidR="001A4F1C" w:rsidRPr="001A4F1C" w14:paraId="3D58C116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DBD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 xml:space="preserve">Resultado neto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8F94" w14:textId="5E91CABA" w:rsidR="001A4F1C" w:rsidRPr="001A4F1C" w:rsidRDefault="00FD66F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1.667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B64" w14:textId="77777777" w:rsidR="001A4F1C" w:rsidRPr="001A4F1C" w:rsidRDefault="001A4F1C" w:rsidP="001A4F1C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1.163</w:t>
            </w:r>
          </w:p>
        </w:tc>
      </w:tr>
      <w:tr w:rsidR="001A4F1C" w:rsidRPr="001A4F1C" w14:paraId="6850D6E3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46F5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EBITDA antes de elementos no recurrentes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C9C" w14:textId="77777777" w:rsidR="001A4F1C" w:rsidRDefault="001A4F1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</w:p>
          <w:p w14:paraId="0652CFF1" w14:textId="1D255AC0" w:rsidR="00FD66FC" w:rsidRPr="001A4F1C" w:rsidRDefault="00FD66F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4.084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71A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</w:p>
          <w:p w14:paraId="461D2CEA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3.934</w:t>
            </w:r>
          </w:p>
        </w:tc>
      </w:tr>
      <w:tr w:rsidR="001A4F1C" w:rsidRPr="001A4F1C" w14:paraId="730EF1A5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00E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Inversiones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78B" w14:textId="0FD6B72F" w:rsidR="001A4F1C" w:rsidRPr="001A4F1C" w:rsidRDefault="001B58A2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1.811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AA7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1.804</w:t>
            </w:r>
          </w:p>
        </w:tc>
      </w:tr>
      <w:tr w:rsidR="001A4F1C" w:rsidRPr="001A4F1C" w14:paraId="75C0C8B2" w14:textId="77777777" w:rsidTr="00DE727C">
        <w:trPr>
          <w:trHeight w:val="529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400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Endeudamiento neto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D9F" w14:textId="2AC159CC" w:rsidR="001A4F1C" w:rsidRPr="001A4F1C" w:rsidRDefault="00076580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A64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1.008</w:t>
            </w:r>
          </w:p>
        </w:tc>
      </w:tr>
      <w:tr w:rsidR="001A4F1C" w:rsidRPr="001A4F1C" w14:paraId="7FC98379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19B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Porcentaje de endeudamiento neto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DBB5" w14:textId="2246287F" w:rsidR="001A4F1C" w:rsidRPr="001A4F1C" w:rsidRDefault="00076580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718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11 %</w:t>
            </w:r>
          </w:p>
        </w:tc>
      </w:tr>
      <w:tr w:rsidR="001A4F1C" w:rsidRPr="001A4F1C" w14:paraId="60A4196E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E67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 xml:space="preserve">Deuda social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6296" w14:textId="788C5345" w:rsidR="001A4F1C" w:rsidRPr="001A4F1C" w:rsidRDefault="00076580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4.763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75B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4.888</w:t>
            </w:r>
          </w:p>
        </w:tc>
      </w:tr>
      <w:tr w:rsidR="001A4F1C" w:rsidRPr="001A4F1C" w14:paraId="177D7819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60B" w14:textId="147FFF5F" w:rsidR="001A4F1C" w:rsidRPr="001A4F1C" w:rsidRDefault="001A4F1C" w:rsidP="000765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 xml:space="preserve">Cash </w:t>
            </w:r>
            <w:proofErr w:type="spellStart"/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flow</w:t>
            </w:r>
            <w:proofErr w:type="spellEnd"/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 xml:space="preserve"> libre</w:t>
            </w:r>
            <w:r w:rsidRPr="001A4F1C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es-ES"/>
              </w:rPr>
              <w:footnoteReference w:id="1"/>
            </w: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8BE" w14:textId="0D748FEB" w:rsidR="001A4F1C" w:rsidRPr="001A4F1C" w:rsidRDefault="00076580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1.024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C6F" w14:textId="695CC900" w:rsidR="001A4F1C" w:rsidRPr="001A4F1C" w:rsidRDefault="00076580" w:rsidP="000765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68"/>
              </w:tabs>
              <w:spacing w:after="240" w:line="270" w:lineRule="atLeast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653</w:t>
            </w:r>
          </w:p>
        </w:tc>
      </w:tr>
      <w:tr w:rsidR="00076580" w:rsidRPr="001A4F1C" w14:paraId="630D7D00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FE8" w14:textId="04D63830" w:rsidR="00076580" w:rsidRPr="001A4F1C" w:rsidRDefault="00076580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 xml:space="preserve">Cash </w:t>
            </w:r>
            <w:proofErr w:type="spellStart"/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flow</w:t>
            </w:r>
            <w:proofErr w:type="spellEnd"/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 xml:space="preserve"> libre</w:t>
            </w: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 xml:space="preserve"> estructural</w:t>
            </w:r>
            <w:r w:rsidRPr="001A4F1C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es-ES"/>
              </w:rPr>
              <w:footnoteReference w:id="2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72AB" w14:textId="29364754" w:rsidR="00076580" w:rsidRPr="001A4F1C" w:rsidRDefault="00076580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41D" w14:textId="33B32007" w:rsidR="00076580" w:rsidRPr="001A4F1C" w:rsidRDefault="00076580" w:rsidP="000765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833</w:t>
            </w:r>
          </w:p>
        </w:tc>
      </w:tr>
      <w:tr w:rsidR="001A4F1C" w:rsidRPr="001A4F1C" w14:paraId="4B6E5D0E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C48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Roce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EA5" w14:textId="4E5B04E8" w:rsidR="001A4F1C" w:rsidRPr="001A4F1C" w:rsidRDefault="00C711AF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12,1 %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EDA3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12,2 %</w:t>
            </w:r>
          </w:p>
        </w:tc>
      </w:tr>
      <w:tr w:rsidR="001A4F1C" w:rsidRPr="001A4F1C" w14:paraId="6DB4B55D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FEE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Empleados</w:t>
            </w:r>
            <w:r w:rsidRPr="001A4F1C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es-ES"/>
              </w:rPr>
              <w:footnoteReference w:id="3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23D" w14:textId="14D82A7A" w:rsidR="001A4F1C" w:rsidRPr="001A4F1C" w:rsidRDefault="00C711AF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111.708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83C3" w14:textId="66EB7275" w:rsidR="001A4F1C" w:rsidRPr="001A4F1C" w:rsidRDefault="00C711AF" w:rsidP="00C711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111.681</w:t>
            </w:r>
          </w:p>
        </w:tc>
      </w:tr>
      <w:tr w:rsidR="001A4F1C" w:rsidRPr="001A4F1C" w14:paraId="2467E919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5B5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Resultado neto por 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396" w14:textId="7192E238" w:rsidR="001A4F1C" w:rsidRPr="001A4F1C" w:rsidRDefault="00C711AF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9,21 €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1B60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6,28 €</w:t>
            </w:r>
          </w:p>
        </w:tc>
      </w:tr>
      <w:tr w:rsidR="001A4F1C" w:rsidRPr="001A4F1C" w14:paraId="3A17D3A0" w14:textId="77777777" w:rsidTr="00DE727C">
        <w:trPr>
          <w:trHeight w:val="488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8E7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eastAsia="es-ES"/>
              </w:rPr>
            </w:pPr>
            <w:r w:rsidRPr="001A4F1C"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u w:color="000000"/>
              </w:rPr>
              <w:t>Dividendo por acción</w:t>
            </w:r>
            <w:r w:rsidRPr="001A4F1C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es-ES"/>
              </w:rPr>
              <w:footnoteReference w:id="4"/>
            </w:r>
            <w:r w:rsidRPr="001A4F1C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eastAsia="es-E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113" w14:textId="2AFD77E1" w:rsidR="001A4F1C" w:rsidRPr="001A4F1C" w:rsidRDefault="00C711AF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3,25 €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080" w14:textId="77777777" w:rsidR="001A4F1C" w:rsidRPr="001A4F1C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</w:pPr>
            <w:r w:rsidRPr="001A4F1C"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il"/>
                <w:lang w:eastAsia="en-US"/>
              </w:rPr>
              <w:t>2,85 €</w:t>
            </w:r>
          </w:p>
        </w:tc>
      </w:tr>
    </w:tbl>
    <w:p w14:paraId="71F267AA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7B7FD2F9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71CDA226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78D28A35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400CFD94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4D68E703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4C734C89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7E4BF391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42CBECAC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24436B03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496D147A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78B7639C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2E7548F7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647CF7C8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293A9B82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486C9AA0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0974C225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5F48CCFF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06ED3E63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567F1715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64A56688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385B4A72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2143C57E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3FFC3097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48E0E513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76C0EA08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61DF36D5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4B476205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0C882F17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5F832D97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4678E873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277A6184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1CFBC159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0135363F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716ECA3A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42510DE1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3A8E4B07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7FE120A8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7AAEDA6B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20FE31C9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52C8A9AF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5AEB2CBB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0B1FE871" w14:textId="77777777"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0D493445" w14:textId="77777777" w:rsidR="00C711AF" w:rsidRDefault="00C711AF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76447792" w14:textId="77777777" w:rsidR="00C711AF" w:rsidRDefault="00C711AF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3BAC18A5" w14:textId="77777777" w:rsidR="00C711AF" w:rsidRDefault="00C711AF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14:paraId="5A569BCF" w14:textId="50EC61BC"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  <w:r w:rsidRPr="007C77B5"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  <w:t xml:space="preserve">La misión de </w:t>
      </w:r>
      <w:r w:rsidRPr="007C77B5">
        <w:rPr>
          <w:rFonts w:ascii="Times New Roman" w:eastAsia="Arial Unicode MS" w:hAnsi="Times New Roman" w:cs="Times New Roman"/>
          <w:b/>
          <w:i/>
          <w:color w:val="auto"/>
          <w:sz w:val="24"/>
          <w:szCs w:val="24"/>
          <w:bdr w:val="nil"/>
          <w:lang w:val="es-ES" w:eastAsia="en-US"/>
        </w:rPr>
        <w:t>Michelin,</w:t>
      </w:r>
      <w:r w:rsidRPr="007C77B5"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</w:t>
      </w:r>
      <w:r w:rsidR="00D92E4D"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  <w:t>ente en 170 países, emplea a 111.7</w:t>
      </w:r>
      <w:r w:rsidRPr="007C77B5"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  <w:t>00 personas en todo el mundo y dispone de 68 centros de producción implantados en 17 países diferentes. Michelin posee un Centro de Tecnología encargado de la investigación y desarrollo con implantación en Europa, América del Norte y Asia. (www.michelin.es)</w:t>
      </w:r>
      <w:r w:rsidRPr="007C77B5"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eastAsia="en-US"/>
        </w:rPr>
        <w:t>.</w:t>
      </w:r>
      <w:r w:rsidRPr="007C77B5">
        <w:rPr>
          <w:rFonts w:ascii="Times New Roman" w:eastAsia="Arial Unicode MS" w:hAnsi="Times New Roman" w:cs="Arial"/>
          <w:color w:val="auto"/>
          <w:sz w:val="24"/>
          <w:szCs w:val="24"/>
          <w:bdr w:val="nil"/>
          <w:lang w:val="es-ES" w:eastAsia="en-US"/>
        </w:rPr>
        <w:t xml:space="preserve"> </w:t>
      </w:r>
    </w:p>
    <w:p w14:paraId="47A42D37" w14:textId="77777777"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" w:eastAsia="Times" w:hAnsi="Times" w:cs="Times"/>
          <w:i/>
          <w:iCs/>
          <w:color w:val="000000"/>
          <w:sz w:val="24"/>
          <w:szCs w:val="24"/>
          <w:u w:color="000000"/>
          <w:bdr w:val="nil"/>
          <w:lang w:eastAsia="es-ES"/>
        </w:rPr>
      </w:pPr>
    </w:p>
    <w:p w14:paraId="006768BB" w14:textId="77777777"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</w:pPr>
    </w:p>
    <w:p w14:paraId="1A2987EE" w14:textId="77777777"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</w:pPr>
    </w:p>
    <w:p w14:paraId="46507F91" w14:textId="77777777"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b/>
          <w:bCs/>
          <w:color w:val="808080"/>
          <w:sz w:val="18"/>
          <w:szCs w:val="18"/>
          <w:u w:color="808080"/>
          <w:bdr w:val="nil"/>
          <w:lang w:eastAsia="es-ES"/>
        </w:rPr>
      </w:pPr>
      <w:r w:rsidRPr="007C77B5"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  <w:t>DEPARTAMENTO DE COMUNICACI</w:t>
      </w:r>
      <w:r w:rsidRPr="007C77B5">
        <w:rPr>
          <w:rFonts w:ascii="Cambria" w:eastAsia="Cambria" w:hAnsi="Arial Unicode MS" w:cs="Cambria"/>
          <w:b/>
          <w:bCs/>
          <w:color w:val="808080"/>
          <w:sz w:val="18"/>
          <w:szCs w:val="18"/>
          <w:u w:color="808080"/>
          <w:bdr w:val="nil"/>
          <w:lang w:eastAsia="es-ES"/>
        </w:rPr>
        <w:t>Ó</w:t>
      </w:r>
      <w:r w:rsidRPr="007C77B5"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  <w:t>N</w:t>
      </w:r>
    </w:p>
    <w:p w14:paraId="193AB82C" w14:textId="77777777"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color w:val="808080"/>
          <w:sz w:val="18"/>
          <w:szCs w:val="18"/>
          <w:u w:color="808080"/>
          <w:bdr w:val="nil"/>
          <w:lang w:eastAsia="es-ES"/>
        </w:rPr>
      </w:pPr>
      <w:r w:rsidRPr="007C77B5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>Avda. de Los Encuartes, 19</w:t>
      </w:r>
    </w:p>
    <w:p w14:paraId="7CB83B82" w14:textId="77777777"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color w:val="808080"/>
          <w:sz w:val="18"/>
          <w:szCs w:val="18"/>
          <w:u w:color="808080"/>
          <w:bdr w:val="nil"/>
          <w:lang w:eastAsia="es-ES"/>
        </w:rPr>
      </w:pPr>
      <w:r w:rsidRPr="007C77B5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 xml:space="preserve">28760 Tres Cantos </w:t>
      </w:r>
      <w:r w:rsidRPr="007C77B5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>–</w:t>
      </w:r>
      <w:r w:rsidRPr="007C77B5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 xml:space="preserve"> </w:t>
      </w:r>
      <w:r w:rsidRPr="007C77B5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 xml:space="preserve">Madrid </w:t>
      </w:r>
      <w:r w:rsidRPr="007C77B5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>–</w:t>
      </w:r>
      <w:r w:rsidRPr="007C77B5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 xml:space="preserve"> </w:t>
      </w:r>
      <w:r w:rsidRPr="007C77B5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>ESPA</w:t>
      </w:r>
      <w:r w:rsidRPr="007C77B5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>Ñ</w:t>
      </w:r>
      <w:r w:rsidRPr="007C77B5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>A</w:t>
      </w:r>
    </w:p>
    <w:p w14:paraId="42CFEE07" w14:textId="77777777"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" w:eastAsia="Times" w:hAnsi="Times" w:cs="Times"/>
          <w:color w:val="000000"/>
          <w:sz w:val="24"/>
          <w:szCs w:val="24"/>
          <w:u w:color="000000"/>
          <w:bdr w:val="nil"/>
          <w:lang w:eastAsia="es-ES"/>
        </w:rPr>
      </w:pPr>
      <w:r w:rsidRPr="007C77B5">
        <w:rPr>
          <w:rFonts w:ascii="Arial" w:eastAsia="Times" w:hAnsi="Times" w:cs="Times"/>
          <w:color w:val="808080"/>
          <w:sz w:val="18"/>
          <w:szCs w:val="18"/>
          <w:u w:color="808080"/>
          <w:bdr w:val="nil"/>
          <w:lang w:eastAsia="es-ES"/>
        </w:rPr>
        <w:t xml:space="preserve">Tel: 0034 914 105 167 </w:t>
      </w:r>
      <w:r w:rsidRPr="007C77B5">
        <w:rPr>
          <w:rFonts w:ascii="Times" w:eastAsia="Times" w:hAnsi="Arial Unicode MS" w:cs="Times"/>
          <w:color w:val="808080"/>
          <w:sz w:val="18"/>
          <w:szCs w:val="18"/>
          <w:u w:color="808080"/>
          <w:bdr w:val="nil"/>
          <w:lang w:eastAsia="es-ES"/>
        </w:rPr>
        <w:t>–</w:t>
      </w:r>
      <w:r w:rsidRPr="007C77B5">
        <w:rPr>
          <w:rFonts w:ascii="Times" w:eastAsia="Times" w:hAnsi="Arial Unicode MS" w:cs="Times"/>
          <w:color w:val="808080"/>
          <w:sz w:val="18"/>
          <w:szCs w:val="18"/>
          <w:u w:color="808080"/>
          <w:bdr w:val="nil"/>
          <w:lang w:eastAsia="es-ES"/>
        </w:rPr>
        <w:t xml:space="preserve"> </w:t>
      </w:r>
      <w:r w:rsidRPr="007C77B5">
        <w:rPr>
          <w:rFonts w:ascii="Arial" w:eastAsia="Times" w:hAnsi="Times" w:cs="Times"/>
          <w:color w:val="808080"/>
          <w:sz w:val="18"/>
          <w:szCs w:val="18"/>
          <w:u w:color="808080"/>
          <w:bdr w:val="nil"/>
          <w:lang w:eastAsia="es-ES"/>
        </w:rPr>
        <w:t>Fax: 0034 914 105 293</w:t>
      </w:r>
    </w:p>
    <w:p w14:paraId="69E78B09" w14:textId="05134131" w:rsidR="00E8447A" w:rsidRPr="004F0942" w:rsidRDefault="00E8447A" w:rsidP="00B50D0D">
      <w:pPr>
        <w:spacing w:after="0" w:line="240" w:lineRule="auto"/>
        <w:ind w:left="567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</w:p>
    <w:sectPr w:rsidR="00E8447A" w:rsidRPr="004F0942" w:rsidSect="00B50D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77" w:bottom="567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87005" w14:textId="77777777" w:rsidR="00EB7FFC" w:rsidRDefault="00EB7FFC" w:rsidP="00DB4D9F">
      <w:pPr>
        <w:spacing w:after="0" w:line="240" w:lineRule="auto"/>
      </w:pPr>
      <w:r>
        <w:separator/>
      </w:r>
    </w:p>
  </w:endnote>
  <w:endnote w:type="continuationSeparator" w:id="0">
    <w:p w14:paraId="67CA3504" w14:textId="77777777" w:rsidR="00EB7FFC" w:rsidRDefault="00EB7FFC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751B3" w14:textId="77777777" w:rsidR="005F4E0A" w:rsidRDefault="005F4E0A" w:rsidP="009A2BD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5F4E0A" w:rsidRDefault="005F4E0A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069C" w14:textId="77777777" w:rsidR="005F4E0A" w:rsidRDefault="005F4E0A" w:rsidP="009A2BD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152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5F4E0A" w:rsidRDefault="005F4E0A" w:rsidP="00B2182F">
    <w:pPr>
      <w:pStyle w:val="Piedepgina"/>
      <w:ind w:firstLine="360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5F4E0A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5F4E0A" w:rsidRDefault="005F4E0A" w:rsidP="00944A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45F18" w14:textId="77777777" w:rsidR="00EB7FFC" w:rsidRDefault="00EB7FFC" w:rsidP="00DB4D9F">
      <w:pPr>
        <w:spacing w:after="0" w:line="240" w:lineRule="auto"/>
      </w:pPr>
      <w:r>
        <w:separator/>
      </w:r>
    </w:p>
  </w:footnote>
  <w:footnote w:type="continuationSeparator" w:id="0">
    <w:p w14:paraId="0294F605" w14:textId="77777777" w:rsidR="00EB7FFC" w:rsidRDefault="00EB7FFC" w:rsidP="00DB4D9F">
      <w:pPr>
        <w:spacing w:after="0" w:line="240" w:lineRule="auto"/>
      </w:pPr>
      <w:r>
        <w:continuationSeparator/>
      </w:r>
    </w:p>
  </w:footnote>
  <w:footnote w:id="1">
    <w:p w14:paraId="3F1E72A6" w14:textId="62FB739B" w:rsidR="001A4F1C" w:rsidRPr="007C77B5" w:rsidRDefault="001A4F1C" w:rsidP="001A4F1C">
      <w:pPr>
        <w:pStyle w:val="Textonotapie"/>
        <w:rPr>
          <w:sz w:val="18"/>
        </w:rPr>
      </w:pPr>
      <w:r w:rsidRPr="007C77B5">
        <w:rPr>
          <w:rStyle w:val="Refdenotaalpie"/>
          <w:sz w:val="18"/>
        </w:rPr>
        <w:t>1</w:t>
      </w:r>
      <w:r w:rsidR="00C711AF">
        <w:rPr>
          <w:sz w:val="18"/>
        </w:rPr>
        <w:t xml:space="preserve"> </w:t>
      </w:r>
      <w:r w:rsidR="00A6152E">
        <w:rPr>
          <w:rStyle w:val="hps"/>
          <w:sz w:val="18"/>
          <w:lang w:val="es-ES"/>
        </w:rPr>
        <w:t xml:space="preserve">Cash </w:t>
      </w:r>
      <w:proofErr w:type="spellStart"/>
      <w:r w:rsidR="00A6152E">
        <w:rPr>
          <w:rStyle w:val="hps"/>
          <w:sz w:val="18"/>
          <w:lang w:val="es-ES"/>
        </w:rPr>
        <w:t>f</w:t>
      </w:r>
      <w:r w:rsidRPr="007C77B5">
        <w:rPr>
          <w:rStyle w:val="hps"/>
          <w:sz w:val="18"/>
          <w:lang w:val="es-ES"/>
        </w:rPr>
        <w:t>low</w:t>
      </w:r>
      <w:proofErr w:type="spellEnd"/>
      <w:r w:rsidRPr="007C77B5">
        <w:rPr>
          <w:rStyle w:val="hps"/>
          <w:sz w:val="18"/>
          <w:lang w:val="es-ES"/>
        </w:rPr>
        <w:t xml:space="preserve"> libre:</w:t>
      </w:r>
      <w:r w:rsidRPr="007C77B5">
        <w:rPr>
          <w:sz w:val="18"/>
        </w:rPr>
        <w:t xml:space="preserve"> </w:t>
      </w:r>
      <w:r w:rsidRPr="007C77B5">
        <w:rPr>
          <w:rStyle w:val="hps"/>
          <w:sz w:val="18"/>
          <w:lang w:val="es-ES"/>
        </w:rPr>
        <w:t>Flujo de tesorería en</w:t>
      </w:r>
      <w:r w:rsidRPr="007C77B5">
        <w:rPr>
          <w:sz w:val="10"/>
          <w:lang w:val="es-ES"/>
        </w:rPr>
        <w:t xml:space="preserve"> </w:t>
      </w:r>
      <w:r w:rsidRPr="007C77B5">
        <w:rPr>
          <w:rStyle w:val="hps"/>
          <w:sz w:val="18"/>
          <w:lang w:val="es-ES"/>
        </w:rPr>
        <w:t>actividades operativas - flujo de tesorería en inversiones</w:t>
      </w:r>
      <w:r w:rsidRPr="007C77B5">
        <w:rPr>
          <w:sz w:val="10"/>
          <w:lang w:val="es-ES"/>
        </w:rPr>
        <w:t>.</w:t>
      </w:r>
    </w:p>
    <w:p w14:paraId="0E2115C3" w14:textId="178CA465" w:rsidR="001A4F1C" w:rsidRPr="007C77B5" w:rsidRDefault="001A4F1C" w:rsidP="00F918A3">
      <w:pPr>
        <w:pStyle w:val="Textonotapie"/>
        <w:ind w:right="2323"/>
        <w:rPr>
          <w:rStyle w:val="Refdenotaalpie"/>
          <w:sz w:val="18"/>
        </w:rPr>
      </w:pPr>
      <w:r w:rsidRPr="007C77B5">
        <w:rPr>
          <w:rStyle w:val="Refdenotaalpie"/>
          <w:sz w:val="18"/>
        </w:rPr>
        <w:t>2</w:t>
      </w:r>
      <w:r w:rsidRPr="007C77B5">
        <w:rPr>
          <w:sz w:val="18"/>
        </w:rPr>
        <w:t xml:space="preserve"> </w:t>
      </w:r>
      <w:r w:rsidR="00C711AF">
        <w:rPr>
          <w:rStyle w:val="hps"/>
          <w:sz w:val="18"/>
          <w:lang w:val="es-ES"/>
        </w:rPr>
        <w:t>Cash</w:t>
      </w:r>
      <w:r w:rsidR="00A6152E">
        <w:rPr>
          <w:rStyle w:val="hps"/>
          <w:sz w:val="18"/>
          <w:lang w:val="es-ES"/>
        </w:rPr>
        <w:t xml:space="preserve"> </w:t>
      </w:r>
      <w:proofErr w:type="spellStart"/>
      <w:r w:rsidR="00A6152E">
        <w:rPr>
          <w:rStyle w:val="hps"/>
          <w:sz w:val="18"/>
          <w:lang w:val="es-ES"/>
        </w:rPr>
        <w:t>f</w:t>
      </w:r>
      <w:r w:rsidR="00C711AF">
        <w:rPr>
          <w:rStyle w:val="hps"/>
          <w:sz w:val="18"/>
          <w:lang w:val="es-ES"/>
        </w:rPr>
        <w:t>low</w:t>
      </w:r>
      <w:proofErr w:type="spellEnd"/>
      <w:r w:rsidR="00C711AF">
        <w:rPr>
          <w:rStyle w:val="hps"/>
          <w:sz w:val="18"/>
          <w:lang w:val="es-ES"/>
        </w:rPr>
        <w:t xml:space="preserve"> libre estructural:</w:t>
      </w:r>
      <w:r w:rsidR="00F918A3">
        <w:rPr>
          <w:rStyle w:val="hps"/>
          <w:sz w:val="18"/>
          <w:lang w:val="es-ES"/>
        </w:rPr>
        <w:t xml:space="preserve"> Cash </w:t>
      </w:r>
      <w:proofErr w:type="spellStart"/>
      <w:r w:rsidR="00A6152E">
        <w:rPr>
          <w:rStyle w:val="hps"/>
          <w:sz w:val="18"/>
          <w:lang w:val="es-ES"/>
        </w:rPr>
        <w:t>f</w:t>
      </w:r>
      <w:bookmarkStart w:id="0" w:name="_GoBack"/>
      <w:bookmarkEnd w:id="0"/>
      <w:r w:rsidR="00F918A3">
        <w:rPr>
          <w:rStyle w:val="hps"/>
          <w:sz w:val="18"/>
          <w:lang w:val="es-ES"/>
        </w:rPr>
        <w:t>low</w:t>
      </w:r>
      <w:proofErr w:type="spellEnd"/>
      <w:r w:rsidR="00F918A3">
        <w:rPr>
          <w:rStyle w:val="hps"/>
          <w:sz w:val="18"/>
          <w:lang w:val="es-ES"/>
        </w:rPr>
        <w:t xml:space="preserve"> libre antes de adquisiciones, ajustado del efecto de la variación de costes de las materias primas en las cuentas de clientes, las cuentas de proveedores y los stocks, y del efecto volumen de fin de año sobre las necesidades de fondo de rotación.</w:t>
      </w:r>
    </w:p>
  </w:footnote>
  <w:footnote w:id="2">
    <w:p w14:paraId="1822A9BB" w14:textId="2760B390" w:rsidR="00076580" w:rsidRPr="007C77B5" w:rsidRDefault="00C711AF" w:rsidP="00076580">
      <w:pPr>
        <w:pStyle w:val="Textonotapie"/>
        <w:rPr>
          <w:rStyle w:val="Refdenotaalpie"/>
          <w:sz w:val="18"/>
        </w:rPr>
      </w:pPr>
      <w:r>
        <w:rPr>
          <w:rStyle w:val="Refdenotaalpie"/>
          <w:sz w:val="18"/>
        </w:rPr>
        <w:t>3</w:t>
      </w:r>
      <w:r w:rsidR="00076580" w:rsidRPr="007C77B5">
        <w:rPr>
          <w:sz w:val="18"/>
        </w:rPr>
        <w:t xml:space="preserve"> </w:t>
      </w:r>
      <w:r w:rsidR="00076580" w:rsidRPr="007C77B5">
        <w:rPr>
          <w:rStyle w:val="hps"/>
          <w:sz w:val="18"/>
          <w:lang w:val="es-ES"/>
        </w:rPr>
        <w:t>Al final del periodo.</w:t>
      </w:r>
    </w:p>
  </w:footnote>
  <w:footnote w:id="3">
    <w:p w14:paraId="264C89F2" w14:textId="77777777" w:rsidR="001A4F1C" w:rsidRPr="00576059" w:rsidRDefault="001A4F1C" w:rsidP="001A4F1C">
      <w:pPr>
        <w:pStyle w:val="Textonotapie"/>
        <w:rPr>
          <w:rStyle w:val="Refdenotaalpie"/>
          <w:sz w:val="2"/>
          <w:szCs w:val="2"/>
        </w:rPr>
      </w:pPr>
    </w:p>
  </w:footnote>
  <w:footnote w:id="4">
    <w:p w14:paraId="6154D3EA" w14:textId="5DBDED48" w:rsidR="001A4F1C" w:rsidRPr="00484473" w:rsidRDefault="001A4F1C" w:rsidP="001A4F1C">
      <w:pPr>
        <w:pStyle w:val="Textonotapie"/>
        <w:rPr>
          <w:lang w:val="es-ES"/>
        </w:rPr>
      </w:pPr>
      <w:r w:rsidRPr="007C77B5">
        <w:rPr>
          <w:rStyle w:val="Refdenotaalpie"/>
          <w:sz w:val="18"/>
        </w:rPr>
        <w:footnoteRef/>
      </w:r>
      <w:r w:rsidRPr="007C77B5">
        <w:rPr>
          <w:sz w:val="18"/>
        </w:rPr>
        <w:t xml:space="preserve"> </w:t>
      </w:r>
      <w:r w:rsidR="00C711AF">
        <w:rPr>
          <w:rStyle w:val="hps"/>
          <w:sz w:val="18"/>
          <w:lang w:val="es-ES"/>
        </w:rPr>
        <w:t>Dividendo para 2016</w:t>
      </w:r>
      <w:r w:rsidRPr="007C77B5">
        <w:rPr>
          <w:rStyle w:val="hps"/>
          <w:sz w:val="18"/>
          <w:lang w:val="es-ES"/>
        </w:rPr>
        <w:t xml:space="preserve"> sometido a la aprobaci</w:t>
      </w:r>
      <w:r w:rsidR="00C711AF">
        <w:rPr>
          <w:rStyle w:val="hps"/>
          <w:sz w:val="18"/>
          <w:lang w:val="es-ES"/>
        </w:rPr>
        <w:t>ón de la asamblea general del 1</w:t>
      </w:r>
      <w:r w:rsidR="00D733CA">
        <w:rPr>
          <w:rStyle w:val="hps"/>
          <w:sz w:val="18"/>
          <w:lang w:val="es-ES"/>
        </w:rPr>
        <w:t>9</w:t>
      </w:r>
      <w:r w:rsidR="00C711AF">
        <w:rPr>
          <w:rStyle w:val="hps"/>
          <w:sz w:val="18"/>
          <w:lang w:val="es-ES"/>
        </w:rPr>
        <w:t xml:space="preserve"> de mayo de 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89D3C" w14:textId="77777777" w:rsidR="005F4E0A" w:rsidRDefault="005F4E0A" w:rsidP="009A2BD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5F4E0A" w:rsidRDefault="005F4E0A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1C60" w14:textId="77777777" w:rsidR="005F4E0A" w:rsidRDefault="005F4E0A" w:rsidP="00E96089">
    <w:pPr>
      <w:pStyle w:val="Encabezado"/>
      <w:ind w:firstLine="360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894EE880"/>
    <w:lvl w:ilvl="0">
      <w:start w:val="1"/>
      <w:numFmt w:val="bullet"/>
      <w:lvlText w:val="•"/>
      <w:lvlJc w:val="left"/>
      <w:pPr>
        <w:tabs>
          <w:tab w:val="num" w:pos="332"/>
        </w:tabs>
        <w:ind w:left="332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000001B"/>
    <w:multiLevelType w:val="multilevel"/>
    <w:tmpl w:val="894EE88D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</w:abstractNum>
  <w:abstractNum w:abstractNumId="2">
    <w:nsid w:val="00543DF3"/>
    <w:multiLevelType w:val="hybridMultilevel"/>
    <w:tmpl w:val="8F983830"/>
    <w:lvl w:ilvl="0" w:tplc="EAB60B0C">
      <w:start w:val="1"/>
      <w:numFmt w:val="bullet"/>
      <w:lvlText w:val=""/>
      <w:lvlJc w:val="left"/>
      <w:pPr>
        <w:ind w:left="447" w:hanging="284"/>
      </w:pPr>
      <w:rPr>
        <w:rFonts w:ascii="Wingdings" w:eastAsia="Wingdings" w:hAnsi="Wingdings" w:hint="default"/>
        <w:w w:val="100"/>
        <w:sz w:val="24"/>
        <w:szCs w:val="24"/>
      </w:rPr>
    </w:lvl>
    <w:lvl w:ilvl="1" w:tplc="1BE8F782">
      <w:start w:val="1"/>
      <w:numFmt w:val="bullet"/>
      <w:lvlText w:val="o"/>
      <w:lvlJc w:val="left"/>
      <w:pPr>
        <w:ind w:left="81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E59C4CB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265ABA56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4" w:tplc="EAE4B786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361650C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CB8416B4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5AA4AF88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710A205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515B0"/>
    <w:multiLevelType w:val="hybridMultilevel"/>
    <w:tmpl w:val="9B00B446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0CDD2C7C"/>
    <w:multiLevelType w:val="hybridMultilevel"/>
    <w:tmpl w:val="96864290"/>
    <w:lvl w:ilvl="0" w:tplc="F4F270F2">
      <w:start w:val="1"/>
      <w:numFmt w:val="bullet"/>
      <w:lvlText w:val=""/>
      <w:lvlJc w:val="left"/>
      <w:pPr>
        <w:ind w:left="92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92AE9BB4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  <w:lvl w:ilvl="2" w:tplc="BDC85D5A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3" w:tplc="CDD63D4E">
      <w:start w:val="1"/>
      <w:numFmt w:val="bullet"/>
      <w:lvlText w:val="•"/>
      <w:lvlJc w:val="left"/>
      <w:pPr>
        <w:ind w:left="3837" w:hanging="284"/>
      </w:pPr>
      <w:rPr>
        <w:rFonts w:hint="default"/>
      </w:rPr>
    </w:lvl>
    <w:lvl w:ilvl="4" w:tplc="403EFEA6">
      <w:start w:val="1"/>
      <w:numFmt w:val="bullet"/>
      <w:lvlText w:val="•"/>
      <w:lvlJc w:val="left"/>
      <w:pPr>
        <w:ind w:left="4809" w:hanging="284"/>
      </w:pPr>
      <w:rPr>
        <w:rFonts w:hint="default"/>
      </w:rPr>
    </w:lvl>
    <w:lvl w:ilvl="5" w:tplc="B688F19E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CAF0F0BE">
      <w:start w:val="1"/>
      <w:numFmt w:val="bullet"/>
      <w:lvlText w:val="•"/>
      <w:lvlJc w:val="left"/>
      <w:pPr>
        <w:ind w:left="6754" w:hanging="284"/>
      </w:pPr>
      <w:rPr>
        <w:rFonts w:hint="default"/>
      </w:rPr>
    </w:lvl>
    <w:lvl w:ilvl="7" w:tplc="4C6421FE">
      <w:start w:val="1"/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707E093C">
      <w:start w:val="1"/>
      <w:numFmt w:val="bullet"/>
      <w:lvlText w:val="•"/>
      <w:lvlJc w:val="left"/>
      <w:pPr>
        <w:ind w:left="8699" w:hanging="284"/>
      </w:pPr>
      <w:rPr>
        <w:rFonts w:hint="default"/>
      </w:rPr>
    </w:lvl>
  </w:abstractNum>
  <w:abstractNum w:abstractNumId="6">
    <w:nsid w:val="0D6755E0"/>
    <w:multiLevelType w:val="hybridMultilevel"/>
    <w:tmpl w:val="82DCBEF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E771B"/>
    <w:multiLevelType w:val="hybridMultilevel"/>
    <w:tmpl w:val="54ACC20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E6E30"/>
    <w:multiLevelType w:val="multilevel"/>
    <w:tmpl w:val="84007136"/>
    <w:numStyleLink w:val="List0"/>
  </w:abstractNum>
  <w:abstractNum w:abstractNumId="9">
    <w:nsid w:val="23064DCB"/>
    <w:multiLevelType w:val="hybridMultilevel"/>
    <w:tmpl w:val="768EC0C2"/>
    <w:lvl w:ilvl="0" w:tplc="0C0A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0">
    <w:nsid w:val="23FC2E1D"/>
    <w:multiLevelType w:val="multilevel"/>
    <w:tmpl w:val="77E070F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11">
    <w:nsid w:val="257F39A3"/>
    <w:multiLevelType w:val="hybridMultilevel"/>
    <w:tmpl w:val="A0742314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B7101"/>
    <w:multiLevelType w:val="hybridMultilevel"/>
    <w:tmpl w:val="2848B00E"/>
    <w:lvl w:ilvl="0" w:tplc="882CA938">
      <w:start w:val="1"/>
      <w:numFmt w:val="bullet"/>
      <w:lvlText w:val=""/>
      <w:lvlJc w:val="left"/>
      <w:pPr>
        <w:ind w:left="467" w:hanging="351"/>
      </w:pPr>
      <w:rPr>
        <w:rFonts w:ascii="Wingdings" w:eastAsia="Wingdings" w:hAnsi="Wingdings" w:hint="default"/>
        <w:w w:val="100"/>
        <w:sz w:val="20"/>
        <w:szCs w:val="20"/>
      </w:rPr>
    </w:lvl>
    <w:lvl w:ilvl="1" w:tplc="57A26F1A">
      <w:start w:val="1"/>
      <w:numFmt w:val="bullet"/>
      <w:lvlText w:val=""/>
      <w:lvlJc w:val="left"/>
      <w:pPr>
        <w:ind w:left="827" w:hanging="284"/>
      </w:pPr>
      <w:rPr>
        <w:rFonts w:ascii="Wingdings" w:eastAsia="Wingdings" w:hAnsi="Wingdings" w:hint="default"/>
        <w:w w:val="100"/>
        <w:sz w:val="24"/>
        <w:szCs w:val="24"/>
      </w:rPr>
    </w:lvl>
    <w:lvl w:ilvl="2" w:tplc="A77CCADA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3" w:tplc="B88E8DFA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59989C4E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F1504A78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6B1C756C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3F90D5C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B703664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3">
    <w:nsid w:val="29FE1FDA"/>
    <w:multiLevelType w:val="hybridMultilevel"/>
    <w:tmpl w:val="3F4C9B48"/>
    <w:lvl w:ilvl="0" w:tplc="E5D0F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80D40"/>
    <w:multiLevelType w:val="hybridMultilevel"/>
    <w:tmpl w:val="E7F0AA60"/>
    <w:lvl w:ilvl="0" w:tplc="A53A3C64">
      <w:start w:val="1"/>
      <w:numFmt w:val="bullet"/>
      <w:lvlText w:val=""/>
      <w:lvlJc w:val="left"/>
      <w:pPr>
        <w:ind w:left="616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37E018FC">
      <w:start w:val="1"/>
      <w:numFmt w:val="bullet"/>
      <w:lvlText w:val="o"/>
      <w:lvlJc w:val="left"/>
      <w:pPr>
        <w:ind w:left="1692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D21C2A0E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EA00871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377E66B0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F418BC66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6" w:tplc="39225712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A20047E0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  <w:lvl w:ilvl="8" w:tplc="B06C9CF4">
      <w:start w:val="1"/>
      <w:numFmt w:val="bullet"/>
      <w:lvlText w:val="•"/>
      <w:lvlJc w:val="left"/>
      <w:pPr>
        <w:ind w:left="8687" w:hanging="360"/>
      </w:pPr>
      <w:rPr>
        <w:rFonts w:hint="default"/>
      </w:rPr>
    </w:lvl>
  </w:abstractNum>
  <w:abstractNum w:abstractNumId="15">
    <w:nsid w:val="2F2B35A4"/>
    <w:multiLevelType w:val="hybridMultilevel"/>
    <w:tmpl w:val="66B0FA44"/>
    <w:lvl w:ilvl="0" w:tplc="19DE991C">
      <w:start w:val="5"/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40992"/>
    <w:multiLevelType w:val="hybridMultilevel"/>
    <w:tmpl w:val="A8A08332"/>
    <w:lvl w:ilvl="0" w:tplc="BDA29550">
      <w:start w:val="1"/>
      <w:numFmt w:val="bullet"/>
      <w:lvlText w:val="o"/>
      <w:lvlJc w:val="left"/>
      <w:pPr>
        <w:ind w:left="1292" w:hanging="356"/>
      </w:pPr>
      <w:rPr>
        <w:rFonts w:ascii="Courier New" w:eastAsia="Courier New" w:hAnsi="Courier New" w:hint="default"/>
        <w:w w:val="100"/>
        <w:sz w:val="20"/>
        <w:szCs w:val="20"/>
      </w:rPr>
    </w:lvl>
    <w:lvl w:ilvl="1" w:tplc="AB684F9C">
      <w:start w:val="1"/>
      <w:numFmt w:val="bullet"/>
      <w:lvlText w:val="•"/>
      <w:lvlJc w:val="left"/>
      <w:pPr>
        <w:ind w:left="2234" w:hanging="356"/>
      </w:pPr>
      <w:rPr>
        <w:rFonts w:hint="default"/>
      </w:rPr>
    </w:lvl>
    <w:lvl w:ilvl="2" w:tplc="85C8B9B2">
      <w:start w:val="1"/>
      <w:numFmt w:val="bullet"/>
      <w:lvlText w:val="•"/>
      <w:lvlJc w:val="left"/>
      <w:pPr>
        <w:ind w:left="3168" w:hanging="356"/>
      </w:pPr>
      <w:rPr>
        <w:rFonts w:hint="default"/>
      </w:rPr>
    </w:lvl>
    <w:lvl w:ilvl="3" w:tplc="7C9A9844">
      <w:start w:val="1"/>
      <w:numFmt w:val="bullet"/>
      <w:lvlText w:val="•"/>
      <w:lvlJc w:val="left"/>
      <w:pPr>
        <w:ind w:left="4103" w:hanging="356"/>
      </w:pPr>
      <w:rPr>
        <w:rFonts w:hint="default"/>
      </w:rPr>
    </w:lvl>
    <w:lvl w:ilvl="4" w:tplc="DE38857C">
      <w:start w:val="1"/>
      <w:numFmt w:val="bullet"/>
      <w:lvlText w:val="•"/>
      <w:lvlJc w:val="left"/>
      <w:pPr>
        <w:ind w:left="5037" w:hanging="356"/>
      </w:pPr>
      <w:rPr>
        <w:rFonts w:hint="default"/>
      </w:rPr>
    </w:lvl>
    <w:lvl w:ilvl="5" w:tplc="6B38D68E">
      <w:start w:val="1"/>
      <w:numFmt w:val="bullet"/>
      <w:lvlText w:val="•"/>
      <w:lvlJc w:val="left"/>
      <w:pPr>
        <w:ind w:left="5972" w:hanging="356"/>
      </w:pPr>
      <w:rPr>
        <w:rFonts w:hint="default"/>
      </w:rPr>
    </w:lvl>
    <w:lvl w:ilvl="6" w:tplc="9940C002">
      <w:start w:val="1"/>
      <w:numFmt w:val="bullet"/>
      <w:lvlText w:val="•"/>
      <w:lvlJc w:val="left"/>
      <w:pPr>
        <w:ind w:left="6906" w:hanging="356"/>
      </w:pPr>
      <w:rPr>
        <w:rFonts w:hint="default"/>
      </w:rPr>
    </w:lvl>
    <w:lvl w:ilvl="7" w:tplc="A1ACC618">
      <w:start w:val="1"/>
      <w:numFmt w:val="bullet"/>
      <w:lvlText w:val="•"/>
      <w:lvlJc w:val="left"/>
      <w:pPr>
        <w:ind w:left="7840" w:hanging="356"/>
      </w:pPr>
      <w:rPr>
        <w:rFonts w:hint="default"/>
      </w:rPr>
    </w:lvl>
    <w:lvl w:ilvl="8" w:tplc="3DFAFEFA">
      <w:start w:val="1"/>
      <w:numFmt w:val="bullet"/>
      <w:lvlText w:val="•"/>
      <w:lvlJc w:val="left"/>
      <w:pPr>
        <w:ind w:left="8775" w:hanging="356"/>
      </w:pPr>
      <w:rPr>
        <w:rFonts w:hint="default"/>
      </w:rPr>
    </w:lvl>
  </w:abstractNum>
  <w:abstractNum w:abstractNumId="17">
    <w:nsid w:val="35B936DA"/>
    <w:multiLevelType w:val="hybridMultilevel"/>
    <w:tmpl w:val="F928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56B59"/>
    <w:multiLevelType w:val="hybridMultilevel"/>
    <w:tmpl w:val="05B66E64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7635BC"/>
    <w:multiLevelType w:val="hybridMultilevel"/>
    <w:tmpl w:val="3C8C183E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C4C2E"/>
    <w:multiLevelType w:val="hybridMultilevel"/>
    <w:tmpl w:val="13B20EDC"/>
    <w:lvl w:ilvl="0" w:tplc="BF28FEFE">
      <w:numFmt w:val="bullet"/>
      <w:lvlText w:val=""/>
      <w:lvlJc w:val="left"/>
      <w:pPr>
        <w:ind w:left="927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7A967D0"/>
    <w:multiLevelType w:val="hybridMultilevel"/>
    <w:tmpl w:val="A6AC7CEC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C3D38"/>
    <w:multiLevelType w:val="hybridMultilevel"/>
    <w:tmpl w:val="8EF84664"/>
    <w:lvl w:ilvl="0" w:tplc="FF52B398">
      <w:start w:val="1"/>
      <w:numFmt w:val="bullet"/>
      <w:lvlText w:val=""/>
      <w:lvlJc w:val="left"/>
      <w:pPr>
        <w:ind w:left="92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4132931E">
      <w:start w:val="1"/>
      <w:numFmt w:val="bullet"/>
      <w:lvlText w:val="o"/>
      <w:lvlJc w:val="left"/>
      <w:pPr>
        <w:ind w:left="1292" w:hanging="356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763668A0">
      <w:start w:val="1"/>
      <w:numFmt w:val="bullet"/>
      <w:lvlText w:val="•"/>
      <w:lvlJc w:val="left"/>
      <w:pPr>
        <w:ind w:left="2338" w:hanging="356"/>
      </w:pPr>
      <w:rPr>
        <w:rFonts w:hint="default"/>
      </w:rPr>
    </w:lvl>
    <w:lvl w:ilvl="3" w:tplc="3F2CD9EC">
      <w:start w:val="1"/>
      <w:numFmt w:val="bullet"/>
      <w:lvlText w:val="•"/>
      <w:lvlJc w:val="left"/>
      <w:pPr>
        <w:ind w:left="3376" w:hanging="356"/>
      </w:pPr>
      <w:rPr>
        <w:rFonts w:hint="default"/>
      </w:rPr>
    </w:lvl>
    <w:lvl w:ilvl="4" w:tplc="D696E100">
      <w:start w:val="1"/>
      <w:numFmt w:val="bullet"/>
      <w:lvlText w:val="•"/>
      <w:lvlJc w:val="left"/>
      <w:pPr>
        <w:ind w:left="4414" w:hanging="356"/>
      </w:pPr>
      <w:rPr>
        <w:rFonts w:hint="default"/>
      </w:rPr>
    </w:lvl>
    <w:lvl w:ilvl="5" w:tplc="66BA8660">
      <w:start w:val="1"/>
      <w:numFmt w:val="bullet"/>
      <w:lvlText w:val="•"/>
      <w:lvlJc w:val="left"/>
      <w:pPr>
        <w:ind w:left="5452" w:hanging="356"/>
      </w:pPr>
      <w:rPr>
        <w:rFonts w:hint="default"/>
      </w:rPr>
    </w:lvl>
    <w:lvl w:ilvl="6" w:tplc="8CF28148">
      <w:start w:val="1"/>
      <w:numFmt w:val="bullet"/>
      <w:lvlText w:val="•"/>
      <w:lvlJc w:val="left"/>
      <w:pPr>
        <w:ind w:left="6491" w:hanging="356"/>
      </w:pPr>
      <w:rPr>
        <w:rFonts w:hint="default"/>
      </w:rPr>
    </w:lvl>
    <w:lvl w:ilvl="7" w:tplc="2A020410">
      <w:start w:val="1"/>
      <w:numFmt w:val="bullet"/>
      <w:lvlText w:val="•"/>
      <w:lvlJc w:val="left"/>
      <w:pPr>
        <w:ind w:left="7529" w:hanging="356"/>
      </w:pPr>
      <w:rPr>
        <w:rFonts w:hint="default"/>
      </w:rPr>
    </w:lvl>
    <w:lvl w:ilvl="8" w:tplc="1A742A70">
      <w:start w:val="1"/>
      <w:numFmt w:val="bullet"/>
      <w:lvlText w:val="•"/>
      <w:lvlJc w:val="left"/>
      <w:pPr>
        <w:ind w:left="8567" w:hanging="356"/>
      </w:pPr>
      <w:rPr>
        <w:rFonts w:hint="default"/>
      </w:rPr>
    </w:lvl>
  </w:abstractNum>
  <w:abstractNum w:abstractNumId="23">
    <w:nsid w:val="58E103EA"/>
    <w:multiLevelType w:val="hybridMultilevel"/>
    <w:tmpl w:val="AEA698C6"/>
    <w:lvl w:ilvl="0" w:tplc="7E3C33C8">
      <w:start w:val="1"/>
      <w:numFmt w:val="bullet"/>
      <w:lvlText w:val="*"/>
      <w:lvlJc w:val="left"/>
      <w:pPr>
        <w:ind w:left="714" w:hanging="178"/>
      </w:pPr>
      <w:rPr>
        <w:rFonts w:ascii="Verdana" w:eastAsia="Verdana" w:hAnsi="Verdana" w:hint="default"/>
        <w:w w:val="101"/>
        <w:sz w:val="18"/>
        <w:szCs w:val="18"/>
      </w:rPr>
    </w:lvl>
    <w:lvl w:ilvl="1" w:tplc="CE4A68EC">
      <w:start w:val="1"/>
      <w:numFmt w:val="bullet"/>
      <w:lvlText w:val=""/>
      <w:lvlJc w:val="left"/>
      <w:pPr>
        <w:ind w:left="124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2" w:tplc="98624EDA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3" w:tplc="90F0AC10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4" w:tplc="80A81A92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B4FC9466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B3F657D8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66183A30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ACA4998C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4">
    <w:nsid w:val="63992DAA"/>
    <w:multiLevelType w:val="hybridMultilevel"/>
    <w:tmpl w:val="17B607B8"/>
    <w:lvl w:ilvl="0" w:tplc="6A40B960">
      <w:start w:val="1"/>
      <w:numFmt w:val="bullet"/>
      <w:lvlText w:val=""/>
      <w:lvlJc w:val="left"/>
      <w:pPr>
        <w:ind w:left="576" w:hanging="284"/>
      </w:pPr>
      <w:rPr>
        <w:rFonts w:ascii="Wingdings" w:eastAsia="Wingdings" w:hAnsi="Wingdings" w:hint="default"/>
        <w:w w:val="101"/>
        <w:sz w:val="18"/>
        <w:szCs w:val="18"/>
      </w:rPr>
    </w:lvl>
    <w:lvl w:ilvl="1" w:tplc="3850C3CC">
      <w:start w:val="1"/>
      <w:numFmt w:val="bullet"/>
      <w:lvlText w:val=""/>
      <w:lvlJc w:val="left"/>
      <w:pPr>
        <w:ind w:left="1120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0DCED848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F058F1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75B6256A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B4386A7C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AB6CF3C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0728E76E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04322DD8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25">
    <w:nsid w:val="63C25832"/>
    <w:multiLevelType w:val="multilevel"/>
    <w:tmpl w:val="5FDC1038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6C61EA"/>
    <w:multiLevelType w:val="hybridMultilevel"/>
    <w:tmpl w:val="C7605998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CDC0561"/>
    <w:multiLevelType w:val="hybridMultilevel"/>
    <w:tmpl w:val="376C8E16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5D3621"/>
    <w:multiLevelType w:val="multilevel"/>
    <w:tmpl w:val="8400713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29">
    <w:nsid w:val="73BA7A05"/>
    <w:multiLevelType w:val="hybridMultilevel"/>
    <w:tmpl w:val="B56453C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E7DC5"/>
    <w:multiLevelType w:val="multilevel"/>
    <w:tmpl w:val="A7ACF16A"/>
    <w:styleLink w:val="Lista31"/>
    <w:lvl w:ilvl="0">
      <w:numFmt w:val="bullet"/>
      <w:lvlText w:val="o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1">
    <w:nsid w:val="75F102D5"/>
    <w:multiLevelType w:val="hybridMultilevel"/>
    <w:tmpl w:val="AAB68622"/>
    <w:lvl w:ilvl="0" w:tplc="3CC01BD0">
      <w:start w:val="1"/>
      <w:numFmt w:val="bullet"/>
      <w:lvlText w:val=""/>
      <w:lvlJc w:val="left"/>
      <w:pPr>
        <w:ind w:left="827" w:hanging="361"/>
      </w:pPr>
      <w:rPr>
        <w:rFonts w:ascii="Wingdings" w:eastAsia="Wingdings" w:hAnsi="Wingdings" w:hint="default"/>
        <w:w w:val="100"/>
        <w:sz w:val="20"/>
        <w:szCs w:val="20"/>
      </w:rPr>
    </w:lvl>
    <w:lvl w:ilvl="1" w:tplc="3CC2403C">
      <w:start w:val="1"/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BA168130">
      <w:start w:val="1"/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799CBB5C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4" w:tplc="602602EC">
      <w:start w:val="1"/>
      <w:numFmt w:val="bullet"/>
      <w:lvlText w:val="•"/>
      <w:lvlJc w:val="left"/>
      <w:pPr>
        <w:ind w:left="4709" w:hanging="361"/>
      </w:pPr>
      <w:rPr>
        <w:rFonts w:hint="default"/>
      </w:rPr>
    </w:lvl>
    <w:lvl w:ilvl="5" w:tplc="8A02D222">
      <w:start w:val="1"/>
      <w:numFmt w:val="bullet"/>
      <w:lvlText w:val="•"/>
      <w:lvlJc w:val="left"/>
      <w:pPr>
        <w:ind w:left="5682" w:hanging="361"/>
      </w:pPr>
      <w:rPr>
        <w:rFonts w:hint="default"/>
      </w:rPr>
    </w:lvl>
    <w:lvl w:ilvl="6" w:tplc="ED0C64F0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 w:tplc="B1D24136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1D4C3FDA">
      <w:start w:val="1"/>
      <w:numFmt w:val="bullet"/>
      <w:lvlText w:val="•"/>
      <w:lvlJc w:val="left"/>
      <w:pPr>
        <w:ind w:left="8599" w:hanging="361"/>
      </w:pPr>
      <w:rPr>
        <w:rFonts w:hint="default"/>
      </w:rPr>
    </w:lvl>
  </w:abstractNum>
  <w:abstractNum w:abstractNumId="32">
    <w:nsid w:val="784F5108"/>
    <w:multiLevelType w:val="hybridMultilevel"/>
    <w:tmpl w:val="AB1E3058"/>
    <w:lvl w:ilvl="0" w:tplc="EEBE95EA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  <w:color w:val="auto"/>
      </w:rPr>
    </w:lvl>
    <w:lvl w:ilvl="1" w:tplc="EEBE95EA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3">
    <w:nsid w:val="7A991D65"/>
    <w:multiLevelType w:val="hybridMultilevel"/>
    <w:tmpl w:val="BCC67F9A"/>
    <w:lvl w:ilvl="0" w:tplc="D2F0B6DA">
      <w:start w:val="1"/>
      <w:numFmt w:val="bullet"/>
      <w:lvlText w:val=""/>
      <w:lvlJc w:val="left"/>
      <w:pPr>
        <w:ind w:left="616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7286EA50">
      <w:start w:val="1"/>
      <w:numFmt w:val="bullet"/>
      <w:lvlText w:val=""/>
      <w:lvlJc w:val="left"/>
      <w:pPr>
        <w:ind w:left="819" w:hanging="284"/>
      </w:pPr>
      <w:rPr>
        <w:rFonts w:ascii="Wingdings" w:eastAsia="Wingdings" w:hAnsi="Wingdings" w:hint="default"/>
        <w:w w:val="100"/>
        <w:sz w:val="20"/>
        <w:szCs w:val="20"/>
      </w:rPr>
    </w:lvl>
    <w:lvl w:ilvl="2" w:tplc="9180691C">
      <w:start w:val="1"/>
      <w:numFmt w:val="bullet"/>
      <w:lvlText w:val="•"/>
      <w:lvlJc w:val="left"/>
      <w:pPr>
        <w:ind w:left="1916" w:hanging="284"/>
      </w:pPr>
      <w:rPr>
        <w:rFonts w:hint="default"/>
      </w:rPr>
    </w:lvl>
    <w:lvl w:ilvl="3" w:tplc="F54AA628">
      <w:start w:val="1"/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D7383246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 w:tplc="0052A672">
      <w:start w:val="1"/>
      <w:numFmt w:val="bullet"/>
      <w:lvlText w:val="•"/>
      <w:lvlJc w:val="left"/>
      <w:pPr>
        <w:ind w:left="5204" w:hanging="284"/>
      </w:pPr>
      <w:rPr>
        <w:rFonts w:hint="default"/>
      </w:rPr>
    </w:lvl>
    <w:lvl w:ilvl="6" w:tplc="0406BADA">
      <w:start w:val="1"/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E3DAA592">
      <w:start w:val="1"/>
      <w:numFmt w:val="bullet"/>
      <w:lvlText w:val="•"/>
      <w:lvlJc w:val="left"/>
      <w:pPr>
        <w:ind w:left="7396" w:hanging="284"/>
      </w:pPr>
      <w:rPr>
        <w:rFonts w:hint="default"/>
      </w:rPr>
    </w:lvl>
    <w:lvl w:ilvl="8" w:tplc="7F08F504">
      <w:start w:val="1"/>
      <w:numFmt w:val="bullet"/>
      <w:lvlText w:val="•"/>
      <w:lvlJc w:val="left"/>
      <w:pPr>
        <w:ind w:left="8492" w:hanging="284"/>
      </w:pPr>
      <w:rPr>
        <w:rFonts w:hint="default"/>
      </w:rPr>
    </w:lvl>
  </w:abstractNum>
  <w:abstractNum w:abstractNumId="34">
    <w:nsid w:val="7EAB2B8C"/>
    <w:multiLevelType w:val="multilevel"/>
    <w:tmpl w:val="84007136"/>
    <w:styleLink w:val="List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27"/>
  </w:num>
  <w:num w:numId="5">
    <w:abstractNumId w:val="18"/>
  </w:num>
  <w:num w:numId="6">
    <w:abstractNumId w:val="14"/>
  </w:num>
  <w:num w:numId="7">
    <w:abstractNumId w:val="12"/>
  </w:num>
  <w:num w:numId="8">
    <w:abstractNumId w:val="33"/>
  </w:num>
  <w:num w:numId="9">
    <w:abstractNumId w:val="30"/>
  </w:num>
  <w:num w:numId="10">
    <w:abstractNumId w:val="0"/>
  </w:num>
  <w:num w:numId="11">
    <w:abstractNumId w:val="32"/>
  </w:num>
  <w:num w:numId="12">
    <w:abstractNumId w:val="26"/>
  </w:num>
  <w:num w:numId="13">
    <w:abstractNumId w:val="11"/>
  </w:num>
  <w:num w:numId="14">
    <w:abstractNumId w:val="19"/>
  </w:num>
  <w:num w:numId="15">
    <w:abstractNumId w:val="21"/>
  </w:num>
  <w:num w:numId="16">
    <w:abstractNumId w:val="25"/>
  </w:num>
  <w:num w:numId="17">
    <w:abstractNumId w:val="15"/>
  </w:num>
  <w:num w:numId="18">
    <w:abstractNumId w:val="23"/>
  </w:num>
  <w:num w:numId="19">
    <w:abstractNumId w:val="16"/>
  </w:num>
  <w:num w:numId="20">
    <w:abstractNumId w:val="22"/>
  </w:num>
  <w:num w:numId="21">
    <w:abstractNumId w:val="5"/>
  </w:num>
  <w:num w:numId="22">
    <w:abstractNumId w:val="13"/>
  </w:num>
  <w:num w:numId="23">
    <w:abstractNumId w:val="31"/>
  </w:num>
  <w:num w:numId="24">
    <w:abstractNumId w:val="4"/>
  </w:num>
  <w:num w:numId="25">
    <w:abstractNumId w:val="2"/>
  </w:num>
  <w:num w:numId="26">
    <w:abstractNumId w:val="24"/>
  </w:num>
  <w:num w:numId="27">
    <w:abstractNumId w:val="7"/>
  </w:num>
  <w:num w:numId="28">
    <w:abstractNumId w:val="29"/>
  </w:num>
  <w:num w:numId="29">
    <w:abstractNumId w:val="6"/>
  </w:num>
  <w:num w:numId="30">
    <w:abstractNumId w:val="10"/>
  </w:num>
  <w:num w:numId="31">
    <w:abstractNumId w:val="34"/>
  </w:num>
  <w:num w:numId="32">
    <w:abstractNumId w:val="9"/>
  </w:num>
  <w:num w:numId="33">
    <w:abstractNumId w:val="8"/>
  </w:num>
  <w:num w:numId="34">
    <w:abstractNumId w:val="2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2724"/>
    <w:rsid w:val="00033C91"/>
    <w:rsid w:val="00037F46"/>
    <w:rsid w:val="0005783D"/>
    <w:rsid w:val="000600E8"/>
    <w:rsid w:val="00064032"/>
    <w:rsid w:val="00072B13"/>
    <w:rsid w:val="00076580"/>
    <w:rsid w:val="00091A0B"/>
    <w:rsid w:val="0009503B"/>
    <w:rsid w:val="0009680A"/>
    <w:rsid w:val="00097EB8"/>
    <w:rsid w:val="000A5A3B"/>
    <w:rsid w:val="000C2B6D"/>
    <w:rsid w:val="000C358D"/>
    <w:rsid w:val="000C7179"/>
    <w:rsid w:val="000E04DF"/>
    <w:rsid w:val="000E1479"/>
    <w:rsid w:val="000E1686"/>
    <w:rsid w:val="00101FBD"/>
    <w:rsid w:val="00102BAB"/>
    <w:rsid w:val="00105F82"/>
    <w:rsid w:val="00115048"/>
    <w:rsid w:val="00123103"/>
    <w:rsid w:val="00130500"/>
    <w:rsid w:val="00147975"/>
    <w:rsid w:val="00175826"/>
    <w:rsid w:val="00180B8A"/>
    <w:rsid w:val="001817C2"/>
    <w:rsid w:val="001A43BE"/>
    <w:rsid w:val="001A4F1C"/>
    <w:rsid w:val="001B1732"/>
    <w:rsid w:val="001B393C"/>
    <w:rsid w:val="001B58A2"/>
    <w:rsid w:val="001F7B6E"/>
    <w:rsid w:val="002123CC"/>
    <w:rsid w:val="0021470D"/>
    <w:rsid w:val="0021635E"/>
    <w:rsid w:val="002169B0"/>
    <w:rsid w:val="002177ED"/>
    <w:rsid w:val="00220A35"/>
    <w:rsid w:val="00222A55"/>
    <w:rsid w:val="002271F9"/>
    <w:rsid w:val="00232FC2"/>
    <w:rsid w:val="0024297B"/>
    <w:rsid w:val="00284FC3"/>
    <w:rsid w:val="002A1304"/>
    <w:rsid w:val="002A4D36"/>
    <w:rsid w:val="002B4CBB"/>
    <w:rsid w:val="002B4FD1"/>
    <w:rsid w:val="002C3A90"/>
    <w:rsid w:val="002C6DC9"/>
    <w:rsid w:val="002D6228"/>
    <w:rsid w:val="002E623F"/>
    <w:rsid w:val="003006CF"/>
    <w:rsid w:val="003109AD"/>
    <w:rsid w:val="003260D2"/>
    <w:rsid w:val="00341A3D"/>
    <w:rsid w:val="00346B80"/>
    <w:rsid w:val="00352665"/>
    <w:rsid w:val="003653ED"/>
    <w:rsid w:val="00367448"/>
    <w:rsid w:val="0039467E"/>
    <w:rsid w:val="003A4F23"/>
    <w:rsid w:val="003C0883"/>
    <w:rsid w:val="003C0B07"/>
    <w:rsid w:val="003D3E5D"/>
    <w:rsid w:val="003D3F33"/>
    <w:rsid w:val="00406413"/>
    <w:rsid w:val="004106C8"/>
    <w:rsid w:val="0041295D"/>
    <w:rsid w:val="00427C26"/>
    <w:rsid w:val="004543D2"/>
    <w:rsid w:val="00455E8E"/>
    <w:rsid w:val="0046189C"/>
    <w:rsid w:val="00462EB1"/>
    <w:rsid w:val="00477C0D"/>
    <w:rsid w:val="0048145D"/>
    <w:rsid w:val="004847DD"/>
    <w:rsid w:val="00485D7A"/>
    <w:rsid w:val="00492B97"/>
    <w:rsid w:val="004A1FE3"/>
    <w:rsid w:val="004A48A8"/>
    <w:rsid w:val="004A544D"/>
    <w:rsid w:val="004B4DC0"/>
    <w:rsid w:val="004E5EE0"/>
    <w:rsid w:val="004E7902"/>
    <w:rsid w:val="004F08DE"/>
    <w:rsid w:val="004F0942"/>
    <w:rsid w:val="004F115F"/>
    <w:rsid w:val="004F296D"/>
    <w:rsid w:val="004F30AF"/>
    <w:rsid w:val="004F7EF1"/>
    <w:rsid w:val="0053570C"/>
    <w:rsid w:val="00546A89"/>
    <w:rsid w:val="005513F6"/>
    <w:rsid w:val="00554F12"/>
    <w:rsid w:val="00560DAB"/>
    <w:rsid w:val="00561967"/>
    <w:rsid w:val="005863AC"/>
    <w:rsid w:val="005E4948"/>
    <w:rsid w:val="005F4E0A"/>
    <w:rsid w:val="005F6592"/>
    <w:rsid w:val="00602624"/>
    <w:rsid w:val="0060498A"/>
    <w:rsid w:val="00610773"/>
    <w:rsid w:val="00617F0A"/>
    <w:rsid w:val="006251A5"/>
    <w:rsid w:val="00625895"/>
    <w:rsid w:val="00626E54"/>
    <w:rsid w:val="00631B6A"/>
    <w:rsid w:val="0063466B"/>
    <w:rsid w:val="00650D5C"/>
    <w:rsid w:val="00660D1E"/>
    <w:rsid w:val="0066147D"/>
    <w:rsid w:val="00671BBE"/>
    <w:rsid w:val="0067605D"/>
    <w:rsid w:val="00693545"/>
    <w:rsid w:val="006A3865"/>
    <w:rsid w:val="006B244C"/>
    <w:rsid w:val="006C440C"/>
    <w:rsid w:val="007010F1"/>
    <w:rsid w:val="0070229B"/>
    <w:rsid w:val="00706E3B"/>
    <w:rsid w:val="00712083"/>
    <w:rsid w:val="0071272E"/>
    <w:rsid w:val="007128E4"/>
    <w:rsid w:val="007207ED"/>
    <w:rsid w:val="007231CF"/>
    <w:rsid w:val="00724E17"/>
    <w:rsid w:val="00731E99"/>
    <w:rsid w:val="00732028"/>
    <w:rsid w:val="00747189"/>
    <w:rsid w:val="00750BFF"/>
    <w:rsid w:val="00755283"/>
    <w:rsid w:val="007553E8"/>
    <w:rsid w:val="00771A47"/>
    <w:rsid w:val="007744B0"/>
    <w:rsid w:val="007764AF"/>
    <w:rsid w:val="00795446"/>
    <w:rsid w:val="007C39D0"/>
    <w:rsid w:val="007C3B66"/>
    <w:rsid w:val="007C3F2C"/>
    <w:rsid w:val="007C77B5"/>
    <w:rsid w:val="007D339A"/>
    <w:rsid w:val="007E23F9"/>
    <w:rsid w:val="007E4601"/>
    <w:rsid w:val="0080665C"/>
    <w:rsid w:val="00811DAA"/>
    <w:rsid w:val="008140D2"/>
    <w:rsid w:val="00830E82"/>
    <w:rsid w:val="00847AF5"/>
    <w:rsid w:val="00851CA3"/>
    <w:rsid w:val="008549C8"/>
    <w:rsid w:val="00857020"/>
    <w:rsid w:val="00863BE7"/>
    <w:rsid w:val="00865CAB"/>
    <w:rsid w:val="00872E5D"/>
    <w:rsid w:val="00873083"/>
    <w:rsid w:val="008929EB"/>
    <w:rsid w:val="008C3AD4"/>
    <w:rsid w:val="008F1A5F"/>
    <w:rsid w:val="008F213D"/>
    <w:rsid w:val="009040DA"/>
    <w:rsid w:val="00906328"/>
    <w:rsid w:val="00913DBE"/>
    <w:rsid w:val="00916F2E"/>
    <w:rsid w:val="00917812"/>
    <w:rsid w:val="00934D92"/>
    <w:rsid w:val="00935981"/>
    <w:rsid w:val="00944ACE"/>
    <w:rsid w:val="00951E3C"/>
    <w:rsid w:val="00954398"/>
    <w:rsid w:val="00963239"/>
    <w:rsid w:val="009675E3"/>
    <w:rsid w:val="009805FB"/>
    <w:rsid w:val="00994659"/>
    <w:rsid w:val="009A2BD3"/>
    <w:rsid w:val="009B22D1"/>
    <w:rsid w:val="009E46BF"/>
    <w:rsid w:val="009F0FE8"/>
    <w:rsid w:val="009F11CE"/>
    <w:rsid w:val="009F3BBE"/>
    <w:rsid w:val="009F6738"/>
    <w:rsid w:val="00A20300"/>
    <w:rsid w:val="00A23CC1"/>
    <w:rsid w:val="00A30AA1"/>
    <w:rsid w:val="00A30D7E"/>
    <w:rsid w:val="00A3508D"/>
    <w:rsid w:val="00A52918"/>
    <w:rsid w:val="00A52A41"/>
    <w:rsid w:val="00A57C5E"/>
    <w:rsid w:val="00A6152E"/>
    <w:rsid w:val="00A71077"/>
    <w:rsid w:val="00A72ED4"/>
    <w:rsid w:val="00A77517"/>
    <w:rsid w:val="00A838CF"/>
    <w:rsid w:val="00A90E3A"/>
    <w:rsid w:val="00A917F9"/>
    <w:rsid w:val="00AA3061"/>
    <w:rsid w:val="00AC3CCE"/>
    <w:rsid w:val="00AD4489"/>
    <w:rsid w:val="00AD5009"/>
    <w:rsid w:val="00AF121D"/>
    <w:rsid w:val="00AF1369"/>
    <w:rsid w:val="00B07577"/>
    <w:rsid w:val="00B075E4"/>
    <w:rsid w:val="00B10709"/>
    <w:rsid w:val="00B2182F"/>
    <w:rsid w:val="00B375F2"/>
    <w:rsid w:val="00B50D0D"/>
    <w:rsid w:val="00B53C54"/>
    <w:rsid w:val="00B60ABD"/>
    <w:rsid w:val="00B74697"/>
    <w:rsid w:val="00B830BF"/>
    <w:rsid w:val="00B84B73"/>
    <w:rsid w:val="00B84C25"/>
    <w:rsid w:val="00B91E9E"/>
    <w:rsid w:val="00B956C0"/>
    <w:rsid w:val="00BA1E74"/>
    <w:rsid w:val="00BB0DC1"/>
    <w:rsid w:val="00BC074E"/>
    <w:rsid w:val="00BD1EAB"/>
    <w:rsid w:val="00BD5548"/>
    <w:rsid w:val="00BD7DA3"/>
    <w:rsid w:val="00BE7E2D"/>
    <w:rsid w:val="00C01D98"/>
    <w:rsid w:val="00C25554"/>
    <w:rsid w:val="00C37383"/>
    <w:rsid w:val="00C425BB"/>
    <w:rsid w:val="00C47F6A"/>
    <w:rsid w:val="00C51309"/>
    <w:rsid w:val="00C52A29"/>
    <w:rsid w:val="00C66345"/>
    <w:rsid w:val="00C711AF"/>
    <w:rsid w:val="00C7464F"/>
    <w:rsid w:val="00C765BD"/>
    <w:rsid w:val="00CA3B49"/>
    <w:rsid w:val="00CB698E"/>
    <w:rsid w:val="00CC52BE"/>
    <w:rsid w:val="00CD0692"/>
    <w:rsid w:val="00CD5657"/>
    <w:rsid w:val="00D116FC"/>
    <w:rsid w:val="00D257B0"/>
    <w:rsid w:val="00D259AC"/>
    <w:rsid w:val="00D51012"/>
    <w:rsid w:val="00D67093"/>
    <w:rsid w:val="00D7053B"/>
    <w:rsid w:val="00D733CA"/>
    <w:rsid w:val="00D85D24"/>
    <w:rsid w:val="00D92E4D"/>
    <w:rsid w:val="00D93655"/>
    <w:rsid w:val="00DA41D4"/>
    <w:rsid w:val="00DB4D9F"/>
    <w:rsid w:val="00DC42D4"/>
    <w:rsid w:val="00DE01FF"/>
    <w:rsid w:val="00DE08A0"/>
    <w:rsid w:val="00DE1005"/>
    <w:rsid w:val="00DE2EF3"/>
    <w:rsid w:val="00DF1394"/>
    <w:rsid w:val="00E010D4"/>
    <w:rsid w:val="00E14200"/>
    <w:rsid w:val="00E17E16"/>
    <w:rsid w:val="00E40274"/>
    <w:rsid w:val="00E42585"/>
    <w:rsid w:val="00E74DA1"/>
    <w:rsid w:val="00E8447A"/>
    <w:rsid w:val="00E86A6F"/>
    <w:rsid w:val="00E96089"/>
    <w:rsid w:val="00E97DBD"/>
    <w:rsid w:val="00EA087E"/>
    <w:rsid w:val="00EB0070"/>
    <w:rsid w:val="00EB3013"/>
    <w:rsid w:val="00EB32D1"/>
    <w:rsid w:val="00EB7FFC"/>
    <w:rsid w:val="00EC4FF4"/>
    <w:rsid w:val="00EE28E8"/>
    <w:rsid w:val="00EF1397"/>
    <w:rsid w:val="00F1201F"/>
    <w:rsid w:val="00F124D3"/>
    <w:rsid w:val="00F35C30"/>
    <w:rsid w:val="00F4122D"/>
    <w:rsid w:val="00F41ED5"/>
    <w:rsid w:val="00F611E1"/>
    <w:rsid w:val="00F918A3"/>
    <w:rsid w:val="00FA0985"/>
    <w:rsid w:val="00FA1714"/>
    <w:rsid w:val="00FA21FA"/>
    <w:rsid w:val="00FA66B8"/>
    <w:rsid w:val="00FA6D7F"/>
    <w:rsid w:val="00FA7EC1"/>
    <w:rsid w:val="00FB328F"/>
    <w:rsid w:val="00FC68D9"/>
    <w:rsid w:val="00FC7EB5"/>
    <w:rsid w:val="00FD0F3B"/>
    <w:rsid w:val="00FD5407"/>
    <w:rsid w:val="00FD66FC"/>
    <w:rsid w:val="00FE0A8F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customStyle="1" w:styleId="ImportWordListStyleDefinition8">
    <w:name w:val="Import Word List Style Definition 8"/>
    <w:rsid w:val="00863BE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1"/>
    <w:qFormat/>
    <w:rsid w:val="00750BFF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Cuerpo">
    <w:name w:val="Cuerpo"/>
    <w:rsid w:val="00EC4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a31">
    <w:name w:val="Lista 31"/>
    <w:basedOn w:val="Sinlista"/>
    <w:rsid w:val="00EC4FF4"/>
    <w:pPr>
      <w:numPr>
        <w:numId w:val="9"/>
      </w:numPr>
    </w:pPr>
  </w:style>
  <w:style w:type="paragraph" w:customStyle="1" w:styleId="TableParagraph">
    <w:name w:val="Table Paragraph"/>
    <w:basedOn w:val="Normal"/>
    <w:uiPriority w:val="1"/>
    <w:qFormat/>
    <w:rsid w:val="00D259AC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LadilloMichelinDossier">
    <w:name w:val="Ladillo Michelin Dossier"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before="480" w:after="120" w:line="270" w:lineRule="atLeast"/>
    </w:pPr>
    <w:rPr>
      <w:rFonts w:ascii="Times" w:eastAsia="Times" w:hAnsi="Times" w:cs="Times"/>
      <w:b/>
      <w:bCs/>
      <w:color w:val="000000"/>
      <w:sz w:val="26"/>
      <w:szCs w:val="26"/>
      <w:u w:color="000000"/>
      <w:bdr w:val="nil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4"/>
      <w:szCs w:val="24"/>
      <w:bdr w:val="ni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C25554"/>
    <w:rPr>
      <w:rFonts w:ascii="Times New Roman" w:eastAsia="Arial Unicode MS" w:hAnsi="Times New Roman" w:cs="Times New Roman"/>
      <w:sz w:val="24"/>
      <w:szCs w:val="24"/>
      <w:bdr w:val="nil"/>
      <w:lang w:val="es-ES_tradnl" w:eastAsia="en-US"/>
    </w:rPr>
  </w:style>
  <w:style w:type="character" w:styleId="Refdenotaalpie">
    <w:name w:val="footnote reference"/>
    <w:basedOn w:val="Fuentedeprrafopredeter"/>
    <w:unhideWhenUsed/>
    <w:rsid w:val="00C25554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C7464F"/>
    <w:pPr>
      <w:widowControl w:val="0"/>
      <w:spacing w:after="0" w:line="240" w:lineRule="auto"/>
      <w:ind w:left="817" w:hanging="360"/>
    </w:pPr>
    <w:rPr>
      <w:rFonts w:ascii="Verdana" w:eastAsia="Verdana" w:hAnsi="Verdan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464F"/>
    <w:rPr>
      <w:rFonts w:ascii="Verdana" w:eastAsia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7DD"/>
    <w:rPr>
      <w:rFonts w:ascii="Tahoma" w:hAnsi="Tahoma" w:cs="Tahoma"/>
      <w:color w:val="262626" w:themeColor="text1"/>
      <w:sz w:val="16"/>
      <w:szCs w:val="16"/>
      <w:lang w:val="es-ES_tradnl"/>
    </w:rPr>
  </w:style>
  <w:style w:type="numbering" w:customStyle="1" w:styleId="List0">
    <w:name w:val="List 0"/>
    <w:basedOn w:val="Sinlista"/>
    <w:rsid w:val="007C77B5"/>
    <w:pPr>
      <w:numPr>
        <w:numId w:val="31"/>
      </w:numPr>
    </w:pPr>
  </w:style>
  <w:style w:type="character" w:customStyle="1" w:styleId="hps">
    <w:name w:val="hps"/>
    <w:basedOn w:val="Fuentedeprrafopredeter"/>
    <w:rsid w:val="007C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customStyle="1" w:styleId="ImportWordListStyleDefinition8">
    <w:name w:val="Import Word List Style Definition 8"/>
    <w:rsid w:val="00863BE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1"/>
    <w:qFormat/>
    <w:rsid w:val="00750BFF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Cuerpo">
    <w:name w:val="Cuerpo"/>
    <w:rsid w:val="00EC4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a31">
    <w:name w:val="Lista 31"/>
    <w:basedOn w:val="Sinlista"/>
    <w:rsid w:val="00EC4FF4"/>
    <w:pPr>
      <w:numPr>
        <w:numId w:val="9"/>
      </w:numPr>
    </w:pPr>
  </w:style>
  <w:style w:type="paragraph" w:customStyle="1" w:styleId="TableParagraph">
    <w:name w:val="Table Paragraph"/>
    <w:basedOn w:val="Normal"/>
    <w:uiPriority w:val="1"/>
    <w:qFormat/>
    <w:rsid w:val="00D259AC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LadilloMichelinDossier">
    <w:name w:val="Ladillo Michelin Dossier"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before="480" w:after="120" w:line="270" w:lineRule="atLeast"/>
    </w:pPr>
    <w:rPr>
      <w:rFonts w:ascii="Times" w:eastAsia="Times" w:hAnsi="Times" w:cs="Times"/>
      <w:b/>
      <w:bCs/>
      <w:color w:val="000000"/>
      <w:sz w:val="26"/>
      <w:szCs w:val="26"/>
      <w:u w:color="000000"/>
      <w:bdr w:val="nil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4"/>
      <w:szCs w:val="24"/>
      <w:bdr w:val="ni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C25554"/>
    <w:rPr>
      <w:rFonts w:ascii="Times New Roman" w:eastAsia="Arial Unicode MS" w:hAnsi="Times New Roman" w:cs="Times New Roman"/>
      <w:sz w:val="24"/>
      <w:szCs w:val="24"/>
      <w:bdr w:val="nil"/>
      <w:lang w:val="es-ES_tradnl" w:eastAsia="en-US"/>
    </w:rPr>
  </w:style>
  <w:style w:type="character" w:styleId="Refdenotaalpie">
    <w:name w:val="footnote reference"/>
    <w:basedOn w:val="Fuentedeprrafopredeter"/>
    <w:unhideWhenUsed/>
    <w:rsid w:val="00C25554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C7464F"/>
    <w:pPr>
      <w:widowControl w:val="0"/>
      <w:spacing w:after="0" w:line="240" w:lineRule="auto"/>
      <w:ind w:left="817" w:hanging="360"/>
    </w:pPr>
    <w:rPr>
      <w:rFonts w:ascii="Verdana" w:eastAsia="Verdana" w:hAnsi="Verdan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464F"/>
    <w:rPr>
      <w:rFonts w:ascii="Verdana" w:eastAsia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7DD"/>
    <w:rPr>
      <w:rFonts w:ascii="Tahoma" w:hAnsi="Tahoma" w:cs="Tahoma"/>
      <w:color w:val="262626" w:themeColor="text1"/>
      <w:sz w:val="16"/>
      <w:szCs w:val="16"/>
      <w:lang w:val="es-ES_tradnl"/>
    </w:rPr>
  </w:style>
  <w:style w:type="numbering" w:customStyle="1" w:styleId="List0">
    <w:name w:val="List 0"/>
    <w:basedOn w:val="Sinlista"/>
    <w:rsid w:val="007C77B5"/>
    <w:pPr>
      <w:numPr>
        <w:numId w:val="31"/>
      </w:numPr>
    </w:pPr>
  </w:style>
  <w:style w:type="character" w:customStyle="1" w:styleId="hps">
    <w:name w:val="hps"/>
    <w:basedOn w:val="Fuentedeprrafopredeter"/>
    <w:rsid w:val="007C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470A-90BD-46B3-BC9A-2D36DE01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portrait.dotm</Template>
  <TotalTime>44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Hugo Ureta-Alonso</cp:lastModifiedBy>
  <cp:revision>15</cp:revision>
  <cp:lastPrinted>2015-11-05T15:03:00Z</cp:lastPrinted>
  <dcterms:created xsi:type="dcterms:W3CDTF">2017-02-14T07:26:00Z</dcterms:created>
  <dcterms:modified xsi:type="dcterms:W3CDTF">2017-02-14T08:09:00Z</dcterms:modified>
</cp:coreProperties>
</file>