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2BB5AD3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352684">
        <w:rPr>
          <w:rFonts w:ascii="Times" w:hAnsi="Times"/>
          <w:noProof/>
          <w:color w:val="808080"/>
          <w:sz w:val="24"/>
          <w:szCs w:val="24"/>
          <w:lang w:val="pt"/>
        </w:rPr>
        <w:t>21/04/2017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28981A3C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6E333182" w14:textId="77777777" w:rsidR="009410AD" w:rsidRPr="0033327A" w:rsidRDefault="009410AD" w:rsidP="009410AD">
      <w:pPr>
        <w:pStyle w:val="Cuerpo"/>
        <w:spacing w:after="120" w:line="360" w:lineRule="exact"/>
        <w:rPr>
          <w:b/>
          <w:bCs/>
          <w:color w:val="365F91"/>
          <w:sz w:val="28"/>
          <w:szCs w:val="28"/>
          <w:u w:color="365F91"/>
        </w:rPr>
      </w:pPr>
      <w:r>
        <w:rPr>
          <w:b/>
          <w:bCs/>
          <w:color w:val="333399"/>
          <w:sz w:val="40"/>
          <w:szCs w:val="40"/>
          <w:u w:color="333399"/>
          <w:lang w:val="pt"/>
        </w:rPr>
        <w:t>Resultados financeiros do Grupo Michelin</w:t>
      </w:r>
      <w:r>
        <w:rPr>
          <w:color w:val="333399"/>
          <w:sz w:val="40"/>
          <w:szCs w:val="40"/>
          <w:u w:color="333399"/>
          <w:lang w:val="pt"/>
        </w:rPr>
        <w:t xml:space="preserve"> </w:t>
      </w:r>
      <w:r>
        <w:rPr>
          <w:color w:val="333399"/>
          <w:sz w:val="40"/>
          <w:szCs w:val="40"/>
          <w:u w:color="333399"/>
          <w:lang w:val="pt"/>
        </w:rPr>
        <w:br/>
      </w:r>
      <w:r>
        <w:rPr>
          <w:b/>
          <w:bCs/>
          <w:color w:val="365F91"/>
          <w:sz w:val="28"/>
          <w:szCs w:val="28"/>
          <w:u w:color="365F91"/>
          <w:lang w:val="pt"/>
        </w:rPr>
        <w:t>Informação financeira a 31 de março de 2017</w:t>
      </w:r>
    </w:p>
    <w:p w14:paraId="3CFF2D88" w14:textId="77777777" w:rsidR="009410AD" w:rsidRPr="0033327A" w:rsidRDefault="00BD5286" w:rsidP="003A541D">
      <w:pPr>
        <w:pStyle w:val="Cuerpo"/>
        <w:pBdr>
          <w:left w:val="single" w:sz="4" w:space="1" w:color="D9D9D9" w:themeColor="background1" w:themeShade="D9"/>
        </w:pBd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b/>
          <w:bCs/>
          <w:noProof/>
          <w:color w:val="333399"/>
          <w:sz w:val="40"/>
          <w:szCs w:val="40"/>
          <w:u w:color="333399"/>
          <w:bdr w:val="none" w:sz="0" w:space="0" w:color="auto"/>
          <w:lang w:val="pt"/>
        </w:rPr>
        <w:pict w14:anchorId="7ADE84AB"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1" o:spid="_x0000_s1026" type="#_x0000_t202" style="position:absolute;left:0;text-align:left;margin-left:40.15pt;margin-top:6.5pt;width:396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" filled="f" strokecolor="#262626 [3213]" strokeweight=".5pt">
            <v:textbox inset="2.5mm">
              <w:txbxContent>
                <w:p w14:paraId="4F401457" w14:textId="77777777" w:rsidR="003A541D" w:rsidRPr="001E0DE5" w:rsidRDefault="003A541D" w:rsidP="003A541D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120"/>
                    <w:jc w:val="center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pt"/>
                    </w:rPr>
                    <w:t>1º trimestre 2017</w:t>
                  </w:r>
                </w:p>
                <w:p w14:paraId="685926C5" w14:textId="77777777" w:rsidR="003A541D" w:rsidRPr="001E0DE5" w:rsidRDefault="003A541D" w:rsidP="003A541D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120"/>
                    <w:jc w:val="center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pt"/>
                    </w:rPr>
                    <w:t xml:space="preserve">A Michelin anuncia umas vendas líquidas de 5.600 milhões de euros, </w:t>
                  </w:r>
                  <w:r>
                    <w:rPr>
                      <w:rFonts w:ascii="Arial" w:hAnsi="Arial"/>
                      <w:sz w:val="22"/>
                      <w:szCs w:val="22"/>
                      <w:lang w:val="pt"/>
                    </w:rPr>
                    <w:br/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pt"/>
                    </w:rPr>
                    <w:t>a subir 10%, com um crescimento de 7,3% em volume.</w:t>
                  </w:r>
                </w:p>
              </w:txbxContent>
            </v:textbox>
            <w10:wrap type="square"/>
          </v:shape>
        </w:pict>
      </w:r>
    </w:p>
    <w:p w14:paraId="24828410" w14:textId="77777777" w:rsidR="009410AD" w:rsidRPr="00C70E5A" w:rsidRDefault="009410AD" w:rsidP="009410AD">
      <w:pPr>
        <w:pStyle w:val="Cuerpo"/>
        <w:spacing w:after="120" w:line="240" w:lineRule="atLeast"/>
        <w:rPr>
          <w:b/>
          <w:bCs/>
          <w:i/>
          <w:iCs/>
          <w:sz w:val="8"/>
          <w:szCs w:val="25"/>
        </w:rPr>
      </w:pPr>
    </w:p>
    <w:p w14:paraId="3E11227E" w14:textId="77777777" w:rsidR="009410AD" w:rsidRPr="00C87D0E" w:rsidRDefault="009410AD" w:rsidP="009410AD">
      <w:pPr>
        <w:pStyle w:val="Cuerpo"/>
        <w:numPr>
          <w:ilvl w:val="0"/>
          <w:numId w:val="2"/>
        </w:numPr>
        <w:tabs>
          <w:tab w:val="left" w:pos="360"/>
        </w:tabs>
        <w:spacing w:line="276" w:lineRule="auto"/>
        <w:ind w:left="346" w:hanging="346"/>
        <w:rPr>
          <w:rFonts w:ascii="Times New Roman" w:eastAsia="Times New Roman" w:hAnsi="Times New Roman" w:cs="Times New Roman"/>
          <w:bCs/>
          <w:i/>
          <w:iCs/>
          <w:sz w:val="20"/>
        </w:rPr>
      </w:pPr>
      <w:r>
        <w:rPr>
          <w:i/>
          <w:iCs/>
          <w:sz w:val="21"/>
          <w:szCs w:val="25"/>
          <w:lang w:val="pt"/>
        </w:rPr>
        <w:t>Ambiente de mercados globalmente dinâmicos</w:t>
      </w:r>
    </w:p>
    <w:p w14:paraId="32651CF5" w14:textId="77777777" w:rsidR="009410AD" w:rsidRPr="00C87D0E" w:rsidRDefault="009410AD" w:rsidP="009410AD">
      <w:pPr>
        <w:pStyle w:val="Cuerpo"/>
        <w:numPr>
          <w:ilvl w:val="0"/>
          <w:numId w:val="3"/>
        </w:numPr>
        <w:spacing w:line="276" w:lineRule="auto"/>
        <w:ind w:left="851"/>
        <w:rPr>
          <w:rFonts w:ascii="Times New Roman" w:eastAsia="Times New Roman" w:hAnsi="Times New Roman" w:cs="Times New Roman"/>
          <w:bCs/>
          <w:i/>
          <w:iCs/>
          <w:sz w:val="20"/>
        </w:rPr>
      </w:pPr>
      <w:r>
        <w:rPr>
          <w:i/>
          <w:iCs/>
          <w:sz w:val="21"/>
          <w:szCs w:val="25"/>
          <w:lang w:val="pt"/>
        </w:rPr>
        <w:t>Procura de Primeira montagem mantida</w:t>
      </w:r>
    </w:p>
    <w:p w14:paraId="6C14AD08" w14:textId="77777777" w:rsidR="009410AD" w:rsidRPr="00C87D0E" w:rsidRDefault="009410AD" w:rsidP="009410AD">
      <w:pPr>
        <w:pStyle w:val="Cuerpo"/>
        <w:numPr>
          <w:ilvl w:val="0"/>
          <w:numId w:val="3"/>
        </w:numPr>
        <w:spacing w:line="276" w:lineRule="auto"/>
        <w:ind w:left="851"/>
        <w:rPr>
          <w:rFonts w:ascii="Times New Roman" w:eastAsia="Times New Roman" w:hAnsi="Times New Roman" w:cs="Times New Roman"/>
          <w:bCs/>
          <w:i/>
          <w:iCs/>
          <w:sz w:val="20"/>
        </w:rPr>
      </w:pPr>
      <w:r>
        <w:rPr>
          <w:i/>
          <w:iCs/>
          <w:sz w:val="21"/>
          <w:szCs w:val="25"/>
          <w:lang w:val="pt"/>
        </w:rPr>
        <w:t>Grande procura de substituição, devido às antecipações aos aumentos de preços</w:t>
      </w:r>
    </w:p>
    <w:p w14:paraId="703EF76D" w14:textId="77777777" w:rsidR="009410AD" w:rsidRPr="00C87D0E" w:rsidRDefault="009410AD" w:rsidP="009410AD">
      <w:pPr>
        <w:pStyle w:val="Cuerpo"/>
        <w:numPr>
          <w:ilvl w:val="0"/>
          <w:numId w:val="3"/>
        </w:numPr>
        <w:spacing w:line="276" w:lineRule="auto"/>
        <w:ind w:left="851"/>
        <w:rPr>
          <w:rFonts w:ascii="Times New Roman" w:eastAsia="Times New Roman" w:hAnsi="Times New Roman" w:cs="Times New Roman"/>
          <w:bCs/>
          <w:i/>
          <w:iCs/>
          <w:sz w:val="20"/>
        </w:rPr>
      </w:pPr>
      <w:r>
        <w:rPr>
          <w:i/>
          <w:iCs/>
          <w:sz w:val="21"/>
          <w:szCs w:val="25"/>
          <w:lang w:val="pt"/>
        </w:rPr>
        <w:t>Melhoria da procura dos pneus para minas</w:t>
      </w:r>
    </w:p>
    <w:p w14:paraId="3AA7039D" w14:textId="77777777" w:rsidR="009410AD" w:rsidRPr="00C87D0E" w:rsidRDefault="009410AD" w:rsidP="009410AD">
      <w:pPr>
        <w:pStyle w:val="Cuerpo"/>
        <w:numPr>
          <w:ilvl w:val="0"/>
          <w:numId w:val="2"/>
        </w:numPr>
        <w:tabs>
          <w:tab w:val="left" w:pos="360"/>
        </w:tabs>
        <w:spacing w:line="276" w:lineRule="auto"/>
        <w:ind w:left="346" w:hanging="346"/>
        <w:rPr>
          <w:bCs/>
          <w:i/>
          <w:iCs/>
          <w:sz w:val="21"/>
          <w:szCs w:val="25"/>
        </w:rPr>
      </w:pPr>
      <w:r>
        <w:rPr>
          <w:i/>
          <w:iCs/>
          <w:sz w:val="21"/>
          <w:szCs w:val="25"/>
          <w:lang w:val="pt"/>
        </w:rPr>
        <w:t>Volume no fim de março a subir 7,3%, graças às compras antecipadas da distribuição e ao relançamento da atividade mineira</w:t>
      </w:r>
    </w:p>
    <w:p w14:paraId="344270FB" w14:textId="77777777" w:rsidR="009410AD" w:rsidRPr="00C87D0E" w:rsidRDefault="009410AD" w:rsidP="009410AD">
      <w:pPr>
        <w:pStyle w:val="Cuerpo"/>
        <w:numPr>
          <w:ilvl w:val="0"/>
          <w:numId w:val="2"/>
        </w:numPr>
        <w:tabs>
          <w:tab w:val="left" w:pos="360"/>
        </w:tabs>
        <w:spacing w:line="276" w:lineRule="auto"/>
        <w:ind w:left="346" w:hanging="346"/>
        <w:rPr>
          <w:bCs/>
          <w:i/>
          <w:iCs/>
          <w:sz w:val="21"/>
          <w:szCs w:val="25"/>
        </w:rPr>
      </w:pPr>
      <w:r>
        <w:rPr>
          <w:i/>
          <w:iCs/>
          <w:sz w:val="21"/>
          <w:szCs w:val="25"/>
          <w:lang w:val="pt"/>
        </w:rPr>
        <w:t>Efeito preço-mix de -0,1% em clara melhoria graças:</w:t>
      </w:r>
    </w:p>
    <w:p w14:paraId="73F529F1" w14:textId="77777777" w:rsidR="009410AD" w:rsidRPr="00C87D0E" w:rsidRDefault="009410AD" w:rsidP="009410AD">
      <w:pPr>
        <w:pStyle w:val="Cuerpo"/>
        <w:numPr>
          <w:ilvl w:val="0"/>
          <w:numId w:val="3"/>
        </w:numPr>
        <w:spacing w:line="276" w:lineRule="auto"/>
        <w:ind w:left="851"/>
        <w:rPr>
          <w:bCs/>
          <w:i/>
          <w:iCs/>
          <w:sz w:val="21"/>
          <w:szCs w:val="25"/>
        </w:rPr>
      </w:pPr>
      <w:r>
        <w:rPr>
          <w:i/>
          <w:iCs/>
          <w:sz w:val="21"/>
          <w:szCs w:val="25"/>
          <w:lang w:val="pt"/>
        </w:rPr>
        <w:t>Ao êxito das novas ofertas de pneus e serviços adaptados às necessidades dos clientes</w:t>
      </w:r>
    </w:p>
    <w:p w14:paraId="1F56FDCF" w14:textId="77777777" w:rsidR="009410AD" w:rsidRDefault="009410AD" w:rsidP="009410AD">
      <w:pPr>
        <w:pStyle w:val="Cuerpo"/>
        <w:numPr>
          <w:ilvl w:val="0"/>
          <w:numId w:val="3"/>
        </w:numPr>
        <w:spacing w:line="276" w:lineRule="auto"/>
        <w:ind w:left="851"/>
        <w:rPr>
          <w:bCs/>
          <w:i/>
          <w:iCs/>
          <w:sz w:val="21"/>
          <w:szCs w:val="25"/>
        </w:rPr>
      </w:pPr>
      <w:r>
        <w:rPr>
          <w:i/>
          <w:iCs/>
          <w:sz w:val="21"/>
          <w:szCs w:val="25"/>
          <w:lang w:val="pt"/>
        </w:rPr>
        <w:t>Ao efeito mix favorável, devido acima de tudo à subida de 31% do volume do segmento Premium em 18 polegadas e superiores.</w:t>
      </w:r>
    </w:p>
    <w:p w14:paraId="6753C065" w14:textId="77777777" w:rsidR="00C07C7D" w:rsidRPr="00C87D0E" w:rsidRDefault="00C07C7D" w:rsidP="00997086">
      <w:pPr>
        <w:pStyle w:val="Cuerpo"/>
        <w:spacing w:line="276" w:lineRule="auto"/>
        <w:ind w:left="851"/>
        <w:rPr>
          <w:bCs/>
          <w:i/>
          <w:iCs/>
          <w:sz w:val="21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2147"/>
        <w:gridCol w:w="2147"/>
        <w:gridCol w:w="2147"/>
      </w:tblGrid>
      <w:tr w:rsidR="00C07C7D" w:rsidRPr="00C07C7D" w14:paraId="30772178" w14:textId="77777777" w:rsidTr="00C07C7D">
        <w:trPr>
          <w:trHeight w:val="200"/>
          <w:jc w:val="center"/>
        </w:trPr>
        <w:tc>
          <w:tcPr>
            <w:tcW w:w="2147" w:type="dxa"/>
            <w:shd w:val="clear" w:color="auto" w:fill="D8D8D8"/>
          </w:tcPr>
          <w:p w14:paraId="1308C680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  <w:lang w:val="pt"/>
              </w:rPr>
              <w:t>V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  <w:lang w:val="pt"/>
              </w:rPr>
              <w:t xml:space="preserve">ENDAS LÍQUIDAS </w:t>
            </w:r>
          </w:p>
          <w:p w14:paraId="52B3CDE0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  <w:lang w:val="pt"/>
              </w:rPr>
              <w:t>(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  <w:lang w:val="pt"/>
              </w:rPr>
              <w:t xml:space="preserve">EM MILHÕES DE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  <w:lang w:val="pt"/>
              </w:rPr>
              <w:t xml:space="preserve">€) </w:t>
            </w:r>
          </w:p>
        </w:tc>
        <w:tc>
          <w:tcPr>
            <w:tcW w:w="2147" w:type="dxa"/>
            <w:shd w:val="clear" w:color="auto" w:fill="D8D8D8"/>
          </w:tcPr>
          <w:p w14:paraId="56EDFF1D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bdr w:val="ni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bdr w:val="nil"/>
                <w:lang w:val="pt"/>
              </w:rPr>
              <w:t>1</w:t>
            </w:r>
            <w:r>
              <w:rPr>
                <w:rFonts w:eastAsia="Arial Unicode MS" w:cstheme="minorHAnsi"/>
                <w:color w:val="000000"/>
                <w:sz w:val="16"/>
                <w:szCs w:val="16"/>
                <w:bdr w:val="nil"/>
                <w:vertAlign w:val="superscript"/>
                <w:lang w:val="pt"/>
              </w:rPr>
              <w:t>º</w:t>
            </w:r>
            <w:r>
              <w:rPr>
                <w:rFonts w:eastAsia="Arial Unicode MS" w:cstheme="minorHAnsi"/>
                <w:color w:val="000000"/>
                <w:sz w:val="16"/>
                <w:szCs w:val="16"/>
                <w:bdr w:val="nil"/>
                <w:lang w:val="pt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18"/>
                <w:szCs w:val="18"/>
                <w:bdr w:val="nil"/>
                <w:lang w:val="pt"/>
              </w:rPr>
              <w:t>trimestre 2017</w:t>
            </w:r>
          </w:p>
        </w:tc>
        <w:tc>
          <w:tcPr>
            <w:tcW w:w="2147" w:type="dxa"/>
            <w:shd w:val="clear" w:color="auto" w:fill="D8D8D8"/>
          </w:tcPr>
          <w:p w14:paraId="0360D53A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bdr w:val="ni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bdr w:val="nil"/>
                <w:lang w:val="pt"/>
              </w:rPr>
              <w:t>1</w:t>
            </w:r>
            <w:r>
              <w:rPr>
                <w:rFonts w:eastAsia="Arial Unicode MS" w:cstheme="minorHAnsi"/>
                <w:color w:val="000000"/>
                <w:sz w:val="16"/>
                <w:szCs w:val="16"/>
                <w:bdr w:val="nil"/>
                <w:vertAlign w:val="superscript"/>
                <w:lang w:val="pt"/>
              </w:rPr>
              <w:t>º</w:t>
            </w:r>
            <w:r>
              <w:rPr>
                <w:rFonts w:eastAsia="Arial Unicode MS" w:cstheme="minorHAnsi"/>
                <w:color w:val="000000"/>
                <w:sz w:val="12"/>
                <w:szCs w:val="12"/>
                <w:bdr w:val="nil"/>
                <w:lang w:val="pt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18"/>
                <w:szCs w:val="18"/>
                <w:bdr w:val="nil"/>
                <w:lang w:val="pt"/>
              </w:rPr>
              <w:t>trimestre 2016</w:t>
            </w:r>
          </w:p>
        </w:tc>
        <w:tc>
          <w:tcPr>
            <w:tcW w:w="2147" w:type="dxa"/>
            <w:shd w:val="clear" w:color="auto" w:fill="D8D8D8"/>
          </w:tcPr>
          <w:p w14:paraId="34E0D5CE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bdr w:val="ni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bdr w:val="nil"/>
                <w:lang w:val="pt"/>
              </w:rPr>
              <w:t>% Variação</w:t>
            </w:r>
          </w:p>
        </w:tc>
      </w:tr>
      <w:tr w:rsidR="00C07C7D" w:rsidRPr="00C07C7D" w14:paraId="7C9AF482" w14:textId="77777777" w:rsidTr="00C07C7D">
        <w:trPr>
          <w:trHeight w:val="183"/>
          <w:jc w:val="center"/>
        </w:trPr>
        <w:tc>
          <w:tcPr>
            <w:tcW w:w="2147" w:type="dxa"/>
          </w:tcPr>
          <w:p w14:paraId="654BC611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Arial Unicode MS" w:hAnsi="Verdana" w:cs="Verdana"/>
                <w:color w:val="000000"/>
                <w:sz w:val="14"/>
                <w:szCs w:val="14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  <w:lang w:val="pt"/>
              </w:rPr>
              <w:t>L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  <w:lang w:val="pt"/>
              </w:rPr>
              <w:t xml:space="preserve">IGEIRO, CAMIONETA E DISTRIBUIÇÃO ASSOCIADA </w:t>
            </w:r>
          </w:p>
        </w:tc>
        <w:tc>
          <w:tcPr>
            <w:tcW w:w="2147" w:type="dxa"/>
          </w:tcPr>
          <w:p w14:paraId="26FA7356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3.201</w:t>
            </w:r>
          </w:p>
        </w:tc>
        <w:tc>
          <w:tcPr>
            <w:tcW w:w="2147" w:type="dxa"/>
          </w:tcPr>
          <w:p w14:paraId="71277910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2.897</w:t>
            </w:r>
          </w:p>
        </w:tc>
        <w:tc>
          <w:tcPr>
            <w:tcW w:w="2147" w:type="dxa"/>
          </w:tcPr>
          <w:p w14:paraId="125C5E51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+10,5%</w:t>
            </w:r>
          </w:p>
        </w:tc>
      </w:tr>
      <w:tr w:rsidR="00C07C7D" w:rsidRPr="00C07C7D" w14:paraId="706F15BE" w14:textId="77777777" w:rsidTr="00C07C7D">
        <w:trPr>
          <w:trHeight w:val="183"/>
          <w:jc w:val="center"/>
        </w:trPr>
        <w:tc>
          <w:tcPr>
            <w:tcW w:w="2147" w:type="dxa"/>
          </w:tcPr>
          <w:p w14:paraId="5FA30A13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Arial Unicode MS" w:hAnsi="Verdana" w:cs="Verdana"/>
                <w:color w:val="000000"/>
                <w:sz w:val="14"/>
                <w:szCs w:val="14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  <w:lang w:val="pt"/>
              </w:rPr>
              <w:t>C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  <w:lang w:val="pt"/>
              </w:rPr>
              <w:t xml:space="preserve">AMIÃO E DISTRIBUIÇÃO ASSOCIADA </w:t>
            </w:r>
          </w:p>
        </w:tc>
        <w:tc>
          <w:tcPr>
            <w:tcW w:w="2147" w:type="dxa"/>
          </w:tcPr>
          <w:p w14:paraId="0CC655A5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1.518</w:t>
            </w:r>
          </w:p>
        </w:tc>
        <w:tc>
          <w:tcPr>
            <w:tcW w:w="2147" w:type="dxa"/>
          </w:tcPr>
          <w:p w14:paraId="2FD04D25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1.430</w:t>
            </w:r>
          </w:p>
        </w:tc>
        <w:tc>
          <w:tcPr>
            <w:tcW w:w="2147" w:type="dxa"/>
          </w:tcPr>
          <w:p w14:paraId="652C52BD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+6,1%</w:t>
            </w:r>
          </w:p>
        </w:tc>
      </w:tr>
      <w:tr w:rsidR="00C07C7D" w:rsidRPr="00C07C7D" w14:paraId="5C41DF95" w14:textId="77777777" w:rsidTr="00C07C7D">
        <w:trPr>
          <w:trHeight w:val="115"/>
          <w:jc w:val="center"/>
        </w:trPr>
        <w:tc>
          <w:tcPr>
            <w:tcW w:w="2147" w:type="dxa"/>
          </w:tcPr>
          <w:p w14:paraId="70A2083E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Arial Unicode MS" w:hAnsi="Verdana" w:cs="Verdana"/>
                <w:color w:val="000000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  <w:lang w:val="pt"/>
              </w:rPr>
              <w:t>A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  <w:lang w:val="pt"/>
              </w:rPr>
              <w:t>TIVIDADES DE ESPECIALIDADES</w:t>
            </w:r>
            <w:r>
              <w:rPr>
                <w:rFonts w:ascii="Arial" w:eastAsia="Arial Unicode MS" w:hAnsi="Arial" w:cs="Arial"/>
                <w:color w:val="000000"/>
                <w:sz w:val="12"/>
                <w:szCs w:val="12"/>
                <w:bdr w:val="nil"/>
                <w:lang w:val="pt"/>
              </w:rPr>
              <w:t xml:space="preserve">* </w:t>
            </w:r>
          </w:p>
        </w:tc>
        <w:tc>
          <w:tcPr>
            <w:tcW w:w="2147" w:type="dxa"/>
          </w:tcPr>
          <w:p w14:paraId="132313DC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848</w:t>
            </w:r>
          </w:p>
        </w:tc>
        <w:tc>
          <w:tcPr>
            <w:tcW w:w="2147" w:type="dxa"/>
          </w:tcPr>
          <w:p w14:paraId="43BD9099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738</w:t>
            </w:r>
          </w:p>
        </w:tc>
        <w:tc>
          <w:tcPr>
            <w:tcW w:w="2147" w:type="dxa"/>
          </w:tcPr>
          <w:p w14:paraId="5A6127D4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+14,9%</w:t>
            </w:r>
          </w:p>
        </w:tc>
      </w:tr>
      <w:tr w:rsidR="00C07C7D" w:rsidRPr="00C07C7D" w14:paraId="728A5B6C" w14:textId="77777777" w:rsidTr="00C07C7D">
        <w:trPr>
          <w:trHeight w:val="91"/>
          <w:jc w:val="center"/>
        </w:trPr>
        <w:tc>
          <w:tcPr>
            <w:tcW w:w="2147" w:type="dxa"/>
          </w:tcPr>
          <w:p w14:paraId="662B42B9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il"/>
                <w:lang w:val="pt"/>
              </w:rPr>
              <w:t>TOTAL G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bdr w:val="nil"/>
                <w:lang w:val="pt"/>
              </w:rPr>
              <w:t xml:space="preserve">RUPO </w:t>
            </w:r>
          </w:p>
          <w:p w14:paraId="24ABAD1E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Arial Unicode MS" w:hAnsi="Verdana" w:cs="Verdana"/>
                <w:color w:val="000000"/>
                <w:sz w:val="14"/>
                <w:szCs w:val="14"/>
                <w:bdr w:val="nil"/>
              </w:rPr>
            </w:pPr>
          </w:p>
        </w:tc>
        <w:tc>
          <w:tcPr>
            <w:tcW w:w="2147" w:type="dxa"/>
          </w:tcPr>
          <w:p w14:paraId="691D1FAD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5.567</w:t>
            </w:r>
          </w:p>
        </w:tc>
        <w:tc>
          <w:tcPr>
            <w:tcW w:w="2147" w:type="dxa"/>
          </w:tcPr>
          <w:p w14:paraId="1D553081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5.065</w:t>
            </w:r>
          </w:p>
        </w:tc>
        <w:tc>
          <w:tcPr>
            <w:tcW w:w="2147" w:type="dxa"/>
          </w:tcPr>
          <w:p w14:paraId="6832739E" w14:textId="77777777" w:rsidR="00C07C7D" w:rsidRPr="00C07C7D" w:rsidRDefault="00C07C7D" w:rsidP="00C0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Verdana"/>
                <w:color w:val="000000"/>
                <w:sz w:val="18"/>
                <w:szCs w:val="18"/>
                <w:bdr w:val="nil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bdr w:val="nil"/>
                <w:lang w:val="pt"/>
              </w:rPr>
              <w:t>+9,9%</w:t>
            </w:r>
          </w:p>
        </w:tc>
      </w:tr>
    </w:tbl>
    <w:p w14:paraId="40E23512" w14:textId="77777777" w:rsidR="009410AD" w:rsidRDefault="009410AD" w:rsidP="009410AD">
      <w:pPr>
        <w:pStyle w:val="TextoMichelin"/>
        <w:rPr>
          <w:rFonts w:cs="Arial"/>
          <w:sz w:val="16"/>
          <w:szCs w:val="16"/>
        </w:rPr>
      </w:pPr>
      <w:r>
        <w:rPr>
          <w:lang w:val="pt"/>
        </w:rPr>
        <w:t xml:space="preserve">          </w:t>
      </w:r>
      <w:r>
        <w:rPr>
          <w:sz w:val="13"/>
          <w:szCs w:val="13"/>
          <w:lang w:val="pt"/>
        </w:rPr>
        <w:t xml:space="preserve">* </w:t>
      </w:r>
      <w:r>
        <w:rPr>
          <w:sz w:val="16"/>
          <w:szCs w:val="16"/>
          <w:lang w:val="pt"/>
        </w:rPr>
        <w:t>Pneus de Engenharia Civil, agrícola, Duas Rodas e Avião; Michelin Travel Partner, BookaTable e Michelin Lifestyle Ltd.</w:t>
      </w:r>
    </w:p>
    <w:p w14:paraId="411AD0AD" w14:textId="77777777" w:rsidR="009410AD" w:rsidRPr="00C70E5A" w:rsidRDefault="009410AD" w:rsidP="009410AD">
      <w:pPr>
        <w:pStyle w:val="TextoMichelin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</w:rPr>
      </w:pPr>
      <w:r>
        <w:rPr>
          <w:b/>
          <w:bCs/>
          <w:sz w:val="24"/>
          <w:lang w:val="pt"/>
        </w:rPr>
        <w:t>Tendência 2017 confirmada</w:t>
      </w:r>
    </w:p>
    <w:p w14:paraId="3CC44E38" w14:textId="77777777" w:rsidR="009410AD" w:rsidRPr="00C70E5A" w:rsidRDefault="009410AD" w:rsidP="009410AD">
      <w:pPr>
        <w:pStyle w:val="TextoMichelin"/>
        <w:rPr>
          <w:bCs/>
        </w:rPr>
      </w:pPr>
      <w:r>
        <w:rPr>
          <w:lang w:val="pt"/>
        </w:rPr>
        <w:t>No conjunto do ano 2017 a evolução dos mercados de pneus deveria continuar a ser parecida à tendência observada no fim de 2016, em particular com a melhoria das vendas de pneus para as companhias mineiras. Para a Michelin, o primeiro semestre deveria concentrar a parte mais importante do crescimento do ano devido às compras de antecipação já constatadas, prévias aos aumentos de preço, enquanto o segundo semestre beneficiará da melhoria da rentabilidade devido a estes aumentos.</w:t>
      </w:r>
    </w:p>
    <w:p w14:paraId="51F99E39" w14:textId="77777777" w:rsidR="009410AD" w:rsidRPr="00C70E5A" w:rsidRDefault="009410AD" w:rsidP="009410AD">
      <w:pPr>
        <w:pStyle w:val="TextoMichelin"/>
        <w:rPr>
          <w:bCs/>
        </w:rPr>
      </w:pPr>
      <w:r>
        <w:rPr>
          <w:lang w:val="pt"/>
        </w:rPr>
        <w:t>A Michelin continuará a pilotar os seus preços para garantir margens unitárias constantes nas suas atividades não indexadas, tendo em conta o impacto do aumento das matérias-primas, que pode pressupor 900 milhões de euros no ano. Anunciaram-se novos aumentos de tarifas nalguns mercados.</w:t>
      </w:r>
    </w:p>
    <w:p w14:paraId="7037CF6A" w14:textId="77777777" w:rsidR="005D7A9B" w:rsidRPr="009410AD" w:rsidRDefault="009410AD" w:rsidP="005D7A9B">
      <w:pPr>
        <w:pStyle w:val="TextoMichelin"/>
        <w:rPr>
          <w:bCs/>
        </w:rPr>
      </w:pPr>
      <w:r>
        <w:rPr>
          <w:lang w:val="pt"/>
        </w:rPr>
        <w:t>Para o conjunto de 2017, a Michelin confirma os seus objetivos de crescimento em volume, em linha com a evolução mundial dos mercados, de resultado operacional sobre atividades correntes, superior ou igual ao de 2016 (sem efeito de câmbio), e de produção de cash flow estrutural superior a 900 milhões de euros.</w:t>
      </w:r>
    </w:p>
    <w:p w14:paraId="281D0620" w14:textId="77777777" w:rsidR="000F0B4A" w:rsidRDefault="000F0B4A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C80D3C3" w14:textId="77777777" w:rsidR="00BA4139" w:rsidRPr="002C42E3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lastRenderedPageBreak/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171 países, emprega 111.700 pessoas em todo o mundo e dispõe de 68 centros de produção implantados em 17 países diferentes que, em conjunto, fabricaram 187 milhões de</w:t>
      </w:r>
      <w:r>
        <w:rPr>
          <w:rFonts w:ascii="Times" w:eastAsia="Times" w:hAnsi="Times" w:cs="Times New Roman"/>
          <w:i/>
          <w:iCs/>
          <w:sz w:val="24"/>
          <w:szCs w:val="24"/>
          <w:lang w:val="pt"/>
        </w:rPr>
        <w:t xml:space="preserve"> pneus em 2016.</w:t>
      </w:r>
      <w:r>
        <w:rPr>
          <w:rFonts w:ascii="Times" w:eastAsia="Times" w:hAnsi="Times" w:cs="Times New Roman"/>
          <w:sz w:val="24"/>
          <w:szCs w:val="24"/>
          <w:lang w:val="pt"/>
        </w:rPr>
        <w:t xml:space="preserve"> 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A Michelin possui um Centro de Tecnologia que se encarrega da investigação e desenvolvimento com implantação na Europa, América do Norte e Ásia (www.michelin.es).</w:t>
      </w:r>
    </w:p>
    <w:p w14:paraId="7548CD62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4FC1806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632558D" w14:textId="77777777" w:rsidR="00415350" w:rsidRPr="002C42E3" w:rsidRDefault="0041535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408E4FA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44453418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2DEC5E6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5FEF500A" w14:textId="77777777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01D0321" w14:textId="77777777" w:rsidR="00BD5286" w:rsidRDefault="00BD5286" w:rsidP="00DB4D9F">
      <w:pPr>
        <w:spacing w:after="0" w:line="240" w:lineRule="auto"/>
      </w:pPr>
      <w:r>
        <w:separator/>
      </w:r>
    </w:p>
  </w:endnote>
  <w:endnote w:type="continuationSeparator" w:id="0">
    <w:p w14:paraId="0402EDD9" w14:textId="77777777" w:rsidR="00BD5286" w:rsidRDefault="00BD5286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3723A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1E1FC2F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057482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352684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7D536C40" w14:textId="77777777" w:rsidR="00AC3CCE" w:rsidRDefault="00BD5286" w:rsidP="00B2182F">
    <w:pPr>
      <w:pStyle w:val="Piedepgina"/>
      <w:ind w:firstLine="360"/>
    </w:pPr>
    <w:r>
      <w:rPr>
        <w:noProof/>
        <w:lang w:val="pt"/>
      </w:rPr>
      <w:pict w14:anchorId="556999DA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4A931BEE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046CC8F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666CF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60702E21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AA68A5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721724F1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CF127D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08A360C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550A0EB" w14:textId="77777777" w:rsidR="00BD5286" w:rsidRDefault="00BD5286" w:rsidP="00DB4D9F">
      <w:pPr>
        <w:spacing w:after="0" w:line="240" w:lineRule="auto"/>
      </w:pPr>
      <w:r>
        <w:separator/>
      </w:r>
    </w:p>
  </w:footnote>
  <w:footnote w:type="continuationSeparator" w:id="0">
    <w:p w14:paraId="5FB29F78" w14:textId="77777777" w:rsidR="00BD5286" w:rsidRDefault="00BD5286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FE837F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B07578F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DC9FEE" w14:textId="77777777" w:rsidR="00DB4D9F" w:rsidRDefault="00BD5286" w:rsidP="00E96089">
    <w:pPr>
      <w:pStyle w:val="Encabezado"/>
      <w:ind w:firstLine="360"/>
    </w:pPr>
    <w:r>
      <w:rPr>
        <w:noProof/>
        <w:lang w:val="pt"/>
      </w:rPr>
      <w:pict w14:anchorId="309168AE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DCB"/>
    <w:multiLevelType w:val="hybridMultilevel"/>
    <w:tmpl w:val="768EC0C2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FC2E1D"/>
    <w:multiLevelType w:val="multilevel"/>
    <w:tmpl w:val="77E070F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3">
    <w:nsid w:val="73BE0890"/>
    <w:multiLevelType w:val="hybridMultilevel"/>
    <w:tmpl w:val="396C6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6C4D"/>
    <w:rsid w:val="00006D10"/>
    <w:rsid w:val="000234F8"/>
    <w:rsid w:val="00033C91"/>
    <w:rsid w:val="00037F46"/>
    <w:rsid w:val="00047DF7"/>
    <w:rsid w:val="0005195A"/>
    <w:rsid w:val="0009503B"/>
    <w:rsid w:val="00097EB8"/>
    <w:rsid w:val="000A5A3B"/>
    <w:rsid w:val="000B05A5"/>
    <w:rsid w:val="000C358D"/>
    <w:rsid w:val="000F0B4A"/>
    <w:rsid w:val="00102BAB"/>
    <w:rsid w:val="00111C3E"/>
    <w:rsid w:val="00123103"/>
    <w:rsid w:val="001706AD"/>
    <w:rsid w:val="00175826"/>
    <w:rsid w:val="00181BA2"/>
    <w:rsid w:val="001C44BA"/>
    <w:rsid w:val="001D21D2"/>
    <w:rsid w:val="001E08B4"/>
    <w:rsid w:val="001E0DE5"/>
    <w:rsid w:val="001F428E"/>
    <w:rsid w:val="00214021"/>
    <w:rsid w:val="00217ECE"/>
    <w:rsid w:val="00222A55"/>
    <w:rsid w:val="00284FC3"/>
    <w:rsid w:val="002876FD"/>
    <w:rsid w:val="002A4D36"/>
    <w:rsid w:val="002C42E3"/>
    <w:rsid w:val="002D6228"/>
    <w:rsid w:val="002E09AF"/>
    <w:rsid w:val="00300B52"/>
    <w:rsid w:val="00341A3D"/>
    <w:rsid w:val="00344E0B"/>
    <w:rsid w:val="00346B80"/>
    <w:rsid w:val="00352684"/>
    <w:rsid w:val="00367448"/>
    <w:rsid w:val="003676A8"/>
    <w:rsid w:val="00376272"/>
    <w:rsid w:val="00380BE1"/>
    <w:rsid w:val="00391509"/>
    <w:rsid w:val="003A541D"/>
    <w:rsid w:val="003C01D5"/>
    <w:rsid w:val="00406413"/>
    <w:rsid w:val="00415350"/>
    <w:rsid w:val="004210B3"/>
    <w:rsid w:val="00426F92"/>
    <w:rsid w:val="00431C31"/>
    <w:rsid w:val="00436A83"/>
    <w:rsid w:val="00454970"/>
    <w:rsid w:val="004A7000"/>
    <w:rsid w:val="004A7B89"/>
    <w:rsid w:val="004B4DC0"/>
    <w:rsid w:val="004C342E"/>
    <w:rsid w:val="004C3DD2"/>
    <w:rsid w:val="004D647B"/>
    <w:rsid w:val="004E4E7A"/>
    <w:rsid w:val="004E5EE0"/>
    <w:rsid w:val="004F296D"/>
    <w:rsid w:val="0052077E"/>
    <w:rsid w:val="00523417"/>
    <w:rsid w:val="00532CD8"/>
    <w:rsid w:val="00546A89"/>
    <w:rsid w:val="00566EB4"/>
    <w:rsid w:val="00595E24"/>
    <w:rsid w:val="005A53D9"/>
    <w:rsid w:val="005A7C82"/>
    <w:rsid w:val="005D37D3"/>
    <w:rsid w:val="005D7A9B"/>
    <w:rsid w:val="005E3CEE"/>
    <w:rsid w:val="005F4CD6"/>
    <w:rsid w:val="00603D52"/>
    <w:rsid w:val="00604417"/>
    <w:rsid w:val="00615508"/>
    <w:rsid w:val="006234FA"/>
    <w:rsid w:val="00625FEA"/>
    <w:rsid w:val="00640687"/>
    <w:rsid w:val="0065178C"/>
    <w:rsid w:val="00665B6C"/>
    <w:rsid w:val="00695D25"/>
    <w:rsid w:val="006A3EAD"/>
    <w:rsid w:val="006A47D0"/>
    <w:rsid w:val="006C0742"/>
    <w:rsid w:val="006E2810"/>
    <w:rsid w:val="0070229B"/>
    <w:rsid w:val="007128E4"/>
    <w:rsid w:val="007305B2"/>
    <w:rsid w:val="00731E99"/>
    <w:rsid w:val="0076345C"/>
    <w:rsid w:val="007764AF"/>
    <w:rsid w:val="00792457"/>
    <w:rsid w:val="007B4A85"/>
    <w:rsid w:val="00800D38"/>
    <w:rsid w:val="00804C7E"/>
    <w:rsid w:val="008173A3"/>
    <w:rsid w:val="00822D77"/>
    <w:rsid w:val="00823ACA"/>
    <w:rsid w:val="0082784E"/>
    <w:rsid w:val="00830E82"/>
    <w:rsid w:val="00851CA3"/>
    <w:rsid w:val="00871BCA"/>
    <w:rsid w:val="00872E5D"/>
    <w:rsid w:val="00893070"/>
    <w:rsid w:val="008B3BE2"/>
    <w:rsid w:val="008D5F55"/>
    <w:rsid w:val="008F213D"/>
    <w:rsid w:val="008F6DCF"/>
    <w:rsid w:val="00902B9E"/>
    <w:rsid w:val="009040DA"/>
    <w:rsid w:val="00913DBE"/>
    <w:rsid w:val="00922110"/>
    <w:rsid w:val="009410AD"/>
    <w:rsid w:val="009428DE"/>
    <w:rsid w:val="00944ACE"/>
    <w:rsid w:val="00960C38"/>
    <w:rsid w:val="00967E6A"/>
    <w:rsid w:val="00994659"/>
    <w:rsid w:val="00997086"/>
    <w:rsid w:val="009B22D1"/>
    <w:rsid w:val="009E3926"/>
    <w:rsid w:val="00A06A5D"/>
    <w:rsid w:val="00A25D9A"/>
    <w:rsid w:val="00A44C98"/>
    <w:rsid w:val="00A62643"/>
    <w:rsid w:val="00A66E0B"/>
    <w:rsid w:val="00A77517"/>
    <w:rsid w:val="00A838CF"/>
    <w:rsid w:val="00A90BB3"/>
    <w:rsid w:val="00A93046"/>
    <w:rsid w:val="00AA5701"/>
    <w:rsid w:val="00AB1728"/>
    <w:rsid w:val="00AC3CCE"/>
    <w:rsid w:val="00AC458D"/>
    <w:rsid w:val="00AC60D3"/>
    <w:rsid w:val="00AF121D"/>
    <w:rsid w:val="00B075E4"/>
    <w:rsid w:val="00B15B28"/>
    <w:rsid w:val="00B2182F"/>
    <w:rsid w:val="00B27E93"/>
    <w:rsid w:val="00B35EC7"/>
    <w:rsid w:val="00B375F2"/>
    <w:rsid w:val="00B60ED0"/>
    <w:rsid w:val="00B74697"/>
    <w:rsid w:val="00B803A9"/>
    <w:rsid w:val="00B830BF"/>
    <w:rsid w:val="00B83FAC"/>
    <w:rsid w:val="00B91E9E"/>
    <w:rsid w:val="00BA4139"/>
    <w:rsid w:val="00BB5CFC"/>
    <w:rsid w:val="00BD5286"/>
    <w:rsid w:val="00BD5B21"/>
    <w:rsid w:val="00BE7E2D"/>
    <w:rsid w:val="00BE7E8C"/>
    <w:rsid w:val="00C07C7D"/>
    <w:rsid w:val="00C174E5"/>
    <w:rsid w:val="00C40A32"/>
    <w:rsid w:val="00C427DE"/>
    <w:rsid w:val="00C745CB"/>
    <w:rsid w:val="00C765BD"/>
    <w:rsid w:val="00C86F99"/>
    <w:rsid w:val="00CB37B8"/>
    <w:rsid w:val="00CB787D"/>
    <w:rsid w:val="00CF0205"/>
    <w:rsid w:val="00D17698"/>
    <w:rsid w:val="00D21D08"/>
    <w:rsid w:val="00D257B0"/>
    <w:rsid w:val="00D437ED"/>
    <w:rsid w:val="00D54288"/>
    <w:rsid w:val="00DB4D9F"/>
    <w:rsid w:val="00DC6CB6"/>
    <w:rsid w:val="00DD2C32"/>
    <w:rsid w:val="00E16BA5"/>
    <w:rsid w:val="00E8447A"/>
    <w:rsid w:val="00E96089"/>
    <w:rsid w:val="00EA40DD"/>
    <w:rsid w:val="00EC7405"/>
    <w:rsid w:val="00EE0D04"/>
    <w:rsid w:val="00EE28E8"/>
    <w:rsid w:val="00EF1397"/>
    <w:rsid w:val="00EF5D2E"/>
    <w:rsid w:val="00F124D3"/>
    <w:rsid w:val="00F12DAC"/>
    <w:rsid w:val="00F17D21"/>
    <w:rsid w:val="00F3296E"/>
    <w:rsid w:val="00F73240"/>
    <w:rsid w:val="00F77EEC"/>
    <w:rsid w:val="00F92578"/>
    <w:rsid w:val="00FA0985"/>
    <w:rsid w:val="00FA21FA"/>
    <w:rsid w:val="00FA66B8"/>
    <w:rsid w:val="00FA7EC1"/>
    <w:rsid w:val="00FC7EB5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B94CE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Cuerpo">
    <w:name w:val="Cuerpo"/>
    <w:rsid w:val="00941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Default">
    <w:name w:val="Default"/>
    <w:rsid w:val="009410AD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C4EF-5906-0E49-82F8-83D13833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503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2017-04-21T11:22:00Z</dcterms:created>
  <dcterms:modified xsi:type="dcterms:W3CDTF">2017-04-21T11:22:00Z</dcterms:modified>
</cp:coreProperties>
</file>