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AFCEA6" w14:textId="107CFFDA" w:rsidR="00B830BF" w:rsidRPr="00AD0D3B" w:rsidRDefault="00B830BF" w:rsidP="00B830BF">
      <w:pPr>
        <w:keepNext/>
        <w:spacing w:after="230" w:line="240" w:lineRule="auto"/>
        <w:jc w:val="right"/>
        <w:outlineLvl w:val="0"/>
        <w:rPr>
          <w:rFonts w:ascii="Times" w:eastAsia="Times" w:hAnsi="Times" w:cs="Times"/>
          <w:b/>
          <w:noProof/>
          <w:color w:val="808080"/>
          <w:sz w:val="24"/>
          <w:szCs w:val="24"/>
          <w:lang w:val="pt-PT"/>
        </w:rPr>
      </w:pPr>
      <w:r w:rsidRPr="00AD0D3B">
        <w:rPr>
          <w:rFonts w:ascii="Times" w:hAnsi="Times"/>
          <w:b/>
          <w:bCs/>
          <w:noProof/>
          <w:color w:val="808080"/>
          <w:sz w:val="24"/>
          <w:szCs w:val="24"/>
          <w:lang w:val="pt-PT"/>
        </w:rPr>
        <w:t>INFORMAÇÃO DE IMPRENSA</w:t>
      </w:r>
      <w:r w:rsidRPr="00AD0D3B">
        <w:rPr>
          <w:rFonts w:ascii="Times" w:hAnsi="Times"/>
          <w:noProof/>
          <w:color w:val="808080"/>
          <w:sz w:val="24"/>
          <w:szCs w:val="24"/>
          <w:lang w:val="pt-PT"/>
        </w:rPr>
        <w:br/>
      </w:r>
      <w:r w:rsidRPr="00AD0D3B">
        <w:rPr>
          <w:rFonts w:ascii="Times" w:hAnsi="Times"/>
          <w:noProof/>
          <w:color w:val="808080"/>
          <w:sz w:val="24"/>
          <w:szCs w:val="24"/>
          <w:lang w:val="pt-PT"/>
        </w:rPr>
        <w:fldChar w:fldCharType="begin"/>
      </w:r>
      <w:r w:rsidRPr="00AD0D3B">
        <w:rPr>
          <w:rFonts w:ascii="Times" w:hAnsi="Times"/>
          <w:noProof/>
          <w:color w:val="808080"/>
          <w:sz w:val="24"/>
          <w:szCs w:val="24"/>
          <w:lang w:val="pt-PT"/>
        </w:rPr>
        <w:instrText xml:space="preserve"> TIME \@ "dd/MM/yyyy" </w:instrText>
      </w:r>
      <w:r w:rsidRPr="00AD0D3B">
        <w:rPr>
          <w:rFonts w:ascii="Times" w:hAnsi="Times"/>
          <w:noProof/>
          <w:color w:val="808080"/>
          <w:sz w:val="24"/>
          <w:szCs w:val="24"/>
          <w:lang w:val="pt-PT"/>
        </w:rPr>
        <w:fldChar w:fldCharType="separate"/>
      </w:r>
      <w:r w:rsidR="007E0C70">
        <w:rPr>
          <w:rFonts w:ascii="Times" w:hAnsi="Times"/>
          <w:noProof/>
          <w:color w:val="808080"/>
          <w:sz w:val="24"/>
          <w:szCs w:val="24"/>
          <w:lang w:val="pt-PT"/>
        </w:rPr>
        <w:t>10/07/2017</w:t>
      </w:r>
      <w:r w:rsidRPr="00AD0D3B">
        <w:rPr>
          <w:rFonts w:ascii="Times" w:hAnsi="Times"/>
          <w:noProof/>
          <w:color w:val="808080"/>
          <w:sz w:val="24"/>
          <w:szCs w:val="24"/>
          <w:lang w:val="pt-PT"/>
        </w:rPr>
        <w:fldChar w:fldCharType="end"/>
      </w:r>
    </w:p>
    <w:p w14:paraId="365F85B0" w14:textId="77777777" w:rsidR="00B830BF" w:rsidRPr="00AD0D3B" w:rsidRDefault="00B830BF" w:rsidP="00B830BF">
      <w:pPr>
        <w:spacing w:after="120" w:line="360" w:lineRule="exact"/>
        <w:rPr>
          <w:rFonts w:ascii="Times" w:eastAsia="Times" w:hAnsi="Times" w:cs="Times New Roman"/>
          <w:b/>
          <w:noProof/>
          <w:snapToGrid w:val="0"/>
          <w:color w:val="333399"/>
          <w:sz w:val="40"/>
          <w:szCs w:val="26"/>
          <w:lang w:val="pt-PT"/>
        </w:rPr>
      </w:pPr>
    </w:p>
    <w:p w14:paraId="3E1B1874" w14:textId="3C46BD68" w:rsidR="009157E2" w:rsidRPr="00AD0D3B" w:rsidRDefault="009157E2" w:rsidP="009157E2">
      <w:pPr>
        <w:pStyle w:val="SUBTITULOMichelinOK"/>
        <w:spacing w:after="230"/>
        <w:rPr>
          <w:noProof/>
          <w:lang w:val="pt-PT"/>
        </w:rPr>
      </w:pPr>
      <w:r w:rsidRPr="00AD0D3B">
        <w:rPr>
          <w:bCs/>
          <w:noProof/>
          <w:lang w:val="pt-PT"/>
        </w:rPr>
        <w:t xml:space="preserve">A Michelin e a Robert Parker Wine Advocate unem forças </w:t>
      </w:r>
    </w:p>
    <w:p w14:paraId="1DEAD5FD" w14:textId="242D6981" w:rsidR="009157E2" w:rsidRPr="00AD0D3B" w:rsidRDefault="009157E2" w:rsidP="009157E2">
      <w:pPr>
        <w:spacing w:after="240" w:line="270" w:lineRule="atLeast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AD0D3B">
        <w:rPr>
          <w:rFonts w:ascii="Times" w:eastAsia="Times" w:hAnsi="Times" w:cs="Frutiger 55 Roman"/>
          <w:b/>
          <w:bCs/>
          <w:i/>
          <w:iCs/>
          <w:noProof/>
          <w:snapToGrid w:val="0"/>
          <w:color w:val="333399"/>
          <w:sz w:val="25"/>
          <w:szCs w:val="28"/>
          <w:lang w:val="pt-PT"/>
        </w:rPr>
        <w:t>A Michelin, fabricante de pneus líder mundial e editora do conceituado guia MICHELIN de restaurantes, anunciou a aquisição de uma participação de 40 % da Robert Parker Wine Advocate e do RobertParker.com, o guia independente do consumidor de vinhos de qualidade mais lido do mundo.</w:t>
      </w:r>
    </w:p>
    <w:p w14:paraId="594AE297" w14:textId="028651F0" w:rsidR="0036511A" w:rsidRPr="00AD0D3B" w:rsidRDefault="0036511A" w:rsidP="009157E2">
      <w:pPr>
        <w:spacing w:after="240" w:line="270" w:lineRule="atLeast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AD0D3B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>Fundada pelo americano Robert M. Parker em 1978, a Robert Parker Wine Advocate é a autoridade internacional sobre vinho. O poder das classificações que concede aos vinhos baseia-se no nariz e paladar deste crítico apaixonado pelo vinho e pela sua equipa de especialistas, mas também na sua metodologia, única nesta área. A independência declarada da Robert Parker relativamente aos produtores e distribuidores de vinho é a chave para realizar críticas imparciais e críveis. Após as degustações profissionais em grupo, cada vinho recebe não só uma nota descritiva de degustação, mas uma pontuação qualitativa que oscila entre 50 e 100 pontos. Graças a este rigoroso sistema, a Robert Parker Wine Advocate ganhou ao longo dos anos uma sólida reputação internacional que goza da confiança dos amantes do vinho de todo o mundo. Atualmente, esta publicação realiza por ano quase 40.000 classificações de vinhos.</w:t>
      </w:r>
    </w:p>
    <w:p w14:paraId="7BC351C2" w14:textId="397CBCDA" w:rsidR="005B4EC1" w:rsidRPr="00AD0D3B" w:rsidRDefault="005B4EC1" w:rsidP="009157E2">
      <w:pPr>
        <w:spacing w:after="240" w:line="270" w:lineRule="atLeast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AD0D3B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 xml:space="preserve">A Robert Parker Wine Advocate (RPWA) tem escritórios em Singapura, Napa (Califórnia, EUA) e Monkton, (Maryland, EUA). A web </w:t>
      </w:r>
      <w:hyperlink r:id="rId8" w:history="1">
        <w:r w:rsidRPr="00AD0D3B">
          <w:rPr>
            <w:rStyle w:val="Hipervnculo"/>
            <w:noProof/>
            <w:lang w:val="pt-PT"/>
          </w:rPr>
          <w:t>www.robertparker.com</w:t>
        </w:r>
      </w:hyperlink>
      <w:r w:rsidRPr="00AD0D3B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 xml:space="preserve"> inclui os arquivos digitais de cada número de </w:t>
      </w:r>
      <w:r w:rsidRPr="00AD0D3B">
        <w:rPr>
          <w:rFonts w:ascii="Arial" w:eastAsia="Times" w:hAnsi="Arial" w:cs="Times New Roman"/>
          <w:i/>
          <w:iCs/>
          <w:noProof/>
          <w:color w:val="auto"/>
          <w:sz w:val="21"/>
          <w:szCs w:val="21"/>
          <w:lang w:val="pt-PT"/>
        </w:rPr>
        <w:t>The Wine Advocate</w:t>
      </w:r>
      <w:r w:rsidRPr="00AD0D3B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 xml:space="preserve"> desde 1992, com mais de 300.000 notas de prova originais. A RPWA desenvolveu recentemente uma plataforma para eventos especiais que permite ao público degustar vinhos de qualidade em jantares gourmet. Em 2016, a Robert Parker Wine Advocate e a Michelin uniram as suas forças em Singapura e Hong Kong-Macau para oferecer experiências gastronómicas únicas baseadas na maridagem da alta gastronomia e vinho. Estes eventos de grande êxito oferecem aos consumidores a oportunidade de experimentar uma seleção de pratos preparados pelos chefes com estrelas do guia MICHELIN e vinhos compatíveis recomendados pelos especialistas da Robert Parker Wine Advocate.</w:t>
      </w:r>
    </w:p>
    <w:p w14:paraId="2119A440" w14:textId="60F02319" w:rsidR="009157E2" w:rsidRPr="00AD0D3B" w:rsidRDefault="00616B63" w:rsidP="009157E2">
      <w:pPr>
        <w:spacing w:after="240" w:line="270" w:lineRule="atLeast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AD0D3B">
        <w:rPr>
          <w:rFonts w:ascii="Arial" w:eastAsia="Times" w:hAnsi="Arial" w:cs="Times New Roman"/>
          <w:i/>
          <w:iCs/>
          <w:noProof/>
          <w:color w:val="auto"/>
          <w:sz w:val="21"/>
          <w:szCs w:val="21"/>
          <w:lang w:val="pt-PT"/>
        </w:rPr>
        <w:t>“Trabalhar com o guia MICHELIN em eventos em Singapura e Hong Kong-Macau demonstrou às nossas companhias quanto mais enriquecedoras e impactantes podem ser as experiências que criamos para os nossos fiéis leitores quando nos unimos”,</w:t>
      </w:r>
      <w:r w:rsidRPr="00AD0D3B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 xml:space="preserve"> comentou Lisa Perrotti-Brown, redatora chefe da Robert Parker Wine Advocate e Master of Wine. </w:t>
      </w:r>
      <w:r w:rsidRPr="00AD0D3B">
        <w:rPr>
          <w:rFonts w:ascii="Arial" w:eastAsia="Times" w:hAnsi="Arial" w:cs="Times New Roman"/>
          <w:i/>
          <w:iCs/>
          <w:noProof/>
          <w:color w:val="auto"/>
          <w:sz w:val="21"/>
          <w:szCs w:val="21"/>
          <w:lang w:val="pt-PT"/>
        </w:rPr>
        <w:t>“As similitudes entre os nossos valores fundamentais, a integridade e o rigor como críticos nos mundos do vinho e da gastronomia foram surpreendentes. Em seguida se tornou evidente que esta parceria poderia oferecer uma experiência mais completa aos amantes da boa comida e do vinho em todo o mundo”.</w:t>
      </w:r>
    </w:p>
    <w:p w14:paraId="7CAE4F38" w14:textId="74CE0E0A" w:rsidR="00472F97" w:rsidRPr="00AD0D3B" w:rsidRDefault="00472F97" w:rsidP="009157E2">
      <w:pPr>
        <w:spacing w:after="240" w:line="270" w:lineRule="atLeast"/>
        <w:jc w:val="both"/>
        <w:rPr>
          <w:rFonts w:ascii="Arial" w:eastAsia="Times" w:hAnsi="Arial" w:cs="Times New Roman"/>
          <w:bCs/>
          <w:i/>
          <w:noProof/>
          <w:color w:val="auto"/>
          <w:sz w:val="21"/>
          <w:szCs w:val="21"/>
          <w:lang w:val="pt-PT"/>
        </w:rPr>
      </w:pPr>
      <w:r w:rsidRPr="00AD0D3B">
        <w:rPr>
          <w:noProof/>
          <w:lang w:val="pt-PT"/>
        </w:rPr>
        <w:t xml:space="preserve">A </w:t>
      </w:r>
      <w:r w:rsidRPr="00AD0D3B">
        <w:rPr>
          <w:rFonts w:ascii="Arial" w:hAnsi="Arial"/>
          <w:noProof/>
          <w:color w:val="auto"/>
          <w:sz w:val="21"/>
          <w:szCs w:val="21"/>
          <w:lang w:val="pt-PT"/>
        </w:rPr>
        <w:t>Robert Parker,</w:t>
      </w:r>
      <w:r w:rsidRPr="00AD0D3B">
        <w:rPr>
          <w:noProof/>
          <w:lang w:val="pt-PT"/>
        </w:rPr>
        <w:t xml:space="preserve"> </w:t>
      </w:r>
      <w:r w:rsidRPr="00AD0D3B">
        <w:rPr>
          <w:rFonts w:ascii="Arial" w:hAnsi="Arial"/>
          <w:noProof/>
          <w:color w:val="auto"/>
          <w:sz w:val="21"/>
          <w:szCs w:val="21"/>
          <w:lang w:val="pt-PT"/>
        </w:rPr>
        <w:t xml:space="preserve">fundadora do guia de vinhos, mostrou o seu entusiasmo pela união das duas fontes mais independentes da boa cozinha e do vinho, e pelas infinitas possibilidades que cria: </w:t>
      </w:r>
      <w:r w:rsidRPr="00AD0D3B">
        <w:rPr>
          <w:rFonts w:ascii="Arial" w:hAnsi="Arial"/>
          <w:i/>
          <w:iCs/>
          <w:noProof/>
          <w:color w:val="auto"/>
          <w:sz w:val="21"/>
          <w:szCs w:val="21"/>
          <w:lang w:val="pt-PT"/>
        </w:rPr>
        <w:t>“Durante demasiado tempo os críticos dividiram vinho e gastronomia em duas diferentes áreas de especialização, mas agora uma mistura mais razoável de opinião imparcial, independente, equânime, inteligente opinião e conhecimento sobre o vinho e a gastronomia maridaram-se em prol dos consumidores de ambos os produtos”.</w:t>
      </w:r>
    </w:p>
    <w:p w14:paraId="43420615" w14:textId="6F348856" w:rsidR="00400F70" w:rsidRPr="00AD0D3B" w:rsidRDefault="00F4223F" w:rsidP="009157E2">
      <w:pPr>
        <w:spacing w:after="240" w:line="270" w:lineRule="atLeast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AD0D3B">
        <w:rPr>
          <w:rFonts w:ascii="Arial" w:eastAsia="Times" w:hAnsi="Arial" w:cs="Times New Roman"/>
          <w:noProof/>
          <w:color w:val="auto"/>
          <w:sz w:val="21"/>
          <w:szCs w:val="21"/>
          <w:lang w:val="pt-PT"/>
        </w:rPr>
        <w:t>Com este investimento, a Michelin reforça e amplia a sua experiência no sector da gastronomia gourmet.</w:t>
      </w:r>
    </w:p>
    <w:p w14:paraId="17C6C39E" w14:textId="580707D3" w:rsidR="00706486" w:rsidRPr="00AD0D3B" w:rsidRDefault="00706486" w:rsidP="009157E2">
      <w:pPr>
        <w:spacing w:after="240" w:line="270" w:lineRule="atLeast"/>
        <w:jc w:val="both"/>
        <w:rPr>
          <w:rFonts w:ascii="Arial" w:eastAsia="Times" w:hAnsi="Arial" w:cs="Times New Roman"/>
          <w:bCs/>
          <w:noProof/>
          <w:color w:val="auto"/>
          <w:sz w:val="21"/>
          <w:szCs w:val="21"/>
          <w:lang w:val="pt-PT"/>
        </w:rPr>
      </w:pPr>
      <w:r w:rsidRPr="00AD0D3B">
        <w:rPr>
          <w:i/>
          <w:iCs/>
          <w:noProof/>
          <w:sz w:val="21"/>
          <w:szCs w:val="21"/>
          <w:lang w:val="pt-PT"/>
        </w:rPr>
        <w:t xml:space="preserve">“Em todo o mundo, a credibilidade da Michelin e da Robert Parker Wine Advocate baseia-se em sistemas de seleção únicos, organizados de </w:t>
      </w:r>
      <w:r w:rsidRPr="00AD0D3B">
        <w:rPr>
          <w:i/>
          <w:iCs/>
          <w:noProof/>
          <w:sz w:val="21"/>
          <w:szCs w:val="21"/>
          <w:lang w:val="pt-PT"/>
        </w:rPr>
        <w:lastRenderedPageBreak/>
        <w:t xml:space="preserve">acordo com a metodologia provada e uma inegável independência”, </w:t>
      </w:r>
      <w:r w:rsidRPr="00AD0D3B">
        <w:rPr>
          <w:noProof/>
          <w:sz w:val="21"/>
          <w:szCs w:val="21"/>
          <w:lang w:val="pt-PT"/>
        </w:rPr>
        <w:t>afirmou Alexandre Taisne, CEO de Food and Travel Business da Michelin.</w:t>
      </w:r>
      <w:r w:rsidRPr="00AD0D3B">
        <w:rPr>
          <w:i/>
          <w:iCs/>
          <w:noProof/>
          <w:sz w:val="21"/>
          <w:szCs w:val="21"/>
          <w:lang w:val="pt-PT"/>
        </w:rPr>
        <w:t xml:space="preserve"> “A parceria entre a Michelin, a referência mundial em gastronomia com o guia MICHELIN, e a Robert Parker Wine Advocate, líder mundial em prova e classificação de vinhos, permitirá aos nossos clientes desfrutar de restaurantes exclusivos e vinhos clássicos de qualidade para experimentar momentos únicos. Inicialmente, centramo-nos nos mercados da Ásia e América do Norte antes de continuar pela Europa e outras regiões do mundo. Esperamos poder aproveitar a nossa sólida relação para desenvolver ofertas ainda mais vastas para os nossos clientes”.</w:t>
      </w:r>
    </w:p>
    <w:p w14:paraId="170B177C" w14:textId="77777777" w:rsidR="009157E2" w:rsidRPr="00AD0D3B" w:rsidRDefault="009157E2" w:rsidP="009157E2">
      <w:pPr>
        <w:spacing w:after="240" w:line="360" w:lineRule="exact"/>
        <w:outlineLvl w:val="0"/>
        <w:rPr>
          <w:rFonts w:ascii="Arial" w:eastAsia="Times" w:hAnsi="Arial" w:cs="Times New Roman"/>
          <w:b/>
          <w:bCs/>
          <w:noProof/>
          <w:color w:val="auto"/>
          <w:sz w:val="21"/>
          <w:szCs w:val="24"/>
          <w:lang w:val="pt-PT"/>
        </w:rPr>
      </w:pPr>
      <w:r w:rsidRPr="00AD0D3B">
        <w:rPr>
          <w:rFonts w:ascii="Arial" w:eastAsia="Times" w:hAnsi="Arial" w:cs="Times New Roman"/>
          <w:b/>
          <w:bCs/>
          <w:noProof/>
          <w:color w:val="auto"/>
          <w:sz w:val="21"/>
          <w:szCs w:val="24"/>
          <w:lang w:val="pt-PT"/>
        </w:rPr>
        <w:t>Sobre o guia MICHELIN</w:t>
      </w:r>
    </w:p>
    <w:p w14:paraId="1F90B1C3" w14:textId="77777777" w:rsidR="009157E2" w:rsidRPr="00AD0D3B" w:rsidRDefault="009157E2" w:rsidP="009157E2">
      <w:pPr>
        <w:pStyle w:val="TextoMichelin"/>
        <w:rPr>
          <w:bCs/>
          <w:noProof/>
          <w:szCs w:val="21"/>
          <w:lang w:val="pt-PT"/>
        </w:rPr>
      </w:pPr>
      <w:r w:rsidRPr="00AD0D3B">
        <w:rPr>
          <w:noProof/>
          <w:szCs w:val="21"/>
          <w:lang w:val="pt-PT"/>
        </w:rPr>
        <w:t>O guia MICHELIN seleciona os melhores restaurantes e hotéis dos 28 países em que está presente. Verdadeira montra da gastronomia mundial, descobre o dinamismo culinário de um país, as novas tendências e os futuros talentos. Criador de valor para os restaurantes graças às distinções que atribui todos os anos, o guia MICHELIN contribui para o prestígio da gastronomia local e para o atrativo turístico dos territórios. Graças ao seu rigoroso sistema de seleção e do seu histórico conhecimento do setor da hotelaria e restauração, o guia MICHELIN proporciona aos seus leitores uma experiência única no mundo que lhe permite oferecer um serviço de qualidade.</w:t>
      </w:r>
    </w:p>
    <w:p w14:paraId="0D0044C8" w14:textId="77777777" w:rsidR="009157E2" w:rsidRPr="00AD0D3B" w:rsidRDefault="009157E2" w:rsidP="009157E2">
      <w:pPr>
        <w:pStyle w:val="TextoMichelin"/>
        <w:rPr>
          <w:bCs/>
          <w:noProof/>
          <w:szCs w:val="21"/>
          <w:lang w:val="pt-PT"/>
        </w:rPr>
      </w:pPr>
      <w:r w:rsidRPr="00AD0D3B">
        <w:rPr>
          <w:noProof/>
          <w:szCs w:val="21"/>
          <w:lang w:val="pt-PT"/>
        </w:rPr>
        <w:t>As seleções estão disponíveis em versão impressa e digital. São acessíveis tanto através da Internet como para todos os dispositivos móveis que propõem uma navegação adaptada às utilizações de cada pessoa, mas também um serviço de reserva on-line.</w:t>
      </w:r>
    </w:p>
    <w:p w14:paraId="5E5B764F" w14:textId="77777777" w:rsidR="009157E2" w:rsidRPr="00AD0D3B" w:rsidRDefault="009157E2" w:rsidP="009157E2">
      <w:pPr>
        <w:pStyle w:val="TextoMichelin"/>
        <w:rPr>
          <w:bCs/>
          <w:noProof/>
          <w:lang w:val="pt-PT"/>
        </w:rPr>
      </w:pPr>
      <w:r w:rsidRPr="00AD0D3B">
        <w:rPr>
          <w:noProof/>
          <w:szCs w:val="21"/>
          <w:lang w:val="pt-PT"/>
        </w:rPr>
        <w:t>Com o guia MICHELIN o Grupo continua a acompanhar milhões de pessoas nas suas deslocações para que possam também vivenciar uma experiência única de mobilidade.</w:t>
      </w:r>
      <w:r w:rsidRPr="00AD0D3B">
        <w:rPr>
          <w:noProof/>
          <w:lang w:val="pt-PT"/>
        </w:rPr>
        <w:t xml:space="preserve"> </w:t>
      </w:r>
    </w:p>
    <w:p w14:paraId="0A6AB3B8" w14:textId="59738A6A" w:rsidR="00875EDB" w:rsidRPr="00AD0D3B" w:rsidRDefault="009157E2" w:rsidP="00923F14">
      <w:pPr>
        <w:spacing w:after="240" w:line="360" w:lineRule="exact"/>
        <w:outlineLvl w:val="0"/>
        <w:rPr>
          <w:rFonts w:ascii="Arial" w:eastAsia="Times" w:hAnsi="Arial" w:cs="Times New Roman"/>
          <w:b/>
          <w:bCs/>
          <w:noProof/>
          <w:color w:val="auto"/>
          <w:sz w:val="21"/>
          <w:szCs w:val="24"/>
          <w:lang w:val="pt-PT"/>
        </w:rPr>
      </w:pPr>
      <w:r w:rsidRPr="00AD0D3B">
        <w:rPr>
          <w:rFonts w:ascii="Arial" w:eastAsia="Times" w:hAnsi="Arial" w:cs="Times New Roman"/>
          <w:b/>
          <w:bCs/>
          <w:noProof/>
          <w:color w:val="auto"/>
          <w:sz w:val="21"/>
          <w:szCs w:val="24"/>
          <w:lang w:val="pt-PT"/>
        </w:rPr>
        <w:t>Sobre a Robert Parker Wine Advocate</w:t>
      </w:r>
    </w:p>
    <w:p w14:paraId="3553685C" w14:textId="689D1179" w:rsidR="009157E2" w:rsidRPr="00AD0D3B" w:rsidRDefault="00875EDB" w:rsidP="009157E2">
      <w:pPr>
        <w:autoSpaceDE w:val="0"/>
        <w:autoSpaceDN w:val="0"/>
        <w:adjustRightInd w:val="0"/>
        <w:spacing w:after="0" w:line="240" w:lineRule="atLeast"/>
        <w:jc w:val="both"/>
        <w:rPr>
          <w:rFonts w:ascii="Arial" w:eastAsia="Times" w:hAnsi="Arial" w:cs="Times New Roman"/>
          <w:noProof/>
          <w:color w:val="0432FF"/>
          <w:sz w:val="21"/>
          <w:szCs w:val="21"/>
          <w:u w:val="single"/>
          <w:lang w:val="pt-PT"/>
        </w:rPr>
      </w:pPr>
      <w:r w:rsidRPr="00AD0D3B">
        <w:rPr>
          <w:rFonts w:ascii="Arial" w:hAnsi="Arial"/>
          <w:noProof/>
          <w:color w:val="auto"/>
          <w:sz w:val="21"/>
          <w:szCs w:val="21"/>
          <w:lang w:val="pt-PT"/>
        </w:rPr>
        <w:t xml:space="preserve">Durante mais de 39 anos, The Wine Advocate, e mais tarde RobertParker.com, foi o guia independente do consumidor de vinhos de qualidade líder do mundo. A marca foi criada pelo conceituado Robert M. Parker, Jr., único crítico em qualquer área que recebeu a mais alta honra presidencial de três países: França, Itália e Espanha. A Robert Parker Wine Advocate oferece uma grande quantidade de informação aos seus subscritores, incluindo uma base de dados de mais de 300.000 classificações e avaliações profissionais de vinhos, além de artigos, vídeos, notícias diárias, disponibilidade de venda on line e preços, um boletim ativo, gerido por profissionais, um aplicativo móvel para facilitar o acesso à completa base de dados digital de avaliações em linha e muito mais. Para mais informação, visite: </w:t>
      </w:r>
      <w:hyperlink r:id="rId9" w:history="1">
        <w:r w:rsidRPr="00AD0D3B">
          <w:rPr>
            <w:rFonts w:ascii="Arial" w:hAnsi="Arial"/>
            <w:noProof/>
            <w:color w:val="0432FF"/>
            <w:sz w:val="21"/>
            <w:szCs w:val="21"/>
            <w:u w:val="single"/>
            <w:lang w:val="pt-PT"/>
          </w:rPr>
          <w:t>www.RobertParker.com</w:t>
        </w:r>
      </w:hyperlink>
      <w:r w:rsidRPr="00AD0D3B">
        <w:rPr>
          <w:rFonts w:ascii="Arial" w:hAnsi="Arial"/>
          <w:noProof/>
          <w:color w:val="0432FF"/>
          <w:sz w:val="21"/>
          <w:szCs w:val="21"/>
          <w:u w:val="single"/>
          <w:lang w:val="pt-PT"/>
        </w:rPr>
        <w:t>.</w:t>
      </w:r>
    </w:p>
    <w:p w14:paraId="702CB2AD" w14:textId="77777777" w:rsidR="009157E2" w:rsidRPr="00AD0D3B" w:rsidRDefault="009157E2" w:rsidP="009157E2">
      <w:pPr>
        <w:autoSpaceDE w:val="0"/>
        <w:autoSpaceDN w:val="0"/>
        <w:adjustRightInd w:val="0"/>
        <w:spacing w:after="0" w:line="240" w:lineRule="atLeast"/>
        <w:jc w:val="both"/>
        <w:rPr>
          <w:rFonts w:ascii="Arial" w:eastAsia="Times" w:hAnsi="Arial" w:cs="Times New Roman"/>
          <w:noProof/>
          <w:color w:val="0432FF"/>
          <w:sz w:val="21"/>
          <w:szCs w:val="21"/>
          <w:u w:val="single"/>
          <w:lang w:val="pt-PT"/>
        </w:rPr>
      </w:pPr>
    </w:p>
    <w:p w14:paraId="6CB43C20" w14:textId="77777777" w:rsidR="00923F14" w:rsidRDefault="00923F14" w:rsidP="009157E2">
      <w:pPr>
        <w:autoSpaceDE w:val="0"/>
        <w:autoSpaceDN w:val="0"/>
        <w:adjustRightInd w:val="0"/>
        <w:spacing w:after="0" w:line="240" w:lineRule="atLeast"/>
        <w:jc w:val="both"/>
        <w:rPr>
          <w:rFonts w:ascii="Arial" w:eastAsia="Times" w:hAnsi="Arial" w:cs="Times New Roman"/>
          <w:noProof/>
          <w:color w:val="0432FF"/>
          <w:sz w:val="21"/>
          <w:szCs w:val="21"/>
          <w:u w:val="single"/>
          <w:lang w:val="pt-PT"/>
        </w:rPr>
      </w:pPr>
    </w:p>
    <w:p w14:paraId="1998A6C0" w14:textId="77777777" w:rsidR="007E0C70" w:rsidRPr="00AD0D3B" w:rsidRDefault="007E0C70" w:rsidP="009157E2">
      <w:pPr>
        <w:autoSpaceDE w:val="0"/>
        <w:autoSpaceDN w:val="0"/>
        <w:adjustRightInd w:val="0"/>
        <w:spacing w:after="0" w:line="240" w:lineRule="atLeast"/>
        <w:jc w:val="both"/>
        <w:rPr>
          <w:rFonts w:ascii="Arial" w:eastAsia="Times" w:hAnsi="Arial" w:cs="Times New Roman"/>
          <w:noProof/>
          <w:color w:val="0432FF"/>
          <w:sz w:val="21"/>
          <w:szCs w:val="21"/>
          <w:u w:val="single"/>
          <w:lang w:val="pt-PT"/>
        </w:rPr>
      </w:pPr>
      <w:bookmarkStart w:id="0" w:name="_GoBack"/>
      <w:bookmarkEnd w:id="0"/>
    </w:p>
    <w:p w14:paraId="2474C5C8" w14:textId="5BD75D8C" w:rsidR="004C3E97" w:rsidRPr="00AD0D3B" w:rsidRDefault="004C3E97" w:rsidP="009157E2">
      <w:pPr>
        <w:autoSpaceDE w:val="0"/>
        <w:autoSpaceDN w:val="0"/>
        <w:adjustRightInd w:val="0"/>
        <w:spacing w:after="0" w:line="240" w:lineRule="atLeast"/>
        <w:jc w:val="both"/>
        <w:rPr>
          <w:rFonts w:ascii="Times" w:eastAsia="Times" w:hAnsi="Times" w:cs="Times New Roman"/>
          <w:i/>
          <w:noProof/>
          <w:color w:val="auto"/>
          <w:sz w:val="24"/>
          <w:szCs w:val="24"/>
          <w:lang w:val="pt-PT"/>
        </w:rPr>
      </w:pPr>
      <w:r w:rsidRPr="00AD0D3B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A </w:t>
      </w:r>
      <w:r w:rsidRPr="00AD0D3B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>Michelin</w:t>
      </w:r>
      <w:r w:rsidRPr="00AD0D3B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ambiciona melhorar de maneira sustentável a mobilidade dos seus clientes. Líder do sector do pneu, a </w:t>
      </w:r>
      <w:r w:rsidRPr="00AD0D3B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>Michelin</w:t>
      </w:r>
      <w:r w:rsidRPr="00AD0D3B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concebe, fabrica e distribui os pneus mais adaptados às necessidades e às diversas utilizações dos seus clientes, assim como serviços e soluções para melhorar a sua mobilidade. De igual modo, a</w:t>
      </w:r>
      <w:r w:rsidRPr="00AD0D3B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 xml:space="preserve"> Michelin</w:t>
      </w:r>
      <w:r w:rsidRPr="00AD0D3B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oferece aos seus clientes experiências únicas nas suas viagens e deslocações. A</w:t>
      </w:r>
      <w:r w:rsidRPr="00AD0D3B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 xml:space="preserve"> Michelin</w:t>
      </w:r>
      <w:r w:rsidRPr="00AD0D3B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também desenvolve materiais de alta tecnologia para a indústria ligada à mobilidade. Com sede em Clermont-Ferrand (França), a </w:t>
      </w:r>
      <w:r w:rsidRPr="00AD0D3B">
        <w:rPr>
          <w:rFonts w:ascii="Times" w:eastAsia="Times" w:hAnsi="Times"/>
          <w:b/>
          <w:bCs/>
          <w:i/>
          <w:iCs/>
          <w:noProof/>
          <w:color w:val="auto"/>
          <w:sz w:val="24"/>
          <w:szCs w:val="24"/>
          <w:lang w:val="pt-PT"/>
        </w:rPr>
        <w:t>Michelin</w:t>
      </w:r>
      <w:r w:rsidRPr="00AD0D3B">
        <w:rPr>
          <w:rFonts w:ascii="Times" w:eastAsia="Times" w:hAnsi="Times"/>
          <w:i/>
          <w:iCs/>
          <w:noProof/>
          <w:color w:val="auto"/>
          <w:sz w:val="24"/>
          <w:szCs w:val="24"/>
          <w:lang w:val="pt-PT"/>
        </w:rPr>
        <w:t xml:space="preserve"> está presente em 170 países, emprega 111.700 pessoas e dispõe de 68 centros de produção em 17 países que, em 2016, fabricaram 187 milhões de pneus. (www.michelin.es).</w:t>
      </w:r>
    </w:p>
    <w:p w14:paraId="3507218D" w14:textId="11B9EAE3" w:rsidR="00B830BF" w:rsidRPr="00AD0D3B" w:rsidRDefault="00B830BF" w:rsidP="00A56764">
      <w:pPr>
        <w:tabs>
          <w:tab w:val="center" w:pos="4252"/>
          <w:tab w:val="right" w:pos="8504"/>
        </w:tabs>
        <w:spacing w:after="0" w:line="240" w:lineRule="auto"/>
        <w:jc w:val="both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14:paraId="6D9EDEA9" w14:textId="77777777" w:rsidR="00B830BF" w:rsidRPr="00AD0D3B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</w:p>
    <w:p w14:paraId="02D0DB54" w14:textId="77777777" w:rsidR="00B830BF" w:rsidRPr="00AD0D3B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</w:pPr>
      <w:r w:rsidRPr="00AD0D3B">
        <w:rPr>
          <w:rFonts w:ascii="Arial" w:eastAsia="Times New Roman" w:hAnsi="Arial" w:cs="Times New Roman"/>
          <w:b/>
          <w:bCs/>
          <w:noProof/>
          <w:color w:val="808080"/>
          <w:sz w:val="18"/>
          <w:szCs w:val="18"/>
          <w:lang w:val="pt-PT"/>
        </w:rPr>
        <w:t>DEPARTAMENTO DE COMUNICAÇÃO</w:t>
      </w:r>
    </w:p>
    <w:p w14:paraId="217AE894" w14:textId="77777777" w:rsidR="00B830BF" w:rsidRPr="00AD0D3B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noProof/>
          <w:color w:val="808080"/>
          <w:sz w:val="18"/>
          <w:szCs w:val="18"/>
          <w:lang w:val="pt-PT"/>
        </w:rPr>
      </w:pPr>
      <w:r w:rsidRPr="00AD0D3B">
        <w:rPr>
          <w:rFonts w:ascii="Arial" w:eastAsia="Times New Roman" w:hAnsi="Arial" w:cs="Times New Roman"/>
          <w:noProof/>
          <w:color w:val="808080"/>
          <w:sz w:val="18"/>
          <w:szCs w:val="18"/>
          <w:lang w:val="pt-PT"/>
        </w:rPr>
        <w:t>Avda. de los Encuartes, 19</w:t>
      </w:r>
    </w:p>
    <w:p w14:paraId="03393F0D" w14:textId="77777777" w:rsidR="00B830BF" w:rsidRPr="00AD0D3B" w:rsidRDefault="00B830BF" w:rsidP="00B830BF">
      <w:pPr>
        <w:tabs>
          <w:tab w:val="center" w:pos="4252"/>
          <w:tab w:val="right" w:pos="8504"/>
        </w:tabs>
        <w:spacing w:after="0" w:line="240" w:lineRule="auto"/>
        <w:outlineLvl w:val="0"/>
        <w:rPr>
          <w:rFonts w:ascii="Arial" w:eastAsia="Times New Roman" w:hAnsi="Arial" w:cs="Times New Roman"/>
          <w:bCs/>
          <w:noProof/>
          <w:color w:val="808080"/>
          <w:sz w:val="18"/>
          <w:szCs w:val="18"/>
          <w:lang w:val="pt-PT"/>
        </w:rPr>
      </w:pPr>
      <w:r w:rsidRPr="00AD0D3B">
        <w:rPr>
          <w:rFonts w:ascii="Arial" w:eastAsia="Times New Roman" w:hAnsi="Arial" w:cs="Times New Roman"/>
          <w:noProof/>
          <w:color w:val="808080"/>
          <w:sz w:val="18"/>
          <w:szCs w:val="18"/>
          <w:lang w:val="pt-PT"/>
        </w:rPr>
        <w:t>28760 Tres Cantos – Madrid – ESPANHA</w:t>
      </w:r>
    </w:p>
    <w:p w14:paraId="69E78B09" w14:textId="5E77138D" w:rsidR="00E8447A" w:rsidRPr="00AD0D3B" w:rsidRDefault="00B830BF" w:rsidP="00B075E4">
      <w:pPr>
        <w:spacing w:after="0" w:line="240" w:lineRule="auto"/>
        <w:jc w:val="both"/>
        <w:rPr>
          <w:rFonts w:ascii="Arial" w:eastAsia="Times" w:hAnsi="Arial" w:cs="Times New Roman"/>
          <w:bCs/>
          <w:noProof/>
          <w:color w:val="808080"/>
          <w:sz w:val="18"/>
          <w:szCs w:val="18"/>
          <w:lang w:val="pt-PT"/>
        </w:rPr>
      </w:pPr>
      <w:r w:rsidRPr="00AD0D3B">
        <w:rPr>
          <w:rFonts w:ascii="Arial" w:eastAsia="Times" w:hAnsi="Arial" w:cs="Times New Roman"/>
          <w:noProof/>
          <w:color w:val="808080"/>
          <w:sz w:val="18"/>
          <w:szCs w:val="18"/>
          <w:lang w:val="pt-PT"/>
        </w:rPr>
        <w:t>Tel.: 0034 914 105 167 – Fax: 0034 914 105 293</w:t>
      </w:r>
    </w:p>
    <w:sectPr w:rsidR="00E8447A" w:rsidRPr="00AD0D3B" w:rsidSect="00944ACE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1440" w:right="1077" w:bottom="567" w:left="107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BB3E46" w14:textId="77777777" w:rsidR="009F3D36" w:rsidRDefault="009F3D36" w:rsidP="00DB4D9F">
      <w:pPr>
        <w:spacing w:after="0" w:line="240" w:lineRule="auto"/>
      </w:pPr>
      <w:r>
        <w:separator/>
      </w:r>
    </w:p>
  </w:endnote>
  <w:endnote w:type="continuationSeparator" w:id="0">
    <w:p w14:paraId="23534EA3" w14:textId="77777777" w:rsidR="009F3D36" w:rsidRDefault="009F3D36" w:rsidP="00DB4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Frutiger 55 Roman">
    <w:altName w:val="Arial Narrow"/>
    <w:charset w:val="00"/>
    <w:family w:val="swiss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8751B3" w14:textId="77777777" w:rsidR="00B2182F" w:rsidRDefault="00B2182F" w:rsidP="00702ED6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end"/>
    </w:r>
  </w:p>
  <w:p w14:paraId="39CA5763" w14:textId="77777777" w:rsidR="00B2182F" w:rsidRDefault="00B2182F" w:rsidP="00B2182F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6069C" w14:textId="51ACB5B5" w:rsidR="00B2182F" w:rsidRDefault="00B2182F" w:rsidP="00702ED6">
    <w:pPr>
      <w:pStyle w:val="Piedepgina"/>
      <w:framePr w:wrap="none" w:vAnchor="text" w:hAnchor="margin" w:y="1"/>
      <w:rPr>
        <w:rStyle w:val="Nmerodepgina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separate"/>
    </w:r>
    <w:r w:rsidR="007E0C70">
      <w:rPr>
        <w:rStyle w:val="Nmerodepgina"/>
        <w:noProof/>
        <w:lang w:val="pt"/>
      </w:rPr>
      <w:t>1</w:t>
    </w:r>
    <w:r>
      <w:rPr>
        <w:rStyle w:val="Nmerodepgina"/>
        <w:lang w:val="pt"/>
      </w:rPr>
      <w:fldChar w:fldCharType="end"/>
    </w:r>
  </w:p>
  <w:p w14:paraId="40A98D11" w14:textId="52BA6697" w:rsidR="00AC3CCE" w:rsidRDefault="00D165C9" w:rsidP="00B2182F">
    <w:pPr>
      <w:pStyle w:val="Piedepgina"/>
      <w:ind w:firstLine="360"/>
    </w:pPr>
    <w:r>
      <w:rPr>
        <w:noProof/>
        <w:lang w:eastAsia="es-ES_tradnl"/>
      </w:rPr>
      <w:drawing>
        <wp:anchor distT="0" distB="0" distL="114300" distR="114300" simplePos="0" relativeHeight="251662336" behindDoc="0" locked="0" layoutInCell="1" allowOverlap="1" wp14:anchorId="42932B28" wp14:editId="6087BF15">
          <wp:simplePos x="0" y="0"/>
          <wp:positionH relativeFrom="column">
            <wp:posOffset>4434205</wp:posOffset>
          </wp:positionH>
          <wp:positionV relativeFrom="paragraph">
            <wp:posOffset>-546100</wp:posOffset>
          </wp:positionV>
          <wp:extent cx="2012315" cy="535940"/>
          <wp:effectExtent l="0" t="0" r="0" b="0"/>
          <wp:wrapThrough wrapText="bothSides">
            <wp:wrapPolygon edited="0">
              <wp:start x="0" y="0"/>
              <wp:lineTo x="0" y="20474"/>
              <wp:lineTo x="21266" y="20474"/>
              <wp:lineTo x="21266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2315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aconcuadrcula"/>
      <w:tblW w:w="886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2"/>
      <w:gridCol w:w="1685"/>
      <w:gridCol w:w="1656"/>
      <w:gridCol w:w="1412"/>
      <w:gridCol w:w="1412"/>
      <w:gridCol w:w="860"/>
    </w:tblGrid>
    <w:tr w:rsidR="00102BAB" w:rsidRPr="00102BAB" w14:paraId="31D37714" w14:textId="77777777" w:rsidTr="0070229B">
      <w:trPr>
        <w:trHeight w:val="155"/>
        <w:jc w:val="center"/>
      </w:trPr>
      <w:tc>
        <w:tcPr>
          <w:tcW w:w="1842" w:type="dxa"/>
          <w:vAlign w:val="center"/>
        </w:tcPr>
        <w:p w14:paraId="4395931A" w14:textId="77777777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85" w:type="dxa"/>
          <w:vAlign w:val="center"/>
        </w:tcPr>
        <w:p w14:paraId="5C3922B0" w14:textId="2091FFB5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656" w:type="dxa"/>
          <w:vAlign w:val="center"/>
        </w:tcPr>
        <w:p w14:paraId="16F49667" w14:textId="7AA099C2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403AA670" w14:textId="54F54D91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1412" w:type="dxa"/>
          <w:vAlign w:val="center"/>
        </w:tcPr>
        <w:p w14:paraId="250FF94C" w14:textId="7ED3F95D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  <w:tc>
        <w:tcPr>
          <w:tcW w:w="860" w:type="dxa"/>
          <w:vAlign w:val="center"/>
        </w:tcPr>
        <w:p w14:paraId="70DB8D95" w14:textId="2A965B75" w:rsidR="007764AF" w:rsidRPr="00B830BF" w:rsidRDefault="007764AF" w:rsidP="007764AF">
          <w:pPr>
            <w:pStyle w:val="Piedepgina"/>
            <w:rPr>
              <w:rFonts w:ascii="Arial" w:hAnsi="Arial" w:cs="Arial"/>
              <w:color w:val="E36C0A"/>
              <w:sz w:val="14"/>
            </w:rPr>
          </w:pPr>
        </w:p>
      </w:tc>
    </w:tr>
  </w:tbl>
  <w:p w14:paraId="188C0E1D" w14:textId="77777777" w:rsidR="007764AF" w:rsidRDefault="007764AF" w:rsidP="00944AC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A1D41C" w14:textId="77777777" w:rsidR="009F3D36" w:rsidRDefault="009F3D36" w:rsidP="00DB4D9F">
      <w:pPr>
        <w:spacing w:after="0" w:line="240" w:lineRule="auto"/>
      </w:pPr>
      <w:r>
        <w:separator/>
      </w:r>
    </w:p>
  </w:footnote>
  <w:footnote w:type="continuationSeparator" w:id="0">
    <w:p w14:paraId="03FCD56E" w14:textId="77777777" w:rsidR="009F3D36" w:rsidRDefault="009F3D36" w:rsidP="00DB4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89D3C" w14:textId="77777777" w:rsidR="00E96089" w:rsidRDefault="00E96089" w:rsidP="00A97F63">
    <w:pPr>
      <w:pStyle w:val="Encabezado"/>
      <w:framePr w:wrap="none" w:vAnchor="text" w:hAnchor="margin" w:y="1"/>
      <w:rPr>
        <w:rStyle w:val="Nmerodepgina"/>
      </w:rPr>
    </w:pPr>
    <w:r>
      <w:rPr>
        <w:rStyle w:val="Nmerodepgina"/>
        <w:lang w:val="pt"/>
      </w:rPr>
      <w:fldChar w:fldCharType="begin"/>
    </w:r>
    <w:r>
      <w:rPr>
        <w:rStyle w:val="Nmerodepgina"/>
        <w:lang w:val="pt"/>
      </w:rPr>
      <w:instrText xml:space="preserve">PAGE  </w:instrText>
    </w:r>
    <w:r>
      <w:rPr>
        <w:rStyle w:val="Nmerodepgina"/>
        <w:lang w:val="pt"/>
      </w:rPr>
      <w:fldChar w:fldCharType="end"/>
    </w:r>
  </w:p>
  <w:p w14:paraId="70D20558" w14:textId="77777777" w:rsidR="00E96089" w:rsidRDefault="00E96089" w:rsidP="00E96089">
    <w:pPr>
      <w:pStyle w:val="Encabezado"/>
      <w:ind w:firstLine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1C1C60" w14:textId="77777777" w:rsidR="00DB4D9F" w:rsidRDefault="00731E99" w:rsidP="00E96089">
    <w:pPr>
      <w:pStyle w:val="Encabezado"/>
      <w:ind w:firstLine="360"/>
    </w:pPr>
    <w:r>
      <w:rPr>
        <w:noProof/>
        <w:lang w:eastAsia="es-ES_tradn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F06A7E9" wp14:editId="6C7E6C55">
              <wp:simplePos x="0" y="0"/>
              <wp:positionH relativeFrom="column">
                <wp:posOffset>-332765</wp:posOffset>
              </wp:positionH>
              <wp:positionV relativeFrom="paragraph">
                <wp:posOffset>-106401</wp:posOffset>
              </wp:positionV>
              <wp:extent cx="1133983" cy="2972435"/>
              <wp:effectExtent l="0" t="19050" r="28575" b="18415"/>
              <wp:wrapTight wrapText="bothSides">
                <wp:wrapPolygon edited="0">
                  <wp:start x="20329" y="-138"/>
                  <wp:lineTo x="6534" y="831"/>
                  <wp:lineTo x="2541" y="1384"/>
                  <wp:lineTo x="2541" y="19934"/>
                  <wp:lineTo x="1815" y="21595"/>
                  <wp:lineTo x="3267" y="21595"/>
                  <wp:lineTo x="5445" y="21595"/>
                  <wp:lineTo x="4719" y="19796"/>
                  <wp:lineTo x="7624" y="19796"/>
                  <wp:lineTo x="6897" y="17581"/>
                  <wp:lineTo x="9439" y="17581"/>
                  <wp:lineTo x="8713" y="15366"/>
                  <wp:lineTo x="11617" y="15366"/>
                  <wp:lineTo x="10891" y="13151"/>
                  <wp:lineTo x="13432" y="13151"/>
                  <wp:lineTo x="12706" y="10936"/>
                  <wp:lineTo x="15610" y="10936"/>
                  <wp:lineTo x="14884" y="8721"/>
                  <wp:lineTo x="17425" y="8721"/>
                  <wp:lineTo x="16699" y="6506"/>
                  <wp:lineTo x="19603" y="6506"/>
                  <wp:lineTo x="18877" y="4291"/>
                  <wp:lineTo x="21418" y="4291"/>
                  <wp:lineTo x="21782" y="2076"/>
                  <wp:lineTo x="21782" y="-138"/>
                  <wp:lineTo x="20329" y="-138"/>
                </wp:wrapPolygon>
              </wp:wrapTight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3983" cy="2972435"/>
                        <a:chOff x="0" y="0"/>
                        <a:chExt cx="1133983" cy="2972435"/>
                      </a:xfrm>
                    </wpg:grpSpPr>
                    <wps:wsp>
                      <wps:cNvPr id="1" name="Triangle isocèle 1"/>
                      <wps:cNvSpPr/>
                      <wps:spPr>
                        <a:xfrm rot="11325306">
                          <a:off x="0" y="102413"/>
                          <a:ext cx="864870" cy="2635250"/>
                        </a:xfrm>
                        <a:custGeom>
                          <a:avLst/>
                          <a:gdLst>
                            <a:gd name="connsiteX0" fmla="*/ 0 w 871220"/>
                            <a:gd name="connsiteY0" fmla="*/ 2785745 h 2785745"/>
                            <a:gd name="connsiteX1" fmla="*/ 435610 w 871220"/>
                            <a:gd name="connsiteY1" fmla="*/ 0 h 2785745"/>
                            <a:gd name="connsiteX2" fmla="*/ 871220 w 871220"/>
                            <a:gd name="connsiteY2" fmla="*/ 2785745 h 2785745"/>
                            <a:gd name="connsiteX3" fmla="*/ 0 w 871220"/>
                            <a:gd name="connsiteY3" fmla="*/ 2785745 h 2785745"/>
                            <a:gd name="connsiteX0" fmla="*/ 0 w 852838"/>
                            <a:gd name="connsiteY0" fmla="*/ 2785745 h 2785745"/>
                            <a:gd name="connsiteX1" fmla="*/ 435610 w 852838"/>
                            <a:gd name="connsiteY1" fmla="*/ 0 h 2785745"/>
                            <a:gd name="connsiteX2" fmla="*/ 852838 w 852838"/>
                            <a:gd name="connsiteY2" fmla="*/ 2666382 h 2785745"/>
                            <a:gd name="connsiteX3" fmla="*/ 0 w 852838"/>
                            <a:gd name="connsiteY3" fmla="*/ 2785745 h 2785745"/>
                            <a:gd name="connsiteX0" fmla="*/ 0 w 877861"/>
                            <a:gd name="connsiteY0" fmla="*/ 2785745 h 2785745"/>
                            <a:gd name="connsiteX1" fmla="*/ 435610 w 877861"/>
                            <a:gd name="connsiteY1" fmla="*/ 0 h 2785745"/>
                            <a:gd name="connsiteX2" fmla="*/ 877861 w 877861"/>
                            <a:gd name="connsiteY2" fmla="*/ 2637790 h 2785745"/>
                            <a:gd name="connsiteX3" fmla="*/ 0 w 877861"/>
                            <a:gd name="connsiteY3" fmla="*/ 2785745 h 2785745"/>
                            <a:gd name="connsiteX0" fmla="*/ 0 w 876619"/>
                            <a:gd name="connsiteY0" fmla="*/ 2785745 h 2785745"/>
                            <a:gd name="connsiteX1" fmla="*/ 435610 w 876619"/>
                            <a:gd name="connsiteY1" fmla="*/ 0 h 2785745"/>
                            <a:gd name="connsiteX2" fmla="*/ 876619 w 876619"/>
                            <a:gd name="connsiteY2" fmla="*/ 2639928 h 2785745"/>
                            <a:gd name="connsiteX3" fmla="*/ 0 w 876619"/>
                            <a:gd name="connsiteY3" fmla="*/ 2785745 h 2785745"/>
                            <a:gd name="connsiteX0" fmla="*/ 0 w 875384"/>
                            <a:gd name="connsiteY0" fmla="*/ 2785745 h 2785745"/>
                            <a:gd name="connsiteX1" fmla="*/ 435610 w 875384"/>
                            <a:gd name="connsiteY1" fmla="*/ 0 h 2785745"/>
                            <a:gd name="connsiteX2" fmla="*/ 875384 w 875384"/>
                            <a:gd name="connsiteY2" fmla="*/ 2640024 h 2785745"/>
                            <a:gd name="connsiteX3" fmla="*/ 0 w 875384"/>
                            <a:gd name="connsiteY3" fmla="*/ 2785745 h 2785745"/>
                            <a:gd name="connsiteX0" fmla="*/ 0 w 875384"/>
                            <a:gd name="connsiteY0" fmla="*/ 2743892 h 2743892"/>
                            <a:gd name="connsiteX1" fmla="*/ 473846 w 875384"/>
                            <a:gd name="connsiteY1" fmla="*/ 0 h 2743892"/>
                            <a:gd name="connsiteX2" fmla="*/ 875384 w 875384"/>
                            <a:gd name="connsiteY2" fmla="*/ 2598171 h 2743892"/>
                            <a:gd name="connsiteX3" fmla="*/ 0 w 875384"/>
                            <a:gd name="connsiteY3" fmla="*/ 2743892 h 2743892"/>
                            <a:gd name="connsiteX0" fmla="*/ 0 w 877084"/>
                            <a:gd name="connsiteY0" fmla="*/ 2732860 h 2732860"/>
                            <a:gd name="connsiteX1" fmla="*/ 475546 w 877084"/>
                            <a:gd name="connsiteY1" fmla="*/ 0 h 2732860"/>
                            <a:gd name="connsiteX2" fmla="*/ 877084 w 877084"/>
                            <a:gd name="connsiteY2" fmla="*/ 2598171 h 2732860"/>
                            <a:gd name="connsiteX3" fmla="*/ 0 w 877084"/>
                            <a:gd name="connsiteY3" fmla="*/ 2732860 h 2732860"/>
                            <a:gd name="connsiteX0" fmla="*/ 0 w 857217"/>
                            <a:gd name="connsiteY0" fmla="*/ 2732860 h 2732860"/>
                            <a:gd name="connsiteX1" fmla="*/ 475546 w 857217"/>
                            <a:gd name="connsiteY1" fmla="*/ 0 h 2732860"/>
                            <a:gd name="connsiteX2" fmla="*/ 857217 w 857217"/>
                            <a:gd name="connsiteY2" fmla="*/ 2601344 h 2732860"/>
                            <a:gd name="connsiteX3" fmla="*/ 0 w 8572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66399"/>
                            <a:gd name="connsiteY0" fmla="*/ 2732860 h 2732860"/>
                            <a:gd name="connsiteX1" fmla="*/ 475546 w 866399"/>
                            <a:gd name="connsiteY1" fmla="*/ 0 h 2732860"/>
                            <a:gd name="connsiteX2" fmla="*/ 866399 w 866399"/>
                            <a:gd name="connsiteY2" fmla="*/ 2594607 h 2732860"/>
                            <a:gd name="connsiteX3" fmla="*/ 0 w 866399"/>
                            <a:gd name="connsiteY3" fmla="*/ 2732860 h 2732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6399" h="2732860">
                              <a:moveTo>
                                <a:pt x="0" y="2732860"/>
                              </a:moveTo>
                              <a:lnTo>
                                <a:pt x="475546" y="0"/>
                              </a:lnTo>
                              <a:lnTo>
                                <a:pt x="866399" y="2594607"/>
                              </a:lnTo>
                              <a:lnTo>
                                <a:pt x="0" y="273286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Connecteur droit 3"/>
                      <wps:cNvCnPr/>
                      <wps:spPr>
                        <a:xfrm flipH="1">
                          <a:off x="109728" y="0"/>
                          <a:ext cx="1024255" cy="297243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C966620" id="Groupe 5" o:spid="_x0000_s1026" style="position:absolute;margin-left:-26.2pt;margin-top:-8.4pt;width:89.3pt;height:234.05pt;z-index:-251657216" coordsize="11339,29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LrqJAYAAFkcAAAOAAAAZHJzL2Uyb0RvYy54bWzsWd1u2zYUvh+wdyB0OWC1fqwfG3WKIF27&#10;AUFbrBnaXTIyZQuQRI2iY6dPtPfYi+3wUFRoO6UdO8jFsFzYlHR+eL6Ph3I+vn6zqStyx0RX8mbm&#10;Ba98j7Am5/OyWcy8P27e/Zx5pJO0mdOKN2zm3bPOe3Px4w+v1+2UhXzJqzkTBII03XTdzryllO10&#10;NOryJatp94q3rIGHBRc1lXApFqO5oGuIXlej0PeT0ZqLeSt4zroO7r7VD70LjF8ULJcfi6JjklQz&#10;D+Ym8VPg5636HF28ptOFoO2yzPtp0BNmUdOygaRDqLdUUrIS5V6ouswF73ghX+W8HvGiKHOGNUA1&#10;gb9TzXvBVy3WspiuF+0AE0C7g9PJYfMPd58EKeczL/ZIQ2ugCLMyEits1u1iCibvRfu5/ST6Gwt9&#10;pcrdFKJW31AI2SCq9wOqbCNJDjeDIIomWeSRHJ6FkzQcRxibTvMlkLPnly9/OeA5MolHan7DdNYt&#10;rKHuAabuPJg+L2nLEP1OYdDDFBiYbkRJm0XFSNnx/J+/YRBoxNB6gKubdoCcwYoIDksQEAnjyE9w&#10;xWxBF/jhOIj0qjT4Zck4S2HtInxJFIcxLtsBBMBx1cn3jCMT9O66k3pVz2GEa3LeM5vzpulKyb5C&#10;tKKuYKH/NCI+WZMsDcLQNMOu9Z+2dZhmcTqOyZL0Iz3Xxa7TV8BpSAGEJ8HhPLaLfzhDaGXQBRys&#10;xHY5uhJYuUMlh4uwrY9OYSOMKeIwi7LvQPucfDjznMMHBlZ8ODNs8ZEkSZSFh3m3ET4Mlm19Oh9p&#10;miXY3rDD7y715+TDmeccPjAw9oerkm0+ojSdHNGHNsK6P1wpbOsz+EiSYPIC/ZG68pzFhwqMfLgy&#10;7PAxmYTZCf3hLOKZ+IijbPwSfLjynMWHCox8uDJs8zH24W19Ch+uFC/OxzjKJnrXxdF3SNx+n6cA&#10;VnIQrX0+nBlscLP06XzEkyxIA+TDmcdGWO9Xx/NxJFh77/M09Y/tjyjMEr3r4ug4PuK458OVZ58P&#10;Z4ZtPlRg/f5wVGK7hBYfzjz7fLiKsK3D9Eiw9viI0zBIvwPtzvv8yBQ2uOPU8OHMY7scwbgNLvwI&#10;hwIUH84MtkuY+EE01vvV0/hwpngmPvz0Zfhw5TmLDxUY+XBl2OIjngRZlOJ+9UQ+XCn+50P9U5vF&#10;/y0+4F+jyZG/d8/ar5x5zukPDKz6w5lhpz/GiX9KfzhTHOwP0FUWRjmhSyOm5JumV1NgRED4UTKX&#10;Elda3ikFy5ZWQOYyl/AuAS0GQoKXsj7gDAjbzvgf59HOAJ7tHD4pM8BiO6MEZTLr7758AZKqElMr&#10;FFOlR0BMFR4BMfVWv09bKhVqiA0MyXrm9aSTJeh/+pWN0NX8jt1wNJQPKqCx0Lg92FSNbatfsThp&#10;A7ExMN8tBjW5oTr4RaJWVI+LMTPf2hx+KSjLfpZ6DsYir3jH9C1VJPI6VKtAsmS4Culu+LuyqkwU&#10;cFASpdYDcSTvK6bqr5rfWQEqLCykEKFB/ZtdVYLcUQCb5jlrZKAfLemc6duxD399OYMHTgsDqsgF&#10;5B9i9wGUtr4fW8+yt1euDOXzwVkv9yHN9sS08+CBmXkjB+e6bLh4rLIKquoza3sDkoZGoXTL5/cg&#10;vqJyCvR0bf6uFJ28pp38RAWImHATTiDkR/goKg7rDdYVjjyy5OLbY/eVPajD8NQja1D/Z17314oK&#10;5pHqtwZ040kwHkNYiRdj+AEEF8J+cms/aVb1FQeaoH1hdjhU9rIyw0Lw+gscVFyqrPCINjnkhm1C&#10;QuvoiysJ1/AIjjpydnmJYzgigPV13XxucxVcodpC5TebL1S0RA1nngSZ+AM3WjWdGv0X1uODrfJs&#10;+OVK8qJU4jCuQ41rfwG6uVL7X0BAh51GnzNcgRoNmwlbCTIXvJQENx01B1Dbr5r+uMH0i5b8SVGV&#10;7a8GjF46D3w4VIBzJmjcXsM20rmS08MYTjZ2jh4AHHNyoUBS2nkPZ1U2SvPfw9HI61WjNrQoC/rG&#10;wzZGgR9HjzS0o+nMFv14tzoazjie1K3G+YRulZsju9WsMVxWeEoD51e4M/VnbeqAzL7GZfhwInjx&#10;LwAAAP//AwBQSwMEFAAGAAgAAAAhADboIK/hAAAACwEAAA8AAABkcnMvZG93bnJldi54bWxMj8Fq&#10;wkAQhu+FvsMyQm+62WhCidmISNuTFKqF0tuaHZNgdjZk1yS+fddTvc0wH/98f76ZTMsG7F1jSYJY&#10;RMCQSqsbqiR8H9/nr8CcV6RVawkl3NDBpnh+ylWm7UhfOBx8xUIIuUxJqL3vMs5dWaNRbmE7pHA7&#10;294oH9a+4rpXYwg3LY+jKOVGNRQ+1KrDXY3l5XA1Ej5GNW6X4m3YX8672+8x+fzZC5TyZTZt18A8&#10;Tv4fhrt+UIciOJ3slbRjrYR5Eq8CGgaRhg53Ik5jYCcJq0QsgRc5f+xQ/AEAAP//AwBQSwECLQAU&#10;AAYACAAAACEAtoM4kv4AAADhAQAAEwAAAAAAAAAAAAAAAAAAAAAAW0NvbnRlbnRfVHlwZXNdLnht&#10;bFBLAQItABQABgAIAAAAIQA4/SH/1gAAAJQBAAALAAAAAAAAAAAAAAAAAC8BAABfcmVscy8ucmVs&#10;c1BLAQItABQABgAIAAAAIQBhrLrqJAYAAFkcAAAOAAAAAAAAAAAAAAAAAC4CAABkcnMvZTJvRG9j&#10;LnhtbFBLAQItABQABgAIAAAAIQA26CCv4QAAAAsBAAAPAAAAAAAAAAAAAAAAAH4IAABkcnMvZG93&#10;bnJldi54bWxQSwUGAAAAAAQABADzAAAAjAkAAAAA&#10;">
              <v:shape id="Triangle isocèle 1" o:spid="_x0000_s1027" style="position:absolute;top:1024;width:8648;height:26352;rotation:-11222706fd;visibility:visible;mso-wrap-style:square;v-text-anchor:middle" coordsize="866399,273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HDWwAAAANoAAAAPAAAAZHJzL2Rvd25yZXYueG1sRE9Na8JA&#10;EL0X/A/LCL01u7allugqIpR6NXqwtyE7Jmmzs0l2m0R/fVcoeBoe73OW69HWoqfOV441zBIFgjh3&#10;puJCw/Hw8fQOwgdkg7Vj0nAhD+vV5GGJqXED76nPQiFiCPsUNZQhNKmUPi/Jok9cQxy5s+sshgi7&#10;QpoOhxhua/ms1Ju0WHFsKLGhbUn5T/ZrNbTqO++v6uWI88Onm52+2leHrdaP03GzABFoDHfxv3tn&#10;4ny4vXK7cvUHAAD//wMAUEsBAi0AFAAGAAgAAAAhANvh9svuAAAAhQEAABMAAAAAAAAAAAAAAAAA&#10;AAAAAFtDb250ZW50X1R5cGVzXS54bWxQSwECLQAUAAYACAAAACEAWvQsW78AAAAVAQAACwAAAAAA&#10;AAAAAAAAAAAfAQAAX3JlbHMvLnJlbHNQSwECLQAUAAYACAAAACEACUhw1sAAAADaAAAADwAAAAAA&#10;AAAAAAAAAAAHAgAAZHJzL2Rvd25yZXYueG1sUEsFBgAAAAADAAMAtwAAAPQCAAAAAA==&#10;" path="m,2732860l475546,,866399,2594607,,2732860xe" fillcolor="#27509b [3204]" stroked="f" strokeweight="2pt">
                <v:path arrowok="t" o:connecttype="custom" o:connectlocs="0,2635250;474707,0;864870,2501935;0,2635250" o:connectangles="0,0,0,0"/>
              </v:shape>
              <v:line id="Connecteur droit 3" o:spid="_x0000_s1028" style="position:absolute;flip:x;visibility:visible;mso-wrap-style:square" from="1097,0" to="11339,29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RIPxQAAANoAAAAPAAAAZHJzL2Rvd25yZXYueG1sRI/NasMw&#10;EITvgb6D2EIvoZHbkB+cKCHENRhyqt1Lbxtra5taK2Optvv2UaGQ4zAz3zD742RaMVDvGssKXhYR&#10;COLS6oYrBR9F+rwF4TyyxtYyKfglB8fDw2yPsbYjv9OQ+0oECLsYFdTed7GUrqzJoFvYjjh4X7Y3&#10;6IPsK6l7HAPctPI1itbSYMNhocaOzjWV3/mPUTAW2/N1fZpvLsXnlK6SLKG3TaHU0+N02oHwNPl7&#10;+L+daQVL+LsSboA83AAAAP//AwBQSwECLQAUAAYACAAAACEA2+H2y+4AAACFAQAAEwAAAAAAAAAA&#10;AAAAAAAAAAAAW0NvbnRlbnRfVHlwZXNdLnhtbFBLAQItABQABgAIAAAAIQBa9CxbvwAAABUBAAAL&#10;AAAAAAAAAAAAAAAAAB8BAABfcmVscy8ucmVsc1BLAQItABQABgAIAAAAIQB02RIPxQAAANoAAAAP&#10;AAAAAAAAAAAAAAAAAAcCAABkcnMvZG93bnJldi54bWxQSwUGAAAAAAMAAwC3AAAA+QIAAAAA&#10;" strokecolor="#efd800 [3045]" strokeweight="3pt"/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816A8"/>
    <w:multiLevelType w:val="hybridMultilevel"/>
    <w:tmpl w:val="C9B602E8"/>
    <w:lvl w:ilvl="0" w:tplc="9DAE8F96">
      <w:start w:val="1"/>
      <w:numFmt w:val="bullet"/>
      <w:lvlText w:val="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D36"/>
    <w:rsid w:val="00002378"/>
    <w:rsid w:val="00033C91"/>
    <w:rsid w:val="00037F46"/>
    <w:rsid w:val="00043EF8"/>
    <w:rsid w:val="00047DF7"/>
    <w:rsid w:val="0009503B"/>
    <w:rsid w:val="00097EB8"/>
    <w:rsid w:val="000A5A3B"/>
    <w:rsid w:val="000C358D"/>
    <w:rsid w:val="00102BAB"/>
    <w:rsid w:val="00112C76"/>
    <w:rsid w:val="00123103"/>
    <w:rsid w:val="00152B9B"/>
    <w:rsid w:val="00155B62"/>
    <w:rsid w:val="00174A31"/>
    <w:rsid w:val="00175826"/>
    <w:rsid w:val="001A3AB4"/>
    <w:rsid w:val="001A4173"/>
    <w:rsid w:val="001B3FC0"/>
    <w:rsid w:val="00214A5F"/>
    <w:rsid w:val="00222A55"/>
    <w:rsid w:val="00280A23"/>
    <w:rsid w:val="00284FC3"/>
    <w:rsid w:val="00285B39"/>
    <w:rsid w:val="002A4D36"/>
    <w:rsid w:val="002C42E3"/>
    <w:rsid w:val="002D6228"/>
    <w:rsid w:val="0031730B"/>
    <w:rsid w:val="00336CD8"/>
    <w:rsid w:val="00341A3D"/>
    <w:rsid w:val="00346B80"/>
    <w:rsid w:val="003621DC"/>
    <w:rsid w:val="0036511A"/>
    <w:rsid w:val="00367448"/>
    <w:rsid w:val="00382BF7"/>
    <w:rsid w:val="003F1B7E"/>
    <w:rsid w:val="00400F70"/>
    <w:rsid w:val="00406413"/>
    <w:rsid w:val="00447598"/>
    <w:rsid w:val="004657A6"/>
    <w:rsid w:val="00472F97"/>
    <w:rsid w:val="00473BCC"/>
    <w:rsid w:val="00475262"/>
    <w:rsid w:val="004A2388"/>
    <w:rsid w:val="004B2222"/>
    <w:rsid w:val="004B4DC0"/>
    <w:rsid w:val="004C3E97"/>
    <w:rsid w:val="004E5EE0"/>
    <w:rsid w:val="004F296D"/>
    <w:rsid w:val="00523417"/>
    <w:rsid w:val="00546A89"/>
    <w:rsid w:val="005B10EC"/>
    <w:rsid w:val="005B4EC1"/>
    <w:rsid w:val="00615E91"/>
    <w:rsid w:val="00616B63"/>
    <w:rsid w:val="00651246"/>
    <w:rsid w:val="006A47D0"/>
    <w:rsid w:val="006E4E3E"/>
    <w:rsid w:val="0070229B"/>
    <w:rsid w:val="00703300"/>
    <w:rsid w:val="00706486"/>
    <w:rsid w:val="00707D3E"/>
    <w:rsid w:val="007128E4"/>
    <w:rsid w:val="007229C8"/>
    <w:rsid w:val="00723245"/>
    <w:rsid w:val="00731E99"/>
    <w:rsid w:val="00743A35"/>
    <w:rsid w:val="007764AF"/>
    <w:rsid w:val="007842DD"/>
    <w:rsid w:val="007D2013"/>
    <w:rsid w:val="007E0C70"/>
    <w:rsid w:val="0082784E"/>
    <w:rsid w:val="00830E82"/>
    <w:rsid w:val="00851CA3"/>
    <w:rsid w:val="00872C6E"/>
    <w:rsid w:val="00872E5D"/>
    <w:rsid w:val="008742AE"/>
    <w:rsid w:val="00875EDB"/>
    <w:rsid w:val="00881C6A"/>
    <w:rsid w:val="008D792D"/>
    <w:rsid w:val="008F07A3"/>
    <w:rsid w:val="008F213D"/>
    <w:rsid w:val="009040DA"/>
    <w:rsid w:val="00913DBE"/>
    <w:rsid w:val="009157E2"/>
    <w:rsid w:val="00923F14"/>
    <w:rsid w:val="00933EE3"/>
    <w:rsid w:val="0093724C"/>
    <w:rsid w:val="00944ACE"/>
    <w:rsid w:val="009659DD"/>
    <w:rsid w:val="00967AAC"/>
    <w:rsid w:val="009809B8"/>
    <w:rsid w:val="00994659"/>
    <w:rsid w:val="009A1B14"/>
    <w:rsid w:val="009B22D1"/>
    <w:rsid w:val="009F3D36"/>
    <w:rsid w:val="00A167BB"/>
    <w:rsid w:val="00A21642"/>
    <w:rsid w:val="00A56764"/>
    <w:rsid w:val="00A56D9D"/>
    <w:rsid w:val="00A77517"/>
    <w:rsid w:val="00A838CF"/>
    <w:rsid w:val="00AB4A92"/>
    <w:rsid w:val="00AC3CCE"/>
    <w:rsid w:val="00AD0D3B"/>
    <w:rsid w:val="00AD19B5"/>
    <w:rsid w:val="00AD5124"/>
    <w:rsid w:val="00AF121D"/>
    <w:rsid w:val="00B03CDD"/>
    <w:rsid w:val="00B06FB4"/>
    <w:rsid w:val="00B075E4"/>
    <w:rsid w:val="00B2182F"/>
    <w:rsid w:val="00B375F2"/>
    <w:rsid w:val="00B74697"/>
    <w:rsid w:val="00B830BF"/>
    <w:rsid w:val="00B91E9E"/>
    <w:rsid w:val="00B96156"/>
    <w:rsid w:val="00BA4139"/>
    <w:rsid w:val="00BD5B21"/>
    <w:rsid w:val="00BE1E47"/>
    <w:rsid w:val="00BE7E2D"/>
    <w:rsid w:val="00C765BD"/>
    <w:rsid w:val="00CA57F8"/>
    <w:rsid w:val="00CD4766"/>
    <w:rsid w:val="00CE186E"/>
    <w:rsid w:val="00CF7A13"/>
    <w:rsid w:val="00D165C9"/>
    <w:rsid w:val="00D257B0"/>
    <w:rsid w:val="00D527F1"/>
    <w:rsid w:val="00D60BA0"/>
    <w:rsid w:val="00D74754"/>
    <w:rsid w:val="00DA4940"/>
    <w:rsid w:val="00DB4D9F"/>
    <w:rsid w:val="00DB73E3"/>
    <w:rsid w:val="00E42F50"/>
    <w:rsid w:val="00E55093"/>
    <w:rsid w:val="00E7384F"/>
    <w:rsid w:val="00E7482F"/>
    <w:rsid w:val="00E8447A"/>
    <w:rsid w:val="00E96089"/>
    <w:rsid w:val="00EB0EDD"/>
    <w:rsid w:val="00EE28E8"/>
    <w:rsid w:val="00EF1397"/>
    <w:rsid w:val="00EF3841"/>
    <w:rsid w:val="00EF5D2E"/>
    <w:rsid w:val="00F124D3"/>
    <w:rsid w:val="00F142B6"/>
    <w:rsid w:val="00F27099"/>
    <w:rsid w:val="00F4223F"/>
    <w:rsid w:val="00FA0985"/>
    <w:rsid w:val="00FA21FA"/>
    <w:rsid w:val="00FA5625"/>
    <w:rsid w:val="00FA66B8"/>
    <w:rsid w:val="00FA7EC1"/>
    <w:rsid w:val="00FC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7561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447A"/>
    <w:rPr>
      <w:color w:val="262626" w:themeColor="text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844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844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i/>
      <w:cap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D9F"/>
  </w:style>
  <w:style w:type="paragraph" w:styleId="Piedepgina">
    <w:name w:val="footer"/>
    <w:basedOn w:val="Normal"/>
    <w:link w:val="PiedepginaCar"/>
    <w:uiPriority w:val="99"/>
    <w:unhideWhenUsed/>
    <w:rsid w:val="00DB4D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D9F"/>
  </w:style>
  <w:style w:type="character" w:customStyle="1" w:styleId="Ttulo1Car">
    <w:name w:val="Título 1 Car"/>
    <w:basedOn w:val="Fuentedeprrafopredeter"/>
    <w:link w:val="Ttulo1"/>
    <w:uiPriority w:val="9"/>
    <w:rsid w:val="00E8447A"/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8447A"/>
    <w:rPr>
      <w:rFonts w:asciiTheme="majorHAnsi" w:eastAsiaTheme="majorEastAsia" w:hAnsiTheme="majorHAnsi" w:cstheme="majorBidi"/>
      <w:bCs/>
      <w:i/>
      <w:caps/>
      <w:color w:val="262626" w:themeColor="text1"/>
      <w:sz w:val="26"/>
      <w:szCs w:val="26"/>
    </w:rPr>
  </w:style>
  <w:style w:type="paragraph" w:styleId="Sinespaciado">
    <w:name w:val="No Spacing"/>
    <w:uiPriority w:val="1"/>
    <w:qFormat/>
    <w:rsid w:val="00E8447A"/>
    <w:pPr>
      <w:spacing w:after="0" w:line="240" w:lineRule="auto"/>
    </w:pPr>
    <w:rPr>
      <w:color w:val="262626" w:themeColor="text1"/>
    </w:rPr>
  </w:style>
  <w:style w:type="paragraph" w:styleId="Puesto">
    <w:name w:val="Title"/>
    <w:basedOn w:val="Normal"/>
    <w:next w:val="Normal"/>
    <w:link w:val="PuestoCar"/>
    <w:autoRedefine/>
    <w:uiPriority w:val="10"/>
    <w:qFormat/>
    <w:rsid w:val="00E8447A"/>
    <w:pPr>
      <w:pBdr>
        <w:bottom w:val="single" w:sz="8" w:space="4" w:color="FCE500" w:themeColor="text2"/>
      </w:pBdr>
      <w:spacing w:after="300" w:line="240" w:lineRule="auto"/>
      <w:contextualSpacing/>
    </w:pPr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E8447A"/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AC3CC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E8447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8447A"/>
    <w:rPr>
      <w:rFonts w:asciiTheme="majorHAnsi" w:eastAsiaTheme="majorEastAsia" w:hAnsiTheme="majorHAnsi" w:cstheme="majorBidi"/>
      <w:i/>
      <w:iCs/>
      <w:color w:val="262626" w:themeColor="text1"/>
      <w:spacing w:val="15"/>
      <w:sz w:val="24"/>
      <w:szCs w:val="24"/>
    </w:rPr>
  </w:style>
  <w:style w:type="paragraph" w:customStyle="1" w:styleId="TextoMichelin">
    <w:name w:val="Texto Michelin"/>
    <w:basedOn w:val="Normal"/>
    <w:rsid w:val="00367448"/>
    <w:pPr>
      <w:spacing w:after="240" w:line="270" w:lineRule="atLeast"/>
      <w:jc w:val="both"/>
    </w:pPr>
    <w:rPr>
      <w:rFonts w:ascii="Arial" w:eastAsia="Times" w:hAnsi="Arial" w:cs="Times New Roman"/>
      <w:color w:val="auto"/>
      <w:sz w:val="21"/>
      <w:szCs w:val="24"/>
      <w:lang w:val="es-ES"/>
    </w:rPr>
  </w:style>
  <w:style w:type="paragraph" w:customStyle="1" w:styleId="SUBTITULOMichelinOK">
    <w:name w:val="SUBTITULO Michelin OK"/>
    <w:basedOn w:val="TextoMichelin"/>
    <w:rsid w:val="00367448"/>
    <w:pPr>
      <w:spacing w:after="120"/>
      <w:jc w:val="left"/>
    </w:pPr>
    <w:rPr>
      <w:rFonts w:ascii="Times" w:hAnsi="Times"/>
      <w:b/>
      <w:sz w:val="34"/>
    </w:rPr>
  </w:style>
  <w:style w:type="paragraph" w:customStyle="1" w:styleId="TITULARMICHELIN">
    <w:name w:val="TITULAR MICHELIN"/>
    <w:basedOn w:val="Normal"/>
    <w:rsid w:val="00367448"/>
    <w:pPr>
      <w:spacing w:after="0" w:line="360" w:lineRule="exact"/>
    </w:pPr>
    <w:rPr>
      <w:rFonts w:ascii="Times" w:eastAsia="Times" w:hAnsi="Times" w:cs="Times New Roman"/>
      <w:b/>
      <w:snapToGrid w:val="0"/>
      <w:color w:val="333399"/>
      <w:sz w:val="40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E96089"/>
  </w:style>
  <w:style w:type="character" w:styleId="Hipervnculo">
    <w:name w:val="Hyperlink"/>
    <w:basedOn w:val="Fuentedeprrafopredeter"/>
    <w:uiPriority w:val="99"/>
    <w:unhideWhenUsed/>
    <w:rsid w:val="00B03CDD"/>
    <w:rPr>
      <w:color w:val="0432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robertparker.com" TargetMode="External"/><Relationship Id="rId9" Type="http://schemas.openxmlformats.org/officeDocument/2006/relationships/hyperlink" Target="http://www.RobertParker.com" TargetMode="Externa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F012442\AppData\Local\Temp\Modele%20portrait.dotm" TargetMode="External"/></Relationships>
</file>

<file path=word/theme/theme1.xml><?xml version="1.0" encoding="utf-8"?>
<a:theme xmlns:a="http://schemas.openxmlformats.org/drawingml/2006/main" name="Thème Office">
  <a:themeElements>
    <a:clrScheme name="Michelin">
      <a:dk1>
        <a:srgbClr val="262626"/>
      </a:dk1>
      <a:lt1>
        <a:sysClr val="window" lastClr="FFFFFF"/>
      </a:lt1>
      <a:dk2>
        <a:srgbClr val="FCE500"/>
      </a:dk2>
      <a:lt2>
        <a:srgbClr val="EEECE1"/>
      </a:lt2>
      <a:accent1>
        <a:srgbClr val="27509B"/>
      </a:accent1>
      <a:accent2>
        <a:srgbClr val="FCE500"/>
      </a:accent2>
      <a:accent3>
        <a:srgbClr val="27509B"/>
      </a:accent3>
      <a:accent4>
        <a:srgbClr val="27509B"/>
      </a:accent4>
      <a:accent5>
        <a:srgbClr val="7F7F7F"/>
      </a:accent5>
      <a:accent6>
        <a:srgbClr val="595959"/>
      </a:accent6>
      <a:hlink>
        <a:srgbClr val="3F3F3F"/>
      </a:hlink>
      <a:folHlink>
        <a:srgbClr val="3F3F3F"/>
      </a:folHlink>
    </a:clrScheme>
    <a:fontScheme name="Micheli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8BAFF-F144-8446-BA16-36B513060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C:\Users\F012442\AppData\Local\Temp\Modele portrait.dotm</Template>
  <TotalTime>1</TotalTime>
  <Pages>2</Pages>
  <Words>1094</Words>
  <Characters>6021</Characters>
  <Application>Microsoft Macintosh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7101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Beaujean</dc:creator>
  <cp:lastModifiedBy>Julio Avalon</cp:lastModifiedBy>
  <cp:revision>2</cp:revision>
  <cp:lastPrinted>2015-11-05T15:03:00Z</cp:lastPrinted>
  <dcterms:created xsi:type="dcterms:W3CDTF">2017-07-10T07:57:00Z</dcterms:created>
  <dcterms:modified xsi:type="dcterms:W3CDTF">2017-07-10T07:57:00Z</dcterms:modified>
</cp:coreProperties>
</file>