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57" w:rsidRDefault="00C32157" w:rsidP="00DF007C">
      <w:pPr>
        <w:pStyle w:val="Encabezado"/>
        <w:tabs>
          <w:tab w:val="clear" w:pos="4536"/>
          <w:tab w:val="clear" w:pos="9072"/>
        </w:tabs>
        <w:spacing w:line="264" w:lineRule="auto"/>
        <w:ind w:right="141"/>
        <w:jc w:val="both"/>
        <w:rPr>
          <w:rFonts w:cs="Arial"/>
          <w:b/>
          <w:color w:val="191919"/>
          <w:sz w:val="24"/>
          <w:szCs w:val="24"/>
          <w:lang w:val="es-ES"/>
        </w:rPr>
      </w:pPr>
    </w:p>
    <w:p w:rsidR="0088103E" w:rsidRDefault="008B2CE1" w:rsidP="00DF007C">
      <w:pPr>
        <w:pStyle w:val="Encabezado"/>
        <w:tabs>
          <w:tab w:val="clear" w:pos="4536"/>
          <w:tab w:val="clear" w:pos="9072"/>
        </w:tabs>
        <w:spacing w:line="264" w:lineRule="auto"/>
        <w:ind w:right="141"/>
        <w:jc w:val="both"/>
        <w:rPr>
          <w:rFonts w:cs="Arial"/>
          <w:b/>
          <w:color w:val="191919"/>
          <w:sz w:val="24"/>
          <w:szCs w:val="24"/>
          <w:lang w:val="es-ES"/>
        </w:rPr>
      </w:pPr>
      <w:r>
        <w:rPr>
          <w:rFonts w:cs="Arial"/>
          <w:b/>
          <w:color w:val="191919"/>
          <w:sz w:val="24"/>
          <w:szCs w:val="24"/>
          <w:lang w:val="es-ES"/>
        </w:rPr>
        <w:t>31</w:t>
      </w:r>
      <w:r w:rsidR="00710D88" w:rsidRPr="003E36CD">
        <w:rPr>
          <w:rFonts w:cs="Arial"/>
          <w:b/>
          <w:color w:val="191919"/>
          <w:sz w:val="24"/>
          <w:szCs w:val="24"/>
          <w:lang w:val="es-ES"/>
        </w:rPr>
        <w:t>/</w:t>
      </w:r>
      <w:r w:rsidR="003E36CD">
        <w:rPr>
          <w:rFonts w:cs="Arial"/>
          <w:b/>
          <w:color w:val="191919"/>
          <w:sz w:val="24"/>
          <w:szCs w:val="24"/>
          <w:lang w:val="es-ES"/>
        </w:rPr>
        <w:t>0</w:t>
      </w:r>
      <w:r>
        <w:rPr>
          <w:rFonts w:cs="Arial"/>
          <w:b/>
          <w:color w:val="191919"/>
          <w:sz w:val="24"/>
          <w:szCs w:val="24"/>
          <w:lang w:val="es-ES"/>
        </w:rPr>
        <w:t>1</w:t>
      </w:r>
      <w:r w:rsidR="00710D88" w:rsidRPr="003E36CD">
        <w:rPr>
          <w:rFonts w:cs="Arial"/>
          <w:b/>
          <w:color w:val="191919"/>
          <w:sz w:val="24"/>
          <w:szCs w:val="24"/>
          <w:lang w:val="es-ES"/>
        </w:rPr>
        <w:t>/</w:t>
      </w:r>
      <w:r w:rsidR="003E36CD">
        <w:rPr>
          <w:rFonts w:cs="Arial"/>
          <w:b/>
          <w:color w:val="191919"/>
          <w:sz w:val="24"/>
          <w:szCs w:val="24"/>
          <w:lang w:val="es-ES"/>
        </w:rPr>
        <w:t>2018</w:t>
      </w:r>
    </w:p>
    <w:p w:rsidR="0088103E" w:rsidRPr="003E36CD" w:rsidRDefault="0088103E" w:rsidP="00DF007C">
      <w:pPr>
        <w:pStyle w:val="Encabezado"/>
        <w:tabs>
          <w:tab w:val="clear" w:pos="4536"/>
          <w:tab w:val="clear" w:pos="9072"/>
        </w:tabs>
        <w:spacing w:line="264" w:lineRule="auto"/>
        <w:ind w:right="141"/>
        <w:jc w:val="both"/>
        <w:rPr>
          <w:rFonts w:cs="Arial"/>
          <w:color w:val="191919"/>
          <w:sz w:val="24"/>
          <w:szCs w:val="24"/>
          <w:lang w:val="es-ES"/>
        </w:rPr>
      </w:pPr>
    </w:p>
    <w:p w:rsidR="003E36CD" w:rsidRPr="007908C3" w:rsidRDefault="003819DE" w:rsidP="00DF007C">
      <w:pPr>
        <w:pStyle w:val="SUBTITULOMichelinOK"/>
        <w:spacing w:after="230"/>
        <w:rPr>
          <w:lang w:val="es-ES_tradnl"/>
        </w:rPr>
      </w:pPr>
      <w:r w:rsidRPr="003819DE">
        <w:rPr>
          <w:bCs/>
          <w:snapToGrid w:val="0"/>
          <w:color w:val="333399"/>
          <w:sz w:val="40"/>
          <w:szCs w:val="26"/>
          <w:lang w:bidi="es-ES_tradnl"/>
        </w:rPr>
        <w:t>ELKARGI y Fundación Michelin firman un Acuerdo de Colaboración para generar empleo</w:t>
      </w:r>
    </w:p>
    <w:p w:rsidR="003E36CD" w:rsidRPr="00711532" w:rsidRDefault="003819DE" w:rsidP="00DF007C">
      <w:pPr>
        <w:pStyle w:val="SUBTITULOMichelinOK"/>
        <w:spacing w:after="230"/>
        <w:rPr>
          <w:bCs/>
          <w:snapToGrid w:val="0"/>
          <w:sz w:val="40"/>
          <w:szCs w:val="26"/>
          <w:lang w:val="es-ES_tradnl" w:bidi="es-ES_tradnl"/>
        </w:rPr>
      </w:pPr>
      <w:r w:rsidRPr="003819DE">
        <w:rPr>
          <w:lang w:val="es-ES_tradnl"/>
        </w:rPr>
        <w:t>Pymes y autónomos de Gipuzkoa y Álava se beneficiarán de una subvención para proyectos de inversión que permitan crear empleo, con costes del av</w:t>
      </w:r>
      <w:r>
        <w:rPr>
          <w:lang w:val="es-ES_tradnl"/>
        </w:rPr>
        <w:t>al que pueden llegar a ser de 0</w:t>
      </w:r>
      <w:r w:rsidR="00A84387" w:rsidRPr="00711532">
        <w:rPr>
          <w:lang w:val="es-ES_tradnl"/>
        </w:rPr>
        <w:t>.</w:t>
      </w:r>
    </w:p>
    <w:p w:rsidR="000F4BB6" w:rsidRDefault="003819DE" w:rsidP="00DF007C">
      <w:pPr>
        <w:pStyle w:val="TextoMichelin"/>
        <w:jc w:val="left"/>
        <w:rPr>
          <w:rFonts w:ascii="Times" w:hAnsi="Times" w:cs="Frutiger 55 Roman"/>
          <w:b/>
          <w:bCs/>
          <w:i/>
          <w:iCs/>
          <w:snapToGrid w:val="0"/>
          <w:color w:val="333399"/>
          <w:sz w:val="25"/>
          <w:szCs w:val="28"/>
          <w:lang w:val="es-ES_tradnl" w:eastAsia="es-ES" w:bidi="es-ES_tradnl"/>
        </w:rPr>
      </w:pPr>
      <w:proofErr w:type="spellStart"/>
      <w:r w:rsidRPr="003819DE">
        <w:rPr>
          <w:rFonts w:ascii="Times" w:hAnsi="Times" w:cs="Frutiger 55 Roman"/>
          <w:b/>
          <w:bCs/>
          <w:i/>
          <w:iCs/>
          <w:snapToGrid w:val="0"/>
          <w:color w:val="333399"/>
          <w:sz w:val="25"/>
          <w:szCs w:val="28"/>
          <w:lang w:val="es-ES_tradnl" w:eastAsia="es-ES" w:bidi="es-ES_tradnl"/>
        </w:rPr>
        <w:t>Elkargi</w:t>
      </w:r>
      <w:proofErr w:type="spellEnd"/>
      <w:r w:rsidRPr="003819DE">
        <w:rPr>
          <w:rFonts w:ascii="Times" w:hAnsi="Times" w:cs="Frutiger 55 Roman"/>
          <w:b/>
          <w:bCs/>
          <w:i/>
          <w:iCs/>
          <w:snapToGrid w:val="0"/>
          <w:color w:val="333399"/>
          <w:sz w:val="25"/>
          <w:szCs w:val="28"/>
          <w:lang w:val="es-ES_tradnl" w:eastAsia="es-ES" w:bidi="es-ES_tradnl"/>
        </w:rPr>
        <w:t xml:space="preserve"> y Fundación Michelin España y Portugal han ratificado un acuerdo de colaboración que mejora las condiciones del ya firmado en 2009. El objetivo del mismo es facilitar la financiación de la inversión de proyectos que generen empleo. Es te nuevo Acuerdo de Colaboración está dirigido a Pymes y autónomos de las provincias de Gipuz</w:t>
      </w:r>
      <w:r>
        <w:rPr>
          <w:rFonts w:ascii="Times" w:hAnsi="Times" w:cs="Frutiger 55 Roman"/>
          <w:b/>
          <w:bCs/>
          <w:i/>
          <w:iCs/>
          <w:snapToGrid w:val="0"/>
          <w:color w:val="333399"/>
          <w:sz w:val="25"/>
          <w:szCs w:val="28"/>
          <w:lang w:val="es-ES_tradnl" w:eastAsia="es-ES" w:bidi="es-ES_tradnl"/>
        </w:rPr>
        <w:t>koa y Álava</w:t>
      </w:r>
      <w:r w:rsidR="00A84387">
        <w:rPr>
          <w:rFonts w:ascii="Times" w:hAnsi="Times" w:cs="Frutiger 55 Roman"/>
          <w:b/>
          <w:bCs/>
          <w:i/>
          <w:iCs/>
          <w:snapToGrid w:val="0"/>
          <w:color w:val="333399"/>
          <w:sz w:val="25"/>
          <w:szCs w:val="28"/>
          <w:lang w:val="es-ES_tradnl" w:eastAsia="es-ES" w:bidi="es-ES_tradnl"/>
        </w:rPr>
        <w:t xml:space="preserve">. </w:t>
      </w:r>
    </w:p>
    <w:p w:rsidR="00A766AB" w:rsidRDefault="003819DE" w:rsidP="00DF007C">
      <w:pPr>
        <w:pStyle w:val="Encabezado"/>
        <w:tabs>
          <w:tab w:val="clear" w:pos="4536"/>
          <w:tab w:val="clear" w:pos="9072"/>
        </w:tabs>
        <w:spacing w:after="240" w:line="260" w:lineRule="atLeast"/>
        <w:jc w:val="both"/>
        <w:rPr>
          <w:rFonts w:eastAsia="Times"/>
          <w:bCs/>
          <w:sz w:val="21"/>
          <w:szCs w:val="21"/>
          <w:lang w:val="es-ES_tradnl" w:bidi="es-ES_tradnl"/>
        </w:rPr>
      </w:pPr>
      <w:r w:rsidRPr="003819DE">
        <w:rPr>
          <w:rFonts w:eastAsia="Times"/>
          <w:bCs/>
          <w:sz w:val="21"/>
          <w:szCs w:val="21"/>
          <w:lang w:val="es-ES_tradnl" w:bidi="es-ES_tradnl"/>
        </w:rPr>
        <w:t xml:space="preserve">Fundación Michelin subvencionará el coste del aval de </w:t>
      </w:r>
      <w:proofErr w:type="spellStart"/>
      <w:r w:rsidRPr="003819DE">
        <w:rPr>
          <w:rFonts w:eastAsia="Times"/>
          <w:bCs/>
          <w:sz w:val="21"/>
          <w:szCs w:val="21"/>
          <w:lang w:val="es-ES_tradnl" w:bidi="es-ES_tradnl"/>
        </w:rPr>
        <w:t>Elkargi</w:t>
      </w:r>
      <w:proofErr w:type="spellEnd"/>
      <w:r w:rsidRPr="003819DE">
        <w:rPr>
          <w:rFonts w:eastAsia="Times"/>
          <w:bCs/>
          <w:sz w:val="21"/>
          <w:szCs w:val="21"/>
          <w:lang w:val="es-ES_tradnl" w:bidi="es-ES_tradnl"/>
        </w:rPr>
        <w:t xml:space="preserve">, con lo que se mejora considerablemente las condiciones para acceder al préstamo, facilitando la inversión de pymes y autónomos en estos territorios y la consecuente generación de empleo. La subvención aportada por Fundación Michelin será proporcional al empleo creado y estará limitada a un máximo de 18 0.000€ por operación, pudiendo llegar a cubrir la totalidad del coste del aval. En todo caso, </w:t>
      </w:r>
      <w:proofErr w:type="spellStart"/>
      <w:r w:rsidRPr="003819DE">
        <w:rPr>
          <w:rFonts w:eastAsia="Times"/>
          <w:bCs/>
          <w:sz w:val="21"/>
          <w:szCs w:val="21"/>
          <w:lang w:val="es-ES_tradnl" w:bidi="es-ES_tradnl"/>
        </w:rPr>
        <w:t>Elkargi</w:t>
      </w:r>
      <w:proofErr w:type="spellEnd"/>
      <w:r w:rsidRPr="003819DE">
        <w:rPr>
          <w:rFonts w:eastAsia="Times"/>
          <w:bCs/>
          <w:sz w:val="21"/>
          <w:szCs w:val="21"/>
          <w:lang w:val="es-ES_tradnl" w:bidi="es-ES_tradnl"/>
        </w:rPr>
        <w:t xml:space="preserve"> puede avalar préstamos por impo</w:t>
      </w:r>
      <w:r>
        <w:rPr>
          <w:rFonts w:eastAsia="Times"/>
          <w:bCs/>
          <w:sz w:val="21"/>
          <w:szCs w:val="21"/>
          <w:lang w:val="es-ES_tradnl" w:bidi="es-ES_tradnl"/>
        </w:rPr>
        <w:t>rte superior</w:t>
      </w:r>
      <w:r w:rsidR="00EF2654">
        <w:rPr>
          <w:rFonts w:eastAsia="Times"/>
          <w:bCs/>
          <w:sz w:val="21"/>
          <w:szCs w:val="21"/>
          <w:lang w:val="es-ES_tradnl" w:bidi="es-ES_tradnl"/>
        </w:rPr>
        <w:t>.</w:t>
      </w:r>
    </w:p>
    <w:p w:rsidR="003819DE" w:rsidRPr="003819DE" w:rsidRDefault="003819DE" w:rsidP="003819DE">
      <w:pPr>
        <w:pStyle w:val="Encabezado"/>
        <w:spacing w:after="240" w:line="260" w:lineRule="atLeast"/>
        <w:jc w:val="both"/>
        <w:rPr>
          <w:rFonts w:eastAsia="Times"/>
          <w:bCs/>
          <w:sz w:val="21"/>
          <w:szCs w:val="21"/>
          <w:lang w:val="es-ES_tradnl" w:bidi="es-ES_tradnl"/>
        </w:rPr>
      </w:pPr>
      <w:r w:rsidRPr="003819DE">
        <w:rPr>
          <w:rFonts w:eastAsia="Times"/>
          <w:bCs/>
          <w:sz w:val="21"/>
          <w:szCs w:val="21"/>
          <w:lang w:val="es-ES_tradnl" w:bidi="es-ES_tradnl"/>
        </w:rPr>
        <w:t xml:space="preserve">Desde 2009, este Acuerdo de Colaboración entre ambas entidades ha permitido a </w:t>
      </w:r>
      <w:proofErr w:type="spellStart"/>
      <w:r w:rsidRPr="003819DE">
        <w:rPr>
          <w:rFonts w:eastAsia="Times"/>
          <w:bCs/>
          <w:sz w:val="21"/>
          <w:szCs w:val="21"/>
          <w:lang w:val="es-ES_tradnl" w:bidi="es-ES_tradnl"/>
        </w:rPr>
        <w:t>Elkargi</w:t>
      </w:r>
      <w:proofErr w:type="spellEnd"/>
      <w:r w:rsidRPr="003819DE">
        <w:rPr>
          <w:rFonts w:eastAsia="Times"/>
          <w:bCs/>
          <w:sz w:val="21"/>
          <w:szCs w:val="21"/>
          <w:lang w:val="es-ES_tradnl" w:bidi="es-ES_tradnl"/>
        </w:rPr>
        <w:t xml:space="preserve"> avalar </w:t>
      </w:r>
      <w:proofErr w:type="gramStart"/>
      <w:r w:rsidRPr="003819DE">
        <w:rPr>
          <w:rFonts w:eastAsia="Times"/>
          <w:bCs/>
          <w:sz w:val="21"/>
          <w:szCs w:val="21"/>
          <w:lang w:val="es-ES_tradnl" w:bidi="es-ES_tradnl"/>
        </w:rPr>
        <w:t>operaciones</w:t>
      </w:r>
      <w:proofErr w:type="gramEnd"/>
      <w:r w:rsidRPr="003819DE">
        <w:rPr>
          <w:rFonts w:eastAsia="Times"/>
          <w:bCs/>
          <w:sz w:val="21"/>
          <w:szCs w:val="21"/>
          <w:lang w:val="es-ES_tradnl" w:bidi="es-ES_tradnl"/>
        </w:rPr>
        <w:t xml:space="preserve"> por 25 millones de euros, beneficiando a 80 empresas y autónomos. Estos proyectos financiados por </w:t>
      </w:r>
      <w:proofErr w:type="spellStart"/>
      <w:r w:rsidRPr="003819DE">
        <w:rPr>
          <w:rFonts w:eastAsia="Times"/>
          <w:bCs/>
          <w:sz w:val="21"/>
          <w:szCs w:val="21"/>
          <w:lang w:val="es-ES_tradnl" w:bidi="es-ES_tradnl"/>
        </w:rPr>
        <w:t>Elkargi</w:t>
      </w:r>
      <w:proofErr w:type="spellEnd"/>
      <w:r w:rsidRPr="003819DE">
        <w:rPr>
          <w:rFonts w:eastAsia="Times"/>
          <w:bCs/>
          <w:sz w:val="21"/>
          <w:szCs w:val="21"/>
          <w:lang w:val="es-ES_tradnl" w:bidi="es-ES_tradnl"/>
        </w:rPr>
        <w:t xml:space="preserve"> en colaboración con la Fundación Michelin, han permitido la creación de más de 700 nuevos empleos y la colaboración en el mantenimiento de más de 1.300 puestos de trabajo en las empresas y autónomo s beneficiarios de este acuerdo.</w:t>
      </w:r>
    </w:p>
    <w:p w:rsidR="003819DE" w:rsidRPr="003819DE" w:rsidRDefault="003819DE" w:rsidP="003819DE">
      <w:pPr>
        <w:pStyle w:val="Encabezado"/>
        <w:spacing w:after="240" w:line="260" w:lineRule="atLeast"/>
        <w:jc w:val="both"/>
        <w:rPr>
          <w:rFonts w:eastAsia="Times"/>
          <w:bCs/>
          <w:sz w:val="21"/>
          <w:szCs w:val="21"/>
          <w:lang w:val="es-ES_tradnl" w:bidi="es-ES_tradnl"/>
        </w:rPr>
      </w:pPr>
      <w:r w:rsidRPr="003819DE">
        <w:rPr>
          <w:rFonts w:eastAsia="Times"/>
          <w:bCs/>
          <w:sz w:val="21"/>
          <w:szCs w:val="21"/>
          <w:lang w:val="es-ES_tradnl" w:bidi="es-ES_tradnl"/>
        </w:rPr>
        <w:t xml:space="preserve">El convenio ha sido firmado por Pío Aguirre, Director General de </w:t>
      </w:r>
      <w:proofErr w:type="spellStart"/>
      <w:r w:rsidRPr="003819DE">
        <w:rPr>
          <w:rFonts w:eastAsia="Times"/>
          <w:bCs/>
          <w:sz w:val="21"/>
          <w:szCs w:val="21"/>
          <w:lang w:val="es-ES_tradnl" w:bidi="es-ES_tradnl"/>
        </w:rPr>
        <w:t>Elkargi</w:t>
      </w:r>
      <w:proofErr w:type="spellEnd"/>
      <w:r w:rsidRPr="003819DE">
        <w:rPr>
          <w:rFonts w:eastAsia="Times"/>
          <w:bCs/>
          <w:sz w:val="21"/>
          <w:szCs w:val="21"/>
          <w:lang w:val="es-ES_tradnl" w:bidi="es-ES_tradnl"/>
        </w:rPr>
        <w:t xml:space="preserve"> y Félix </w:t>
      </w:r>
      <w:proofErr w:type="spellStart"/>
      <w:r w:rsidRPr="003819DE">
        <w:rPr>
          <w:rFonts w:eastAsia="Times"/>
          <w:bCs/>
          <w:sz w:val="21"/>
          <w:szCs w:val="21"/>
          <w:lang w:val="es-ES_tradnl" w:bidi="es-ES_tradnl"/>
        </w:rPr>
        <w:t>Sanchidrián</w:t>
      </w:r>
      <w:proofErr w:type="spellEnd"/>
      <w:r w:rsidRPr="003819DE">
        <w:rPr>
          <w:rFonts w:eastAsia="Times"/>
          <w:bCs/>
          <w:sz w:val="21"/>
          <w:szCs w:val="21"/>
          <w:lang w:val="es-ES_tradnl" w:bidi="es-ES_tradnl"/>
        </w:rPr>
        <w:t>, Director de la Fundación Michelin España Portugal. Ambos muestran su satisfacción por la mejora de las condiciones de este Programa de Colaboración. Pío Aguirre ha resaltado que “este convenio se enmarca en un momento idóneo para la creación de empleo, ya que se produce en un contexto económico de moderado optimismo, como lo demuestra el notable incremento de operaciones de inversión por parte de las pymes y autónomos vascos.</w:t>
      </w:r>
    </w:p>
    <w:p w:rsidR="003819DE" w:rsidRPr="003819DE" w:rsidRDefault="003819DE" w:rsidP="003819DE">
      <w:pPr>
        <w:pStyle w:val="Encabezado"/>
        <w:spacing w:after="240" w:line="260" w:lineRule="atLeast"/>
        <w:jc w:val="both"/>
        <w:rPr>
          <w:rFonts w:eastAsia="Times"/>
          <w:bCs/>
          <w:sz w:val="21"/>
          <w:szCs w:val="21"/>
          <w:lang w:val="es-ES_tradnl" w:bidi="es-ES_tradnl"/>
        </w:rPr>
      </w:pPr>
    </w:p>
    <w:p w:rsidR="003819DE" w:rsidRDefault="003819DE" w:rsidP="003819DE">
      <w:pPr>
        <w:pStyle w:val="Encabezado"/>
        <w:spacing w:after="240" w:line="260" w:lineRule="atLeast"/>
        <w:jc w:val="both"/>
        <w:rPr>
          <w:rFonts w:eastAsia="Times"/>
          <w:b/>
          <w:bCs/>
          <w:sz w:val="21"/>
          <w:szCs w:val="21"/>
          <w:lang w:val="es-ES_tradnl" w:bidi="es-ES_tradnl"/>
        </w:rPr>
      </w:pPr>
      <w:r w:rsidRPr="003819DE">
        <w:rPr>
          <w:rFonts w:eastAsia="Times"/>
          <w:b/>
          <w:bCs/>
          <w:sz w:val="21"/>
          <w:szCs w:val="21"/>
          <w:lang w:val="es-ES_tradnl" w:bidi="es-ES_tradnl"/>
        </w:rPr>
        <w:t>Sobre ELKARGI</w:t>
      </w:r>
    </w:p>
    <w:p w:rsidR="003819DE" w:rsidRPr="003819DE" w:rsidRDefault="003819DE" w:rsidP="003819DE">
      <w:pPr>
        <w:pStyle w:val="Encabezado"/>
        <w:spacing w:after="240" w:line="260" w:lineRule="atLeast"/>
        <w:jc w:val="both"/>
        <w:rPr>
          <w:rFonts w:eastAsia="Times"/>
          <w:bCs/>
          <w:i/>
          <w:sz w:val="21"/>
          <w:szCs w:val="21"/>
          <w:lang w:val="es-ES_tradnl" w:bidi="es-ES_tradnl"/>
        </w:rPr>
      </w:pPr>
      <w:proofErr w:type="spellStart"/>
      <w:r w:rsidRPr="003819DE">
        <w:rPr>
          <w:rFonts w:eastAsia="Times"/>
          <w:bCs/>
          <w:i/>
          <w:sz w:val="21"/>
          <w:szCs w:val="21"/>
          <w:lang w:val="es-ES_tradnl" w:bidi="es-ES_tradnl"/>
        </w:rPr>
        <w:t>Elkargi</w:t>
      </w:r>
      <w:proofErr w:type="spellEnd"/>
      <w:r w:rsidRPr="003819DE">
        <w:rPr>
          <w:rFonts w:eastAsia="Times"/>
          <w:bCs/>
          <w:i/>
          <w:sz w:val="21"/>
          <w:szCs w:val="21"/>
          <w:lang w:val="es-ES_tradnl" w:bidi="es-ES_tradnl"/>
        </w:rPr>
        <w:t xml:space="preserve"> es la primera SGR del Estado y la única especializada en Economía Social. Con casi 40 años de historia y 125.000 avales concedidos, cuenta con cerca de 15.300 empresas asociadas, cerca de 1.000 millones de euros en avales en vigor y un histórico de 6.500 millones, casi 110 millones e n recursos propios y un ratio de solvencia superior al 15%. Además de contribuir a la mejora de la financiación empresarial de las Pymes, Microempresas, Comercios, Emprendedores y Autónomos, </w:t>
      </w:r>
      <w:proofErr w:type="spellStart"/>
      <w:r w:rsidRPr="003819DE">
        <w:rPr>
          <w:rFonts w:eastAsia="Times"/>
          <w:bCs/>
          <w:i/>
          <w:sz w:val="21"/>
          <w:szCs w:val="21"/>
          <w:lang w:val="es-ES_tradnl" w:bidi="es-ES_tradnl"/>
        </w:rPr>
        <w:t>Elkargi</w:t>
      </w:r>
      <w:proofErr w:type="spellEnd"/>
      <w:r w:rsidRPr="003819DE">
        <w:rPr>
          <w:rFonts w:eastAsia="Times"/>
          <w:bCs/>
          <w:i/>
          <w:sz w:val="21"/>
          <w:szCs w:val="21"/>
          <w:lang w:val="es-ES_tradnl" w:bidi="es-ES_tradnl"/>
        </w:rPr>
        <w:t xml:space="preserve"> busca consolidar su actividad avalista con un volumen relevante, capaz de abordar el reto de la sostenibilidad, facilitando la negociación ante las entidades financieras y otros organismos, o con los nuevos mercados altamente especializados. (</w:t>
      </w:r>
      <w:hyperlink r:id="rId8" w:tgtFrame="_blank" w:history="1">
        <w:r w:rsidRPr="00277202">
          <w:rPr>
            <w:rStyle w:val="Hipervnculo"/>
            <w:rFonts w:eastAsia="Times"/>
            <w:bCs/>
            <w:i/>
            <w:sz w:val="21"/>
            <w:szCs w:val="21"/>
            <w:lang w:val="es-ES_tradnl" w:bidi="es-ES_tradnl"/>
          </w:rPr>
          <w:t>www.elkargi.es</w:t>
        </w:r>
      </w:hyperlink>
      <w:r w:rsidRPr="003819DE">
        <w:rPr>
          <w:rFonts w:eastAsia="Times"/>
          <w:bCs/>
          <w:i/>
          <w:sz w:val="21"/>
          <w:szCs w:val="21"/>
          <w:lang w:val="es-ES_tradnl" w:bidi="es-ES_tradnl"/>
        </w:rPr>
        <w:t>)</w:t>
      </w:r>
    </w:p>
    <w:p w:rsidR="003819DE" w:rsidRDefault="003819DE" w:rsidP="003819DE">
      <w:pPr>
        <w:pStyle w:val="Encabezado"/>
        <w:spacing w:after="240" w:line="260" w:lineRule="atLeast"/>
        <w:jc w:val="both"/>
        <w:rPr>
          <w:rFonts w:eastAsia="Times"/>
          <w:b/>
          <w:bCs/>
          <w:sz w:val="21"/>
          <w:szCs w:val="21"/>
          <w:lang w:val="es-ES_tradnl" w:bidi="es-ES_tradnl"/>
        </w:rPr>
      </w:pPr>
    </w:p>
    <w:p w:rsidR="003819DE" w:rsidRDefault="003819DE" w:rsidP="003819DE">
      <w:pPr>
        <w:pStyle w:val="Encabezado"/>
        <w:spacing w:after="240" w:line="260" w:lineRule="atLeast"/>
        <w:jc w:val="both"/>
        <w:rPr>
          <w:rFonts w:eastAsia="Times"/>
          <w:b/>
          <w:bCs/>
          <w:sz w:val="21"/>
          <w:szCs w:val="21"/>
          <w:lang w:val="es-ES_tradnl" w:bidi="es-ES_tradnl"/>
        </w:rPr>
      </w:pPr>
      <w:r w:rsidRPr="003819DE">
        <w:rPr>
          <w:rFonts w:eastAsia="Times"/>
          <w:b/>
          <w:bCs/>
          <w:sz w:val="21"/>
          <w:szCs w:val="21"/>
          <w:lang w:val="es-ES_tradnl" w:bidi="es-ES_tradnl"/>
        </w:rPr>
        <w:t>Sobre MICHELIN</w:t>
      </w:r>
    </w:p>
    <w:p w:rsidR="003819DE" w:rsidRPr="003819DE" w:rsidRDefault="003819DE" w:rsidP="003819DE">
      <w:pPr>
        <w:pStyle w:val="Encabezado"/>
        <w:spacing w:after="240" w:line="260" w:lineRule="atLeast"/>
        <w:jc w:val="both"/>
        <w:rPr>
          <w:rFonts w:eastAsia="Times"/>
          <w:bCs/>
          <w:i/>
          <w:sz w:val="21"/>
          <w:szCs w:val="21"/>
          <w:lang w:val="es-ES_tradnl" w:bidi="es-ES_tradnl"/>
        </w:rPr>
      </w:pPr>
      <w:r w:rsidRPr="003819DE">
        <w:rPr>
          <w:rFonts w:eastAsia="Times"/>
          <w:bCs/>
          <w:i/>
          <w:sz w:val="21"/>
          <w:szCs w:val="21"/>
          <w:lang w:val="es-ES_tradnl" w:bidi="es-ES_tradnl"/>
        </w:rPr>
        <w:t>La Fundación Michelin España Portugal (FMEP), tiene por misión el desarrollo del modelo de Responsabilidad Social Corporativa de Michelin en la península Ibérica. La FMEP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rsidR="00D5704E" w:rsidRPr="003819DE" w:rsidRDefault="003819DE" w:rsidP="003819DE">
      <w:pPr>
        <w:pStyle w:val="Encabezado"/>
        <w:tabs>
          <w:tab w:val="clear" w:pos="4536"/>
          <w:tab w:val="clear" w:pos="9072"/>
        </w:tabs>
        <w:spacing w:after="240" w:line="260" w:lineRule="atLeast"/>
        <w:jc w:val="both"/>
        <w:rPr>
          <w:rFonts w:ascii="Times New Roman" w:hAnsi="Times New Roman"/>
          <w:b/>
          <w:i/>
          <w:color w:val="191919"/>
          <w:sz w:val="24"/>
          <w:szCs w:val="24"/>
          <w:lang w:val="es-ES"/>
        </w:rPr>
      </w:pPr>
      <w:r w:rsidRPr="003819DE">
        <w:rPr>
          <w:rFonts w:eastAsia="Times"/>
          <w:bCs/>
          <w:i/>
          <w:sz w:val="21"/>
          <w:szCs w:val="21"/>
          <w:lang w:val="es-ES_tradnl" w:bidi="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 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111.700 personas y dispone de 68 centros de producción en 17 países que en 2016 han fabricado 187 millones de neumáticos. (</w:t>
      </w:r>
      <w:hyperlink r:id="rId9" w:tgtFrame="_blank" w:history="1">
        <w:r w:rsidRPr="00277202">
          <w:rPr>
            <w:rStyle w:val="Hipervnculo"/>
            <w:rFonts w:eastAsia="Times"/>
            <w:bCs/>
            <w:i/>
            <w:sz w:val="21"/>
            <w:szCs w:val="21"/>
            <w:lang w:val="es-ES_tradnl" w:bidi="es-ES_tradnl"/>
          </w:rPr>
          <w:t>www.michelin.es</w:t>
        </w:r>
      </w:hyperlink>
      <w:r w:rsidRPr="003819DE">
        <w:rPr>
          <w:rFonts w:eastAsia="Times"/>
          <w:bCs/>
          <w:i/>
          <w:sz w:val="21"/>
          <w:szCs w:val="21"/>
          <w:lang w:val="es-ES_tradnl" w:bidi="es-ES_tradnl"/>
        </w:rPr>
        <w:t>).</w:t>
      </w:r>
      <w:r w:rsidR="00711532" w:rsidRPr="003819DE">
        <w:rPr>
          <w:rFonts w:eastAsia="Times"/>
          <w:bCs/>
          <w:i/>
          <w:sz w:val="21"/>
          <w:szCs w:val="21"/>
          <w:lang w:val="es-ES_tradnl" w:bidi="es-ES_tradnl"/>
        </w:rPr>
        <w:t xml:space="preserve"> </w:t>
      </w:r>
    </w:p>
    <w:p w:rsidR="001E28FF" w:rsidRPr="00E717F2" w:rsidRDefault="001E28FF" w:rsidP="00DF007C">
      <w:pPr>
        <w:pStyle w:val="Encabezado"/>
        <w:tabs>
          <w:tab w:val="clear" w:pos="4536"/>
          <w:tab w:val="clear" w:pos="9072"/>
        </w:tabs>
        <w:spacing w:line="264" w:lineRule="auto"/>
        <w:ind w:left="-142" w:right="141"/>
        <w:jc w:val="both"/>
        <w:rPr>
          <w:rFonts w:cs="Arial"/>
          <w:color w:val="191919"/>
          <w:sz w:val="24"/>
          <w:szCs w:val="24"/>
          <w:lang w:val="es-ES"/>
        </w:rPr>
      </w:pPr>
    </w:p>
    <w:sectPr w:rsidR="001E28FF" w:rsidRPr="00E717F2" w:rsidSect="00DF007C">
      <w:headerReference w:type="default" r:id="rId10"/>
      <w:footerReference w:type="default" r:id="rId11"/>
      <w:headerReference w:type="first" r:id="rId12"/>
      <w:footerReference w:type="first" r:id="rId13"/>
      <w:pgSz w:w="11901" w:h="16840" w:code="9"/>
      <w:pgMar w:top="680" w:right="844" w:bottom="1701" w:left="1134" w:header="0" w:footer="28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72" w:rsidRDefault="008B5A72">
      <w:r>
        <w:separator/>
      </w:r>
    </w:p>
  </w:endnote>
  <w:endnote w:type="continuationSeparator" w:id="0">
    <w:p w:rsidR="008B5A72" w:rsidRDefault="008B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Frutiger 55 Roman">
    <w:charset w:val="00"/>
    <w:family w:val="auto"/>
    <w:pitch w:val="variable"/>
    <w:sig w:usb0="00000003" w:usb1="00000000" w:usb2="00000000" w:usb3="00000000" w:csb0="00000001" w:csb1="00000000"/>
  </w:font>
  <w:font w:name="Frutiger-Normal">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04" w:rsidRDefault="000D5804" w:rsidP="00E00D5D">
    <w:pPr>
      <w:tabs>
        <w:tab w:val="center" w:pos="4252"/>
        <w:tab w:val="right" w:pos="8504"/>
      </w:tabs>
      <w:outlineLvl w:val="0"/>
      <w:rPr>
        <w:b/>
        <w:bCs/>
        <w:color w:val="808080"/>
        <w:sz w:val="18"/>
        <w:szCs w:val="18"/>
        <w:lang w:eastAsia="es-ES"/>
      </w:rPr>
    </w:pPr>
  </w:p>
  <w:p w:rsidR="000D5804" w:rsidRPr="00750891" w:rsidRDefault="000D5804" w:rsidP="00EF6514">
    <w:pPr>
      <w:tabs>
        <w:tab w:val="center" w:pos="4252"/>
        <w:tab w:val="right" w:pos="8504"/>
      </w:tabs>
      <w:outlineLvl w:val="0"/>
      <w:rPr>
        <w:b/>
        <w:bCs/>
        <w:color w:val="808080"/>
        <w:sz w:val="18"/>
        <w:szCs w:val="18"/>
        <w:lang w:val="es-ES" w:eastAsia="es-ES"/>
      </w:rPr>
    </w:pPr>
    <w:r w:rsidRPr="00750891">
      <w:rPr>
        <w:b/>
        <w:bCs/>
        <w:color w:val="808080"/>
        <w:sz w:val="18"/>
        <w:szCs w:val="18"/>
        <w:lang w:val="es-ES" w:eastAsia="es-ES"/>
      </w:rPr>
      <w:t>DEPARTAMENTO DE COMUNICACIÓN CORPORATIVA</w:t>
    </w:r>
  </w:p>
  <w:p w:rsidR="000D5804" w:rsidRPr="00750891" w:rsidRDefault="000D5804" w:rsidP="00EF6514">
    <w:pPr>
      <w:tabs>
        <w:tab w:val="center" w:pos="4252"/>
        <w:tab w:val="right" w:pos="8504"/>
      </w:tabs>
      <w:outlineLvl w:val="0"/>
      <w:rPr>
        <w:bCs/>
        <w:color w:val="808080"/>
        <w:sz w:val="18"/>
        <w:szCs w:val="18"/>
        <w:lang w:val="es-ES" w:eastAsia="es-ES"/>
      </w:rPr>
    </w:pPr>
    <w:r w:rsidRPr="00750891">
      <w:rPr>
        <w:bCs/>
        <w:color w:val="808080"/>
        <w:sz w:val="18"/>
        <w:szCs w:val="18"/>
        <w:lang w:val="es-ES" w:eastAsia="es-ES"/>
      </w:rPr>
      <w:t>Ctra. de Burgos s/n - Pol. El Cabildo</w:t>
    </w:r>
  </w:p>
  <w:p w:rsidR="000D5804" w:rsidRPr="00750891" w:rsidRDefault="000D5804" w:rsidP="00EF6514">
    <w:pPr>
      <w:tabs>
        <w:tab w:val="center" w:pos="4252"/>
        <w:tab w:val="right" w:pos="8504"/>
      </w:tabs>
      <w:outlineLvl w:val="0"/>
      <w:rPr>
        <w:bCs/>
        <w:color w:val="808080"/>
        <w:sz w:val="18"/>
        <w:szCs w:val="18"/>
        <w:lang w:val="es-ES" w:eastAsia="es-ES"/>
      </w:rPr>
    </w:pPr>
    <w:r w:rsidRPr="00750891">
      <w:rPr>
        <w:bCs/>
        <w:color w:val="808080"/>
        <w:sz w:val="18"/>
        <w:szCs w:val="18"/>
        <w:lang w:val="es-ES" w:eastAsia="es-ES"/>
      </w:rPr>
      <w:t>47009 - Valladolid – ESPAÑA</w:t>
    </w:r>
  </w:p>
  <w:p w:rsidR="000D5804" w:rsidRPr="00EF6514" w:rsidRDefault="000D5804" w:rsidP="00EF6514">
    <w:pPr>
      <w:jc w:val="both"/>
      <w:rPr>
        <w:rFonts w:eastAsia="Times"/>
        <w:bCs/>
        <w:color w:val="808080"/>
        <w:sz w:val="18"/>
        <w:szCs w:val="18"/>
        <w:lang w:val="es-ES"/>
      </w:rPr>
    </w:pPr>
    <w:r>
      <w:rPr>
        <w:rFonts w:eastAsia="Times"/>
        <w:bCs/>
        <w:color w:val="808080"/>
        <w:sz w:val="18"/>
        <w:szCs w:val="18"/>
        <w:lang w:val="es-ES"/>
      </w:rPr>
      <w:t>Móvil</w:t>
    </w:r>
    <w:r w:rsidRPr="00750891">
      <w:rPr>
        <w:rFonts w:eastAsia="Times"/>
        <w:bCs/>
        <w:color w:val="808080"/>
        <w:sz w:val="18"/>
        <w:szCs w:val="18"/>
        <w:lang w:val="es-ES"/>
      </w:rPr>
      <w:t xml:space="preserve">: +34 </w:t>
    </w:r>
    <w:r>
      <w:rPr>
        <w:rFonts w:eastAsia="Times"/>
        <w:bCs/>
        <w:color w:val="808080"/>
        <w:sz w:val="18"/>
        <w:szCs w:val="18"/>
        <w:lang w:val="es-ES"/>
      </w:rPr>
      <w:t>629 865 612</w:t>
    </w:r>
    <w:r w:rsidRPr="00750891">
      <w:rPr>
        <w:rFonts w:eastAsia="Times"/>
        <w:bCs/>
        <w:color w:val="808080"/>
        <w:sz w:val="18"/>
        <w:szCs w:val="18"/>
        <w:lang w:val="es-ES"/>
      </w:rPr>
      <w:t xml:space="preserve"> –</w:t>
    </w:r>
    <w:r>
      <w:rPr>
        <w:rFonts w:eastAsia="Times"/>
        <w:bCs/>
        <w:color w:val="808080"/>
        <w:sz w:val="18"/>
        <w:szCs w:val="18"/>
        <w:lang w:val="es-ES"/>
      </w:rPr>
      <w:t xml:space="preserve"> hugo.ureta-alonso@michelin.com</w:t>
    </w:r>
    <w:r w:rsidRPr="00E717F2">
      <w:rPr>
        <w:b/>
        <w:bCs/>
        <w:color w:val="808080"/>
        <w:sz w:val="18"/>
        <w:szCs w:val="18"/>
        <w:lang w:val="es-ES" w:eastAsia="es-ES"/>
      </w:rPr>
      <w:t xml:space="preserve"> </w:t>
    </w:r>
  </w:p>
  <w:p w:rsidR="000D5804" w:rsidRDefault="009F29D3" w:rsidP="00DA5134">
    <w:pPr>
      <w:pStyle w:val="Piedepgina"/>
      <w:ind w:left="-567"/>
    </w:pPr>
    <w:r w:rsidRPr="009F29D3">
      <w:rPr>
        <w:noProof/>
      </w:rPr>
      <w:pict>
        <v:line id="_x0000_s2053" style="position:absolute;left:0;text-align:left;z-index:251656192;mso-position-vertical-relative:page" from="-21.1pt,756.95pt" to="173.35pt,757pt" o:allowincell="f" stroked="f" strokeweight="0">
          <w10:wrap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04" w:rsidRDefault="000D5804" w:rsidP="0088103E">
    <w:pPr>
      <w:pStyle w:val="Piedepgina"/>
      <w:tabs>
        <w:tab w:val="clear" w:pos="4536"/>
        <w:tab w:val="clear" w:pos="9072"/>
        <w:tab w:val="center" w:pos="5032"/>
        <w:tab w:val="right" w:pos="1006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72" w:rsidRDefault="008B5A72">
      <w:r>
        <w:separator/>
      </w:r>
    </w:p>
  </w:footnote>
  <w:footnote w:type="continuationSeparator" w:id="0">
    <w:p w:rsidR="008B5A72" w:rsidRDefault="008B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04" w:rsidRDefault="000D5804" w:rsidP="006A24B3">
    <w:pPr>
      <w:pStyle w:val="Encabezado"/>
      <w:rPr>
        <w:lang w:val="en-US"/>
      </w:rPr>
    </w:pPr>
  </w:p>
  <w:p w:rsidR="000D5804" w:rsidRDefault="000D5804" w:rsidP="006A24B3">
    <w:pPr>
      <w:pStyle w:val="Encabezado"/>
      <w:rPr>
        <w:lang w:val="en-US"/>
      </w:rPr>
    </w:pPr>
  </w:p>
  <w:p w:rsidR="000D5804" w:rsidRDefault="00A16EDB" w:rsidP="006A24B3">
    <w:pPr>
      <w:pStyle w:val="Encabezado"/>
      <w:rPr>
        <w:lang w:val="en-US"/>
      </w:rPr>
    </w:pPr>
    <w:r>
      <w:rPr>
        <w:noProof/>
        <w:lang w:val="es-ES" w:eastAsia="es-ES"/>
      </w:rPr>
      <w:drawing>
        <wp:anchor distT="0" distB="0" distL="114300" distR="114300" simplePos="0" relativeHeight="251658240" behindDoc="0" locked="0" layoutInCell="1" allowOverlap="1">
          <wp:simplePos x="0" y="0"/>
          <wp:positionH relativeFrom="column">
            <wp:posOffset>-21590</wp:posOffset>
          </wp:positionH>
          <wp:positionV relativeFrom="paragraph">
            <wp:posOffset>118745</wp:posOffset>
          </wp:positionV>
          <wp:extent cx="1511935" cy="778510"/>
          <wp:effectExtent l="19050" t="0" r="0" b="0"/>
          <wp:wrapThrough wrapText="bothSides">
            <wp:wrapPolygon edited="0">
              <wp:start x="4354" y="0"/>
              <wp:lineTo x="3266" y="6343"/>
              <wp:lineTo x="3538" y="8457"/>
              <wp:lineTo x="1361" y="10571"/>
              <wp:lineTo x="-272" y="14271"/>
              <wp:lineTo x="-272" y="17971"/>
              <wp:lineTo x="2722" y="21142"/>
              <wp:lineTo x="3810" y="21142"/>
              <wp:lineTo x="20412" y="21142"/>
              <wp:lineTo x="20956" y="17442"/>
              <wp:lineTo x="20956" y="16914"/>
              <wp:lineTo x="21500" y="11628"/>
              <wp:lineTo x="21228" y="11100"/>
              <wp:lineTo x="13880" y="8457"/>
              <wp:lineTo x="17418" y="3700"/>
              <wp:lineTo x="16329" y="1586"/>
              <wp:lineTo x="6804" y="0"/>
              <wp:lineTo x="4354" y="0"/>
            </wp:wrapPolygon>
          </wp:wrapThrough>
          <wp:docPr id="38" name="Imagen 38" descr="INSTITUCIONAL VERTICAL color par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STITUCIONAL VERTICAL color para carta"/>
                  <pic:cNvPicPr>
                    <a:picLocks noChangeAspect="1" noChangeArrowheads="1"/>
                  </pic:cNvPicPr>
                </pic:nvPicPr>
                <pic:blipFill>
                  <a:blip r:embed="rId1"/>
                  <a:srcRect/>
                  <a:stretch>
                    <a:fillRect/>
                  </a:stretch>
                </pic:blipFill>
                <pic:spPr bwMode="auto">
                  <a:xfrm>
                    <a:off x="0" y="0"/>
                    <a:ext cx="1511935" cy="778510"/>
                  </a:xfrm>
                  <a:prstGeom prst="rect">
                    <a:avLst/>
                  </a:prstGeom>
                  <a:noFill/>
                  <a:ln w="9525">
                    <a:noFill/>
                    <a:miter lim="800000"/>
                    <a:headEnd/>
                    <a:tailEnd/>
                  </a:ln>
                </pic:spPr>
              </pic:pic>
            </a:graphicData>
          </a:graphic>
        </wp:anchor>
      </w:drawing>
    </w:r>
  </w:p>
  <w:p w:rsidR="000D5804" w:rsidRDefault="000D5804" w:rsidP="006A24B3">
    <w:pPr>
      <w:pStyle w:val="Encabezado"/>
      <w:rPr>
        <w:lang w:val="en-US"/>
      </w:rPr>
    </w:pPr>
  </w:p>
  <w:p w:rsidR="000D5804" w:rsidRDefault="000D5804" w:rsidP="006A24B3">
    <w:pPr>
      <w:pStyle w:val="Encabezado"/>
      <w:rPr>
        <w:lang w:val="en-US"/>
      </w:rPr>
    </w:pPr>
  </w:p>
  <w:p w:rsidR="000D5804" w:rsidRDefault="000D5804" w:rsidP="006A24B3">
    <w:pPr>
      <w:pStyle w:val="Encabezado"/>
      <w:rPr>
        <w:lang w:val="en-US"/>
      </w:rPr>
    </w:pPr>
  </w:p>
  <w:p w:rsidR="000D5804" w:rsidRDefault="000D5804" w:rsidP="006A24B3">
    <w:pPr>
      <w:pStyle w:val="Encabezado"/>
      <w:rPr>
        <w:lang w:val="en-US"/>
      </w:rPr>
    </w:pPr>
  </w:p>
  <w:p w:rsidR="000D5804" w:rsidRPr="00425C51" w:rsidRDefault="000D5804" w:rsidP="006A24B3">
    <w:pPr>
      <w:pStyle w:val="Encabezado"/>
      <w:rPr>
        <w:vertAlign w:val="subscript"/>
        <w:lang w:val="en-US"/>
      </w:rPr>
    </w:pPr>
  </w:p>
  <w:p w:rsidR="000D5804" w:rsidRPr="001402AD" w:rsidRDefault="000D5804" w:rsidP="006A24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04" w:rsidRDefault="000D5804" w:rsidP="009B4178">
    <w:pPr>
      <w:pStyle w:val="Encabezado"/>
      <w:ind w:hanging="1276"/>
      <w:rPr>
        <w:lang w:val="en-US"/>
      </w:rPr>
    </w:pPr>
    <w:r w:rsidRPr="00582BFB">
      <w:rPr>
        <w:lang w:val="en-US"/>
      </w:rPr>
      <w:t xml:space="preserve"> </w:t>
    </w:r>
    <w:r>
      <w:rPr>
        <w:lang w:val="en-US"/>
      </w:rPr>
      <w:t xml:space="preserve">               </w:t>
    </w:r>
  </w:p>
  <w:p w:rsidR="000D5804" w:rsidRDefault="000D5804" w:rsidP="00787FEA">
    <w:pPr>
      <w:pStyle w:val="Encabezado"/>
      <w:ind w:hanging="1276"/>
      <w:rPr>
        <w:rFonts w:cs="Arial"/>
        <w:lang w:val="es-ES_tradnl"/>
      </w:rPr>
    </w:pPr>
    <w:r>
      <w:rPr>
        <w:lang w:val="en-US"/>
      </w:rPr>
      <w:t xml:space="preserve">                    </w:t>
    </w:r>
    <w:r w:rsidRPr="00582BFB">
      <w:rPr>
        <w:rFonts w:ascii="Frutiger-Normal" w:hAnsi="Frutiger-Normal"/>
        <w:color w:val="000099"/>
        <w:sz w:val="18"/>
        <w:lang w:val="en-US"/>
      </w:rPr>
      <w:br/>
    </w:r>
  </w:p>
  <w:p w:rsidR="000D5804" w:rsidRDefault="00A16EDB" w:rsidP="00C171F8">
    <w:pPr>
      <w:pStyle w:val="Encabezado"/>
      <w:ind w:hanging="1134"/>
      <w:rPr>
        <w:rFonts w:cs="Arial"/>
        <w:lang w:val="es-ES_tradnl"/>
      </w:rPr>
    </w:pPr>
    <w:r>
      <w:rPr>
        <w:noProof/>
        <w:lang w:val="es-ES" w:eastAsia="es-E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17145</wp:posOffset>
          </wp:positionV>
          <wp:extent cx="1511935" cy="778510"/>
          <wp:effectExtent l="19050" t="0" r="0" b="0"/>
          <wp:wrapNone/>
          <wp:docPr id="30" name="Imagen 30" descr="INSTITUCIONAL VERTICAL color par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STITUCIONAL VERTICAL color para carta"/>
                  <pic:cNvPicPr>
                    <a:picLocks noChangeAspect="1" noChangeArrowheads="1"/>
                  </pic:cNvPicPr>
                </pic:nvPicPr>
                <pic:blipFill>
                  <a:blip r:embed="rId1"/>
                  <a:srcRect/>
                  <a:stretch>
                    <a:fillRect/>
                  </a:stretch>
                </pic:blipFill>
                <pic:spPr bwMode="auto">
                  <a:xfrm>
                    <a:off x="0" y="0"/>
                    <a:ext cx="1511935" cy="778510"/>
                  </a:xfrm>
                  <a:prstGeom prst="rect">
                    <a:avLst/>
                  </a:prstGeom>
                  <a:noFill/>
                  <a:ln w="9525">
                    <a:noFill/>
                    <a:miter lim="800000"/>
                    <a:headEnd/>
                    <a:tailEnd/>
                  </a:ln>
                </pic:spPr>
              </pic:pic>
            </a:graphicData>
          </a:graphic>
        </wp:anchor>
      </w:drawing>
    </w:r>
  </w:p>
  <w:p w:rsidR="000D5804" w:rsidRDefault="00A16EDB" w:rsidP="00787FEA">
    <w:pPr>
      <w:pStyle w:val="Encabezado"/>
      <w:ind w:hanging="1276"/>
      <w:rPr>
        <w:rFonts w:cs="Arial"/>
        <w:lang w:val="es-ES_tradnl"/>
      </w:rPr>
    </w:pPr>
    <w:r>
      <w:rPr>
        <w:rFonts w:cs="Arial"/>
        <w:noProof/>
        <w:color w:val="27509B"/>
        <w:sz w:val="18"/>
        <w:lang w:val="es-ES" w:eastAsia="es-ES"/>
      </w:rPr>
      <w:drawing>
        <wp:anchor distT="0" distB="0" distL="114300" distR="114300" simplePos="0" relativeHeight="251660288" behindDoc="1" locked="0" layoutInCell="1" allowOverlap="1">
          <wp:simplePos x="0" y="0"/>
          <wp:positionH relativeFrom="page">
            <wp:posOffset>5204460</wp:posOffset>
          </wp:positionH>
          <wp:positionV relativeFrom="page">
            <wp:posOffset>661670</wp:posOffset>
          </wp:positionV>
          <wp:extent cx="1806575" cy="450850"/>
          <wp:effectExtent l="19050" t="0" r="3175"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806575" cy="450850"/>
                  </a:xfrm>
                  <a:prstGeom prst="rect">
                    <a:avLst/>
                  </a:prstGeom>
                  <a:noFill/>
                </pic:spPr>
              </pic:pic>
            </a:graphicData>
          </a:graphic>
        </wp:anchor>
      </w:drawing>
    </w:r>
  </w:p>
  <w:p w:rsidR="000D5804" w:rsidRPr="00411366" w:rsidRDefault="000D5804" w:rsidP="00787FEA">
    <w:pPr>
      <w:pStyle w:val="Encabezado"/>
      <w:ind w:hanging="1276"/>
      <w:rPr>
        <w:rFonts w:cs="Arial"/>
        <w:vertAlign w:val="subscript"/>
        <w:lang w:val="es-ES_tradnl"/>
      </w:rPr>
    </w:pPr>
    <w:r>
      <w:rPr>
        <w:rFonts w:cs="Arial"/>
        <w:vertAlign w:val="subscript"/>
        <w:lang w:val="es-ES_tradnl"/>
      </w:rPr>
      <w:t>IIII</w:t>
    </w:r>
  </w:p>
  <w:p w:rsidR="000D5804" w:rsidRDefault="000D5804" w:rsidP="00C171F8">
    <w:pPr>
      <w:pStyle w:val="Encabezado"/>
      <w:ind w:left="-142"/>
      <w:rPr>
        <w:rFonts w:cs="Arial"/>
        <w:color w:val="27509B"/>
        <w:sz w:val="18"/>
        <w:lang w:val="es-ES_tradnl"/>
      </w:rPr>
    </w:pPr>
  </w:p>
  <w:p w:rsidR="000D5804" w:rsidRDefault="000D5804" w:rsidP="002A69C7">
    <w:pPr>
      <w:pStyle w:val="Encabezado"/>
      <w:rPr>
        <w:rFonts w:cs="Arial"/>
        <w:color w:val="27509B"/>
        <w:sz w:val="18"/>
        <w:lang w:val="es-ES_tradnl"/>
      </w:rPr>
    </w:pPr>
  </w:p>
  <w:p w:rsidR="000D5804" w:rsidRDefault="000D5804" w:rsidP="002A69C7">
    <w:pPr>
      <w:pStyle w:val="Encabezado"/>
      <w:rPr>
        <w:rFonts w:cs="Arial"/>
        <w:color w:val="27509B"/>
        <w:sz w:val="18"/>
        <w:lang w:val="es-ES_tradnl"/>
      </w:rPr>
    </w:pPr>
  </w:p>
  <w:p w:rsidR="000D5804" w:rsidRPr="006A24B3" w:rsidRDefault="009F29D3" w:rsidP="00233C45">
    <w:pPr>
      <w:pStyle w:val="Encabezado"/>
      <w:rPr>
        <w:rFonts w:cs="Arial"/>
        <w:color w:val="181818"/>
        <w:sz w:val="18"/>
        <w:lang w:val="es-ES_tradnl"/>
      </w:rPr>
    </w:pPr>
    <w:r w:rsidRPr="009F29D3">
      <w:rPr>
        <w:noProof/>
        <w:lang w:val="es-ES" w:eastAsia="es-ES"/>
      </w:rPr>
      <w:pict>
        <v:shapetype id="_x0000_t202" coordsize="21600,21600" o:spt="202" path="m,l,21600r21600,l21600,xe">
          <v:stroke joinstyle="miter"/>
          <v:path gradientshapeok="t" o:connecttype="rect"/>
        </v:shapetype>
        <v:shape id="_x0000_s2087" type="#_x0000_t202" style="position:absolute;margin-left:262.8pt;margin-top:14.45pt;width:239.9pt;height:32.6pt;z-index:251659264" filled="f" stroked="f">
          <v:fill o:detectmouseclick="t"/>
          <v:textbox style="mso-next-textbox:#_x0000_s2087" inset=",7.2pt,,7.2pt">
            <w:txbxContent>
              <w:p w:rsidR="000D5804" w:rsidRPr="00173C32" w:rsidRDefault="000D5804" w:rsidP="007F6ECD">
                <w:pPr>
                  <w:ind w:left="708"/>
                  <w:jc w:val="right"/>
                  <w:rPr>
                    <w:rFonts w:cs="Arial"/>
                    <w:b/>
                    <w:sz w:val="28"/>
                    <w:szCs w:val="28"/>
                  </w:rPr>
                </w:pPr>
                <w:r w:rsidRPr="00173C32">
                  <w:rPr>
                    <w:rFonts w:cs="Arial"/>
                    <w:b/>
                    <w:sz w:val="28"/>
                    <w:szCs w:val="28"/>
                  </w:rPr>
                  <w:t>INFORMACIÓN DE PRENSA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EC6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o:colormru v:ext="edit" colors="#009"/>
    </o:shapedefaults>
    <o:shapelayout v:ext="edit">
      <o:idmap v:ext="edit" data="2"/>
    </o:shapelayout>
  </w:hdrShapeDefaults>
  <w:footnotePr>
    <w:footnote w:id="-1"/>
    <w:footnote w:id="0"/>
  </w:footnotePr>
  <w:endnotePr>
    <w:endnote w:id="-1"/>
    <w:endnote w:id="0"/>
  </w:endnotePr>
  <w:compat/>
  <w:rsids>
    <w:rsidRoot w:val="009A1E96"/>
    <w:rsid w:val="000000B3"/>
    <w:rsid w:val="00015C33"/>
    <w:rsid w:val="00021AC5"/>
    <w:rsid w:val="000545FB"/>
    <w:rsid w:val="0007580B"/>
    <w:rsid w:val="00081A9B"/>
    <w:rsid w:val="000A4897"/>
    <w:rsid w:val="000B0697"/>
    <w:rsid w:val="000C2449"/>
    <w:rsid w:val="000C4960"/>
    <w:rsid w:val="000C4D13"/>
    <w:rsid w:val="000D5804"/>
    <w:rsid w:val="000F4BB6"/>
    <w:rsid w:val="001148C6"/>
    <w:rsid w:val="00115192"/>
    <w:rsid w:val="001402AD"/>
    <w:rsid w:val="00147901"/>
    <w:rsid w:val="0016061F"/>
    <w:rsid w:val="00173C32"/>
    <w:rsid w:val="00182044"/>
    <w:rsid w:val="00184095"/>
    <w:rsid w:val="00185A2A"/>
    <w:rsid w:val="001E28FF"/>
    <w:rsid w:val="00210CD3"/>
    <w:rsid w:val="00227325"/>
    <w:rsid w:val="00233C45"/>
    <w:rsid w:val="00284EAE"/>
    <w:rsid w:val="002A69C7"/>
    <w:rsid w:val="002C27B7"/>
    <w:rsid w:val="003819DE"/>
    <w:rsid w:val="003876A4"/>
    <w:rsid w:val="003964B4"/>
    <w:rsid w:val="003B0FA7"/>
    <w:rsid w:val="003C69BB"/>
    <w:rsid w:val="003D2A00"/>
    <w:rsid w:val="003E36CD"/>
    <w:rsid w:val="003E6717"/>
    <w:rsid w:val="00404235"/>
    <w:rsid w:val="00411366"/>
    <w:rsid w:val="00415BE7"/>
    <w:rsid w:val="00420872"/>
    <w:rsid w:val="00425C51"/>
    <w:rsid w:val="004427C2"/>
    <w:rsid w:val="00457804"/>
    <w:rsid w:val="00472AE5"/>
    <w:rsid w:val="00476F8A"/>
    <w:rsid w:val="00493F7B"/>
    <w:rsid w:val="00495BAC"/>
    <w:rsid w:val="004B063E"/>
    <w:rsid w:val="004B65D2"/>
    <w:rsid w:val="004C02CE"/>
    <w:rsid w:val="004E48B3"/>
    <w:rsid w:val="00501F12"/>
    <w:rsid w:val="00502047"/>
    <w:rsid w:val="00511B3B"/>
    <w:rsid w:val="00520186"/>
    <w:rsid w:val="00524C7D"/>
    <w:rsid w:val="00546B5F"/>
    <w:rsid w:val="00562E3B"/>
    <w:rsid w:val="0057023B"/>
    <w:rsid w:val="00576ADA"/>
    <w:rsid w:val="00577877"/>
    <w:rsid w:val="00582BFB"/>
    <w:rsid w:val="005865D0"/>
    <w:rsid w:val="005C03AF"/>
    <w:rsid w:val="005C2C61"/>
    <w:rsid w:val="005C5DB5"/>
    <w:rsid w:val="005E3CB5"/>
    <w:rsid w:val="005E608C"/>
    <w:rsid w:val="005F313F"/>
    <w:rsid w:val="005F6EBC"/>
    <w:rsid w:val="005F7F41"/>
    <w:rsid w:val="0061064D"/>
    <w:rsid w:val="006451D5"/>
    <w:rsid w:val="006461FD"/>
    <w:rsid w:val="00696FC7"/>
    <w:rsid w:val="006979F5"/>
    <w:rsid w:val="006A24B3"/>
    <w:rsid w:val="00710D88"/>
    <w:rsid w:val="00711532"/>
    <w:rsid w:val="00713534"/>
    <w:rsid w:val="007147C2"/>
    <w:rsid w:val="0071758C"/>
    <w:rsid w:val="00750480"/>
    <w:rsid w:val="00787FEA"/>
    <w:rsid w:val="007908C3"/>
    <w:rsid w:val="00793207"/>
    <w:rsid w:val="007A6744"/>
    <w:rsid w:val="007E2645"/>
    <w:rsid w:val="007F6ECD"/>
    <w:rsid w:val="00804AC0"/>
    <w:rsid w:val="00841A77"/>
    <w:rsid w:val="008465B7"/>
    <w:rsid w:val="0088103E"/>
    <w:rsid w:val="008B2CE1"/>
    <w:rsid w:val="008B5A72"/>
    <w:rsid w:val="008C57D3"/>
    <w:rsid w:val="00902272"/>
    <w:rsid w:val="009362CB"/>
    <w:rsid w:val="009536CB"/>
    <w:rsid w:val="00974FB9"/>
    <w:rsid w:val="0099548B"/>
    <w:rsid w:val="009958F5"/>
    <w:rsid w:val="009A1E96"/>
    <w:rsid w:val="009B0804"/>
    <w:rsid w:val="009B4178"/>
    <w:rsid w:val="009E1C16"/>
    <w:rsid w:val="009F29D3"/>
    <w:rsid w:val="00A12806"/>
    <w:rsid w:val="00A16EDB"/>
    <w:rsid w:val="00A36F95"/>
    <w:rsid w:val="00A63357"/>
    <w:rsid w:val="00A766AB"/>
    <w:rsid w:val="00A84387"/>
    <w:rsid w:val="00AA0783"/>
    <w:rsid w:val="00B06562"/>
    <w:rsid w:val="00B07E12"/>
    <w:rsid w:val="00B246B2"/>
    <w:rsid w:val="00B37C91"/>
    <w:rsid w:val="00B517A2"/>
    <w:rsid w:val="00B64E2B"/>
    <w:rsid w:val="00B65438"/>
    <w:rsid w:val="00B95258"/>
    <w:rsid w:val="00B97342"/>
    <w:rsid w:val="00BA04D3"/>
    <w:rsid w:val="00BB7DA3"/>
    <w:rsid w:val="00C0007D"/>
    <w:rsid w:val="00C008DA"/>
    <w:rsid w:val="00C0755C"/>
    <w:rsid w:val="00C171F8"/>
    <w:rsid w:val="00C32157"/>
    <w:rsid w:val="00C625F4"/>
    <w:rsid w:val="00C633A8"/>
    <w:rsid w:val="00C66E37"/>
    <w:rsid w:val="00C730D4"/>
    <w:rsid w:val="00CB31BC"/>
    <w:rsid w:val="00CB72CE"/>
    <w:rsid w:val="00CC2B9F"/>
    <w:rsid w:val="00CE6CE7"/>
    <w:rsid w:val="00CE722A"/>
    <w:rsid w:val="00D115A9"/>
    <w:rsid w:val="00D27EC1"/>
    <w:rsid w:val="00D41F17"/>
    <w:rsid w:val="00D5258C"/>
    <w:rsid w:val="00D540A6"/>
    <w:rsid w:val="00D5704E"/>
    <w:rsid w:val="00D623AD"/>
    <w:rsid w:val="00D705D7"/>
    <w:rsid w:val="00D857BF"/>
    <w:rsid w:val="00D90DB7"/>
    <w:rsid w:val="00D9200F"/>
    <w:rsid w:val="00D952CF"/>
    <w:rsid w:val="00DA5134"/>
    <w:rsid w:val="00DF007C"/>
    <w:rsid w:val="00DF42F8"/>
    <w:rsid w:val="00E00D5D"/>
    <w:rsid w:val="00E30228"/>
    <w:rsid w:val="00E4513A"/>
    <w:rsid w:val="00E717F2"/>
    <w:rsid w:val="00E82EA0"/>
    <w:rsid w:val="00EB0345"/>
    <w:rsid w:val="00EF2654"/>
    <w:rsid w:val="00EF6514"/>
    <w:rsid w:val="00EF65B9"/>
    <w:rsid w:val="00F5367D"/>
    <w:rsid w:val="00F64E88"/>
    <w:rsid w:val="00FA715B"/>
    <w:rsid w:val="00FB44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D3"/>
    <w:rPr>
      <w:rFonts w:ascii="Arial" w:hAnsi="Arial"/>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29D3"/>
    <w:pPr>
      <w:tabs>
        <w:tab w:val="center" w:pos="4536"/>
        <w:tab w:val="right" w:pos="9072"/>
      </w:tabs>
    </w:pPr>
  </w:style>
  <w:style w:type="paragraph" w:styleId="Piedepgina">
    <w:name w:val="footer"/>
    <w:basedOn w:val="Normal"/>
    <w:link w:val="PiedepginaCar"/>
    <w:uiPriority w:val="99"/>
    <w:rsid w:val="009F29D3"/>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media1-nfasis41">
    <w:name w:val="Lista media 1 - Énfasis 41"/>
    <w:hidden/>
    <w:uiPriority w:val="71"/>
    <w:rsid w:val="005E608C"/>
    <w:rPr>
      <w:rFonts w:ascii="Arial" w:hAnsi="Arial"/>
      <w:lang w:val="fr-FR" w:eastAsia="fr-FR"/>
    </w:rPr>
  </w:style>
  <w:style w:type="paragraph" w:styleId="Mapadeldocumento">
    <w:name w:val="Document Map"/>
    <w:basedOn w:val="Normal"/>
    <w:link w:val="MapadeldocumentoCar"/>
    <w:uiPriority w:val="99"/>
    <w:semiHidden/>
    <w:unhideWhenUsed/>
    <w:rsid w:val="005E608C"/>
    <w:rPr>
      <w:rFonts w:ascii="Lucida Grande" w:hAnsi="Lucida Grande" w:cs="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paragraph" w:customStyle="1" w:styleId="TextoMichelin">
    <w:name w:val="Texto Michelin"/>
    <w:basedOn w:val="Normal"/>
    <w:rsid w:val="003E36CD"/>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3E36CD"/>
    <w:pPr>
      <w:spacing w:after="120"/>
      <w:jc w:val="left"/>
    </w:pPr>
    <w:rPr>
      <w:rFonts w:ascii="Times" w:hAnsi="Times"/>
      <w:b/>
      <w:sz w:val="34"/>
    </w:rPr>
  </w:style>
  <w:style w:type="paragraph" w:customStyle="1" w:styleId="TITULARMICHELIN">
    <w:name w:val="TITULAR MICHELIN"/>
    <w:basedOn w:val="Normal"/>
    <w:rsid w:val="003E36CD"/>
    <w:pPr>
      <w:spacing w:line="360" w:lineRule="exact"/>
    </w:pPr>
    <w:rPr>
      <w:rFonts w:ascii="Times" w:eastAsia="Times" w:hAnsi="Times"/>
      <w:b/>
      <w:snapToGrid w:val="0"/>
      <w:color w:val="333399"/>
      <w:sz w:val="40"/>
      <w:szCs w:val="24"/>
      <w:lang w:val="es-ES_tradnl"/>
    </w:rPr>
  </w:style>
  <w:style w:type="character" w:styleId="Hipervnculo">
    <w:name w:val="Hyperlink"/>
    <w:basedOn w:val="Fuentedeprrafopredeter"/>
    <w:uiPriority w:val="99"/>
    <w:unhideWhenUsed/>
    <w:rsid w:val="003819DE"/>
    <w:rPr>
      <w:color w:val="0000FF" w:themeColor="hyperlink"/>
      <w:u w:val="single"/>
    </w:rPr>
  </w:style>
  <w:style w:type="character" w:styleId="Hipervnculovisitado">
    <w:name w:val="FollowedHyperlink"/>
    <w:basedOn w:val="Fuentedeprrafopredeter"/>
    <w:uiPriority w:val="99"/>
    <w:semiHidden/>
    <w:unhideWhenUsed/>
    <w:rsid w:val="003819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827497">
      <w:bodyDiv w:val="1"/>
      <w:marLeft w:val="0"/>
      <w:marRight w:val="0"/>
      <w:marTop w:val="0"/>
      <w:marBottom w:val="0"/>
      <w:divBdr>
        <w:top w:val="none" w:sz="0" w:space="0" w:color="auto"/>
        <w:left w:val="none" w:sz="0" w:space="0" w:color="auto"/>
        <w:bottom w:val="none" w:sz="0" w:space="0" w:color="auto"/>
        <w:right w:val="none" w:sz="0" w:space="0" w:color="auto"/>
      </w:divBdr>
    </w:div>
    <w:div w:id="818494941">
      <w:bodyDiv w:val="1"/>
      <w:marLeft w:val="0"/>
      <w:marRight w:val="0"/>
      <w:marTop w:val="0"/>
      <w:marBottom w:val="0"/>
      <w:divBdr>
        <w:top w:val="none" w:sz="0" w:space="0" w:color="auto"/>
        <w:left w:val="none" w:sz="0" w:space="0" w:color="auto"/>
        <w:bottom w:val="none" w:sz="0" w:space="0" w:color="auto"/>
        <w:right w:val="none" w:sz="0" w:space="0" w:color="auto"/>
      </w:divBdr>
    </w:div>
    <w:div w:id="1878929115">
      <w:bodyDiv w:val="1"/>
      <w:marLeft w:val="0"/>
      <w:marRight w:val="0"/>
      <w:marTop w:val="0"/>
      <w:marBottom w:val="0"/>
      <w:divBdr>
        <w:top w:val="none" w:sz="0" w:space="0" w:color="auto"/>
        <w:left w:val="none" w:sz="0" w:space="0" w:color="auto"/>
        <w:bottom w:val="none" w:sz="0" w:space="0" w:color="auto"/>
        <w:right w:val="none" w:sz="0" w:space="0" w:color="auto"/>
      </w:divBdr>
    </w:div>
    <w:div w:id="18886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lkarg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GC\echanges\helene\CAP\papeterie\tes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1E1584-65B6-4BFB-ADAD-B86ABB68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test.dot</Template>
  <TotalTime>1</TotalTime>
  <Pages>2</Pages>
  <Words>641</Words>
  <Characters>3528</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Michelin</dc:creator>
  <cp:lastModifiedBy>a</cp:lastModifiedBy>
  <cp:revision>3</cp:revision>
  <cp:lastPrinted>2018-01-19T07:25:00Z</cp:lastPrinted>
  <dcterms:created xsi:type="dcterms:W3CDTF">2018-02-02T12:45:00Z</dcterms:created>
  <dcterms:modified xsi:type="dcterms:W3CDTF">2018-02-02T12:47:00Z</dcterms:modified>
</cp:coreProperties>
</file>