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3C17" w14:textId="1256DB33" w:rsidR="007F65D7" w:rsidRPr="00ED4EAD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ED4EAD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="009B389C">
        <w:rPr>
          <w:rFonts w:ascii="Times" w:hAnsi="Times"/>
          <w:noProof/>
          <w:color w:val="808080"/>
          <w:sz w:val="24"/>
          <w:szCs w:val="24"/>
          <w:lang w:val="pt-PT"/>
        </w:rPr>
        <w:t>6/03/2018</w:t>
      </w:r>
    </w:p>
    <w:p w14:paraId="259B2097" w14:textId="77777777" w:rsidR="007F65D7" w:rsidRPr="00ED4EAD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ED4EAD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FF0000"/>
          <w:sz w:val="40"/>
          <w:szCs w:val="26"/>
          <w:lang w:val="pt-PT"/>
        </w:rPr>
      </w:pPr>
    </w:p>
    <w:p w14:paraId="1EE03A3A" w14:textId="56B6EFFC" w:rsidR="0030660D" w:rsidRPr="00DD64F9" w:rsidRDefault="00F570E6" w:rsidP="0030660D">
      <w:pPr>
        <w:pStyle w:val="TITULARMICHELIN"/>
        <w:spacing w:after="120" w:line="240" w:lineRule="auto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O g</w:t>
      </w:r>
      <w:r w:rsidR="0030660D" w:rsidRPr="00DD64F9">
        <w:rPr>
          <w:rFonts w:eastAsia="Times New Roman"/>
          <w:lang w:val="pt-PT" w:eastAsia="en-US"/>
        </w:rPr>
        <w:t xml:space="preserve">uia </w:t>
      </w:r>
      <w:r w:rsidR="0030660D" w:rsidRPr="00DD64F9">
        <w:rPr>
          <w:rFonts w:eastAsia="Times New Roman"/>
          <w:i/>
          <w:lang w:val="pt-PT" w:eastAsia="en-US"/>
        </w:rPr>
        <w:t xml:space="preserve">Boas mesas a menos de 35€ </w:t>
      </w:r>
      <w:r w:rsidR="0030660D" w:rsidRPr="00DD64F9">
        <w:rPr>
          <w:rFonts w:eastAsia="Times New Roman"/>
          <w:lang w:val="pt-PT" w:eastAsia="en-US"/>
        </w:rPr>
        <w:t>cumpre 10 anos!</w:t>
      </w:r>
    </w:p>
    <w:p w14:paraId="1B268682" w14:textId="77777777" w:rsidR="0030660D" w:rsidRPr="00DD64F9" w:rsidRDefault="0030660D" w:rsidP="0030660D">
      <w:pPr>
        <w:pStyle w:val="TextoMichelin"/>
        <w:rPr>
          <w:rFonts w:ascii="Times New Roman" w:hAnsi="Times New Roman"/>
          <w:b/>
          <w:bCs/>
          <w:i/>
          <w:iCs/>
          <w:snapToGrid w:val="0"/>
          <w:sz w:val="34"/>
          <w:szCs w:val="34"/>
          <w:lang w:val="pt-PT" w:eastAsia="es-ES"/>
        </w:rPr>
      </w:pPr>
      <w:r w:rsidRPr="00DD64F9">
        <w:rPr>
          <w:rFonts w:ascii="Times" w:hAnsi="Times" w:cs="Frutiger 55 Roman"/>
          <w:b/>
          <w:bCs/>
          <w:i/>
          <w:iCs/>
          <w:snapToGrid w:val="0"/>
          <w:sz w:val="34"/>
          <w:szCs w:val="34"/>
          <w:lang w:val="pt-PT" w:eastAsia="es-ES"/>
        </w:rPr>
        <w:t>Andaluzia e Madrid são as comunidades que incluem maior número de novidades.</w:t>
      </w:r>
    </w:p>
    <w:p w14:paraId="3002EEFC" w14:textId="77777777" w:rsidR="0030660D" w:rsidRPr="00DD64F9" w:rsidRDefault="0030660D" w:rsidP="0030660D">
      <w:pPr>
        <w:jc w:val="both"/>
        <w:rPr>
          <w:rFonts w:ascii="Arial" w:hAnsi="Arial" w:cs="Arial"/>
          <w:sz w:val="21"/>
          <w:szCs w:val="21"/>
          <w:lang w:val="pt-PT"/>
        </w:rPr>
      </w:pPr>
      <w:r w:rsidRPr="00DD64F9">
        <w:rPr>
          <w:rFonts w:ascii="Arial" w:hAnsi="Arial" w:cs="Arial"/>
          <w:sz w:val="21"/>
          <w:szCs w:val="21"/>
          <w:lang w:val="pt-PT"/>
        </w:rPr>
        <w:t xml:space="preserve">Num ano de recorde histórico em termos de turismo internacional, o </w:t>
      </w:r>
      <w:r>
        <w:rPr>
          <w:rFonts w:ascii="Arial" w:hAnsi="Arial" w:cs="Arial"/>
          <w:sz w:val="21"/>
          <w:szCs w:val="21"/>
          <w:lang w:val="pt-PT"/>
        </w:rPr>
        <w:t>nível</w:t>
      </w:r>
      <w:r w:rsidRPr="00DD64F9">
        <w:rPr>
          <w:rFonts w:ascii="Arial" w:hAnsi="Arial" w:cs="Arial"/>
          <w:sz w:val="21"/>
          <w:szCs w:val="21"/>
          <w:lang w:val="pt-PT"/>
        </w:rPr>
        <w:t xml:space="preserve"> gastronómico de Espanha e Portugal está no auge. Neste contexto, a Michelin tem o prazer de apresentar a nova edição do guia </w:t>
      </w:r>
      <w:r w:rsidRPr="00DD64F9">
        <w:rPr>
          <w:rFonts w:ascii="Arial" w:hAnsi="Arial" w:cs="Arial"/>
          <w:b/>
          <w:i/>
          <w:sz w:val="21"/>
          <w:szCs w:val="21"/>
          <w:lang w:val="pt-PT"/>
        </w:rPr>
        <w:t>Boas mesas a menos de 35€</w:t>
      </w:r>
      <w:r w:rsidRPr="00DD64F9">
        <w:rPr>
          <w:rFonts w:ascii="Arial" w:hAnsi="Arial" w:cs="Arial"/>
          <w:b/>
          <w:sz w:val="21"/>
          <w:szCs w:val="21"/>
          <w:lang w:val="pt-PT"/>
        </w:rPr>
        <w:t>,</w:t>
      </w:r>
      <w:r w:rsidRPr="00DD64F9">
        <w:rPr>
          <w:rFonts w:ascii="Arial" w:hAnsi="Arial" w:cs="Arial"/>
          <w:sz w:val="21"/>
          <w:szCs w:val="21"/>
          <w:lang w:val="pt-PT"/>
        </w:rPr>
        <w:t xml:space="preserve"> orientado para reconhecer o esforço dos chefs que apostam numa excelente relação qualidade-preço.</w:t>
      </w:r>
    </w:p>
    <w:p w14:paraId="7B971781" w14:textId="3DC15549" w:rsidR="0030660D" w:rsidRPr="00DD64F9" w:rsidRDefault="0030660D" w:rsidP="0030660D">
      <w:pPr>
        <w:pStyle w:val="TextoMichelin"/>
        <w:rPr>
          <w:rFonts w:cs="Arial"/>
          <w:szCs w:val="21"/>
          <w:lang w:val="pt-PT"/>
        </w:rPr>
      </w:pPr>
      <w:r w:rsidRPr="00DD64F9">
        <w:rPr>
          <w:rFonts w:cs="Arial"/>
          <w:szCs w:val="21"/>
          <w:lang w:val="pt-PT"/>
        </w:rPr>
        <w:t xml:space="preserve">Os inspetores MICHELIN, fiéis ao seu instinto, escolhem cada restaurante pensando apenas na qualidade e nos benefícios que </w:t>
      </w:r>
      <w:r>
        <w:rPr>
          <w:rFonts w:cs="Arial"/>
          <w:szCs w:val="21"/>
          <w:lang w:val="pt-PT"/>
        </w:rPr>
        <w:t>acarreta</w:t>
      </w:r>
      <w:r w:rsidRPr="00DD64F9">
        <w:rPr>
          <w:rFonts w:cs="Arial"/>
          <w:szCs w:val="21"/>
          <w:lang w:val="pt-PT"/>
        </w:rPr>
        <w:t xml:space="preserve"> para o turismo gastronómico uma oferta mais indulgente para o bolso.</w:t>
      </w:r>
    </w:p>
    <w:p w14:paraId="6E6DA785" w14:textId="07278FB6" w:rsidR="0030660D" w:rsidRPr="00DD64F9" w:rsidRDefault="0030660D" w:rsidP="0030660D">
      <w:pPr>
        <w:pStyle w:val="TextoMichelin"/>
        <w:rPr>
          <w:rFonts w:cs="Arial"/>
          <w:bCs/>
          <w:szCs w:val="21"/>
          <w:lang w:val="pt-PT" w:bidi="es-ES_tradnl"/>
        </w:rPr>
      </w:pPr>
      <w:r w:rsidRPr="00DD64F9">
        <w:rPr>
          <w:rFonts w:cs="Arial"/>
          <w:bCs/>
          <w:szCs w:val="21"/>
          <w:lang w:val="pt-PT" w:bidi="es-ES_tradnl"/>
        </w:rPr>
        <w:t xml:space="preserve">O guia </w:t>
      </w:r>
      <w:r w:rsidRPr="00DD64F9">
        <w:rPr>
          <w:rFonts w:cs="Arial"/>
          <w:b/>
          <w:bCs/>
          <w:i/>
          <w:szCs w:val="21"/>
          <w:lang w:val="pt-PT" w:bidi="es-ES_tradnl"/>
        </w:rPr>
        <w:t>Boas mesas a menos de 35€</w:t>
      </w:r>
      <w:r w:rsidRPr="00DD64F9">
        <w:rPr>
          <w:rFonts w:cs="Arial"/>
          <w:bCs/>
          <w:szCs w:val="21"/>
          <w:lang w:val="pt-PT" w:bidi="es-ES_tradnl"/>
        </w:rPr>
        <w:t xml:space="preserve"> presta homenagem à cozinha tradicional que, ano após ano, se vai enriquecendo com novas elaborações; porém, sem esquecer a sua essência, mantendo a qualidade do produto e, em muitos casos, trabalhando com matérias primas de proximidade. Re</w:t>
      </w:r>
      <w:r>
        <w:rPr>
          <w:rFonts w:cs="Arial"/>
          <w:bCs/>
          <w:szCs w:val="21"/>
          <w:lang w:val="pt-PT" w:bidi="es-ES_tradnl"/>
        </w:rPr>
        <w:t>ú</w:t>
      </w:r>
      <w:r w:rsidRPr="00DD64F9">
        <w:rPr>
          <w:rFonts w:cs="Arial"/>
          <w:bCs/>
          <w:szCs w:val="21"/>
          <w:lang w:val="pt-PT" w:bidi="es-ES_tradnl"/>
        </w:rPr>
        <w:t xml:space="preserve">ne um total de 476 restaurantes (408 </w:t>
      </w:r>
      <w:r>
        <w:rPr>
          <w:rFonts w:cs="Arial"/>
          <w:bCs/>
          <w:szCs w:val="21"/>
          <w:lang w:val="pt-PT" w:bidi="es-ES_tradnl"/>
        </w:rPr>
        <w:t>em</w:t>
      </w:r>
      <w:r w:rsidRPr="00DD64F9">
        <w:rPr>
          <w:rFonts w:cs="Arial"/>
          <w:bCs/>
          <w:szCs w:val="21"/>
          <w:lang w:val="pt-PT" w:bidi="es-ES_tradnl"/>
        </w:rPr>
        <w:t xml:space="preserve"> Espanha e 68 </w:t>
      </w:r>
      <w:r>
        <w:rPr>
          <w:rFonts w:cs="Arial"/>
          <w:bCs/>
          <w:szCs w:val="21"/>
          <w:lang w:val="pt-PT" w:bidi="es-ES_tradnl"/>
        </w:rPr>
        <w:t xml:space="preserve">em </w:t>
      </w:r>
      <w:r w:rsidRPr="00DD64F9">
        <w:rPr>
          <w:rFonts w:cs="Arial"/>
          <w:bCs/>
          <w:szCs w:val="21"/>
          <w:lang w:val="pt-PT" w:bidi="es-ES_tradnl"/>
        </w:rPr>
        <w:t>Portugal)</w:t>
      </w:r>
      <w:r>
        <w:rPr>
          <w:rFonts w:cs="Arial"/>
          <w:bCs/>
          <w:szCs w:val="21"/>
          <w:lang w:val="pt-PT" w:bidi="es-ES_tradnl"/>
        </w:rPr>
        <w:t>,</w:t>
      </w:r>
      <w:r w:rsidRPr="00DD64F9">
        <w:rPr>
          <w:rFonts w:cs="Arial"/>
          <w:bCs/>
          <w:szCs w:val="21"/>
          <w:lang w:val="pt-PT" w:bidi="es-ES_tradnl"/>
        </w:rPr>
        <w:t xml:space="preserve"> selecionados pelos inspetores do guia MICHELIN em 344 localidades. </w:t>
      </w:r>
    </w:p>
    <w:p w14:paraId="7FC09CAA" w14:textId="683087EE" w:rsidR="0030660D" w:rsidRPr="00DD64F9" w:rsidRDefault="0030660D" w:rsidP="0030660D">
      <w:pPr>
        <w:pStyle w:val="TextoMichelin"/>
        <w:rPr>
          <w:rFonts w:cs="Arial"/>
          <w:bCs/>
          <w:szCs w:val="21"/>
          <w:lang w:val="pt-PT" w:bidi="es-ES_tradnl"/>
        </w:rPr>
      </w:pPr>
      <w:r w:rsidRPr="00DD64F9">
        <w:rPr>
          <w:rFonts w:cs="Arial"/>
          <w:bCs/>
          <w:szCs w:val="21"/>
          <w:lang w:val="pt-PT" w:bidi="es-ES_tradnl"/>
        </w:rPr>
        <w:t>A Catalunha é a comunidade autónoma com mais estab</w:t>
      </w:r>
      <w:r>
        <w:rPr>
          <w:rFonts w:cs="Arial"/>
          <w:bCs/>
          <w:szCs w:val="21"/>
          <w:lang w:val="pt-PT" w:bidi="es-ES_tradnl"/>
        </w:rPr>
        <w:t>e</w:t>
      </w:r>
      <w:r w:rsidRPr="00DD64F9">
        <w:rPr>
          <w:rFonts w:cs="Arial"/>
          <w:bCs/>
          <w:szCs w:val="21"/>
          <w:lang w:val="pt-PT" w:bidi="es-ES_tradnl"/>
        </w:rPr>
        <w:t xml:space="preserve">lecimentos selecionados, </w:t>
      </w:r>
      <w:r>
        <w:rPr>
          <w:rFonts w:cs="Arial"/>
          <w:bCs/>
          <w:szCs w:val="21"/>
          <w:lang w:val="pt-PT" w:bidi="es-ES_tradnl"/>
        </w:rPr>
        <w:t>ao</w:t>
      </w:r>
      <w:r w:rsidRPr="00DD64F9">
        <w:rPr>
          <w:rFonts w:cs="Arial"/>
          <w:bCs/>
          <w:szCs w:val="21"/>
          <w:lang w:val="pt-PT" w:bidi="es-ES_tradnl"/>
        </w:rPr>
        <w:t xml:space="preserve"> apresenta</w:t>
      </w:r>
      <w:r>
        <w:rPr>
          <w:rFonts w:cs="Arial"/>
          <w:bCs/>
          <w:szCs w:val="21"/>
          <w:lang w:val="pt-PT" w:bidi="es-ES_tradnl"/>
        </w:rPr>
        <w:t>r</w:t>
      </w:r>
      <w:r w:rsidRPr="00DD64F9">
        <w:rPr>
          <w:rFonts w:cs="Arial"/>
          <w:bCs/>
          <w:szCs w:val="21"/>
          <w:lang w:val="pt-PT" w:bidi="es-ES_tradnl"/>
        </w:rPr>
        <w:t xml:space="preserve"> um total de 81 distribuídos por 61 cidades, seguida da Andaluzia, com 59 em 39 localidades, e da Comunidade Valenciana, que conta com 51 restaurantes em 31 </w:t>
      </w:r>
      <w:r>
        <w:rPr>
          <w:rFonts w:cs="Arial"/>
          <w:bCs/>
          <w:szCs w:val="21"/>
          <w:lang w:val="pt-PT" w:bidi="es-ES_tradnl"/>
        </w:rPr>
        <w:t>munic</w:t>
      </w:r>
      <w:r w:rsidRPr="00DD64F9">
        <w:rPr>
          <w:rFonts w:cs="Arial"/>
          <w:bCs/>
          <w:szCs w:val="21"/>
          <w:lang w:val="pt-PT" w:bidi="es-ES_tradnl"/>
        </w:rPr>
        <w:t>í</w:t>
      </w:r>
      <w:r>
        <w:rPr>
          <w:rFonts w:cs="Arial"/>
          <w:bCs/>
          <w:szCs w:val="21"/>
          <w:lang w:val="pt-PT" w:bidi="es-ES_tradnl"/>
        </w:rPr>
        <w:t>p</w:t>
      </w:r>
      <w:r w:rsidRPr="00DD64F9">
        <w:rPr>
          <w:rFonts w:cs="Arial"/>
          <w:bCs/>
          <w:szCs w:val="21"/>
          <w:lang w:val="pt-PT" w:bidi="es-ES_tradnl"/>
        </w:rPr>
        <w:t>ios. A Andaluzia, por seu turno, é a que mais novidades incorpora, 11 no total, seguida de muito perto pela Comunidade de Madrid, que nesta edição conta com 10 novos restaurantes.</w:t>
      </w:r>
    </w:p>
    <w:p w14:paraId="1B470FA2" w14:textId="3BFD181A" w:rsidR="0030660D" w:rsidRPr="00DD64F9" w:rsidRDefault="0030660D" w:rsidP="0030660D">
      <w:pPr>
        <w:pStyle w:val="TextoMichelin"/>
        <w:rPr>
          <w:rFonts w:cs="Arial"/>
          <w:bCs/>
          <w:szCs w:val="21"/>
          <w:lang w:val="pt-PT" w:bidi="es-ES_tradnl"/>
        </w:rPr>
      </w:pPr>
      <w:r w:rsidRPr="00DD64F9">
        <w:rPr>
          <w:rFonts w:cs="Arial"/>
          <w:bCs/>
          <w:szCs w:val="21"/>
          <w:lang w:val="pt-PT" w:bidi="es-ES_tradnl"/>
        </w:rPr>
        <w:t>O guia possui um design moderno e dinâmico, com inúmeras fotografias, assim como uma apresentação simples, que facilita a sua consulta. Como em anteriores edi</w:t>
      </w:r>
      <w:r>
        <w:rPr>
          <w:rFonts w:cs="Arial"/>
          <w:bCs/>
          <w:szCs w:val="21"/>
          <w:lang w:val="pt-PT" w:bidi="es-ES_tradnl"/>
        </w:rPr>
        <w:t>çõ</w:t>
      </w:r>
      <w:r w:rsidRPr="00DD64F9">
        <w:rPr>
          <w:rFonts w:cs="Arial"/>
          <w:bCs/>
          <w:szCs w:val="21"/>
          <w:lang w:val="pt-PT" w:bidi="es-ES_tradnl"/>
        </w:rPr>
        <w:t>es, Espanha foi dividida em comunidades autónomas, enquanto que Portugal apresenta-se em seis zonas. Cada comunidade autónoma ou zona é precedida de um mapa regional, em que se localizam os restaurantes que, por outr</w:t>
      </w:r>
      <w:r>
        <w:rPr>
          <w:rFonts w:cs="Arial"/>
          <w:bCs/>
          <w:szCs w:val="21"/>
          <w:lang w:val="pt-PT" w:bidi="es-ES_tradnl"/>
        </w:rPr>
        <w:t>o lado</w:t>
      </w:r>
      <w:r w:rsidRPr="00DD64F9">
        <w:rPr>
          <w:rFonts w:cs="Arial"/>
          <w:bCs/>
          <w:szCs w:val="21"/>
          <w:lang w:val="pt-PT" w:bidi="es-ES_tradnl"/>
        </w:rPr>
        <w:t>, também figuram no final da publicação, no índice por localidades. No início de cada capítulo é incluída uma pequena introdução da região e das suas especialidades gastronómicas.</w:t>
      </w:r>
    </w:p>
    <w:p w14:paraId="102F86A8" w14:textId="29288717" w:rsidR="0030660D" w:rsidRPr="00DD64F9" w:rsidRDefault="0030660D" w:rsidP="0030660D">
      <w:pPr>
        <w:pStyle w:val="TextoMichelin"/>
        <w:rPr>
          <w:rFonts w:cs="Arial"/>
          <w:bCs/>
          <w:szCs w:val="21"/>
          <w:lang w:val="pt-PT" w:bidi="es-ES_tradnl"/>
        </w:rPr>
      </w:pPr>
      <w:r w:rsidRPr="00DD64F9">
        <w:rPr>
          <w:rFonts w:cs="Arial"/>
          <w:szCs w:val="21"/>
          <w:lang w:val="pt-PT"/>
        </w:rPr>
        <w:t xml:space="preserve">Neste guia encontrará todos os estabelecimentos distinguidos com o famoso “Bib Gourmand”, </w:t>
      </w:r>
      <w:r w:rsidRPr="00DD64F9">
        <w:rPr>
          <w:rFonts w:cs="Arial"/>
          <w:bCs/>
          <w:szCs w:val="21"/>
          <w:lang w:val="pt-PT" w:bidi="es-ES_tradnl"/>
        </w:rPr>
        <w:t>que oferece a melhor relação qualidade-preço, com uma refeição completa (entrada, prato principal e sobremesa), muitas das vezes t</w:t>
      </w:r>
      <w:r>
        <w:rPr>
          <w:rFonts w:cs="Arial"/>
          <w:bCs/>
          <w:szCs w:val="21"/>
          <w:lang w:val="pt-PT" w:bidi="es-ES_tradnl"/>
        </w:rPr>
        <w:t>i</w:t>
      </w:r>
      <w:r w:rsidRPr="00DD64F9">
        <w:rPr>
          <w:rFonts w:cs="Arial"/>
          <w:bCs/>
          <w:szCs w:val="21"/>
          <w:lang w:val="pt-PT" w:bidi="es-ES_tradnl"/>
        </w:rPr>
        <w:t xml:space="preserve">picamente regional, por menos de 35€ em Espanha e de 30€ em Portugal. </w:t>
      </w:r>
      <w:r w:rsidRPr="00DD64F9">
        <w:rPr>
          <w:rFonts w:cs="Arial"/>
          <w:bCs/>
          <w:sz w:val="22"/>
          <w:szCs w:val="21"/>
          <w:lang w:val="pt-PT" w:bidi="es-ES_tradnl"/>
        </w:rPr>
        <w:t>Também inclui</w:t>
      </w:r>
      <w:r w:rsidRPr="00DD64F9">
        <w:rPr>
          <w:rFonts w:cs="Arial"/>
          <w:bCs/>
          <w:szCs w:val="21"/>
          <w:lang w:val="pt-PT" w:bidi="es-ES_tradnl"/>
        </w:rPr>
        <w:t xml:space="preserve"> u</w:t>
      </w:r>
      <w:r w:rsidRPr="00DD64F9">
        <w:rPr>
          <w:rFonts w:cs="Arial"/>
          <w:szCs w:val="21"/>
          <w:lang w:val="pt-PT"/>
        </w:rPr>
        <w:t>ma interessante seleção de restaurantes, reconhecidos com “O prato MICHELIN”, um pictograma que certifica onde se elabora “uma boa refeição”.</w:t>
      </w:r>
    </w:p>
    <w:p w14:paraId="0A4D957B" w14:textId="52635CD3" w:rsidR="0030660D" w:rsidRPr="00DD64F9" w:rsidRDefault="0030660D" w:rsidP="0030660D">
      <w:pPr>
        <w:pStyle w:val="TextoMichelin"/>
        <w:rPr>
          <w:rFonts w:cs="Arial"/>
          <w:color w:val="FF0000"/>
          <w:szCs w:val="21"/>
          <w:lang w:val="pt-PT"/>
        </w:rPr>
      </w:pPr>
      <w:r w:rsidRPr="00DD64F9">
        <w:rPr>
          <w:rFonts w:cs="Arial"/>
          <w:bCs/>
          <w:szCs w:val="21"/>
          <w:lang w:val="pt-PT" w:bidi="es-ES_tradnl"/>
        </w:rPr>
        <w:t>Todos os restaurantes exibem uma série de pictogramas, que fornecem informação útil ao utilizador com um simples vislumbre. Os estabelecimentos estão classificados de um a três talheres, que distinguem um restaurante simples de outro mais confortável. No caso em que o restaurante seja especialmente agradável, este símbolo será de cor vermelha</w:t>
      </w:r>
      <w:r w:rsidRPr="00DD64F9">
        <w:rPr>
          <w:rFonts w:cs="Arial"/>
          <w:szCs w:val="21"/>
          <w:lang w:val="pt-PT"/>
        </w:rPr>
        <w:t xml:space="preserve">. </w:t>
      </w:r>
    </w:p>
    <w:p w14:paraId="05264819" w14:textId="5D6C36DF" w:rsidR="00161D23" w:rsidRPr="00C379E7" w:rsidRDefault="0030660D" w:rsidP="0030660D">
      <w:pPr>
        <w:pStyle w:val="TextoMichelin"/>
        <w:spacing w:after="0" w:line="260" w:lineRule="exact"/>
        <w:ind w:left="709"/>
        <w:rPr>
          <w:rFonts w:cs="Arial"/>
          <w:bCs/>
          <w:szCs w:val="21"/>
          <w:lang w:val="pt-PT"/>
        </w:rPr>
      </w:pPr>
      <w:r w:rsidRPr="00DD64F9">
        <w:rPr>
          <w:rFonts w:cs="Arial"/>
          <w:bCs/>
          <w:szCs w:val="21"/>
          <w:lang w:val="pt-PT" w:bidi="es-ES_tradnl"/>
        </w:rPr>
        <w:lastRenderedPageBreak/>
        <w:t>Adicionalmente, cada estabelecimento conta com um texto descritivo, em que se destacam as virtudes culinárias de cada chef e algumas curiosidades relevantes. É indicado, também, o estilo de cozinha, o tipo de ambiente ou decoração, e as coordenadas da sua localização no mapa regional. As especialidades culinárias mais relevantes são referidas numa pequena caixa. O objetivo deste guia é ser o companheiro indispensável para todos aqueles que queiram encontrar uma “boa mesa” a preços acessíveis.</w:t>
      </w:r>
    </w:p>
    <w:p w14:paraId="36A4ADB6" w14:textId="77777777" w:rsidR="00161D23" w:rsidRPr="00C379E7" w:rsidRDefault="00161D23" w:rsidP="00161D23">
      <w:pPr>
        <w:pStyle w:val="Textodecuerpo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 w:eastAsia="fr-FR" w:bidi="es-ES_tradnl"/>
        </w:rPr>
      </w:pPr>
    </w:p>
    <w:p w14:paraId="66A90072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7C8313BD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4B99434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51B7D4BC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469227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05CE85C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74AC7D2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7AE0982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53B1533" w14:textId="77777777" w:rsidR="00161D23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408D247" w14:textId="77777777" w:rsidR="00D76CFB" w:rsidRDefault="00D76CFB" w:rsidP="00161D23">
      <w:pPr>
        <w:pStyle w:val="TextoMichelin"/>
        <w:rPr>
          <w:rFonts w:cs="Arial"/>
          <w:bCs/>
          <w:szCs w:val="21"/>
          <w:lang w:val="pt-PT"/>
        </w:rPr>
      </w:pPr>
    </w:p>
    <w:p w14:paraId="31779954" w14:textId="77777777" w:rsidR="00D76CFB" w:rsidRPr="00C379E7" w:rsidRDefault="00D76CFB" w:rsidP="00161D23">
      <w:pPr>
        <w:pStyle w:val="TextoMichelin"/>
        <w:rPr>
          <w:rFonts w:cs="Arial"/>
          <w:bCs/>
          <w:szCs w:val="21"/>
          <w:lang w:val="pt-PT"/>
        </w:rPr>
      </w:pPr>
      <w:bookmarkStart w:id="0" w:name="_GoBack"/>
      <w:bookmarkEnd w:id="0"/>
    </w:p>
    <w:p w14:paraId="16A8FC01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78FA106" w14:textId="60A680E3" w:rsidR="00036ED0" w:rsidRDefault="00161D23" w:rsidP="00036ED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7C6BE9">
        <w:rPr>
          <w:rFonts w:ascii="Times" w:eastAsia="Times" w:hAnsi="Times" w:cs="Arial"/>
          <w:i/>
          <w:sz w:val="24"/>
          <w:szCs w:val="24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111 700 pessoas e dispõe de 68 centros de produção em 17 países que, em 2016, fabricaram 187 milhões de pneus. (www.michelin.pt).</w:t>
      </w:r>
      <w:r w:rsidR="00036ED0" w:rsidRPr="007C6BE9">
        <w:rPr>
          <w:rFonts w:ascii="Times" w:eastAsia="Times" w:hAnsi="Times" w:cs="Arial"/>
          <w:i/>
          <w:sz w:val="24"/>
          <w:szCs w:val="24"/>
        </w:rPr>
        <w:br/>
      </w:r>
      <w:r w:rsidR="00036ED0" w:rsidRPr="007C6BE9">
        <w:rPr>
          <w:rFonts w:ascii="Times" w:eastAsia="Times" w:hAnsi="Times" w:cs="Arial"/>
          <w:i/>
          <w:sz w:val="24"/>
          <w:szCs w:val="24"/>
        </w:rPr>
        <w:br/>
      </w:r>
      <w:r w:rsidR="00036ED0">
        <w:rPr>
          <w:rFonts w:eastAsia="Times" w:cs="Arial"/>
          <w:i/>
          <w:sz w:val="24"/>
          <w:szCs w:val="24"/>
        </w:rPr>
        <w:br/>
      </w:r>
    </w:p>
    <w:p w14:paraId="2B3F8AA1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3FB60DF1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4641AD05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2D56E278" w14:textId="77777777" w:rsidR="00036ED0" w:rsidRPr="004A425F" w:rsidRDefault="00036ED0" w:rsidP="00036ED0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15C268CF" w14:textId="22796E77" w:rsidR="00161D23" w:rsidRPr="00D267FC" w:rsidRDefault="00161D23" w:rsidP="00161D23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_tradnl"/>
        </w:rPr>
      </w:pPr>
    </w:p>
    <w:sectPr w:rsidR="00161D23" w:rsidRPr="00D267FC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9F60" w14:textId="77777777" w:rsidR="00AB3961" w:rsidRDefault="00AB3961" w:rsidP="00DB4D9F">
      <w:pPr>
        <w:spacing w:after="0" w:line="240" w:lineRule="auto"/>
      </w:pPr>
      <w:r>
        <w:separator/>
      </w:r>
    </w:p>
  </w:endnote>
  <w:endnote w:type="continuationSeparator" w:id="0">
    <w:p w14:paraId="6DD44081" w14:textId="77777777" w:rsidR="00AB3961" w:rsidRDefault="00AB3961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A33B" w14:textId="3271901E" w:rsidR="004C04B0" w:rsidRDefault="0027772A" w:rsidP="0027772A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451D31ED" wp14:editId="0C113940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4C04B0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4C04B0" w:rsidRDefault="004C04B0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365D" w14:textId="77777777" w:rsidR="00AB3961" w:rsidRDefault="00AB3961" w:rsidP="00DB4D9F">
      <w:pPr>
        <w:spacing w:after="0" w:line="240" w:lineRule="auto"/>
      </w:pPr>
      <w:r>
        <w:separator/>
      </w:r>
    </w:p>
  </w:footnote>
  <w:footnote w:type="continuationSeparator" w:id="0">
    <w:p w14:paraId="116DEF22" w14:textId="77777777" w:rsidR="00AB3961" w:rsidRDefault="00AB3961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77777777" w:rsidR="004C04B0" w:rsidRDefault="004C04B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30B684A7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D9"/>
    <w:multiLevelType w:val="hybridMultilevel"/>
    <w:tmpl w:val="D27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A19"/>
    <w:multiLevelType w:val="hybridMultilevel"/>
    <w:tmpl w:val="9E2CA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CD8"/>
    <w:multiLevelType w:val="hybridMultilevel"/>
    <w:tmpl w:val="34A61CE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175491"/>
    <w:multiLevelType w:val="hybridMultilevel"/>
    <w:tmpl w:val="2670E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B26"/>
    <w:multiLevelType w:val="hybridMultilevel"/>
    <w:tmpl w:val="B344A7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3B211839"/>
    <w:multiLevelType w:val="hybridMultilevel"/>
    <w:tmpl w:val="D0AA9C5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7850A6"/>
    <w:multiLevelType w:val="hybridMultilevel"/>
    <w:tmpl w:val="5ADC44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4771E69"/>
    <w:multiLevelType w:val="hybridMultilevel"/>
    <w:tmpl w:val="EB98AACE"/>
    <w:lvl w:ilvl="0" w:tplc="FD1A7AB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0D22300"/>
    <w:multiLevelType w:val="hybridMultilevel"/>
    <w:tmpl w:val="3A843202"/>
    <w:lvl w:ilvl="0" w:tplc="BF92C5A0">
      <w:start w:val="5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2BC"/>
    <w:multiLevelType w:val="multilevel"/>
    <w:tmpl w:val="94668C2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2E5BB8"/>
    <w:multiLevelType w:val="hybridMultilevel"/>
    <w:tmpl w:val="F2AC58E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1AE7CA8"/>
    <w:multiLevelType w:val="hybridMultilevel"/>
    <w:tmpl w:val="0DC24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21E55"/>
    <w:multiLevelType w:val="hybridMultilevel"/>
    <w:tmpl w:val="44CE0F3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163BD"/>
    <w:rsid w:val="00016E4E"/>
    <w:rsid w:val="00036ED0"/>
    <w:rsid w:val="00037F46"/>
    <w:rsid w:val="0004018A"/>
    <w:rsid w:val="000416AA"/>
    <w:rsid w:val="00063570"/>
    <w:rsid w:val="00083431"/>
    <w:rsid w:val="000A222F"/>
    <w:rsid w:val="000A2368"/>
    <w:rsid w:val="000A2617"/>
    <w:rsid w:val="000A4342"/>
    <w:rsid w:val="000A5A3B"/>
    <w:rsid w:val="000B4123"/>
    <w:rsid w:val="000C497F"/>
    <w:rsid w:val="000D3C22"/>
    <w:rsid w:val="000E4EC9"/>
    <w:rsid w:val="000E7B29"/>
    <w:rsid w:val="000F6E94"/>
    <w:rsid w:val="000F6F7C"/>
    <w:rsid w:val="00102BAB"/>
    <w:rsid w:val="001033F9"/>
    <w:rsid w:val="00103E96"/>
    <w:rsid w:val="00104941"/>
    <w:rsid w:val="00105517"/>
    <w:rsid w:val="00110620"/>
    <w:rsid w:val="00112024"/>
    <w:rsid w:val="00113C5F"/>
    <w:rsid w:val="00124B25"/>
    <w:rsid w:val="00130D6F"/>
    <w:rsid w:val="00132527"/>
    <w:rsid w:val="00137709"/>
    <w:rsid w:val="00142C8F"/>
    <w:rsid w:val="001458B9"/>
    <w:rsid w:val="00151DC4"/>
    <w:rsid w:val="00155C36"/>
    <w:rsid w:val="00157E5B"/>
    <w:rsid w:val="00161D23"/>
    <w:rsid w:val="0016557A"/>
    <w:rsid w:val="0017010E"/>
    <w:rsid w:val="00172601"/>
    <w:rsid w:val="001854EA"/>
    <w:rsid w:val="001921CA"/>
    <w:rsid w:val="00192F24"/>
    <w:rsid w:val="00196876"/>
    <w:rsid w:val="001A2D75"/>
    <w:rsid w:val="001B4F6F"/>
    <w:rsid w:val="001C378D"/>
    <w:rsid w:val="001C6E3A"/>
    <w:rsid w:val="001D0D7B"/>
    <w:rsid w:val="001D2780"/>
    <w:rsid w:val="001F0523"/>
    <w:rsid w:val="0020385C"/>
    <w:rsid w:val="00222D51"/>
    <w:rsid w:val="0025363F"/>
    <w:rsid w:val="00270B75"/>
    <w:rsid w:val="00276AEF"/>
    <w:rsid w:val="0027772A"/>
    <w:rsid w:val="00277AFB"/>
    <w:rsid w:val="00281EE0"/>
    <w:rsid w:val="00294ED2"/>
    <w:rsid w:val="002A2503"/>
    <w:rsid w:val="002A46E3"/>
    <w:rsid w:val="002A58AB"/>
    <w:rsid w:val="002B02E6"/>
    <w:rsid w:val="002E0F4E"/>
    <w:rsid w:val="002F1928"/>
    <w:rsid w:val="002F5BB7"/>
    <w:rsid w:val="002F75CD"/>
    <w:rsid w:val="0030185A"/>
    <w:rsid w:val="003038F9"/>
    <w:rsid w:val="00303A22"/>
    <w:rsid w:val="0030660D"/>
    <w:rsid w:val="00306A25"/>
    <w:rsid w:val="003129C9"/>
    <w:rsid w:val="00315AAE"/>
    <w:rsid w:val="00321FEF"/>
    <w:rsid w:val="003336B6"/>
    <w:rsid w:val="00334579"/>
    <w:rsid w:val="003359BD"/>
    <w:rsid w:val="00340981"/>
    <w:rsid w:val="003467E2"/>
    <w:rsid w:val="00346B80"/>
    <w:rsid w:val="00352A8C"/>
    <w:rsid w:val="00352AFF"/>
    <w:rsid w:val="0037364D"/>
    <w:rsid w:val="003B303C"/>
    <w:rsid w:val="003B37FA"/>
    <w:rsid w:val="003B3AA7"/>
    <w:rsid w:val="003B65B1"/>
    <w:rsid w:val="003C71ED"/>
    <w:rsid w:val="003D4DA6"/>
    <w:rsid w:val="003E7A0F"/>
    <w:rsid w:val="003F1658"/>
    <w:rsid w:val="00401BA9"/>
    <w:rsid w:val="004071E9"/>
    <w:rsid w:val="00411143"/>
    <w:rsid w:val="00416C93"/>
    <w:rsid w:val="00430C37"/>
    <w:rsid w:val="00432E3D"/>
    <w:rsid w:val="0044128D"/>
    <w:rsid w:val="004424FC"/>
    <w:rsid w:val="00451C7D"/>
    <w:rsid w:val="00454075"/>
    <w:rsid w:val="00462131"/>
    <w:rsid w:val="004644F8"/>
    <w:rsid w:val="00476D9A"/>
    <w:rsid w:val="00483344"/>
    <w:rsid w:val="00493CE8"/>
    <w:rsid w:val="00496768"/>
    <w:rsid w:val="004A3673"/>
    <w:rsid w:val="004A425F"/>
    <w:rsid w:val="004B7073"/>
    <w:rsid w:val="004C04B0"/>
    <w:rsid w:val="004C291E"/>
    <w:rsid w:val="004D2526"/>
    <w:rsid w:val="004E3945"/>
    <w:rsid w:val="004E4585"/>
    <w:rsid w:val="004E7176"/>
    <w:rsid w:val="0051693C"/>
    <w:rsid w:val="00516B12"/>
    <w:rsid w:val="0053694A"/>
    <w:rsid w:val="00546A4B"/>
    <w:rsid w:val="00551D71"/>
    <w:rsid w:val="00554230"/>
    <w:rsid w:val="00561D94"/>
    <w:rsid w:val="00567328"/>
    <w:rsid w:val="0057716B"/>
    <w:rsid w:val="00595FE3"/>
    <w:rsid w:val="005A1F32"/>
    <w:rsid w:val="005A6454"/>
    <w:rsid w:val="005A7778"/>
    <w:rsid w:val="005B3C63"/>
    <w:rsid w:val="005B6BFF"/>
    <w:rsid w:val="005B6E71"/>
    <w:rsid w:val="005C2A46"/>
    <w:rsid w:val="005C58E6"/>
    <w:rsid w:val="005C6181"/>
    <w:rsid w:val="005D419A"/>
    <w:rsid w:val="005D546A"/>
    <w:rsid w:val="005E2C32"/>
    <w:rsid w:val="005F37C9"/>
    <w:rsid w:val="006106D2"/>
    <w:rsid w:val="006262ED"/>
    <w:rsid w:val="0062659F"/>
    <w:rsid w:val="0063089C"/>
    <w:rsid w:val="00635252"/>
    <w:rsid w:val="00640900"/>
    <w:rsid w:val="006429C0"/>
    <w:rsid w:val="00646C78"/>
    <w:rsid w:val="00654620"/>
    <w:rsid w:val="006547A3"/>
    <w:rsid w:val="00663B5E"/>
    <w:rsid w:val="00665D54"/>
    <w:rsid w:val="00666732"/>
    <w:rsid w:val="00666AED"/>
    <w:rsid w:val="00667A1C"/>
    <w:rsid w:val="0068028F"/>
    <w:rsid w:val="006879C1"/>
    <w:rsid w:val="0069543A"/>
    <w:rsid w:val="006A0301"/>
    <w:rsid w:val="006A0978"/>
    <w:rsid w:val="006D275E"/>
    <w:rsid w:val="006D46A1"/>
    <w:rsid w:val="006D58C2"/>
    <w:rsid w:val="006E03D8"/>
    <w:rsid w:val="006E0AE4"/>
    <w:rsid w:val="006E0C93"/>
    <w:rsid w:val="006E1101"/>
    <w:rsid w:val="006E19E0"/>
    <w:rsid w:val="006E22FE"/>
    <w:rsid w:val="006F00AC"/>
    <w:rsid w:val="006F67D1"/>
    <w:rsid w:val="0070229B"/>
    <w:rsid w:val="00703CD3"/>
    <w:rsid w:val="007052E1"/>
    <w:rsid w:val="007128E4"/>
    <w:rsid w:val="00716356"/>
    <w:rsid w:val="007215DF"/>
    <w:rsid w:val="00725692"/>
    <w:rsid w:val="007259D1"/>
    <w:rsid w:val="00731266"/>
    <w:rsid w:val="00731E99"/>
    <w:rsid w:val="00731F99"/>
    <w:rsid w:val="007415C0"/>
    <w:rsid w:val="00745DB9"/>
    <w:rsid w:val="007539D1"/>
    <w:rsid w:val="007619DF"/>
    <w:rsid w:val="0076633F"/>
    <w:rsid w:val="00767406"/>
    <w:rsid w:val="00771D6F"/>
    <w:rsid w:val="007764AF"/>
    <w:rsid w:val="00782EDA"/>
    <w:rsid w:val="00791E60"/>
    <w:rsid w:val="00793885"/>
    <w:rsid w:val="007A0409"/>
    <w:rsid w:val="007A4F6D"/>
    <w:rsid w:val="007B3CBE"/>
    <w:rsid w:val="007C2625"/>
    <w:rsid w:val="007C6BE9"/>
    <w:rsid w:val="007C785E"/>
    <w:rsid w:val="007C7C37"/>
    <w:rsid w:val="007D14CF"/>
    <w:rsid w:val="007F65D7"/>
    <w:rsid w:val="00801CD2"/>
    <w:rsid w:val="00804C0E"/>
    <w:rsid w:val="00822A28"/>
    <w:rsid w:val="008358DF"/>
    <w:rsid w:val="0083647E"/>
    <w:rsid w:val="00846FB7"/>
    <w:rsid w:val="00851CA3"/>
    <w:rsid w:val="0085284C"/>
    <w:rsid w:val="00864306"/>
    <w:rsid w:val="00865B96"/>
    <w:rsid w:val="00867981"/>
    <w:rsid w:val="00867A2F"/>
    <w:rsid w:val="00873250"/>
    <w:rsid w:val="008806C5"/>
    <w:rsid w:val="008C60DF"/>
    <w:rsid w:val="008D01C0"/>
    <w:rsid w:val="008D0291"/>
    <w:rsid w:val="008F20CC"/>
    <w:rsid w:val="00900E95"/>
    <w:rsid w:val="00901D6D"/>
    <w:rsid w:val="00906478"/>
    <w:rsid w:val="009150E2"/>
    <w:rsid w:val="009219FF"/>
    <w:rsid w:val="00922DEF"/>
    <w:rsid w:val="009258DC"/>
    <w:rsid w:val="00927416"/>
    <w:rsid w:val="00933105"/>
    <w:rsid w:val="00934E42"/>
    <w:rsid w:val="00942C1A"/>
    <w:rsid w:val="00944ACE"/>
    <w:rsid w:val="00954C42"/>
    <w:rsid w:val="009724B7"/>
    <w:rsid w:val="00975E40"/>
    <w:rsid w:val="0098749A"/>
    <w:rsid w:val="00990EBA"/>
    <w:rsid w:val="00994659"/>
    <w:rsid w:val="009A7B3E"/>
    <w:rsid w:val="009B1AE1"/>
    <w:rsid w:val="009B389C"/>
    <w:rsid w:val="009B6D45"/>
    <w:rsid w:val="009C5C17"/>
    <w:rsid w:val="009C7AC7"/>
    <w:rsid w:val="00A1617E"/>
    <w:rsid w:val="00A278AF"/>
    <w:rsid w:val="00A30DFC"/>
    <w:rsid w:val="00A44E9C"/>
    <w:rsid w:val="00A62499"/>
    <w:rsid w:val="00A80432"/>
    <w:rsid w:val="00A82D20"/>
    <w:rsid w:val="00A838A9"/>
    <w:rsid w:val="00A838CF"/>
    <w:rsid w:val="00A877E3"/>
    <w:rsid w:val="00AA63C2"/>
    <w:rsid w:val="00AB0F25"/>
    <w:rsid w:val="00AB3961"/>
    <w:rsid w:val="00AB6066"/>
    <w:rsid w:val="00AC3CCE"/>
    <w:rsid w:val="00AD2644"/>
    <w:rsid w:val="00AD7B2E"/>
    <w:rsid w:val="00AE1D5C"/>
    <w:rsid w:val="00AE45E4"/>
    <w:rsid w:val="00AF29F6"/>
    <w:rsid w:val="00B01139"/>
    <w:rsid w:val="00B054A8"/>
    <w:rsid w:val="00B0618F"/>
    <w:rsid w:val="00B21E25"/>
    <w:rsid w:val="00B417B3"/>
    <w:rsid w:val="00B45D57"/>
    <w:rsid w:val="00B55086"/>
    <w:rsid w:val="00B74697"/>
    <w:rsid w:val="00B819B5"/>
    <w:rsid w:val="00B85671"/>
    <w:rsid w:val="00B90BBA"/>
    <w:rsid w:val="00B912D6"/>
    <w:rsid w:val="00B91E9E"/>
    <w:rsid w:val="00B924F2"/>
    <w:rsid w:val="00BA3660"/>
    <w:rsid w:val="00BA3CE7"/>
    <w:rsid w:val="00BA6E1A"/>
    <w:rsid w:val="00BA7277"/>
    <w:rsid w:val="00BC2963"/>
    <w:rsid w:val="00BC549E"/>
    <w:rsid w:val="00BD1B0B"/>
    <w:rsid w:val="00BD2CCF"/>
    <w:rsid w:val="00BE084C"/>
    <w:rsid w:val="00BE0AB2"/>
    <w:rsid w:val="00BE42A6"/>
    <w:rsid w:val="00BE56AE"/>
    <w:rsid w:val="00BE7E2D"/>
    <w:rsid w:val="00C06115"/>
    <w:rsid w:val="00C23715"/>
    <w:rsid w:val="00C262B2"/>
    <w:rsid w:val="00C269E8"/>
    <w:rsid w:val="00C32336"/>
    <w:rsid w:val="00C36D09"/>
    <w:rsid w:val="00C41ACC"/>
    <w:rsid w:val="00C54560"/>
    <w:rsid w:val="00C74544"/>
    <w:rsid w:val="00C765BD"/>
    <w:rsid w:val="00CA0FFC"/>
    <w:rsid w:val="00CA1257"/>
    <w:rsid w:val="00CA4CC1"/>
    <w:rsid w:val="00CC00FA"/>
    <w:rsid w:val="00CC0F13"/>
    <w:rsid w:val="00CC1B8D"/>
    <w:rsid w:val="00CC7BB3"/>
    <w:rsid w:val="00CD4FB3"/>
    <w:rsid w:val="00CE451E"/>
    <w:rsid w:val="00CE58BC"/>
    <w:rsid w:val="00CF3B0A"/>
    <w:rsid w:val="00CF3E2A"/>
    <w:rsid w:val="00D04F49"/>
    <w:rsid w:val="00D159F2"/>
    <w:rsid w:val="00D16488"/>
    <w:rsid w:val="00D222A6"/>
    <w:rsid w:val="00D257B0"/>
    <w:rsid w:val="00D267FC"/>
    <w:rsid w:val="00D27068"/>
    <w:rsid w:val="00D44EF8"/>
    <w:rsid w:val="00D4729C"/>
    <w:rsid w:val="00D50F0E"/>
    <w:rsid w:val="00D54B68"/>
    <w:rsid w:val="00D56D36"/>
    <w:rsid w:val="00D63860"/>
    <w:rsid w:val="00D76CFB"/>
    <w:rsid w:val="00D80F53"/>
    <w:rsid w:val="00D87C23"/>
    <w:rsid w:val="00D93018"/>
    <w:rsid w:val="00D93B46"/>
    <w:rsid w:val="00D979B6"/>
    <w:rsid w:val="00DB4088"/>
    <w:rsid w:val="00DB4D9F"/>
    <w:rsid w:val="00DC201D"/>
    <w:rsid w:val="00DE597B"/>
    <w:rsid w:val="00DE7836"/>
    <w:rsid w:val="00E0513C"/>
    <w:rsid w:val="00E06795"/>
    <w:rsid w:val="00E124E8"/>
    <w:rsid w:val="00E17080"/>
    <w:rsid w:val="00E234FF"/>
    <w:rsid w:val="00E2601E"/>
    <w:rsid w:val="00E32E36"/>
    <w:rsid w:val="00E45080"/>
    <w:rsid w:val="00E52FDB"/>
    <w:rsid w:val="00E546B7"/>
    <w:rsid w:val="00E57420"/>
    <w:rsid w:val="00E6190C"/>
    <w:rsid w:val="00E8447A"/>
    <w:rsid w:val="00E85917"/>
    <w:rsid w:val="00EB2935"/>
    <w:rsid w:val="00EC2D93"/>
    <w:rsid w:val="00EC4547"/>
    <w:rsid w:val="00EC479A"/>
    <w:rsid w:val="00EC5740"/>
    <w:rsid w:val="00ED301D"/>
    <w:rsid w:val="00ED4EAD"/>
    <w:rsid w:val="00ED7E1B"/>
    <w:rsid w:val="00F03C72"/>
    <w:rsid w:val="00F07A64"/>
    <w:rsid w:val="00F1195C"/>
    <w:rsid w:val="00F124D3"/>
    <w:rsid w:val="00F1431F"/>
    <w:rsid w:val="00F23C43"/>
    <w:rsid w:val="00F375DE"/>
    <w:rsid w:val="00F44E72"/>
    <w:rsid w:val="00F51B99"/>
    <w:rsid w:val="00F51D66"/>
    <w:rsid w:val="00F570E6"/>
    <w:rsid w:val="00F65343"/>
    <w:rsid w:val="00F66B70"/>
    <w:rsid w:val="00F7256A"/>
    <w:rsid w:val="00F74995"/>
    <w:rsid w:val="00F81059"/>
    <w:rsid w:val="00FA21FA"/>
    <w:rsid w:val="00FA66B8"/>
    <w:rsid w:val="00FA7EC1"/>
    <w:rsid w:val="00FB1254"/>
    <w:rsid w:val="00FC0F8A"/>
    <w:rsid w:val="00FC0FA0"/>
    <w:rsid w:val="00FC3B55"/>
    <w:rsid w:val="00FC7EB5"/>
    <w:rsid w:val="00FD44FA"/>
    <w:rsid w:val="00FD55BE"/>
    <w:rsid w:val="00FE1897"/>
    <w:rsid w:val="00FE76C7"/>
    <w:rsid w:val="00FF122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D0"/>
    <w:rPr>
      <w:rFonts w:ascii="Lucida Grande" w:hAnsi="Lucida Grande" w:cs="Lucida Grande"/>
      <w:color w:val="262626" w:themeColor="text1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1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B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B99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B99"/>
    <w:rPr>
      <w:b/>
      <w:bCs/>
      <w:color w:val="262626" w:themeColor="text1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D0"/>
    <w:rPr>
      <w:rFonts w:ascii="Lucida Grande" w:hAnsi="Lucida Grande" w:cs="Lucida Grande"/>
      <w:color w:val="262626" w:themeColor="text1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1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B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B99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B99"/>
    <w:rPr>
      <w:b/>
      <w:bCs/>
      <w:color w:val="262626" w:themeColor="text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517-2579-BB4D-81F9-973D809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2</TotalTime>
  <Pages>2</Pages>
  <Words>654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Antonio Roncero</cp:lastModifiedBy>
  <cp:revision>7</cp:revision>
  <cp:lastPrinted>2017-11-23T15:01:00Z</cp:lastPrinted>
  <dcterms:created xsi:type="dcterms:W3CDTF">2018-03-02T12:01:00Z</dcterms:created>
  <dcterms:modified xsi:type="dcterms:W3CDTF">2018-03-05T19:37:00Z</dcterms:modified>
</cp:coreProperties>
</file>