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2F8D5346" w:rsidR="007F65D7" w:rsidRPr="004A425F" w:rsidRDefault="007F65D7" w:rsidP="007F65D7">
      <w:pPr>
        <w:keepNext/>
        <w:spacing w:after="230" w:line="240" w:lineRule="auto"/>
        <w:jc w:val="right"/>
        <w:outlineLvl w:val="0"/>
        <w:rPr>
          <w:rFonts w:ascii="Times" w:eastAsia="Times" w:hAnsi="Times" w:cs="Times"/>
          <w:b/>
          <w:color w:val="808080"/>
          <w:sz w:val="24"/>
          <w:szCs w:val="24"/>
        </w:rPr>
      </w:pPr>
      <w:r w:rsidRPr="004A425F">
        <w:rPr>
          <w:rFonts w:ascii="Times" w:eastAsia="Times" w:hAnsi="Times" w:cs="Times"/>
          <w:b/>
          <w:color w:val="808080"/>
          <w:sz w:val="24"/>
          <w:szCs w:val="24"/>
        </w:rPr>
        <w:t>INFORMACIÓN DE PRENSA</w:t>
      </w:r>
      <w:r w:rsidRPr="004A425F">
        <w:rPr>
          <w:rFonts w:ascii="MingLiU" w:eastAsia="MingLiU" w:hAnsi="MingLiU" w:cs="MingLiU"/>
          <w:b/>
          <w:color w:val="808080"/>
          <w:sz w:val="24"/>
          <w:szCs w:val="24"/>
        </w:rPr>
        <w:br/>
      </w:r>
      <w:r w:rsidRPr="00803560">
        <w:rPr>
          <w:rFonts w:ascii="Times" w:eastAsia="Times" w:hAnsi="Times" w:cs="Times"/>
          <w:color w:val="808080"/>
          <w:sz w:val="24"/>
          <w:szCs w:val="24"/>
        </w:rPr>
        <w:fldChar w:fldCharType="begin"/>
      </w:r>
      <w:r w:rsidRPr="00803560">
        <w:rPr>
          <w:rFonts w:ascii="Times" w:eastAsia="Times" w:hAnsi="Times" w:cs="Times"/>
          <w:color w:val="808080"/>
          <w:sz w:val="24"/>
          <w:szCs w:val="24"/>
        </w:rPr>
        <w:instrText xml:space="preserve"> </w:instrText>
      </w:r>
      <w:r w:rsidR="00745DB9" w:rsidRPr="00803560">
        <w:rPr>
          <w:rFonts w:ascii="Times" w:eastAsia="Times" w:hAnsi="Times" w:cs="Times"/>
          <w:color w:val="808080"/>
          <w:sz w:val="24"/>
          <w:szCs w:val="24"/>
        </w:rPr>
        <w:instrText>TIME</w:instrText>
      </w:r>
      <w:r w:rsidRPr="00803560">
        <w:rPr>
          <w:rFonts w:ascii="Times" w:eastAsia="Times" w:hAnsi="Times" w:cs="Times"/>
          <w:color w:val="808080"/>
          <w:sz w:val="24"/>
          <w:szCs w:val="24"/>
        </w:rPr>
        <w:instrText xml:space="preserve"> \@ "</w:instrText>
      </w:r>
      <w:r w:rsidR="00745DB9" w:rsidRPr="00803560">
        <w:rPr>
          <w:rFonts w:ascii="Times" w:eastAsia="Times" w:hAnsi="Times" w:cs="Times"/>
          <w:color w:val="808080"/>
          <w:sz w:val="24"/>
          <w:szCs w:val="24"/>
        </w:rPr>
        <w:instrText>dd/MM/yyyy</w:instrText>
      </w:r>
      <w:r w:rsidRPr="00803560">
        <w:rPr>
          <w:rFonts w:ascii="Times" w:eastAsia="Times" w:hAnsi="Times" w:cs="Times"/>
          <w:color w:val="808080"/>
          <w:sz w:val="24"/>
          <w:szCs w:val="24"/>
        </w:rPr>
        <w:instrText xml:space="preserve">" </w:instrText>
      </w:r>
      <w:r w:rsidRPr="00803560">
        <w:rPr>
          <w:rFonts w:ascii="Times" w:eastAsia="Times" w:hAnsi="Times" w:cs="Times"/>
          <w:color w:val="808080"/>
          <w:sz w:val="24"/>
          <w:szCs w:val="24"/>
        </w:rPr>
        <w:fldChar w:fldCharType="separate"/>
      </w:r>
      <w:r w:rsidR="00C007DE">
        <w:rPr>
          <w:rFonts w:ascii="Times" w:eastAsia="Times" w:hAnsi="Times" w:cs="Times"/>
          <w:noProof/>
          <w:color w:val="808080"/>
          <w:sz w:val="24"/>
          <w:szCs w:val="24"/>
        </w:rPr>
        <w:t>01/03/2018</w:t>
      </w:r>
      <w:r w:rsidRPr="00803560">
        <w:rPr>
          <w:rFonts w:ascii="Times" w:eastAsia="Times" w:hAnsi="Times" w:cs="Times"/>
          <w:color w:val="808080"/>
          <w:sz w:val="24"/>
          <w:szCs w:val="24"/>
        </w:rPr>
        <w:fldChar w:fldCharType="end"/>
      </w:r>
    </w:p>
    <w:p w14:paraId="4B3DF95A" w14:textId="77777777" w:rsidR="007F65D7" w:rsidRPr="004A425F" w:rsidRDefault="007F65D7" w:rsidP="007F65D7">
      <w:pPr>
        <w:spacing w:after="120" w:line="360" w:lineRule="exact"/>
        <w:rPr>
          <w:rFonts w:ascii="Times" w:eastAsia="Times" w:hAnsi="Times" w:cs="Times New Roman"/>
          <w:b/>
          <w:snapToGrid w:val="0"/>
          <w:color w:val="FF0000"/>
          <w:sz w:val="40"/>
          <w:szCs w:val="26"/>
        </w:rPr>
      </w:pPr>
    </w:p>
    <w:p w14:paraId="43DB7975" w14:textId="138C0B82" w:rsidR="00D50F0E" w:rsidRPr="004A425F" w:rsidRDefault="00261505" w:rsidP="00261505">
      <w:pPr>
        <w:pStyle w:val="TITULARMICHELIN"/>
        <w:spacing w:after="120" w:line="240" w:lineRule="auto"/>
      </w:pPr>
      <w:r w:rsidRPr="001807C3">
        <w:rPr>
          <w:rFonts w:eastAsia="Times New Roman"/>
          <w:lang w:eastAsia="en-US"/>
        </w:rPr>
        <w:t xml:space="preserve">¡La guía </w:t>
      </w:r>
      <w:r w:rsidRPr="001807C3">
        <w:rPr>
          <w:rFonts w:eastAsia="Times New Roman"/>
          <w:i/>
          <w:lang w:eastAsia="en-US"/>
        </w:rPr>
        <w:t xml:space="preserve">Buenas mesas a menos de 35€ </w:t>
      </w:r>
      <w:r w:rsidRPr="001807C3">
        <w:rPr>
          <w:rFonts w:eastAsia="Times New Roman"/>
          <w:lang w:eastAsia="en-US"/>
        </w:rPr>
        <w:t>cumple 10 años!</w:t>
      </w:r>
      <w:r w:rsidR="0053694A" w:rsidRPr="004A425F">
        <w:rPr>
          <w:bCs/>
        </w:rPr>
        <w:t xml:space="preserve"> </w:t>
      </w:r>
    </w:p>
    <w:p w14:paraId="6F500CF2" w14:textId="6ED0B4CC" w:rsidR="00261505" w:rsidRPr="00261505" w:rsidRDefault="00261505" w:rsidP="00261505">
      <w:pPr>
        <w:spacing w:after="240"/>
        <w:jc w:val="both"/>
        <w:rPr>
          <w:rFonts w:cs="Times"/>
          <w:b/>
          <w:bCs/>
          <w:i/>
          <w:iCs/>
          <w:snapToGrid w:val="0"/>
          <w:color w:val="333399"/>
          <w:sz w:val="25"/>
          <w:szCs w:val="28"/>
          <w:lang w:val="es-ES_tradnl" w:eastAsia="es-ES"/>
        </w:rPr>
      </w:pPr>
      <w:r>
        <w:rPr>
          <w:rFonts w:ascii="Times" w:eastAsia="Times" w:hAnsi="Times" w:cs="Times"/>
          <w:b/>
          <w:bCs/>
          <w:i/>
          <w:iCs/>
          <w:snapToGrid w:val="0"/>
          <w:color w:val="333399"/>
          <w:sz w:val="25"/>
          <w:szCs w:val="28"/>
          <w:lang w:eastAsia="es-ES"/>
        </w:rPr>
        <w:t>Andalucía y Madrid son las comunidades que incorporan un mayor número de novedades.</w:t>
      </w:r>
    </w:p>
    <w:p w14:paraId="5C545B86" w14:textId="77777777" w:rsidR="00261505" w:rsidRPr="00261505" w:rsidRDefault="00261505" w:rsidP="00261505">
      <w:pPr>
        <w:spacing w:after="240" w:line="270" w:lineRule="atLeast"/>
        <w:jc w:val="both"/>
        <w:rPr>
          <w:rFonts w:cs="Arial"/>
          <w:bCs/>
          <w:szCs w:val="21"/>
          <w:lang w:bidi="es-ES_tradnl"/>
        </w:rPr>
      </w:pPr>
      <w:r w:rsidRPr="00261505">
        <w:rPr>
          <w:rFonts w:cs="Arial"/>
          <w:bCs/>
          <w:szCs w:val="21"/>
          <w:lang w:bidi="es-ES_tradnl"/>
        </w:rPr>
        <w:t xml:space="preserve">En un año de record histórico en cuanto a turismo internacional, el nivel gastronómico de España y Portugal está en auge. En este contexto, desde Michelin estamos encantados de presentar la nueva edición de la guía </w:t>
      </w:r>
      <w:r w:rsidRPr="00261505">
        <w:rPr>
          <w:rFonts w:cs="Arial"/>
          <w:b/>
          <w:bCs/>
          <w:i/>
          <w:szCs w:val="21"/>
          <w:lang w:bidi="es-ES_tradnl"/>
        </w:rPr>
        <w:t>Buenas mesas a menos de 35€</w:t>
      </w:r>
      <w:r w:rsidRPr="00261505">
        <w:rPr>
          <w:rFonts w:cs="Arial"/>
          <w:b/>
          <w:bCs/>
          <w:szCs w:val="21"/>
          <w:lang w:bidi="es-ES_tradnl"/>
        </w:rPr>
        <w:t>,</w:t>
      </w:r>
      <w:r w:rsidRPr="00261505">
        <w:rPr>
          <w:rFonts w:cs="Arial"/>
          <w:bCs/>
          <w:szCs w:val="21"/>
          <w:lang w:bidi="es-ES_tradnl"/>
        </w:rPr>
        <w:t xml:space="preserve"> orientada a reconocer el esfuerzo de los chefs que apuestan por una excelente relación calidad-precio.</w:t>
      </w:r>
    </w:p>
    <w:p w14:paraId="2B480191" w14:textId="77777777" w:rsidR="00261505" w:rsidRPr="00261505" w:rsidRDefault="00261505" w:rsidP="00261505">
      <w:pPr>
        <w:spacing w:after="240" w:line="270" w:lineRule="atLeast"/>
        <w:jc w:val="both"/>
        <w:rPr>
          <w:rFonts w:cs="Arial"/>
          <w:bCs/>
          <w:szCs w:val="21"/>
          <w:lang w:bidi="es-ES_tradnl"/>
        </w:rPr>
      </w:pPr>
      <w:r w:rsidRPr="00261505">
        <w:rPr>
          <w:rFonts w:cs="Arial"/>
          <w:bCs/>
          <w:szCs w:val="21"/>
          <w:lang w:bidi="es-ES_tradnl"/>
        </w:rPr>
        <w:t>Los inspectores MICHELIN, fieles a su instinto, escogen cada restaurante pensando solo en la calidad y en los beneficios que para el turismo gastronómico tiene una oferta más indulgente con el bolsillo.</w:t>
      </w:r>
    </w:p>
    <w:p w14:paraId="0470E202" w14:textId="6DAF9BD0" w:rsidR="00261505" w:rsidRPr="00261505" w:rsidRDefault="00261505" w:rsidP="00261505">
      <w:pPr>
        <w:spacing w:after="240" w:line="270" w:lineRule="atLeast"/>
        <w:jc w:val="both"/>
        <w:rPr>
          <w:rFonts w:cs="Arial"/>
          <w:bCs/>
          <w:szCs w:val="21"/>
          <w:lang w:val="es-ES_tradnl" w:bidi="es-ES_tradnl"/>
        </w:rPr>
      </w:pPr>
      <w:r w:rsidRPr="00261505">
        <w:rPr>
          <w:rFonts w:cs="Arial"/>
          <w:bCs/>
          <w:szCs w:val="21"/>
          <w:lang w:val="es-ES_tradnl" w:bidi="es-ES_tradnl"/>
        </w:rPr>
        <w:t xml:space="preserve">La guía </w:t>
      </w:r>
      <w:r w:rsidRPr="00261505">
        <w:rPr>
          <w:rFonts w:cs="Arial"/>
          <w:b/>
          <w:bCs/>
          <w:i/>
          <w:szCs w:val="21"/>
          <w:lang w:val="es-ES_tradnl" w:bidi="es-ES_tradnl"/>
        </w:rPr>
        <w:t>Buenas mesas a menos de 35€</w:t>
      </w:r>
      <w:r w:rsidRPr="00261505">
        <w:rPr>
          <w:rFonts w:cs="Arial"/>
          <w:bCs/>
          <w:szCs w:val="21"/>
          <w:lang w:val="es-ES_tradnl" w:bidi="es-ES_tradnl"/>
        </w:rPr>
        <w:t xml:space="preserve"> rinde homenaje a la cocina tradicional que, año tras año, se va enriqueciendo con nuevas elaboraciones; eso sí, sin olvidar su esencia, manteniendo la calidad del producto y, en muchos casos trabajando con materias primas de proximidad. Recoge un total de 476 restaurantes (408 para España y 68 para Portugal) seleccionados por los inspectores de la guía MICHELIN en 344 localidades. </w:t>
      </w:r>
    </w:p>
    <w:p w14:paraId="799B2164" w14:textId="77777777" w:rsidR="00261505" w:rsidRPr="00261505" w:rsidRDefault="00261505" w:rsidP="00261505">
      <w:pPr>
        <w:spacing w:after="240" w:line="270" w:lineRule="atLeast"/>
        <w:jc w:val="both"/>
        <w:rPr>
          <w:rFonts w:cs="Arial"/>
          <w:bCs/>
          <w:szCs w:val="21"/>
          <w:lang w:val="es-ES_tradnl" w:bidi="es-ES_tradnl"/>
        </w:rPr>
      </w:pPr>
      <w:r w:rsidRPr="00261505">
        <w:rPr>
          <w:rFonts w:cs="Arial"/>
          <w:bCs/>
          <w:szCs w:val="21"/>
          <w:lang w:val="es-ES_tradnl" w:bidi="es-ES_tradnl"/>
        </w:rPr>
        <w:t>Cataluña es la comunidad autónoma con más establecimientos seleccionados, pues presenta un total de 81 distribuidos por 61 ciudades, seguida por Andalucía, con 59 en 39 localidades, y la Comunidad Valenciana, que atesora 51 restaurantes en 31 municipios. Andalucía, a su vez, es la que más novedades incorpora, 11 en total, seguida muy de cerca por la Comunidad de Madrid, que en esta edición cuenta con 10 nuevos restaurantes.</w:t>
      </w:r>
    </w:p>
    <w:p w14:paraId="4F5D0226" w14:textId="77777777" w:rsidR="00261505" w:rsidRPr="00261505" w:rsidRDefault="00261505" w:rsidP="00261505">
      <w:pPr>
        <w:spacing w:after="240" w:line="270" w:lineRule="atLeast"/>
        <w:jc w:val="both"/>
        <w:rPr>
          <w:rFonts w:cs="Arial"/>
          <w:bCs/>
          <w:szCs w:val="21"/>
          <w:lang w:val="es-ES_tradnl" w:bidi="es-ES_tradnl"/>
        </w:rPr>
      </w:pPr>
      <w:r w:rsidRPr="00261505">
        <w:rPr>
          <w:rFonts w:cs="Arial"/>
          <w:bCs/>
          <w:szCs w:val="21"/>
          <w:lang w:val="es-ES_tradnl" w:bidi="es-ES_tradnl"/>
        </w:rPr>
        <w:t>La guía tiene un diseño moderno y dinámico, con numerosas fotografías, así como una presentación sencilla que facilita su consulta. Como en anteriores ediciones, España se ha dividido en comunidades autónomas, mientras que Portugal se presenta en seis zonas. Cada comunidad autónoma o zona va precedida de un mapa regional, en el que se localizan los restaurantes que, por otra parte, también figuran al final de la publicación, en el índice por localidades. Al comienzo de cada capítulo se incluye una pequeña introducción de la región y de sus especialidades gastronómicas.</w:t>
      </w:r>
    </w:p>
    <w:p w14:paraId="3E28395B" w14:textId="7B2D7B11" w:rsidR="00261505" w:rsidRPr="00261505" w:rsidRDefault="00261505" w:rsidP="00261505">
      <w:pPr>
        <w:spacing w:after="240" w:line="270" w:lineRule="atLeast"/>
        <w:jc w:val="both"/>
        <w:rPr>
          <w:rFonts w:cs="Arial"/>
          <w:bCs/>
          <w:szCs w:val="21"/>
          <w:lang w:val="es-ES_tradnl" w:bidi="es-ES_tradnl"/>
        </w:rPr>
      </w:pPr>
      <w:r w:rsidRPr="00261505">
        <w:rPr>
          <w:rFonts w:cs="Arial"/>
          <w:bCs/>
          <w:szCs w:val="21"/>
          <w:lang w:bidi="es-ES_tradnl"/>
        </w:rPr>
        <w:t>En esta guía, encontrará todos los establecimientos distinguidos con el famoso “Bib Gourmand”</w:t>
      </w:r>
      <w:r w:rsidR="000B4233" w:rsidRPr="00284FC8">
        <w:rPr>
          <w:rFonts w:cs="Arial"/>
          <w:szCs w:val="21"/>
        </w:rPr>
        <w:t xml:space="preserve">, </w:t>
      </w:r>
      <w:r w:rsidRPr="00261505">
        <w:rPr>
          <w:rFonts w:cs="Arial"/>
          <w:bCs/>
          <w:szCs w:val="21"/>
          <w:lang w:val="es-ES_tradnl" w:bidi="es-ES_tradnl"/>
        </w:rPr>
        <w:t xml:space="preserve">que ofrece la mejor relación calidad-precio, con una comida completa (entrada, plato principal y postre), </w:t>
      </w:r>
      <w:r w:rsidR="000B4233">
        <w:rPr>
          <w:rFonts w:cs="Arial"/>
          <w:bCs/>
          <w:szCs w:val="21"/>
          <w:lang w:val="es-ES_tradnl" w:bidi="es-ES_tradnl"/>
        </w:rPr>
        <w:t xml:space="preserve">a menudo típicamente regional, </w:t>
      </w:r>
      <w:r w:rsidRPr="00261505">
        <w:rPr>
          <w:rFonts w:cs="Arial"/>
          <w:bCs/>
          <w:szCs w:val="21"/>
          <w:lang w:val="es-ES_tradnl" w:bidi="es-ES_tradnl"/>
        </w:rPr>
        <w:t>a menos de 35€ en España y de 30€ en Portugal. También incluye u</w:t>
      </w:r>
      <w:r w:rsidRPr="00261505">
        <w:rPr>
          <w:rFonts w:cs="Arial"/>
          <w:bCs/>
          <w:szCs w:val="21"/>
          <w:lang w:bidi="es-ES_tradnl"/>
        </w:rPr>
        <w:t>na interesante selección de restaurantes, reconocidos con “El plato MICHELIN”</w:t>
      </w:r>
      <w:r w:rsidR="000B4233" w:rsidRPr="00284FC8">
        <w:rPr>
          <w:rFonts w:cs="Arial"/>
          <w:szCs w:val="21"/>
        </w:rPr>
        <w:t xml:space="preserve">, </w:t>
      </w:r>
      <w:r w:rsidRPr="00261505">
        <w:rPr>
          <w:rFonts w:cs="Arial"/>
          <w:bCs/>
          <w:szCs w:val="21"/>
          <w:lang w:bidi="es-ES_tradnl"/>
        </w:rPr>
        <w:t xml:space="preserve">un </w:t>
      </w:r>
      <w:r w:rsidR="000B4233">
        <w:rPr>
          <w:rFonts w:cs="Arial"/>
          <w:bCs/>
          <w:szCs w:val="21"/>
          <w:lang w:bidi="es-ES_tradnl"/>
        </w:rPr>
        <w:t xml:space="preserve">pictograma que certifica dónde </w:t>
      </w:r>
      <w:r w:rsidRPr="00261505">
        <w:rPr>
          <w:rFonts w:cs="Arial"/>
          <w:bCs/>
          <w:szCs w:val="21"/>
          <w:lang w:bidi="es-ES_tradnl"/>
        </w:rPr>
        <w:t>se elabora “sencillamente una buena comida”.</w:t>
      </w:r>
    </w:p>
    <w:p w14:paraId="282D31D3" w14:textId="2584B74A" w:rsidR="00261505" w:rsidRPr="00261505" w:rsidRDefault="00261505" w:rsidP="00261505">
      <w:pPr>
        <w:spacing w:after="240" w:line="270" w:lineRule="atLeast"/>
        <w:jc w:val="both"/>
        <w:rPr>
          <w:rFonts w:cs="Arial"/>
          <w:bCs/>
          <w:szCs w:val="21"/>
          <w:lang w:bidi="es-ES_tradnl"/>
        </w:rPr>
      </w:pPr>
      <w:r w:rsidRPr="00261505">
        <w:rPr>
          <w:rFonts w:cs="Arial"/>
          <w:bCs/>
          <w:szCs w:val="21"/>
          <w:lang w:val="es-ES_tradnl" w:bidi="es-ES_tradnl"/>
        </w:rPr>
        <w:t>Todos los restaurantes llevan una serie de pictogramas, que aportan información útil al usuario con un simple vistazo. Los establecimientos están clasi</w:t>
      </w:r>
      <w:r w:rsidR="00C007DE">
        <w:rPr>
          <w:rFonts w:cs="Arial"/>
          <w:bCs/>
          <w:szCs w:val="21"/>
          <w:lang w:val="es-ES_tradnl" w:bidi="es-ES_tradnl"/>
        </w:rPr>
        <w:t>ficados de uno a tres cubiertos</w:t>
      </w:r>
      <w:r w:rsidR="00F6332A" w:rsidRPr="00284FC8">
        <w:rPr>
          <w:rFonts w:cs="Arial"/>
          <w:bCs/>
          <w:szCs w:val="21"/>
          <w:lang w:val="es-ES_tradnl" w:bidi="es-ES_tradnl"/>
        </w:rPr>
        <w:t xml:space="preserve">, </w:t>
      </w:r>
      <w:r w:rsidRPr="00261505">
        <w:rPr>
          <w:rFonts w:cs="Arial"/>
          <w:bCs/>
          <w:szCs w:val="21"/>
          <w:lang w:val="es-ES_tradnl" w:bidi="es-ES_tradnl"/>
        </w:rPr>
        <w:t xml:space="preserve">que distinguen </w:t>
      </w:r>
      <w:r w:rsidRPr="00261505">
        <w:rPr>
          <w:rFonts w:cs="Arial"/>
          <w:bCs/>
          <w:szCs w:val="21"/>
          <w:lang w:val="es-ES_tradnl" w:bidi="es-ES_tradnl"/>
        </w:rPr>
        <w:lastRenderedPageBreak/>
        <w:t>un restaurante sencillo de otro más confortable. En el caso de que el restaurante sea especialmente agradable, este símbolo irá en color rojo</w:t>
      </w:r>
      <w:bookmarkStart w:id="0" w:name="_GoBack"/>
      <w:bookmarkEnd w:id="0"/>
      <w:r w:rsidR="000B4233" w:rsidRPr="00E80F5C">
        <w:rPr>
          <w:rFonts w:cs="Arial"/>
          <w:szCs w:val="21"/>
        </w:rPr>
        <w:t>.</w:t>
      </w:r>
    </w:p>
    <w:p w14:paraId="68DD365B" w14:textId="77777777" w:rsidR="00261505" w:rsidRPr="00261505" w:rsidRDefault="00261505" w:rsidP="00261505">
      <w:pPr>
        <w:spacing w:after="240" w:line="270" w:lineRule="atLeast"/>
        <w:jc w:val="both"/>
        <w:rPr>
          <w:rFonts w:cs="Arial"/>
          <w:bCs/>
          <w:szCs w:val="21"/>
          <w:lang w:val="es-ES_tradnl" w:bidi="es-ES_tradnl"/>
        </w:rPr>
      </w:pPr>
      <w:r w:rsidRPr="00261505">
        <w:rPr>
          <w:rFonts w:cs="Arial"/>
          <w:bCs/>
          <w:szCs w:val="21"/>
          <w:lang w:val="es-ES_tradnl" w:bidi="es-ES_tradnl"/>
        </w:rPr>
        <w:t>Además, cada establecimiento cuenta con un texto descriptivo, en el que se destacan las virtudes culinarias de cada chef y alguna que otra anécdota reseñable. Se indica también el estilo de cocina, el tipo de ambiente o decoración, y las coordenadas de su ubicación en el mapa regional. Las especialidades culinarias más relevantes se citan en un pequeño recuadro. El objetivo de esta guía es ser la compañera indispensable para todo aquel que quiera encontrar una “buena mesa” a precios asequibles.</w:t>
      </w:r>
    </w:p>
    <w:p w14:paraId="068C41A7" w14:textId="58486FB8" w:rsidR="00CA3868" w:rsidRPr="00576835" w:rsidRDefault="00CA3868" w:rsidP="00261505">
      <w:pPr>
        <w:spacing w:after="240" w:line="270" w:lineRule="atLeast"/>
        <w:jc w:val="both"/>
        <w:rPr>
          <w:rFonts w:cs="Arial"/>
          <w:bCs/>
          <w:szCs w:val="21"/>
          <w:lang w:val="es-ES_tradnl"/>
        </w:rPr>
      </w:pPr>
      <w:r w:rsidRPr="00576835">
        <w:rPr>
          <w:rFonts w:cs="Arial"/>
          <w:bCs/>
          <w:szCs w:val="21"/>
          <w:lang w:val="es-ES_tradnl" w:bidi="es-ES_tradnl"/>
        </w:rPr>
        <w:t xml:space="preserve"> </w:t>
      </w:r>
    </w:p>
    <w:p w14:paraId="4DBF5306" w14:textId="77777777" w:rsidR="00CA3868" w:rsidRPr="00576835" w:rsidRDefault="00CA3868" w:rsidP="00CA3868">
      <w:pPr>
        <w:pStyle w:val="Textoindependiente"/>
        <w:tabs>
          <w:tab w:val="left" w:pos="7176"/>
        </w:tabs>
        <w:spacing w:before="108" w:line="276" w:lineRule="auto"/>
        <w:ind w:right="102"/>
        <w:jc w:val="both"/>
        <w:rPr>
          <w:rFonts w:ascii="Arial" w:eastAsia="Times" w:hAnsi="Arial" w:cs="Times New Roman"/>
          <w:bCs/>
          <w:sz w:val="21"/>
          <w:szCs w:val="24"/>
          <w:lang w:val="es-ES_tradnl" w:eastAsia="fr-FR" w:bidi="es-ES_tradnl"/>
        </w:rPr>
      </w:pPr>
    </w:p>
    <w:p w14:paraId="3FE0DF3A" w14:textId="77777777" w:rsidR="00CA3868" w:rsidRPr="00576835" w:rsidRDefault="00CA3868" w:rsidP="00CA3868">
      <w:pPr>
        <w:pStyle w:val="TextoMichelin"/>
        <w:rPr>
          <w:rFonts w:cs="Arial"/>
          <w:bCs/>
          <w:szCs w:val="21"/>
          <w:lang w:val="es-ES_tradnl"/>
        </w:rPr>
      </w:pPr>
    </w:p>
    <w:p w14:paraId="30E089F0" w14:textId="77777777" w:rsidR="00CA3868" w:rsidRPr="00576835" w:rsidRDefault="00CA3868" w:rsidP="00CA3868">
      <w:pPr>
        <w:pStyle w:val="TextoMichelin"/>
        <w:rPr>
          <w:rFonts w:cs="Arial"/>
          <w:bCs/>
          <w:szCs w:val="21"/>
          <w:lang w:val="es-ES_tradnl"/>
        </w:rPr>
      </w:pPr>
    </w:p>
    <w:p w14:paraId="31189C2C" w14:textId="77777777" w:rsidR="00CA3868" w:rsidRPr="00576835" w:rsidRDefault="00CA3868" w:rsidP="00CA3868">
      <w:pPr>
        <w:pStyle w:val="TextoMichelin"/>
        <w:rPr>
          <w:rFonts w:cs="Arial"/>
          <w:bCs/>
          <w:szCs w:val="21"/>
          <w:lang w:val="es-ES_tradnl"/>
        </w:rPr>
      </w:pPr>
    </w:p>
    <w:p w14:paraId="182C119D" w14:textId="77777777" w:rsidR="00CA3868" w:rsidRPr="00576835" w:rsidRDefault="00CA3868" w:rsidP="00CA3868">
      <w:pPr>
        <w:pStyle w:val="TextoMichelin"/>
        <w:rPr>
          <w:rFonts w:cs="Arial"/>
          <w:bCs/>
          <w:szCs w:val="21"/>
          <w:lang w:val="es-ES_tradnl"/>
        </w:rPr>
      </w:pPr>
    </w:p>
    <w:p w14:paraId="6DAC6E67" w14:textId="77777777" w:rsidR="00CA3868" w:rsidRPr="00576835" w:rsidRDefault="00CA3868" w:rsidP="00CA3868">
      <w:pPr>
        <w:pStyle w:val="TextoMichelin"/>
        <w:rPr>
          <w:rFonts w:cs="Arial"/>
          <w:bCs/>
          <w:szCs w:val="21"/>
          <w:lang w:val="es-ES_tradnl"/>
        </w:rPr>
      </w:pPr>
    </w:p>
    <w:p w14:paraId="453B2606" w14:textId="77777777" w:rsidR="0013073E" w:rsidRDefault="0013073E" w:rsidP="00CA3868">
      <w:pPr>
        <w:pStyle w:val="TextoMichelin"/>
        <w:rPr>
          <w:rFonts w:cs="Arial"/>
          <w:bCs/>
          <w:szCs w:val="21"/>
          <w:lang w:val="es-ES_tradnl"/>
        </w:rPr>
      </w:pPr>
    </w:p>
    <w:p w14:paraId="0615F591" w14:textId="77777777" w:rsidR="00F6332A" w:rsidRDefault="00F6332A" w:rsidP="00CA3868">
      <w:pPr>
        <w:pStyle w:val="TextoMichelin"/>
        <w:rPr>
          <w:rFonts w:cs="Arial"/>
          <w:bCs/>
          <w:szCs w:val="21"/>
          <w:lang w:val="es-ES_tradnl"/>
        </w:rPr>
      </w:pPr>
    </w:p>
    <w:p w14:paraId="137A71ED" w14:textId="77777777" w:rsidR="00F6332A" w:rsidRDefault="00F6332A" w:rsidP="00CA3868">
      <w:pPr>
        <w:pStyle w:val="TextoMichelin"/>
        <w:rPr>
          <w:rFonts w:cs="Arial"/>
          <w:bCs/>
          <w:szCs w:val="21"/>
          <w:lang w:val="es-ES_tradnl"/>
        </w:rPr>
      </w:pPr>
    </w:p>
    <w:p w14:paraId="5B71580E" w14:textId="77777777" w:rsidR="00F6332A" w:rsidRDefault="00F6332A" w:rsidP="00CA3868">
      <w:pPr>
        <w:pStyle w:val="TextoMichelin"/>
        <w:rPr>
          <w:rFonts w:cs="Arial"/>
          <w:bCs/>
          <w:szCs w:val="21"/>
          <w:lang w:val="es-ES_tradnl"/>
        </w:rPr>
      </w:pPr>
    </w:p>
    <w:p w14:paraId="7B685980" w14:textId="77777777" w:rsidR="00D73DED" w:rsidRDefault="00D73DED" w:rsidP="00CA3868">
      <w:pPr>
        <w:pStyle w:val="TextoMichelin"/>
        <w:rPr>
          <w:rFonts w:cs="Arial"/>
          <w:bCs/>
          <w:szCs w:val="21"/>
          <w:lang w:val="es-ES_tradnl"/>
        </w:rPr>
      </w:pPr>
    </w:p>
    <w:p w14:paraId="53F4C2E4" w14:textId="77777777" w:rsidR="00CA3868" w:rsidRPr="00576835" w:rsidRDefault="00CA3868" w:rsidP="00CA3868">
      <w:pPr>
        <w:autoSpaceDE w:val="0"/>
        <w:autoSpaceDN w:val="0"/>
        <w:adjustRightInd w:val="0"/>
        <w:spacing w:line="240" w:lineRule="atLeast"/>
        <w:jc w:val="both"/>
        <w:rPr>
          <w:rFonts w:ascii="Times New Roman" w:hAnsi="Times New Roman"/>
          <w:b/>
          <w:color w:val="191919"/>
          <w:sz w:val="24"/>
          <w:szCs w:val="24"/>
          <w:lang w:val="es-ES_tradnl"/>
        </w:rPr>
      </w:pPr>
    </w:p>
    <w:p w14:paraId="7EE38085" w14:textId="6FE57B84" w:rsidR="00281EE0" w:rsidRPr="0013073E" w:rsidRDefault="00CA3868" w:rsidP="00CA3868">
      <w:pPr>
        <w:autoSpaceDE w:val="0"/>
        <w:autoSpaceDN w:val="0"/>
        <w:adjustRightInd w:val="0"/>
        <w:spacing w:after="0" w:line="240" w:lineRule="atLeast"/>
        <w:jc w:val="both"/>
        <w:rPr>
          <w:rFonts w:ascii="Times" w:eastAsia="Times" w:hAnsi="Times" w:cs="Times New Roman"/>
          <w:i/>
          <w:color w:val="auto"/>
          <w:sz w:val="24"/>
          <w:szCs w:val="24"/>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111.700 personas y dispone de 68 centros de producción en 17 países que en 2016 han fabricado 187 millones de neumáticos. (www.michelin.es).</w:t>
      </w:r>
    </w:p>
    <w:p w14:paraId="612C3F99" w14:textId="77777777" w:rsidR="003B65B1" w:rsidRPr="004A425F" w:rsidRDefault="003B65B1" w:rsidP="007F65D7">
      <w:pPr>
        <w:spacing w:after="0" w:line="240" w:lineRule="auto"/>
        <w:jc w:val="both"/>
        <w:rPr>
          <w:rFonts w:ascii="Arial" w:eastAsia="Times New Roman" w:hAnsi="Arial" w:cs="Times New Roman"/>
          <w:b/>
          <w:bCs/>
          <w:color w:val="808080"/>
          <w:sz w:val="18"/>
          <w:szCs w:val="18"/>
          <w:lang w:eastAsia="es-ES"/>
        </w:rPr>
      </w:pPr>
    </w:p>
    <w:p w14:paraId="7990CAA3" w14:textId="77777777" w:rsidR="003B65B1" w:rsidRPr="004A425F" w:rsidRDefault="003B65B1" w:rsidP="007F65D7">
      <w:pPr>
        <w:spacing w:after="0" w:line="240" w:lineRule="auto"/>
        <w:jc w:val="both"/>
        <w:rPr>
          <w:rFonts w:ascii="Arial" w:eastAsia="Times New Roman" w:hAnsi="Arial" w:cs="Times New Roman"/>
          <w:b/>
          <w:bCs/>
          <w:color w:val="808080"/>
          <w:sz w:val="18"/>
          <w:szCs w:val="18"/>
          <w:lang w:eastAsia="es-ES"/>
        </w:rPr>
      </w:pPr>
    </w:p>
    <w:p w14:paraId="17341199" w14:textId="77777777" w:rsidR="00CF608C" w:rsidRDefault="00CF608C" w:rsidP="003B65B1">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F80ADF" w14:textId="77777777" w:rsidR="00867981" w:rsidRDefault="00867981" w:rsidP="003B65B1">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24F4E29" w14:textId="77777777" w:rsidR="003B65B1" w:rsidRPr="004A425F" w:rsidRDefault="003B65B1" w:rsidP="003B65B1">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777650E9" w14:textId="77777777" w:rsidR="003B65B1" w:rsidRPr="004A425F" w:rsidRDefault="003B65B1" w:rsidP="003B65B1">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110AE891" w14:textId="77777777" w:rsidR="003B65B1" w:rsidRPr="004A425F" w:rsidRDefault="003B65B1" w:rsidP="003B65B1">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029D6CC3" w14:textId="63173BBB" w:rsidR="003B65B1" w:rsidRPr="004A425F" w:rsidRDefault="003B65B1" w:rsidP="007F65D7">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sectPr w:rsidR="003B65B1" w:rsidRPr="004A425F" w:rsidSect="000B4233">
      <w:headerReference w:type="default" r:id="rId8"/>
      <w:footerReference w:type="default" r:id="rId9"/>
      <w:pgSz w:w="11906" w:h="16838"/>
      <w:pgMar w:top="1874"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B47DB" w14:textId="77777777" w:rsidR="00621118" w:rsidRDefault="00621118" w:rsidP="00DB4D9F">
      <w:pPr>
        <w:spacing w:after="0" w:line="240" w:lineRule="auto"/>
      </w:pPr>
      <w:r>
        <w:separator/>
      </w:r>
    </w:p>
  </w:endnote>
  <w:endnote w:type="continuationSeparator" w:id="0">
    <w:p w14:paraId="10EF092C" w14:textId="77777777" w:rsidR="00621118" w:rsidRDefault="00621118"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gLiU">
    <w:panose1 w:val="02020509000000000000"/>
    <w:charset w:val="88"/>
    <w:family w:val="roma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4B99A0A5" w:rsidR="00FC1548" w:rsidRDefault="00FC1548" w:rsidP="00641654">
    <w:pPr>
      <w:pStyle w:val="Piedepgina"/>
      <w:jc w:val="right"/>
    </w:pPr>
    <w:r>
      <w:rPr>
        <w:noProof/>
        <w:lang w:val="es-ES_tradnl" w:eastAsia="es-ES_tradnl"/>
      </w:rPr>
      <w:drawing>
        <wp:inline distT="0" distB="0" distL="0" distR="0" wp14:anchorId="0FB744E3" wp14:editId="04DA73D0">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FC1548" w:rsidRPr="00102BAB" w14:paraId="357264C6" w14:textId="77777777" w:rsidTr="00113C5F">
      <w:trPr>
        <w:trHeight w:val="155"/>
        <w:jc w:val="center"/>
      </w:trPr>
      <w:tc>
        <w:tcPr>
          <w:tcW w:w="1842" w:type="dxa"/>
          <w:vAlign w:val="center"/>
        </w:tcPr>
        <w:p w14:paraId="4AFBEC18" w14:textId="77777777" w:rsidR="00FC1548" w:rsidRPr="00102BAB" w:rsidRDefault="00FC1548" w:rsidP="007764AF">
          <w:pPr>
            <w:pStyle w:val="Piedepgina"/>
            <w:rPr>
              <w:rFonts w:ascii="Arial" w:hAnsi="Arial" w:cs="Arial"/>
              <w:color w:val="424242" w:themeColor="accent6" w:themeShade="BF"/>
              <w:sz w:val="14"/>
            </w:rPr>
          </w:pPr>
        </w:p>
      </w:tc>
      <w:tc>
        <w:tcPr>
          <w:tcW w:w="1685" w:type="dxa"/>
          <w:vAlign w:val="center"/>
        </w:tcPr>
        <w:p w14:paraId="3D9D30A8" w14:textId="20745198" w:rsidR="00FC1548" w:rsidRPr="00102BAB" w:rsidRDefault="00FC1548" w:rsidP="007764AF">
          <w:pPr>
            <w:pStyle w:val="Piedepgina"/>
            <w:rPr>
              <w:rFonts w:ascii="Arial" w:hAnsi="Arial" w:cs="Arial"/>
              <w:color w:val="424242" w:themeColor="accent6" w:themeShade="BF"/>
              <w:sz w:val="14"/>
            </w:rPr>
          </w:pPr>
        </w:p>
      </w:tc>
      <w:tc>
        <w:tcPr>
          <w:tcW w:w="1656" w:type="dxa"/>
          <w:vAlign w:val="center"/>
        </w:tcPr>
        <w:p w14:paraId="52607200" w14:textId="0CD86E32" w:rsidR="00FC1548" w:rsidRPr="00102BAB" w:rsidRDefault="00FC1548" w:rsidP="007764AF">
          <w:pPr>
            <w:pStyle w:val="Piedepgina"/>
            <w:rPr>
              <w:rFonts w:ascii="Arial" w:hAnsi="Arial" w:cs="Arial"/>
              <w:color w:val="424242" w:themeColor="accent6" w:themeShade="BF"/>
              <w:sz w:val="14"/>
            </w:rPr>
          </w:pPr>
        </w:p>
      </w:tc>
      <w:tc>
        <w:tcPr>
          <w:tcW w:w="1412" w:type="dxa"/>
          <w:vAlign w:val="center"/>
        </w:tcPr>
        <w:p w14:paraId="59024317" w14:textId="17800CFA" w:rsidR="00FC1548" w:rsidRPr="00102BAB" w:rsidRDefault="00FC1548" w:rsidP="007764AF">
          <w:pPr>
            <w:pStyle w:val="Piedepgina"/>
            <w:rPr>
              <w:rFonts w:ascii="Arial" w:hAnsi="Arial" w:cs="Arial"/>
              <w:color w:val="424242" w:themeColor="accent6" w:themeShade="BF"/>
              <w:sz w:val="14"/>
            </w:rPr>
          </w:pPr>
        </w:p>
      </w:tc>
      <w:tc>
        <w:tcPr>
          <w:tcW w:w="1412" w:type="dxa"/>
          <w:vAlign w:val="center"/>
        </w:tcPr>
        <w:p w14:paraId="46D4A212" w14:textId="6E807AF7" w:rsidR="00FC1548" w:rsidRPr="00102BAB" w:rsidRDefault="00FC1548" w:rsidP="007764AF">
          <w:pPr>
            <w:pStyle w:val="Piedepgina"/>
            <w:rPr>
              <w:rFonts w:ascii="Arial" w:hAnsi="Arial" w:cs="Arial"/>
              <w:color w:val="424242" w:themeColor="accent6" w:themeShade="BF"/>
              <w:sz w:val="14"/>
            </w:rPr>
          </w:pPr>
        </w:p>
      </w:tc>
      <w:tc>
        <w:tcPr>
          <w:tcW w:w="860" w:type="dxa"/>
          <w:vAlign w:val="center"/>
        </w:tcPr>
        <w:p w14:paraId="665A68C6" w14:textId="77777777" w:rsidR="00FC1548" w:rsidRPr="00102BAB" w:rsidRDefault="00FC1548" w:rsidP="007764AF">
          <w:pPr>
            <w:pStyle w:val="Piedepgina"/>
            <w:rPr>
              <w:rFonts w:ascii="Arial" w:hAnsi="Arial" w:cs="Arial"/>
              <w:color w:val="424242" w:themeColor="accent6" w:themeShade="BF"/>
              <w:sz w:val="14"/>
            </w:rPr>
          </w:pPr>
        </w:p>
      </w:tc>
    </w:tr>
  </w:tbl>
  <w:p w14:paraId="0090C88A" w14:textId="77777777" w:rsidR="00FC1548" w:rsidRDefault="00FC1548"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03DB" w14:textId="77777777" w:rsidR="00621118" w:rsidRDefault="00621118" w:rsidP="00DB4D9F">
      <w:pPr>
        <w:spacing w:after="0" w:line="240" w:lineRule="auto"/>
      </w:pPr>
      <w:r>
        <w:separator/>
      </w:r>
    </w:p>
  </w:footnote>
  <w:footnote w:type="continuationSeparator" w:id="0">
    <w:p w14:paraId="30B0B5F3" w14:textId="77777777" w:rsidR="00621118" w:rsidRDefault="00621118"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FC1548" w:rsidRDefault="00FC1548">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7BA29923"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7DD9"/>
    <w:multiLevelType w:val="hybridMultilevel"/>
    <w:tmpl w:val="D27C7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3141" w:hanging="360"/>
      </w:pPr>
      <w:rPr>
        <w:rFonts w:ascii="Courier New" w:hAnsi="Courier New" w:cs="Courier New" w:hint="default"/>
      </w:rPr>
    </w:lvl>
    <w:lvl w:ilvl="2" w:tplc="040A0005" w:tentative="1">
      <w:start w:val="1"/>
      <w:numFmt w:val="bullet"/>
      <w:lvlText w:val=""/>
      <w:lvlJc w:val="left"/>
      <w:pPr>
        <w:ind w:left="3861" w:hanging="360"/>
      </w:pPr>
      <w:rPr>
        <w:rFonts w:ascii="Wingdings" w:hAnsi="Wingdings" w:hint="default"/>
      </w:rPr>
    </w:lvl>
    <w:lvl w:ilvl="3" w:tplc="040A0001" w:tentative="1">
      <w:start w:val="1"/>
      <w:numFmt w:val="bullet"/>
      <w:lvlText w:val=""/>
      <w:lvlJc w:val="left"/>
      <w:pPr>
        <w:ind w:left="4581" w:hanging="360"/>
      </w:pPr>
      <w:rPr>
        <w:rFonts w:ascii="Symbol" w:hAnsi="Symbol" w:hint="default"/>
      </w:rPr>
    </w:lvl>
    <w:lvl w:ilvl="4" w:tplc="040A0003" w:tentative="1">
      <w:start w:val="1"/>
      <w:numFmt w:val="bullet"/>
      <w:lvlText w:val="o"/>
      <w:lvlJc w:val="left"/>
      <w:pPr>
        <w:ind w:left="5301" w:hanging="360"/>
      </w:pPr>
      <w:rPr>
        <w:rFonts w:ascii="Courier New" w:hAnsi="Courier New" w:cs="Courier New" w:hint="default"/>
      </w:rPr>
    </w:lvl>
    <w:lvl w:ilvl="5" w:tplc="040A0005" w:tentative="1">
      <w:start w:val="1"/>
      <w:numFmt w:val="bullet"/>
      <w:lvlText w:val=""/>
      <w:lvlJc w:val="left"/>
      <w:pPr>
        <w:ind w:left="6021" w:hanging="360"/>
      </w:pPr>
      <w:rPr>
        <w:rFonts w:ascii="Wingdings" w:hAnsi="Wingdings" w:hint="default"/>
      </w:rPr>
    </w:lvl>
    <w:lvl w:ilvl="6" w:tplc="040A0001" w:tentative="1">
      <w:start w:val="1"/>
      <w:numFmt w:val="bullet"/>
      <w:lvlText w:val=""/>
      <w:lvlJc w:val="left"/>
      <w:pPr>
        <w:ind w:left="6741" w:hanging="360"/>
      </w:pPr>
      <w:rPr>
        <w:rFonts w:ascii="Symbol" w:hAnsi="Symbol" w:hint="default"/>
      </w:rPr>
    </w:lvl>
    <w:lvl w:ilvl="7" w:tplc="040A0003" w:tentative="1">
      <w:start w:val="1"/>
      <w:numFmt w:val="bullet"/>
      <w:lvlText w:val="o"/>
      <w:lvlJc w:val="left"/>
      <w:pPr>
        <w:ind w:left="7461" w:hanging="360"/>
      </w:pPr>
      <w:rPr>
        <w:rFonts w:ascii="Courier New" w:hAnsi="Courier New" w:cs="Courier New" w:hint="default"/>
      </w:rPr>
    </w:lvl>
    <w:lvl w:ilvl="8" w:tplc="040A0005" w:tentative="1">
      <w:start w:val="1"/>
      <w:numFmt w:val="bullet"/>
      <w:lvlText w:val=""/>
      <w:lvlJc w:val="left"/>
      <w:pPr>
        <w:ind w:left="8181" w:hanging="360"/>
      </w:pPr>
      <w:rPr>
        <w:rFonts w:ascii="Wingdings" w:hAnsi="Wingdings" w:hint="default"/>
      </w:rPr>
    </w:lvl>
  </w:abstractNum>
  <w:abstractNum w:abstractNumId="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EA1A19"/>
    <w:multiLevelType w:val="hybridMultilevel"/>
    <w:tmpl w:val="9E2CA0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C73CD8"/>
    <w:multiLevelType w:val="hybridMultilevel"/>
    <w:tmpl w:val="34A61CE8"/>
    <w:lvl w:ilvl="0" w:tplc="0409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E175491"/>
    <w:multiLevelType w:val="hybridMultilevel"/>
    <w:tmpl w:val="2670E7E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68A0B26"/>
    <w:multiLevelType w:val="hybridMultilevel"/>
    <w:tmpl w:val="B344A7A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6">
    <w:nsid w:val="3B211839"/>
    <w:multiLevelType w:val="hybridMultilevel"/>
    <w:tmpl w:val="D0AA9C5C"/>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417850A6"/>
    <w:multiLevelType w:val="hybridMultilevel"/>
    <w:tmpl w:val="5ADC44D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8">
    <w:nsid w:val="54771E69"/>
    <w:multiLevelType w:val="hybridMultilevel"/>
    <w:tmpl w:val="EB98AACE"/>
    <w:lvl w:ilvl="0" w:tplc="FD1A7AB4">
      <w:numFmt w:val="bullet"/>
      <w:lvlText w:val="-"/>
      <w:lvlJc w:val="left"/>
      <w:pPr>
        <w:ind w:left="218" w:hanging="360"/>
      </w:pPr>
      <w:rPr>
        <w:rFonts w:ascii="Arial" w:eastAsia="Times New Roman" w:hAnsi="Arial" w:cs="Arial" w:hint="default"/>
        <w:color w:val="auto"/>
        <w:sz w:val="20"/>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9">
    <w:nsid w:val="60D22300"/>
    <w:multiLevelType w:val="hybridMultilevel"/>
    <w:tmpl w:val="3A843202"/>
    <w:lvl w:ilvl="0" w:tplc="BF92C5A0">
      <w:start w:val="508"/>
      <w:numFmt w:val="bullet"/>
      <w:lvlText w:val="-"/>
      <w:lvlJc w:val="left"/>
      <w:pPr>
        <w:ind w:left="720" w:hanging="360"/>
      </w:pPr>
      <w:rPr>
        <w:rFonts w:ascii="Arial Narrow" w:eastAsia="Times New Roman"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0572BC"/>
    <w:multiLevelType w:val="multilevel"/>
    <w:tmpl w:val="94668C2A"/>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11">
    <w:nsid w:val="692E5BB8"/>
    <w:multiLevelType w:val="hybridMultilevel"/>
    <w:tmpl w:val="F2AC58E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2">
    <w:nsid w:val="71AE7CA8"/>
    <w:multiLevelType w:val="hybridMultilevel"/>
    <w:tmpl w:val="0DC249B2"/>
    <w:lvl w:ilvl="0" w:tplc="04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121E55"/>
    <w:multiLevelType w:val="hybridMultilevel"/>
    <w:tmpl w:val="44CE0F3C"/>
    <w:lvl w:ilvl="0" w:tplc="040A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
  </w:num>
  <w:num w:numId="2">
    <w:abstractNumId w:val="13"/>
  </w:num>
  <w:num w:numId="3">
    <w:abstractNumId w:val="3"/>
  </w:num>
  <w:num w:numId="4">
    <w:abstractNumId w:val="2"/>
  </w:num>
  <w:num w:numId="5">
    <w:abstractNumId w:val="12"/>
  </w:num>
  <w:num w:numId="6">
    <w:abstractNumId w:val="0"/>
  </w:num>
  <w:num w:numId="7">
    <w:abstractNumId w:val="10"/>
  </w:num>
  <w:num w:numId="8">
    <w:abstractNumId w:val="4"/>
  </w:num>
  <w:num w:numId="9">
    <w:abstractNumId w:val="11"/>
  </w:num>
  <w:num w:numId="10">
    <w:abstractNumId w:val="5"/>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27A6"/>
    <w:rsid w:val="000163BD"/>
    <w:rsid w:val="00016E4E"/>
    <w:rsid w:val="00037F46"/>
    <w:rsid w:val="0004018A"/>
    <w:rsid w:val="000416AA"/>
    <w:rsid w:val="00063570"/>
    <w:rsid w:val="00083431"/>
    <w:rsid w:val="000A222F"/>
    <w:rsid w:val="000A2368"/>
    <w:rsid w:val="000A2617"/>
    <w:rsid w:val="000A4342"/>
    <w:rsid w:val="000A5A3B"/>
    <w:rsid w:val="000B4123"/>
    <w:rsid w:val="000B4233"/>
    <w:rsid w:val="000C497F"/>
    <w:rsid w:val="000D3C22"/>
    <w:rsid w:val="000E4EC9"/>
    <w:rsid w:val="000E7B29"/>
    <w:rsid w:val="000F6E94"/>
    <w:rsid w:val="000F6F7C"/>
    <w:rsid w:val="00102BAB"/>
    <w:rsid w:val="001033F9"/>
    <w:rsid w:val="00103E96"/>
    <w:rsid w:val="00104941"/>
    <w:rsid w:val="00105517"/>
    <w:rsid w:val="00110620"/>
    <w:rsid w:val="00112024"/>
    <w:rsid w:val="00113C5F"/>
    <w:rsid w:val="00124B25"/>
    <w:rsid w:val="0013073E"/>
    <w:rsid w:val="00130D6F"/>
    <w:rsid w:val="00132527"/>
    <w:rsid w:val="00137709"/>
    <w:rsid w:val="00142C8F"/>
    <w:rsid w:val="001458B9"/>
    <w:rsid w:val="00151DC4"/>
    <w:rsid w:val="00155C36"/>
    <w:rsid w:val="00157E5B"/>
    <w:rsid w:val="0016557A"/>
    <w:rsid w:val="0017010E"/>
    <w:rsid w:val="00172601"/>
    <w:rsid w:val="001854EA"/>
    <w:rsid w:val="001921CA"/>
    <w:rsid w:val="00192F24"/>
    <w:rsid w:val="00196876"/>
    <w:rsid w:val="001A2D75"/>
    <w:rsid w:val="001B4F6F"/>
    <w:rsid w:val="001C378D"/>
    <w:rsid w:val="001C6E3A"/>
    <w:rsid w:val="001D0D7B"/>
    <w:rsid w:val="001D2780"/>
    <w:rsid w:val="001F0523"/>
    <w:rsid w:val="0020385C"/>
    <w:rsid w:val="00222D51"/>
    <w:rsid w:val="0025363F"/>
    <w:rsid w:val="00261505"/>
    <w:rsid w:val="00276AEF"/>
    <w:rsid w:val="00277AFB"/>
    <w:rsid w:val="00281EE0"/>
    <w:rsid w:val="00294ED2"/>
    <w:rsid w:val="002A2503"/>
    <w:rsid w:val="002A46E3"/>
    <w:rsid w:val="002A58AB"/>
    <w:rsid w:val="002B02E6"/>
    <w:rsid w:val="002E0F4E"/>
    <w:rsid w:val="002F1928"/>
    <w:rsid w:val="002F5BB7"/>
    <w:rsid w:val="002F75CD"/>
    <w:rsid w:val="0030185A"/>
    <w:rsid w:val="003038F9"/>
    <w:rsid w:val="00303A22"/>
    <w:rsid w:val="00306A25"/>
    <w:rsid w:val="003129C9"/>
    <w:rsid w:val="00315AAE"/>
    <w:rsid w:val="00321FEF"/>
    <w:rsid w:val="003336B6"/>
    <w:rsid w:val="00334579"/>
    <w:rsid w:val="003359BD"/>
    <w:rsid w:val="00340981"/>
    <w:rsid w:val="003467E2"/>
    <w:rsid w:val="00346B80"/>
    <w:rsid w:val="00352A8C"/>
    <w:rsid w:val="00352AFF"/>
    <w:rsid w:val="0037364D"/>
    <w:rsid w:val="003B37FA"/>
    <w:rsid w:val="003B65B1"/>
    <w:rsid w:val="003C71ED"/>
    <w:rsid w:val="003D4DA6"/>
    <w:rsid w:val="003E7A0F"/>
    <w:rsid w:val="003F1658"/>
    <w:rsid w:val="00401BA9"/>
    <w:rsid w:val="004071E9"/>
    <w:rsid w:val="00411143"/>
    <w:rsid w:val="00413671"/>
    <w:rsid w:val="00416C93"/>
    <w:rsid w:val="00430C37"/>
    <w:rsid w:val="00432E3D"/>
    <w:rsid w:val="0044128D"/>
    <w:rsid w:val="004424FC"/>
    <w:rsid w:val="00454075"/>
    <w:rsid w:val="00462131"/>
    <w:rsid w:val="00476D9A"/>
    <w:rsid w:val="00483344"/>
    <w:rsid w:val="00493CE8"/>
    <w:rsid w:val="00496768"/>
    <w:rsid w:val="004A3673"/>
    <w:rsid w:val="004A425F"/>
    <w:rsid w:val="004B7073"/>
    <w:rsid w:val="004B7F66"/>
    <w:rsid w:val="004C04B0"/>
    <w:rsid w:val="004C291E"/>
    <w:rsid w:val="004D2526"/>
    <w:rsid w:val="004E3945"/>
    <w:rsid w:val="004E4585"/>
    <w:rsid w:val="004E7176"/>
    <w:rsid w:val="0051693C"/>
    <w:rsid w:val="0053694A"/>
    <w:rsid w:val="00546A4B"/>
    <w:rsid w:val="00551D71"/>
    <w:rsid w:val="00554230"/>
    <w:rsid w:val="00561D94"/>
    <w:rsid w:val="00567328"/>
    <w:rsid w:val="0057716B"/>
    <w:rsid w:val="00595FE3"/>
    <w:rsid w:val="005A1F32"/>
    <w:rsid w:val="005A6454"/>
    <w:rsid w:val="005A7778"/>
    <w:rsid w:val="005B3C63"/>
    <w:rsid w:val="005B3F28"/>
    <w:rsid w:val="005B6BFF"/>
    <w:rsid w:val="005B6E71"/>
    <w:rsid w:val="005C2A46"/>
    <w:rsid w:val="005C58E6"/>
    <w:rsid w:val="005C6181"/>
    <w:rsid w:val="005D546A"/>
    <w:rsid w:val="005E2C32"/>
    <w:rsid w:val="005F37C9"/>
    <w:rsid w:val="005F6F25"/>
    <w:rsid w:val="006106D2"/>
    <w:rsid w:val="00621118"/>
    <w:rsid w:val="006262ED"/>
    <w:rsid w:val="0062659F"/>
    <w:rsid w:val="0063089C"/>
    <w:rsid w:val="00635252"/>
    <w:rsid w:val="00640900"/>
    <w:rsid w:val="00641654"/>
    <w:rsid w:val="006429C0"/>
    <w:rsid w:val="00646C78"/>
    <w:rsid w:val="00654620"/>
    <w:rsid w:val="006547A3"/>
    <w:rsid w:val="00663B5E"/>
    <w:rsid w:val="00665D54"/>
    <w:rsid w:val="00666732"/>
    <w:rsid w:val="00666AED"/>
    <w:rsid w:val="00680257"/>
    <w:rsid w:val="0068028F"/>
    <w:rsid w:val="006879C1"/>
    <w:rsid w:val="0069543A"/>
    <w:rsid w:val="006A0301"/>
    <w:rsid w:val="006A0978"/>
    <w:rsid w:val="006D275E"/>
    <w:rsid w:val="006D46A1"/>
    <w:rsid w:val="006D58C2"/>
    <w:rsid w:val="006E03D8"/>
    <w:rsid w:val="006E0AE4"/>
    <w:rsid w:val="006E0C93"/>
    <w:rsid w:val="006E1101"/>
    <w:rsid w:val="006E19E0"/>
    <w:rsid w:val="006E22FE"/>
    <w:rsid w:val="006F67D1"/>
    <w:rsid w:val="0070229B"/>
    <w:rsid w:val="00703CD3"/>
    <w:rsid w:val="007052E1"/>
    <w:rsid w:val="00710053"/>
    <w:rsid w:val="007128E4"/>
    <w:rsid w:val="007215DF"/>
    <w:rsid w:val="00725692"/>
    <w:rsid w:val="007259D1"/>
    <w:rsid w:val="00731266"/>
    <w:rsid w:val="00731E99"/>
    <w:rsid w:val="00731F99"/>
    <w:rsid w:val="00745DB9"/>
    <w:rsid w:val="007539D1"/>
    <w:rsid w:val="007619DF"/>
    <w:rsid w:val="0076633F"/>
    <w:rsid w:val="00767406"/>
    <w:rsid w:val="00771D6F"/>
    <w:rsid w:val="007764AF"/>
    <w:rsid w:val="00782EDA"/>
    <w:rsid w:val="00791E60"/>
    <w:rsid w:val="00793885"/>
    <w:rsid w:val="007A0409"/>
    <w:rsid w:val="007A4F6D"/>
    <w:rsid w:val="007B3CBE"/>
    <w:rsid w:val="007C2625"/>
    <w:rsid w:val="007C785E"/>
    <w:rsid w:val="007C7C37"/>
    <w:rsid w:val="007D14CF"/>
    <w:rsid w:val="007F65D7"/>
    <w:rsid w:val="00801CD2"/>
    <w:rsid w:val="00803560"/>
    <w:rsid w:val="00804C0E"/>
    <w:rsid w:val="00822A28"/>
    <w:rsid w:val="008358DF"/>
    <w:rsid w:val="00846FB7"/>
    <w:rsid w:val="00851CA3"/>
    <w:rsid w:val="0085284C"/>
    <w:rsid w:val="008623BB"/>
    <w:rsid w:val="00864306"/>
    <w:rsid w:val="00865B96"/>
    <w:rsid w:val="00867981"/>
    <w:rsid w:val="00867A2F"/>
    <w:rsid w:val="00873250"/>
    <w:rsid w:val="008806C5"/>
    <w:rsid w:val="008A7D2A"/>
    <w:rsid w:val="008C60DF"/>
    <w:rsid w:val="008D01C0"/>
    <w:rsid w:val="008D0291"/>
    <w:rsid w:val="008F20CC"/>
    <w:rsid w:val="008F755A"/>
    <w:rsid w:val="00901D6D"/>
    <w:rsid w:val="00906478"/>
    <w:rsid w:val="009150E2"/>
    <w:rsid w:val="009219FF"/>
    <w:rsid w:val="00922DEF"/>
    <w:rsid w:val="009258DC"/>
    <w:rsid w:val="00927416"/>
    <w:rsid w:val="00933105"/>
    <w:rsid w:val="00934E42"/>
    <w:rsid w:val="00942C1A"/>
    <w:rsid w:val="00944ACE"/>
    <w:rsid w:val="00944F22"/>
    <w:rsid w:val="00954C42"/>
    <w:rsid w:val="009724B7"/>
    <w:rsid w:val="00975E40"/>
    <w:rsid w:val="0098749A"/>
    <w:rsid w:val="00990EBA"/>
    <w:rsid w:val="00994659"/>
    <w:rsid w:val="009A7B3E"/>
    <w:rsid w:val="009B1AE1"/>
    <w:rsid w:val="009B6D45"/>
    <w:rsid w:val="009C5C17"/>
    <w:rsid w:val="009C7AC7"/>
    <w:rsid w:val="00A1617E"/>
    <w:rsid w:val="00A278AF"/>
    <w:rsid w:val="00A30DFC"/>
    <w:rsid w:val="00A44E9C"/>
    <w:rsid w:val="00A62499"/>
    <w:rsid w:val="00A80432"/>
    <w:rsid w:val="00A82D20"/>
    <w:rsid w:val="00A838A9"/>
    <w:rsid w:val="00A838CF"/>
    <w:rsid w:val="00A877E3"/>
    <w:rsid w:val="00AA63C2"/>
    <w:rsid w:val="00AB6066"/>
    <w:rsid w:val="00AC3CCE"/>
    <w:rsid w:val="00AD2644"/>
    <w:rsid w:val="00AD7B2E"/>
    <w:rsid w:val="00AE1D5C"/>
    <w:rsid w:val="00AE45E4"/>
    <w:rsid w:val="00AF29F6"/>
    <w:rsid w:val="00B01139"/>
    <w:rsid w:val="00B054A8"/>
    <w:rsid w:val="00B0618F"/>
    <w:rsid w:val="00B15A0A"/>
    <w:rsid w:val="00B21E25"/>
    <w:rsid w:val="00B417B3"/>
    <w:rsid w:val="00B45D57"/>
    <w:rsid w:val="00B55086"/>
    <w:rsid w:val="00B74697"/>
    <w:rsid w:val="00B819B5"/>
    <w:rsid w:val="00B85671"/>
    <w:rsid w:val="00B90BBA"/>
    <w:rsid w:val="00B912D6"/>
    <w:rsid w:val="00B91E9E"/>
    <w:rsid w:val="00B924F2"/>
    <w:rsid w:val="00BA3660"/>
    <w:rsid w:val="00BA3CE7"/>
    <w:rsid w:val="00BA7277"/>
    <w:rsid w:val="00BC2963"/>
    <w:rsid w:val="00BC549E"/>
    <w:rsid w:val="00BD1B0B"/>
    <w:rsid w:val="00BD2CCF"/>
    <w:rsid w:val="00BE084C"/>
    <w:rsid w:val="00BE0AB2"/>
    <w:rsid w:val="00BE42A6"/>
    <w:rsid w:val="00BE56AE"/>
    <w:rsid w:val="00BE7E2D"/>
    <w:rsid w:val="00C007DE"/>
    <w:rsid w:val="00C06115"/>
    <w:rsid w:val="00C23715"/>
    <w:rsid w:val="00C262B2"/>
    <w:rsid w:val="00C269E8"/>
    <w:rsid w:val="00C32336"/>
    <w:rsid w:val="00C36D09"/>
    <w:rsid w:val="00C41ACC"/>
    <w:rsid w:val="00C54560"/>
    <w:rsid w:val="00C74544"/>
    <w:rsid w:val="00C765BD"/>
    <w:rsid w:val="00CA0FFC"/>
    <w:rsid w:val="00CA3868"/>
    <w:rsid w:val="00CA4CC1"/>
    <w:rsid w:val="00CC00FA"/>
    <w:rsid w:val="00CC0F13"/>
    <w:rsid w:val="00CC1B8D"/>
    <w:rsid w:val="00CC7BB3"/>
    <w:rsid w:val="00CD4FB3"/>
    <w:rsid w:val="00CE451E"/>
    <w:rsid w:val="00CE58BC"/>
    <w:rsid w:val="00CF3B0A"/>
    <w:rsid w:val="00CF608C"/>
    <w:rsid w:val="00D04F49"/>
    <w:rsid w:val="00D159F2"/>
    <w:rsid w:val="00D16488"/>
    <w:rsid w:val="00D222A6"/>
    <w:rsid w:val="00D257B0"/>
    <w:rsid w:val="00D27068"/>
    <w:rsid w:val="00D44EF8"/>
    <w:rsid w:val="00D4729C"/>
    <w:rsid w:val="00D50F0E"/>
    <w:rsid w:val="00D54B68"/>
    <w:rsid w:val="00D56D36"/>
    <w:rsid w:val="00D63860"/>
    <w:rsid w:val="00D73DED"/>
    <w:rsid w:val="00D80F53"/>
    <w:rsid w:val="00D87C23"/>
    <w:rsid w:val="00D93018"/>
    <w:rsid w:val="00D93B46"/>
    <w:rsid w:val="00D979B6"/>
    <w:rsid w:val="00DB4088"/>
    <w:rsid w:val="00DB4D9F"/>
    <w:rsid w:val="00DC201D"/>
    <w:rsid w:val="00DE597B"/>
    <w:rsid w:val="00DE7836"/>
    <w:rsid w:val="00E0513C"/>
    <w:rsid w:val="00E06795"/>
    <w:rsid w:val="00E124E8"/>
    <w:rsid w:val="00E17080"/>
    <w:rsid w:val="00E234FF"/>
    <w:rsid w:val="00E2601E"/>
    <w:rsid w:val="00E32E36"/>
    <w:rsid w:val="00E45080"/>
    <w:rsid w:val="00E47A40"/>
    <w:rsid w:val="00E52FDB"/>
    <w:rsid w:val="00E546B7"/>
    <w:rsid w:val="00E6190C"/>
    <w:rsid w:val="00E8447A"/>
    <w:rsid w:val="00EB2935"/>
    <w:rsid w:val="00EC2D93"/>
    <w:rsid w:val="00EC4547"/>
    <w:rsid w:val="00EC479A"/>
    <w:rsid w:val="00EC5740"/>
    <w:rsid w:val="00ED301D"/>
    <w:rsid w:val="00ED7E1B"/>
    <w:rsid w:val="00F02646"/>
    <w:rsid w:val="00F03C72"/>
    <w:rsid w:val="00F07A64"/>
    <w:rsid w:val="00F1195C"/>
    <w:rsid w:val="00F124D3"/>
    <w:rsid w:val="00F1431F"/>
    <w:rsid w:val="00F23C43"/>
    <w:rsid w:val="00F375DE"/>
    <w:rsid w:val="00F44E72"/>
    <w:rsid w:val="00F51D66"/>
    <w:rsid w:val="00F6332A"/>
    <w:rsid w:val="00F65343"/>
    <w:rsid w:val="00F66B70"/>
    <w:rsid w:val="00F66DA0"/>
    <w:rsid w:val="00F715F7"/>
    <w:rsid w:val="00F7256A"/>
    <w:rsid w:val="00F74995"/>
    <w:rsid w:val="00F81059"/>
    <w:rsid w:val="00FA21FA"/>
    <w:rsid w:val="00FA66B8"/>
    <w:rsid w:val="00FA7EC1"/>
    <w:rsid w:val="00FB1254"/>
    <w:rsid w:val="00FC0F8A"/>
    <w:rsid w:val="00FC0FA0"/>
    <w:rsid w:val="00FC1548"/>
    <w:rsid w:val="00FC3B55"/>
    <w:rsid w:val="00FC7EB5"/>
    <w:rsid w:val="00FD44FA"/>
    <w:rsid w:val="00FD55BE"/>
    <w:rsid w:val="00FE1897"/>
    <w:rsid w:val="00FE76C7"/>
    <w:rsid w:val="00FF1227"/>
    <w:rsid w:val="00FF3F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Prrafodelista">
    <w:name w:val="List Paragraph"/>
    <w:basedOn w:val="Normal"/>
    <w:uiPriority w:val="34"/>
    <w:qFormat/>
    <w:rsid w:val="001458B9"/>
    <w:pPr>
      <w:ind w:left="720"/>
      <w:contextualSpacing/>
    </w:pPr>
  </w:style>
  <w:style w:type="paragraph" w:styleId="Textodeglobo">
    <w:name w:val="Balloon Text"/>
    <w:basedOn w:val="Normal"/>
    <w:link w:val="TextodegloboCar"/>
    <w:uiPriority w:val="99"/>
    <w:semiHidden/>
    <w:unhideWhenUsed/>
    <w:rsid w:val="0041367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3671"/>
    <w:rPr>
      <w:rFonts w:ascii="Lucida Grande" w:hAnsi="Lucida Grande" w:cs="Lucida Grande"/>
      <w:color w:val="262626" w:themeColor="text1"/>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9950-96BD-7E4B-86D2-4FDC316A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12</TotalTime>
  <Pages>2</Pages>
  <Words>669</Words>
  <Characters>3685</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Beaujean</dc:creator>
  <cp:keywords/>
  <dc:description/>
  <cp:lastModifiedBy>dctrcar@hotmail.com</cp:lastModifiedBy>
  <cp:revision>18</cp:revision>
  <cp:lastPrinted>2017-11-23T15:01:00Z</cp:lastPrinted>
  <dcterms:created xsi:type="dcterms:W3CDTF">2018-02-21T14:45:00Z</dcterms:created>
  <dcterms:modified xsi:type="dcterms:W3CDTF">2018-03-01T10:59:00Z</dcterms:modified>
</cp:coreProperties>
</file>