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25AC3BF2" w:rsidR="007F65D7" w:rsidRPr="003100A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  <w:lang w:val="pt-PT"/>
        </w:rPr>
      </w:pPr>
      <w:r w:rsidRPr="003100AF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6B79AE" w:rsidRPr="003100AF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ÇÃO </w:t>
      </w:r>
      <w:r w:rsidRPr="003100AF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DE </w:t>
      </w:r>
      <w:r w:rsidR="006B79AE" w:rsidRPr="003100AF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3100AF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3100AF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9D7B68" w:rsidRPr="009D7B68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12</w:t>
      </w:r>
      <w:r w:rsidR="0027513D" w:rsidRPr="009D7B68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/0</w:t>
      </w:r>
      <w:r w:rsidR="00E112A9" w:rsidRPr="009D7B68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4</w:t>
      </w:r>
      <w:r w:rsidR="00860177" w:rsidRPr="009D7B68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/201</w:t>
      </w:r>
      <w:r w:rsidR="00623E5B" w:rsidRPr="009D7B68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8</w:t>
      </w:r>
    </w:p>
    <w:p w14:paraId="7C302D20" w14:textId="77777777" w:rsidR="00930CA7" w:rsidRPr="003100AF" w:rsidRDefault="00930CA7" w:rsidP="0027513D">
      <w:pPr>
        <w:spacing w:after="230" w:line="360" w:lineRule="exact"/>
        <w:rPr>
          <w:rFonts w:ascii="Arial" w:eastAsia="Times" w:hAnsi="Arial" w:cs="Arial"/>
          <w:b/>
          <w:snapToGrid w:val="0"/>
          <w:color w:val="27509B" w:themeColor="accent4"/>
          <w:sz w:val="40"/>
          <w:szCs w:val="26"/>
          <w:lang w:val="pt-PT"/>
        </w:rPr>
      </w:pPr>
    </w:p>
    <w:p w14:paraId="4B3DF95A" w14:textId="47C0FC53" w:rsidR="007F65D7" w:rsidRPr="00A5152E" w:rsidRDefault="00F82C2B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</w:pPr>
      <w:proofErr w:type="spellStart"/>
      <w:r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G</w:t>
      </w:r>
      <w:r w:rsidR="0016030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u</w:t>
      </w:r>
      <w:r w:rsidR="006B79AE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i</w:t>
      </w:r>
      <w:r w:rsidR="0016030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a</w:t>
      </w:r>
      <w:proofErr w:type="spellEnd"/>
      <w:r w:rsidR="0016030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 xml:space="preserve"> MICHELIN </w:t>
      </w:r>
      <w:proofErr w:type="spellStart"/>
      <w:r w:rsidR="009E758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Main</w:t>
      </w:r>
      <w:proofErr w:type="spellEnd"/>
      <w:r w:rsidR="009E758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 xml:space="preserve"> </w:t>
      </w:r>
      <w:proofErr w:type="spellStart"/>
      <w:r w:rsidR="009E758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Cities</w:t>
      </w:r>
      <w:proofErr w:type="spellEnd"/>
      <w:r w:rsidR="009E758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 xml:space="preserve"> of </w:t>
      </w:r>
      <w:proofErr w:type="spellStart"/>
      <w:r w:rsidR="009E758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>Europe</w:t>
      </w:r>
      <w:proofErr w:type="spellEnd"/>
      <w:r w:rsidR="0016030C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 xml:space="preserve"> 2018</w:t>
      </w:r>
      <w:r w:rsidR="00930CA7" w:rsidRPr="00A5152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  <w:t xml:space="preserve"> </w:t>
      </w:r>
    </w:p>
    <w:p w14:paraId="462B57D7" w14:textId="77777777" w:rsidR="00920BF1" w:rsidRPr="00A5152E" w:rsidRDefault="00920BF1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bidi="es-ES_tradnl"/>
        </w:rPr>
      </w:pPr>
    </w:p>
    <w:p w14:paraId="24C71AF8" w14:textId="35A59F7E" w:rsidR="00521B93" w:rsidRPr="003100AF" w:rsidRDefault="006B79AE" w:rsidP="00521B93">
      <w:pPr>
        <w:spacing w:after="0" w:line="300" w:lineRule="exact"/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</w:pP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A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Michelin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a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presenta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a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37ª sele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ção do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gu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i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a MICHELIN Main Cities of Europe, que inclu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i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36 cidades de 20 países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 recom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enda u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m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 total de 2108 restaurantes.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Entre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as nov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idades d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esta edi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ção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,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o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restaurante Onyx, e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m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 Budapest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, 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torna-se no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prim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ei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r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o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 estab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lecimento da cidad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 co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m 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d</w:t>
      </w:r>
      <w:r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ua</w:t>
      </w:r>
      <w:r w:rsidR="00521B93" w:rsidRPr="003100AF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s estrelas. </w:t>
      </w:r>
    </w:p>
    <w:p w14:paraId="0A5D77DC" w14:textId="231310F9" w:rsidR="00AB14C8" w:rsidRPr="003100AF" w:rsidRDefault="00AB14C8" w:rsidP="008743D5">
      <w:pPr>
        <w:spacing w:after="240" w:line="270" w:lineRule="exac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noProof/>
          <w:color w:val="auto"/>
          <w:sz w:val="21"/>
          <w:szCs w:val="21"/>
          <w:lang w:val="es-ES_tradnl" w:eastAsia="es-ES_tradnl"/>
        </w:rPr>
        <w:drawing>
          <wp:anchor distT="0" distB="0" distL="114300" distR="114300" simplePos="0" relativeHeight="251657216" behindDoc="1" locked="0" layoutInCell="1" allowOverlap="1" wp14:anchorId="7F3ABC59" wp14:editId="2D7EE099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466850" cy="2516505"/>
            <wp:effectExtent l="0" t="0" r="6350" b="0"/>
            <wp:wrapTight wrapText="bothSides">
              <wp:wrapPolygon edited="0">
                <wp:start x="0" y="0"/>
                <wp:lineTo x="0" y="21366"/>
                <wp:lineTo x="21319" y="21366"/>
                <wp:lineTo x="21319" y="0"/>
                <wp:lineTo x="0" y="0"/>
              </wp:wrapPolygon>
            </wp:wrapTight>
            <wp:docPr id="4" name="Imagen 4" descr="C:\Users\Alberto López\Downloads\Nota GM europe\2018_visuel 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 López\Downloads\Nota GM europe\2018_visuel M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38" cy="252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5090" w14:textId="2E258963" w:rsidR="00EF23B6" w:rsidRPr="003100AF" w:rsidRDefault="006B79A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 n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va sele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do</w:t>
      </w:r>
      <w:r w:rsidR="00521B9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gu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521B9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Main Cities of Europe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EF23B6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Onyx,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Budapest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obtém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estrelas,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tornando-se no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prim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eiro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restaurante da cidad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alcançar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 distin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 Inaugurado 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2007,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restaurante rec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eu a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primeira estrela em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2011. 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“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 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chef Ádám Mészáros</w:t>
      </w:r>
      <w:r w:rsidR="00CC70E7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 u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="00CC70E7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verdadeiro talento local,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redefine </w:t>
      </w:r>
      <w:r w:rsidR="004B770F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co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z</w:t>
      </w:r>
      <w:r w:rsidR="004B770F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in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="004B770F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clás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</w:t>
      </w:r>
      <w:r w:rsidR="004B770F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ica húngara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.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 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Onyx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é um restaurante muito elegante, 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que of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rece p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atos refinados, cr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ados co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turidade e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mu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it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originalidad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EF23B6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”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comenta Michael Ellis, Diretor Internacional 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EF23B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MICHELIN. </w:t>
      </w:r>
    </w:p>
    <w:p w14:paraId="6D30A2AF" w14:textId="74E6A7B3" w:rsidR="00130264" w:rsidRPr="003100AF" w:rsidRDefault="00EF23B6" w:rsidP="00B4746A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lém 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este n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 restaurante de d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estr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las,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capital húngara </w:t>
      </w:r>
      <w:r w:rsidR="00F82C2B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conta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tamb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C70E7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um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vo 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estab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ecim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ento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Bib Gourmand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2093B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tand 25</w:t>
      </w:r>
      <w:r w:rsidR="00130264" w:rsidRPr="003100AF">
        <w:rPr>
          <w:rFonts w:ascii="Arial" w:eastAsia="Times" w:hAnsi="Arial" w:cs="Times New Roman"/>
          <w:b/>
          <w:bCs/>
          <w:color w:val="auto"/>
          <w:sz w:val="21"/>
          <w:szCs w:val="21"/>
          <w:lang w:val="pt-PT"/>
        </w:rPr>
        <w:t>,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restaurante </w:t>
      </w:r>
      <w:r w:rsidR="009C5117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galardoado </w:t>
      </w:r>
      <w:r w:rsidR="00EB03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o </w:t>
      </w:r>
      <w:r w:rsidR="00EB03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distintivo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8E5691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pr</w:t>
      </w:r>
      <w:r w:rsidR="00EB03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ato 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MICHELIN,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</w:t>
      </w:r>
      <w:r w:rsidR="0013026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130264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Olimpia</w:t>
      </w:r>
      <w:r w:rsidR="00130264" w:rsidRPr="003100AF">
        <w:rPr>
          <w:rFonts w:ascii="Arial" w:eastAsia="Times" w:hAnsi="Arial" w:cs="Times New Roman"/>
          <w:b/>
          <w:bCs/>
          <w:color w:val="auto"/>
          <w:sz w:val="21"/>
          <w:szCs w:val="21"/>
          <w:lang w:val="pt-PT"/>
        </w:rPr>
        <w:t>.</w:t>
      </w:r>
    </w:p>
    <w:p w14:paraId="798E5F76" w14:textId="700507C0" w:rsidR="00130264" w:rsidRPr="003100AF" w:rsidRDefault="006B79AE" w:rsidP="00B4746A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gui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Main Cities of Europe 2018 també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destaca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dinamismo 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cena culin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ria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Viena,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na Á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ustria, co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um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 restaurante de d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uas estrel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uatro n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vos restaurantes de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uma estrel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a.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uatro a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de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pois de obt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er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primeira estre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la,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r w:rsidR="00C51229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Konstantin Filippou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do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chef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com o mesmo nome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rec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be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segunda estre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la. "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Co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 o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s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 estilo cr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ativo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moderno, Konstantin Filippou, </w:t>
      </w:r>
      <w:r w:rsidR="005F67C7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formado e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="005F67C7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grandes 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restaurantes de toda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a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Europa, of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rece 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os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s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us clientes u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co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z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in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sofisticada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co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sabores equilibrados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mu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it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delicadeza</w:t>
      </w:r>
      <w:r w:rsidR="00340E1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;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vale </w:t>
      </w:r>
      <w:r w:rsid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um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desvio</w:t>
      </w:r>
      <w:r w:rsidR="00340E1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!</w:t>
      </w:r>
      <w:r w:rsidR="00C5122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"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acrescenta </w:t>
      </w:r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Michael </w:t>
      </w:r>
      <w:proofErr w:type="spellStart"/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Ellis</w:t>
      </w:r>
      <w:proofErr w:type="spellEnd"/>
      <w:r w:rsidR="00C5122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</w:p>
    <w:p w14:paraId="54A012A1" w14:textId="16083EA8" w:rsidR="00130264" w:rsidRPr="003100AF" w:rsidRDefault="00340E19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Viena,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quatro no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vos restaurantes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obt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êm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estrela: </w:t>
      </w:r>
      <w:proofErr w:type="spellStart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Blue</w:t>
      </w:r>
      <w:proofErr w:type="spellEnd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Mustard</w:t>
      </w:r>
      <w:proofErr w:type="spellEnd"/>
      <w:r w:rsidR="00F071C0" w:rsidRP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Das </w:t>
      </w:r>
      <w:proofErr w:type="spellStart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Loft</w:t>
      </w:r>
      <w:proofErr w:type="spellEnd"/>
      <w:r w:rsidRP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Pramerl</w:t>
      </w:r>
      <w:proofErr w:type="spellEnd"/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&amp; the Wolf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SHIKI</w:t>
      </w:r>
      <w:r w:rsidRPr="00F071C0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</w:p>
    <w:p w14:paraId="781FBC68" w14:textId="6E94B06D" w:rsidR="00EF23B6" w:rsidRPr="003100AF" w:rsidRDefault="00DC087D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ve restaurantes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 principai</w:t>
      </w:r>
      <w:r w:rsidR="006537AC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cidades europe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be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estrelas, elevando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par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90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número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 estab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entos 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 distin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no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Main Cities of Europe</w:t>
      </w:r>
      <w:r w:rsidR="006F1719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2018. 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quatro no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vos restaurantes </w:t>
      </w:r>
      <w:r w:rsidR="002E310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tr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ê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estrelas, a 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edi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de 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2018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nta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ag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ora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um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total de 23 restaurantes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a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mai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prestigi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ante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6B79AE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Por fim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58 restaurantes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alcançam uma estre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la este a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que 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eleva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número de restaurantes de um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estrela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par</w:t>
      </w:r>
      <w:r w:rsidR="0057375F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340E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380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</w:p>
    <w:p w14:paraId="2FEB4AED" w14:textId="15BD75F7" w:rsidR="004C0101" w:rsidRPr="003100AF" w:rsidRDefault="00F82C2B" w:rsidP="00B4746A">
      <w:pPr>
        <w:spacing w:after="240" w:line="270" w:lineRule="atLeast"/>
        <w:jc w:val="both"/>
        <w:rPr>
          <w:color w:val="auto"/>
          <w:lang w:val="pt-PT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Para mais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59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Bib Gourmand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são adicionados ao </w:t>
      </w:r>
      <w:r w:rsidR="000B2E66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Main Cities of Europe 2018, s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mando u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total de 295.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uito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apreciada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pe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los clientes p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la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E72218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extraordin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</w:t>
      </w:r>
      <w:r w:rsidR="00E72218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ria </w:t>
      </w:r>
      <w:r w:rsidR="006F171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rela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qu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-pre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dos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estab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lecimentos,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Bib Gourmand també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é 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bida co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gran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entusiasmo p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elos chefs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que dese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jam promover um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experi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ê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ncia gastronómica de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</w:t>
      </w:r>
      <w:r w:rsidR="00C50B39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associ</w:t>
      </w:r>
      <w:r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ando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simplicidade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amabilidad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razo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áveis</w:t>
      </w:r>
      <w:r w:rsidR="00C2093B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</w:p>
    <w:p w14:paraId="46D71C27" w14:textId="1AEE69BA" w:rsidR="00C50B39" w:rsidRPr="003100AF" w:rsidRDefault="0009412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lastRenderedPageBreak/>
        <w:t>Publicad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ingl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ê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s,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Main Cities of Europe dirig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e-se, principalmente,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6D493A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viaj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antes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 neg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ó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cios que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percorrem a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Europa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embora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també</w:t>
      </w:r>
      <w:r w:rsidR="00F82C2B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seja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ideal p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ara os turistas que </w:t>
      </w:r>
      <w:r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quere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desc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obrir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</w:t>
      </w:r>
      <w:r w:rsidR="00FD23A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cidades europe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FD23A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mais româ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nticas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culturalmente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mais interessantes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Além das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descri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ções </w:t>
      </w:r>
      <w:r w:rsidR="00FD23A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detal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FD23A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adas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 cada estab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lecimento, 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gui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of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 informa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çõ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 út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eis e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da</w:t>
      </w:r>
      <w:r w:rsidR="00110F04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dos práticos, como 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="00FD23A3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mapas</w:t>
      </w:r>
      <w:r w:rsidR="004C0101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das cidades.</w:t>
      </w:r>
      <w:r w:rsidR="00C35BF8" w:rsidRPr="003100A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</w:p>
    <w:p w14:paraId="03A9B616" w14:textId="493BBB76" w:rsidR="00106001" w:rsidRPr="003100AF" w:rsidRDefault="00110F04" w:rsidP="00B4746A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Á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ustria </w:t>
      </w:r>
      <w:r w:rsidR="00106001" w:rsidRP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(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Viena, Salzburgo)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Bélgica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(Bru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x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elas, 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Antuérpia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República Checa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(Praga)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Dinamarca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(Copenhag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, Aarhus)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Finl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â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ndia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(Hels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ínquia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Fran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ç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(Par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s, Lyon)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Aleman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h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</w:t>
      </w:r>
      <w:r w:rsidR="00E72218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(Berl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im</w:t>
      </w:r>
      <w:r w:rsidR="00E72218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 Hamburgo, M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unique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Gr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é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cia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Atenas)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Hungr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i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(Budapest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) -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Irlanda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(Dubli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n)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It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á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lia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(Roma, Mil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ão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Luxemburgo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</w:t>
      </w:r>
      <w:proofErr w:type="spellStart"/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Luxemburgo</w:t>
      </w:r>
      <w:proofErr w:type="spellEnd"/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</w:t>
      </w:r>
      <w:r w:rsid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-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Holanda </w:t>
      </w:r>
      <w:r w:rsidR="00E72218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(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="00F071C0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sterd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ão</w:t>
      </w:r>
      <w:bookmarkStart w:id="0" w:name="_GoBack"/>
      <w:bookmarkEnd w:id="0"/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 Roterd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ão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Noruega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(Oslo) - 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Poló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nia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(Vars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ó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via, Crac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ó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via)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Portugal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(Lisboa)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Espa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nh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(Madrid, Barcelona)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Su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é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cia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(Estocolmo, Gotemburgo, Malm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Su</w:t>
      </w:r>
      <w:r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íç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</w:t>
      </w:r>
      <w:r w:rsidR="0066270B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(Berna, G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="0066270B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nebra, Z</w:t>
      </w:r>
      <w:r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urique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) - </w:t>
      </w:r>
      <w:r w:rsidR="00106001" w:rsidRPr="003100AF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Reino Unido</w:t>
      </w:r>
      <w:r w:rsidR="00106001" w:rsidRPr="003100A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(Londres, Birmingham, Edimburgo).</w:t>
      </w:r>
    </w:p>
    <w:p w14:paraId="52BD213E" w14:textId="2A08D9DC" w:rsidR="00916ECC" w:rsidRPr="003100AF" w:rsidRDefault="00916ECC" w:rsidP="00916ECC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  <w:r w:rsidRPr="003100AF">
        <w:rPr>
          <w:rFonts w:cs="Arial"/>
          <w:b/>
          <w:sz w:val="21"/>
          <w:szCs w:val="21"/>
          <w:u w:val="single"/>
          <w:lang w:val="pt-PT"/>
        </w:rPr>
        <w:t xml:space="preserve">Sobre </w:t>
      </w:r>
      <w:r w:rsidR="00110F04" w:rsidRPr="003100AF">
        <w:rPr>
          <w:rFonts w:cs="Arial"/>
          <w:b/>
          <w:sz w:val="21"/>
          <w:szCs w:val="21"/>
          <w:u w:val="single"/>
          <w:lang w:val="pt-PT"/>
        </w:rPr>
        <w:t>o</w:t>
      </w:r>
      <w:r w:rsidRPr="003100AF">
        <w:rPr>
          <w:rFonts w:cs="Arial"/>
          <w:b/>
          <w:sz w:val="21"/>
          <w:szCs w:val="21"/>
          <w:u w:val="single"/>
          <w:lang w:val="pt-PT"/>
        </w:rPr>
        <w:t xml:space="preserve"> gu</w:t>
      </w:r>
      <w:r w:rsidR="00110F04" w:rsidRPr="003100AF">
        <w:rPr>
          <w:rFonts w:cs="Arial"/>
          <w:b/>
          <w:sz w:val="21"/>
          <w:szCs w:val="21"/>
          <w:u w:val="single"/>
          <w:lang w:val="pt-PT"/>
        </w:rPr>
        <w:t>i</w:t>
      </w:r>
      <w:r w:rsidRPr="003100AF">
        <w:rPr>
          <w:rFonts w:cs="Arial"/>
          <w:b/>
          <w:sz w:val="21"/>
          <w:szCs w:val="21"/>
          <w:u w:val="single"/>
          <w:lang w:val="pt-PT"/>
        </w:rPr>
        <w:t>a MICHELIN</w:t>
      </w:r>
    </w:p>
    <w:p w14:paraId="48AF4EAE" w14:textId="77777777" w:rsidR="00100674" w:rsidRPr="00C379E7" w:rsidRDefault="00100674" w:rsidP="00100674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O guia MICHELIN seleciona os melhores restaurantes e hotéis dos </w:t>
      </w:r>
      <w:r>
        <w:rPr>
          <w:rFonts w:cs="Arial"/>
          <w:bCs/>
          <w:szCs w:val="21"/>
          <w:lang w:val="pt-PT"/>
        </w:rPr>
        <w:t>31</w:t>
      </w:r>
      <w:r w:rsidRPr="00C379E7">
        <w:rPr>
          <w:rFonts w:cs="Arial"/>
          <w:bCs/>
          <w:szCs w:val="21"/>
          <w:lang w:val="pt-PT"/>
        </w:rPr>
        <w:t xml:space="preserve"> países em que está presente. </w:t>
      </w:r>
      <w:r>
        <w:rPr>
          <w:rFonts w:cs="Arial"/>
          <w:bCs/>
          <w:szCs w:val="21"/>
          <w:lang w:val="pt-PT"/>
        </w:rPr>
        <w:t>Mostruário</w:t>
      </w:r>
      <w:r w:rsidRPr="00C379E7">
        <w:rPr>
          <w:rFonts w:cs="Arial"/>
          <w:bCs/>
          <w:szCs w:val="21"/>
          <w:lang w:val="pt-PT"/>
        </w:rPr>
        <w:t xml:space="preserve"> da gastronomia mundial, descobre o dinamismo culinário de um país, a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sim como as novas tendências e os futuros talentos. Criador de valor para os restaurantes, graças às distinções que atribuí a cada ano, o guia MICHELIN contribui para o prestígio da gastronomia local, e para a atração turística dos territórios. Graças ao seu rigoroso sistema de seleção, e ao seu ampl</w:t>
      </w:r>
      <w:r>
        <w:rPr>
          <w:rFonts w:cs="Arial"/>
          <w:bCs/>
          <w:szCs w:val="21"/>
          <w:lang w:val="pt-PT"/>
        </w:rPr>
        <w:t>o co</w:t>
      </w:r>
      <w:r w:rsidRPr="00C379E7">
        <w:rPr>
          <w:rFonts w:cs="Arial"/>
          <w:bCs/>
          <w:szCs w:val="21"/>
          <w:lang w:val="pt-PT"/>
        </w:rPr>
        <w:t>nhecimento histórico do setor da hotelaria e restauração, o guia MICHELIN disponibiliza aos seus clientes uma experiência única e um serviço de qualidade.</w:t>
      </w:r>
    </w:p>
    <w:p w14:paraId="086A39C3" w14:textId="77777777" w:rsidR="00100674" w:rsidRPr="00C379E7" w:rsidRDefault="00100674" w:rsidP="00100674">
      <w:pPr>
        <w:pStyle w:val="TextoMichelin"/>
        <w:rPr>
          <w:rFonts w:cs="Arial"/>
          <w:bCs/>
          <w:szCs w:val="21"/>
          <w:lang w:val="pt-PT"/>
        </w:rPr>
      </w:pPr>
      <w:r>
        <w:rPr>
          <w:rFonts w:cs="Arial"/>
          <w:bCs/>
          <w:szCs w:val="21"/>
          <w:lang w:val="pt-PT"/>
        </w:rPr>
        <w:t>A</w:t>
      </w:r>
      <w:r w:rsidRPr="00C379E7">
        <w:rPr>
          <w:rFonts w:cs="Arial"/>
          <w:bCs/>
          <w:szCs w:val="21"/>
          <w:lang w:val="pt-PT"/>
        </w:rPr>
        <w:t>s diferentes sele</w:t>
      </w:r>
      <w:r>
        <w:rPr>
          <w:rFonts w:cs="Arial"/>
          <w:bCs/>
          <w:szCs w:val="21"/>
          <w:lang w:val="pt-PT"/>
        </w:rPr>
        <w:t>çõ</w:t>
      </w:r>
      <w:r w:rsidRPr="00C379E7">
        <w:rPr>
          <w:rFonts w:cs="Arial"/>
          <w:bCs/>
          <w:szCs w:val="21"/>
          <w:lang w:val="pt-PT"/>
        </w:rPr>
        <w:t>es est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dispon</w:t>
      </w:r>
      <w:r>
        <w:rPr>
          <w:rFonts w:cs="Arial"/>
          <w:bCs/>
          <w:szCs w:val="21"/>
          <w:lang w:val="pt-PT"/>
        </w:rPr>
        <w:t xml:space="preserve">íveis quer </w:t>
      </w:r>
      <w:r w:rsidRPr="00C379E7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vers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impres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a</w:t>
      </w:r>
      <w:r>
        <w:rPr>
          <w:rFonts w:cs="Arial"/>
          <w:bCs/>
          <w:szCs w:val="21"/>
          <w:lang w:val="pt-PT"/>
        </w:rPr>
        <w:t xml:space="preserve">, quer </w:t>
      </w:r>
      <w:r w:rsidRPr="00C379E7">
        <w:rPr>
          <w:rFonts w:cs="Arial"/>
          <w:bCs/>
          <w:szCs w:val="21"/>
          <w:lang w:val="pt-PT"/>
        </w:rPr>
        <w:t xml:space="preserve">digital. </w:t>
      </w:r>
      <w:r>
        <w:rPr>
          <w:rFonts w:cs="Arial"/>
          <w:bCs/>
          <w:szCs w:val="21"/>
          <w:lang w:val="pt-PT"/>
        </w:rPr>
        <w:t>Estão ac</w:t>
      </w:r>
      <w:r w:rsidRPr="00C379E7">
        <w:rPr>
          <w:rFonts w:cs="Arial"/>
          <w:bCs/>
          <w:szCs w:val="21"/>
          <w:lang w:val="pt-PT"/>
        </w:rPr>
        <w:t>es</w:t>
      </w:r>
      <w:r>
        <w:rPr>
          <w:rFonts w:cs="Arial"/>
          <w:bCs/>
          <w:szCs w:val="21"/>
          <w:lang w:val="pt-PT"/>
        </w:rPr>
        <w:t xml:space="preserve">síveis </w:t>
      </w:r>
      <w:r w:rsidRPr="00C379E7">
        <w:rPr>
          <w:rFonts w:cs="Arial"/>
          <w:bCs/>
          <w:szCs w:val="21"/>
          <w:lang w:val="pt-PT"/>
        </w:rPr>
        <w:t xml:space="preserve">tanto </w:t>
      </w:r>
      <w:r>
        <w:rPr>
          <w:rFonts w:cs="Arial"/>
          <w:bCs/>
          <w:szCs w:val="21"/>
          <w:lang w:val="pt-PT"/>
        </w:rPr>
        <w:t xml:space="preserve">através da </w:t>
      </w:r>
      <w:r w:rsidRPr="00C379E7">
        <w:rPr>
          <w:rFonts w:cs="Arial"/>
          <w:bCs/>
          <w:szCs w:val="21"/>
          <w:lang w:val="pt-PT"/>
        </w:rPr>
        <w:t xml:space="preserve">Internet como </w:t>
      </w:r>
      <w:r>
        <w:rPr>
          <w:rFonts w:cs="Arial"/>
          <w:bCs/>
          <w:szCs w:val="21"/>
          <w:lang w:val="pt-PT"/>
        </w:rPr>
        <w:t xml:space="preserve">de todos </w:t>
      </w:r>
      <w:r w:rsidRPr="00C379E7">
        <w:rPr>
          <w:rFonts w:cs="Arial"/>
          <w:bCs/>
          <w:szCs w:val="21"/>
          <w:lang w:val="pt-PT"/>
        </w:rPr>
        <w:t>os dispositivos móv</w:t>
      </w:r>
      <w:r>
        <w:rPr>
          <w:rFonts w:cs="Arial"/>
          <w:bCs/>
          <w:szCs w:val="21"/>
          <w:lang w:val="pt-PT"/>
        </w:rPr>
        <w:t xml:space="preserve">eis </w:t>
      </w:r>
      <w:r w:rsidRPr="00C379E7">
        <w:rPr>
          <w:rFonts w:cs="Arial"/>
          <w:bCs/>
          <w:szCs w:val="21"/>
          <w:lang w:val="pt-PT"/>
        </w:rPr>
        <w:t xml:space="preserve">que </w:t>
      </w:r>
      <w:r>
        <w:rPr>
          <w:rFonts w:cs="Arial"/>
          <w:bCs/>
          <w:szCs w:val="21"/>
          <w:lang w:val="pt-PT"/>
        </w:rPr>
        <w:t xml:space="preserve">ofereçam uma </w:t>
      </w:r>
      <w:r w:rsidRPr="00C379E7">
        <w:rPr>
          <w:rFonts w:cs="Arial"/>
          <w:bCs/>
          <w:szCs w:val="21"/>
          <w:lang w:val="pt-PT"/>
        </w:rPr>
        <w:t>navega</w:t>
      </w:r>
      <w:r>
        <w:rPr>
          <w:rFonts w:cs="Arial"/>
          <w:bCs/>
          <w:szCs w:val="21"/>
          <w:lang w:val="pt-PT"/>
        </w:rPr>
        <w:t xml:space="preserve">ção </w:t>
      </w:r>
      <w:r w:rsidRPr="00C379E7">
        <w:rPr>
          <w:rFonts w:cs="Arial"/>
          <w:bCs/>
          <w:szCs w:val="21"/>
          <w:lang w:val="pt-PT"/>
        </w:rPr>
        <w:t xml:space="preserve">adaptada </w:t>
      </w:r>
      <w:r>
        <w:rPr>
          <w:rFonts w:cs="Arial"/>
          <w:bCs/>
          <w:szCs w:val="21"/>
          <w:lang w:val="pt-PT"/>
        </w:rPr>
        <w:t xml:space="preserve">ao </w:t>
      </w:r>
      <w:r w:rsidRPr="00C379E7">
        <w:rPr>
          <w:rFonts w:cs="Arial"/>
          <w:bCs/>
          <w:szCs w:val="21"/>
          <w:lang w:val="pt-PT"/>
        </w:rPr>
        <w:t xml:space="preserve">uso individual, </w:t>
      </w:r>
      <w:r>
        <w:rPr>
          <w:rFonts w:cs="Arial"/>
          <w:bCs/>
          <w:szCs w:val="21"/>
          <w:lang w:val="pt-PT"/>
        </w:rPr>
        <w:t xml:space="preserve">além de contarem com um </w:t>
      </w:r>
      <w:r w:rsidRPr="00C379E7">
        <w:rPr>
          <w:rFonts w:cs="Arial"/>
          <w:bCs/>
          <w:szCs w:val="21"/>
          <w:lang w:val="pt-PT"/>
        </w:rPr>
        <w:t>servi</w:t>
      </w:r>
      <w:r>
        <w:rPr>
          <w:rFonts w:cs="Arial"/>
          <w:bCs/>
          <w:szCs w:val="21"/>
          <w:lang w:val="pt-PT"/>
        </w:rPr>
        <w:t>ço de reserva on</w:t>
      </w:r>
      <w:r w:rsidRPr="00C379E7">
        <w:rPr>
          <w:rFonts w:cs="Arial"/>
          <w:bCs/>
          <w:szCs w:val="21"/>
          <w:lang w:val="pt-PT"/>
        </w:rPr>
        <w:t>line.</w:t>
      </w:r>
    </w:p>
    <w:p w14:paraId="6E36AB6E" w14:textId="77777777" w:rsidR="00100674" w:rsidRPr="0042624C" w:rsidRDefault="00100674" w:rsidP="00100674">
      <w:pPr>
        <w:pStyle w:val="TextoMichelin"/>
        <w:rPr>
          <w:rFonts w:cs="Arial"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Co</w:t>
      </w:r>
      <w:r>
        <w:rPr>
          <w:rFonts w:cs="Arial"/>
          <w:bCs/>
          <w:szCs w:val="21"/>
          <w:lang w:val="pt-PT"/>
        </w:rPr>
        <w:t xml:space="preserve">m o </w:t>
      </w:r>
      <w:r w:rsidRPr="00C379E7">
        <w:rPr>
          <w:rFonts w:cs="Arial"/>
          <w:bCs/>
          <w:szCs w:val="21"/>
          <w:lang w:val="pt-PT"/>
        </w:rPr>
        <w:t>g</w:t>
      </w:r>
      <w:r>
        <w:rPr>
          <w:rFonts w:cs="Arial"/>
          <w:bCs/>
          <w:szCs w:val="21"/>
          <w:lang w:val="pt-PT"/>
        </w:rPr>
        <w:t>ui</w:t>
      </w:r>
      <w:r w:rsidRPr="00C379E7">
        <w:rPr>
          <w:rFonts w:cs="Arial"/>
          <w:bCs/>
          <w:szCs w:val="21"/>
          <w:lang w:val="pt-PT"/>
        </w:rPr>
        <w:t xml:space="preserve">a MICHELIN, </w:t>
      </w:r>
      <w:r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Cs/>
          <w:szCs w:val="21"/>
          <w:lang w:val="pt-PT"/>
        </w:rPr>
        <w:t>Grupo contin</w:t>
      </w:r>
      <w:r>
        <w:rPr>
          <w:rFonts w:cs="Arial"/>
          <w:bCs/>
          <w:szCs w:val="21"/>
          <w:lang w:val="pt-PT"/>
        </w:rPr>
        <w:t xml:space="preserve">ua a apoiar milhões </w:t>
      </w:r>
      <w:r w:rsidRPr="00C379E7">
        <w:rPr>
          <w:rFonts w:cs="Arial"/>
          <w:bCs/>
          <w:szCs w:val="21"/>
          <w:lang w:val="pt-PT"/>
        </w:rPr>
        <w:t xml:space="preserve">de </w:t>
      </w:r>
      <w:r>
        <w:rPr>
          <w:rFonts w:cs="Arial"/>
          <w:bCs/>
          <w:szCs w:val="21"/>
          <w:lang w:val="pt-PT"/>
        </w:rPr>
        <w:t>pessoas nas suas deslocações, permitindo-lhes vive</w:t>
      </w:r>
      <w:r w:rsidRPr="00C379E7">
        <w:rPr>
          <w:rFonts w:cs="Arial"/>
          <w:bCs/>
          <w:szCs w:val="21"/>
          <w:lang w:val="pt-PT"/>
        </w:rPr>
        <w:t>r u</w:t>
      </w:r>
      <w:r>
        <w:rPr>
          <w:rFonts w:cs="Arial"/>
          <w:bCs/>
          <w:szCs w:val="21"/>
          <w:lang w:val="pt-PT"/>
        </w:rPr>
        <w:t>ma experiê</w:t>
      </w:r>
      <w:r w:rsidRPr="00C379E7">
        <w:rPr>
          <w:rFonts w:cs="Arial"/>
          <w:bCs/>
          <w:szCs w:val="21"/>
          <w:lang w:val="pt-PT"/>
        </w:rPr>
        <w:t xml:space="preserve">ncia única de </w:t>
      </w:r>
      <w:r>
        <w:rPr>
          <w:rFonts w:cs="Arial"/>
          <w:bCs/>
          <w:szCs w:val="21"/>
          <w:lang w:val="pt-PT"/>
        </w:rPr>
        <w:t>mobilidade</w:t>
      </w:r>
      <w:r w:rsidRPr="0042624C">
        <w:rPr>
          <w:rFonts w:cs="Arial"/>
          <w:szCs w:val="21"/>
          <w:lang w:val="pt-PT"/>
        </w:rPr>
        <w:t>.</w:t>
      </w:r>
    </w:p>
    <w:p w14:paraId="5A361543" w14:textId="77777777" w:rsidR="00106001" w:rsidRPr="003100AF" w:rsidRDefault="00106001" w:rsidP="00916ECC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</w:p>
    <w:p w14:paraId="4D55DDFD" w14:textId="35B9C26B" w:rsidR="00BD5322" w:rsidRPr="003100AF" w:rsidRDefault="00110F04" w:rsidP="00110F04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  <w:r w:rsidRPr="003100AF">
        <w:rPr>
          <w:rFonts w:ascii="Times" w:eastAsia="Times" w:hAnsi="Times" w:cs="Arial"/>
          <w:i/>
          <w:sz w:val="24"/>
          <w:szCs w:val="24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</w:t>
      </w:r>
      <w:r w:rsidR="00F82C2B">
        <w:rPr>
          <w:rFonts w:ascii="Times" w:eastAsia="Times" w:hAnsi="Times" w:cs="Arial"/>
          <w:i/>
          <w:sz w:val="24"/>
          <w:szCs w:val="24"/>
          <w:lang w:val="pt-PT"/>
        </w:rPr>
        <w:t xml:space="preserve">igual modo, a 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>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114</w:t>
      </w:r>
      <w:r w:rsidR="00100674">
        <w:rPr>
          <w:rFonts w:ascii="Times" w:eastAsia="Times" w:hAnsi="Times" w:cs="Arial"/>
          <w:i/>
          <w:sz w:val="24"/>
          <w:szCs w:val="24"/>
          <w:lang w:val="pt-PT"/>
        </w:rPr>
        <w:t>.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>100 pessoas e dispõe de 70 centros de produção e</w:t>
      </w:r>
      <w:r w:rsidR="00F82C2B">
        <w:rPr>
          <w:rFonts w:ascii="Times" w:eastAsia="Times" w:hAnsi="Times" w:cs="Arial"/>
          <w:i/>
          <w:sz w:val="24"/>
          <w:szCs w:val="24"/>
          <w:lang w:val="pt-PT"/>
        </w:rPr>
        <w:t>m 17 paí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>ses, que, em 2017, fabricaram 190 milhões de pneus. (</w:t>
      </w:r>
      <w:hyperlink r:id="rId9" w:history="1">
        <w:r w:rsidRPr="003100AF">
          <w:rPr>
            <w:rStyle w:val="Hipervnculo"/>
            <w:rFonts w:ascii="Times" w:eastAsia="Times" w:hAnsi="Times" w:cs="Arial"/>
            <w:i/>
            <w:sz w:val="24"/>
            <w:szCs w:val="24"/>
            <w:lang w:val="pt-PT"/>
          </w:rPr>
          <w:t>www.michelin.pt</w:t>
        </w:r>
      </w:hyperlink>
      <w:r w:rsidRPr="003100AF">
        <w:rPr>
          <w:rFonts w:ascii="Times" w:eastAsia="Times" w:hAnsi="Times" w:cs="Arial"/>
          <w:i/>
          <w:sz w:val="24"/>
          <w:szCs w:val="24"/>
          <w:lang w:val="pt-PT"/>
        </w:rPr>
        <w:t>)</w:t>
      </w:r>
      <w:r w:rsidR="00BD5322" w:rsidRPr="003100AF">
        <w:rPr>
          <w:rFonts w:ascii="Times" w:eastAsia="Times" w:hAnsi="Times" w:cs="Arial"/>
          <w:i/>
          <w:sz w:val="24"/>
          <w:szCs w:val="24"/>
          <w:lang w:val="pt-PT"/>
        </w:rPr>
        <w:t>.</w:t>
      </w:r>
    </w:p>
    <w:p w14:paraId="04C9B74E" w14:textId="77777777" w:rsidR="00BD5322" w:rsidRPr="003100AF" w:rsidRDefault="00BD5322" w:rsidP="00BD532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4F8C7374" w14:textId="77777777" w:rsidR="00106001" w:rsidRPr="003100AF" w:rsidRDefault="00106001" w:rsidP="00BD532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4989E6E7" w14:textId="77777777" w:rsidR="00BD5322" w:rsidRPr="003100AF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4A6C1544" w14:textId="77777777" w:rsidR="00BD5322" w:rsidRPr="003100AF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1BE1C587" w14:textId="77777777" w:rsidR="00100674" w:rsidRPr="004300DA" w:rsidRDefault="00100674" w:rsidP="00100674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3F639B64" w14:textId="77777777" w:rsidR="00100674" w:rsidRPr="004300DA" w:rsidRDefault="00100674" w:rsidP="00100674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6B4D32E0" w14:textId="77777777" w:rsidR="00100674" w:rsidRPr="004300DA" w:rsidRDefault="00100674" w:rsidP="00100674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0BA5BCA1" w14:textId="77777777" w:rsidR="00100674" w:rsidRPr="004A425F" w:rsidRDefault="00100674" w:rsidP="0010067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13261BB9" w14:textId="6BAE6190" w:rsidR="00B4746A" w:rsidRPr="003100AF" w:rsidRDefault="00B4746A" w:rsidP="00100674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sectPr w:rsidR="00B4746A" w:rsidRPr="003100AF" w:rsidSect="00C078A6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A8082" w16cid:durableId="1E4BE1E6"/>
  <w16cid:commentId w16cid:paraId="2F00CC56" w16cid:durableId="1E4BE1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4776" w14:textId="77777777" w:rsidR="00C85C5D" w:rsidRDefault="00C85C5D" w:rsidP="00DB4D9F">
      <w:pPr>
        <w:spacing w:after="0" w:line="240" w:lineRule="auto"/>
      </w:pPr>
      <w:r>
        <w:separator/>
      </w:r>
    </w:p>
  </w:endnote>
  <w:endnote w:type="continuationSeparator" w:id="0">
    <w:p w14:paraId="416CD0ED" w14:textId="77777777" w:rsidR="00C85C5D" w:rsidRDefault="00C85C5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3ED45205" w:rsidR="0057375F" w:rsidRDefault="0057375F" w:rsidP="00C078A6">
    <w:pPr>
      <w:pStyle w:val="Piedepgina"/>
      <w:jc w:val="right"/>
    </w:pPr>
    <w:r>
      <w:rPr>
        <w:noProof/>
        <w:lang w:val="es-ES_tradnl" w:eastAsia="es-ES_tradnl"/>
      </w:rPr>
      <w:drawing>
        <wp:inline distT="0" distB="0" distL="0" distR="0" wp14:anchorId="725B60BB" wp14:editId="40079744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1AA93" w14:textId="77777777" w:rsidR="0057375F" w:rsidRDefault="0057375F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57375F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57375F" w:rsidRPr="00102BAB" w:rsidRDefault="0057375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57375F" w:rsidRDefault="0057375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D5E6" w14:textId="77777777" w:rsidR="00C85C5D" w:rsidRDefault="00C85C5D" w:rsidP="00DB4D9F">
      <w:pPr>
        <w:spacing w:after="0" w:line="240" w:lineRule="auto"/>
      </w:pPr>
      <w:r>
        <w:separator/>
      </w:r>
    </w:p>
  </w:footnote>
  <w:footnote w:type="continuationSeparator" w:id="0">
    <w:p w14:paraId="32322C46" w14:textId="77777777" w:rsidR="00C85C5D" w:rsidRDefault="00C85C5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188B9B5F" w:rsidR="0057375F" w:rsidRDefault="0057375F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112B8A4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3CF"/>
    <w:multiLevelType w:val="hybridMultilevel"/>
    <w:tmpl w:val="A0DEDC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D2A"/>
    <w:multiLevelType w:val="hybridMultilevel"/>
    <w:tmpl w:val="BAA62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4261"/>
    <w:rsid w:val="00006E71"/>
    <w:rsid w:val="000127A6"/>
    <w:rsid w:val="00021DC8"/>
    <w:rsid w:val="00037061"/>
    <w:rsid w:val="00037F46"/>
    <w:rsid w:val="000416AA"/>
    <w:rsid w:val="00042384"/>
    <w:rsid w:val="00051AD4"/>
    <w:rsid w:val="00083431"/>
    <w:rsid w:val="0009412E"/>
    <w:rsid w:val="000943B5"/>
    <w:rsid w:val="000A222F"/>
    <w:rsid w:val="000A2617"/>
    <w:rsid w:val="000A4FB0"/>
    <w:rsid w:val="000A5A3B"/>
    <w:rsid w:val="000B0693"/>
    <w:rsid w:val="000B2E66"/>
    <w:rsid w:val="000B4123"/>
    <w:rsid w:val="000C497F"/>
    <w:rsid w:val="000C5FA9"/>
    <w:rsid w:val="000C68FD"/>
    <w:rsid w:val="000E7B29"/>
    <w:rsid w:val="00100674"/>
    <w:rsid w:val="00102BAB"/>
    <w:rsid w:val="001033F9"/>
    <w:rsid w:val="00103E96"/>
    <w:rsid w:val="00105125"/>
    <w:rsid w:val="00106001"/>
    <w:rsid w:val="00107BFA"/>
    <w:rsid w:val="00110F04"/>
    <w:rsid w:val="00113C5F"/>
    <w:rsid w:val="00120586"/>
    <w:rsid w:val="00125B26"/>
    <w:rsid w:val="00130264"/>
    <w:rsid w:val="00137709"/>
    <w:rsid w:val="00137725"/>
    <w:rsid w:val="00143197"/>
    <w:rsid w:val="00151DC4"/>
    <w:rsid w:val="00154220"/>
    <w:rsid w:val="00155A72"/>
    <w:rsid w:val="00155C36"/>
    <w:rsid w:val="0016030C"/>
    <w:rsid w:val="0016557A"/>
    <w:rsid w:val="00175A19"/>
    <w:rsid w:val="001854EA"/>
    <w:rsid w:val="00185DDF"/>
    <w:rsid w:val="00186AD3"/>
    <w:rsid w:val="00196876"/>
    <w:rsid w:val="00196C61"/>
    <w:rsid w:val="001C5D08"/>
    <w:rsid w:val="001C6E3A"/>
    <w:rsid w:val="001F0523"/>
    <w:rsid w:val="001F0AE9"/>
    <w:rsid w:val="001F44A6"/>
    <w:rsid w:val="001F6B8C"/>
    <w:rsid w:val="0022352C"/>
    <w:rsid w:val="00225160"/>
    <w:rsid w:val="00231E8F"/>
    <w:rsid w:val="0024204E"/>
    <w:rsid w:val="00243C44"/>
    <w:rsid w:val="00247C0A"/>
    <w:rsid w:val="0025346E"/>
    <w:rsid w:val="0025363F"/>
    <w:rsid w:val="0027513D"/>
    <w:rsid w:val="00277AFB"/>
    <w:rsid w:val="00281EE0"/>
    <w:rsid w:val="00285557"/>
    <w:rsid w:val="002947B2"/>
    <w:rsid w:val="00294ED2"/>
    <w:rsid w:val="002A2704"/>
    <w:rsid w:val="002A46E3"/>
    <w:rsid w:val="002A58AB"/>
    <w:rsid w:val="002C163C"/>
    <w:rsid w:val="002E0F4E"/>
    <w:rsid w:val="002E3103"/>
    <w:rsid w:val="002F75CD"/>
    <w:rsid w:val="00302A0A"/>
    <w:rsid w:val="003038F9"/>
    <w:rsid w:val="00306A25"/>
    <w:rsid w:val="003100AF"/>
    <w:rsid w:val="00310394"/>
    <w:rsid w:val="00315AAE"/>
    <w:rsid w:val="00317FF1"/>
    <w:rsid w:val="00333451"/>
    <w:rsid w:val="003336B6"/>
    <w:rsid w:val="003359BD"/>
    <w:rsid w:val="00340981"/>
    <w:rsid w:val="00340E19"/>
    <w:rsid w:val="003467E2"/>
    <w:rsid w:val="00346B80"/>
    <w:rsid w:val="00352925"/>
    <w:rsid w:val="00352AFF"/>
    <w:rsid w:val="0037197A"/>
    <w:rsid w:val="00390390"/>
    <w:rsid w:val="003B65B1"/>
    <w:rsid w:val="003C6D65"/>
    <w:rsid w:val="003C7FBC"/>
    <w:rsid w:val="003E546F"/>
    <w:rsid w:val="003F4939"/>
    <w:rsid w:val="004071E9"/>
    <w:rsid w:val="00416C93"/>
    <w:rsid w:val="00430C37"/>
    <w:rsid w:val="00432E3D"/>
    <w:rsid w:val="00436D20"/>
    <w:rsid w:val="004424FC"/>
    <w:rsid w:val="00445149"/>
    <w:rsid w:val="004451A1"/>
    <w:rsid w:val="00462131"/>
    <w:rsid w:val="00480397"/>
    <w:rsid w:val="00480934"/>
    <w:rsid w:val="00483344"/>
    <w:rsid w:val="00490D4D"/>
    <w:rsid w:val="00493CE8"/>
    <w:rsid w:val="004957D7"/>
    <w:rsid w:val="00496768"/>
    <w:rsid w:val="004B472D"/>
    <w:rsid w:val="004B7031"/>
    <w:rsid w:val="004B770F"/>
    <w:rsid w:val="004C0101"/>
    <w:rsid w:val="004C291E"/>
    <w:rsid w:val="004D0AB9"/>
    <w:rsid w:val="004D1793"/>
    <w:rsid w:val="004D2526"/>
    <w:rsid w:val="004D7B0D"/>
    <w:rsid w:val="004E1D83"/>
    <w:rsid w:val="004E27D4"/>
    <w:rsid w:val="004E3945"/>
    <w:rsid w:val="004E7176"/>
    <w:rsid w:val="004F63B1"/>
    <w:rsid w:val="004F73F9"/>
    <w:rsid w:val="0051693C"/>
    <w:rsid w:val="00521B93"/>
    <w:rsid w:val="00525642"/>
    <w:rsid w:val="0053694A"/>
    <w:rsid w:val="0054649A"/>
    <w:rsid w:val="00546A4B"/>
    <w:rsid w:val="00561D94"/>
    <w:rsid w:val="0057375F"/>
    <w:rsid w:val="00576BC9"/>
    <w:rsid w:val="0057716B"/>
    <w:rsid w:val="005A19E8"/>
    <w:rsid w:val="005A1F32"/>
    <w:rsid w:val="005A450C"/>
    <w:rsid w:val="005A6D9F"/>
    <w:rsid w:val="005A7778"/>
    <w:rsid w:val="005B318E"/>
    <w:rsid w:val="005B3C63"/>
    <w:rsid w:val="005B412F"/>
    <w:rsid w:val="005B6BFF"/>
    <w:rsid w:val="005C59BE"/>
    <w:rsid w:val="005C6181"/>
    <w:rsid w:val="005C6240"/>
    <w:rsid w:val="005D1C77"/>
    <w:rsid w:val="005D546A"/>
    <w:rsid w:val="005E5586"/>
    <w:rsid w:val="005F67C7"/>
    <w:rsid w:val="005F729C"/>
    <w:rsid w:val="00603710"/>
    <w:rsid w:val="006106D2"/>
    <w:rsid w:val="00621CC0"/>
    <w:rsid w:val="00623E5B"/>
    <w:rsid w:val="00635252"/>
    <w:rsid w:val="0063590A"/>
    <w:rsid w:val="00640900"/>
    <w:rsid w:val="00642123"/>
    <w:rsid w:val="006429C0"/>
    <w:rsid w:val="006537AC"/>
    <w:rsid w:val="006537B1"/>
    <w:rsid w:val="00654469"/>
    <w:rsid w:val="00655CF8"/>
    <w:rsid w:val="00657851"/>
    <w:rsid w:val="0066270B"/>
    <w:rsid w:val="00663B5E"/>
    <w:rsid w:val="00664D0A"/>
    <w:rsid w:val="00666732"/>
    <w:rsid w:val="00666AED"/>
    <w:rsid w:val="00672461"/>
    <w:rsid w:val="00695A90"/>
    <w:rsid w:val="00696D63"/>
    <w:rsid w:val="0069775B"/>
    <w:rsid w:val="006A2F94"/>
    <w:rsid w:val="006A52D7"/>
    <w:rsid w:val="006B62F3"/>
    <w:rsid w:val="006B79AE"/>
    <w:rsid w:val="006D46A1"/>
    <w:rsid w:val="006D493A"/>
    <w:rsid w:val="006E0C93"/>
    <w:rsid w:val="006E1101"/>
    <w:rsid w:val="006E31F1"/>
    <w:rsid w:val="006F05FC"/>
    <w:rsid w:val="006F1719"/>
    <w:rsid w:val="006F67D1"/>
    <w:rsid w:val="0070229B"/>
    <w:rsid w:val="00703CD3"/>
    <w:rsid w:val="007128E4"/>
    <w:rsid w:val="007214FD"/>
    <w:rsid w:val="00731266"/>
    <w:rsid w:val="00731E99"/>
    <w:rsid w:val="00744C6E"/>
    <w:rsid w:val="0074790F"/>
    <w:rsid w:val="007539D1"/>
    <w:rsid w:val="007546BA"/>
    <w:rsid w:val="007619DF"/>
    <w:rsid w:val="00764456"/>
    <w:rsid w:val="0076633F"/>
    <w:rsid w:val="007764AF"/>
    <w:rsid w:val="00785AE8"/>
    <w:rsid w:val="007A0409"/>
    <w:rsid w:val="007B3CBE"/>
    <w:rsid w:val="007C2625"/>
    <w:rsid w:val="007C2A50"/>
    <w:rsid w:val="007C5B1B"/>
    <w:rsid w:val="007D0E49"/>
    <w:rsid w:val="007E65CE"/>
    <w:rsid w:val="007F65D7"/>
    <w:rsid w:val="007F7AA4"/>
    <w:rsid w:val="00802F81"/>
    <w:rsid w:val="00811C73"/>
    <w:rsid w:val="00814669"/>
    <w:rsid w:val="00822036"/>
    <w:rsid w:val="008275D7"/>
    <w:rsid w:val="0083173C"/>
    <w:rsid w:val="008358DF"/>
    <w:rsid w:val="00846FB7"/>
    <w:rsid w:val="00851CA3"/>
    <w:rsid w:val="00860177"/>
    <w:rsid w:val="00865B96"/>
    <w:rsid w:val="00867A2F"/>
    <w:rsid w:val="00873C1C"/>
    <w:rsid w:val="008743D5"/>
    <w:rsid w:val="008806C5"/>
    <w:rsid w:val="008C6842"/>
    <w:rsid w:val="008D01C0"/>
    <w:rsid w:val="008D0291"/>
    <w:rsid w:val="008D140A"/>
    <w:rsid w:val="008E2D75"/>
    <w:rsid w:val="008E5691"/>
    <w:rsid w:val="008F20CC"/>
    <w:rsid w:val="008F35AB"/>
    <w:rsid w:val="00916ECC"/>
    <w:rsid w:val="00920BF1"/>
    <w:rsid w:val="009258DC"/>
    <w:rsid w:val="00930CA7"/>
    <w:rsid w:val="00934E42"/>
    <w:rsid w:val="0094052D"/>
    <w:rsid w:val="00942C1A"/>
    <w:rsid w:val="00944ACE"/>
    <w:rsid w:val="00951D8F"/>
    <w:rsid w:val="00954C42"/>
    <w:rsid w:val="00955BD1"/>
    <w:rsid w:val="009709B8"/>
    <w:rsid w:val="009858E0"/>
    <w:rsid w:val="0098716B"/>
    <w:rsid w:val="0098749A"/>
    <w:rsid w:val="00994659"/>
    <w:rsid w:val="009A427B"/>
    <w:rsid w:val="009A44F3"/>
    <w:rsid w:val="009A6AC5"/>
    <w:rsid w:val="009A7B3E"/>
    <w:rsid w:val="009B1AE1"/>
    <w:rsid w:val="009B314B"/>
    <w:rsid w:val="009B6B76"/>
    <w:rsid w:val="009C0A55"/>
    <w:rsid w:val="009C5117"/>
    <w:rsid w:val="009C5C17"/>
    <w:rsid w:val="009C7AC7"/>
    <w:rsid w:val="009D7B68"/>
    <w:rsid w:val="009E0B4C"/>
    <w:rsid w:val="009E423A"/>
    <w:rsid w:val="009E758C"/>
    <w:rsid w:val="009F34C9"/>
    <w:rsid w:val="00A03DC2"/>
    <w:rsid w:val="00A07D8E"/>
    <w:rsid w:val="00A2610F"/>
    <w:rsid w:val="00A278AF"/>
    <w:rsid w:val="00A30DFC"/>
    <w:rsid w:val="00A44E9C"/>
    <w:rsid w:val="00A5152E"/>
    <w:rsid w:val="00A5787C"/>
    <w:rsid w:val="00A579D4"/>
    <w:rsid w:val="00A62499"/>
    <w:rsid w:val="00A64947"/>
    <w:rsid w:val="00A67DCD"/>
    <w:rsid w:val="00A80432"/>
    <w:rsid w:val="00A838A9"/>
    <w:rsid w:val="00A838CF"/>
    <w:rsid w:val="00A90DB9"/>
    <w:rsid w:val="00A92EBF"/>
    <w:rsid w:val="00AA53F6"/>
    <w:rsid w:val="00AA63C2"/>
    <w:rsid w:val="00AB14C8"/>
    <w:rsid w:val="00AB26A3"/>
    <w:rsid w:val="00AB5DB3"/>
    <w:rsid w:val="00AC0D04"/>
    <w:rsid w:val="00AC3CCE"/>
    <w:rsid w:val="00AC5FA7"/>
    <w:rsid w:val="00AD2644"/>
    <w:rsid w:val="00AD4722"/>
    <w:rsid w:val="00AD7B2E"/>
    <w:rsid w:val="00AE1D5C"/>
    <w:rsid w:val="00AE4384"/>
    <w:rsid w:val="00B01139"/>
    <w:rsid w:val="00B054A8"/>
    <w:rsid w:val="00B0618F"/>
    <w:rsid w:val="00B12898"/>
    <w:rsid w:val="00B31FD7"/>
    <w:rsid w:val="00B417B3"/>
    <w:rsid w:val="00B45D57"/>
    <w:rsid w:val="00B4746A"/>
    <w:rsid w:val="00B55086"/>
    <w:rsid w:val="00B74697"/>
    <w:rsid w:val="00B75E68"/>
    <w:rsid w:val="00B77E53"/>
    <w:rsid w:val="00B819B5"/>
    <w:rsid w:val="00B84A7E"/>
    <w:rsid w:val="00B90BBA"/>
    <w:rsid w:val="00B912D6"/>
    <w:rsid w:val="00B917A9"/>
    <w:rsid w:val="00B91E9E"/>
    <w:rsid w:val="00B924F2"/>
    <w:rsid w:val="00BA3660"/>
    <w:rsid w:val="00BA3CE7"/>
    <w:rsid w:val="00BA7277"/>
    <w:rsid w:val="00BB0E7B"/>
    <w:rsid w:val="00BB55FA"/>
    <w:rsid w:val="00BC101C"/>
    <w:rsid w:val="00BC549E"/>
    <w:rsid w:val="00BD2CCF"/>
    <w:rsid w:val="00BD3288"/>
    <w:rsid w:val="00BD5322"/>
    <w:rsid w:val="00BE56AE"/>
    <w:rsid w:val="00BE7E2D"/>
    <w:rsid w:val="00C06115"/>
    <w:rsid w:val="00C078A6"/>
    <w:rsid w:val="00C11034"/>
    <w:rsid w:val="00C2093B"/>
    <w:rsid w:val="00C23715"/>
    <w:rsid w:val="00C32336"/>
    <w:rsid w:val="00C35BF8"/>
    <w:rsid w:val="00C35F87"/>
    <w:rsid w:val="00C50B39"/>
    <w:rsid w:val="00C51229"/>
    <w:rsid w:val="00C53F87"/>
    <w:rsid w:val="00C54560"/>
    <w:rsid w:val="00C54B04"/>
    <w:rsid w:val="00C63822"/>
    <w:rsid w:val="00C731E4"/>
    <w:rsid w:val="00C73293"/>
    <w:rsid w:val="00C765BD"/>
    <w:rsid w:val="00C85C5D"/>
    <w:rsid w:val="00C9054D"/>
    <w:rsid w:val="00CB10B2"/>
    <w:rsid w:val="00CB1238"/>
    <w:rsid w:val="00CC00FA"/>
    <w:rsid w:val="00CC1B8D"/>
    <w:rsid w:val="00CC2231"/>
    <w:rsid w:val="00CC70E7"/>
    <w:rsid w:val="00CC7BB3"/>
    <w:rsid w:val="00CD4FB3"/>
    <w:rsid w:val="00CD79BC"/>
    <w:rsid w:val="00CD7D9D"/>
    <w:rsid w:val="00CE2757"/>
    <w:rsid w:val="00CF01EB"/>
    <w:rsid w:val="00D04F49"/>
    <w:rsid w:val="00D05BBB"/>
    <w:rsid w:val="00D222A6"/>
    <w:rsid w:val="00D25251"/>
    <w:rsid w:val="00D257B0"/>
    <w:rsid w:val="00D25AA2"/>
    <w:rsid w:val="00D27068"/>
    <w:rsid w:val="00D402D1"/>
    <w:rsid w:val="00D452BE"/>
    <w:rsid w:val="00D4570F"/>
    <w:rsid w:val="00D463EB"/>
    <w:rsid w:val="00D4664C"/>
    <w:rsid w:val="00D50F0E"/>
    <w:rsid w:val="00D54B68"/>
    <w:rsid w:val="00D55B1C"/>
    <w:rsid w:val="00D56D36"/>
    <w:rsid w:val="00D63860"/>
    <w:rsid w:val="00D65F81"/>
    <w:rsid w:val="00D7014D"/>
    <w:rsid w:val="00D75B08"/>
    <w:rsid w:val="00D80F53"/>
    <w:rsid w:val="00D8516B"/>
    <w:rsid w:val="00D92717"/>
    <w:rsid w:val="00D93018"/>
    <w:rsid w:val="00DA3C19"/>
    <w:rsid w:val="00DB1C13"/>
    <w:rsid w:val="00DB38B7"/>
    <w:rsid w:val="00DB4D9F"/>
    <w:rsid w:val="00DC087D"/>
    <w:rsid w:val="00DC201D"/>
    <w:rsid w:val="00DE7836"/>
    <w:rsid w:val="00E0513C"/>
    <w:rsid w:val="00E06795"/>
    <w:rsid w:val="00E06A8D"/>
    <w:rsid w:val="00E112A9"/>
    <w:rsid w:val="00E1261D"/>
    <w:rsid w:val="00E22557"/>
    <w:rsid w:val="00E234FF"/>
    <w:rsid w:val="00E26A68"/>
    <w:rsid w:val="00E32E36"/>
    <w:rsid w:val="00E3636D"/>
    <w:rsid w:val="00E546B7"/>
    <w:rsid w:val="00E5667F"/>
    <w:rsid w:val="00E6190C"/>
    <w:rsid w:val="00E72218"/>
    <w:rsid w:val="00E8447A"/>
    <w:rsid w:val="00EB0304"/>
    <w:rsid w:val="00EC2D93"/>
    <w:rsid w:val="00EC479A"/>
    <w:rsid w:val="00EC5740"/>
    <w:rsid w:val="00ED301D"/>
    <w:rsid w:val="00ED4B13"/>
    <w:rsid w:val="00EF23B6"/>
    <w:rsid w:val="00EF3CB4"/>
    <w:rsid w:val="00F0031D"/>
    <w:rsid w:val="00F03C72"/>
    <w:rsid w:val="00F071C0"/>
    <w:rsid w:val="00F07A64"/>
    <w:rsid w:val="00F1195C"/>
    <w:rsid w:val="00F124D3"/>
    <w:rsid w:val="00F1431F"/>
    <w:rsid w:val="00F1709B"/>
    <w:rsid w:val="00F2242E"/>
    <w:rsid w:val="00F24942"/>
    <w:rsid w:val="00F375DE"/>
    <w:rsid w:val="00F431D1"/>
    <w:rsid w:val="00F44E72"/>
    <w:rsid w:val="00F51D66"/>
    <w:rsid w:val="00F60C6D"/>
    <w:rsid w:val="00F65343"/>
    <w:rsid w:val="00F66B70"/>
    <w:rsid w:val="00F81059"/>
    <w:rsid w:val="00F82C2B"/>
    <w:rsid w:val="00F867F4"/>
    <w:rsid w:val="00F97B8E"/>
    <w:rsid w:val="00FA21FA"/>
    <w:rsid w:val="00FA66B8"/>
    <w:rsid w:val="00FA6FD5"/>
    <w:rsid w:val="00FA7EC1"/>
    <w:rsid w:val="00FB1964"/>
    <w:rsid w:val="00FB530F"/>
    <w:rsid w:val="00FC0F8A"/>
    <w:rsid w:val="00FC0FA0"/>
    <w:rsid w:val="00FC7D1A"/>
    <w:rsid w:val="00FC7EB5"/>
    <w:rsid w:val="00FD23A3"/>
    <w:rsid w:val="00FD44FA"/>
    <w:rsid w:val="00FD54D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6ECC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A72"/>
    <w:rPr>
      <w:b/>
      <w:bCs/>
      <w:color w:val="262626" w:themeColor="text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D4570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10F04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chelin.p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5690-D1B2-A241-83E4-FEB2570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5</TotalTime>
  <Pages>2</Pages>
  <Words>860</Words>
  <Characters>4730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dctrcar@hotmail.com</cp:lastModifiedBy>
  <cp:revision>6</cp:revision>
  <cp:lastPrinted>2018-03-21T08:55:00Z</cp:lastPrinted>
  <dcterms:created xsi:type="dcterms:W3CDTF">2018-04-12T05:22:00Z</dcterms:created>
  <dcterms:modified xsi:type="dcterms:W3CDTF">2018-04-12T09:30:00Z</dcterms:modified>
</cp:coreProperties>
</file>