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1E93" w14:textId="77777777" w:rsidR="00FE712E" w:rsidRPr="00327020" w:rsidRDefault="006C3766">
      <w:pP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                                                                                                  </w:t>
      </w:r>
    </w:p>
    <w:p w14:paraId="0C6ABFFA" w14:textId="77777777" w:rsidR="00FE712E" w:rsidRPr="00327020" w:rsidRDefault="00FE712E">
      <w:pP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765393BD" w14:textId="77777777" w:rsidR="00FE712E" w:rsidRPr="00327020" w:rsidRDefault="00FE712E">
      <w:pP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7F57A328" w14:textId="77777777" w:rsidR="00FE712E" w:rsidRPr="00327020" w:rsidRDefault="00FE712E">
      <w:pP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601B2C24" w14:textId="5CDB39E1" w:rsidR="00FE712E" w:rsidRPr="00327020" w:rsidRDefault="006C3766">
      <w:pPr>
        <w:ind w:left="5760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  </w:t>
      </w:r>
      <w:r w:rsidR="00327020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Lisboa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, 2</w:t>
      </w:r>
      <w:r w:rsidR="006F595A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1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de abril</w:t>
      </w:r>
      <w:r w:rsidR="00327020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de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2021</w:t>
      </w:r>
    </w:p>
    <w:p w14:paraId="0D794F9A" w14:textId="77777777" w:rsidR="00FE712E" w:rsidRPr="00327020" w:rsidRDefault="00FE712E">
      <w:pPr>
        <w:jc w:val="center"/>
        <w:rPr>
          <w:rFonts w:ascii="Michelin Unit Text 1" w:eastAsia="Michelin Unit Text 1" w:hAnsi="Michelin Unit Text 1" w:cs="Michelin Unit Text 1"/>
          <w:lang w:val="pt-PT"/>
        </w:rPr>
      </w:pPr>
    </w:p>
    <w:p w14:paraId="01EF775A" w14:textId="77777777" w:rsidR="00FE712E" w:rsidRPr="00327020" w:rsidRDefault="00FE712E">
      <w:pPr>
        <w:jc w:val="center"/>
        <w:rPr>
          <w:rFonts w:ascii="Michelin Unit Text 1" w:eastAsia="Michelin Unit Text 1" w:hAnsi="Michelin Unit Text 1" w:cs="Michelin Unit Text 1"/>
          <w:b/>
          <w:sz w:val="26"/>
          <w:szCs w:val="26"/>
          <w:lang w:val="pt-PT"/>
        </w:rPr>
      </w:pPr>
    </w:p>
    <w:p w14:paraId="5AC27835" w14:textId="67628116" w:rsidR="00FE712E" w:rsidRPr="00327020" w:rsidRDefault="006C3766">
      <w:pPr>
        <w:jc w:val="center"/>
        <w:rPr>
          <w:rFonts w:ascii="Michelin Unit Text 1" w:eastAsia="Michelin Unit Text 1" w:hAnsi="Michelin Unit Text 1" w:cs="Michelin Unit Text 1"/>
          <w:b/>
          <w:sz w:val="22"/>
          <w:szCs w:val="22"/>
          <w:lang w:val="pt-PT"/>
        </w:rPr>
      </w:pPr>
      <w:r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Michelin </w:t>
      </w:r>
      <w:r w:rsidR="00327020"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 </w:t>
      </w:r>
      <w:proofErr w:type="spellStart"/>
      <w:r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>Velca</w:t>
      </w:r>
      <w:proofErr w:type="spellEnd"/>
      <w:r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 al</w:t>
      </w:r>
      <w:r w:rsidR="00327020"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iam-se </w:t>
      </w:r>
      <w:r w:rsid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em prol da </w:t>
      </w:r>
      <w:r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>s</w:t>
      </w:r>
      <w:r w:rsidR="00327020"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ustentabilidade e </w:t>
      </w:r>
      <w:r w:rsid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 xml:space="preserve">da </w:t>
      </w:r>
      <w:r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>segur</w:t>
      </w:r>
      <w:r w:rsidR="00327020" w:rsidRPr="00327020">
        <w:rPr>
          <w:rFonts w:ascii="Michelin Unit Text 1" w:eastAsia="Michelin Unit Text 1" w:hAnsi="Michelin Unit Text 1" w:cs="Michelin Unit Text 1"/>
          <w:b/>
          <w:sz w:val="28"/>
          <w:szCs w:val="28"/>
          <w:lang w:val="pt-PT"/>
        </w:rPr>
        <w:t>ança</w:t>
      </w:r>
    </w:p>
    <w:p w14:paraId="718A7227" w14:textId="77777777" w:rsidR="00FE712E" w:rsidRPr="00327020" w:rsidRDefault="00FE712E">
      <w:pPr>
        <w:rPr>
          <w:rFonts w:ascii="Michelin Unit Text 1" w:eastAsia="Michelin Unit Text 1" w:hAnsi="Michelin Unit Text 1" w:cs="Michelin Unit Text 1"/>
          <w:b/>
          <w:sz w:val="22"/>
          <w:szCs w:val="22"/>
          <w:lang w:val="pt-PT"/>
        </w:rPr>
      </w:pPr>
    </w:p>
    <w:p w14:paraId="674A3E66" w14:textId="4E5FE428" w:rsidR="00FE712E" w:rsidRPr="00327020" w:rsidRDefault="00327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</w:pP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A </w:t>
      </w:r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marca espa</w:t>
      </w: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nh</w:t>
      </w:r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ola de motos elétricas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Velca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 </w:t>
      </w: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será </w:t>
      </w:r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equipa</w:t>
      </w: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da com p</w:t>
      </w:r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neu</w:t>
      </w: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s </w:t>
      </w:r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MICHELIN, </w:t>
      </w: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fornecidos pela </w:t>
      </w:r>
      <w:r w:rsidR="006C3766"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Neumáticos Andrés </w:t>
      </w:r>
    </w:p>
    <w:p w14:paraId="2648AF31" w14:textId="48FF1557" w:rsidR="00FE712E" w:rsidRPr="00327020" w:rsidRDefault="006C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helin Unit Text 1" w:eastAsia="Michelin Unit Text 1" w:hAnsi="Michelin Unit Text 1" w:cs="Michelin Unit Text 1"/>
          <w:b/>
          <w:color w:val="000000"/>
          <w:sz w:val="22"/>
          <w:szCs w:val="22"/>
          <w:lang w:val="pt-PT"/>
        </w:rPr>
      </w:pP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MICHELIN </w:t>
      </w:r>
      <w:proofErr w:type="spellStart"/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City</w:t>
      </w:r>
      <w:proofErr w:type="spellEnd"/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 </w:t>
      </w:r>
      <w:proofErr w:type="spellStart"/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Grip</w:t>
      </w:r>
      <w:proofErr w:type="spellEnd"/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 2 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é o 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prime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iro p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neu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 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polivalente para scooters especialmente des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envolvido 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para 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a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 mo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b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ilidad</w:t>
      </w:r>
      <w:r w:rsid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color w:val="000000"/>
          <w:sz w:val="20"/>
          <w:szCs w:val="20"/>
          <w:lang w:val="pt-PT"/>
        </w:rPr>
        <w:t xml:space="preserve"> nas grandes cidades </w:t>
      </w:r>
    </w:p>
    <w:p w14:paraId="4D75A000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3487F87E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5F54C11B" w14:textId="52177F53" w:rsidR="00FE712E" w:rsidRPr="00327020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Desde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 presente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ê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 de abril, todos os veículos d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proofErr w:type="spellStart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Velca</w:t>
      </w:r>
      <w:proofErr w:type="spellEnd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, a marca espa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nh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ola de motos elétricas que aspira a liderar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ranking de ciclomotores elétricos e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2021,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montam,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de s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é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rie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, p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neu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MICHELIN,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os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qu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ais serão fornecidos pela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Neumáticos Andrés, distribuidor líder e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Espa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nh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Portugal. </w:t>
      </w:r>
    </w:p>
    <w:p w14:paraId="5180FFA6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5CDC7126" w14:textId="1700321C" w:rsidR="00FE712E" w:rsidRPr="00327020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Dest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 modo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</w:t>
      </w:r>
      <w:proofErr w:type="spellStart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Velca</w:t>
      </w:r>
      <w:proofErr w:type="spellEnd"/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marca de motos 100% elétricas co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bater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i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as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extraí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veis, possíveis de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car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re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gar e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qualquer tomada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doméstic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alia-se à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Michelin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em prol de uma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mo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bi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lidad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mais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segura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 sustentável, num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momento e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que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importância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descongesti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onamento em ambiente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urbano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e o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distancia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mento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social, tornaram a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moto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numa das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formas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mais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inteligentes de mo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bilidade nas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grandes cidades.  </w:t>
      </w:r>
    </w:p>
    <w:p w14:paraId="0FEDA396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2AA970BC" w14:textId="3B28B6E4" w:rsidR="00FE712E" w:rsidRPr="00327020" w:rsidRDefault="00327020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Velca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in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tegrará o seu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proce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so produtivo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enquanto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equipamento de s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é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rie para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as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su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 scooters elétric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os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neu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MICHELIN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City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Grip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2.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Emilio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Froján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CEO d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proofErr w:type="spellStart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Velca</w:t>
      </w:r>
      <w:proofErr w:type="spellEnd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destacou, a este propósito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: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“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A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Michelin 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é, para nós, uma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marca que representa 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na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perfe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ição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valores como segur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ança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, experi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ê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ncia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e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confian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ça, os quais são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fundamenta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i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s 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na 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mo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b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ilidad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</w:t>
      </w:r>
      <w:r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em duas ro</w:t>
      </w:r>
      <w:r w:rsidR="006C3766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das”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.</w:t>
      </w:r>
    </w:p>
    <w:p w14:paraId="41569B76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3296DC6E" w14:textId="49A6F78D" w:rsidR="00FE712E" w:rsidRPr="00327020" w:rsidRDefault="00327020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MICHELIN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City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proofErr w:type="spellStart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Grip</w:t>
      </w:r>
      <w:proofErr w:type="spellEnd"/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2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é um p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neu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polivalente para scooters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,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que c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on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ta co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certifica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ção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M+S, p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lo que 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de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adapta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todas as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condições climatéricas e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todos os tipos de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superfícies passíveis de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encontrar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em ambiente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urbano,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 é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ade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q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uado para as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q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uatro esta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ções do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o.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O se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u inovador comp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o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sto de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borracha e o desenho d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 banda de ro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lamento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proporciona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uma aderência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em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precedentes e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 piso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mo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lh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ado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 sobre superfícies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deslizantes, s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em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renunciar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à duração e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mantendo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a sua performance até ao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último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qu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ilómetro, característica intrínseca dos 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neu</w:t>
      </w:r>
      <w:r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s </w:t>
      </w:r>
      <w:r w:rsidR="006C3766"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MICHELIN.  </w:t>
      </w:r>
    </w:p>
    <w:p w14:paraId="60932447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07E39A1A" w14:textId="07D5CE54" w:rsidR="00FE712E" w:rsidRPr="00327020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</w:pP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Pedro </w:t>
      </w:r>
      <w:proofErr w:type="spellStart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Álvarez</w:t>
      </w:r>
      <w:proofErr w:type="spellEnd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, Diretor de Ven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d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as 2 R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o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das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para a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Península Ibérica d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Michelin, 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afirma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: “</w:t>
      </w:r>
      <w:r w:rsid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É 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uma enorme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satisfa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ção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participar 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ao lado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da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Neumáticos Andrés nesta alian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ç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a co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 a </w:t>
      </w:r>
      <w:proofErr w:type="spellStart"/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Velca</w:t>
      </w:r>
      <w:proofErr w:type="spellEnd"/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, u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x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emplo de inova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ção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, d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o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‘</w:t>
      </w:r>
      <w:proofErr w:type="spellStart"/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Made</w:t>
      </w:r>
      <w:proofErr w:type="spellEnd"/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in </w:t>
      </w:r>
      <w:proofErr w:type="spellStart"/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Spain</w:t>
      </w:r>
      <w:proofErr w:type="spellEnd"/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’ 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de s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ustentabilidade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, valores que enca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ixam na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perfe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ição com o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compromi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s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so d</w:t>
      </w:r>
      <w:r w:rsid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a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Michelin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no sentido de uma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ob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ilidad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segura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e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respe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itadora do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meio ambiente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, no âmbito da nossa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estrat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é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gia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“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T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u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do S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ustentável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2050”.</w:t>
      </w:r>
    </w:p>
    <w:p w14:paraId="08F93CB8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</w:pPr>
    </w:p>
    <w:p w14:paraId="5C9B0AAD" w14:textId="1A59115B" w:rsidR="00FE712E" w:rsidRPr="00327020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</w:pPr>
      <w:bookmarkStart w:id="0" w:name="_heading=h.gjdgxs" w:colFirst="0" w:colLast="0"/>
      <w:bookmarkEnd w:id="0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Por s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u 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turno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, César Flores, Diretor de Produ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ção da </w:t>
      </w:r>
      <w:proofErr w:type="spellStart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Velca</w:t>
      </w:r>
      <w:proofErr w:type="spellEnd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, a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crescenta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: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“Incorporar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p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neu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s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Michelin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representa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apostar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em p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ne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us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co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 uma aderência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excecional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,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que se adapta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na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perfe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ição à orografia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das cidades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, e oferecem um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comportamento idílico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em q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ualquer condi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ção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meteorológica”.</w:t>
      </w:r>
    </w:p>
    <w:p w14:paraId="42F572A7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</w:pPr>
    </w:p>
    <w:p w14:paraId="5D3C4868" w14:textId="7D64EB44" w:rsidR="00FE712E" w:rsidRPr="00327020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color w:val="FF0000"/>
          <w:sz w:val="20"/>
          <w:szCs w:val="20"/>
          <w:lang w:val="pt-PT"/>
        </w:rPr>
      </w:pPr>
      <w:proofErr w:type="spellStart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Iván</w:t>
      </w:r>
      <w:proofErr w:type="spellEnd"/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Andrés, vice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-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presidente d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o 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Grupo Andrés, </w:t>
      </w:r>
      <w:r w:rsidR="00BA61A4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sublinha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>: “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Esta</w:t>
      </w:r>
      <w:r w:rsidRPr="00327020">
        <w:rPr>
          <w:rFonts w:ascii="Michelin Unit Text 1" w:eastAsia="Michelin Unit Text 1" w:hAnsi="Michelin Unit Text 1" w:cs="Michelin Unit Text 1"/>
          <w:sz w:val="20"/>
          <w:szCs w:val="20"/>
          <w:lang w:val="pt-PT"/>
        </w:rPr>
        <w:t xml:space="preserve"> a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lian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ç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a simboliza mu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ito bem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o que ho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je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busca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o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consumidor: marcas respons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áveis e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comprometidas, co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m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produtos de prime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i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ra l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inh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a.  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É um prazer contar com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est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s compa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nhei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ros de via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gem, e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camin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h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ar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mos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 junt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 xml:space="preserve">os rumo ao 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futuro da mo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b</w:t>
      </w:r>
      <w:r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ilidad</w:t>
      </w:r>
      <w:r w:rsidR="00BA61A4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e</w:t>
      </w:r>
      <w:r w:rsidR="006F595A" w:rsidRPr="00327020"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  <w:t>”.</w:t>
      </w:r>
    </w:p>
    <w:p w14:paraId="6CB2B284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</w:pPr>
    </w:p>
    <w:p w14:paraId="1E777202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  <w:lang w:val="pt-PT"/>
        </w:rPr>
      </w:pPr>
    </w:p>
    <w:p w14:paraId="675D7A89" w14:textId="77777777" w:rsidR="00FE712E" w:rsidRPr="00327020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lang w:val="pt-PT"/>
        </w:rPr>
      </w:pPr>
    </w:p>
    <w:p w14:paraId="3544AEFB" w14:textId="77777777" w:rsidR="00BA61A4" w:rsidRPr="00382346" w:rsidRDefault="00BA61A4" w:rsidP="00BA61A4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Clermont-Ferrand</w:t>
      </w:r>
      <w:proofErr w:type="spellEnd"/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382346">
          <w:rPr>
            <w:rStyle w:val="Hyperlink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26F9ABD3" w14:textId="77777777" w:rsidR="00BA61A4" w:rsidRPr="006F25F9" w:rsidRDefault="00BA61A4" w:rsidP="00BA61A4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534192EB" w14:textId="77777777" w:rsidR="00BA61A4" w:rsidRPr="006F25F9" w:rsidRDefault="00BA61A4" w:rsidP="00BA61A4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6F25F9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15AE3656" w14:textId="77777777" w:rsidR="00BA61A4" w:rsidRPr="006F25F9" w:rsidRDefault="00BA61A4" w:rsidP="00BA61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7674979" w14:textId="77777777" w:rsidR="00BA61A4" w:rsidRPr="006F25F9" w:rsidRDefault="00BA61A4" w:rsidP="00BA61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307A84B2" w14:textId="77777777" w:rsidR="00BA61A4" w:rsidRPr="006F25F9" w:rsidRDefault="00BA61A4" w:rsidP="00BA61A4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67415D0E" w14:textId="77777777" w:rsidR="00BA61A4" w:rsidRPr="006F25F9" w:rsidRDefault="00BA61A4" w:rsidP="00BA61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19BCB5C" w14:textId="77777777" w:rsidR="00BA61A4" w:rsidRPr="006F25F9" w:rsidRDefault="00BA61A4" w:rsidP="00BA61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0D56A20" w14:textId="77777777" w:rsidR="00BA61A4" w:rsidRPr="006F25F9" w:rsidRDefault="00BA61A4" w:rsidP="00BA61A4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7655486E" w14:textId="77777777" w:rsidR="00BA61A4" w:rsidRPr="006F25F9" w:rsidRDefault="00BA61A4" w:rsidP="00BA61A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40C89900" w14:textId="77777777" w:rsidR="00BA61A4" w:rsidRPr="006F25F9" w:rsidRDefault="00BA61A4" w:rsidP="00BA61A4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6AA26459" w14:textId="77777777" w:rsidR="00BA61A4" w:rsidRPr="006F25F9" w:rsidRDefault="00BA61A4" w:rsidP="00BA61A4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72F091E1" w14:textId="77777777" w:rsidR="00BA61A4" w:rsidRPr="006F25F9" w:rsidRDefault="00BA61A4" w:rsidP="00BA61A4">
      <w:pPr>
        <w:jc w:val="center"/>
        <w:rPr>
          <w:rFonts w:ascii="Michelin Unit Text 1" w:hAnsi="Michelin Unit Text 1" w:cs="Arial"/>
          <w:lang w:val="pt-PT"/>
        </w:rPr>
      </w:pPr>
      <w:r w:rsidRPr="006F25F9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130F78DA" wp14:editId="539C0941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61A4" w:rsidRPr="006F25F9" w14:paraId="736A817C" w14:textId="77777777" w:rsidTr="00A82AB9">
        <w:tc>
          <w:tcPr>
            <w:tcW w:w="9016" w:type="dxa"/>
          </w:tcPr>
          <w:p w14:paraId="121965FE" w14:textId="77777777" w:rsidR="00BA61A4" w:rsidRPr="006F25F9" w:rsidRDefault="00BA61A4" w:rsidP="00A82AB9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1" w:history="1">
              <w:r w:rsidRPr="006F25F9">
                <w:rPr>
                  <w:rStyle w:val="Hyperlink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BA61A4" w:rsidRPr="006F25F9" w14:paraId="229E490A" w14:textId="77777777" w:rsidTr="00A82AB9">
        <w:tc>
          <w:tcPr>
            <w:tcW w:w="9016" w:type="dxa"/>
          </w:tcPr>
          <w:p w14:paraId="57F6656F" w14:textId="77777777" w:rsidR="00BA61A4" w:rsidRPr="006F25F9" w:rsidRDefault="00BA61A4" w:rsidP="00A82AB9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6F25F9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241BD616" wp14:editId="5AF0CACE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25F9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2D64C5D2" w14:textId="77777777" w:rsidR="00BA61A4" w:rsidRPr="006F25F9" w:rsidRDefault="00BA61A4" w:rsidP="00BA61A4">
      <w:pPr>
        <w:jc w:val="center"/>
        <w:rPr>
          <w:rFonts w:ascii="Michelin Unit Text 1" w:hAnsi="Michelin Unit Text 1" w:cs="Arial"/>
          <w:lang w:val="pt-PT"/>
        </w:rPr>
      </w:pPr>
    </w:p>
    <w:p w14:paraId="0E05E42E" w14:textId="77777777" w:rsidR="00BA61A4" w:rsidRPr="00BE269E" w:rsidRDefault="00BA61A4" w:rsidP="00BA61A4">
      <w:pPr>
        <w:jc w:val="both"/>
        <w:rPr>
          <w:rFonts w:ascii="Michelin Unit Text 1" w:hAnsi="Michelin Unit Text 1"/>
          <w:lang w:val="es-ES"/>
        </w:rPr>
      </w:pPr>
      <w:r w:rsidRPr="006F25F9">
        <w:rPr>
          <w:rFonts w:ascii="Michelin Unit Text 1" w:hAnsi="Michelin Unit Text 1" w:cs="Arial"/>
          <w:lang w:val="pt-PT"/>
        </w:rPr>
        <w:t xml:space="preserve">Avenida de los </w:t>
      </w:r>
      <w:proofErr w:type="spellStart"/>
      <w:r w:rsidRPr="006F25F9">
        <w:rPr>
          <w:rFonts w:ascii="Michelin Unit Text 1" w:hAnsi="Michelin Unit Text 1" w:cs="Arial"/>
          <w:lang w:val="pt-PT"/>
        </w:rPr>
        <w:t>Encuartes</w:t>
      </w:r>
      <w:proofErr w:type="spellEnd"/>
      <w:r w:rsidRPr="006F25F9">
        <w:rPr>
          <w:rFonts w:ascii="Michelin Unit Text 1" w:hAnsi="Michelin Unit Text 1" w:cs="Arial"/>
          <w:lang w:val="pt-PT"/>
        </w:rPr>
        <w:t xml:space="preserve">, 19 – 28760 </w:t>
      </w:r>
      <w:proofErr w:type="spellStart"/>
      <w:r w:rsidRPr="006F25F9">
        <w:rPr>
          <w:rFonts w:ascii="Michelin Unit Text 1" w:hAnsi="Michelin Unit Text 1" w:cs="Arial"/>
          <w:lang w:val="pt-PT"/>
        </w:rPr>
        <w:t>Tres</w:t>
      </w:r>
      <w:proofErr w:type="spellEnd"/>
      <w:r w:rsidRPr="006F25F9">
        <w:rPr>
          <w:rFonts w:ascii="Michelin Unit Text 1" w:hAnsi="Michelin Unit Text 1" w:cs="Arial"/>
          <w:lang w:val="pt-PT"/>
        </w:rPr>
        <w:t xml:space="preserve"> Cantos – Madrid. ESPANHA</w:t>
      </w:r>
    </w:p>
    <w:p w14:paraId="245D39BC" w14:textId="6E25A555" w:rsidR="00FE712E" w:rsidRPr="00327020" w:rsidRDefault="00FE712E" w:rsidP="00BA61A4">
      <w:pPr>
        <w:jc w:val="both"/>
        <w:rPr>
          <w:rFonts w:ascii="Michelin Unit Text 1" w:eastAsia="Michelin Unit Text 1" w:hAnsi="Michelin Unit Text 1" w:cs="Michelin Unit Text 1"/>
          <w:lang w:val="pt-PT"/>
        </w:rPr>
      </w:pPr>
    </w:p>
    <w:sectPr w:rsidR="00FE712E" w:rsidRPr="00327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70" w:right="1440" w:bottom="1106" w:left="1440" w:header="204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AF75" w14:textId="77777777" w:rsidR="000B07F6" w:rsidRDefault="000B07F6">
      <w:r>
        <w:separator/>
      </w:r>
    </w:p>
  </w:endnote>
  <w:endnote w:type="continuationSeparator" w:id="0">
    <w:p w14:paraId="0B028000" w14:textId="77777777" w:rsidR="000B07F6" w:rsidRDefault="000B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helin Unit Text 1">
    <w:altName w:val="Calibri"/>
    <w:panose1 w:val="020B0604020202020204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A476" w14:textId="77777777" w:rsidR="00BA61A4" w:rsidRDefault="00BA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4AC0" w14:textId="77777777" w:rsidR="00FE712E" w:rsidRDefault="00FE712E">
    <w:pPr>
      <w:jc w:val="both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3717" w14:textId="77777777" w:rsidR="00FE712E" w:rsidRDefault="00FE712E">
    <w:pPr>
      <w:jc w:val="both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A17A" w14:textId="77777777" w:rsidR="000B07F6" w:rsidRDefault="000B07F6">
      <w:r>
        <w:separator/>
      </w:r>
    </w:p>
  </w:footnote>
  <w:footnote w:type="continuationSeparator" w:id="0">
    <w:p w14:paraId="4592EB2C" w14:textId="77777777" w:rsidR="000B07F6" w:rsidRDefault="000B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055A" w14:textId="77777777" w:rsidR="00BA61A4" w:rsidRDefault="00BA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AE24" w14:textId="77777777" w:rsidR="00FE712E" w:rsidRDefault="006C37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center"/>
      <w:rPr>
        <w:rFonts w:ascii="Michelin Unit Titling" w:eastAsia="Michelin Unit Titling" w:hAnsi="Michelin Unit Titling" w:cs="Michelin Unit Titling"/>
        <w:color w:val="4040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4FAA07" wp14:editId="153A83BF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39C54" w14:textId="05A3004A" w:rsidR="00FE712E" w:rsidRDefault="00FE71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center"/>
      <w:rPr>
        <w:rFonts w:ascii="Michelin Unit Titling" w:eastAsia="Michelin Unit Titling" w:hAnsi="Michelin Unit Titling" w:cs="Michelin Unit Titling"/>
        <w:color w:val="4040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1723" w14:textId="77777777" w:rsidR="00BA61A4" w:rsidRDefault="00BA61A4" w:rsidP="00BA61A4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A183BD" wp14:editId="6147C466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1095FF" w14:textId="77777777" w:rsidR="00BA61A4" w:rsidRPr="006F25F9" w:rsidRDefault="00BA61A4" w:rsidP="00BA61A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1572005" w14:textId="77777777" w:rsidR="00BA61A4" w:rsidRPr="00BE269E" w:rsidRDefault="00BA61A4" w:rsidP="00BA61A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183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321095FF" w14:textId="77777777" w:rsidR="00BA61A4" w:rsidRPr="006F25F9" w:rsidRDefault="00BA61A4" w:rsidP="00BA61A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1572005" w14:textId="77777777" w:rsidR="00BA61A4" w:rsidRPr="00BE269E" w:rsidRDefault="00BA61A4" w:rsidP="00BA61A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1946559F" wp14:editId="3A4F8310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3CF89" wp14:editId="6B1D82A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742520" w14:textId="77777777" w:rsidR="00BA61A4" w:rsidRPr="00AC0E74" w:rsidRDefault="00BA61A4" w:rsidP="00BA61A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3CF89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46742520" w14:textId="77777777" w:rsidR="00BA61A4" w:rsidRPr="00AC0E74" w:rsidRDefault="00BA61A4" w:rsidP="00BA61A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6291561" wp14:editId="512621C0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823DA" w14:textId="7963E446" w:rsidR="00FE712E" w:rsidRPr="00BA61A4" w:rsidRDefault="00FE712E" w:rsidP="00BA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0F00"/>
    <w:multiLevelType w:val="multilevel"/>
    <w:tmpl w:val="3F121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E"/>
    <w:rsid w:val="000B07F6"/>
    <w:rsid w:val="00327020"/>
    <w:rsid w:val="006C3766"/>
    <w:rsid w:val="006F595A"/>
    <w:rsid w:val="00BA61A4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EAB03"/>
  <w15:docId w15:val="{D0FBA6CF-38BD-0C49-9E60-7A13AE80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i_kl7q6gpk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M9yr2dqSvAIn3mIZRfYObXppQ==">AMUW2mVBbvkiSz0VV8e1Ur0FzSO3ckpSY5eHRa7ZAoN2RuIkb41aGhWbucAToI0UIbfqEwZ+D95PJ/rG/eqJah9sAS88ZaO537H895C4vCTy3LlJ+ta6A5u9jw2SjVbMYUjaO8kWlf04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António Pereira</cp:lastModifiedBy>
  <cp:revision>2</cp:revision>
  <dcterms:created xsi:type="dcterms:W3CDTF">2021-04-19T17:37:00Z</dcterms:created>
  <dcterms:modified xsi:type="dcterms:W3CDTF">2021-04-19T17:37:00Z</dcterms:modified>
</cp:coreProperties>
</file>