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7E2021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7E2021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7E2021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7E2021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2F46475E" w14:textId="77777777" w:rsidR="00B36FEE" w:rsidRPr="007E2021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4DBC59E" w14:textId="77777777" w:rsidR="00B36FEE" w:rsidRPr="007E2021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62CD8697" w14:textId="77777777" w:rsidR="00B36FEE" w:rsidRPr="007E2021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B64915" w:rsidRDefault="00B36FEE" w:rsidP="00395651">
      <w:pPr>
        <w:rPr>
          <w:rFonts w:ascii="Michelin Unit Text" w:hAnsi="Michelin Unit Text"/>
          <w:sz w:val="20"/>
          <w:szCs w:val="20"/>
          <w:lang w:val="pt-PT"/>
        </w:rPr>
      </w:pPr>
    </w:p>
    <w:p w14:paraId="139D66BB" w14:textId="7505B440" w:rsidR="006D398C" w:rsidRPr="00B64915" w:rsidRDefault="00B36FEE" w:rsidP="00B36FEE">
      <w:pPr>
        <w:ind w:left="5760"/>
        <w:rPr>
          <w:rFonts w:ascii="Michelin Unit Text" w:hAnsi="Michelin Unit Text"/>
          <w:sz w:val="20"/>
          <w:szCs w:val="20"/>
          <w:lang w:val="pt-PT"/>
        </w:rPr>
      </w:pPr>
      <w:r w:rsidRPr="00B64915">
        <w:rPr>
          <w:rFonts w:ascii="Michelin Unit Text" w:hAnsi="Michelin Unit Text"/>
          <w:sz w:val="20"/>
          <w:szCs w:val="20"/>
          <w:lang w:val="pt-PT"/>
        </w:rPr>
        <w:t xml:space="preserve">   </w:t>
      </w:r>
      <w:r w:rsidR="004F2F53" w:rsidRPr="00B64915">
        <w:rPr>
          <w:rFonts w:ascii="Michelin Unit Text" w:hAnsi="Michelin Unit Text"/>
          <w:sz w:val="20"/>
          <w:szCs w:val="20"/>
          <w:lang w:val="pt-PT"/>
        </w:rPr>
        <w:t>Lisboa</w:t>
      </w:r>
      <w:r w:rsidR="00BE269E" w:rsidRPr="00B64915">
        <w:rPr>
          <w:rFonts w:ascii="Michelin Unit Text" w:hAnsi="Michelin Unit Text"/>
          <w:sz w:val="20"/>
          <w:szCs w:val="20"/>
          <w:lang w:val="pt-PT"/>
        </w:rPr>
        <w:t xml:space="preserve">, </w:t>
      </w:r>
      <w:r w:rsidR="00B64915" w:rsidRPr="00B64915">
        <w:rPr>
          <w:rFonts w:ascii="Michelin Unit Text" w:hAnsi="Michelin Unit Text"/>
          <w:sz w:val="20"/>
          <w:szCs w:val="20"/>
          <w:lang w:val="pt-PT"/>
        </w:rPr>
        <w:t>29</w:t>
      </w:r>
      <w:r w:rsidR="00BE269E" w:rsidRPr="00B64915">
        <w:rPr>
          <w:rFonts w:ascii="Michelin Unit Text" w:hAnsi="Michelin Unit Text"/>
          <w:sz w:val="20"/>
          <w:szCs w:val="20"/>
          <w:lang w:val="pt-PT"/>
        </w:rPr>
        <w:t xml:space="preserve"> de </w:t>
      </w:r>
      <w:r w:rsidR="007E2021" w:rsidRPr="00B64915">
        <w:rPr>
          <w:rFonts w:ascii="Michelin Unit Text" w:hAnsi="Michelin Unit Text"/>
          <w:sz w:val="20"/>
          <w:szCs w:val="20"/>
          <w:lang w:val="pt-PT"/>
        </w:rPr>
        <w:t>abril</w:t>
      </w:r>
      <w:r w:rsidR="006D398C" w:rsidRPr="00B64915">
        <w:rPr>
          <w:rFonts w:ascii="Michelin Unit Text" w:hAnsi="Michelin Unit Text"/>
          <w:sz w:val="20"/>
          <w:szCs w:val="20"/>
          <w:lang w:val="pt-PT"/>
        </w:rPr>
        <w:t>, 2021</w:t>
      </w:r>
    </w:p>
    <w:sdt>
      <w:sdtPr>
        <w:rPr>
          <w:rFonts w:ascii="Michelin Unit Text" w:hAnsi="Michelin Unit Text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64915" w:rsidRDefault="006D398C" w:rsidP="006D398C">
          <w:pPr>
            <w:jc w:val="center"/>
            <w:rPr>
              <w:rFonts w:ascii="Michelin Unit Text" w:hAnsi="Michelin Unit Text"/>
              <w:lang w:val="pt-PT"/>
            </w:rPr>
          </w:pPr>
        </w:p>
        <w:p w14:paraId="5B402CDD" w14:textId="77777777" w:rsidR="008F5893" w:rsidRPr="00B64915" w:rsidRDefault="008F5893" w:rsidP="006D398C">
          <w:pPr>
            <w:jc w:val="center"/>
            <w:rPr>
              <w:rFonts w:ascii="Michelin Unit Text" w:hAnsi="Michelin Unit Text"/>
              <w:b/>
              <w:sz w:val="26"/>
              <w:lang w:val="pt-PT"/>
            </w:rPr>
          </w:pPr>
        </w:p>
        <w:p w14:paraId="7AE154A9" w14:textId="6F12A63B" w:rsidR="007E2021" w:rsidRPr="00B64915" w:rsidRDefault="007E2021" w:rsidP="007E2021">
          <w:pPr>
            <w:jc w:val="center"/>
            <w:rPr>
              <w:rFonts w:ascii="Michelin Unit Text" w:hAnsi="Michelin Unit Text"/>
              <w:b/>
              <w:sz w:val="28"/>
              <w:szCs w:val="28"/>
              <w:lang w:val="pt-PT"/>
            </w:rPr>
          </w:pPr>
          <w:r w:rsidRPr="00B64915">
            <w:rPr>
              <w:rFonts w:ascii="Michelin Unit Text" w:hAnsi="Michelin Unit Text"/>
              <w:b/>
              <w:sz w:val="28"/>
              <w:szCs w:val="28"/>
              <w:lang w:val="pt-PT"/>
            </w:rPr>
            <w:t>CTT e Michelin assinam parceria para contribuir para transporte sustentável</w:t>
          </w:r>
        </w:p>
        <w:p w14:paraId="5614BB42" w14:textId="77777777" w:rsidR="006D398C" w:rsidRPr="00B64915" w:rsidRDefault="006D398C" w:rsidP="006D398C">
          <w:pPr>
            <w:jc w:val="center"/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B64915" w:rsidRDefault="006D398C" w:rsidP="006D398C">
          <w:pPr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</w:pPr>
        </w:p>
        <w:p w14:paraId="058AA6AE" w14:textId="16D5BB46" w:rsidR="00BE269E" w:rsidRPr="00B64915" w:rsidRDefault="007E2021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pt-PT"/>
            </w:rPr>
          </w:pPr>
          <w:r w:rsidRPr="00B64915">
            <w:rPr>
              <w:rFonts w:ascii="Michelin Unit Text" w:eastAsia="Calibri" w:hAnsi="Michelin Unit Text" w:cstheme="minorHAnsi"/>
              <w:lang w:val="pt-PT" w:eastAsia="en-US"/>
            </w:rPr>
            <w:t>Acordo garante gestão profissional da manutenção dos pneus da frota de pesados e ligeiros de mercadorias dos CTT, para um transporte mais sustentável</w:t>
          </w:r>
        </w:p>
        <w:p w14:paraId="3C065D45" w14:textId="5A8016BE" w:rsidR="006D398C" w:rsidRPr="00B64915" w:rsidRDefault="007E2021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pt-PT"/>
            </w:rPr>
          </w:pPr>
          <w:r w:rsidRPr="00B64915">
            <w:rPr>
              <w:rFonts w:ascii="Michelin Unit Text" w:eastAsia="Calibri" w:hAnsi="Michelin Unit Text" w:cstheme="minorHAnsi"/>
              <w:lang w:val="pt-PT" w:eastAsia="en-US"/>
            </w:rPr>
            <w:t>Michelin detém larga experiência na gestão e otimização da vida dos pneus, através de inspeções preventivas e de operações de manutenção bem definidas</w:t>
          </w:r>
        </w:p>
        <w:p w14:paraId="380422CF" w14:textId="5E0CA439" w:rsidR="006D398C" w:rsidRPr="00B64915" w:rsidRDefault="007E2021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Theme="majorEastAsia" w:hAnsi="Michelin Unit Text" w:cstheme="minorHAnsi"/>
              <w:lang w:val="pt-PT"/>
            </w:rPr>
          </w:pPr>
          <w:r w:rsidRPr="00B64915">
            <w:rPr>
              <w:rFonts w:ascii="Michelin Unit Text" w:eastAsia="Calibri" w:hAnsi="Michelin Unit Text" w:cstheme="minorHAnsi"/>
              <w:lang w:val="pt-PT" w:eastAsia="en-US"/>
            </w:rPr>
            <w:t>Assegurar total mobilidade da frota, onde quer que o veículo se encontre, a qualquer momento, é um dos objetivos da parceria</w:t>
          </w:r>
        </w:p>
        <w:p w14:paraId="6523D75B" w14:textId="551B34C4" w:rsidR="007E2021" w:rsidRPr="00B64915" w:rsidRDefault="007E2021" w:rsidP="007E2021">
          <w:pPr>
            <w:shd w:val="clear" w:color="auto" w:fill="FFFFFF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eastAsia="Times New Roman" w:hAnsi="Michelin Unit Text" w:cs="Arial"/>
              <w:color w:val="222222"/>
              <w:lang w:val="pt-PT" w:eastAsia="es-ES_tradnl"/>
            </w:rPr>
            <w:br/>
          </w:r>
        </w:p>
        <w:p w14:paraId="4FCE1DDF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>Os CTT – Correios de Portugal e a Michelin assinaram um acordo de colaboração para a gestão da manutenção dos pneus da sua frota de pesados e ligeiros de mercadorias de frota própria, numa iniciativa que visa contribuir para um transporte mais sustentável.</w:t>
          </w:r>
        </w:p>
        <w:p w14:paraId="315CCB14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FE79AA7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>As ambições das duas empresas em matéria de Sustentabilidade e Segurança contribuíram fortemente para a concretização deste acordo, uma vez que ambas têm vindo a desenvolver projetos específicos nestas áreas e a implementar medidas concretas que visam a redução de emissões de CO2 em vários planos, mas sobretudo em busca de um Transporte Sustentável.</w:t>
          </w:r>
        </w:p>
        <w:p w14:paraId="0324D116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3675F95B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>Este acordo visa a implementação de uma gestão profissional de serviços de gestão e manutenção dos pneus desta frota dos CTT, que garantirão uma maior duração dos mesmos e que resultarão num menor consumo tanto de pneus, como de combustível, reforçando ainda a segurança das pessoas e das cargas.</w:t>
          </w:r>
        </w:p>
        <w:p w14:paraId="66EBF306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04D70B4B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>A Michelin tem uma longa experiência na gestão e otimização da vida dos pneus, através de inspeções preventivas e de operações de manutenção bem definidas que já demonstraram ser o caminho para assegurar a segurança associada ao elo entre veículo e estrada e a redução de custos nas empresas que trabalham com esta marca.</w:t>
          </w:r>
        </w:p>
        <w:p w14:paraId="48D8F51E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6405491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Em causa está, por exemplo, a manutenção preventiva, em que todas as operações de manutenção dos pneus dos veículos pesados CTT são realizadas por uma série de centros de serviço que compõem a rede da Michelin. Estas operações de manutenção incluem inspeções de carácter preventivo realizadas periodicamente aos pneus de cada veículo e que têm como principal objetivo a verificação do desgaste, a pressão e o estado geral dos mesmos. A informação detalhada de cada veículo da frota permitirá que, em cada momento, os CTT terem acesso aos indicadores operacionais dos pneus como data de intervenção, altura de borracha, pressão e serviços efetuados. </w:t>
          </w:r>
        </w:p>
        <w:p w14:paraId="2CF92242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6CA400CF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Ainda a nível de manutenção, é vital assegurar a total mobilidade da frota dos CTT, onde quer que o veículo se encontre, a qualquer momento. Com o recurso à rede de assistência em </w:t>
          </w: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lastRenderedPageBreak/>
            <w:t xml:space="preserve">estrada ON CALL da Michelin, minimizam-se os as imobilizações dos veículos em caso de incidente. </w:t>
          </w:r>
        </w:p>
        <w:p w14:paraId="6AC0064C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63BE909C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>A utilização de pneus recauchutados é outra das apostas dos CTT na sua corrida por um Planeta mais verde. Ao prolongar a vida do pneu (2ª vida), a recauchutagem da Michelin reduz o número de pneus novos utilizados, enquanto em cada recauchutagem são preservados 50 kg de matérias-primas. A adição de material necessário é apenas 20 kg em média, menos 70% comparativamente às matérias-primas necessárias para fabricar um pneu novo.</w:t>
          </w:r>
        </w:p>
        <w:p w14:paraId="20BEAC4E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DE4FAEF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>Os CTT estimam que o benefício anual na redução de emissões de CO2 resultante do acordo com a Michelin atinja as 100 toneladas, que equivalem, por exemplo a cerca de 1 milhão de km percorridos num veículo automóvel ligeiro que circule em Portugal, ou a 3200 viagens entre Lisboa e Madrid, também num veículo ligeiro.</w:t>
          </w:r>
        </w:p>
        <w:p w14:paraId="647B916B" w14:textId="77777777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7386939B" w14:textId="01A6CBA0" w:rsidR="007E2021" w:rsidRPr="00B64915" w:rsidRDefault="007E2021" w:rsidP="007E202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>Possuindo uma das maiores e mais modernas frotas das empresas</w:t>
          </w:r>
          <w:r w:rsidR="009531CE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nacionais, os CTT contam com 3</w:t>
          </w:r>
          <w:bookmarkStart w:id="0" w:name="_GoBack"/>
          <w:bookmarkEnd w:id="0"/>
          <w:r w:rsidRPr="00B64915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851 veículos em regime de exploração direta, contratando ainda serviços de transporte a terceiros. A frota CTT integra 335 veículos menos poluentes, maioritariamente elétricos, que correspondem atualmente a 9% da frota global dos CTT. </w:t>
          </w:r>
        </w:p>
        <w:p w14:paraId="2AD89B6F" w14:textId="77777777" w:rsidR="007E2021" w:rsidRPr="00B64915" w:rsidRDefault="007E2021" w:rsidP="003C3FC0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648342B4" w14:textId="77777777" w:rsidR="003C3FC0" w:rsidRPr="00B64915" w:rsidRDefault="00DF2EE7" w:rsidP="003C3FC0">
          <w:pPr>
            <w:spacing w:line="276" w:lineRule="auto"/>
            <w:jc w:val="both"/>
            <w:rPr>
              <w:rFonts w:ascii="Michelin Unit Text" w:hAnsi="Michelin Unit Text"/>
              <w:lang w:val="pt-PT"/>
            </w:rPr>
          </w:pPr>
        </w:p>
      </w:sdtContent>
    </w:sdt>
    <w:p w14:paraId="368F4977" w14:textId="7F426B82" w:rsidR="007E2021" w:rsidRPr="00B64915" w:rsidRDefault="007E2021" w:rsidP="007E2021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</w:pPr>
      <w:r w:rsidRPr="00B64915"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  <w:t>Sobre os CTT:</w:t>
      </w:r>
    </w:p>
    <w:p w14:paraId="1818F949" w14:textId="77777777" w:rsidR="007E2021" w:rsidRPr="00B64915" w:rsidRDefault="007E2021" w:rsidP="007E2021">
      <w:pPr>
        <w:jc w:val="both"/>
        <w:rPr>
          <w:rFonts w:ascii="Michelin Unit Text" w:hAnsi="Michelin Unit Text" w:cs="Arial"/>
          <w:iCs/>
          <w:sz w:val="16"/>
          <w:szCs w:val="16"/>
          <w:lang w:val="pt-PT"/>
        </w:rPr>
      </w:pPr>
      <w:r w:rsidRPr="00B64915">
        <w:rPr>
          <w:rFonts w:ascii="Michelin Unit Text" w:hAnsi="Michelin Unit Text" w:cs="Arial"/>
          <w:iCs/>
          <w:sz w:val="16"/>
          <w:szCs w:val="16"/>
          <w:lang w:val="pt-PT"/>
        </w:rPr>
        <w:t xml:space="preserve">Os CTT empregavam, em dezembro de 2020, 12.234 pessoas, das quais 11.671 em Portugal, país onde opera com 2.384 Pontos CTT e cerca de 5.000 agentes Payshop. Em 2020 os CTT obtiveram rendimentos operacionais de 745,2 M€, um EBITDA de 90,5 M€ e um resultado líquido de 16,7 M€. Nesse mesmo ano, os CTT transportaram 516,9 milhões de objetos de correio endereçado, 25,9 milhões de encomendas expresso em Portugal e 24,9 milhões em Espanha. </w:t>
      </w:r>
    </w:p>
    <w:p w14:paraId="49CB13DF" w14:textId="77777777" w:rsidR="007E2021" w:rsidRPr="00B64915" w:rsidRDefault="007E2021" w:rsidP="004F2F53">
      <w:pPr>
        <w:jc w:val="both"/>
        <w:rPr>
          <w:rFonts w:ascii="Michelin Unit Text" w:hAnsi="Michelin Unit Text" w:cs="Arial"/>
          <w:iCs/>
          <w:sz w:val="16"/>
          <w:szCs w:val="16"/>
          <w:lang w:val="pt-PT"/>
        </w:rPr>
      </w:pPr>
    </w:p>
    <w:p w14:paraId="6290273F" w14:textId="77777777" w:rsidR="007E2021" w:rsidRPr="00B64915" w:rsidRDefault="007E2021" w:rsidP="004F2F53">
      <w:pPr>
        <w:jc w:val="both"/>
        <w:rPr>
          <w:rFonts w:ascii="Michelin Unit Text" w:hAnsi="Michelin Unit Text" w:cs="Arial"/>
          <w:iCs/>
          <w:sz w:val="16"/>
          <w:szCs w:val="16"/>
          <w:lang w:val="pt-PT"/>
        </w:rPr>
      </w:pPr>
    </w:p>
    <w:p w14:paraId="2CC0D504" w14:textId="77777777" w:rsidR="007E2021" w:rsidRPr="00B64915" w:rsidRDefault="007E2021" w:rsidP="004F2F53">
      <w:pPr>
        <w:jc w:val="both"/>
        <w:rPr>
          <w:rFonts w:ascii="Michelin Unit Text" w:hAnsi="Michelin Unit Text" w:cs="Arial"/>
          <w:iCs/>
          <w:sz w:val="16"/>
          <w:szCs w:val="16"/>
          <w:lang w:val="pt-PT"/>
        </w:rPr>
      </w:pPr>
    </w:p>
    <w:p w14:paraId="580BA60F" w14:textId="4D99BAEF" w:rsidR="007E2021" w:rsidRPr="00B64915" w:rsidRDefault="007E2021" w:rsidP="004F2F53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</w:pPr>
      <w:r w:rsidRPr="00B64915">
        <w:rPr>
          <w:rFonts w:ascii="Michelin Unit Text" w:hAnsi="Michelin Unit Text" w:cs="Arial"/>
          <w:b/>
          <w:bCs/>
          <w:iCs/>
          <w:sz w:val="16"/>
          <w:szCs w:val="16"/>
          <w:lang w:val="pt-PT"/>
        </w:rPr>
        <w:t>Sobre Michelin:</w:t>
      </w:r>
    </w:p>
    <w:p w14:paraId="4E64AC20" w14:textId="7CB8C933" w:rsidR="004F2F53" w:rsidRPr="00B64915" w:rsidRDefault="004F2F53" w:rsidP="004F2F53">
      <w:pPr>
        <w:jc w:val="both"/>
        <w:rPr>
          <w:rFonts w:ascii="Michelin Unit Text" w:hAnsi="Michelin Unit Text" w:cs="Arial"/>
          <w:iCs/>
          <w:sz w:val="16"/>
          <w:szCs w:val="16"/>
          <w:lang w:val="pt-PT"/>
        </w:rPr>
      </w:pPr>
      <w:r w:rsidRPr="00B64915">
        <w:rPr>
          <w:rFonts w:ascii="Michelin Unit Text" w:hAnsi="Michelin Unit Text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B64915">
          <w:rPr>
            <w:rStyle w:val="Hipervnculo"/>
            <w:rFonts w:ascii="Michelin Unit Text" w:eastAsia="Times" w:hAnsi="Michelin Unit Text" w:cs="Arial"/>
            <w:iCs/>
            <w:sz w:val="16"/>
            <w:szCs w:val="16"/>
            <w:lang w:val="pt-PT"/>
          </w:rPr>
          <w:t>www.michelin.pt</w:t>
        </w:r>
      </w:hyperlink>
      <w:r w:rsidRPr="00B64915">
        <w:rPr>
          <w:rFonts w:ascii="Michelin Unit Text" w:hAnsi="Michelin Unit Text" w:cs="Arial"/>
          <w:iCs/>
          <w:sz w:val="16"/>
          <w:szCs w:val="16"/>
          <w:lang w:val="pt-PT"/>
        </w:rPr>
        <w:t>).</w:t>
      </w:r>
    </w:p>
    <w:p w14:paraId="072C16AE" w14:textId="77777777" w:rsidR="004F2F53" w:rsidRPr="00B64915" w:rsidRDefault="004F2F53" w:rsidP="004F2F53">
      <w:pPr>
        <w:jc w:val="both"/>
        <w:rPr>
          <w:rFonts w:ascii="Michelin Unit Text" w:hAnsi="Michelin Unit Text" w:cs="Arial"/>
          <w:sz w:val="16"/>
          <w:szCs w:val="16"/>
          <w:lang w:val="pt-PT"/>
        </w:rPr>
      </w:pPr>
    </w:p>
    <w:p w14:paraId="416EB687" w14:textId="77777777" w:rsidR="004F2F53" w:rsidRPr="00B64915" w:rsidRDefault="004F2F53" w:rsidP="004F2F53">
      <w:pPr>
        <w:tabs>
          <w:tab w:val="left" w:pos="2192"/>
        </w:tabs>
        <w:jc w:val="both"/>
        <w:rPr>
          <w:rFonts w:ascii="Michelin Unit Text" w:hAnsi="Michelin Unit Text" w:cs="Arial"/>
          <w:sz w:val="16"/>
          <w:szCs w:val="16"/>
          <w:lang w:val="pt-PT"/>
        </w:rPr>
      </w:pPr>
      <w:r w:rsidRPr="00B64915">
        <w:rPr>
          <w:rFonts w:ascii="Michelin Unit Text" w:hAnsi="Michelin Unit Text" w:cs="Arial"/>
          <w:sz w:val="16"/>
          <w:szCs w:val="16"/>
          <w:lang w:val="pt-PT"/>
        </w:rPr>
        <w:tab/>
      </w:r>
    </w:p>
    <w:p w14:paraId="4F5D1E0D" w14:textId="77777777" w:rsidR="004F2F53" w:rsidRPr="00B64915" w:rsidRDefault="004F2F53" w:rsidP="004F2F53">
      <w:pPr>
        <w:jc w:val="both"/>
        <w:rPr>
          <w:rFonts w:ascii="Michelin Unit Text" w:hAnsi="Michelin Unit Text" w:cs="Arial"/>
          <w:sz w:val="20"/>
          <w:szCs w:val="20"/>
          <w:lang w:val="pt-PT"/>
        </w:rPr>
      </w:pPr>
    </w:p>
    <w:p w14:paraId="4256BDBA" w14:textId="77777777" w:rsidR="004F2F53" w:rsidRPr="00B64915" w:rsidRDefault="004F2F53" w:rsidP="004F2F53">
      <w:pPr>
        <w:jc w:val="both"/>
        <w:rPr>
          <w:rFonts w:ascii="Michelin Unit Text" w:hAnsi="Michelin Unit Text" w:cs="Arial"/>
          <w:sz w:val="20"/>
          <w:szCs w:val="20"/>
          <w:lang w:val="pt-PT"/>
        </w:rPr>
      </w:pPr>
    </w:p>
    <w:p w14:paraId="14B95CB8" w14:textId="35F6EF57" w:rsidR="004F2F53" w:rsidRPr="00B64915" w:rsidRDefault="004F2F53" w:rsidP="004F2F53">
      <w:pPr>
        <w:tabs>
          <w:tab w:val="left" w:pos="3451"/>
        </w:tabs>
        <w:jc w:val="both"/>
        <w:rPr>
          <w:rFonts w:ascii="Michelin Unit Text" w:hAnsi="Michelin Unit Text" w:cs="Arial"/>
          <w:sz w:val="20"/>
          <w:szCs w:val="20"/>
          <w:lang w:val="pt-PT"/>
        </w:rPr>
      </w:pPr>
      <w:r w:rsidRPr="00B64915">
        <w:rPr>
          <w:rFonts w:ascii="Michelin Unit Text" w:hAnsi="Michelin Unit Text" w:cs="Arial"/>
          <w:sz w:val="20"/>
          <w:szCs w:val="20"/>
          <w:lang w:val="pt-PT"/>
        </w:rPr>
        <w:tab/>
      </w:r>
    </w:p>
    <w:p w14:paraId="2626B1A6" w14:textId="77777777" w:rsidR="004F2F53" w:rsidRPr="00B64915" w:rsidRDefault="004F2F53" w:rsidP="004F2F53">
      <w:pPr>
        <w:jc w:val="both"/>
        <w:rPr>
          <w:rFonts w:ascii="Michelin Unit Text" w:hAnsi="Michelin Unit Text" w:cs="Arial"/>
          <w:sz w:val="20"/>
          <w:szCs w:val="20"/>
          <w:lang w:val="pt-PT"/>
        </w:rPr>
      </w:pPr>
    </w:p>
    <w:p w14:paraId="2091603E" w14:textId="77777777" w:rsidR="004F2F53" w:rsidRPr="00B64915" w:rsidRDefault="004F2F53" w:rsidP="004F2F53">
      <w:pPr>
        <w:jc w:val="both"/>
        <w:rPr>
          <w:rFonts w:ascii="Michelin Unit Text" w:hAnsi="Michelin Unit Text" w:cs="Arial"/>
          <w:sz w:val="20"/>
          <w:szCs w:val="20"/>
          <w:lang w:val="pt-PT"/>
        </w:rPr>
      </w:pPr>
    </w:p>
    <w:p w14:paraId="0425F561" w14:textId="77777777" w:rsidR="004F2F53" w:rsidRPr="00B64915" w:rsidRDefault="004F2F53" w:rsidP="004F2F53">
      <w:pPr>
        <w:jc w:val="both"/>
        <w:rPr>
          <w:rFonts w:ascii="Michelin Unit Text" w:hAnsi="Michelin Unit Text" w:cs="Arial"/>
          <w:sz w:val="20"/>
          <w:szCs w:val="20"/>
          <w:lang w:val="pt-PT"/>
        </w:rPr>
      </w:pPr>
    </w:p>
    <w:p w14:paraId="3F434F53" w14:textId="77777777" w:rsidR="004F2F53" w:rsidRPr="00B64915" w:rsidRDefault="004F2F53" w:rsidP="004F2F53">
      <w:pPr>
        <w:spacing w:line="276" w:lineRule="auto"/>
        <w:jc w:val="center"/>
        <w:rPr>
          <w:rFonts w:ascii="Michelin Unit Text" w:hAnsi="Michelin Unit Text" w:cs="Arial"/>
          <w:sz w:val="28"/>
          <w:szCs w:val="28"/>
          <w:lang w:val="pt-PT"/>
        </w:rPr>
      </w:pPr>
      <w:r w:rsidRPr="00B64915">
        <w:rPr>
          <w:rFonts w:ascii="Michelin Unit Text" w:hAnsi="Michelin Unit Text" w:cs="Arial"/>
          <w:sz w:val="28"/>
          <w:szCs w:val="28"/>
          <w:lang w:val="pt-PT"/>
        </w:rPr>
        <w:t>DEPARTAMENTO DE COMUNICAÇÃO COMERCIAL</w:t>
      </w:r>
    </w:p>
    <w:p w14:paraId="1446E8C4" w14:textId="77777777" w:rsidR="004F2F53" w:rsidRPr="00B64915" w:rsidRDefault="004F2F53" w:rsidP="004F2F53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" w:hAnsi="Michelin Unit Text" w:cs="Arial"/>
          <w:b/>
          <w:bCs/>
          <w:sz w:val="28"/>
          <w:szCs w:val="28"/>
          <w:lang w:val="pt-PT"/>
        </w:rPr>
      </w:pPr>
      <w:r w:rsidRPr="00B64915">
        <w:rPr>
          <w:rFonts w:ascii="Michelin Unit Text" w:hAnsi="Michelin Unit Text" w:cs="Arial"/>
          <w:b/>
          <w:bCs/>
          <w:sz w:val="28"/>
          <w:szCs w:val="28"/>
          <w:lang w:val="pt-PT"/>
        </w:rPr>
        <w:t>+34 609 452 532</w:t>
      </w:r>
    </w:p>
    <w:p w14:paraId="7F5C50DC" w14:textId="77777777" w:rsidR="004F2F53" w:rsidRPr="00B64915" w:rsidRDefault="004F2F53" w:rsidP="004F2F53">
      <w:pPr>
        <w:spacing w:line="276" w:lineRule="auto"/>
        <w:jc w:val="center"/>
        <w:rPr>
          <w:rFonts w:ascii="Michelin Unit Text" w:hAnsi="Michelin Unit Text" w:cs="Arial"/>
          <w:sz w:val="28"/>
          <w:szCs w:val="28"/>
          <w:lang w:val="pt-PT"/>
        </w:rPr>
      </w:pPr>
      <w:r w:rsidRPr="00B64915">
        <w:rPr>
          <w:rFonts w:ascii="Michelin Unit Text" w:hAnsi="Michelin Unit Text" w:cs="Arial"/>
          <w:sz w:val="28"/>
          <w:szCs w:val="28"/>
          <w:lang w:val="pt-PT"/>
        </w:rPr>
        <w:t>angel.pardo-castro@michelin.com</w:t>
      </w:r>
    </w:p>
    <w:p w14:paraId="139707D4" w14:textId="77777777" w:rsidR="004F2F53" w:rsidRPr="00B64915" w:rsidRDefault="004F2F53" w:rsidP="004F2F53">
      <w:pPr>
        <w:jc w:val="center"/>
        <w:rPr>
          <w:rFonts w:ascii="Michelin Unit Text" w:hAnsi="Michelin Unit Text" w:cs="Arial"/>
          <w:lang w:val="pt-PT"/>
        </w:rPr>
      </w:pPr>
      <w:r w:rsidRPr="00B64915">
        <w:rPr>
          <w:rFonts w:ascii="Michelin Unit Text" w:hAnsi="Michelin Unit Text"/>
          <w:noProof/>
          <w:sz w:val="36"/>
          <w:szCs w:val="36"/>
          <w:lang w:val="en-GB" w:eastAsia="en-GB"/>
        </w:rPr>
        <w:drawing>
          <wp:inline distT="0" distB="0" distL="0" distR="0" wp14:anchorId="0FABC4A5" wp14:editId="4BA3B606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2F53" w:rsidRPr="00B64915" w14:paraId="2F32C64F" w14:textId="77777777" w:rsidTr="008114D8">
        <w:tc>
          <w:tcPr>
            <w:tcW w:w="9016" w:type="dxa"/>
          </w:tcPr>
          <w:p w14:paraId="241405E4" w14:textId="77777777" w:rsidR="004F2F53" w:rsidRPr="00B64915" w:rsidRDefault="00DF2EE7" w:rsidP="008114D8">
            <w:pPr>
              <w:jc w:val="center"/>
              <w:rPr>
                <w:rFonts w:ascii="Michelin Unit Text" w:hAnsi="Michelin Unit Text" w:cs="Arial"/>
                <w:color w:val="08519D"/>
                <w:lang w:val="pt-PT"/>
              </w:rPr>
            </w:pPr>
            <w:hyperlink r:id="rId11" w:history="1">
              <w:r w:rsidR="004F2F53" w:rsidRPr="00B64915">
                <w:rPr>
                  <w:rStyle w:val="Hipervnculo"/>
                  <w:rFonts w:ascii="Michelin Unit Text" w:hAnsi="Michelin Unit Text" w:cs="Arial"/>
                  <w:lang w:val="pt-PT"/>
                </w:rPr>
                <w:t>www.michelin.es</w:t>
              </w:r>
            </w:hyperlink>
          </w:p>
        </w:tc>
      </w:tr>
      <w:tr w:rsidR="004F2F53" w:rsidRPr="00B64915" w14:paraId="5FAFC38C" w14:textId="77777777" w:rsidTr="008114D8">
        <w:tc>
          <w:tcPr>
            <w:tcW w:w="9016" w:type="dxa"/>
          </w:tcPr>
          <w:p w14:paraId="49EE8D4E" w14:textId="77777777" w:rsidR="004F2F53" w:rsidRPr="00B64915" w:rsidRDefault="004F2F53" w:rsidP="008114D8">
            <w:pPr>
              <w:jc w:val="center"/>
              <w:rPr>
                <w:rFonts w:ascii="Michelin Unit Text" w:hAnsi="Michelin Unit Text" w:cs="Arial"/>
                <w:color w:val="08519D"/>
                <w:lang w:val="pt-PT"/>
              </w:rPr>
            </w:pPr>
            <w:r w:rsidRPr="00B64915">
              <w:rPr>
                <w:rFonts w:ascii="Michelin Unit Text" w:hAnsi="Michelin Unit Text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628AD3FA" wp14:editId="02F308D2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4915">
              <w:rPr>
                <w:rFonts w:ascii="Michelin Unit Text" w:hAnsi="Michelin Unit Text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4EDC65F" w14:textId="77777777" w:rsidR="004F2F53" w:rsidRPr="00B64915" w:rsidRDefault="004F2F53" w:rsidP="004F2F53">
      <w:pPr>
        <w:jc w:val="center"/>
        <w:rPr>
          <w:rFonts w:ascii="Michelin Unit Text" w:hAnsi="Michelin Unit Text" w:cs="Arial"/>
          <w:lang w:val="pt-PT"/>
        </w:rPr>
      </w:pPr>
    </w:p>
    <w:p w14:paraId="35E7F4EF" w14:textId="60E015A8" w:rsidR="00387E23" w:rsidRPr="00B64915" w:rsidRDefault="004F2F53" w:rsidP="004F2F53">
      <w:pPr>
        <w:jc w:val="both"/>
        <w:rPr>
          <w:rFonts w:ascii="Michelin Unit Text" w:hAnsi="Michelin Unit Text"/>
          <w:lang w:val="pt-PT"/>
        </w:rPr>
      </w:pPr>
      <w:r w:rsidRPr="00B64915">
        <w:rPr>
          <w:rFonts w:ascii="Michelin Unit Text" w:hAnsi="Michelin Unit Text" w:cs="Arial"/>
          <w:lang w:val="es-ES"/>
        </w:rPr>
        <w:t xml:space="preserve">Avenida de los Encuartes, 19 – 28760 Tres Cantos – Madrid. </w:t>
      </w:r>
      <w:r w:rsidRPr="00B64915">
        <w:rPr>
          <w:rFonts w:ascii="Michelin Unit Text" w:hAnsi="Michelin Unit Text" w:cs="Arial"/>
          <w:lang w:val="pt-PT"/>
        </w:rPr>
        <w:t>ESPANHA</w:t>
      </w:r>
    </w:p>
    <w:sectPr w:rsidR="00387E23" w:rsidRPr="00B64915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F9E7" w14:textId="77777777" w:rsidR="00DF2EE7" w:rsidRDefault="00DF2EE7" w:rsidP="00F24D98">
      <w:r>
        <w:separator/>
      </w:r>
    </w:p>
  </w:endnote>
  <w:endnote w:type="continuationSeparator" w:id="0">
    <w:p w14:paraId="6F928514" w14:textId="77777777" w:rsidR="00DF2EE7" w:rsidRDefault="00DF2EE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helin Unit Text 1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F" w:csb1="00000000"/>
  </w:font>
  <w:font w:name="Michelin Unit Text">
    <w:panose1 w:val="00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몡逈ĝࢠŸ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 Unit Titling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BB600" w14:textId="77777777" w:rsidR="00DF2EE7" w:rsidRDefault="00DF2EE7" w:rsidP="00F24D98">
      <w:r>
        <w:separator/>
      </w:r>
    </w:p>
  </w:footnote>
  <w:footnote w:type="continuationSeparator" w:id="0">
    <w:p w14:paraId="7B8939DB" w14:textId="77777777" w:rsidR="00DF2EE7" w:rsidRDefault="00DF2EE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n-GB" w:eastAsia="en-GB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F6CD26" w14:textId="77777777" w:rsidR="004F2F53" w:rsidRPr="006F25F9" w:rsidRDefault="004F2F53" w:rsidP="004F2F5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ECC90E7" w14:textId="1D3A0C4E" w:rsidR="000B3F91" w:rsidRPr="00BE269E" w:rsidRDefault="000B3F91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6F6CD26" w14:textId="77777777" w:rsidR="004F2F53" w:rsidRPr="006F25F9" w:rsidRDefault="004F2F53" w:rsidP="004F2F5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ECC90E7" w14:textId="1D3A0C4E" w:rsidR="000B3F91" w:rsidRPr="00BE269E" w:rsidRDefault="000B3F91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n-GB" w:eastAsia="en-GB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72593EC1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239CAE9F" w14:textId="72593EC1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6A10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1350"/>
    <w:rsid w:val="004A7A65"/>
    <w:rsid w:val="004C6A8C"/>
    <w:rsid w:val="004E3294"/>
    <w:rsid w:val="004E4143"/>
    <w:rsid w:val="004F2F53"/>
    <w:rsid w:val="00511304"/>
    <w:rsid w:val="0052344F"/>
    <w:rsid w:val="00523D3C"/>
    <w:rsid w:val="00572127"/>
    <w:rsid w:val="00594F5C"/>
    <w:rsid w:val="005B00AE"/>
    <w:rsid w:val="00613A00"/>
    <w:rsid w:val="00621821"/>
    <w:rsid w:val="006920B7"/>
    <w:rsid w:val="006C3818"/>
    <w:rsid w:val="006C44F0"/>
    <w:rsid w:val="006D398C"/>
    <w:rsid w:val="00767D50"/>
    <w:rsid w:val="007E2021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531CE"/>
    <w:rsid w:val="00977E95"/>
    <w:rsid w:val="009969D4"/>
    <w:rsid w:val="00A05352"/>
    <w:rsid w:val="00A0766D"/>
    <w:rsid w:val="00A133C9"/>
    <w:rsid w:val="00A72ECA"/>
    <w:rsid w:val="00A75B5C"/>
    <w:rsid w:val="00AA05BE"/>
    <w:rsid w:val="00AC0E74"/>
    <w:rsid w:val="00AC654C"/>
    <w:rsid w:val="00B05B19"/>
    <w:rsid w:val="00B13DD6"/>
    <w:rsid w:val="00B32BCE"/>
    <w:rsid w:val="00B36FEE"/>
    <w:rsid w:val="00B45C21"/>
    <w:rsid w:val="00B64915"/>
    <w:rsid w:val="00B6670B"/>
    <w:rsid w:val="00B84E0D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DF2EE7"/>
    <w:rsid w:val="00E46580"/>
    <w:rsid w:val="00E57483"/>
    <w:rsid w:val="00E926C4"/>
    <w:rsid w:val="00EA512D"/>
    <w:rsid w:val="00ED5957"/>
    <w:rsid w:val="00ED7136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E202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2021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E20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04CE5B-BCF2-4D34-BDC0-BB89BB3C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32</cp:revision>
  <dcterms:created xsi:type="dcterms:W3CDTF">2021-03-01T16:33:00Z</dcterms:created>
  <dcterms:modified xsi:type="dcterms:W3CDTF">2021-04-28T09:15:00Z</dcterms:modified>
</cp:coreProperties>
</file>