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Default="00395651" w:rsidP="00395651">
      <w:pPr>
        <w:rPr>
          <w:rFonts w:ascii="Michelin Unit Text 1" w:hAnsi="Michelin Unit Text 1"/>
          <w:sz w:val="20"/>
          <w:szCs w:val="20"/>
          <w:lang w:val="es-ES"/>
        </w:rPr>
      </w:pPr>
      <w:r w:rsidRPr="00BE269E">
        <w:rPr>
          <w:rFonts w:ascii="Michelin Unit Text 1" w:hAnsi="Michelin Unit Text 1"/>
          <w:sz w:val="20"/>
          <w:szCs w:val="20"/>
          <w:lang w:val="es-ES"/>
        </w:rPr>
        <w:t xml:space="preserve">                                                                               </w:t>
      </w:r>
      <w:r w:rsidR="00422E33">
        <w:rPr>
          <w:rFonts w:ascii="Michelin Unit Text 1" w:hAnsi="Michelin Unit Text 1"/>
          <w:sz w:val="20"/>
          <w:szCs w:val="20"/>
          <w:lang w:val="es-ES"/>
        </w:rPr>
        <w:t xml:space="preserve">                </w:t>
      </w:r>
      <w:r w:rsidRPr="00BE269E">
        <w:rPr>
          <w:rFonts w:ascii="Michelin Unit Text 1" w:hAnsi="Michelin Unit Text 1"/>
          <w:sz w:val="20"/>
          <w:szCs w:val="20"/>
          <w:lang w:val="es-ES"/>
        </w:rPr>
        <w:t xml:space="preserve">    </w:t>
      </w:r>
    </w:p>
    <w:p w14:paraId="62CD8697" w14:textId="77777777" w:rsidR="00B36FEE" w:rsidRDefault="00B36FEE" w:rsidP="00395651">
      <w:pPr>
        <w:rPr>
          <w:rFonts w:ascii="Michelin Unit Text 1" w:hAnsi="Michelin Unit Text 1"/>
          <w:sz w:val="20"/>
          <w:szCs w:val="20"/>
          <w:lang w:val="es-ES"/>
        </w:rPr>
      </w:pPr>
    </w:p>
    <w:p w14:paraId="73920A83" w14:textId="77777777" w:rsidR="00B36FEE" w:rsidRDefault="00B36FEE" w:rsidP="00395651">
      <w:pPr>
        <w:rPr>
          <w:rFonts w:ascii="Michelin Unit Text 1" w:hAnsi="Michelin Unit Text 1"/>
          <w:sz w:val="20"/>
          <w:szCs w:val="20"/>
          <w:lang w:val="es-ES"/>
        </w:rPr>
      </w:pPr>
    </w:p>
    <w:p w14:paraId="139D66BB" w14:textId="5105BA43" w:rsidR="006D398C" w:rsidRPr="00601D7E" w:rsidRDefault="00B36FEE" w:rsidP="00B36FEE">
      <w:pPr>
        <w:ind w:left="5760"/>
        <w:rPr>
          <w:rFonts w:ascii="Michelin Unit Text" w:hAnsi="Michelin Unit Text"/>
          <w:sz w:val="20"/>
          <w:szCs w:val="20"/>
          <w:lang w:val="es-ES"/>
        </w:rPr>
      </w:pPr>
      <w:r>
        <w:rPr>
          <w:rFonts w:ascii="Michelin Unit Text 1" w:hAnsi="Michelin Unit Text 1"/>
          <w:sz w:val="20"/>
          <w:szCs w:val="20"/>
          <w:lang w:val="es-ES"/>
        </w:rPr>
        <w:t xml:space="preserve"> </w:t>
      </w:r>
      <w:r w:rsidRPr="00601D7E">
        <w:rPr>
          <w:rFonts w:ascii="Michelin Unit Text" w:hAnsi="Michelin Unit Text"/>
          <w:sz w:val="20"/>
          <w:szCs w:val="20"/>
          <w:lang w:val="es-ES"/>
        </w:rPr>
        <w:t xml:space="preserve">  </w:t>
      </w:r>
      <w:r w:rsidR="00BE269E" w:rsidRPr="003C5084">
        <w:rPr>
          <w:rFonts w:ascii="Michelin Unit Text" w:hAnsi="Michelin Unit Text"/>
          <w:sz w:val="20"/>
          <w:szCs w:val="20"/>
          <w:lang w:val="es-ES"/>
        </w:rPr>
        <w:t xml:space="preserve">Madrid, </w:t>
      </w:r>
      <w:r w:rsidR="004E6D73" w:rsidRPr="003C5084">
        <w:rPr>
          <w:rFonts w:ascii="Michelin Unit Text" w:hAnsi="Michelin Unit Text"/>
          <w:sz w:val="20"/>
          <w:szCs w:val="20"/>
          <w:lang w:val="es-ES"/>
        </w:rPr>
        <w:t>1</w:t>
      </w:r>
      <w:r w:rsidR="007613E0" w:rsidRPr="003C5084">
        <w:rPr>
          <w:rFonts w:ascii="Michelin Unit Text" w:hAnsi="Michelin Unit Text"/>
          <w:sz w:val="20"/>
          <w:szCs w:val="20"/>
          <w:lang w:val="es-ES"/>
        </w:rPr>
        <w:t>3</w:t>
      </w:r>
      <w:r w:rsidR="00BE269E" w:rsidRPr="003C5084">
        <w:rPr>
          <w:rFonts w:ascii="Michelin Unit Text" w:hAnsi="Michelin Unit Text"/>
          <w:sz w:val="20"/>
          <w:szCs w:val="20"/>
          <w:lang w:val="es-ES"/>
        </w:rPr>
        <w:t xml:space="preserve"> de </w:t>
      </w:r>
      <w:r w:rsidR="007613E0" w:rsidRPr="003C5084">
        <w:rPr>
          <w:rFonts w:ascii="Michelin Unit Text" w:hAnsi="Michelin Unit Text"/>
          <w:sz w:val="20"/>
          <w:szCs w:val="20"/>
          <w:lang w:val="es-ES"/>
        </w:rPr>
        <w:t>abril</w:t>
      </w:r>
      <w:r w:rsidR="006D398C" w:rsidRPr="003C5084">
        <w:rPr>
          <w:rFonts w:ascii="Michelin Unit Text" w:hAnsi="Michelin Unit Text"/>
          <w:sz w:val="20"/>
          <w:szCs w:val="20"/>
          <w:lang w:val="es-ES"/>
        </w:rPr>
        <w:t>, 2021</w:t>
      </w:r>
    </w:p>
    <w:sdt>
      <w:sdtPr>
        <w:rPr>
          <w:rFonts w:ascii="Michelin Unit Text" w:hAnsi="Michelin Unit Text"/>
          <w:lang w:val="es-ES"/>
        </w:rPr>
        <w:id w:val="1987273284"/>
        <w:docPartObj>
          <w:docPartGallery w:val="Cover Pages"/>
          <w:docPartUnique/>
        </w:docPartObj>
      </w:sdtPr>
      <w:sdtEndPr>
        <w:rPr>
          <w:rFonts w:ascii="Michelin Unit Text 1" w:hAnsi="Michelin Unit Text 1"/>
        </w:rPr>
      </w:sdtEndPr>
      <w:sdtContent>
        <w:p w14:paraId="5B402CDD" w14:textId="769D6651" w:rsidR="008F5893" w:rsidRPr="00601D7E" w:rsidRDefault="008F5893" w:rsidP="006D398C">
          <w:pPr>
            <w:jc w:val="center"/>
            <w:rPr>
              <w:rFonts w:ascii="Michelin Unit Text" w:hAnsi="Michelin Unit Text"/>
              <w:b/>
              <w:sz w:val="26"/>
              <w:lang w:val="es-ES"/>
            </w:rPr>
          </w:pPr>
        </w:p>
        <w:p w14:paraId="2EC3A1A8" w14:textId="77777777" w:rsidR="003E4201" w:rsidRDefault="003E4201" w:rsidP="007613E0">
          <w:pPr>
            <w:jc w:val="center"/>
            <w:rPr>
              <w:rFonts w:ascii="Michelin Unit Text" w:hAnsi="Michelin Unit Text"/>
              <w:b/>
              <w:sz w:val="28"/>
              <w:szCs w:val="28"/>
              <w:lang w:val="es-ES"/>
            </w:rPr>
          </w:pPr>
        </w:p>
        <w:p w14:paraId="6265D72F" w14:textId="7668D516" w:rsidR="007613E0" w:rsidRPr="00601D7E" w:rsidRDefault="007613E0" w:rsidP="007613E0">
          <w:pPr>
            <w:jc w:val="center"/>
            <w:rPr>
              <w:rFonts w:ascii="Michelin Unit Text" w:hAnsi="Michelin Unit Text"/>
              <w:b/>
              <w:sz w:val="28"/>
              <w:szCs w:val="28"/>
              <w:lang w:val="es-ES"/>
            </w:rPr>
          </w:pPr>
          <w:r w:rsidRPr="00601D7E">
            <w:rPr>
              <w:rFonts w:ascii="Michelin Unit Text" w:hAnsi="Michelin Unit Text"/>
              <w:b/>
              <w:sz w:val="28"/>
              <w:szCs w:val="28"/>
              <w:lang w:val="es-ES"/>
            </w:rPr>
            <w:t>Michelin presenta su estrategia “</w:t>
          </w:r>
          <w:r w:rsidR="003C5084">
            <w:rPr>
              <w:rFonts w:ascii="Michelin Unit Text" w:hAnsi="Michelin Unit Text"/>
              <w:b/>
              <w:sz w:val="28"/>
              <w:szCs w:val="28"/>
              <w:lang w:val="es-ES"/>
            </w:rPr>
            <w:t>Todo sostenible</w:t>
          </w:r>
          <w:r w:rsidRPr="00601D7E">
            <w:rPr>
              <w:rFonts w:ascii="Michelin Unit Text" w:hAnsi="Michelin Unit Text"/>
              <w:b/>
              <w:sz w:val="28"/>
              <w:szCs w:val="28"/>
              <w:lang w:val="es-ES"/>
            </w:rPr>
            <w:t xml:space="preserve">” 2030: Michelin </w:t>
          </w:r>
          <w:r w:rsidR="003C5084">
            <w:rPr>
              <w:rFonts w:ascii="Michelin Unit Text" w:hAnsi="Michelin Unit Text"/>
              <w:b/>
              <w:sz w:val="28"/>
              <w:szCs w:val="28"/>
              <w:lang w:val="es-ES"/>
            </w:rPr>
            <w:t>I</w:t>
          </w:r>
          <w:r w:rsidRPr="00601D7E">
            <w:rPr>
              <w:rFonts w:ascii="Michelin Unit Text" w:hAnsi="Michelin Unit Text"/>
              <w:b/>
              <w:sz w:val="28"/>
              <w:szCs w:val="28"/>
              <w:lang w:val="es-ES"/>
            </w:rPr>
            <w:t>n Motion</w:t>
          </w:r>
        </w:p>
        <w:p w14:paraId="7460AE29" w14:textId="221D7CD4" w:rsidR="006D398C" w:rsidRPr="00601D7E" w:rsidRDefault="003E4201" w:rsidP="006D398C">
          <w:pPr>
            <w:rPr>
              <w:rStyle w:val="normaltextrun"/>
              <w:rFonts w:ascii="Michelin Unit Text" w:eastAsiaTheme="majorEastAsia" w:hAnsi="Michelin Unit Text" w:cstheme="minorHAnsi"/>
              <w:b/>
              <w:bCs/>
              <w:sz w:val="22"/>
              <w:szCs w:val="22"/>
              <w:lang w:val="es-ES"/>
            </w:rPr>
          </w:pPr>
          <w:r>
            <w:rPr>
              <w:rStyle w:val="normaltextrun"/>
              <w:rFonts w:ascii="Michelin Unit Text" w:eastAsiaTheme="majorEastAsia" w:hAnsi="Michelin Unit Text" w:cstheme="minorHAnsi"/>
              <w:b/>
              <w:bCs/>
              <w:sz w:val="22"/>
              <w:szCs w:val="22"/>
              <w:lang w:val="es-ES"/>
            </w:rPr>
            <w:br/>
          </w:r>
        </w:p>
        <w:p w14:paraId="4865E2CD" w14:textId="6263D8AF" w:rsidR="007613E0" w:rsidRPr="00601D7E" w:rsidRDefault="00866340" w:rsidP="00601D7E">
          <w:pPr>
            <w:pStyle w:val="Prrafodelista"/>
            <w:numPr>
              <w:ilvl w:val="0"/>
              <w:numId w:val="1"/>
            </w:numPr>
            <w:jc w:val="both"/>
            <w:rPr>
              <w:rFonts w:ascii="Michelin Unit Text" w:eastAsia="Calibri" w:hAnsi="Michelin Unit Text" w:cstheme="minorHAnsi"/>
              <w:lang w:val="es-ES"/>
            </w:rPr>
          </w:pPr>
          <w:r>
            <w:rPr>
              <w:rFonts w:ascii="Michelin Unit Text" w:eastAsia="Calibri" w:hAnsi="Michelin Unit Text" w:cstheme="minorHAnsi"/>
              <w:lang w:val="es-ES" w:eastAsia="en-US"/>
            </w:rPr>
            <w:t>Objetivos</w:t>
          </w:r>
          <w:r w:rsidR="007613E0" w:rsidRPr="00601D7E">
            <w:rPr>
              <w:rFonts w:ascii="Michelin Unit Text" w:eastAsia="Calibri" w:hAnsi="Michelin Unit Text" w:cstheme="minorHAnsi"/>
              <w:lang w:val="es-ES" w:eastAsia="en-US"/>
            </w:rPr>
            <w:t xml:space="preserve"> concret</w:t>
          </w:r>
          <w:r>
            <w:rPr>
              <w:rFonts w:ascii="Michelin Unit Text" w:eastAsia="Calibri" w:hAnsi="Michelin Unit Text" w:cstheme="minorHAnsi"/>
              <w:lang w:val="es-ES" w:eastAsia="en-US"/>
            </w:rPr>
            <w:t>o</w:t>
          </w:r>
          <w:r w:rsidR="007613E0" w:rsidRPr="00601D7E">
            <w:rPr>
              <w:rFonts w:ascii="Michelin Unit Text" w:eastAsia="Calibri" w:hAnsi="Michelin Unit Text" w:cstheme="minorHAnsi"/>
              <w:lang w:val="es-ES" w:eastAsia="en-US"/>
            </w:rPr>
            <w:t>s para un crecimiento sostenible</w:t>
          </w:r>
        </w:p>
        <w:p w14:paraId="07BAA0DA" w14:textId="0A22114D" w:rsidR="007613E0" w:rsidRPr="00601D7E" w:rsidRDefault="007613E0" w:rsidP="00601D7E">
          <w:pPr>
            <w:pStyle w:val="Prrafodelista"/>
            <w:numPr>
              <w:ilvl w:val="0"/>
              <w:numId w:val="1"/>
            </w:numPr>
            <w:jc w:val="both"/>
            <w:rPr>
              <w:rFonts w:ascii="Michelin Unit Text" w:eastAsia="Calibri" w:hAnsi="Michelin Unit Text" w:cstheme="minorHAnsi"/>
              <w:lang w:val="es-ES"/>
            </w:rPr>
          </w:pPr>
          <w:r w:rsidRPr="00601D7E">
            <w:rPr>
              <w:rFonts w:ascii="Michelin Unit Text" w:eastAsia="Calibri" w:hAnsi="Michelin Unit Text" w:cstheme="minorHAnsi"/>
              <w:lang w:val="es-ES" w:eastAsia="en-US"/>
            </w:rPr>
            <w:t>Nuevas áreas de crecimiento más allá de</w:t>
          </w:r>
          <w:r w:rsidR="003C5084">
            <w:rPr>
              <w:rFonts w:ascii="Michelin Unit Text" w:eastAsia="Calibri" w:hAnsi="Michelin Unit Text" w:cstheme="minorHAnsi"/>
              <w:lang w:val="es-ES" w:eastAsia="en-US"/>
            </w:rPr>
            <w:t>l</w:t>
          </w:r>
          <w:r w:rsidRPr="00601D7E">
            <w:rPr>
              <w:rFonts w:ascii="Michelin Unit Text" w:eastAsia="Calibri" w:hAnsi="Michelin Unit Text" w:cstheme="minorHAnsi"/>
              <w:lang w:val="es-ES" w:eastAsia="en-US"/>
            </w:rPr>
            <w:t xml:space="preserve"> neumático</w:t>
          </w:r>
        </w:p>
        <w:p w14:paraId="59F2885B" w14:textId="1DB97E86" w:rsidR="007613E0" w:rsidRPr="00601D7E" w:rsidRDefault="007613E0" w:rsidP="00601D7E">
          <w:pPr>
            <w:pStyle w:val="Prrafodelista"/>
            <w:numPr>
              <w:ilvl w:val="0"/>
              <w:numId w:val="1"/>
            </w:numPr>
            <w:jc w:val="both"/>
            <w:rPr>
              <w:rStyle w:val="normaltextrun"/>
              <w:rFonts w:ascii="Michelin Unit Text" w:eastAsiaTheme="majorEastAsia" w:hAnsi="Michelin Unit Text" w:cstheme="minorHAnsi"/>
              <w:lang w:val="es-ES"/>
            </w:rPr>
          </w:pPr>
          <w:r w:rsidRPr="00601D7E">
            <w:rPr>
              <w:rFonts w:ascii="Michelin Unit Text" w:eastAsia="Calibri" w:hAnsi="Michelin Unit Text" w:cstheme="minorHAnsi"/>
              <w:lang w:val="es-ES" w:eastAsia="en-US"/>
            </w:rPr>
            <w:t>Primera etapa en 2023</w:t>
          </w:r>
        </w:p>
        <w:p w14:paraId="333A504D" w14:textId="3296356D" w:rsidR="000909FF" w:rsidRPr="00601D7E" w:rsidRDefault="004E6D73" w:rsidP="006D398C">
          <w:pPr>
            <w:jc w:val="both"/>
            <w:rPr>
              <w:rStyle w:val="normaltextrun"/>
              <w:rFonts w:ascii="Michelin Unit Text" w:eastAsiaTheme="majorEastAsia" w:hAnsi="Michelin Unit Text" w:cstheme="minorHAnsi"/>
              <w:b/>
              <w:bCs/>
              <w:sz w:val="22"/>
              <w:szCs w:val="22"/>
              <w:lang w:val="es-ES"/>
            </w:rPr>
          </w:pPr>
          <w:r w:rsidRPr="00601D7E">
            <w:rPr>
              <w:rStyle w:val="normaltextrun"/>
              <w:rFonts w:ascii="Michelin Unit Text" w:eastAsiaTheme="majorEastAsia" w:hAnsi="Michelin Unit Text" w:cstheme="minorHAnsi"/>
              <w:b/>
              <w:bCs/>
              <w:sz w:val="22"/>
              <w:szCs w:val="22"/>
              <w:lang w:val="es-ES"/>
            </w:rPr>
            <w:br/>
          </w:r>
        </w:p>
        <w:p w14:paraId="4D9FDBA3" w14:textId="2CA33AF5" w:rsidR="007613E0" w:rsidRPr="00601D7E" w:rsidRDefault="007613E0" w:rsidP="007613E0">
          <w:pPr>
            <w:spacing w:line="276" w:lineRule="auto"/>
            <w:jc w:val="both"/>
            <w:rPr>
              <w:rFonts w:ascii="Michelin Unit Text" w:hAnsi="Michelin Unit Text" w:cstheme="minorHAnsi"/>
              <w:sz w:val="20"/>
              <w:szCs w:val="20"/>
              <w:lang w:val="es-ES"/>
            </w:rPr>
          </w:pPr>
          <w:r w:rsidRPr="00601D7E">
            <w:rPr>
              <w:rFonts w:ascii="Michelin Unit Text" w:hAnsi="Michelin Unit Text" w:cstheme="minorHAnsi"/>
              <w:sz w:val="20"/>
              <w:szCs w:val="20"/>
              <w:lang w:val="es-ES"/>
            </w:rPr>
            <w:t xml:space="preserve">Con ocasión del </w:t>
          </w:r>
          <w:r w:rsidRPr="00D9176A">
            <w:rPr>
              <w:rFonts w:ascii="Michelin Unit Text" w:hAnsi="Michelin Unit Text" w:cstheme="minorHAnsi"/>
              <w:i/>
              <w:iCs/>
              <w:sz w:val="20"/>
              <w:szCs w:val="20"/>
              <w:lang w:val="es-ES"/>
            </w:rPr>
            <w:t>Capital Markets Day</w:t>
          </w:r>
          <w:r w:rsidRPr="00601D7E">
            <w:rPr>
              <w:rFonts w:ascii="Michelin Unit Text" w:hAnsi="Michelin Unit Text" w:cstheme="minorHAnsi"/>
              <w:sz w:val="20"/>
              <w:szCs w:val="20"/>
              <w:lang w:val="es-ES"/>
            </w:rPr>
            <w:t xml:space="preserve"> del Grupo, Florent Menegaux, Presidente, Yves Chapot, Gerente y Director Financiero, </w:t>
          </w:r>
          <w:r w:rsidR="003C5084">
            <w:rPr>
              <w:rFonts w:ascii="Michelin Unit Text" w:hAnsi="Michelin Unit Text" w:cstheme="minorHAnsi"/>
              <w:sz w:val="20"/>
              <w:szCs w:val="20"/>
              <w:lang w:val="es-ES"/>
            </w:rPr>
            <w:t xml:space="preserve">junto con </w:t>
          </w:r>
          <w:r w:rsidRPr="00601D7E">
            <w:rPr>
              <w:rFonts w:ascii="Michelin Unit Text" w:hAnsi="Michelin Unit Text" w:cstheme="minorHAnsi"/>
              <w:sz w:val="20"/>
              <w:szCs w:val="20"/>
              <w:lang w:val="es-ES"/>
            </w:rPr>
            <w:t xml:space="preserve">todos los miembros del Comité Ejecutivo, han presentado </w:t>
          </w:r>
          <w:r w:rsidRPr="003C5084">
            <w:rPr>
              <w:rFonts w:ascii="Michelin Unit Text" w:hAnsi="Michelin Unit Text" w:cstheme="minorHAnsi"/>
              <w:i/>
              <w:iCs/>
              <w:sz w:val="20"/>
              <w:szCs w:val="20"/>
              <w:lang w:val="es-ES"/>
            </w:rPr>
            <w:t xml:space="preserve">Michelin </w:t>
          </w:r>
          <w:r w:rsidR="003C5084" w:rsidRPr="003C5084">
            <w:rPr>
              <w:rFonts w:ascii="Michelin Unit Text" w:hAnsi="Michelin Unit Text" w:cstheme="minorHAnsi"/>
              <w:i/>
              <w:iCs/>
              <w:sz w:val="20"/>
              <w:szCs w:val="20"/>
              <w:lang w:val="es-ES"/>
            </w:rPr>
            <w:t>I</w:t>
          </w:r>
          <w:r w:rsidRPr="003C5084">
            <w:rPr>
              <w:rFonts w:ascii="Michelin Unit Text" w:hAnsi="Michelin Unit Text" w:cstheme="minorHAnsi"/>
              <w:i/>
              <w:iCs/>
              <w:sz w:val="20"/>
              <w:szCs w:val="20"/>
              <w:lang w:val="es-ES"/>
            </w:rPr>
            <w:t>n Motion</w:t>
          </w:r>
          <w:r w:rsidRPr="00601D7E">
            <w:rPr>
              <w:rFonts w:ascii="Michelin Unit Text" w:hAnsi="Michelin Unit Text" w:cstheme="minorHAnsi"/>
              <w:sz w:val="20"/>
              <w:szCs w:val="20"/>
              <w:lang w:val="es-ES"/>
            </w:rPr>
            <w:t>, la estrategia “</w:t>
          </w:r>
          <w:r w:rsidR="003C5084">
            <w:rPr>
              <w:rFonts w:ascii="Michelin Unit Text" w:hAnsi="Michelin Unit Text" w:cstheme="minorHAnsi"/>
              <w:sz w:val="20"/>
              <w:szCs w:val="20"/>
              <w:lang w:val="es-ES"/>
            </w:rPr>
            <w:t xml:space="preserve">Todo </w:t>
          </w:r>
          <w:r w:rsidR="007D17DE">
            <w:rPr>
              <w:rFonts w:ascii="Michelin Unit Text" w:hAnsi="Michelin Unit Text" w:cstheme="minorHAnsi"/>
              <w:sz w:val="20"/>
              <w:szCs w:val="20"/>
              <w:lang w:val="es-ES"/>
            </w:rPr>
            <w:t>Sostenible</w:t>
          </w:r>
          <w:r w:rsidR="003C5084">
            <w:rPr>
              <w:rFonts w:ascii="Michelin Unit Text" w:hAnsi="Michelin Unit Text" w:cstheme="minorHAnsi"/>
              <w:sz w:val="20"/>
              <w:szCs w:val="20"/>
              <w:lang w:val="es-ES"/>
            </w:rPr>
            <w:t>”</w:t>
          </w:r>
          <w:r w:rsidRPr="00601D7E">
            <w:rPr>
              <w:rFonts w:ascii="Michelin Unit Text" w:hAnsi="Michelin Unit Text" w:cstheme="minorHAnsi"/>
              <w:sz w:val="20"/>
              <w:szCs w:val="20"/>
              <w:lang w:val="es-ES"/>
            </w:rPr>
            <w:t xml:space="preserve"> de Michelin para 2030.</w:t>
          </w:r>
        </w:p>
        <w:p w14:paraId="08B9DBAD" w14:textId="77777777" w:rsidR="007613E0" w:rsidRPr="00601D7E" w:rsidRDefault="007613E0" w:rsidP="007613E0">
          <w:pPr>
            <w:spacing w:line="276" w:lineRule="auto"/>
            <w:jc w:val="both"/>
            <w:rPr>
              <w:rFonts w:ascii="Michelin Unit Text" w:hAnsi="Michelin Unit Text" w:cstheme="minorHAnsi"/>
              <w:sz w:val="20"/>
              <w:szCs w:val="20"/>
              <w:lang w:val="es-ES"/>
            </w:rPr>
          </w:pPr>
        </w:p>
        <w:p w14:paraId="7CEDF2D7" w14:textId="3C629E5D" w:rsidR="00F433D8" w:rsidRPr="00601D7E" w:rsidRDefault="007613E0" w:rsidP="00601D7E">
          <w:pPr>
            <w:spacing w:line="276" w:lineRule="auto"/>
            <w:jc w:val="both"/>
            <w:rPr>
              <w:rFonts w:ascii="Michelin Unit Text" w:hAnsi="Michelin Unit Text" w:cstheme="minorHAnsi"/>
              <w:sz w:val="20"/>
              <w:szCs w:val="20"/>
              <w:lang w:val="es-ES"/>
            </w:rPr>
          </w:pPr>
          <w:r w:rsidRPr="00601D7E">
            <w:rPr>
              <w:rFonts w:ascii="Michelin Unit Text" w:hAnsi="Michelin Unit Text" w:cstheme="minorHAnsi"/>
              <w:sz w:val="20"/>
              <w:szCs w:val="20"/>
              <w:lang w:val="es-ES"/>
            </w:rPr>
            <w:t>Florent Menegaux ha explicado la visión “</w:t>
          </w:r>
          <w:r w:rsidR="003C5084">
            <w:rPr>
              <w:rFonts w:ascii="Michelin Unit Text" w:hAnsi="Michelin Unit Text" w:cstheme="minorHAnsi"/>
              <w:sz w:val="20"/>
              <w:szCs w:val="20"/>
              <w:lang w:val="es-ES"/>
            </w:rPr>
            <w:t>Todo Sostenible”</w:t>
          </w:r>
          <w:r w:rsidRPr="00601D7E">
            <w:rPr>
              <w:rFonts w:ascii="Michelin Unit Text" w:hAnsi="Michelin Unit Text" w:cstheme="minorHAnsi"/>
              <w:sz w:val="20"/>
              <w:szCs w:val="20"/>
              <w:lang w:val="es-ES"/>
            </w:rPr>
            <w:t xml:space="preserve"> del </w:t>
          </w:r>
          <w:r w:rsidR="003C5084">
            <w:rPr>
              <w:rFonts w:ascii="Michelin Unit Text" w:hAnsi="Michelin Unit Text" w:cstheme="minorHAnsi"/>
              <w:sz w:val="20"/>
              <w:szCs w:val="20"/>
              <w:lang w:val="es-ES"/>
            </w:rPr>
            <w:t>G</w:t>
          </w:r>
          <w:r w:rsidRPr="00601D7E">
            <w:rPr>
              <w:rFonts w:ascii="Michelin Unit Text" w:hAnsi="Michelin Unit Text" w:cstheme="minorHAnsi"/>
              <w:sz w:val="20"/>
              <w:szCs w:val="20"/>
              <w:lang w:val="es-ES"/>
            </w:rPr>
            <w:t xml:space="preserve">rupo, </w:t>
          </w:r>
          <w:r w:rsidR="003C5084">
            <w:rPr>
              <w:rFonts w:ascii="Michelin Unit Text" w:hAnsi="Michelin Unit Text" w:cstheme="minorHAnsi"/>
              <w:sz w:val="20"/>
              <w:szCs w:val="20"/>
              <w:lang w:val="es-ES"/>
            </w:rPr>
            <w:t xml:space="preserve">basada </w:t>
          </w:r>
          <w:r w:rsidRPr="00601D7E">
            <w:rPr>
              <w:rFonts w:ascii="Michelin Unit Text" w:hAnsi="Michelin Unit Text" w:cstheme="minorHAnsi"/>
              <w:sz w:val="20"/>
              <w:szCs w:val="20"/>
              <w:lang w:val="es-ES"/>
            </w:rPr>
            <w:t xml:space="preserve">en la búsqueda constante del equilibrio </w:t>
          </w:r>
          <w:r w:rsidR="003C5084">
            <w:rPr>
              <w:rFonts w:ascii="Michelin Unit Text" w:hAnsi="Michelin Unit Text" w:cstheme="minorHAnsi"/>
              <w:sz w:val="20"/>
              <w:szCs w:val="20"/>
              <w:lang w:val="es-ES"/>
            </w:rPr>
            <w:t xml:space="preserve">adecuado </w:t>
          </w:r>
          <w:r w:rsidRPr="00601D7E">
            <w:rPr>
              <w:rFonts w:ascii="Michelin Unit Text" w:hAnsi="Michelin Unit Text" w:cstheme="minorHAnsi"/>
              <w:sz w:val="20"/>
              <w:szCs w:val="20"/>
              <w:lang w:val="es-ES"/>
            </w:rPr>
            <w:t xml:space="preserve">entre las personas, el planeta y los </w:t>
          </w:r>
          <w:r w:rsidR="003C5084">
            <w:rPr>
              <w:rFonts w:ascii="Michelin Unit Text" w:hAnsi="Michelin Unit Text" w:cstheme="minorHAnsi"/>
              <w:sz w:val="20"/>
              <w:szCs w:val="20"/>
              <w:lang w:val="es-ES"/>
            </w:rPr>
            <w:t>resultados</w:t>
          </w:r>
          <w:r w:rsidRPr="00601D7E">
            <w:rPr>
              <w:rFonts w:ascii="Michelin Unit Text" w:hAnsi="Michelin Unit Text" w:cstheme="minorHAnsi"/>
              <w:sz w:val="20"/>
              <w:szCs w:val="20"/>
              <w:lang w:val="es-ES"/>
            </w:rPr>
            <w:t xml:space="preserve"> económicos (People, Planet, Profit)</w:t>
          </w:r>
          <w:r w:rsidR="00866340">
            <w:rPr>
              <w:rFonts w:ascii="Michelin Unit Text" w:hAnsi="Michelin Unit Text" w:cstheme="minorHAnsi"/>
              <w:sz w:val="20"/>
              <w:szCs w:val="20"/>
              <w:lang w:val="es-ES"/>
            </w:rPr>
            <w:t xml:space="preserve">, presentando </w:t>
          </w:r>
          <w:r w:rsidRPr="00601D7E">
            <w:rPr>
              <w:rFonts w:ascii="Michelin Unit Text" w:hAnsi="Michelin Unit Text" w:cstheme="minorHAnsi"/>
              <w:sz w:val="20"/>
              <w:szCs w:val="20"/>
              <w:lang w:val="es-ES"/>
            </w:rPr>
            <w:t>l</w:t>
          </w:r>
          <w:r w:rsidR="00866340">
            <w:rPr>
              <w:rFonts w:ascii="Michelin Unit Text" w:hAnsi="Michelin Unit Text" w:cstheme="minorHAnsi"/>
              <w:sz w:val="20"/>
              <w:szCs w:val="20"/>
              <w:lang w:val="es-ES"/>
            </w:rPr>
            <w:t>o</w:t>
          </w:r>
          <w:r w:rsidRPr="00601D7E">
            <w:rPr>
              <w:rFonts w:ascii="Michelin Unit Text" w:hAnsi="Michelin Unit Text" w:cstheme="minorHAnsi"/>
              <w:sz w:val="20"/>
              <w:szCs w:val="20"/>
              <w:lang w:val="es-ES"/>
            </w:rPr>
            <w:t xml:space="preserve">s </w:t>
          </w:r>
          <w:r w:rsidR="00866340">
            <w:rPr>
              <w:rFonts w:ascii="Michelin Unit Text" w:hAnsi="Michelin Unit Text" w:cstheme="minorHAnsi"/>
              <w:sz w:val="20"/>
              <w:szCs w:val="20"/>
              <w:lang w:val="es-ES"/>
            </w:rPr>
            <w:t>objetivos</w:t>
          </w:r>
          <w:r w:rsidRPr="00601D7E">
            <w:rPr>
              <w:rFonts w:ascii="Michelin Unit Text" w:hAnsi="Michelin Unit Text" w:cstheme="minorHAnsi"/>
              <w:sz w:val="20"/>
              <w:szCs w:val="20"/>
              <w:lang w:val="es-ES"/>
            </w:rPr>
            <w:t xml:space="preserve"> del Grupo para 2030 en torno a doce indicadores </w:t>
          </w:r>
          <w:r w:rsidR="00866340">
            <w:rPr>
              <w:rFonts w:ascii="Michelin Unit Text" w:hAnsi="Michelin Unit Text" w:cstheme="minorHAnsi"/>
              <w:sz w:val="20"/>
              <w:szCs w:val="20"/>
              <w:lang w:val="es-ES"/>
            </w:rPr>
            <w:t xml:space="preserve">que abarcan </w:t>
          </w:r>
          <w:r w:rsidRPr="00601D7E">
            <w:rPr>
              <w:rFonts w:ascii="Michelin Unit Text" w:hAnsi="Michelin Unit Text" w:cstheme="minorHAnsi"/>
              <w:sz w:val="20"/>
              <w:szCs w:val="20"/>
              <w:lang w:val="es-ES"/>
            </w:rPr>
            <w:t>los ámbitos medioambienta</w:t>
          </w:r>
          <w:r w:rsidR="00866340">
            <w:rPr>
              <w:rFonts w:ascii="Michelin Unit Text" w:hAnsi="Michelin Unit Text" w:cstheme="minorHAnsi"/>
              <w:sz w:val="20"/>
              <w:szCs w:val="20"/>
              <w:lang w:val="es-ES"/>
            </w:rPr>
            <w:t>l</w:t>
          </w:r>
          <w:r w:rsidRPr="00601D7E">
            <w:rPr>
              <w:rFonts w:ascii="Michelin Unit Text" w:hAnsi="Michelin Unit Text" w:cstheme="minorHAnsi"/>
              <w:sz w:val="20"/>
              <w:szCs w:val="20"/>
              <w:lang w:val="es-ES"/>
            </w:rPr>
            <w:t xml:space="preserve">, social </w:t>
          </w:r>
          <w:r w:rsidR="00866340">
            <w:rPr>
              <w:rFonts w:ascii="Michelin Unit Text" w:hAnsi="Michelin Unit Text" w:cstheme="minorHAnsi"/>
              <w:sz w:val="20"/>
              <w:szCs w:val="20"/>
              <w:lang w:val="es-ES"/>
            </w:rPr>
            <w:t>y financiero. Estos objetivos están detallados en la página 4. Menegaux destacó particularmente el compromiso</w:t>
          </w:r>
          <w:r w:rsidRPr="00601D7E">
            <w:rPr>
              <w:rFonts w:ascii="Michelin Unit Text" w:hAnsi="Michelin Unit Text" w:cstheme="minorHAnsi"/>
              <w:sz w:val="20"/>
              <w:szCs w:val="20"/>
              <w:lang w:val="es-ES"/>
            </w:rPr>
            <w:t xml:space="preserve"> del Grupo respecto a:</w:t>
          </w:r>
        </w:p>
        <w:p w14:paraId="561BB531" w14:textId="21471064" w:rsidR="009328D4" w:rsidRPr="00601D7E" w:rsidRDefault="009328D4" w:rsidP="00601D7E">
          <w:pPr>
            <w:spacing w:line="276" w:lineRule="auto"/>
            <w:jc w:val="both"/>
            <w:rPr>
              <w:rFonts w:ascii="Michelin Unit Text" w:hAnsi="Michelin Unit Text" w:cstheme="minorHAnsi"/>
              <w:sz w:val="20"/>
              <w:szCs w:val="20"/>
              <w:lang w:val="es-ES"/>
            </w:rPr>
          </w:pPr>
        </w:p>
        <w:p w14:paraId="27CC31E1" w14:textId="3F8EE746" w:rsidR="007613E0" w:rsidRPr="00601D7E" w:rsidRDefault="007613E0" w:rsidP="00601D7E">
          <w:pPr>
            <w:spacing w:line="276" w:lineRule="auto"/>
            <w:jc w:val="both"/>
            <w:rPr>
              <w:rFonts w:ascii="Michelin Unit Text" w:hAnsi="Michelin Unit Text" w:cstheme="minorHAnsi"/>
              <w:sz w:val="20"/>
              <w:szCs w:val="20"/>
              <w:lang w:val="es-ES"/>
            </w:rPr>
          </w:pPr>
          <w:r w:rsidRPr="00601D7E">
            <w:rPr>
              <w:rFonts w:ascii="Michelin Unit Text" w:hAnsi="Michelin Unit Text" w:cstheme="minorHAnsi"/>
              <w:sz w:val="20"/>
              <w:szCs w:val="20"/>
              <w:lang w:val="es-ES"/>
            </w:rPr>
            <w:t>P</w:t>
          </w:r>
          <w:r w:rsidR="00866340">
            <w:rPr>
              <w:rFonts w:ascii="Michelin Unit Text" w:hAnsi="Michelin Unit Text" w:cstheme="minorHAnsi"/>
              <w:sz w:val="20"/>
              <w:szCs w:val="20"/>
              <w:lang w:val="es-ES"/>
            </w:rPr>
            <w:t>ersonas</w:t>
          </w:r>
        </w:p>
        <w:p w14:paraId="5FA255CF" w14:textId="788B2F4C" w:rsidR="007613E0" w:rsidRPr="00601D7E" w:rsidRDefault="00866340" w:rsidP="00601D7E">
          <w:pPr>
            <w:pStyle w:val="Prrafodelista"/>
            <w:numPr>
              <w:ilvl w:val="0"/>
              <w:numId w:val="1"/>
            </w:numPr>
            <w:spacing w:line="276" w:lineRule="auto"/>
            <w:jc w:val="both"/>
            <w:rPr>
              <w:rFonts w:ascii="Michelin Unit Text" w:hAnsi="Michelin Unit Text" w:cstheme="minorHAnsi"/>
              <w:lang w:val="es-ES"/>
            </w:rPr>
          </w:pPr>
          <w:r>
            <w:rPr>
              <w:rFonts w:ascii="Michelin Unit Text" w:hAnsi="Michelin Unit Text" w:cstheme="minorHAnsi"/>
              <w:lang w:val="es-ES"/>
            </w:rPr>
            <w:t xml:space="preserve">Alcanzar </w:t>
          </w:r>
          <w:r w:rsidR="007613E0" w:rsidRPr="00601D7E">
            <w:rPr>
              <w:rFonts w:ascii="Michelin Unit Text" w:hAnsi="Michelin Unit Text" w:cstheme="minorHAnsi"/>
              <w:lang w:val="es-ES"/>
            </w:rPr>
            <w:t xml:space="preserve">un nivel de compromiso de sus empleados </w:t>
          </w:r>
          <w:r>
            <w:rPr>
              <w:rFonts w:ascii="Michelin Unit Text" w:hAnsi="Michelin Unit Text" w:cstheme="minorHAnsi"/>
              <w:lang w:val="es-ES"/>
            </w:rPr>
            <w:t>superior a</w:t>
          </w:r>
          <w:r w:rsidR="007613E0" w:rsidRPr="00601D7E">
            <w:rPr>
              <w:rFonts w:ascii="Michelin Unit Text" w:hAnsi="Michelin Unit Text" w:cstheme="minorHAnsi"/>
              <w:lang w:val="es-ES"/>
            </w:rPr>
            <w:t>l 85%</w:t>
          </w:r>
        </w:p>
        <w:p w14:paraId="71C2D491" w14:textId="00763835" w:rsidR="007613E0" w:rsidRPr="00601D7E" w:rsidRDefault="00866340" w:rsidP="00601D7E">
          <w:pPr>
            <w:pStyle w:val="Prrafodelista"/>
            <w:numPr>
              <w:ilvl w:val="0"/>
              <w:numId w:val="1"/>
            </w:numPr>
            <w:spacing w:line="276" w:lineRule="auto"/>
            <w:jc w:val="both"/>
            <w:rPr>
              <w:rFonts w:ascii="Michelin Unit Text" w:hAnsi="Michelin Unit Text" w:cstheme="minorHAnsi"/>
              <w:lang w:val="es-ES"/>
            </w:rPr>
          </w:pPr>
          <w:r>
            <w:rPr>
              <w:rFonts w:ascii="Michelin Unit Text" w:hAnsi="Michelin Unit Text" w:cstheme="minorHAnsi"/>
              <w:lang w:val="es-ES"/>
            </w:rPr>
            <w:t>Aumentar la proporción de mujeres en cargos directivos hasta el</w:t>
          </w:r>
          <w:r w:rsidR="007613E0" w:rsidRPr="00601D7E">
            <w:rPr>
              <w:rFonts w:ascii="Michelin Unit Text" w:hAnsi="Michelin Unit Text" w:cstheme="minorHAnsi"/>
              <w:lang w:val="es-ES"/>
            </w:rPr>
            <w:t xml:space="preserve"> 35%</w:t>
          </w:r>
        </w:p>
        <w:p w14:paraId="5A61ADDE" w14:textId="3196E688" w:rsidR="007613E0" w:rsidRPr="00601D7E" w:rsidRDefault="007613E0" w:rsidP="00601D7E">
          <w:pPr>
            <w:pStyle w:val="Prrafodelista"/>
            <w:numPr>
              <w:ilvl w:val="0"/>
              <w:numId w:val="1"/>
            </w:numPr>
            <w:spacing w:line="276" w:lineRule="auto"/>
            <w:jc w:val="both"/>
            <w:rPr>
              <w:rFonts w:ascii="Michelin Unit Text" w:hAnsi="Michelin Unit Text" w:cstheme="minorHAnsi"/>
              <w:lang w:val="es-ES"/>
            </w:rPr>
          </w:pPr>
          <w:r w:rsidRPr="00601D7E">
            <w:rPr>
              <w:rFonts w:ascii="Michelin Unit Text" w:hAnsi="Michelin Unit Text" w:cstheme="minorHAnsi"/>
              <w:lang w:val="es-ES"/>
            </w:rPr>
            <w:t>Ser referencia mundial en segur</w:t>
          </w:r>
          <w:r w:rsidR="00C12D82" w:rsidRPr="00601D7E">
            <w:rPr>
              <w:rFonts w:ascii="Michelin Unit Text" w:hAnsi="Michelin Unit Text" w:cstheme="minorHAnsi"/>
              <w:lang w:val="es-ES"/>
            </w:rPr>
            <w:t>idad laboral</w:t>
          </w:r>
          <w:r w:rsidR="00866340">
            <w:rPr>
              <w:rFonts w:ascii="Michelin Unit Text" w:hAnsi="Michelin Unit Text" w:cstheme="minorHAnsi"/>
              <w:lang w:val="es-ES"/>
            </w:rPr>
            <w:t>,</w:t>
          </w:r>
          <w:r w:rsidR="00C12D82" w:rsidRPr="00601D7E">
            <w:rPr>
              <w:rFonts w:ascii="Michelin Unit Text" w:hAnsi="Michelin Unit Text" w:cstheme="minorHAnsi"/>
              <w:lang w:val="es-ES"/>
            </w:rPr>
            <w:t xml:space="preserve"> con un índice TCIR</w:t>
          </w:r>
          <w:r w:rsidR="00C12D82" w:rsidRPr="00601D7E">
            <w:rPr>
              <w:rStyle w:val="Refdenotaalpie"/>
              <w:rFonts w:ascii="Michelin Unit Text" w:hAnsi="Michelin Unit Text" w:cstheme="minorHAnsi"/>
              <w:lang w:val="es-ES"/>
            </w:rPr>
            <w:footnoteReference w:id="1"/>
          </w:r>
          <w:r w:rsidR="00C12D82" w:rsidRPr="00601D7E">
            <w:rPr>
              <w:rFonts w:ascii="Michelin Unit Text" w:hAnsi="Michelin Unit Text" w:cstheme="minorHAnsi"/>
              <w:lang w:val="es-ES"/>
            </w:rPr>
            <w:t xml:space="preserve"> </w:t>
          </w:r>
          <w:r w:rsidR="00866340">
            <w:rPr>
              <w:rFonts w:ascii="Michelin Unit Text" w:hAnsi="Michelin Unit Text" w:cstheme="minorHAnsi"/>
              <w:lang w:val="es-ES"/>
            </w:rPr>
            <w:t>inferior</w:t>
          </w:r>
          <w:r w:rsidRPr="00601D7E">
            <w:rPr>
              <w:rFonts w:ascii="Michelin Unit Text" w:hAnsi="Michelin Unit Text" w:cstheme="minorHAnsi"/>
              <w:lang w:val="es-ES"/>
            </w:rPr>
            <w:t xml:space="preserve"> a 0,5.</w:t>
          </w:r>
        </w:p>
        <w:p w14:paraId="70580CC4" w14:textId="77777777" w:rsidR="007613E0" w:rsidRPr="00601D7E" w:rsidRDefault="007613E0" w:rsidP="00601D7E">
          <w:pPr>
            <w:spacing w:line="276" w:lineRule="auto"/>
            <w:jc w:val="both"/>
            <w:rPr>
              <w:rFonts w:ascii="Michelin Unit Text" w:hAnsi="Michelin Unit Text" w:cstheme="minorHAnsi"/>
              <w:lang w:val="es-ES"/>
            </w:rPr>
          </w:pPr>
        </w:p>
        <w:p w14:paraId="7CEEA35A" w14:textId="6ED6F457" w:rsidR="007613E0" w:rsidRPr="00601D7E" w:rsidRDefault="00866340" w:rsidP="00601D7E">
          <w:pPr>
            <w:spacing w:line="276" w:lineRule="auto"/>
            <w:jc w:val="both"/>
            <w:rPr>
              <w:rFonts w:ascii="Michelin Unit Text" w:hAnsi="Michelin Unit Text" w:cstheme="minorHAnsi"/>
              <w:lang w:val="es-ES"/>
            </w:rPr>
          </w:pPr>
          <w:r>
            <w:rPr>
              <w:rFonts w:ascii="Michelin Unit Text" w:hAnsi="Michelin Unit Text" w:cstheme="minorHAnsi"/>
              <w:sz w:val="20"/>
              <w:szCs w:val="20"/>
              <w:lang w:val="es-ES"/>
            </w:rPr>
            <w:t>Planeta</w:t>
          </w:r>
        </w:p>
        <w:p w14:paraId="69FDA01D" w14:textId="0128A3BB" w:rsidR="007613E0" w:rsidRPr="00601D7E" w:rsidRDefault="007613E0" w:rsidP="00601D7E">
          <w:pPr>
            <w:pStyle w:val="Prrafodelista"/>
            <w:numPr>
              <w:ilvl w:val="0"/>
              <w:numId w:val="1"/>
            </w:numPr>
            <w:spacing w:line="276" w:lineRule="auto"/>
            <w:jc w:val="both"/>
            <w:rPr>
              <w:rFonts w:ascii="Michelin Unit Text" w:hAnsi="Michelin Unit Text" w:cstheme="minorHAnsi"/>
              <w:lang w:val="es-ES"/>
            </w:rPr>
          </w:pPr>
          <w:r w:rsidRPr="00601D7E">
            <w:rPr>
              <w:rFonts w:ascii="Michelin Unit Text" w:hAnsi="Michelin Unit Text" w:cstheme="minorHAnsi"/>
              <w:lang w:val="es-ES"/>
            </w:rPr>
            <w:t xml:space="preserve">Reducir </w:t>
          </w:r>
          <w:r w:rsidR="00866340">
            <w:rPr>
              <w:rFonts w:ascii="Michelin Unit Text" w:hAnsi="Michelin Unit Text" w:cstheme="minorHAnsi"/>
              <w:lang w:val="es-ES"/>
            </w:rPr>
            <w:t>de forma significativa</w:t>
          </w:r>
          <w:r w:rsidRPr="00601D7E">
            <w:rPr>
              <w:rFonts w:ascii="Michelin Unit Text" w:hAnsi="Michelin Unit Text" w:cstheme="minorHAnsi"/>
              <w:lang w:val="es-ES"/>
            </w:rPr>
            <w:t xml:space="preserve"> las emisiones de CO</w:t>
          </w:r>
          <w:r w:rsidRPr="00866340">
            <w:rPr>
              <w:rFonts w:ascii="Michelin Unit Text" w:hAnsi="Michelin Unit Text" w:cs="Calibri (Cuerpo)"/>
              <w:vertAlign w:val="subscript"/>
              <w:lang w:val="es-ES"/>
            </w:rPr>
            <w:t>2</w:t>
          </w:r>
          <w:r w:rsidRPr="00601D7E">
            <w:rPr>
              <w:rFonts w:ascii="Michelin Unit Text" w:hAnsi="Michelin Unit Text" w:cstheme="minorHAnsi"/>
              <w:lang w:val="es-ES"/>
            </w:rPr>
            <w:t xml:space="preserve"> en los ámbitos 1 y 2 (-50% respecto a 2010) y sobre la partida transporte del ámbito 3 para </w:t>
          </w:r>
          <w:r w:rsidR="00866340">
            <w:rPr>
              <w:rFonts w:ascii="Michelin Unit Text" w:hAnsi="Michelin Unit Text" w:cstheme="minorHAnsi"/>
              <w:lang w:val="es-ES"/>
            </w:rPr>
            <w:t xml:space="preserve">lograr </w:t>
          </w:r>
          <w:r w:rsidRPr="00601D7E">
            <w:rPr>
              <w:rFonts w:ascii="Michelin Unit Text" w:hAnsi="Michelin Unit Text" w:cstheme="minorHAnsi"/>
              <w:lang w:val="es-ES"/>
            </w:rPr>
            <w:t>la neutralidad de carbono en este perímetro (ámbitos 1, 2 y transporte)</w:t>
          </w:r>
          <w:r w:rsidR="00866340">
            <w:rPr>
              <w:rFonts w:ascii="Michelin Unit Text" w:hAnsi="Michelin Unit Text" w:cstheme="minorHAnsi"/>
              <w:lang w:val="es-ES"/>
            </w:rPr>
            <w:t xml:space="preserve"> </w:t>
          </w:r>
          <w:r w:rsidR="00866340" w:rsidRPr="00601D7E">
            <w:rPr>
              <w:rFonts w:ascii="Michelin Unit Text" w:hAnsi="Michelin Unit Text" w:cstheme="minorHAnsi"/>
              <w:lang w:val="es-ES"/>
            </w:rPr>
            <w:t>en 2050</w:t>
          </w:r>
        </w:p>
        <w:p w14:paraId="41F47272" w14:textId="4C2341ED" w:rsidR="007613E0" w:rsidRPr="00601D7E" w:rsidRDefault="007613E0" w:rsidP="00601D7E">
          <w:pPr>
            <w:pStyle w:val="Prrafodelista"/>
            <w:numPr>
              <w:ilvl w:val="0"/>
              <w:numId w:val="1"/>
            </w:numPr>
            <w:spacing w:line="276" w:lineRule="auto"/>
            <w:jc w:val="both"/>
            <w:rPr>
              <w:rFonts w:ascii="Michelin Unit Text" w:hAnsi="Michelin Unit Text" w:cstheme="minorHAnsi"/>
              <w:lang w:val="es-ES"/>
            </w:rPr>
          </w:pPr>
          <w:r w:rsidRPr="00601D7E">
            <w:rPr>
              <w:rFonts w:ascii="Michelin Unit Text" w:hAnsi="Michelin Unit Text" w:cstheme="minorHAnsi"/>
              <w:lang w:val="es-ES"/>
            </w:rPr>
            <w:t xml:space="preserve">Aumentar </w:t>
          </w:r>
          <w:r w:rsidR="00631317">
            <w:rPr>
              <w:rFonts w:ascii="Michelin Unit Text" w:hAnsi="Michelin Unit Text" w:cstheme="minorHAnsi"/>
              <w:lang w:val="es-ES"/>
            </w:rPr>
            <w:t>la tasa de materias primas</w:t>
          </w:r>
          <w:r w:rsidRPr="00601D7E">
            <w:rPr>
              <w:rFonts w:ascii="Michelin Unit Text" w:hAnsi="Michelin Unit Text" w:cstheme="minorHAnsi"/>
              <w:lang w:val="es-ES"/>
            </w:rPr>
            <w:t xml:space="preserve"> </w:t>
          </w:r>
          <w:r w:rsidR="00866340">
            <w:rPr>
              <w:rFonts w:ascii="Michelin Unit Text" w:hAnsi="Michelin Unit Text" w:cstheme="minorHAnsi"/>
              <w:lang w:val="es-ES"/>
            </w:rPr>
            <w:t>sostenibles</w:t>
          </w:r>
          <w:r w:rsidRPr="00601D7E">
            <w:rPr>
              <w:rFonts w:ascii="Michelin Unit Text" w:hAnsi="Michelin Unit Text" w:cstheme="minorHAnsi"/>
              <w:lang w:val="es-ES"/>
            </w:rPr>
            <w:t xml:space="preserve"> en </w:t>
          </w:r>
          <w:r w:rsidR="00866340">
            <w:rPr>
              <w:rFonts w:ascii="Michelin Unit Text" w:hAnsi="Michelin Unit Text" w:cstheme="minorHAnsi"/>
              <w:lang w:val="es-ES"/>
            </w:rPr>
            <w:t>todos sus</w:t>
          </w:r>
          <w:r w:rsidRPr="00601D7E">
            <w:rPr>
              <w:rFonts w:ascii="Michelin Unit Text" w:hAnsi="Michelin Unit Text" w:cstheme="minorHAnsi"/>
              <w:lang w:val="es-ES"/>
            </w:rPr>
            <w:t xml:space="preserve"> productos: 40% en el horizonte de 2030, en línea con el objetivo del 100% en 2050.</w:t>
          </w:r>
        </w:p>
        <w:p w14:paraId="59D74732" w14:textId="77777777" w:rsidR="007613E0" w:rsidRDefault="007613E0" w:rsidP="00601D7E">
          <w:pPr>
            <w:spacing w:line="276" w:lineRule="auto"/>
            <w:jc w:val="both"/>
            <w:rPr>
              <w:rFonts w:ascii="Michelin Unit Text" w:hAnsi="Michelin Unit Text" w:cstheme="minorHAnsi"/>
              <w:lang w:val="es-ES"/>
            </w:rPr>
          </w:pPr>
        </w:p>
        <w:p w14:paraId="6903EE42" w14:textId="582A66A3" w:rsidR="007613E0" w:rsidRPr="00601D7E" w:rsidRDefault="00866340" w:rsidP="00601D7E">
          <w:pPr>
            <w:spacing w:line="276" w:lineRule="auto"/>
            <w:jc w:val="both"/>
            <w:rPr>
              <w:rFonts w:ascii="Michelin Unit Text" w:hAnsi="Michelin Unit Text" w:cstheme="minorHAnsi"/>
              <w:sz w:val="20"/>
              <w:szCs w:val="20"/>
              <w:lang w:val="es-ES"/>
            </w:rPr>
          </w:pPr>
          <w:r>
            <w:rPr>
              <w:rFonts w:ascii="Michelin Unit Text" w:hAnsi="Michelin Unit Text" w:cstheme="minorHAnsi"/>
              <w:sz w:val="20"/>
              <w:szCs w:val="20"/>
              <w:lang w:val="es-ES"/>
            </w:rPr>
            <w:t>Resultados económicos</w:t>
          </w:r>
        </w:p>
        <w:p w14:paraId="3F480F92" w14:textId="7FA509EB" w:rsidR="007613E0" w:rsidRPr="00601D7E" w:rsidRDefault="00866340" w:rsidP="00601D7E">
          <w:pPr>
            <w:pStyle w:val="Prrafodelista"/>
            <w:numPr>
              <w:ilvl w:val="0"/>
              <w:numId w:val="1"/>
            </w:numPr>
            <w:spacing w:line="276" w:lineRule="auto"/>
            <w:jc w:val="both"/>
            <w:rPr>
              <w:rFonts w:ascii="Michelin Unit Text" w:hAnsi="Michelin Unit Text" w:cstheme="minorHAnsi"/>
              <w:lang w:val="es-ES"/>
            </w:rPr>
          </w:pPr>
          <w:r>
            <w:rPr>
              <w:rFonts w:ascii="Michelin Unit Text" w:hAnsi="Michelin Unit Text" w:cstheme="minorHAnsi"/>
              <w:lang w:val="es-ES"/>
            </w:rPr>
            <w:t>Crecer de forma sostenida</w:t>
          </w:r>
          <w:r w:rsidR="007613E0" w:rsidRPr="00601D7E">
            <w:rPr>
              <w:rFonts w:ascii="Michelin Unit Text" w:hAnsi="Michelin Unit Text" w:cstheme="minorHAnsi"/>
              <w:lang w:val="es-ES"/>
            </w:rPr>
            <w:t xml:space="preserve"> con una progresión anual de ventas del 5% en promedio entre 2023 y 2030, una vez </w:t>
          </w:r>
          <w:r>
            <w:rPr>
              <w:rFonts w:ascii="Michelin Unit Text" w:hAnsi="Michelin Unit Text" w:cstheme="minorHAnsi"/>
              <w:lang w:val="es-ES"/>
            </w:rPr>
            <w:t>finalizada</w:t>
          </w:r>
          <w:r w:rsidR="007613E0" w:rsidRPr="00601D7E">
            <w:rPr>
              <w:rFonts w:ascii="Michelin Unit Text" w:hAnsi="Michelin Unit Text" w:cstheme="minorHAnsi"/>
              <w:lang w:val="es-ES"/>
            </w:rPr>
            <w:t xml:space="preserve"> la actual crisis debida a las consecuencias de</w:t>
          </w:r>
          <w:r w:rsidR="00631317">
            <w:rPr>
              <w:rFonts w:ascii="Michelin Unit Text" w:hAnsi="Michelin Unit Text" w:cstheme="minorHAnsi"/>
              <w:lang w:val="es-ES"/>
            </w:rPr>
            <w:t xml:space="preserve"> </w:t>
          </w:r>
          <w:r w:rsidR="007613E0" w:rsidRPr="00601D7E">
            <w:rPr>
              <w:rFonts w:ascii="Michelin Unit Text" w:hAnsi="Michelin Unit Text" w:cstheme="minorHAnsi"/>
              <w:lang w:val="es-ES"/>
            </w:rPr>
            <w:t>l</w:t>
          </w:r>
          <w:r w:rsidR="00631317">
            <w:rPr>
              <w:rFonts w:ascii="Michelin Unit Text" w:hAnsi="Michelin Unit Text" w:cstheme="minorHAnsi"/>
              <w:lang w:val="es-ES"/>
            </w:rPr>
            <w:t>a</w:t>
          </w:r>
          <w:r w:rsidR="007613E0" w:rsidRPr="00601D7E">
            <w:rPr>
              <w:rFonts w:ascii="Michelin Unit Text" w:hAnsi="Michelin Unit Text" w:cstheme="minorHAnsi"/>
              <w:lang w:val="es-ES"/>
            </w:rPr>
            <w:t xml:space="preserve"> C</w:t>
          </w:r>
          <w:r w:rsidR="00631317">
            <w:rPr>
              <w:rFonts w:ascii="Michelin Unit Text" w:hAnsi="Michelin Unit Text" w:cstheme="minorHAnsi"/>
              <w:lang w:val="es-ES"/>
            </w:rPr>
            <w:t>OVID</w:t>
          </w:r>
          <w:r w:rsidR="007613E0" w:rsidRPr="00601D7E">
            <w:rPr>
              <w:rFonts w:ascii="Michelin Unit Text" w:hAnsi="Michelin Unit Text" w:cstheme="minorHAnsi"/>
              <w:lang w:val="es-ES"/>
            </w:rPr>
            <w:t>-19.</w:t>
          </w:r>
        </w:p>
        <w:p w14:paraId="3A31710F" w14:textId="3BCE5A3E" w:rsidR="007613E0" w:rsidRPr="00601D7E" w:rsidRDefault="007613E0" w:rsidP="00601D7E">
          <w:pPr>
            <w:pStyle w:val="Prrafodelista"/>
            <w:numPr>
              <w:ilvl w:val="0"/>
              <w:numId w:val="1"/>
            </w:numPr>
            <w:spacing w:line="276" w:lineRule="auto"/>
            <w:jc w:val="both"/>
            <w:rPr>
              <w:rFonts w:ascii="Michelin Unit Text" w:hAnsi="Michelin Unit Text" w:cstheme="minorHAnsi"/>
              <w:lang w:val="es-ES"/>
            </w:rPr>
          </w:pPr>
          <w:r w:rsidRPr="00601D7E">
            <w:rPr>
              <w:rFonts w:ascii="Michelin Unit Text" w:hAnsi="Michelin Unit Text" w:cstheme="minorHAnsi"/>
              <w:lang w:val="es-ES"/>
            </w:rPr>
            <w:t>Alcanzar entre el 20</w:t>
          </w:r>
          <w:r w:rsidR="003E4201">
            <w:rPr>
              <w:rFonts w:ascii="Michelin Unit Text" w:hAnsi="Michelin Unit Text" w:cstheme="minorHAnsi"/>
              <w:lang w:val="es-ES"/>
            </w:rPr>
            <w:t>%</w:t>
          </w:r>
          <w:r w:rsidRPr="00601D7E">
            <w:rPr>
              <w:rFonts w:ascii="Michelin Unit Text" w:hAnsi="Michelin Unit Text" w:cstheme="minorHAnsi"/>
              <w:lang w:val="es-ES"/>
            </w:rPr>
            <w:t xml:space="preserve"> y el 30% de las ventas en </w:t>
          </w:r>
          <w:r w:rsidR="003E4201">
            <w:rPr>
              <w:rFonts w:ascii="Michelin Unit Text" w:hAnsi="Michelin Unit Text" w:cstheme="minorHAnsi"/>
              <w:lang w:val="es-ES"/>
            </w:rPr>
            <w:t>negocios no relacionados con los neumáticos</w:t>
          </w:r>
        </w:p>
        <w:p w14:paraId="15CB31D5" w14:textId="35CDA0F7" w:rsidR="007613E0" w:rsidRPr="00601D7E" w:rsidRDefault="007613E0" w:rsidP="00601D7E">
          <w:pPr>
            <w:pStyle w:val="Prrafodelista"/>
            <w:numPr>
              <w:ilvl w:val="0"/>
              <w:numId w:val="1"/>
            </w:numPr>
            <w:spacing w:line="276" w:lineRule="auto"/>
            <w:jc w:val="both"/>
            <w:rPr>
              <w:rFonts w:ascii="Michelin Unit Text" w:hAnsi="Michelin Unit Text" w:cstheme="minorHAnsi"/>
              <w:lang w:val="es-ES"/>
            </w:rPr>
          </w:pPr>
          <w:r w:rsidRPr="00601D7E">
            <w:rPr>
              <w:rFonts w:ascii="Michelin Unit Text" w:hAnsi="Michelin Unit Text" w:cstheme="minorHAnsi"/>
              <w:lang w:val="es-ES"/>
            </w:rPr>
            <w:t xml:space="preserve">Garantizar una creación </w:t>
          </w:r>
          <w:r w:rsidR="003E4201">
            <w:rPr>
              <w:rFonts w:ascii="Michelin Unit Text" w:hAnsi="Michelin Unit Text" w:cstheme="minorHAnsi"/>
              <w:lang w:val="es-ES"/>
            </w:rPr>
            <w:t xml:space="preserve">de valor </w:t>
          </w:r>
          <w:r w:rsidRPr="00601D7E">
            <w:rPr>
              <w:rFonts w:ascii="Michelin Unit Text" w:hAnsi="Michelin Unit Text" w:cstheme="minorHAnsi"/>
              <w:lang w:val="es-ES"/>
            </w:rPr>
            <w:t>significativa</w:t>
          </w:r>
          <w:r w:rsidR="003E4201">
            <w:rPr>
              <w:rFonts w:ascii="Michelin Unit Text" w:hAnsi="Michelin Unit Text" w:cstheme="minorHAnsi"/>
              <w:lang w:val="es-ES"/>
            </w:rPr>
            <w:t>,</w:t>
          </w:r>
          <w:r w:rsidRPr="00601D7E">
            <w:rPr>
              <w:rFonts w:ascii="Michelin Unit Text" w:hAnsi="Michelin Unit Text" w:cstheme="minorHAnsi"/>
              <w:lang w:val="es-ES"/>
            </w:rPr>
            <w:t xml:space="preserve"> con un ROCE superior al 10,5% entre 2023 y 2030.</w:t>
          </w:r>
        </w:p>
        <w:p w14:paraId="2F4362A4" w14:textId="77777777" w:rsidR="007613E0" w:rsidRPr="00601D7E" w:rsidRDefault="007613E0" w:rsidP="00601D7E">
          <w:pPr>
            <w:spacing w:line="276" w:lineRule="auto"/>
            <w:jc w:val="both"/>
            <w:rPr>
              <w:rFonts w:ascii="Michelin Unit Text" w:hAnsi="Michelin Unit Text" w:cstheme="minorHAnsi"/>
              <w:sz w:val="20"/>
              <w:szCs w:val="20"/>
              <w:lang w:val="es-ES"/>
            </w:rPr>
          </w:pPr>
        </w:p>
        <w:p w14:paraId="7BF50A45" w14:textId="1BF2FBCC" w:rsidR="007613E0" w:rsidRPr="00601D7E" w:rsidRDefault="007613E0" w:rsidP="00601D7E">
          <w:pPr>
            <w:spacing w:line="276" w:lineRule="auto"/>
            <w:jc w:val="both"/>
            <w:rPr>
              <w:rFonts w:ascii="Michelin Unit Text" w:hAnsi="Michelin Unit Text" w:cstheme="minorHAnsi"/>
              <w:b/>
              <w:bCs/>
              <w:sz w:val="20"/>
              <w:szCs w:val="20"/>
              <w:lang w:val="es-ES"/>
            </w:rPr>
          </w:pPr>
          <w:r w:rsidRPr="00601D7E">
            <w:rPr>
              <w:rFonts w:ascii="Michelin Unit Text" w:hAnsi="Michelin Unit Text" w:cstheme="minorHAnsi"/>
              <w:b/>
              <w:bCs/>
              <w:sz w:val="20"/>
              <w:szCs w:val="20"/>
              <w:lang w:val="es-ES"/>
            </w:rPr>
            <w:t xml:space="preserve">Nuevas áreas de crecimiento </w:t>
          </w:r>
          <w:r w:rsidR="005E3895">
            <w:rPr>
              <w:rFonts w:ascii="Michelin Unit Text" w:hAnsi="Michelin Unit Text" w:cstheme="minorHAnsi"/>
              <w:b/>
              <w:bCs/>
              <w:sz w:val="20"/>
              <w:szCs w:val="20"/>
              <w:lang w:val="es-ES"/>
            </w:rPr>
            <w:t>más allá de los neumáticos</w:t>
          </w:r>
        </w:p>
        <w:p w14:paraId="0297E5F1" w14:textId="77777777" w:rsidR="007613E0" w:rsidRPr="00601D7E" w:rsidRDefault="007613E0" w:rsidP="00601D7E">
          <w:pPr>
            <w:spacing w:line="276" w:lineRule="auto"/>
            <w:jc w:val="both"/>
            <w:rPr>
              <w:rFonts w:ascii="Michelin Unit Text" w:hAnsi="Michelin Unit Text" w:cstheme="minorHAnsi"/>
              <w:sz w:val="20"/>
              <w:szCs w:val="20"/>
              <w:lang w:val="es-ES"/>
            </w:rPr>
          </w:pPr>
        </w:p>
        <w:p w14:paraId="42B65D22" w14:textId="797A80FE" w:rsidR="007613E0" w:rsidRPr="00601D7E" w:rsidRDefault="007613E0" w:rsidP="00601D7E">
          <w:pPr>
            <w:spacing w:line="276" w:lineRule="auto"/>
            <w:jc w:val="both"/>
            <w:rPr>
              <w:rFonts w:ascii="Michelin Unit Text" w:hAnsi="Michelin Unit Text" w:cstheme="minorHAnsi"/>
              <w:sz w:val="20"/>
              <w:szCs w:val="20"/>
              <w:lang w:val="es-ES"/>
            </w:rPr>
          </w:pPr>
          <w:r w:rsidRPr="00601D7E">
            <w:rPr>
              <w:rFonts w:ascii="Michelin Unit Text" w:hAnsi="Michelin Unit Text" w:cstheme="minorHAnsi"/>
              <w:sz w:val="20"/>
              <w:szCs w:val="20"/>
              <w:lang w:val="es-ES"/>
            </w:rPr>
            <w:t>Michelin continuará creciendo, invirtiendo e innovando</w:t>
          </w:r>
          <w:r w:rsidR="00435D29">
            <w:rPr>
              <w:rFonts w:ascii="Michelin Unit Text" w:hAnsi="Michelin Unit Text" w:cstheme="minorHAnsi"/>
              <w:sz w:val="20"/>
              <w:szCs w:val="20"/>
              <w:lang w:val="es-ES"/>
            </w:rPr>
            <w:t xml:space="preserve"> en </w:t>
          </w:r>
          <w:r w:rsidR="005E3895">
            <w:rPr>
              <w:rFonts w:ascii="Michelin Unit Text" w:hAnsi="Michelin Unit Text" w:cstheme="minorHAnsi"/>
              <w:sz w:val="20"/>
              <w:szCs w:val="20"/>
              <w:lang w:val="es-ES"/>
            </w:rPr>
            <w:t xml:space="preserve">las </w:t>
          </w:r>
          <w:r w:rsidR="005E3895" w:rsidRPr="005E3895">
            <w:rPr>
              <w:rFonts w:ascii="Michelin Unit Text" w:hAnsi="Michelin Unit Text" w:cstheme="minorHAnsi"/>
              <w:b/>
              <w:bCs/>
              <w:sz w:val="20"/>
              <w:szCs w:val="20"/>
              <w:lang w:val="es-ES"/>
            </w:rPr>
            <w:t>actividades y negocios relacionados con los neumáticos</w:t>
          </w:r>
          <w:r w:rsidRPr="00601D7E">
            <w:rPr>
              <w:rFonts w:ascii="Michelin Unit Text" w:hAnsi="Michelin Unit Text" w:cstheme="minorHAnsi"/>
              <w:sz w:val="20"/>
              <w:szCs w:val="20"/>
              <w:lang w:val="es-ES"/>
            </w:rPr>
            <w:t>. Las evoluciones de la movilidad post-C</w:t>
          </w:r>
          <w:r w:rsidR="0042060A">
            <w:rPr>
              <w:rFonts w:ascii="Michelin Unit Text" w:hAnsi="Michelin Unit Text" w:cstheme="minorHAnsi"/>
              <w:sz w:val="20"/>
              <w:szCs w:val="20"/>
              <w:lang w:val="es-ES"/>
            </w:rPr>
            <w:t>OVID-19</w:t>
          </w:r>
          <w:r w:rsidRPr="00601D7E">
            <w:rPr>
              <w:rFonts w:ascii="Michelin Unit Text" w:hAnsi="Michelin Unit Text" w:cstheme="minorHAnsi"/>
              <w:sz w:val="20"/>
              <w:szCs w:val="20"/>
              <w:lang w:val="es-ES"/>
            </w:rPr>
            <w:t xml:space="preserve"> y la aceleración del mercado de vehículos eléctricos </w:t>
          </w:r>
          <w:r w:rsidRPr="00601D7E">
            <w:rPr>
              <w:rFonts w:ascii="Michelin Unit Text" w:hAnsi="Michelin Unit Text" w:cstheme="minorHAnsi"/>
              <w:sz w:val="20"/>
              <w:szCs w:val="20"/>
              <w:lang w:val="es-ES"/>
            </w:rPr>
            <w:lastRenderedPageBreak/>
            <w:t xml:space="preserve">constituyen una auténtica oportunidad de crecimiento para el Grupo. </w:t>
          </w:r>
          <w:r w:rsidR="005E3895">
            <w:rPr>
              <w:rFonts w:ascii="Michelin Unit Text" w:hAnsi="Michelin Unit Text" w:cstheme="minorHAnsi"/>
              <w:sz w:val="20"/>
              <w:szCs w:val="20"/>
              <w:lang w:val="es-ES"/>
            </w:rPr>
            <w:t>De hecho</w:t>
          </w:r>
          <w:r w:rsidRPr="00601D7E">
            <w:rPr>
              <w:rFonts w:ascii="Michelin Unit Text" w:hAnsi="Michelin Unit Text" w:cstheme="minorHAnsi"/>
              <w:sz w:val="20"/>
              <w:szCs w:val="20"/>
              <w:lang w:val="es-ES"/>
            </w:rPr>
            <w:t>, Michelin ha desarrollado un liderazgo tecnológico único en la concepción y fabricación de neumáticos adaptados a los requerimientos específicos de los vehículos eléctricos. En el terreno del transporte por carretera, el Grupo priorizará la selectividad y la creación de valor</w:t>
          </w:r>
          <w:r w:rsidR="005E3895">
            <w:rPr>
              <w:rFonts w:ascii="Michelin Unit Text" w:hAnsi="Michelin Unit Text" w:cstheme="minorHAnsi"/>
              <w:sz w:val="20"/>
              <w:szCs w:val="20"/>
              <w:lang w:val="es-ES"/>
            </w:rPr>
            <w:t xml:space="preserve">, mientras que </w:t>
          </w:r>
          <w:r w:rsidRPr="00601D7E">
            <w:rPr>
              <w:rFonts w:ascii="Michelin Unit Text" w:hAnsi="Michelin Unit Text" w:cstheme="minorHAnsi"/>
              <w:sz w:val="20"/>
              <w:szCs w:val="20"/>
              <w:lang w:val="es-ES"/>
            </w:rPr>
            <w:t>neumáticos para especialidades (</w:t>
          </w:r>
          <w:r w:rsidR="005E3895">
            <w:rPr>
              <w:rFonts w:ascii="Michelin Unit Text" w:hAnsi="Michelin Unit Text" w:cstheme="minorHAnsi"/>
              <w:sz w:val="20"/>
              <w:szCs w:val="20"/>
              <w:lang w:val="es-ES"/>
            </w:rPr>
            <w:t>m</w:t>
          </w:r>
          <w:r w:rsidRPr="00601D7E">
            <w:rPr>
              <w:rFonts w:ascii="Michelin Unit Text" w:hAnsi="Michelin Unit Text" w:cstheme="minorHAnsi"/>
              <w:sz w:val="20"/>
              <w:szCs w:val="20"/>
              <w:lang w:val="es-ES"/>
            </w:rPr>
            <w:t xml:space="preserve">inería, </w:t>
          </w:r>
          <w:r w:rsidR="005E3895">
            <w:rPr>
              <w:rFonts w:ascii="Michelin Unit Text" w:hAnsi="Michelin Unit Text" w:cstheme="minorHAnsi"/>
              <w:sz w:val="20"/>
              <w:szCs w:val="20"/>
              <w:lang w:val="es-ES"/>
            </w:rPr>
            <w:t>i</w:t>
          </w:r>
          <w:r w:rsidRPr="00601D7E">
            <w:rPr>
              <w:rFonts w:ascii="Michelin Unit Text" w:hAnsi="Michelin Unit Text" w:cstheme="minorHAnsi"/>
              <w:sz w:val="20"/>
              <w:szCs w:val="20"/>
              <w:lang w:val="es-ES"/>
            </w:rPr>
            <w:t xml:space="preserve">ngeniería </w:t>
          </w:r>
          <w:r w:rsidR="005E3895">
            <w:rPr>
              <w:rFonts w:ascii="Michelin Unit Text" w:hAnsi="Michelin Unit Text" w:cstheme="minorHAnsi"/>
              <w:sz w:val="20"/>
              <w:szCs w:val="20"/>
              <w:lang w:val="es-ES"/>
            </w:rPr>
            <w:t>c</w:t>
          </w:r>
          <w:r w:rsidRPr="00601D7E">
            <w:rPr>
              <w:rFonts w:ascii="Michelin Unit Text" w:hAnsi="Michelin Unit Text" w:cstheme="minorHAnsi"/>
              <w:sz w:val="20"/>
              <w:szCs w:val="20"/>
              <w:lang w:val="es-ES"/>
            </w:rPr>
            <w:t xml:space="preserve">ivil, </w:t>
          </w:r>
          <w:r w:rsidR="005E3895">
            <w:rPr>
              <w:rFonts w:ascii="Michelin Unit Text" w:hAnsi="Michelin Unit Text" w:cstheme="minorHAnsi"/>
              <w:sz w:val="20"/>
              <w:szCs w:val="20"/>
              <w:lang w:val="es-ES"/>
            </w:rPr>
            <w:t>a</w:t>
          </w:r>
          <w:r w:rsidRPr="00601D7E">
            <w:rPr>
              <w:rFonts w:ascii="Michelin Unit Text" w:hAnsi="Michelin Unit Text" w:cstheme="minorHAnsi"/>
              <w:sz w:val="20"/>
              <w:szCs w:val="20"/>
              <w:lang w:val="es-ES"/>
            </w:rPr>
            <w:t>gricultura</w:t>
          </w:r>
          <w:r w:rsidR="005E3895">
            <w:rPr>
              <w:rFonts w:ascii="Michelin Unit Text" w:hAnsi="Michelin Unit Text" w:cstheme="minorHAnsi"/>
              <w:sz w:val="20"/>
              <w:szCs w:val="20"/>
              <w:lang w:val="es-ES"/>
            </w:rPr>
            <w:t xml:space="preserve"> y</w:t>
          </w:r>
          <w:r w:rsidRPr="00601D7E">
            <w:rPr>
              <w:rFonts w:ascii="Michelin Unit Text" w:hAnsi="Michelin Unit Text" w:cstheme="minorHAnsi"/>
              <w:sz w:val="20"/>
              <w:szCs w:val="20"/>
              <w:lang w:val="es-ES"/>
            </w:rPr>
            <w:t xml:space="preserve"> </w:t>
          </w:r>
          <w:r w:rsidR="005E3895">
            <w:rPr>
              <w:rFonts w:ascii="Michelin Unit Text" w:hAnsi="Michelin Unit Text" w:cstheme="minorHAnsi"/>
              <w:sz w:val="20"/>
              <w:szCs w:val="20"/>
              <w:lang w:val="es-ES"/>
            </w:rPr>
            <w:t>a</w:t>
          </w:r>
          <w:r w:rsidRPr="00601D7E">
            <w:rPr>
              <w:rFonts w:ascii="Michelin Unit Text" w:hAnsi="Michelin Unit Text" w:cstheme="minorHAnsi"/>
              <w:sz w:val="20"/>
              <w:szCs w:val="20"/>
              <w:lang w:val="es-ES"/>
            </w:rPr>
            <w:t>viación), Michelin se propone seguir siendo la referencia, capitalizando en especial la diferenciación de sus productos y servicios.</w:t>
          </w:r>
        </w:p>
        <w:p w14:paraId="7F774E53" w14:textId="77777777" w:rsidR="007613E0" w:rsidRPr="00601D7E" w:rsidRDefault="007613E0" w:rsidP="00601D7E">
          <w:pPr>
            <w:spacing w:line="276" w:lineRule="auto"/>
            <w:jc w:val="both"/>
            <w:rPr>
              <w:rFonts w:ascii="Michelin Unit Text" w:hAnsi="Michelin Unit Text" w:cstheme="minorHAnsi"/>
              <w:sz w:val="20"/>
              <w:szCs w:val="20"/>
              <w:lang w:val="es-ES"/>
            </w:rPr>
          </w:pPr>
        </w:p>
        <w:p w14:paraId="48914144" w14:textId="2970B2BC" w:rsidR="007613E0" w:rsidRPr="00601D7E" w:rsidRDefault="007613E0" w:rsidP="00601D7E">
          <w:pPr>
            <w:spacing w:line="276" w:lineRule="auto"/>
            <w:jc w:val="both"/>
            <w:rPr>
              <w:rFonts w:ascii="Michelin Unit Text" w:hAnsi="Michelin Unit Text" w:cstheme="minorHAnsi"/>
              <w:sz w:val="20"/>
              <w:szCs w:val="20"/>
              <w:lang w:val="es-ES"/>
            </w:rPr>
          </w:pPr>
          <w:r w:rsidRPr="00601D7E">
            <w:rPr>
              <w:rFonts w:ascii="Michelin Unit Text" w:hAnsi="Michelin Unit Text" w:cstheme="minorHAnsi"/>
              <w:sz w:val="20"/>
              <w:szCs w:val="20"/>
              <w:lang w:val="es-ES"/>
            </w:rPr>
            <w:t xml:space="preserve">Gracias a su capacidad de innovación y su conocimiento de los materiales, Michelin </w:t>
          </w:r>
          <w:r w:rsidR="005E3895">
            <w:rPr>
              <w:rFonts w:ascii="Michelin Unit Text" w:hAnsi="Michelin Unit Text" w:cstheme="minorHAnsi"/>
              <w:sz w:val="20"/>
              <w:szCs w:val="20"/>
              <w:lang w:val="es-ES"/>
            </w:rPr>
            <w:t xml:space="preserve">también </w:t>
          </w:r>
          <w:r w:rsidRPr="00601D7E">
            <w:rPr>
              <w:rFonts w:ascii="Michelin Unit Text" w:hAnsi="Michelin Unit Text" w:cstheme="minorHAnsi"/>
              <w:sz w:val="20"/>
              <w:szCs w:val="20"/>
              <w:lang w:val="es-ES"/>
            </w:rPr>
            <w:t xml:space="preserve">tiene la determinación de desarrollarse </w:t>
          </w:r>
          <w:r w:rsidR="005E3895">
            <w:rPr>
              <w:rFonts w:ascii="Michelin Unit Text" w:hAnsi="Michelin Unit Text" w:cstheme="minorHAnsi"/>
              <w:sz w:val="20"/>
              <w:szCs w:val="20"/>
              <w:lang w:val="es-ES"/>
            </w:rPr>
            <w:t>con fuerza</w:t>
          </w:r>
          <w:r w:rsidRPr="00601D7E">
            <w:rPr>
              <w:rFonts w:ascii="Michelin Unit Text" w:hAnsi="Michelin Unit Text" w:cstheme="minorHAnsi"/>
              <w:sz w:val="20"/>
              <w:szCs w:val="20"/>
              <w:lang w:val="es-ES"/>
            </w:rPr>
            <w:t xml:space="preserve"> en cinco sectores </w:t>
          </w:r>
          <w:r w:rsidRPr="00435D29">
            <w:rPr>
              <w:rFonts w:ascii="Michelin Unit Text" w:hAnsi="Michelin Unit Text" w:cstheme="minorHAnsi"/>
              <w:b/>
              <w:sz w:val="20"/>
              <w:szCs w:val="20"/>
              <w:lang w:val="es-ES"/>
            </w:rPr>
            <w:t xml:space="preserve">en torno </w:t>
          </w:r>
          <w:r w:rsidR="005E3895">
            <w:rPr>
              <w:rFonts w:ascii="Michelin Unit Text" w:hAnsi="Michelin Unit Text" w:cstheme="minorHAnsi"/>
              <w:b/>
              <w:sz w:val="20"/>
              <w:szCs w:val="20"/>
              <w:lang w:val="es-ES"/>
            </w:rPr>
            <w:t xml:space="preserve">a los neumáticos y más allá de ellos: </w:t>
          </w:r>
          <w:r w:rsidRPr="00601D7E">
            <w:rPr>
              <w:rFonts w:ascii="Michelin Unit Text" w:hAnsi="Michelin Unit Text" w:cstheme="minorHAnsi"/>
              <w:sz w:val="20"/>
              <w:szCs w:val="20"/>
              <w:lang w:val="es-ES"/>
            </w:rPr>
            <w:t xml:space="preserve"> Servicios y soluciones, materiales compuestos flexibles, sector médico, impresión 3D en metal y movilidad </w:t>
          </w:r>
          <w:r w:rsidR="005E3895">
            <w:rPr>
              <w:rFonts w:ascii="Michelin Unit Text" w:hAnsi="Michelin Unit Text" w:cstheme="minorHAnsi"/>
              <w:sz w:val="20"/>
              <w:szCs w:val="20"/>
              <w:lang w:val="es-ES"/>
            </w:rPr>
            <w:t>basada en el h</w:t>
          </w:r>
          <w:r w:rsidRPr="00601D7E">
            <w:rPr>
              <w:rFonts w:ascii="Michelin Unit Text" w:hAnsi="Michelin Unit Text" w:cstheme="minorHAnsi"/>
              <w:sz w:val="20"/>
              <w:szCs w:val="20"/>
              <w:lang w:val="es-ES"/>
            </w:rPr>
            <w:t>idrógeno.</w:t>
          </w:r>
        </w:p>
        <w:p w14:paraId="0781988F" w14:textId="77777777" w:rsidR="007613E0" w:rsidRPr="00601D7E" w:rsidRDefault="007613E0" w:rsidP="00601D7E">
          <w:pPr>
            <w:spacing w:line="276" w:lineRule="auto"/>
            <w:jc w:val="both"/>
            <w:rPr>
              <w:rFonts w:ascii="Michelin Unit Text" w:hAnsi="Michelin Unit Text" w:cstheme="minorHAnsi"/>
              <w:sz w:val="20"/>
              <w:szCs w:val="20"/>
              <w:lang w:val="es-ES"/>
            </w:rPr>
          </w:pPr>
        </w:p>
        <w:p w14:paraId="11C66B09" w14:textId="363677A7" w:rsidR="007613E0" w:rsidRPr="00601D7E" w:rsidRDefault="007613E0" w:rsidP="00601D7E">
          <w:pPr>
            <w:pStyle w:val="Prrafodelista"/>
            <w:numPr>
              <w:ilvl w:val="0"/>
              <w:numId w:val="1"/>
            </w:numPr>
            <w:spacing w:line="276" w:lineRule="auto"/>
            <w:jc w:val="both"/>
            <w:rPr>
              <w:rFonts w:ascii="Michelin Unit Text" w:hAnsi="Michelin Unit Text" w:cstheme="minorHAnsi"/>
              <w:lang w:val="es-ES"/>
            </w:rPr>
          </w:pPr>
          <w:r w:rsidRPr="00601D7E">
            <w:rPr>
              <w:rFonts w:ascii="Michelin Unit Text" w:hAnsi="Michelin Unit Text" w:cstheme="minorHAnsi"/>
              <w:lang w:val="es-ES"/>
            </w:rPr>
            <w:t xml:space="preserve">En las actividades de </w:t>
          </w:r>
          <w:r w:rsidR="00435D29">
            <w:rPr>
              <w:rFonts w:ascii="Michelin Unit Text" w:hAnsi="Michelin Unit Text" w:cstheme="minorHAnsi"/>
              <w:b/>
              <w:lang w:val="es-ES"/>
            </w:rPr>
            <w:t>s</w:t>
          </w:r>
          <w:r w:rsidRPr="00601D7E">
            <w:rPr>
              <w:rFonts w:ascii="Michelin Unit Text" w:hAnsi="Michelin Unit Text" w:cstheme="minorHAnsi"/>
              <w:b/>
              <w:lang w:val="es-ES"/>
            </w:rPr>
            <w:t>ervicios y soluciones</w:t>
          </w:r>
          <w:r w:rsidRPr="00601D7E">
            <w:rPr>
              <w:rFonts w:ascii="Michelin Unit Text" w:hAnsi="Michelin Unit Text" w:cstheme="minorHAnsi"/>
              <w:lang w:val="es-ES"/>
            </w:rPr>
            <w:t xml:space="preserve">, el Grupo va a desarrollar y </w:t>
          </w:r>
          <w:r w:rsidR="00D9176A">
            <w:rPr>
              <w:rFonts w:ascii="Michelin Unit Text" w:hAnsi="Michelin Unit Text" w:cstheme="minorHAnsi"/>
              <w:lang w:val="es-ES"/>
            </w:rPr>
            <w:t>ampliar</w:t>
          </w:r>
          <w:r w:rsidRPr="00601D7E">
            <w:rPr>
              <w:rFonts w:ascii="Michelin Unit Text" w:hAnsi="Michelin Unit Text" w:cstheme="minorHAnsi"/>
              <w:lang w:val="es-ES"/>
            </w:rPr>
            <w:t xml:space="preserve"> su oferta de soluciones para las flotas, basándose especialmente en l</w:t>
          </w:r>
          <w:r w:rsidR="00D9176A">
            <w:rPr>
              <w:rFonts w:ascii="Michelin Unit Text" w:hAnsi="Michelin Unit Text" w:cstheme="minorHAnsi"/>
              <w:lang w:val="es-ES"/>
            </w:rPr>
            <w:t xml:space="preserve">a conectividad </w:t>
          </w:r>
          <w:r w:rsidRPr="00601D7E">
            <w:rPr>
              <w:rFonts w:ascii="Michelin Unit Text" w:hAnsi="Michelin Unit Text" w:cstheme="minorHAnsi"/>
              <w:lang w:val="es-ES"/>
            </w:rPr>
            <w:t>y</w:t>
          </w:r>
          <w:r w:rsidR="00D9176A">
            <w:rPr>
              <w:rFonts w:ascii="Michelin Unit Text" w:hAnsi="Michelin Unit Text" w:cstheme="minorHAnsi"/>
              <w:lang w:val="es-ES"/>
            </w:rPr>
            <w:t xml:space="preserve"> en el análisis de datos</w:t>
          </w:r>
          <w:r w:rsidRPr="00601D7E">
            <w:rPr>
              <w:rFonts w:ascii="Michelin Unit Text" w:hAnsi="Michelin Unit Text" w:cstheme="minorHAnsi"/>
              <w:lang w:val="es-ES"/>
            </w:rPr>
            <w:t>.</w:t>
          </w:r>
        </w:p>
        <w:p w14:paraId="0404FDE2" w14:textId="52E6F7CC" w:rsidR="007613E0" w:rsidRPr="00601D7E" w:rsidRDefault="007613E0" w:rsidP="00601D7E">
          <w:pPr>
            <w:pStyle w:val="Prrafodelista"/>
            <w:numPr>
              <w:ilvl w:val="0"/>
              <w:numId w:val="1"/>
            </w:numPr>
            <w:spacing w:line="276" w:lineRule="auto"/>
            <w:jc w:val="both"/>
            <w:rPr>
              <w:rFonts w:ascii="Michelin Unit Text" w:hAnsi="Michelin Unit Text" w:cstheme="minorHAnsi"/>
              <w:lang w:val="es-ES"/>
            </w:rPr>
          </w:pPr>
          <w:r w:rsidRPr="00601D7E">
            <w:rPr>
              <w:rFonts w:ascii="Michelin Unit Text" w:hAnsi="Michelin Unit Text" w:cstheme="minorHAnsi"/>
              <w:lang w:val="es-ES"/>
            </w:rPr>
            <w:t xml:space="preserve">Michelin planea crecer significativamente en el muy </w:t>
          </w:r>
          <w:r w:rsidR="00435D29" w:rsidRPr="00601D7E">
            <w:rPr>
              <w:rFonts w:ascii="Michelin Unit Text" w:hAnsi="Michelin Unit Text" w:cstheme="minorHAnsi"/>
              <w:lang w:val="es-ES"/>
            </w:rPr>
            <w:t>dinámico</w:t>
          </w:r>
          <w:r w:rsidR="00D9176A">
            <w:rPr>
              <w:rFonts w:ascii="Michelin Unit Text" w:hAnsi="Michelin Unit Text" w:cstheme="minorHAnsi"/>
              <w:lang w:val="es-ES"/>
            </w:rPr>
            <w:t xml:space="preserve"> mercado</w:t>
          </w:r>
          <w:r w:rsidR="00435D29" w:rsidRPr="00601D7E">
            <w:rPr>
              <w:rStyle w:val="Refdenotaalpie"/>
              <w:rFonts w:ascii="Michelin Unit Text" w:hAnsi="Michelin Unit Text" w:cstheme="minorHAnsi"/>
              <w:lang w:val="es-ES"/>
            </w:rPr>
            <w:footnoteReference w:id="2"/>
          </w:r>
          <w:r w:rsidR="00435D29" w:rsidRPr="00601D7E">
            <w:rPr>
              <w:rFonts w:ascii="Michelin Unit Text" w:hAnsi="Michelin Unit Text" w:cstheme="minorHAnsi"/>
              <w:lang w:val="es-ES"/>
            </w:rPr>
            <w:t xml:space="preserve"> </w:t>
          </w:r>
          <w:r w:rsidRPr="00601D7E">
            <w:rPr>
              <w:rFonts w:ascii="Michelin Unit Text" w:hAnsi="Michelin Unit Text" w:cstheme="minorHAnsi"/>
              <w:lang w:val="es-ES"/>
            </w:rPr>
            <w:t xml:space="preserve">de los </w:t>
          </w:r>
          <w:r w:rsidR="00435D29">
            <w:rPr>
              <w:rFonts w:ascii="Michelin Unit Text" w:hAnsi="Michelin Unit Text" w:cstheme="minorHAnsi"/>
              <w:b/>
              <w:lang w:val="es-ES"/>
            </w:rPr>
            <w:t>compuestos</w:t>
          </w:r>
          <w:r w:rsidRPr="00601D7E">
            <w:rPr>
              <w:rFonts w:ascii="Michelin Unit Text" w:hAnsi="Michelin Unit Text" w:cstheme="minorHAnsi"/>
              <w:b/>
              <w:lang w:val="es-ES"/>
            </w:rPr>
            <w:t xml:space="preserve"> flexibles</w:t>
          </w:r>
          <w:r w:rsidRPr="00601D7E">
            <w:rPr>
              <w:rFonts w:ascii="Michelin Unit Text" w:hAnsi="Michelin Unit Text" w:cstheme="minorHAnsi"/>
              <w:lang w:val="es-ES"/>
            </w:rPr>
            <w:t xml:space="preserve"> (cintas transportadoras, correas, </w:t>
          </w:r>
          <w:r w:rsidR="00D9176A">
            <w:rPr>
              <w:rFonts w:ascii="Michelin Unit Text" w:hAnsi="Michelin Unit Text" w:cstheme="minorHAnsi"/>
              <w:lang w:val="es-ES"/>
            </w:rPr>
            <w:t>revestimiento de tejidos</w:t>
          </w:r>
          <w:r w:rsidRPr="00601D7E">
            <w:rPr>
              <w:rFonts w:ascii="Michelin Unit Text" w:hAnsi="Michelin Unit Text" w:cstheme="minorHAnsi"/>
              <w:lang w:val="es-ES"/>
            </w:rPr>
            <w:t xml:space="preserve">, juntas…) </w:t>
          </w:r>
          <w:r w:rsidR="00D9176A">
            <w:rPr>
              <w:rFonts w:ascii="Michelin Unit Text" w:hAnsi="Michelin Unit Text" w:cstheme="minorHAnsi"/>
              <w:lang w:val="es-ES"/>
            </w:rPr>
            <w:t>mediante</w:t>
          </w:r>
          <w:r w:rsidRPr="00601D7E">
            <w:rPr>
              <w:rFonts w:ascii="Michelin Unit Text" w:hAnsi="Michelin Unit Text" w:cstheme="minorHAnsi"/>
              <w:lang w:val="es-ES"/>
            </w:rPr>
            <w:t xml:space="preserve"> una política de fusiones-adquisiciones </w:t>
          </w:r>
          <w:r w:rsidR="00D9176A">
            <w:rPr>
              <w:rFonts w:ascii="Michelin Unit Text" w:hAnsi="Michelin Unit Text" w:cstheme="minorHAnsi"/>
              <w:lang w:val="es-ES"/>
            </w:rPr>
            <w:t>que creen</w:t>
          </w:r>
          <w:r w:rsidRPr="00601D7E">
            <w:rPr>
              <w:rFonts w:ascii="Michelin Unit Text" w:hAnsi="Michelin Unit Text" w:cstheme="minorHAnsi"/>
              <w:lang w:val="es-ES"/>
            </w:rPr>
            <w:t xml:space="preserve"> valor, así como la incubación de nuevos negocios.</w:t>
          </w:r>
        </w:p>
        <w:p w14:paraId="4E8C70C3" w14:textId="6F6FC988" w:rsidR="007613E0" w:rsidRDefault="007613E0" w:rsidP="00601D7E">
          <w:pPr>
            <w:pStyle w:val="Prrafodelista"/>
            <w:numPr>
              <w:ilvl w:val="0"/>
              <w:numId w:val="1"/>
            </w:numPr>
            <w:spacing w:line="276" w:lineRule="auto"/>
            <w:jc w:val="both"/>
            <w:rPr>
              <w:rFonts w:ascii="Michelin Unit Text" w:hAnsi="Michelin Unit Text" w:cstheme="minorHAnsi"/>
              <w:lang w:val="es-ES"/>
            </w:rPr>
          </w:pPr>
          <w:r w:rsidRPr="00601D7E">
            <w:rPr>
              <w:rFonts w:ascii="Michelin Unit Text" w:hAnsi="Michelin Unit Text" w:cstheme="minorHAnsi"/>
              <w:lang w:val="es-ES"/>
            </w:rPr>
            <w:t xml:space="preserve">El </w:t>
          </w:r>
          <w:r w:rsidRPr="00601D7E">
            <w:rPr>
              <w:rFonts w:ascii="Michelin Unit Text" w:hAnsi="Michelin Unit Text" w:cstheme="minorHAnsi"/>
              <w:b/>
              <w:lang w:val="es-ES"/>
            </w:rPr>
            <w:t xml:space="preserve">sector médico </w:t>
          </w:r>
          <w:r w:rsidR="00D9176A">
            <w:rPr>
              <w:rFonts w:ascii="Michelin Unit Text" w:hAnsi="Michelin Unit Text" w:cstheme="minorHAnsi"/>
              <w:b/>
              <w:lang w:val="es-ES"/>
            </w:rPr>
            <w:t xml:space="preserve">también </w:t>
          </w:r>
          <w:r w:rsidRPr="00601D7E">
            <w:rPr>
              <w:rFonts w:ascii="Michelin Unit Text" w:hAnsi="Michelin Unit Text" w:cstheme="minorHAnsi"/>
              <w:lang w:val="es-ES"/>
            </w:rPr>
            <w:t>constituye una oportunidad de crecimiento para los próximos años.</w:t>
          </w:r>
        </w:p>
        <w:p w14:paraId="43A4469A" w14:textId="5B1D463A" w:rsidR="00435D29" w:rsidRPr="00435D29" w:rsidRDefault="00435D29" w:rsidP="00435D29">
          <w:pPr>
            <w:pStyle w:val="Prrafodelista"/>
            <w:numPr>
              <w:ilvl w:val="0"/>
              <w:numId w:val="1"/>
            </w:numPr>
            <w:spacing w:line="276" w:lineRule="auto"/>
            <w:jc w:val="both"/>
            <w:rPr>
              <w:rFonts w:ascii="Michelin Unit Text" w:hAnsi="Michelin Unit Text" w:cstheme="minorHAnsi"/>
              <w:lang w:val="es-ES"/>
            </w:rPr>
          </w:pPr>
          <w:r w:rsidRPr="00435D29">
            <w:rPr>
              <w:rFonts w:ascii="Michelin Unit Text" w:hAnsi="Michelin Unit Text" w:cstheme="minorHAnsi"/>
              <w:lang w:val="es-ES"/>
            </w:rPr>
            <w:t>En</w:t>
          </w:r>
          <w:r w:rsidR="00D9176A">
            <w:rPr>
              <w:rFonts w:ascii="Michelin Unit Text" w:hAnsi="Michelin Unit Text" w:cstheme="minorHAnsi"/>
              <w:lang w:val="es-ES"/>
            </w:rPr>
            <w:t xml:space="preserve"> el ámbito de </w:t>
          </w:r>
          <w:r w:rsidRPr="00435D29">
            <w:rPr>
              <w:rFonts w:ascii="Michelin Unit Text" w:hAnsi="Michelin Unit Text" w:cstheme="minorHAnsi"/>
              <w:lang w:val="es-ES"/>
            </w:rPr>
            <w:t xml:space="preserve">la </w:t>
          </w:r>
          <w:r w:rsidRPr="00435D29">
            <w:rPr>
              <w:rFonts w:ascii="Michelin Unit Text" w:hAnsi="Michelin Unit Text" w:cstheme="minorHAnsi"/>
              <w:b/>
              <w:lang w:val="es-ES"/>
            </w:rPr>
            <w:t xml:space="preserve">impresión 3D </w:t>
          </w:r>
          <w:r w:rsidR="00D9176A">
            <w:rPr>
              <w:rFonts w:ascii="Michelin Unit Text" w:hAnsi="Michelin Unit Text" w:cstheme="minorHAnsi"/>
              <w:b/>
              <w:lang w:val="es-ES"/>
            </w:rPr>
            <w:t>en metal</w:t>
          </w:r>
          <w:r>
            <w:rPr>
              <w:rFonts w:ascii="Michelin Unit Text" w:hAnsi="Michelin Unit Text" w:cstheme="minorHAnsi"/>
              <w:lang w:val="es-ES"/>
            </w:rPr>
            <w:t xml:space="preserve">, el Grupo ha desarrollado una </w:t>
          </w:r>
          <w:r w:rsidR="00D9176A">
            <w:rPr>
              <w:rFonts w:ascii="Michelin Unit Text" w:hAnsi="Michelin Unit Text" w:cstheme="minorHAnsi"/>
              <w:lang w:val="es-ES"/>
            </w:rPr>
            <w:t>experiencia</w:t>
          </w:r>
          <w:r>
            <w:rPr>
              <w:rFonts w:ascii="Michelin Unit Text" w:hAnsi="Michelin Unit Text" w:cstheme="minorHAnsi"/>
              <w:lang w:val="es-ES"/>
            </w:rPr>
            <w:t xml:space="preserve"> única</w:t>
          </w:r>
          <w:r w:rsidRPr="00435D29">
            <w:rPr>
              <w:rFonts w:ascii="Michelin Unit Text" w:hAnsi="Michelin Unit Text" w:cstheme="minorHAnsi"/>
              <w:lang w:val="es-ES"/>
            </w:rPr>
            <w:t xml:space="preserve"> que respalda la capacidad de AddUp, su empresa conjunta con Fives, para comercializar una amplia gama de soluciones a medida para l</w:t>
          </w:r>
          <w:r w:rsidR="00D9176A">
            <w:rPr>
              <w:rFonts w:ascii="Michelin Unit Text" w:hAnsi="Michelin Unit Text" w:cstheme="minorHAnsi"/>
              <w:lang w:val="es-ES"/>
            </w:rPr>
            <w:t>a industria</w:t>
          </w:r>
          <w:r w:rsidRPr="00435D29">
            <w:rPr>
              <w:rFonts w:ascii="Michelin Unit Text" w:hAnsi="Michelin Unit Text" w:cstheme="minorHAnsi"/>
              <w:lang w:val="es-ES"/>
            </w:rPr>
            <w:t xml:space="preserve">. </w:t>
          </w:r>
        </w:p>
        <w:p w14:paraId="0B9F8421" w14:textId="3594A6A9" w:rsidR="007613E0" w:rsidRPr="00435D29" w:rsidRDefault="007613E0" w:rsidP="00601D7E">
          <w:pPr>
            <w:pStyle w:val="Prrafodelista"/>
            <w:numPr>
              <w:ilvl w:val="0"/>
              <w:numId w:val="1"/>
            </w:numPr>
            <w:spacing w:line="276" w:lineRule="auto"/>
            <w:jc w:val="both"/>
            <w:rPr>
              <w:rFonts w:ascii="Michelin Unit Text" w:hAnsi="Michelin Unit Text" w:cstheme="minorHAnsi"/>
              <w:lang w:val="es-ES"/>
            </w:rPr>
          </w:pPr>
          <w:r w:rsidRPr="00601D7E">
            <w:rPr>
              <w:rFonts w:ascii="Michelin Unit Text" w:hAnsi="Michelin Unit Text" w:cstheme="minorHAnsi"/>
              <w:lang w:val="es-ES"/>
            </w:rPr>
            <w:t xml:space="preserve">En </w:t>
          </w:r>
          <w:r w:rsidR="00D9176A">
            <w:rPr>
              <w:rFonts w:ascii="Michelin Unit Text" w:hAnsi="Michelin Unit Text" w:cstheme="minorHAnsi"/>
              <w:lang w:val="es-ES"/>
            </w:rPr>
            <w:t xml:space="preserve">lo referido a </w:t>
          </w:r>
          <w:r w:rsidRPr="00601D7E">
            <w:rPr>
              <w:rFonts w:ascii="Michelin Unit Text" w:hAnsi="Michelin Unit Text" w:cstheme="minorHAnsi"/>
              <w:lang w:val="es-ES"/>
            </w:rPr>
            <w:t xml:space="preserve">la </w:t>
          </w:r>
          <w:r w:rsidRPr="00601D7E">
            <w:rPr>
              <w:rFonts w:ascii="Michelin Unit Text" w:hAnsi="Michelin Unit Text" w:cstheme="minorHAnsi"/>
              <w:b/>
              <w:lang w:val="es-ES"/>
            </w:rPr>
            <w:t xml:space="preserve">movilidad </w:t>
          </w:r>
          <w:r w:rsidR="00D9176A">
            <w:rPr>
              <w:rFonts w:ascii="Michelin Unit Text" w:hAnsi="Michelin Unit Text" w:cstheme="minorHAnsi"/>
              <w:b/>
              <w:lang w:val="es-ES"/>
            </w:rPr>
            <w:t>basada en el h</w:t>
          </w:r>
          <w:r w:rsidRPr="00601D7E">
            <w:rPr>
              <w:rFonts w:ascii="Michelin Unit Text" w:hAnsi="Michelin Unit Text" w:cstheme="minorHAnsi"/>
              <w:b/>
              <w:lang w:val="es-ES"/>
            </w:rPr>
            <w:t>idrógeno</w:t>
          </w:r>
          <w:r w:rsidRPr="00601D7E">
            <w:rPr>
              <w:rFonts w:ascii="Michelin Unit Text" w:hAnsi="Michelin Unit Text" w:cstheme="minorHAnsi"/>
              <w:lang w:val="es-ES"/>
            </w:rPr>
            <w:t xml:space="preserve">, el Grupo </w:t>
          </w:r>
          <w:r w:rsidR="00D9176A">
            <w:rPr>
              <w:rFonts w:ascii="Michelin Unit Text" w:hAnsi="Michelin Unit Text" w:cstheme="minorHAnsi"/>
              <w:lang w:val="es-ES"/>
            </w:rPr>
            <w:t xml:space="preserve">aspira a </w:t>
          </w:r>
          <w:r w:rsidRPr="00601D7E">
            <w:rPr>
              <w:rFonts w:ascii="Michelin Unit Text" w:hAnsi="Michelin Unit Text" w:cstheme="minorHAnsi"/>
              <w:lang w:val="es-ES"/>
            </w:rPr>
            <w:t xml:space="preserve">convertirse en líder mundial de sistemas de </w:t>
          </w:r>
          <w:r w:rsidR="00D9176A">
            <w:rPr>
              <w:rFonts w:ascii="Michelin Unit Text" w:hAnsi="Michelin Unit Text" w:cstheme="minorHAnsi"/>
              <w:lang w:val="es-ES"/>
            </w:rPr>
            <w:t>pilas de combustible</w:t>
          </w:r>
          <w:r w:rsidRPr="00601D7E">
            <w:rPr>
              <w:rFonts w:ascii="Michelin Unit Text" w:hAnsi="Michelin Unit Text" w:cstheme="minorHAnsi"/>
              <w:lang w:val="es-ES"/>
            </w:rPr>
            <w:t xml:space="preserve"> de hidrógeno a través de Symbio,</w:t>
          </w:r>
          <w:r w:rsidR="00435D29">
            <w:rPr>
              <w:rFonts w:ascii="Michelin Unit Text" w:hAnsi="Michelin Unit Text" w:cstheme="minorHAnsi"/>
              <w:lang w:val="es-ES"/>
            </w:rPr>
            <w:t xml:space="preserve"> su</w:t>
          </w:r>
          <w:r w:rsidRPr="00601D7E">
            <w:rPr>
              <w:rFonts w:ascii="Michelin Unit Text" w:hAnsi="Michelin Unit Text" w:cstheme="minorHAnsi"/>
              <w:lang w:val="es-ES"/>
            </w:rPr>
            <w:t xml:space="preserve"> </w:t>
          </w:r>
          <w:r w:rsidR="00435D29">
            <w:rPr>
              <w:rFonts w:ascii="Michelin Unit Text" w:hAnsi="Michelin Unit Text" w:cstheme="minorHAnsi"/>
              <w:lang w:val="es-ES"/>
            </w:rPr>
            <w:t>empresa conjunta</w:t>
          </w:r>
          <w:r w:rsidRPr="00601D7E">
            <w:rPr>
              <w:rFonts w:ascii="Michelin Unit Text" w:hAnsi="Michelin Unit Text" w:cstheme="minorHAnsi"/>
              <w:lang w:val="es-ES"/>
            </w:rPr>
            <w:t xml:space="preserve"> con Faurecia.</w:t>
          </w:r>
        </w:p>
        <w:p w14:paraId="7E85E289" w14:textId="77777777" w:rsidR="00D9176A" w:rsidRDefault="00D9176A" w:rsidP="00D9176A">
          <w:pPr>
            <w:rPr>
              <w:rFonts w:ascii="Michelin Unit Text" w:hAnsi="Michelin Unit Text" w:cstheme="minorHAnsi"/>
              <w:lang w:val="es-ES"/>
            </w:rPr>
          </w:pPr>
        </w:p>
        <w:p w14:paraId="2F5664BB" w14:textId="242D7247" w:rsidR="007613E0" w:rsidRPr="00D9176A" w:rsidRDefault="007613E0" w:rsidP="00D9176A">
          <w:pPr>
            <w:rPr>
              <w:rFonts w:ascii="Michelin Unit Text" w:hAnsi="Michelin Unit Text" w:cstheme="minorHAnsi"/>
              <w:lang w:val="es-ES"/>
            </w:rPr>
          </w:pPr>
          <w:r w:rsidRPr="00601D7E">
            <w:rPr>
              <w:rFonts w:ascii="Michelin Unit Text" w:hAnsi="Michelin Unit Text" w:cstheme="minorHAnsi"/>
              <w:b/>
              <w:sz w:val="20"/>
              <w:szCs w:val="20"/>
              <w:lang w:val="es-ES"/>
            </w:rPr>
            <w:t>Primera etapa en 2023</w:t>
          </w:r>
        </w:p>
        <w:p w14:paraId="206313DB" w14:textId="77777777" w:rsidR="007613E0" w:rsidRPr="00601D7E" w:rsidRDefault="007613E0" w:rsidP="00601D7E">
          <w:pPr>
            <w:spacing w:line="276" w:lineRule="auto"/>
            <w:jc w:val="both"/>
            <w:rPr>
              <w:rFonts w:ascii="Michelin Unit Text" w:hAnsi="Michelin Unit Text" w:cstheme="minorHAnsi"/>
              <w:sz w:val="20"/>
              <w:szCs w:val="20"/>
              <w:lang w:val="es-ES"/>
            </w:rPr>
          </w:pPr>
        </w:p>
        <w:p w14:paraId="13FD7BB3" w14:textId="1F8ECDD3" w:rsidR="007613E0" w:rsidRPr="00601D7E" w:rsidRDefault="00D9176A" w:rsidP="00601D7E">
          <w:pPr>
            <w:spacing w:line="276" w:lineRule="auto"/>
            <w:jc w:val="both"/>
            <w:rPr>
              <w:rFonts w:ascii="Michelin Unit Text" w:hAnsi="Michelin Unit Text" w:cstheme="minorHAnsi"/>
              <w:sz w:val="20"/>
              <w:szCs w:val="20"/>
              <w:lang w:val="es-ES"/>
            </w:rPr>
          </w:pPr>
          <w:r>
            <w:rPr>
              <w:rFonts w:ascii="Michelin Unit Text" w:hAnsi="Michelin Unit Text" w:cstheme="minorHAnsi"/>
              <w:sz w:val="20"/>
              <w:szCs w:val="20"/>
              <w:lang w:val="es-ES"/>
            </w:rPr>
            <w:t>Con ocasión de</w:t>
          </w:r>
          <w:r w:rsidR="007613E0" w:rsidRPr="00601D7E">
            <w:rPr>
              <w:rFonts w:ascii="Michelin Unit Text" w:hAnsi="Michelin Unit Text" w:cstheme="minorHAnsi"/>
              <w:sz w:val="20"/>
              <w:szCs w:val="20"/>
              <w:lang w:val="es-ES"/>
            </w:rPr>
            <w:t xml:space="preserve">l </w:t>
          </w:r>
          <w:r w:rsidR="007613E0" w:rsidRPr="00601D7E">
            <w:rPr>
              <w:rFonts w:ascii="Michelin Unit Text" w:hAnsi="Michelin Unit Text" w:cstheme="minorHAnsi"/>
              <w:i/>
              <w:sz w:val="20"/>
              <w:szCs w:val="20"/>
              <w:lang w:val="es-ES"/>
            </w:rPr>
            <w:t>Capital Markets Day</w:t>
          </w:r>
          <w:r w:rsidR="007613E0" w:rsidRPr="00601D7E">
            <w:rPr>
              <w:rFonts w:ascii="Michelin Unit Text" w:hAnsi="Michelin Unit Text" w:cstheme="minorHAnsi"/>
              <w:sz w:val="20"/>
              <w:szCs w:val="20"/>
              <w:lang w:val="es-ES"/>
            </w:rPr>
            <w:t xml:space="preserve">, el Grupo </w:t>
          </w:r>
          <w:r>
            <w:rPr>
              <w:rFonts w:ascii="Michelin Unit Text" w:hAnsi="Michelin Unit Text" w:cstheme="minorHAnsi"/>
              <w:sz w:val="20"/>
              <w:szCs w:val="20"/>
              <w:lang w:val="es-ES"/>
            </w:rPr>
            <w:t>también presentó</w:t>
          </w:r>
          <w:r w:rsidR="007613E0" w:rsidRPr="00601D7E">
            <w:rPr>
              <w:rFonts w:ascii="Michelin Unit Text" w:hAnsi="Michelin Unit Text" w:cstheme="minorHAnsi"/>
              <w:sz w:val="20"/>
              <w:szCs w:val="20"/>
              <w:lang w:val="es-ES"/>
            </w:rPr>
            <w:t xml:space="preserve"> sus diferentes iniciativas de competitividad industrial para lograr un ahorro anual</w:t>
          </w:r>
          <w:r w:rsidR="00297EB3">
            <w:rPr>
              <w:rFonts w:ascii="Michelin Unit Text" w:hAnsi="Michelin Unit Text" w:cstheme="minorHAnsi"/>
              <w:sz w:val="20"/>
              <w:szCs w:val="20"/>
              <w:lang w:val="es-ES"/>
            </w:rPr>
            <w:t xml:space="preserve"> neto</w:t>
          </w:r>
          <w:r w:rsidR="007613E0" w:rsidRPr="00601D7E">
            <w:rPr>
              <w:rFonts w:ascii="Michelin Unit Text" w:hAnsi="Michelin Unit Text" w:cstheme="minorHAnsi"/>
              <w:sz w:val="20"/>
              <w:szCs w:val="20"/>
              <w:lang w:val="es-ES"/>
            </w:rPr>
            <w:t xml:space="preserve">, sin contar inflación, de 80 millones de euros entre 2020 y 2023. </w:t>
          </w:r>
          <w:r w:rsidR="00297EB3">
            <w:rPr>
              <w:rFonts w:ascii="Michelin Unit Text" w:hAnsi="Michelin Unit Text" w:cstheme="minorHAnsi"/>
              <w:sz w:val="20"/>
              <w:szCs w:val="20"/>
              <w:lang w:val="es-ES"/>
            </w:rPr>
            <w:t>Asimismo, Michelin</w:t>
          </w:r>
          <w:r w:rsidR="007613E0" w:rsidRPr="00601D7E">
            <w:rPr>
              <w:rFonts w:ascii="Michelin Unit Text" w:hAnsi="Michelin Unit Text" w:cstheme="minorHAnsi"/>
              <w:sz w:val="20"/>
              <w:szCs w:val="20"/>
              <w:lang w:val="es-ES"/>
            </w:rPr>
            <w:t xml:space="preserve"> ha anunciado </w:t>
          </w:r>
          <w:r w:rsidR="00297EB3">
            <w:rPr>
              <w:rFonts w:ascii="Michelin Unit Text" w:hAnsi="Michelin Unit Text" w:cstheme="minorHAnsi"/>
              <w:sz w:val="20"/>
              <w:szCs w:val="20"/>
              <w:lang w:val="es-ES"/>
            </w:rPr>
            <w:t>un ahorro en</w:t>
          </w:r>
          <w:r w:rsidR="007613E0" w:rsidRPr="00601D7E">
            <w:rPr>
              <w:rFonts w:ascii="Michelin Unit Text" w:hAnsi="Michelin Unit Text" w:cstheme="minorHAnsi"/>
              <w:sz w:val="20"/>
              <w:szCs w:val="20"/>
              <w:lang w:val="es-ES"/>
            </w:rPr>
            <w:t xml:space="preserve"> los gastos generales y de administración (SG&amp;A) </w:t>
          </w:r>
          <w:r w:rsidR="00297EB3">
            <w:rPr>
              <w:rFonts w:ascii="Michelin Unit Text" w:hAnsi="Michelin Unit Text" w:cstheme="minorHAnsi"/>
              <w:sz w:val="20"/>
              <w:szCs w:val="20"/>
              <w:lang w:val="es-ES"/>
            </w:rPr>
            <w:t xml:space="preserve">en </w:t>
          </w:r>
          <w:r w:rsidR="0042060A">
            <w:rPr>
              <w:rFonts w:ascii="Michelin Unit Text" w:hAnsi="Michelin Unit Text" w:cstheme="minorHAnsi"/>
              <w:sz w:val="20"/>
              <w:szCs w:val="20"/>
              <w:lang w:val="es-ES"/>
            </w:rPr>
            <w:t xml:space="preserve">las </w:t>
          </w:r>
          <w:r w:rsidR="007613E0" w:rsidRPr="00601D7E">
            <w:rPr>
              <w:rFonts w:ascii="Michelin Unit Text" w:hAnsi="Michelin Unit Text" w:cstheme="minorHAnsi"/>
              <w:sz w:val="20"/>
              <w:szCs w:val="20"/>
              <w:lang w:val="es-ES"/>
            </w:rPr>
            <w:t>actividades</w:t>
          </w:r>
          <w:r w:rsidR="00297EB3">
            <w:rPr>
              <w:rFonts w:ascii="Michelin Unit Text" w:hAnsi="Michelin Unit Text" w:cstheme="minorHAnsi"/>
              <w:sz w:val="20"/>
              <w:szCs w:val="20"/>
              <w:lang w:val="es-ES"/>
            </w:rPr>
            <w:t xml:space="preserve"> relacionadas con el negocio de los neumáticos </w:t>
          </w:r>
          <w:r w:rsidR="007613E0" w:rsidRPr="00601D7E">
            <w:rPr>
              <w:rFonts w:ascii="Michelin Unit Text" w:hAnsi="Michelin Unit Text" w:cstheme="minorHAnsi"/>
              <w:sz w:val="20"/>
              <w:szCs w:val="20"/>
              <w:lang w:val="es-ES"/>
            </w:rPr>
            <w:t>de 65 millones de euros</w:t>
          </w:r>
          <w:r w:rsidR="00297EB3">
            <w:rPr>
              <w:rFonts w:ascii="Michelin Unit Text" w:hAnsi="Michelin Unit Text" w:cstheme="minorHAnsi"/>
              <w:sz w:val="20"/>
              <w:szCs w:val="20"/>
              <w:lang w:val="es-ES"/>
            </w:rPr>
            <w:t xml:space="preserve"> netos </w:t>
          </w:r>
          <w:r w:rsidR="007613E0" w:rsidRPr="00601D7E">
            <w:rPr>
              <w:rFonts w:ascii="Michelin Unit Text" w:hAnsi="Michelin Unit Text" w:cstheme="minorHAnsi"/>
              <w:sz w:val="20"/>
              <w:szCs w:val="20"/>
              <w:lang w:val="es-ES"/>
            </w:rPr>
            <w:t xml:space="preserve">de aquí a 2023, y de 125 millones </w:t>
          </w:r>
          <w:r w:rsidR="00297EB3">
            <w:rPr>
              <w:rFonts w:ascii="Michelin Unit Text" w:hAnsi="Michelin Unit Text" w:cstheme="minorHAnsi"/>
              <w:sz w:val="20"/>
              <w:szCs w:val="20"/>
              <w:lang w:val="es-ES"/>
            </w:rPr>
            <w:t>para</w:t>
          </w:r>
          <w:r w:rsidR="007613E0" w:rsidRPr="00601D7E">
            <w:rPr>
              <w:rFonts w:ascii="Michelin Unit Text" w:hAnsi="Michelin Unit Text" w:cstheme="minorHAnsi"/>
              <w:sz w:val="20"/>
              <w:szCs w:val="20"/>
              <w:lang w:val="es-ES"/>
            </w:rPr>
            <w:t xml:space="preserve"> 2025.</w:t>
          </w:r>
        </w:p>
        <w:p w14:paraId="7E7F2BE9" w14:textId="77777777" w:rsidR="007613E0" w:rsidRPr="00601D7E" w:rsidRDefault="007613E0" w:rsidP="00601D7E">
          <w:pPr>
            <w:spacing w:line="276" w:lineRule="auto"/>
            <w:jc w:val="both"/>
            <w:rPr>
              <w:rFonts w:ascii="Michelin Unit Text" w:hAnsi="Michelin Unit Text" w:cstheme="minorHAnsi"/>
              <w:sz w:val="20"/>
              <w:szCs w:val="20"/>
              <w:lang w:val="es-ES"/>
            </w:rPr>
          </w:pPr>
        </w:p>
        <w:p w14:paraId="6FC47816" w14:textId="6BB37D97" w:rsidR="007613E0" w:rsidRPr="00601D7E" w:rsidRDefault="00297EB3" w:rsidP="00601D7E">
          <w:pPr>
            <w:spacing w:line="276" w:lineRule="auto"/>
            <w:jc w:val="both"/>
            <w:rPr>
              <w:rFonts w:ascii="Michelin Unit Text" w:hAnsi="Michelin Unit Text" w:cstheme="minorHAnsi"/>
              <w:sz w:val="20"/>
              <w:szCs w:val="20"/>
              <w:lang w:val="es-ES"/>
            </w:rPr>
          </w:pPr>
          <w:r>
            <w:rPr>
              <w:rFonts w:ascii="Michelin Unit Text" w:hAnsi="Michelin Unit Text" w:cstheme="minorHAnsi"/>
              <w:sz w:val="20"/>
              <w:szCs w:val="20"/>
              <w:lang w:val="es-ES"/>
            </w:rPr>
            <w:t xml:space="preserve">A continuación, </w:t>
          </w:r>
          <w:r w:rsidR="007613E0" w:rsidRPr="00601D7E">
            <w:rPr>
              <w:rFonts w:ascii="Michelin Unit Text" w:hAnsi="Michelin Unit Text" w:cstheme="minorHAnsi"/>
              <w:sz w:val="20"/>
              <w:szCs w:val="20"/>
              <w:lang w:val="es-ES"/>
            </w:rPr>
            <w:t xml:space="preserve">Yves Chapot </w:t>
          </w:r>
          <w:r>
            <w:rPr>
              <w:rFonts w:ascii="Michelin Unit Text" w:hAnsi="Michelin Unit Text" w:cstheme="minorHAnsi"/>
              <w:sz w:val="20"/>
              <w:szCs w:val="20"/>
              <w:lang w:val="es-ES"/>
            </w:rPr>
            <w:t>anunció</w:t>
          </w:r>
          <w:r w:rsidR="007613E0" w:rsidRPr="00601D7E">
            <w:rPr>
              <w:rFonts w:ascii="Michelin Unit Text" w:hAnsi="Michelin Unit Text" w:cstheme="minorHAnsi"/>
              <w:sz w:val="20"/>
              <w:szCs w:val="20"/>
              <w:lang w:val="es-ES"/>
            </w:rPr>
            <w:t xml:space="preserve"> los objetivos financieros para 2023. En esa fecha, el Grupo prevé </w:t>
          </w:r>
          <w:r>
            <w:rPr>
              <w:rFonts w:ascii="Michelin Unit Text" w:hAnsi="Michelin Unit Text" w:cstheme="minorHAnsi"/>
              <w:sz w:val="20"/>
              <w:szCs w:val="20"/>
              <w:lang w:val="es-ES"/>
            </w:rPr>
            <w:t xml:space="preserve">alcanzar una cifra de </w:t>
          </w:r>
          <w:r w:rsidR="007613E0" w:rsidRPr="00601D7E">
            <w:rPr>
              <w:rFonts w:ascii="Michelin Unit Text" w:hAnsi="Michelin Unit Text" w:cstheme="minorHAnsi"/>
              <w:sz w:val="20"/>
              <w:szCs w:val="20"/>
              <w:lang w:val="es-ES"/>
            </w:rPr>
            <w:t>ventas en torno a 24</w:t>
          </w:r>
          <w:r>
            <w:rPr>
              <w:rFonts w:ascii="Michelin Unit Text" w:hAnsi="Michelin Unit Text" w:cstheme="minorHAnsi"/>
              <w:sz w:val="20"/>
              <w:szCs w:val="20"/>
              <w:lang w:val="es-ES"/>
            </w:rPr>
            <w:t xml:space="preserve">.500 millones </w:t>
          </w:r>
          <w:r w:rsidR="007613E0" w:rsidRPr="00601D7E">
            <w:rPr>
              <w:rFonts w:ascii="Michelin Unit Text" w:hAnsi="Michelin Unit Text" w:cstheme="minorHAnsi"/>
              <w:sz w:val="20"/>
              <w:szCs w:val="20"/>
              <w:lang w:val="es-ES"/>
            </w:rPr>
            <w:t xml:space="preserve">de euros, </w:t>
          </w:r>
          <w:r>
            <w:rPr>
              <w:rFonts w:ascii="Michelin Unit Text" w:hAnsi="Michelin Unit Text" w:cstheme="minorHAnsi"/>
              <w:sz w:val="20"/>
              <w:szCs w:val="20"/>
              <w:lang w:val="es-ES"/>
            </w:rPr>
            <w:t xml:space="preserve">con </w:t>
          </w:r>
          <w:r w:rsidR="007613E0" w:rsidRPr="00601D7E">
            <w:rPr>
              <w:rFonts w:ascii="Michelin Unit Text" w:hAnsi="Michelin Unit Text" w:cstheme="minorHAnsi"/>
              <w:sz w:val="20"/>
              <w:szCs w:val="20"/>
              <w:lang w:val="es-ES"/>
            </w:rPr>
            <w:t>un resultado opera</w:t>
          </w:r>
          <w:r>
            <w:rPr>
              <w:rFonts w:ascii="Michelin Unit Text" w:hAnsi="Michelin Unit Text" w:cstheme="minorHAnsi"/>
              <w:sz w:val="20"/>
              <w:szCs w:val="20"/>
              <w:lang w:val="es-ES"/>
            </w:rPr>
            <w:t>cional</w:t>
          </w:r>
          <w:r w:rsidRPr="00297EB3">
            <w:rPr>
              <w:rFonts w:ascii="Michelin Unit Text" w:hAnsi="Michelin Unit Text" w:cs="Calibri (Cuerpo)"/>
              <w:sz w:val="20"/>
              <w:szCs w:val="20"/>
              <w:vertAlign w:val="superscript"/>
              <w:lang w:val="es-ES"/>
            </w:rPr>
            <w:t>3</w:t>
          </w:r>
          <w:r w:rsidR="007613E0" w:rsidRPr="00601D7E">
            <w:rPr>
              <w:rFonts w:ascii="Michelin Unit Text" w:hAnsi="Michelin Unit Text" w:cstheme="minorHAnsi"/>
              <w:sz w:val="20"/>
              <w:szCs w:val="20"/>
              <w:lang w:val="es-ES"/>
            </w:rPr>
            <w:t xml:space="preserve"> de los sectores superior a los 3</w:t>
          </w:r>
          <w:r>
            <w:rPr>
              <w:rFonts w:ascii="Michelin Unit Text" w:hAnsi="Michelin Unit Text" w:cstheme="minorHAnsi"/>
              <w:sz w:val="20"/>
              <w:szCs w:val="20"/>
              <w:lang w:val="es-ES"/>
            </w:rPr>
            <w:t xml:space="preserve">.300 millones de </w:t>
          </w:r>
          <w:r w:rsidR="007613E0" w:rsidRPr="00601D7E">
            <w:rPr>
              <w:rFonts w:ascii="Michelin Unit Text" w:hAnsi="Michelin Unit Text" w:cstheme="minorHAnsi"/>
              <w:sz w:val="20"/>
              <w:szCs w:val="20"/>
              <w:lang w:val="es-ES"/>
            </w:rPr>
            <w:t>euros</w:t>
          </w:r>
          <w:r w:rsidR="00601D7E">
            <w:rPr>
              <w:rStyle w:val="Refdenotaalpie"/>
              <w:rFonts w:ascii="Michelin Unit Text" w:hAnsi="Michelin Unit Text" w:cstheme="minorHAnsi"/>
              <w:sz w:val="20"/>
              <w:szCs w:val="20"/>
              <w:lang w:val="es-ES"/>
            </w:rPr>
            <w:footnoteReference w:id="3"/>
          </w:r>
          <w:r w:rsidR="00601D7E">
            <w:rPr>
              <w:rFonts w:ascii="Michelin Unit Text" w:hAnsi="Michelin Unit Text" w:cstheme="minorHAnsi"/>
              <w:sz w:val="20"/>
              <w:szCs w:val="20"/>
              <w:lang w:val="es-ES"/>
            </w:rPr>
            <w:t xml:space="preserve"> </w:t>
          </w:r>
          <w:r>
            <w:rPr>
              <w:rFonts w:ascii="Michelin Unit Text" w:hAnsi="Michelin Unit Text" w:cstheme="minorHAnsi"/>
              <w:sz w:val="20"/>
              <w:szCs w:val="20"/>
              <w:lang w:val="es-ES"/>
            </w:rPr>
            <w:t xml:space="preserve">y </w:t>
          </w:r>
          <w:r w:rsidR="007613E0" w:rsidRPr="00601D7E">
            <w:rPr>
              <w:rFonts w:ascii="Michelin Unit Text" w:hAnsi="Michelin Unit Text" w:cstheme="minorHAnsi"/>
              <w:sz w:val="20"/>
              <w:szCs w:val="20"/>
              <w:lang w:val="es-ES"/>
            </w:rPr>
            <w:t xml:space="preserve">un </w:t>
          </w:r>
          <w:r w:rsidR="007613E0" w:rsidRPr="00601D7E">
            <w:rPr>
              <w:rFonts w:ascii="Michelin Unit Text" w:hAnsi="Michelin Unit Text" w:cstheme="minorHAnsi"/>
              <w:i/>
              <w:sz w:val="20"/>
              <w:szCs w:val="20"/>
              <w:lang w:val="es-ES"/>
            </w:rPr>
            <w:t>cash-flow</w:t>
          </w:r>
          <w:r w:rsidR="007613E0" w:rsidRPr="00601D7E">
            <w:rPr>
              <w:rFonts w:ascii="Michelin Unit Text" w:hAnsi="Michelin Unit Text" w:cstheme="minorHAnsi"/>
              <w:sz w:val="20"/>
              <w:szCs w:val="20"/>
              <w:lang w:val="es-ES"/>
            </w:rPr>
            <w:t xml:space="preserve"> libre estructural de 3</w:t>
          </w:r>
          <w:r>
            <w:rPr>
              <w:rFonts w:ascii="Michelin Unit Text" w:hAnsi="Michelin Unit Text" w:cstheme="minorHAnsi"/>
              <w:sz w:val="20"/>
              <w:szCs w:val="20"/>
              <w:lang w:val="es-ES"/>
            </w:rPr>
            <w:t>.300 millones de euros</w:t>
          </w:r>
          <w:r w:rsidR="007613E0" w:rsidRPr="00601D7E">
            <w:rPr>
              <w:rFonts w:ascii="Michelin Unit Text" w:hAnsi="Michelin Unit Text" w:cstheme="minorHAnsi"/>
              <w:sz w:val="20"/>
              <w:szCs w:val="20"/>
              <w:lang w:val="es-ES"/>
            </w:rPr>
            <w:t xml:space="preserve"> acumulados en 2022 y 2023, </w:t>
          </w:r>
          <w:r>
            <w:rPr>
              <w:rFonts w:ascii="Michelin Unit Text" w:hAnsi="Michelin Unit Text" w:cstheme="minorHAnsi"/>
              <w:sz w:val="20"/>
              <w:szCs w:val="20"/>
              <w:lang w:val="es-ES"/>
            </w:rPr>
            <w:t xml:space="preserve">alcanzando </w:t>
          </w:r>
          <w:r w:rsidR="007613E0" w:rsidRPr="00601D7E">
            <w:rPr>
              <w:rFonts w:ascii="Michelin Unit Text" w:hAnsi="Michelin Unit Text" w:cstheme="minorHAnsi"/>
              <w:sz w:val="20"/>
              <w:szCs w:val="20"/>
              <w:lang w:val="es-ES"/>
            </w:rPr>
            <w:t>un ROCE de</w:t>
          </w:r>
          <w:r>
            <w:rPr>
              <w:rFonts w:ascii="Michelin Unit Text" w:hAnsi="Michelin Unit Text" w:cstheme="minorHAnsi"/>
              <w:sz w:val="20"/>
              <w:szCs w:val="20"/>
              <w:lang w:val="es-ES"/>
            </w:rPr>
            <w:t>l</w:t>
          </w:r>
          <w:r w:rsidR="007613E0" w:rsidRPr="00601D7E">
            <w:rPr>
              <w:rFonts w:ascii="Michelin Unit Text" w:hAnsi="Michelin Unit Text" w:cstheme="minorHAnsi"/>
              <w:sz w:val="20"/>
              <w:szCs w:val="20"/>
              <w:lang w:val="es-ES"/>
            </w:rPr>
            <w:t xml:space="preserve"> 10,5%.</w:t>
          </w:r>
        </w:p>
        <w:p w14:paraId="5F3FDA4D" w14:textId="77777777" w:rsidR="007613E0" w:rsidRPr="00601D7E" w:rsidRDefault="007613E0" w:rsidP="00601D7E">
          <w:pPr>
            <w:spacing w:line="276" w:lineRule="auto"/>
            <w:jc w:val="both"/>
            <w:rPr>
              <w:rFonts w:ascii="Michelin Unit Text" w:hAnsi="Michelin Unit Text" w:cstheme="minorHAnsi"/>
              <w:sz w:val="20"/>
              <w:szCs w:val="20"/>
              <w:lang w:val="es-ES"/>
            </w:rPr>
          </w:pPr>
        </w:p>
        <w:p w14:paraId="2FA6B4FC" w14:textId="5FE60AA8" w:rsidR="007613E0" w:rsidRPr="00601D7E" w:rsidRDefault="007613E0" w:rsidP="00601D7E">
          <w:pPr>
            <w:spacing w:line="276" w:lineRule="auto"/>
            <w:jc w:val="both"/>
            <w:rPr>
              <w:rFonts w:ascii="Michelin Unit Text" w:hAnsi="Michelin Unit Text" w:cstheme="minorHAnsi"/>
              <w:sz w:val="20"/>
              <w:szCs w:val="20"/>
              <w:lang w:val="es-ES"/>
            </w:rPr>
          </w:pPr>
          <w:r w:rsidRPr="00601D7E">
            <w:rPr>
              <w:rFonts w:ascii="Michelin Unit Text" w:hAnsi="Michelin Unit Text" w:cstheme="minorHAnsi"/>
              <w:sz w:val="20"/>
              <w:szCs w:val="20"/>
              <w:lang w:val="es-ES"/>
            </w:rPr>
            <w:t xml:space="preserve">El Grupo </w:t>
          </w:r>
          <w:r w:rsidR="00297EB3">
            <w:rPr>
              <w:rFonts w:ascii="Michelin Unit Text" w:hAnsi="Michelin Unit Text" w:cstheme="minorHAnsi"/>
              <w:sz w:val="20"/>
              <w:szCs w:val="20"/>
              <w:lang w:val="es-ES"/>
            </w:rPr>
            <w:t xml:space="preserve">también </w:t>
          </w:r>
          <w:r w:rsidRPr="00601D7E">
            <w:rPr>
              <w:rFonts w:ascii="Michelin Unit Text" w:hAnsi="Michelin Unit Text" w:cstheme="minorHAnsi"/>
              <w:sz w:val="20"/>
              <w:szCs w:val="20"/>
              <w:lang w:val="es-ES"/>
            </w:rPr>
            <w:t xml:space="preserve">se compromete </w:t>
          </w:r>
          <w:r w:rsidR="00297EB3">
            <w:rPr>
              <w:rFonts w:ascii="Michelin Unit Text" w:hAnsi="Michelin Unit Text" w:cstheme="minorHAnsi"/>
              <w:sz w:val="20"/>
              <w:szCs w:val="20"/>
              <w:lang w:val="es-ES"/>
            </w:rPr>
            <w:t xml:space="preserve">a llevar a cabo </w:t>
          </w:r>
          <w:r w:rsidRPr="00601D7E">
            <w:rPr>
              <w:rFonts w:ascii="Michelin Unit Text" w:hAnsi="Michelin Unit Text" w:cstheme="minorHAnsi"/>
              <w:sz w:val="20"/>
              <w:szCs w:val="20"/>
              <w:lang w:val="es-ES"/>
            </w:rPr>
            <w:t>un esfuerzo de valor</w:t>
          </w:r>
          <w:r w:rsidR="0042060A">
            <w:rPr>
              <w:rFonts w:ascii="Michelin Unit Text" w:hAnsi="Michelin Unit Text" w:cstheme="minorHAnsi"/>
              <w:sz w:val="20"/>
              <w:szCs w:val="20"/>
              <w:lang w:val="es-ES"/>
            </w:rPr>
            <w:t>iz</w:t>
          </w:r>
          <w:r w:rsidRPr="00601D7E">
            <w:rPr>
              <w:rFonts w:ascii="Michelin Unit Text" w:hAnsi="Michelin Unit Text" w:cstheme="minorHAnsi"/>
              <w:sz w:val="20"/>
              <w:szCs w:val="20"/>
              <w:lang w:val="es-ES"/>
            </w:rPr>
            <w:t xml:space="preserve">ación de sus </w:t>
          </w:r>
          <w:r w:rsidR="002D62F0">
            <w:rPr>
              <w:rFonts w:ascii="Michelin Unit Text" w:hAnsi="Michelin Unit Text" w:cstheme="minorHAnsi"/>
              <w:sz w:val="20"/>
              <w:szCs w:val="20"/>
              <w:lang w:val="es-ES"/>
            </w:rPr>
            <w:t>emisiones, residuos y vertidos</w:t>
          </w:r>
          <w:r w:rsidRPr="00601D7E">
            <w:rPr>
              <w:rFonts w:ascii="Michelin Unit Text" w:hAnsi="Michelin Unit Text" w:cstheme="minorHAnsi"/>
              <w:sz w:val="20"/>
              <w:szCs w:val="20"/>
              <w:lang w:val="es-ES"/>
            </w:rPr>
            <w:t xml:space="preserve"> (emisión de CO</w:t>
          </w:r>
          <w:r w:rsidRPr="00297EB3">
            <w:rPr>
              <w:rFonts w:ascii="Michelin Unit Text" w:hAnsi="Michelin Unit Text" w:cs="Calibri (Cuerpo)"/>
              <w:sz w:val="20"/>
              <w:szCs w:val="20"/>
              <w:vertAlign w:val="subscript"/>
              <w:lang w:val="es-ES"/>
            </w:rPr>
            <w:t>2</w:t>
          </w:r>
          <w:r w:rsidRPr="00601D7E">
            <w:rPr>
              <w:rFonts w:ascii="Michelin Unit Text" w:hAnsi="Michelin Unit Text" w:cstheme="minorHAnsi"/>
              <w:sz w:val="20"/>
              <w:szCs w:val="20"/>
              <w:lang w:val="es-ES"/>
            </w:rPr>
            <w:t xml:space="preserve">, consumo de agua y de disolventes) y se impone objetivos de reducción </w:t>
          </w:r>
          <w:r w:rsidR="00297EB3">
            <w:rPr>
              <w:rFonts w:ascii="Michelin Unit Text" w:hAnsi="Michelin Unit Text" w:cstheme="minorHAnsi"/>
              <w:sz w:val="20"/>
              <w:szCs w:val="20"/>
              <w:lang w:val="es-ES"/>
            </w:rPr>
            <w:t xml:space="preserve">cercanos </w:t>
          </w:r>
          <w:r w:rsidRPr="00601D7E">
            <w:rPr>
              <w:rFonts w:ascii="Michelin Unit Text" w:hAnsi="Michelin Unit Text" w:cstheme="minorHAnsi"/>
              <w:sz w:val="20"/>
              <w:szCs w:val="20"/>
              <w:lang w:val="es-ES"/>
            </w:rPr>
            <w:t xml:space="preserve">al 10% </w:t>
          </w:r>
          <w:r w:rsidR="00297EB3">
            <w:rPr>
              <w:rFonts w:ascii="Michelin Unit Text" w:hAnsi="Michelin Unit Text" w:cstheme="minorHAnsi"/>
              <w:sz w:val="20"/>
              <w:szCs w:val="20"/>
              <w:lang w:val="es-ES"/>
            </w:rPr>
            <w:t>para</w:t>
          </w:r>
          <w:r w:rsidRPr="00601D7E">
            <w:rPr>
              <w:rFonts w:ascii="Michelin Unit Text" w:hAnsi="Michelin Unit Text" w:cstheme="minorHAnsi"/>
              <w:sz w:val="20"/>
              <w:szCs w:val="20"/>
              <w:lang w:val="es-ES"/>
            </w:rPr>
            <w:t xml:space="preserve"> 2023.</w:t>
          </w:r>
        </w:p>
        <w:p w14:paraId="2979E870" w14:textId="77777777" w:rsidR="007613E0" w:rsidRPr="00601D7E" w:rsidRDefault="007613E0" w:rsidP="00601D7E">
          <w:pPr>
            <w:spacing w:line="276" w:lineRule="auto"/>
            <w:jc w:val="both"/>
            <w:rPr>
              <w:rFonts w:ascii="Michelin Unit Text" w:hAnsi="Michelin Unit Text" w:cstheme="minorHAnsi"/>
              <w:sz w:val="20"/>
              <w:szCs w:val="20"/>
              <w:lang w:val="es-ES"/>
            </w:rPr>
          </w:pPr>
        </w:p>
        <w:p w14:paraId="44D6CFB4" w14:textId="4E674BD1" w:rsidR="007613E0" w:rsidRPr="00601D7E" w:rsidRDefault="00297EB3" w:rsidP="00601D7E">
          <w:pPr>
            <w:spacing w:line="276" w:lineRule="auto"/>
            <w:jc w:val="both"/>
            <w:rPr>
              <w:rFonts w:ascii="Michelin Unit Text" w:hAnsi="Michelin Unit Text" w:cstheme="minorHAnsi"/>
              <w:sz w:val="20"/>
              <w:szCs w:val="20"/>
              <w:lang w:val="es-ES"/>
            </w:rPr>
          </w:pPr>
          <w:r w:rsidRPr="003613A3">
            <w:rPr>
              <w:rFonts w:ascii="Michelin Unit Text" w:hAnsi="Michelin Unit Text" w:cstheme="minorHAnsi"/>
              <w:sz w:val="20"/>
              <w:szCs w:val="20"/>
              <w:lang w:val="es-ES"/>
            </w:rPr>
            <w:t>Por último</w:t>
          </w:r>
          <w:r w:rsidR="007613E0" w:rsidRPr="003613A3">
            <w:rPr>
              <w:rFonts w:ascii="Michelin Unit Text" w:hAnsi="Michelin Unit Text" w:cstheme="minorHAnsi"/>
              <w:sz w:val="20"/>
              <w:szCs w:val="20"/>
              <w:lang w:val="es-ES"/>
            </w:rPr>
            <w:t xml:space="preserve">, el Grupo ha decidido revisar su política de </w:t>
          </w:r>
          <w:r w:rsidR="002D62F0">
            <w:rPr>
              <w:rFonts w:ascii="Michelin Unit Text" w:hAnsi="Michelin Unit Text" w:cstheme="minorHAnsi"/>
              <w:sz w:val="20"/>
              <w:szCs w:val="20"/>
              <w:lang w:val="es-ES"/>
            </w:rPr>
            <w:t>distribución de dividendos</w:t>
          </w:r>
          <w:r w:rsidR="007613E0" w:rsidRPr="003613A3">
            <w:rPr>
              <w:rFonts w:ascii="Michelin Unit Text" w:hAnsi="Michelin Unit Text" w:cstheme="minorHAnsi"/>
              <w:sz w:val="20"/>
              <w:szCs w:val="20"/>
              <w:lang w:val="es-ES"/>
            </w:rPr>
            <w:t xml:space="preserve">, </w:t>
          </w:r>
          <w:r w:rsidR="003613A3" w:rsidRPr="003613A3">
            <w:rPr>
              <w:rFonts w:ascii="Michelin Unit Text" w:hAnsi="Michelin Unit Text" w:cstheme="minorHAnsi"/>
              <w:sz w:val="20"/>
              <w:szCs w:val="20"/>
              <w:lang w:val="es-ES"/>
            </w:rPr>
            <w:t xml:space="preserve">con el objetivo de alcanzar una tasa </w:t>
          </w:r>
          <w:r w:rsidR="0042060A">
            <w:rPr>
              <w:rFonts w:ascii="Michelin Unit Text" w:hAnsi="Michelin Unit Text" w:cstheme="minorHAnsi"/>
              <w:sz w:val="20"/>
              <w:szCs w:val="20"/>
              <w:lang w:val="es-ES"/>
            </w:rPr>
            <w:t xml:space="preserve">de </w:t>
          </w:r>
          <w:r w:rsidR="002D62F0">
            <w:rPr>
              <w:rFonts w:ascii="Michelin Unit Text" w:hAnsi="Michelin Unit Text" w:cstheme="minorHAnsi"/>
              <w:sz w:val="20"/>
              <w:szCs w:val="20"/>
              <w:lang w:val="es-ES"/>
            </w:rPr>
            <w:t xml:space="preserve">los beneficios que se distribuyen en dividendos, </w:t>
          </w:r>
          <w:r w:rsidR="003613A3" w:rsidRPr="003613A3">
            <w:rPr>
              <w:rFonts w:ascii="Michelin Unit Text" w:hAnsi="Michelin Unit Text" w:cstheme="minorHAnsi"/>
              <w:sz w:val="20"/>
              <w:szCs w:val="20"/>
              <w:lang w:val="es-ES"/>
            </w:rPr>
            <w:t>excluyendo elementos no recurrentes</w:t>
          </w:r>
          <w:r w:rsidR="002D62F0">
            <w:rPr>
              <w:rFonts w:ascii="Michelin Unit Text" w:hAnsi="Michelin Unit Text" w:cstheme="minorHAnsi"/>
              <w:sz w:val="20"/>
              <w:szCs w:val="20"/>
              <w:lang w:val="es-ES"/>
            </w:rPr>
            <w:t>,</w:t>
          </w:r>
          <w:r w:rsidR="003613A3" w:rsidRPr="003613A3">
            <w:rPr>
              <w:rFonts w:ascii="Michelin Unit Text" w:hAnsi="Michelin Unit Text" w:cstheme="minorHAnsi"/>
              <w:sz w:val="20"/>
              <w:szCs w:val="20"/>
              <w:lang w:val="es-ES"/>
            </w:rPr>
            <w:t xml:space="preserve"> del 50% </w:t>
          </w:r>
          <w:r w:rsidR="007613E0" w:rsidRPr="003613A3">
            <w:rPr>
              <w:rFonts w:ascii="Michelin Unit Text" w:hAnsi="Michelin Unit Text" w:cstheme="minorHAnsi"/>
              <w:sz w:val="20"/>
              <w:szCs w:val="20"/>
              <w:lang w:val="es-ES"/>
            </w:rPr>
            <w:t>a partir de 2021.</w:t>
          </w:r>
        </w:p>
        <w:p w14:paraId="7FEAFD03" w14:textId="77777777" w:rsidR="007613E0" w:rsidRPr="00601D7E" w:rsidRDefault="007613E0" w:rsidP="00601D7E">
          <w:pPr>
            <w:spacing w:line="276" w:lineRule="auto"/>
            <w:jc w:val="both"/>
            <w:rPr>
              <w:rFonts w:ascii="Michelin Unit Text" w:hAnsi="Michelin Unit Text" w:cstheme="minorHAnsi"/>
              <w:sz w:val="20"/>
              <w:szCs w:val="20"/>
              <w:lang w:val="es-ES"/>
            </w:rPr>
          </w:pPr>
        </w:p>
        <w:p w14:paraId="74F94702" w14:textId="2C3C20BF" w:rsidR="007613E0" w:rsidRPr="00601D7E" w:rsidRDefault="007613E0" w:rsidP="00601D7E">
          <w:pPr>
            <w:spacing w:line="276" w:lineRule="auto"/>
            <w:jc w:val="both"/>
            <w:rPr>
              <w:rFonts w:ascii="Michelin Unit Text" w:hAnsi="Michelin Unit Text" w:cstheme="minorHAnsi"/>
              <w:i/>
              <w:sz w:val="20"/>
              <w:szCs w:val="20"/>
              <w:lang w:val="es-ES"/>
            </w:rPr>
          </w:pPr>
          <w:r w:rsidRPr="00601D7E">
            <w:rPr>
              <w:rFonts w:ascii="Michelin Unit Text" w:hAnsi="Michelin Unit Text" w:cstheme="minorHAnsi"/>
              <w:sz w:val="20"/>
              <w:szCs w:val="20"/>
              <w:lang w:val="es-ES"/>
            </w:rPr>
            <w:lastRenderedPageBreak/>
            <w:t>En</w:t>
          </w:r>
          <w:r w:rsidR="003613A3">
            <w:rPr>
              <w:rFonts w:ascii="Michelin Unit Text" w:hAnsi="Michelin Unit Text" w:cstheme="minorHAnsi"/>
              <w:sz w:val="20"/>
              <w:szCs w:val="20"/>
              <w:lang w:val="es-ES"/>
            </w:rPr>
            <w:t xml:space="preserve"> si intervención en</w:t>
          </w:r>
          <w:r w:rsidRPr="00601D7E">
            <w:rPr>
              <w:rFonts w:ascii="Michelin Unit Text" w:hAnsi="Michelin Unit Text" w:cstheme="minorHAnsi"/>
              <w:sz w:val="20"/>
              <w:szCs w:val="20"/>
              <w:lang w:val="es-ES"/>
            </w:rPr>
            <w:t xml:space="preserve"> el </w:t>
          </w:r>
          <w:r w:rsidRPr="00601D7E">
            <w:rPr>
              <w:rFonts w:ascii="Michelin Unit Text" w:hAnsi="Michelin Unit Text" w:cstheme="minorHAnsi"/>
              <w:i/>
              <w:sz w:val="20"/>
              <w:szCs w:val="20"/>
              <w:lang w:val="es-ES"/>
            </w:rPr>
            <w:t>Capital Markets Day</w:t>
          </w:r>
          <w:r w:rsidRPr="00601D7E">
            <w:rPr>
              <w:rFonts w:ascii="Michelin Unit Text" w:hAnsi="Michelin Unit Text" w:cstheme="minorHAnsi"/>
              <w:sz w:val="20"/>
              <w:szCs w:val="20"/>
              <w:lang w:val="es-ES"/>
            </w:rPr>
            <w:t xml:space="preserve">, Florent Menegaux </w:t>
          </w:r>
          <w:r w:rsidR="003613A3">
            <w:rPr>
              <w:rFonts w:ascii="Michelin Unit Text" w:hAnsi="Michelin Unit Text" w:cstheme="minorHAnsi"/>
              <w:sz w:val="20"/>
              <w:szCs w:val="20"/>
              <w:lang w:val="es-ES"/>
            </w:rPr>
            <w:t>declaró</w:t>
          </w:r>
          <w:r w:rsidRPr="00601D7E">
            <w:rPr>
              <w:rFonts w:ascii="Michelin Unit Text" w:hAnsi="Michelin Unit Text" w:cstheme="minorHAnsi"/>
              <w:sz w:val="20"/>
              <w:szCs w:val="20"/>
              <w:lang w:val="es-ES"/>
            </w:rPr>
            <w:t>: “</w:t>
          </w:r>
          <w:r w:rsidRPr="00601D7E">
            <w:rPr>
              <w:rFonts w:ascii="Michelin Unit Text" w:hAnsi="Michelin Unit Text" w:cstheme="minorHAnsi"/>
              <w:i/>
              <w:sz w:val="20"/>
              <w:szCs w:val="20"/>
              <w:lang w:val="es-ES"/>
            </w:rPr>
            <w:t xml:space="preserve">Con este nuevo plan estratégico </w:t>
          </w:r>
          <w:r w:rsidR="000A6116">
            <w:rPr>
              <w:rFonts w:ascii="Michelin Unit Text" w:hAnsi="Michelin Unit Text" w:cstheme="minorHAnsi"/>
              <w:i/>
              <w:sz w:val="20"/>
              <w:szCs w:val="20"/>
              <w:lang w:val="es-ES"/>
            </w:rPr>
            <w:t>‘</w:t>
          </w:r>
          <w:r w:rsidRPr="00601D7E">
            <w:rPr>
              <w:rFonts w:ascii="Michelin Unit Text" w:hAnsi="Michelin Unit Text" w:cstheme="minorHAnsi"/>
              <w:i/>
              <w:sz w:val="20"/>
              <w:szCs w:val="20"/>
              <w:lang w:val="es-ES"/>
            </w:rPr>
            <w:t>Michelin in Motion</w:t>
          </w:r>
          <w:r w:rsidR="000A6116">
            <w:rPr>
              <w:rFonts w:ascii="Michelin Unit Text" w:hAnsi="Michelin Unit Text" w:cstheme="minorHAnsi"/>
              <w:i/>
              <w:sz w:val="20"/>
              <w:szCs w:val="20"/>
              <w:lang w:val="es-ES"/>
            </w:rPr>
            <w:t>’</w:t>
          </w:r>
          <w:r w:rsidRPr="00601D7E">
            <w:rPr>
              <w:rFonts w:ascii="Michelin Unit Text" w:hAnsi="Michelin Unit Text" w:cstheme="minorHAnsi"/>
              <w:i/>
              <w:sz w:val="20"/>
              <w:szCs w:val="20"/>
              <w:lang w:val="es-ES"/>
            </w:rPr>
            <w:t xml:space="preserve">, el Grupo se </w:t>
          </w:r>
          <w:r w:rsidR="000A6116">
            <w:rPr>
              <w:rFonts w:ascii="Michelin Unit Text" w:hAnsi="Michelin Unit Text" w:cstheme="minorHAnsi"/>
              <w:i/>
              <w:sz w:val="20"/>
              <w:szCs w:val="20"/>
              <w:lang w:val="es-ES"/>
            </w:rPr>
            <w:t xml:space="preserve">ha fijado </w:t>
          </w:r>
          <w:r w:rsidRPr="00601D7E">
            <w:rPr>
              <w:rFonts w:ascii="Michelin Unit Text" w:hAnsi="Michelin Unit Text" w:cstheme="minorHAnsi"/>
              <w:i/>
              <w:sz w:val="20"/>
              <w:szCs w:val="20"/>
              <w:lang w:val="es-ES"/>
            </w:rPr>
            <w:t>un ambicios</w:t>
          </w:r>
          <w:r w:rsidR="000A6116">
            <w:rPr>
              <w:rFonts w:ascii="Michelin Unit Text" w:hAnsi="Michelin Unit Text" w:cstheme="minorHAnsi"/>
              <w:i/>
              <w:sz w:val="20"/>
              <w:szCs w:val="20"/>
              <w:lang w:val="es-ES"/>
            </w:rPr>
            <w:t>o plan de</w:t>
          </w:r>
          <w:r w:rsidRPr="00601D7E">
            <w:rPr>
              <w:rFonts w:ascii="Michelin Unit Text" w:hAnsi="Michelin Unit Text" w:cstheme="minorHAnsi"/>
              <w:i/>
              <w:sz w:val="20"/>
              <w:szCs w:val="20"/>
              <w:lang w:val="es-ES"/>
            </w:rPr>
            <w:t xml:space="preserve"> crecimiento para los próximos diez años. Estoy </w:t>
          </w:r>
          <w:r w:rsidR="000A6116">
            <w:rPr>
              <w:rFonts w:ascii="Michelin Unit Text" w:hAnsi="Michelin Unit Text" w:cstheme="minorHAnsi"/>
              <w:i/>
              <w:sz w:val="20"/>
              <w:szCs w:val="20"/>
              <w:lang w:val="es-ES"/>
            </w:rPr>
            <w:t>convencido</w:t>
          </w:r>
          <w:r w:rsidRPr="00601D7E">
            <w:rPr>
              <w:rFonts w:ascii="Michelin Unit Text" w:hAnsi="Michelin Unit Text" w:cstheme="minorHAnsi"/>
              <w:i/>
              <w:sz w:val="20"/>
              <w:szCs w:val="20"/>
              <w:lang w:val="es-ES"/>
            </w:rPr>
            <w:t xml:space="preserve"> de que el compromiso y la capacidad de innovación de los equipos de Michelin nos permitirán </w:t>
          </w:r>
          <w:r w:rsidR="000A6116">
            <w:rPr>
              <w:rFonts w:ascii="Michelin Unit Text" w:hAnsi="Michelin Unit Text" w:cstheme="minorHAnsi"/>
              <w:i/>
              <w:sz w:val="20"/>
              <w:szCs w:val="20"/>
              <w:lang w:val="es-ES"/>
            </w:rPr>
            <w:t>combinar de forma armoniosa un rend</w:t>
          </w:r>
          <w:r w:rsidRPr="00601D7E">
            <w:rPr>
              <w:rFonts w:ascii="Michelin Unit Text" w:hAnsi="Michelin Unit Text" w:cstheme="minorHAnsi"/>
              <w:i/>
              <w:sz w:val="20"/>
              <w:szCs w:val="20"/>
              <w:lang w:val="es-ES"/>
            </w:rPr>
            <w:t>imiento económico sostenido</w:t>
          </w:r>
          <w:r w:rsidR="000A6116">
            <w:rPr>
              <w:rFonts w:ascii="Michelin Unit Text" w:hAnsi="Michelin Unit Text" w:cstheme="minorHAnsi"/>
              <w:i/>
              <w:sz w:val="20"/>
              <w:szCs w:val="20"/>
              <w:lang w:val="es-ES"/>
            </w:rPr>
            <w:t xml:space="preserve"> con el</w:t>
          </w:r>
          <w:r w:rsidRPr="00601D7E">
            <w:rPr>
              <w:rFonts w:ascii="Michelin Unit Text" w:hAnsi="Michelin Unit Text" w:cstheme="minorHAnsi"/>
              <w:i/>
              <w:sz w:val="20"/>
              <w:szCs w:val="20"/>
              <w:lang w:val="es-ES"/>
            </w:rPr>
            <w:t xml:space="preserve"> desarrollo continuo de </w:t>
          </w:r>
          <w:r w:rsidR="000A6116">
            <w:rPr>
              <w:rFonts w:ascii="Michelin Unit Text" w:hAnsi="Michelin Unit Text" w:cstheme="minorHAnsi"/>
              <w:i/>
              <w:sz w:val="20"/>
              <w:szCs w:val="20"/>
              <w:lang w:val="es-ES"/>
            </w:rPr>
            <w:t xml:space="preserve">nuestros empleados </w:t>
          </w:r>
          <w:r w:rsidRPr="00601D7E">
            <w:rPr>
              <w:rFonts w:ascii="Michelin Unit Text" w:hAnsi="Michelin Unit Text" w:cstheme="minorHAnsi"/>
              <w:i/>
              <w:sz w:val="20"/>
              <w:szCs w:val="20"/>
              <w:lang w:val="es-ES"/>
            </w:rPr>
            <w:t xml:space="preserve">y </w:t>
          </w:r>
          <w:r w:rsidR="000A6116">
            <w:rPr>
              <w:rFonts w:ascii="Michelin Unit Text" w:hAnsi="Michelin Unit Text" w:cstheme="minorHAnsi"/>
              <w:i/>
              <w:sz w:val="20"/>
              <w:szCs w:val="20"/>
              <w:lang w:val="es-ES"/>
            </w:rPr>
            <w:t xml:space="preserve"> el </w:t>
          </w:r>
          <w:r w:rsidRPr="00601D7E">
            <w:rPr>
              <w:rFonts w:ascii="Michelin Unit Text" w:hAnsi="Michelin Unit Text" w:cstheme="minorHAnsi"/>
              <w:i/>
              <w:sz w:val="20"/>
              <w:szCs w:val="20"/>
              <w:lang w:val="es-ES"/>
            </w:rPr>
            <w:t xml:space="preserve">respeto </w:t>
          </w:r>
          <w:r w:rsidR="000A6116">
            <w:rPr>
              <w:rFonts w:ascii="Michelin Unit Text" w:hAnsi="Michelin Unit Text" w:cstheme="minorHAnsi"/>
              <w:i/>
              <w:sz w:val="20"/>
              <w:szCs w:val="20"/>
              <w:lang w:val="es-ES"/>
            </w:rPr>
            <w:t>por el</w:t>
          </w:r>
          <w:r w:rsidRPr="00601D7E">
            <w:rPr>
              <w:rFonts w:ascii="Michelin Unit Text" w:hAnsi="Michelin Unit Text" w:cstheme="minorHAnsi"/>
              <w:i/>
              <w:sz w:val="20"/>
              <w:szCs w:val="20"/>
              <w:lang w:val="es-ES"/>
            </w:rPr>
            <w:t xml:space="preserve"> planeta y </w:t>
          </w:r>
          <w:r w:rsidR="000A6116">
            <w:rPr>
              <w:rFonts w:ascii="Michelin Unit Text" w:hAnsi="Michelin Unit Text" w:cstheme="minorHAnsi"/>
              <w:i/>
              <w:sz w:val="20"/>
              <w:szCs w:val="20"/>
              <w:lang w:val="es-ES"/>
            </w:rPr>
            <w:t>sus</w:t>
          </w:r>
          <w:r w:rsidRPr="00601D7E">
            <w:rPr>
              <w:rFonts w:ascii="Michelin Unit Text" w:hAnsi="Michelin Unit Text" w:cstheme="minorHAnsi"/>
              <w:i/>
              <w:sz w:val="20"/>
              <w:szCs w:val="20"/>
              <w:lang w:val="es-ES"/>
            </w:rPr>
            <w:t xml:space="preserve"> comunidades. De aquí a 2030, y permaneciendo fiel a su ADN, el perfil del Grupo habrá evolucionado con el </w:t>
          </w:r>
          <w:r w:rsidR="000A6116">
            <w:rPr>
              <w:rFonts w:ascii="Michelin Unit Text" w:hAnsi="Michelin Unit Text" w:cstheme="minorHAnsi"/>
              <w:i/>
              <w:sz w:val="20"/>
              <w:szCs w:val="20"/>
              <w:lang w:val="es-ES"/>
            </w:rPr>
            <w:t>aumento</w:t>
          </w:r>
          <w:r w:rsidRPr="00601D7E">
            <w:rPr>
              <w:rFonts w:ascii="Michelin Unit Text" w:hAnsi="Michelin Unit Text" w:cstheme="minorHAnsi"/>
              <w:i/>
              <w:sz w:val="20"/>
              <w:szCs w:val="20"/>
              <w:lang w:val="es-ES"/>
            </w:rPr>
            <w:t xml:space="preserve"> </w:t>
          </w:r>
          <w:r w:rsidR="000A6116">
            <w:rPr>
              <w:rFonts w:ascii="Michelin Unit Text" w:hAnsi="Michelin Unit Text" w:cstheme="minorHAnsi"/>
              <w:i/>
              <w:sz w:val="20"/>
              <w:szCs w:val="20"/>
              <w:lang w:val="es-ES"/>
            </w:rPr>
            <w:t xml:space="preserve">significativo </w:t>
          </w:r>
          <w:r w:rsidRPr="00601D7E">
            <w:rPr>
              <w:rFonts w:ascii="Michelin Unit Text" w:hAnsi="Michelin Unit Text" w:cstheme="minorHAnsi"/>
              <w:i/>
              <w:sz w:val="20"/>
              <w:szCs w:val="20"/>
              <w:lang w:val="es-ES"/>
            </w:rPr>
            <w:t xml:space="preserve">de nuevas actividades </w:t>
          </w:r>
          <w:r w:rsidR="000A6116">
            <w:rPr>
              <w:rFonts w:ascii="Michelin Unit Text" w:hAnsi="Michelin Unit Text" w:cstheme="minorHAnsi"/>
              <w:i/>
              <w:sz w:val="20"/>
              <w:szCs w:val="20"/>
              <w:lang w:val="es-ES"/>
            </w:rPr>
            <w:t>de</w:t>
          </w:r>
          <w:r w:rsidRPr="00601D7E">
            <w:rPr>
              <w:rFonts w:ascii="Michelin Unit Text" w:hAnsi="Michelin Unit Text" w:cstheme="minorHAnsi"/>
              <w:i/>
              <w:sz w:val="20"/>
              <w:szCs w:val="20"/>
              <w:lang w:val="es-ES"/>
            </w:rPr>
            <w:t xml:space="preserve"> alto valor añadido, </w:t>
          </w:r>
          <w:r w:rsidR="000A6116">
            <w:rPr>
              <w:rFonts w:ascii="Michelin Unit Text" w:hAnsi="Michelin Unit Text" w:cstheme="minorHAnsi"/>
              <w:i/>
              <w:sz w:val="20"/>
              <w:szCs w:val="20"/>
              <w:lang w:val="es-ES"/>
            </w:rPr>
            <w:t xml:space="preserve">tanto </w:t>
          </w:r>
          <w:r w:rsidRPr="00601D7E">
            <w:rPr>
              <w:rFonts w:ascii="Michelin Unit Text" w:hAnsi="Michelin Unit Text" w:cstheme="minorHAnsi"/>
              <w:i/>
              <w:sz w:val="20"/>
              <w:szCs w:val="20"/>
              <w:lang w:val="es-ES"/>
            </w:rPr>
            <w:t xml:space="preserve">en torno al neumático </w:t>
          </w:r>
          <w:r w:rsidR="000A6116">
            <w:rPr>
              <w:rFonts w:ascii="Michelin Unit Text" w:hAnsi="Michelin Unit Text" w:cstheme="minorHAnsi"/>
              <w:i/>
              <w:sz w:val="20"/>
              <w:szCs w:val="20"/>
              <w:lang w:val="es-ES"/>
            </w:rPr>
            <w:t xml:space="preserve">como </w:t>
          </w:r>
          <w:r w:rsidRPr="00601D7E">
            <w:rPr>
              <w:rFonts w:ascii="Michelin Unit Text" w:hAnsi="Michelin Unit Text" w:cstheme="minorHAnsi"/>
              <w:i/>
              <w:sz w:val="20"/>
              <w:szCs w:val="20"/>
              <w:lang w:val="es-ES"/>
            </w:rPr>
            <w:t>fuera de él. Esta capacidad de reinventarse de forma permanente es la fuerza principal de Michelin desde hace más de 130 años, y lo que nos hace confiar en el futuro.”</w:t>
          </w:r>
        </w:p>
        <w:p w14:paraId="1A261FB9" w14:textId="77777777" w:rsidR="007613E0" w:rsidRPr="00601D7E" w:rsidRDefault="007613E0" w:rsidP="00601D7E">
          <w:pPr>
            <w:spacing w:line="276" w:lineRule="auto"/>
            <w:jc w:val="both"/>
            <w:rPr>
              <w:rFonts w:ascii="Michelin Unit Text" w:hAnsi="Michelin Unit Text" w:cstheme="minorHAnsi"/>
              <w:i/>
              <w:sz w:val="20"/>
              <w:szCs w:val="20"/>
              <w:lang w:val="es-ES"/>
            </w:rPr>
          </w:pPr>
        </w:p>
        <w:p w14:paraId="439BC9C2" w14:textId="3EF7B315" w:rsidR="007613E0" w:rsidRPr="00601D7E" w:rsidRDefault="007613E0" w:rsidP="00601D7E">
          <w:pPr>
            <w:spacing w:line="276" w:lineRule="auto"/>
            <w:jc w:val="both"/>
            <w:rPr>
              <w:rFonts w:ascii="Michelin Unit Text" w:hAnsi="Michelin Unit Text" w:cstheme="minorHAnsi"/>
              <w:sz w:val="20"/>
              <w:szCs w:val="20"/>
              <w:lang w:val="es-ES"/>
            </w:rPr>
          </w:pPr>
          <w:r w:rsidRPr="00601D7E">
            <w:rPr>
              <w:rFonts w:ascii="Michelin Unit Text" w:hAnsi="Michelin Unit Text" w:cstheme="minorHAnsi"/>
              <w:sz w:val="20"/>
              <w:szCs w:val="20"/>
              <w:lang w:val="es-ES"/>
            </w:rPr>
            <w:t>Yves C</w:t>
          </w:r>
          <w:r w:rsidR="002D62F0">
            <w:rPr>
              <w:rFonts w:ascii="Michelin Unit Text" w:hAnsi="Michelin Unit Text" w:cstheme="minorHAnsi"/>
              <w:sz w:val="20"/>
              <w:szCs w:val="20"/>
              <w:lang w:val="es-ES"/>
            </w:rPr>
            <w:t>h</w:t>
          </w:r>
          <w:r w:rsidRPr="00601D7E">
            <w:rPr>
              <w:rFonts w:ascii="Michelin Unit Text" w:hAnsi="Michelin Unit Text" w:cstheme="minorHAnsi"/>
              <w:sz w:val="20"/>
              <w:szCs w:val="20"/>
              <w:lang w:val="es-ES"/>
            </w:rPr>
            <w:t>apot añad</w:t>
          </w:r>
          <w:r w:rsidR="000A6116">
            <w:rPr>
              <w:rFonts w:ascii="Michelin Unit Text" w:hAnsi="Michelin Unit Text" w:cstheme="minorHAnsi"/>
              <w:sz w:val="20"/>
              <w:szCs w:val="20"/>
              <w:lang w:val="es-ES"/>
            </w:rPr>
            <w:t>ió</w:t>
          </w:r>
          <w:r w:rsidRPr="00601D7E">
            <w:rPr>
              <w:rFonts w:ascii="Michelin Unit Text" w:hAnsi="Michelin Unit Text" w:cstheme="minorHAnsi"/>
              <w:i/>
              <w:sz w:val="20"/>
              <w:szCs w:val="20"/>
              <w:lang w:val="es-ES"/>
            </w:rPr>
            <w:t>: “Pese a la crisis que atravesamos y el contexto económico aún incierto, Michelin ha demostrado</w:t>
          </w:r>
          <w:r w:rsidR="000A6116">
            <w:rPr>
              <w:rFonts w:ascii="Michelin Unit Text" w:hAnsi="Michelin Unit Text" w:cstheme="minorHAnsi"/>
              <w:i/>
              <w:sz w:val="20"/>
              <w:szCs w:val="20"/>
              <w:lang w:val="es-ES"/>
            </w:rPr>
            <w:t xml:space="preserve"> su </w:t>
          </w:r>
          <w:r w:rsidRPr="00601D7E">
            <w:rPr>
              <w:rFonts w:ascii="Michelin Unit Text" w:hAnsi="Michelin Unit Text" w:cstheme="minorHAnsi"/>
              <w:i/>
              <w:sz w:val="20"/>
              <w:szCs w:val="20"/>
              <w:lang w:val="es-ES"/>
            </w:rPr>
            <w:t xml:space="preserve">resiliencia y la pertinencia de su modelo </w:t>
          </w:r>
          <w:r w:rsidR="000A6116">
            <w:rPr>
              <w:rFonts w:ascii="Michelin Unit Text" w:hAnsi="Michelin Unit Text" w:cstheme="minorHAnsi"/>
              <w:i/>
              <w:sz w:val="20"/>
              <w:szCs w:val="20"/>
              <w:lang w:val="es-ES"/>
            </w:rPr>
            <w:t>de negocio</w:t>
          </w:r>
          <w:r w:rsidRPr="00601D7E">
            <w:rPr>
              <w:rFonts w:ascii="Michelin Unit Text" w:hAnsi="Michelin Unit Text" w:cstheme="minorHAnsi"/>
              <w:i/>
              <w:sz w:val="20"/>
              <w:szCs w:val="20"/>
              <w:lang w:val="es-ES"/>
            </w:rPr>
            <w:t xml:space="preserve">. Este nuevo plan estratégico </w:t>
          </w:r>
          <w:r w:rsidR="000A6116">
            <w:rPr>
              <w:rFonts w:ascii="Michelin Unit Text" w:hAnsi="Michelin Unit Text" w:cstheme="minorHAnsi"/>
              <w:i/>
              <w:sz w:val="20"/>
              <w:szCs w:val="20"/>
              <w:lang w:val="es-ES"/>
            </w:rPr>
            <w:t>‘</w:t>
          </w:r>
          <w:r w:rsidRPr="00601D7E">
            <w:rPr>
              <w:rFonts w:ascii="Michelin Unit Text" w:hAnsi="Michelin Unit Text" w:cstheme="minorHAnsi"/>
              <w:i/>
              <w:sz w:val="20"/>
              <w:szCs w:val="20"/>
              <w:lang w:val="es-ES"/>
            </w:rPr>
            <w:t>Michelin in Motion</w:t>
          </w:r>
          <w:r w:rsidR="000A6116">
            <w:rPr>
              <w:rFonts w:ascii="Michelin Unit Text" w:hAnsi="Michelin Unit Text" w:cstheme="minorHAnsi"/>
              <w:i/>
              <w:sz w:val="20"/>
              <w:szCs w:val="20"/>
              <w:lang w:val="es-ES"/>
            </w:rPr>
            <w:t>’</w:t>
          </w:r>
          <w:r w:rsidRPr="00601D7E">
            <w:rPr>
              <w:rFonts w:ascii="Michelin Unit Text" w:hAnsi="Michelin Unit Text" w:cstheme="minorHAnsi"/>
              <w:i/>
              <w:sz w:val="20"/>
              <w:szCs w:val="20"/>
              <w:lang w:val="es-ES"/>
            </w:rPr>
            <w:t xml:space="preserve"> </w:t>
          </w:r>
          <w:r w:rsidR="000A6116">
            <w:rPr>
              <w:rFonts w:ascii="Michelin Unit Text" w:hAnsi="Michelin Unit Text" w:cstheme="minorHAnsi"/>
              <w:i/>
              <w:sz w:val="20"/>
              <w:szCs w:val="20"/>
              <w:lang w:val="es-ES"/>
            </w:rPr>
            <w:t>dotará al</w:t>
          </w:r>
          <w:r w:rsidRPr="00601D7E">
            <w:rPr>
              <w:rFonts w:ascii="Michelin Unit Text" w:hAnsi="Michelin Unit Text" w:cstheme="minorHAnsi"/>
              <w:i/>
              <w:sz w:val="20"/>
              <w:szCs w:val="20"/>
              <w:lang w:val="es-ES"/>
            </w:rPr>
            <w:t xml:space="preserve"> Grupo</w:t>
          </w:r>
          <w:r w:rsidR="000A6116">
            <w:rPr>
              <w:rFonts w:ascii="Michelin Unit Text" w:hAnsi="Michelin Unit Text" w:cstheme="minorHAnsi"/>
              <w:i/>
              <w:sz w:val="20"/>
              <w:szCs w:val="20"/>
              <w:lang w:val="es-ES"/>
            </w:rPr>
            <w:t xml:space="preserve"> de </w:t>
          </w:r>
          <w:r w:rsidRPr="00601D7E">
            <w:rPr>
              <w:rFonts w:ascii="Michelin Unit Text" w:hAnsi="Michelin Unit Text" w:cstheme="minorHAnsi"/>
              <w:i/>
              <w:sz w:val="20"/>
              <w:szCs w:val="20"/>
              <w:lang w:val="es-ES"/>
            </w:rPr>
            <w:t>los medios para crecer y para reducir el impacto de nuestras</w:t>
          </w:r>
          <w:r w:rsidR="002D62F0">
            <w:rPr>
              <w:rFonts w:ascii="Michelin Unit Text" w:hAnsi="Michelin Unit Text" w:cstheme="minorHAnsi"/>
              <w:i/>
              <w:sz w:val="20"/>
              <w:szCs w:val="20"/>
              <w:lang w:val="es-ES"/>
            </w:rPr>
            <w:t xml:space="preserve"> emisiones, residuos y vertidos</w:t>
          </w:r>
          <w:r w:rsidRPr="00601D7E">
            <w:rPr>
              <w:rFonts w:ascii="Michelin Unit Text" w:hAnsi="Michelin Unit Text" w:cstheme="minorHAnsi"/>
              <w:i/>
              <w:sz w:val="20"/>
              <w:szCs w:val="20"/>
              <w:lang w:val="es-ES"/>
            </w:rPr>
            <w:t xml:space="preserve">. Michelin continuará desarrollando sus actividades </w:t>
          </w:r>
          <w:r w:rsidR="000A6116">
            <w:rPr>
              <w:rFonts w:ascii="Michelin Unit Text" w:hAnsi="Michelin Unit Text" w:cstheme="minorHAnsi"/>
              <w:i/>
              <w:sz w:val="20"/>
              <w:szCs w:val="20"/>
              <w:lang w:val="es-ES"/>
            </w:rPr>
            <w:t xml:space="preserve">relacionadas con </w:t>
          </w:r>
          <w:r w:rsidRPr="00601D7E">
            <w:rPr>
              <w:rFonts w:ascii="Michelin Unit Text" w:hAnsi="Michelin Unit Text" w:cstheme="minorHAnsi"/>
              <w:i/>
              <w:sz w:val="20"/>
              <w:szCs w:val="20"/>
              <w:lang w:val="es-ES"/>
            </w:rPr>
            <w:t xml:space="preserve">el neumático, </w:t>
          </w:r>
          <w:r w:rsidR="000A6116">
            <w:rPr>
              <w:rFonts w:ascii="Michelin Unit Text" w:hAnsi="Michelin Unit Text" w:cstheme="minorHAnsi"/>
              <w:i/>
              <w:sz w:val="20"/>
              <w:szCs w:val="20"/>
              <w:lang w:val="es-ES"/>
            </w:rPr>
            <w:t>a la vez que integrará nuevos negocios</w:t>
          </w:r>
          <w:r w:rsidRPr="00601D7E">
            <w:rPr>
              <w:rFonts w:ascii="Michelin Unit Text" w:hAnsi="Michelin Unit Text" w:cstheme="minorHAnsi"/>
              <w:i/>
              <w:sz w:val="20"/>
              <w:szCs w:val="20"/>
              <w:lang w:val="es-ES"/>
            </w:rPr>
            <w:t xml:space="preserve">, todo ello con el </w:t>
          </w:r>
          <w:r w:rsidR="000A6116">
            <w:rPr>
              <w:rFonts w:ascii="Michelin Unit Text" w:hAnsi="Michelin Unit Text" w:cstheme="minorHAnsi"/>
              <w:i/>
              <w:sz w:val="20"/>
              <w:szCs w:val="20"/>
              <w:lang w:val="es-ES"/>
            </w:rPr>
            <w:t>enfoque</w:t>
          </w:r>
          <w:r w:rsidRPr="00601D7E">
            <w:rPr>
              <w:rFonts w:ascii="Michelin Unit Text" w:hAnsi="Michelin Unit Text" w:cstheme="minorHAnsi"/>
              <w:i/>
              <w:sz w:val="20"/>
              <w:szCs w:val="20"/>
              <w:lang w:val="es-ES"/>
            </w:rPr>
            <w:t xml:space="preserve"> constante de preservar la solidez financiera y la rentabilidad.”</w:t>
          </w:r>
        </w:p>
        <w:p w14:paraId="46726895" w14:textId="77777777" w:rsidR="007613E0" w:rsidRDefault="007613E0" w:rsidP="007613E0">
          <w:pPr>
            <w:spacing w:line="276" w:lineRule="auto"/>
            <w:ind w:right="1394"/>
            <w:jc w:val="both"/>
            <w:rPr>
              <w:rFonts w:ascii="Michelin Unit Text 1" w:hAnsi="Michelin Unit Text 1" w:cstheme="minorHAnsi"/>
              <w:sz w:val="18"/>
              <w:szCs w:val="18"/>
              <w:lang w:val="es-ES"/>
            </w:rPr>
          </w:pPr>
        </w:p>
        <w:p w14:paraId="1E61F8BA" w14:textId="39A9A3F2" w:rsidR="0089589E" w:rsidRDefault="0089589E">
          <w:pPr>
            <w:rPr>
              <w:rFonts w:ascii="Michelin Unit Text 1" w:hAnsi="Michelin Unit Text 1" w:cstheme="minorHAnsi"/>
              <w:sz w:val="20"/>
              <w:szCs w:val="20"/>
              <w:lang w:val="es-ES"/>
            </w:rPr>
          </w:pPr>
          <w:r>
            <w:rPr>
              <w:rFonts w:ascii="Michelin Unit Text 1" w:hAnsi="Michelin Unit Text 1" w:cstheme="minorHAnsi"/>
              <w:sz w:val="20"/>
              <w:szCs w:val="20"/>
              <w:lang w:val="es-ES"/>
            </w:rPr>
            <w:br w:type="page"/>
          </w:r>
        </w:p>
        <w:p w14:paraId="22619D0B" w14:textId="77777777" w:rsidR="0089589E" w:rsidRDefault="0089589E" w:rsidP="0089589E">
          <w:pPr>
            <w:spacing w:line="276" w:lineRule="auto"/>
            <w:ind w:right="1394"/>
            <w:jc w:val="center"/>
            <w:rPr>
              <w:rFonts w:ascii="Michelin Unit Text" w:hAnsi="Michelin Unit Text" w:cstheme="minorHAnsi"/>
              <w:b/>
              <w:sz w:val="20"/>
              <w:szCs w:val="20"/>
              <w:u w:val="single"/>
              <w:lang w:val="es-ES_tradnl"/>
            </w:rPr>
          </w:pPr>
        </w:p>
        <w:p w14:paraId="3C033EBA" w14:textId="4795B483" w:rsidR="007613E0" w:rsidRDefault="0089589E" w:rsidP="0089589E">
          <w:pPr>
            <w:spacing w:line="276" w:lineRule="auto"/>
            <w:jc w:val="center"/>
            <w:rPr>
              <w:rFonts w:ascii="Michelin Unit Text" w:hAnsi="Michelin Unit Text" w:cstheme="minorHAnsi"/>
              <w:b/>
              <w:sz w:val="20"/>
              <w:szCs w:val="20"/>
              <w:u w:val="single"/>
              <w:lang w:val="es-ES_tradnl"/>
            </w:rPr>
          </w:pPr>
          <w:r w:rsidRPr="0089589E">
            <w:rPr>
              <w:rFonts w:ascii="Michelin Unit Text" w:hAnsi="Michelin Unit Text" w:cstheme="minorHAnsi"/>
              <w:b/>
              <w:sz w:val="20"/>
              <w:szCs w:val="20"/>
              <w:u w:val="single"/>
              <w:lang w:val="es-ES_tradnl"/>
            </w:rPr>
            <w:t xml:space="preserve">Resumen de </w:t>
          </w:r>
          <w:r w:rsidR="00084E69">
            <w:rPr>
              <w:rFonts w:ascii="Michelin Unit Text" w:hAnsi="Michelin Unit Text" w:cstheme="minorHAnsi"/>
              <w:b/>
              <w:sz w:val="20"/>
              <w:szCs w:val="20"/>
              <w:u w:val="single"/>
              <w:lang w:val="es-ES_tradnl"/>
            </w:rPr>
            <w:t>objetivos</w:t>
          </w:r>
          <w:r w:rsidRPr="0089589E">
            <w:rPr>
              <w:rFonts w:ascii="Michelin Unit Text" w:hAnsi="Michelin Unit Text" w:cstheme="minorHAnsi"/>
              <w:b/>
              <w:sz w:val="20"/>
              <w:szCs w:val="20"/>
              <w:u w:val="single"/>
              <w:lang w:val="es-ES_tradnl"/>
            </w:rPr>
            <w:t xml:space="preserve"> </w:t>
          </w:r>
          <w:r w:rsidR="00084E69">
            <w:rPr>
              <w:rFonts w:ascii="Michelin Unit Text" w:hAnsi="Michelin Unit Text" w:cstheme="minorHAnsi"/>
              <w:b/>
              <w:sz w:val="20"/>
              <w:szCs w:val="20"/>
              <w:u w:val="single"/>
              <w:lang w:val="es-ES_tradnl"/>
            </w:rPr>
            <w:t>comunicados</w:t>
          </w:r>
          <w:r w:rsidRPr="0089589E">
            <w:rPr>
              <w:rFonts w:ascii="Michelin Unit Text" w:hAnsi="Michelin Unit Text" w:cstheme="minorHAnsi"/>
              <w:b/>
              <w:sz w:val="20"/>
              <w:szCs w:val="20"/>
              <w:u w:val="single"/>
              <w:lang w:val="es-ES_tradnl"/>
            </w:rPr>
            <w:t xml:space="preserve"> para 2030</w:t>
          </w:r>
        </w:p>
        <w:p w14:paraId="32E8DA13" w14:textId="77777777" w:rsidR="0089589E" w:rsidRDefault="0089589E" w:rsidP="0089589E">
          <w:pPr>
            <w:spacing w:line="276" w:lineRule="auto"/>
            <w:ind w:right="1394"/>
            <w:jc w:val="center"/>
            <w:rPr>
              <w:rFonts w:ascii="Michelin Unit Text" w:hAnsi="Michelin Unit Text" w:cstheme="minorHAnsi"/>
              <w:b/>
              <w:sz w:val="20"/>
              <w:szCs w:val="20"/>
              <w:u w:val="single"/>
              <w:lang w:val="es-ES_tradnl"/>
            </w:rPr>
          </w:pPr>
        </w:p>
        <w:p w14:paraId="439CC7AE" w14:textId="77777777" w:rsidR="0089589E" w:rsidRDefault="0089589E" w:rsidP="0089589E">
          <w:pPr>
            <w:spacing w:line="276" w:lineRule="auto"/>
            <w:ind w:right="1394"/>
            <w:rPr>
              <w:rFonts w:ascii="Michelin Unit Text" w:hAnsi="Michelin Unit Text" w:cstheme="minorHAnsi"/>
              <w:sz w:val="20"/>
              <w:szCs w:val="20"/>
              <w:lang w:val="es-ES_tradnl"/>
            </w:rPr>
          </w:pPr>
        </w:p>
        <w:tbl>
          <w:tblPr>
            <w:tblStyle w:val="Tablaconcuadrcula"/>
            <w:tblW w:w="9209" w:type="dxa"/>
            <w:jc w:val="center"/>
            <w:tblLook w:val="04A0" w:firstRow="1" w:lastRow="0" w:firstColumn="1" w:lastColumn="0" w:noHBand="0" w:noVBand="1"/>
          </w:tblPr>
          <w:tblGrid>
            <w:gridCol w:w="4106"/>
            <w:gridCol w:w="3260"/>
            <w:gridCol w:w="1843"/>
          </w:tblGrid>
          <w:tr w:rsidR="0089589E" w:rsidRPr="0089589E" w14:paraId="3DDC5F63" w14:textId="77777777" w:rsidTr="00796A17">
            <w:trPr>
              <w:trHeight w:val="455"/>
              <w:jc w:val="center"/>
            </w:trPr>
            <w:tc>
              <w:tcPr>
                <w:tcW w:w="4106" w:type="dxa"/>
              </w:tcPr>
              <w:p w14:paraId="5C698612" w14:textId="49D85BA6" w:rsidR="0089589E" w:rsidRPr="0089589E" w:rsidRDefault="00084E69" w:rsidP="004E2E0E">
                <w:pPr>
                  <w:jc w:val="center"/>
                  <w:rPr>
                    <w:rFonts w:ascii="Michelin Unit Text" w:hAnsi="Michelin Unit Text"/>
                    <w:b/>
                    <w:sz w:val="20"/>
                    <w:u w:val="single"/>
                    <w:lang w:val="es-ES_tradnl"/>
                  </w:rPr>
                </w:pPr>
                <w:r>
                  <w:rPr>
                    <w:rFonts w:ascii="Michelin Unit Text" w:hAnsi="Michelin Unit Text"/>
                    <w:b/>
                    <w:sz w:val="20"/>
                    <w:u w:val="single"/>
                    <w:lang w:val="es-ES_tradnl"/>
                  </w:rPr>
                  <w:t>OBJETIVOS</w:t>
                </w:r>
              </w:p>
            </w:tc>
            <w:tc>
              <w:tcPr>
                <w:tcW w:w="3260" w:type="dxa"/>
              </w:tcPr>
              <w:p w14:paraId="57494E02" w14:textId="77777777" w:rsidR="0089589E" w:rsidRPr="0089589E" w:rsidRDefault="0089589E" w:rsidP="004E2E0E">
                <w:pPr>
                  <w:jc w:val="center"/>
                  <w:rPr>
                    <w:rFonts w:ascii="Michelin Unit Text" w:hAnsi="Michelin Unit Text"/>
                    <w:b/>
                    <w:sz w:val="20"/>
                    <w:u w:val="single"/>
                    <w:lang w:val="es-ES_tradnl"/>
                  </w:rPr>
                </w:pPr>
                <w:r w:rsidRPr="0089589E">
                  <w:rPr>
                    <w:rFonts w:ascii="Michelin Unit Text" w:hAnsi="Michelin Unit Text"/>
                    <w:b/>
                    <w:sz w:val="20"/>
                    <w:u w:val="single"/>
                    <w:lang w:val="es-ES_tradnl"/>
                  </w:rPr>
                  <w:t>INDICADORES</w:t>
                </w:r>
              </w:p>
            </w:tc>
            <w:tc>
              <w:tcPr>
                <w:tcW w:w="1843" w:type="dxa"/>
              </w:tcPr>
              <w:p w14:paraId="32428B07" w14:textId="076BD25E" w:rsidR="0089589E" w:rsidRPr="0089589E" w:rsidRDefault="0089589E" w:rsidP="004E2E0E">
                <w:pPr>
                  <w:jc w:val="center"/>
                  <w:rPr>
                    <w:rFonts w:ascii="Michelin Unit Text" w:hAnsi="Michelin Unit Text"/>
                    <w:b/>
                    <w:sz w:val="20"/>
                    <w:u w:val="single"/>
                    <w:lang w:val="es-ES_tradnl"/>
                  </w:rPr>
                </w:pPr>
                <w:r w:rsidRPr="0089589E">
                  <w:rPr>
                    <w:rFonts w:ascii="Michelin Unit Text" w:hAnsi="Michelin Unit Text"/>
                    <w:b/>
                    <w:sz w:val="20"/>
                    <w:u w:val="single"/>
                    <w:lang w:val="es-ES_tradnl"/>
                  </w:rPr>
                  <w:t>2030</w:t>
                </w:r>
              </w:p>
            </w:tc>
          </w:tr>
          <w:tr w:rsidR="0089589E" w:rsidRPr="00084E69" w14:paraId="490A3430" w14:textId="77777777" w:rsidTr="00796A17">
            <w:trPr>
              <w:trHeight w:val="559"/>
              <w:jc w:val="center"/>
            </w:trPr>
            <w:tc>
              <w:tcPr>
                <w:tcW w:w="4106" w:type="dxa"/>
              </w:tcPr>
              <w:p w14:paraId="4A443C9F"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Ser referencia mundial en el compromiso de los empleados</w:t>
                </w:r>
              </w:p>
            </w:tc>
            <w:tc>
              <w:tcPr>
                <w:tcW w:w="3260" w:type="dxa"/>
              </w:tcPr>
              <w:p w14:paraId="36D66991"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Tasa de compromiso</w:t>
                </w:r>
              </w:p>
            </w:tc>
            <w:tc>
              <w:tcPr>
                <w:tcW w:w="1843" w:type="dxa"/>
              </w:tcPr>
              <w:p w14:paraId="5A9CB64B" w14:textId="77777777" w:rsidR="0089589E" w:rsidRPr="00084E69" w:rsidRDefault="0089589E" w:rsidP="003649D2">
                <w:pPr>
                  <w:jc w:val="center"/>
                  <w:rPr>
                    <w:rFonts w:ascii="Michelin Unit Text 1" w:hAnsi="Michelin Unit Text 1"/>
                    <w:sz w:val="16"/>
                    <w:szCs w:val="16"/>
                    <w:lang w:val="es-ES_tradnl"/>
                  </w:rPr>
                </w:pPr>
                <w:r w:rsidRPr="00084E69">
                  <w:rPr>
                    <w:rFonts w:ascii="Michelin Unit Text 1" w:hAnsi="Michelin Unit Text 1"/>
                    <w:sz w:val="16"/>
                    <w:szCs w:val="16"/>
                    <w:lang w:val="es-ES_tradnl"/>
                  </w:rPr>
                  <w:t>&gt;85%</w:t>
                </w:r>
              </w:p>
            </w:tc>
          </w:tr>
          <w:tr w:rsidR="0089589E" w:rsidRPr="00084E69" w14:paraId="4B3B673B" w14:textId="77777777" w:rsidTr="00796A17">
            <w:trPr>
              <w:trHeight w:val="412"/>
              <w:jc w:val="center"/>
            </w:trPr>
            <w:tc>
              <w:tcPr>
                <w:tcW w:w="4106" w:type="dxa"/>
              </w:tcPr>
              <w:p w14:paraId="2780E038" w14:textId="236A70ED"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 xml:space="preserve">Ser referencia mundial </w:t>
                </w:r>
                <w:r w:rsidR="00770064">
                  <w:rPr>
                    <w:rFonts w:ascii="Michelin Unit Text 1" w:hAnsi="Michelin Unit Text 1"/>
                    <w:sz w:val="16"/>
                    <w:szCs w:val="16"/>
                    <w:lang w:val="es-ES_tradnl"/>
                  </w:rPr>
                  <w:t>en</w:t>
                </w:r>
                <w:r w:rsidRPr="00084E69">
                  <w:rPr>
                    <w:rFonts w:ascii="Michelin Unit Text 1" w:hAnsi="Michelin Unit Text 1"/>
                    <w:sz w:val="16"/>
                    <w:szCs w:val="16"/>
                    <w:lang w:val="es-ES_tradnl"/>
                  </w:rPr>
                  <w:t xml:space="preserve"> seguridad laboral</w:t>
                </w:r>
              </w:p>
            </w:tc>
            <w:tc>
              <w:tcPr>
                <w:tcW w:w="3260" w:type="dxa"/>
              </w:tcPr>
              <w:p w14:paraId="16268276"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TCIR</w:t>
                </w:r>
                <w:r w:rsidRPr="00084E69">
                  <w:rPr>
                    <w:rFonts w:ascii="Michelin Unit Text 1" w:hAnsi="Michelin Unit Text 1"/>
                    <w:sz w:val="16"/>
                    <w:szCs w:val="16"/>
                    <w:vertAlign w:val="superscript"/>
                    <w:lang w:val="es-ES_tradnl"/>
                  </w:rPr>
                  <w:t>(1)</w:t>
                </w:r>
              </w:p>
            </w:tc>
            <w:tc>
              <w:tcPr>
                <w:tcW w:w="1843" w:type="dxa"/>
              </w:tcPr>
              <w:p w14:paraId="5E67B298" w14:textId="77777777" w:rsidR="0089589E" w:rsidRPr="00084E69" w:rsidRDefault="0089589E" w:rsidP="003649D2">
                <w:pPr>
                  <w:jc w:val="center"/>
                  <w:rPr>
                    <w:rFonts w:ascii="Michelin Unit Text 1" w:hAnsi="Michelin Unit Text 1"/>
                    <w:sz w:val="16"/>
                    <w:szCs w:val="16"/>
                    <w:lang w:val="es-ES_tradnl"/>
                  </w:rPr>
                </w:pPr>
                <w:r w:rsidRPr="00084E69">
                  <w:rPr>
                    <w:rFonts w:ascii="Michelin Unit Text 1" w:hAnsi="Michelin Unit Text 1"/>
                    <w:sz w:val="16"/>
                    <w:szCs w:val="16"/>
                    <w:lang w:val="es-ES_tradnl"/>
                  </w:rPr>
                  <w:t>&lt;0,5</w:t>
                </w:r>
              </w:p>
            </w:tc>
          </w:tr>
          <w:tr w:rsidR="0089589E" w:rsidRPr="00084E69" w14:paraId="37C3BAB7" w14:textId="77777777" w:rsidTr="00796A17">
            <w:trPr>
              <w:trHeight w:val="418"/>
              <w:jc w:val="center"/>
            </w:trPr>
            <w:tc>
              <w:tcPr>
                <w:tcW w:w="4106" w:type="dxa"/>
              </w:tcPr>
              <w:p w14:paraId="40F41F7F"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Ser referencia en diversidad e inclusión de los empleados</w:t>
                </w:r>
              </w:p>
              <w:p w14:paraId="7069158A" w14:textId="77777777" w:rsidR="0089589E" w:rsidRPr="00084E69" w:rsidRDefault="0089589E" w:rsidP="003649D2">
                <w:pPr>
                  <w:rPr>
                    <w:rFonts w:ascii="Michelin Unit Text 1" w:hAnsi="Michelin Unit Text 1"/>
                    <w:sz w:val="16"/>
                    <w:szCs w:val="16"/>
                    <w:lang w:val="es-ES_tradnl"/>
                  </w:rPr>
                </w:pPr>
              </w:p>
            </w:tc>
            <w:tc>
              <w:tcPr>
                <w:tcW w:w="3260" w:type="dxa"/>
              </w:tcPr>
              <w:p w14:paraId="0A6C3723"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IMDI</w:t>
                </w:r>
                <w:r w:rsidRPr="00084E69">
                  <w:rPr>
                    <w:rFonts w:ascii="Michelin Unit Text 1" w:hAnsi="Michelin Unit Text 1"/>
                    <w:sz w:val="16"/>
                    <w:szCs w:val="16"/>
                    <w:vertAlign w:val="superscript"/>
                    <w:lang w:val="es-ES_tradnl"/>
                  </w:rPr>
                  <w:t>(2)</w:t>
                </w:r>
              </w:p>
            </w:tc>
            <w:tc>
              <w:tcPr>
                <w:tcW w:w="1843" w:type="dxa"/>
              </w:tcPr>
              <w:p w14:paraId="748BF1AF" w14:textId="77777777" w:rsidR="0089589E" w:rsidRPr="00084E69" w:rsidRDefault="0089589E" w:rsidP="003649D2">
                <w:pPr>
                  <w:jc w:val="center"/>
                  <w:rPr>
                    <w:rFonts w:ascii="Michelin Unit Text 1" w:hAnsi="Michelin Unit Text 1"/>
                    <w:sz w:val="16"/>
                    <w:szCs w:val="16"/>
                    <w:lang w:val="es-ES_tradnl"/>
                  </w:rPr>
                </w:pPr>
                <w:r w:rsidRPr="00084E69">
                  <w:rPr>
                    <w:rFonts w:ascii="Michelin Unit Text 1" w:hAnsi="Michelin Unit Text 1"/>
                    <w:sz w:val="16"/>
                    <w:szCs w:val="16"/>
                    <w:lang w:val="es-ES_tradnl"/>
                  </w:rPr>
                  <w:t>80 puntos sobre 100</w:t>
                </w:r>
              </w:p>
            </w:tc>
          </w:tr>
          <w:tr w:rsidR="0089589E" w:rsidRPr="00084E69" w14:paraId="2674D8EC" w14:textId="77777777" w:rsidTr="00796A17">
            <w:trPr>
              <w:trHeight w:val="539"/>
              <w:jc w:val="center"/>
            </w:trPr>
            <w:tc>
              <w:tcPr>
                <w:tcW w:w="4106" w:type="dxa"/>
              </w:tcPr>
              <w:p w14:paraId="6ADEC6EF" w14:textId="66162879"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Ser l</w:t>
                </w:r>
                <w:r w:rsidR="00770064">
                  <w:rPr>
                    <w:rFonts w:ascii="Michelin Unit Text 1" w:hAnsi="Michelin Unit Text 1"/>
                    <w:sz w:val="16"/>
                    <w:szCs w:val="16"/>
                    <w:lang w:val="es-ES_tradnl"/>
                  </w:rPr>
                  <w:t>íderes</w:t>
                </w:r>
                <w:r w:rsidRPr="00084E69">
                  <w:rPr>
                    <w:rFonts w:ascii="Michelin Unit Text 1" w:hAnsi="Michelin Unit Text 1"/>
                    <w:sz w:val="16"/>
                    <w:szCs w:val="16"/>
                    <w:lang w:val="es-ES_tradnl"/>
                  </w:rPr>
                  <w:t xml:space="preserve"> del sector creando valor para el cliente</w:t>
                </w:r>
              </w:p>
            </w:tc>
            <w:tc>
              <w:tcPr>
                <w:tcW w:w="3260" w:type="dxa"/>
              </w:tcPr>
              <w:p w14:paraId="7F82B176"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NPS Socios</w:t>
                </w:r>
                <w:r w:rsidRPr="00084E69">
                  <w:rPr>
                    <w:rFonts w:ascii="Michelin Unit Text 1" w:hAnsi="Michelin Unit Text 1"/>
                    <w:sz w:val="16"/>
                    <w:szCs w:val="16"/>
                    <w:vertAlign w:val="superscript"/>
                    <w:lang w:val="es-ES_tradnl"/>
                  </w:rPr>
                  <w:t>(3)</w:t>
                </w:r>
              </w:p>
              <w:p w14:paraId="53DEF8C6" w14:textId="1733B22A"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 xml:space="preserve">NPS </w:t>
                </w:r>
                <w:r w:rsidR="0042060A">
                  <w:rPr>
                    <w:rFonts w:ascii="Michelin Unit Text 1" w:hAnsi="Michelin Unit Text 1"/>
                    <w:sz w:val="16"/>
                    <w:szCs w:val="16"/>
                    <w:lang w:val="es-ES_tradnl"/>
                  </w:rPr>
                  <w:t>C</w:t>
                </w:r>
                <w:r w:rsidRPr="00084E69">
                  <w:rPr>
                    <w:rFonts w:ascii="Michelin Unit Text 1" w:hAnsi="Michelin Unit Text 1"/>
                    <w:sz w:val="16"/>
                    <w:szCs w:val="16"/>
                    <w:lang w:val="es-ES_tradnl"/>
                  </w:rPr>
                  <w:t>liente final</w:t>
                </w:r>
                <w:r w:rsidRPr="00084E69">
                  <w:rPr>
                    <w:rFonts w:ascii="Michelin Unit Text 1" w:hAnsi="Michelin Unit Text 1"/>
                    <w:sz w:val="16"/>
                    <w:szCs w:val="16"/>
                    <w:vertAlign w:val="superscript"/>
                    <w:lang w:val="es-ES_tradnl"/>
                  </w:rPr>
                  <w:t>(3)</w:t>
                </w:r>
              </w:p>
            </w:tc>
            <w:tc>
              <w:tcPr>
                <w:tcW w:w="1843" w:type="dxa"/>
              </w:tcPr>
              <w:p w14:paraId="2BFA95FA" w14:textId="11F5FC58" w:rsidR="0089589E" w:rsidRPr="00084E69" w:rsidRDefault="00770064" w:rsidP="003649D2">
                <w:pPr>
                  <w:jc w:val="center"/>
                  <w:rPr>
                    <w:rFonts w:ascii="Michelin Unit Text 1" w:hAnsi="Michelin Unit Text 1"/>
                    <w:sz w:val="16"/>
                    <w:szCs w:val="16"/>
                    <w:lang w:val="es-ES_tradnl"/>
                  </w:rPr>
                </w:pPr>
                <w:r>
                  <w:rPr>
                    <w:rFonts w:ascii="Michelin Unit Text 1" w:hAnsi="Michelin Unit Text 1"/>
                    <w:sz w:val="16"/>
                    <w:szCs w:val="16"/>
                    <w:lang w:val="es-ES_tradnl"/>
                  </w:rPr>
                  <w:t>+</w:t>
                </w:r>
                <w:r w:rsidR="0089589E" w:rsidRPr="00084E69">
                  <w:rPr>
                    <w:rFonts w:ascii="Michelin Unit Text 1" w:hAnsi="Michelin Unit Text 1"/>
                    <w:sz w:val="16"/>
                    <w:szCs w:val="16"/>
                    <w:lang w:val="es-ES_tradnl"/>
                  </w:rPr>
                  <w:t xml:space="preserve">10 puntos </w:t>
                </w:r>
                <w:r>
                  <w:rPr>
                    <w:rFonts w:ascii="Michelin Unit Text 1" w:hAnsi="Michelin Unit Text 1"/>
                    <w:sz w:val="16"/>
                    <w:szCs w:val="16"/>
                    <w:lang w:val="es-ES_tradnl"/>
                  </w:rPr>
                  <w:t>vs</w:t>
                </w:r>
                <w:r w:rsidR="0089589E" w:rsidRPr="00084E69">
                  <w:rPr>
                    <w:rFonts w:ascii="Michelin Unit Text 1" w:hAnsi="Michelin Unit Text 1"/>
                    <w:sz w:val="16"/>
                    <w:szCs w:val="16"/>
                    <w:lang w:val="es-ES_tradnl"/>
                  </w:rPr>
                  <w:t xml:space="preserve"> 2020</w:t>
                </w:r>
              </w:p>
              <w:p w14:paraId="47586DB0" w14:textId="32A59FAE" w:rsidR="0089589E" w:rsidRPr="00084E69" w:rsidRDefault="00770064" w:rsidP="003649D2">
                <w:pPr>
                  <w:jc w:val="center"/>
                  <w:rPr>
                    <w:rFonts w:ascii="Michelin Unit Text 1" w:hAnsi="Michelin Unit Text 1"/>
                    <w:sz w:val="16"/>
                    <w:szCs w:val="16"/>
                    <w:lang w:val="es-ES_tradnl"/>
                  </w:rPr>
                </w:pPr>
                <w:r>
                  <w:rPr>
                    <w:rFonts w:ascii="Michelin Unit Text 1" w:hAnsi="Michelin Unit Text 1"/>
                    <w:sz w:val="16"/>
                    <w:szCs w:val="16"/>
                    <w:lang w:val="es-ES_tradnl"/>
                  </w:rPr>
                  <w:t>+</w:t>
                </w:r>
                <w:r w:rsidR="0089589E" w:rsidRPr="00084E69">
                  <w:rPr>
                    <w:rFonts w:ascii="Michelin Unit Text 1" w:hAnsi="Michelin Unit Text 1"/>
                    <w:sz w:val="16"/>
                    <w:szCs w:val="16"/>
                    <w:lang w:val="es-ES_tradnl"/>
                  </w:rPr>
                  <w:t xml:space="preserve">5 puntos </w:t>
                </w:r>
                <w:r>
                  <w:rPr>
                    <w:rFonts w:ascii="Michelin Unit Text 1" w:hAnsi="Michelin Unit Text 1"/>
                    <w:sz w:val="16"/>
                    <w:szCs w:val="16"/>
                    <w:lang w:val="es-ES_tradnl"/>
                  </w:rPr>
                  <w:t>vs</w:t>
                </w:r>
                <w:r w:rsidR="0089589E" w:rsidRPr="00084E69">
                  <w:rPr>
                    <w:rFonts w:ascii="Michelin Unit Text 1" w:hAnsi="Michelin Unit Text 1"/>
                    <w:sz w:val="16"/>
                    <w:szCs w:val="16"/>
                    <w:lang w:val="es-ES_tradnl"/>
                  </w:rPr>
                  <w:t xml:space="preserve"> 2020</w:t>
                </w:r>
              </w:p>
            </w:tc>
          </w:tr>
          <w:tr w:rsidR="0089589E" w:rsidRPr="00084E69" w14:paraId="3F43EF93" w14:textId="77777777" w:rsidTr="00796A17">
            <w:trPr>
              <w:trHeight w:val="848"/>
              <w:jc w:val="center"/>
            </w:trPr>
            <w:tc>
              <w:tcPr>
                <w:tcW w:w="4106" w:type="dxa"/>
              </w:tcPr>
              <w:p w14:paraId="6BB2A35C"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Lograr un crecimiento significativo de ventas, especialmente en actividades no de neumáticos</w:t>
                </w:r>
              </w:p>
            </w:tc>
            <w:tc>
              <w:tcPr>
                <w:tcW w:w="3260" w:type="dxa"/>
              </w:tcPr>
              <w:p w14:paraId="3F31E128" w14:textId="0BC56475"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 xml:space="preserve">Crecimiento </w:t>
                </w:r>
                <w:r w:rsidR="00770064">
                  <w:rPr>
                    <w:rFonts w:ascii="Michelin Unit Text 1" w:hAnsi="Michelin Unit Text 1"/>
                    <w:sz w:val="16"/>
                    <w:szCs w:val="16"/>
                    <w:lang w:val="es-ES_tradnl"/>
                  </w:rPr>
                  <w:t xml:space="preserve">medio </w:t>
                </w:r>
                <w:r w:rsidRPr="00084E69">
                  <w:rPr>
                    <w:rFonts w:ascii="Michelin Unit Text 1" w:hAnsi="Michelin Unit Text 1"/>
                    <w:sz w:val="16"/>
                    <w:szCs w:val="16"/>
                    <w:lang w:val="es-ES_tradnl"/>
                  </w:rPr>
                  <w:t xml:space="preserve">anual de </w:t>
                </w:r>
                <w:r w:rsidR="00770064">
                  <w:rPr>
                    <w:rFonts w:ascii="Michelin Unit Text 1" w:hAnsi="Michelin Unit Text 1"/>
                    <w:sz w:val="16"/>
                    <w:szCs w:val="16"/>
                    <w:lang w:val="es-ES_tradnl"/>
                  </w:rPr>
                  <w:t xml:space="preserve">las </w:t>
                </w:r>
                <w:r w:rsidRPr="00084E69">
                  <w:rPr>
                    <w:rFonts w:ascii="Michelin Unit Text 1" w:hAnsi="Michelin Unit Text 1"/>
                    <w:sz w:val="16"/>
                    <w:szCs w:val="16"/>
                    <w:lang w:val="es-ES_tradnl"/>
                  </w:rPr>
                  <w:t>ventas entre 2020 y 2030</w:t>
                </w:r>
                <w:r w:rsidR="00770064">
                  <w:rPr>
                    <w:rFonts w:ascii="Michelin Unit Text 1" w:hAnsi="Michelin Unit Text 1"/>
                    <w:sz w:val="16"/>
                    <w:szCs w:val="16"/>
                    <w:lang w:val="es-ES_tradnl"/>
                  </w:rPr>
                  <w:br/>
                </w:r>
              </w:p>
              <w:p w14:paraId="77978230" w14:textId="54A9BF44"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 xml:space="preserve">Porcentaje sobre ventas totales de actividades no </w:t>
                </w:r>
                <w:r w:rsidR="00770064">
                  <w:rPr>
                    <w:rFonts w:ascii="Michelin Unit Text 1" w:hAnsi="Michelin Unit Text 1"/>
                    <w:sz w:val="16"/>
                    <w:szCs w:val="16"/>
                    <w:lang w:val="es-ES_tradnl"/>
                  </w:rPr>
                  <w:t>relacionadas con los neumáticos y la distribución asociada</w:t>
                </w:r>
              </w:p>
            </w:tc>
            <w:tc>
              <w:tcPr>
                <w:tcW w:w="1843" w:type="dxa"/>
              </w:tcPr>
              <w:p w14:paraId="0A6A504B" w14:textId="77777777" w:rsidR="0089589E" w:rsidRPr="00084E69" w:rsidRDefault="0089589E" w:rsidP="003649D2">
                <w:pPr>
                  <w:jc w:val="center"/>
                  <w:rPr>
                    <w:rFonts w:ascii="Michelin Unit Text 1" w:hAnsi="Michelin Unit Text 1"/>
                    <w:sz w:val="16"/>
                    <w:szCs w:val="16"/>
                    <w:lang w:val="es-ES_tradnl"/>
                  </w:rPr>
                </w:pPr>
                <w:r w:rsidRPr="00084E69">
                  <w:rPr>
                    <w:rFonts w:ascii="Michelin Unit Text 1" w:hAnsi="Michelin Unit Text 1"/>
                    <w:sz w:val="16"/>
                    <w:szCs w:val="16"/>
                    <w:lang w:val="es-ES_tradnl"/>
                  </w:rPr>
                  <w:t>5 %</w:t>
                </w:r>
              </w:p>
              <w:p w14:paraId="2B97139B" w14:textId="77777777" w:rsidR="0089589E" w:rsidRPr="00084E69" w:rsidRDefault="0089589E" w:rsidP="003649D2">
                <w:pPr>
                  <w:jc w:val="center"/>
                  <w:rPr>
                    <w:rFonts w:ascii="Michelin Unit Text 1" w:hAnsi="Michelin Unit Text 1"/>
                    <w:sz w:val="16"/>
                    <w:szCs w:val="16"/>
                    <w:lang w:val="es-ES_tradnl"/>
                  </w:rPr>
                </w:pPr>
              </w:p>
              <w:p w14:paraId="5DD7EA4A" w14:textId="2EAB85CA" w:rsidR="0089589E" w:rsidRPr="00084E69" w:rsidRDefault="00770064" w:rsidP="003649D2">
                <w:pPr>
                  <w:jc w:val="center"/>
                  <w:rPr>
                    <w:rFonts w:ascii="Michelin Unit Text 1" w:hAnsi="Michelin Unit Text 1"/>
                    <w:sz w:val="16"/>
                    <w:szCs w:val="16"/>
                    <w:lang w:val="es-ES_tradnl"/>
                  </w:rPr>
                </w:pPr>
                <w:r>
                  <w:rPr>
                    <w:rFonts w:ascii="Michelin Unit Text 1" w:hAnsi="Michelin Unit Text 1"/>
                    <w:sz w:val="16"/>
                    <w:szCs w:val="16"/>
                    <w:lang w:val="es-ES_tradnl"/>
                  </w:rPr>
                  <w:br/>
                </w:r>
                <w:r w:rsidR="0089589E" w:rsidRPr="00084E69">
                  <w:rPr>
                    <w:rFonts w:ascii="Michelin Unit Text 1" w:hAnsi="Michelin Unit Text 1"/>
                    <w:sz w:val="16"/>
                    <w:szCs w:val="16"/>
                    <w:lang w:val="es-ES_tradnl"/>
                  </w:rPr>
                  <w:t>Entre 20 y 30%</w:t>
                </w:r>
              </w:p>
            </w:tc>
          </w:tr>
          <w:tr w:rsidR="0089589E" w:rsidRPr="00084E69" w14:paraId="12B2913D" w14:textId="77777777" w:rsidTr="00796A17">
            <w:trPr>
              <w:trHeight w:val="346"/>
              <w:jc w:val="center"/>
            </w:trPr>
            <w:tc>
              <w:tcPr>
                <w:tcW w:w="4106" w:type="dxa"/>
              </w:tcPr>
              <w:p w14:paraId="2C4ABA50"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Mantener una creación de valor continua</w:t>
                </w:r>
              </w:p>
            </w:tc>
            <w:tc>
              <w:tcPr>
                <w:tcW w:w="3260" w:type="dxa"/>
              </w:tcPr>
              <w:p w14:paraId="49DA55B8"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ROCE</w:t>
                </w:r>
                <w:r w:rsidRPr="00084E69">
                  <w:rPr>
                    <w:rFonts w:ascii="Michelin Unit Text 1" w:hAnsi="Michelin Unit Text 1"/>
                    <w:sz w:val="16"/>
                    <w:szCs w:val="16"/>
                    <w:vertAlign w:val="superscript"/>
                    <w:lang w:val="es-ES_tradnl"/>
                  </w:rPr>
                  <w:t>(4)</w:t>
                </w:r>
              </w:p>
            </w:tc>
            <w:tc>
              <w:tcPr>
                <w:tcW w:w="1843" w:type="dxa"/>
              </w:tcPr>
              <w:p w14:paraId="581758B2" w14:textId="77777777" w:rsidR="0089589E" w:rsidRPr="00084E69" w:rsidRDefault="0089589E" w:rsidP="003649D2">
                <w:pPr>
                  <w:jc w:val="center"/>
                  <w:rPr>
                    <w:rFonts w:ascii="Michelin Unit Text 1" w:hAnsi="Michelin Unit Text 1"/>
                    <w:sz w:val="16"/>
                    <w:szCs w:val="16"/>
                    <w:lang w:val="es-ES_tradnl"/>
                  </w:rPr>
                </w:pPr>
                <w:r w:rsidRPr="00084E69">
                  <w:rPr>
                    <w:rFonts w:ascii="Michelin Unit Text 1" w:hAnsi="Michelin Unit Text 1"/>
                    <w:sz w:val="16"/>
                    <w:szCs w:val="16"/>
                    <w:lang w:val="es-ES_tradnl"/>
                  </w:rPr>
                  <w:t>&gt;10,5%</w:t>
                </w:r>
              </w:p>
            </w:tc>
          </w:tr>
          <w:tr w:rsidR="0089589E" w:rsidRPr="00084E69" w14:paraId="56A5CF43" w14:textId="77777777" w:rsidTr="00796A17">
            <w:trPr>
              <w:trHeight w:val="325"/>
              <w:jc w:val="center"/>
            </w:trPr>
            <w:tc>
              <w:tcPr>
                <w:tcW w:w="4106" w:type="dxa"/>
              </w:tcPr>
              <w:p w14:paraId="677A8C34"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Mantener la fuerza de la marca Michelin</w:t>
                </w:r>
              </w:p>
            </w:tc>
            <w:tc>
              <w:tcPr>
                <w:tcW w:w="3260" w:type="dxa"/>
              </w:tcPr>
              <w:p w14:paraId="636185D3"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Indicador de vitalidad de marca</w:t>
                </w:r>
                <w:r w:rsidRPr="00084E69">
                  <w:rPr>
                    <w:rFonts w:ascii="Michelin Unit Text 1" w:hAnsi="Michelin Unit Text 1"/>
                    <w:sz w:val="16"/>
                    <w:szCs w:val="16"/>
                    <w:vertAlign w:val="superscript"/>
                    <w:lang w:val="es-ES_tradnl"/>
                  </w:rPr>
                  <w:t>(5)</w:t>
                </w:r>
              </w:p>
            </w:tc>
            <w:tc>
              <w:tcPr>
                <w:tcW w:w="1843" w:type="dxa"/>
              </w:tcPr>
              <w:p w14:paraId="2F57CED0" w14:textId="0429A1E8" w:rsidR="0089589E" w:rsidRPr="00084E69" w:rsidRDefault="00770064" w:rsidP="003649D2">
                <w:pPr>
                  <w:jc w:val="center"/>
                  <w:rPr>
                    <w:rFonts w:ascii="Michelin Unit Text 1" w:hAnsi="Michelin Unit Text 1"/>
                    <w:sz w:val="16"/>
                    <w:szCs w:val="16"/>
                    <w:lang w:val="es-ES_tradnl"/>
                  </w:rPr>
                </w:pPr>
                <w:r>
                  <w:rPr>
                    <w:rFonts w:ascii="Michelin Unit Text 1" w:hAnsi="Michelin Unit Text 1"/>
                    <w:sz w:val="16"/>
                    <w:szCs w:val="16"/>
                    <w:lang w:val="es-ES_tradnl"/>
                  </w:rPr>
                  <w:t>+</w:t>
                </w:r>
                <w:r w:rsidR="0089589E" w:rsidRPr="00084E69">
                  <w:rPr>
                    <w:rFonts w:ascii="Michelin Unit Text 1" w:hAnsi="Michelin Unit Text 1"/>
                    <w:sz w:val="16"/>
                    <w:szCs w:val="16"/>
                    <w:lang w:val="es-ES_tradnl"/>
                  </w:rPr>
                  <w:t xml:space="preserve">5 puntos </w:t>
                </w:r>
                <w:r>
                  <w:rPr>
                    <w:rFonts w:ascii="Michelin Unit Text 1" w:hAnsi="Michelin Unit Text 1"/>
                    <w:sz w:val="16"/>
                    <w:szCs w:val="16"/>
                    <w:lang w:val="es-ES_tradnl"/>
                  </w:rPr>
                  <w:t>vs</w:t>
                </w:r>
                <w:r w:rsidR="0089589E" w:rsidRPr="00084E69">
                  <w:rPr>
                    <w:rFonts w:ascii="Michelin Unit Text 1" w:hAnsi="Michelin Unit Text 1"/>
                    <w:sz w:val="16"/>
                    <w:szCs w:val="16"/>
                    <w:lang w:val="es-ES_tradnl"/>
                  </w:rPr>
                  <w:t xml:space="preserve"> 2021</w:t>
                </w:r>
              </w:p>
            </w:tc>
          </w:tr>
          <w:tr w:rsidR="0089589E" w:rsidRPr="00084E69" w14:paraId="2F9A9503" w14:textId="77777777" w:rsidTr="00796A17">
            <w:trPr>
              <w:trHeight w:val="286"/>
              <w:jc w:val="center"/>
            </w:trPr>
            <w:tc>
              <w:tcPr>
                <w:tcW w:w="4106" w:type="dxa"/>
              </w:tcPr>
              <w:p w14:paraId="320D250B"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Ritmo sostenido de innovación productos y servicios</w:t>
                </w:r>
              </w:p>
            </w:tc>
            <w:tc>
              <w:tcPr>
                <w:tcW w:w="3260" w:type="dxa"/>
              </w:tcPr>
              <w:p w14:paraId="3D52D975" w14:textId="6E9D2A0F"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 xml:space="preserve">Indicador de vitalidad de </w:t>
                </w:r>
                <w:r w:rsidR="00770064">
                  <w:rPr>
                    <w:rFonts w:ascii="Michelin Unit Text 1" w:hAnsi="Michelin Unit Text 1"/>
                    <w:sz w:val="16"/>
                    <w:szCs w:val="16"/>
                    <w:lang w:val="es-ES_tradnl"/>
                  </w:rPr>
                  <w:t xml:space="preserve">la </w:t>
                </w:r>
                <w:r w:rsidRPr="00084E69">
                  <w:rPr>
                    <w:rFonts w:ascii="Michelin Unit Text 1" w:hAnsi="Michelin Unit Text 1"/>
                    <w:sz w:val="16"/>
                    <w:szCs w:val="16"/>
                    <w:lang w:val="es-ES_tradnl"/>
                  </w:rPr>
                  <w:t>oferta</w:t>
                </w:r>
                <w:r w:rsidRPr="00084E69">
                  <w:rPr>
                    <w:rFonts w:ascii="Michelin Unit Text 1" w:hAnsi="Michelin Unit Text 1"/>
                    <w:sz w:val="16"/>
                    <w:szCs w:val="16"/>
                    <w:vertAlign w:val="superscript"/>
                    <w:lang w:val="es-ES_tradnl"/>
                  </w:rPr>
                  <w:t>(6)</w:t>
                </w:r>
              </w:p>
            </w:tc>
            <w:tc>
              <w:tcPr>
                <w:tcW w:w="1843" w:type="dxa"/>
              </w:tcPr>
              <w:p w14:paraId="2E6D3BC4" w14:textId="77777777" w:rsidR="0089589E" w:rsidRPr="00084E69" w:rsidRDefault="0089589E" w:rsidP="003649D2">
                <w:pPr>
                  <w:jc w:val="center"/>
                  <w:rPr>
                    <w:rFonts w:ascii="Michelin Unit Text 1" w:hAnsi="Michelin Unit Text 1"/>
                    <w:sz w:val="16"/>
                    <w:szCs w:val="16"/>
                    <w:lang w:val="es-ES_tradnl"/>
                  </w:rPr>
                </w:pPr>
                <w:r w:rsidRPr="00084E69">
                  <w:rPr>
                    <w:rFonts w:ascii="Michelin Unit Text 1" w:hAnsi="Michelin Unit Text 1"/>
                    <w:sz w:val="16"/>
                    <w:szCs w:val="16"/>
                    <w:lang w:val="es-ES_tradnl"/>
                  </w:rPr>
                  <w:t>&gt;30%</w:t>
                </w:r>
              </w:p>
            </w:tc>
          </w:tr>
          <w:tr w:rsidR="0089589E" w:rsidRPr="00084E69" w14:paraId="327E3CF4" w14:textId="77777777" w:rsidTr="00796A17">
            <w:trPr>
              <w:trHeight w:val="564"/>
              <w:jc w:val="center"/>
            </w:trPr>
            <w:tc>
              <w:tcPr>
                <w:tcW w:w="4106" w:type="dxa"/>
              </w:tcPr>
              <w:p w14:paraId="58536084" w14:textId="6577D812" w:rsidR="0089589E" w:rsidRPr="00084E69" w:rsidRDefault="00770064" w:rsidP="003649D2">
                <w:pPr>
                  <w:rPr>
                    <w:rFonts w:ascii="Michelin Unit Text 1" w:hAnsi="Michelin Unit Text 1"/>
                    <w:sz w:val="16"/>
                    <w:szCs w:val="16"/>
                    <w:lang w:val="es-ES_tradnl"/>
                  </w:rPr>
                </w:pPr>
                <w:r>
                  <w:rPr>
                    <w:rFonts w:ascii="Michelin Unit Text 1" w:hAnsi="Michelin Unit Text 1"/>
                    <w:sz w:val="16"/>
                    <w:szCs w:val="16"/>
                    <w:lang w:val="es-ES_tradnl"/>
                  </w:rPr>
                  <w:t>Alcanzar l</w:t>
                </w:r>
                <w:r w:rsidR="0089589E" w:rsidRPr="00084E69">
                  <w:rPr>
                    <w:rFonts w:ascii="Michelin Unit Text 1" w:hAnsi="Michelin Unit Text 1"/>
                    <w:sz w:val="16"/>
                    <w:szCs w:val="16"/>
                    <w:lang w:val="es-ES_tradnl"/>
                  </w:rPr>
                  <w:t>a neutralidad de carbono en 2050 en</w:t>
                </w:r>
                <w:r>
                  <w:rPr>
                    <w:rFonts w:ascii="Michelin Unit Text 1" w:hAnsi="Michelin Unit Text 1"/>
                    <w:sz w:val="16"/>
                    <w:szCs w:val="16"/>
                    <w:lang w:val="es-ES_tradnl"/>
                  </w:rPr>
                  <w:t xml:space="preserve"> la producción y la</w:t>
                </w:r>
                <w:r w:rsidR="0089589E" w:rsidRPr="00084E69">
                  <w:rPr>
                    <w:rFonts w:ascii="Michelin Unit Text 1" w:hAnsi="Michelin Unit Text 1"/>
                    <w:sz w:val="16"/>
                    <w:szCs w:val="16"/>
                    <w:lang w:val="es-ES_tradnl"/>
                  </w:rPr>
                  <w:t xml:space="preserve"> energía</w:t>
                </w:r>
              </w:p>
            </w:tc>
            <w:tc>
              <w:tcPr>
                <w:tcW w:w="3260" w:type="dxa"/>
              </w:tcPr>
              <w:p w14:paraId="11AA8C49" w14:textId="169E0A4B"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Emisi</w:t>
                </w:r>
                <w:r w:rsidR="00770064">
                  <w:rPr>
                    <w:rFonts w:ascii="Michelin Unit Text 1" w:hAnsi="Michelin Unit Text 1"/>
                    <w:sz w:val="16"/>
                    <w:szCs w:val="16"/>
                    <w:lang w:val="es-ES_tradnl"/>
                  </w:rPr>
                  <w:t xml:space="preserve">ones </w:t>
                </w:r>
                <w:r w:rsidRPr="00084E69">
                  <w:rPr>
                    <w:rFonts w:ascii="Michelin Unit Text 1" w:hAnsi="Michelin Unit Text 1"/>
                    <w:sz w:val="16"/>
                    <w:szCs w:val="16"/>
                    <w:lang w:val="es-ES_tradnl"/>
                  </w:rPr>
                  <w:t xml:space="preserve">de </w:t>
                </w:r>
                <w:r w:rsidR="00770064" w:rsidRPr="00821ED7">
                  <w:rPr>
                    <w:rFonts w:ascii="Helvetica" w:eastAsia="Times New Roman" w:hAnsi="Helvetica" w:cs="Arial"/>
                    <w:sz w:val="17"/>
                    <w:szCs w:val="17"/>
                    <w:lang w:val="es-ES"/>
                  </w:rPr>
                  <w:t>CO</w:t>
                </w:r>
                <w:r w:rsidR="00770064" w:rsidRPr="00821ED7">
                  <w:rPr>
                    <w:rFonts w:ascii="Helvetica" w:eastAsia="Times New Roman" w:hAnsi="Helvetica" w:cs="Arial"/>
                    <w:sz w:val="17"/>
                    <w:szCs w:val="17"/>
                    <w:vertAlign w:val="subscript"/>
                    <w:lang w:val="es-ES"/>
                  </w:rPr>
                  <w:t>2</w:t>
                </w:r>
                <w:r w:rsidRPr="00084E69">
                  <w:rPr>
                    <w:rFonts w:ascii="Michelin Unit Text 1" w:hAnsi="Michelin Unit Text 1"/>
                    <w:sz w:val="16"/>
                    <w:szCs w:val="16"/>
                    <w:lang w:val="es-ES_tradnl"/>
                  </w:rPr>
                  <w:t>, ámbitos 1 y 2</w:t>
                </w:r>
              </w:p>
            </w:tc>
            <w:tc>
              <w:tcPr>
                <w:tcW w:w="1843" w:type="dxa"/>
              </w:tcPr>
              <w:p w14:paraId="56D48850" w14:textId="3E7FEC9D" w:rsidR="0089589E" w:rsidRPr="00084E69" w:rsidRDefault="00770064" w:rsidP="003649D2">
                <w:pPr>
                  <w:jc w:val="center"/>
                  <w:rPr>
                    <w:rFonts w:ascii="Michelin Unit Text 1" w:hAnsi="Michelin Unit Text 1"/>
                    <w:sz w:val="16"/>
                    <w:szCs w:val="16"/>
                    <w:lang w:val="es-ES_tradnl"/>
                  </w:rPr>
                </w:pPr>
                <w:r>
                  <w:rPr>
                    <w:rFonts w:ascii="Michelin Unit Text 1" w:hAnsi="Michelin Unit Text 1"/>
                    <w:sz w:val="16"/>
                    <w:szCs w:val="16"/>
                    <w:lang w:val="es-ES_tradnl"/>
                  </w:rPr>
                  <w:t>-</w:t>
                </w:r>
                <w:r w:rsidR="0089589E" w:rsidRPr="00084E69">
                  <w:rPr>
                    <w:rFonts w:ascii="Michelin Unit Text 1" w:hAnsi="Michelin Unit Text 1"/>
                    <w:sz w:val="16"/>
                    <w:szCs w:val="16"/>
                    <w:lang w:val="es-ES_tradnl"/>
                  </w:rPr>
                  <w:t xml:space="preserve">50% </w:t>
                </w:r>
                <w:r>
                  <w:rPr>
                    <w:rFonts w:ascii="Michelin Unit Text 1" w:hAnsi="Michelin Unit Text 1"/>
                    <w:sz w:val="16"/>
                    <w:szCs w:val="16"/>
                    <w:lang w:val="es-ES_tradnl"/>
                  </w:rPr>
                  <w:t>vs</w:t>
                </w:r>
                <w:r w:rsidR="0089589E" w:rsidRPr="00084E69">
                  <w:rPr>
                    <w:rFonts w:ascii="Michelin Unit Text 1" w:hAnsi="Michelin Unit Text 1"/>
                    <w:sz w:val="16"/>
                    <w:szCs w:val="16"/>
                    <w:lang w:val="es-ES_tradnl"/>
                  </w:rPr>
                  <w:t xml:space="preserve"> 2010</w:t>
                </w:r>
              </w:p>
            </w:tc>
          </w:tr>
          <w:tr w:rsidR="0089589E" w:rsidRPr="00084E69" w14:paraId="70BEBAD7" w14:textId="77777777" w:rsidTr="00796A17">
            <w:trPr>
              <w:trHeight w:val="544"/>
              <w:jc w:val="center"/>
            </w:trPr>
            <w:tc>
              <w:tcPr>
                <w:tcW w:w="4106" w:type="dxa"/>
              </w:tcPr>
              <w:p w14:paraId="2FF538F4" w14:textId="1F2B9DA5"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 xml:space="preserve">Contribuir a </w:t>
                </w:r>
                <w:r w:rsidR="00770064">
                  <w:rPr>
                    <w:rFonts w:ascii="Michelin Unit Text 1" w:hAnsi="Michelin Unit Text 1"/>
                    <w:sz w:val="16"/>
                    <w:szCs w:val="16"/>
                    <w:lang w:val="es-ES_tradnl"/>
                  </w:rPr>
                  <w:t xml:space="preserve">la </w:t>
                </w:r>
                <w:r w:rsidRPr="00084E69">
                  <w:rPr>
                    <w:rFonts w:ascii="Michelin Unit Text 1" w:hAnsi="Michelin Unit Text 1"/>
                    <w:sz w:val="16"/>
                    <w:szCs w:val="16"/>
                    <w:lang w:val="es-ES_tradnl"/>
                  </w:rPr>
                  <w:t xml:space="preserve">neutralidad de carbono </w:t>
                </w:r>
                <w:r w:rsidR="00770064">
                  <w:rPr>
                    <w:rFonts w:ascii="Michelin Unit Text 1" w:hAnsi="Michelin Unit Text 1"/>
                    <w:sz w:val="16"/>
                    <w:szCs w:val="16"/>
                    <w:lang w:val="es-ES_tradnl"/>
                  </w:rPr>
                  <w:t>(</w:t>
                </w:r>
                <w:r w:rsidRPr="00084E69">
                  <w:rPr>
                    <w:rFonts w:ascii="Michelin Unit Text 1" w:hAnsi="Michelin Unit Text 1"/>
                    <w:sz w:val="16"/>
                    <w:szCs w:val="16"/>
                    <w:lang w:val="es-ES_tradnl"/>
                  </w:rPr>
                  <w:t>u</w:t>
                </w:r>
                <w:r w:rsidR="00770064">
                  <w:rPr>
                    <w:rFonts w:ascii="Michelin Unit Text 1" w:hAnsi="Michelin Unit Text 1"/>
                    <w:sz w:val="16"/>
                    <w:szCs w:val="16"/>
                    <w:lang w:val="es-ES_tradnl"/>
                  </w:rPr>
                  <w:t>tilización)</w:t>
                </w:r>
              </w:p>
            </w:tc>
            <w:tc>
              <w:tcPr>
                <w:tcW w:w="3260" w:type="dxa"/>
              </w:tcPr>
              <w:p w14:paraId="6D96BA16" w14:textId="162F55F1"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 xml:space="preserve">Eficiencia energética de </w:t>
                </w:r>
                <w:r w:rsidR="00770064">
                  <w:rPr>
                    <w:rFonts w:ascii="Michelin Unit Text 1" w:hAnsi="Michelin Unit Text 1"/>
                    <w:sz w:val="16"/>
                    <w:szCs w:val="16"/>
                    <w:lang w:val="es-ES_tradnl"/>
                  </w:rPr>
                  <w:t xml:space="preserve">los </w:t>
                </w:r>
                <w:r w:rsidRPr="00084E69">
                  <w:rPr>
                    <w:rFonts w:ascii="Michelin Unit Text 1" w:hAnsi="Michelin Unit Text 1"/>
                    <w:sz w:val="16"/>
                    <w:szCs w:val="16"/>
                    <w:lang w:val="es-ES_tradnl"/>
                  </w:rPr>
                  <w:t>productos (ámbito 3)</w:t>
                </w:r>
              </w:p>
            </w:tc>
            <w:tc>
              <w:tcPr>
                <w:tcW w:w="1843" w:type="dxa"/>
              </w:tcPr>
              <w:p w14:paraId="4A6DC8D7" w14:textId="5640F07B" w:rsidR="0089589E" w:rsidRPr="00084E69" w:rsidRDefault="00770064" w:rsidP="003649D2">
                <w:pPr>
                  <w:jc w:val="center"/>
                  <w:rPr>
                    <w:rFonts w:ascii="Michelin Unit Text 1" w:hAnsi="Michelin Unit Text 1"/>
                    <w:sz w:val="16"/>
                    <w:szCs w:val="16"/>
                    <w:lang w:val="es-ES_tradnl"/>
                  </w:rPr>
                </w:pPr>
                <w:r>
                  <w:rPr>
                    <w:rFonts w:ascii="Michelin Unit Text 1" w:hAnsi="Michelin Unit Text 1"/>
                    <w:sz w:val="16"/>
                    <w:szCs w:val="16"/>
                    <w:lang w:val="es-ES_tradnl"/>
                  </w:rPr>
                  <w:t>+</w:t>
                </w:r>
                <w:r w:rsidR="0089589E" w:rsidRPr="00084E69">
                  <w:rPr>
                    <w:rFonts w:ascii="Michelin Unit Text 1" w:hAnsi="Michelin Unit Text 1"/>
                    <w:sz w:val="16"/>
                    <w:szCs w:val="16"/>
                    <w:lang w:val="es-ES_tradnl"/>
                  </w:rPr>
                  <w:t xml:space="preserve">10% </w:t>
                </w:r>
                <w:r>
                  <w:rPr>
                    <w:rFonts w:ascii="Michelin Unit Text 1" w:hAnsi="Michelin Unit Text 1"/>
                    <w:sz w:val="16"/>
                    <w:szCs w:val="16"/>
                    <w:lang w:val="es-ES_tradnl"/>
                  </w:rPr>
                  <w:t>vs</w:t>
                </w:r>
                <w:r w:rsidR="0089589E" w:rsidRPr="00084E69">
                  <w:rPr>
                    <w:rFonts w:ascii="Michelin Unit Text 1" w:hAnsi="Michelin Unit Text 1"/>
                    <w:sz w:val="16"/>
                    <w:szCs w:val="16"/>
                    <w:lang w:val="es-ES_tradnl"/>
                  </w:rPr>
                  <w:t xml:space="preserve"> 2020</w:t>
                </w:r>
              </w:p>
            </w:tc>
          </w:tr>
          <w:tr w:rsidR="0089589E" w:rsidRPr="00084E69" w14:paraId="7C316779" w14:textId="77777777" w:rsidTr="00796A17">
            <w:trPr>
              <w:trHeight w:val="566"/>
              <w:jc w:val="center"/>
            </w:trPr>
            <w:tc>
              <w:tcPr>
                <w:tcW w:w="4106" w:type="dxa"/>
              </w:tcPr>
              <w:p w14:paraId="6012C908" w14:textId="7777777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Ser referencia mundial en huella ambiental de las instalaciones industriales</w:t>
                </w:r>
              </w:p>
            </w:tc>
            <w:tc>
              <w:tcPr>
                <w:tcW w:w="3260" w:type="dxa"/>
              </w:tcPr>
              <w:p w14:paraId="4BB72CB8" w14:textId="451E2617" w:rsidR="0089589E" w:rsidRPr="00084E69" w:rsidRDefault="0089589E" w:rsidP="0089589E">
                <w:pPr>
                  <w:rPr>
                    <w:rFonts w:ascii="Michelin Unit Text 1" w:hAnsi="Michelin Unit Text 1"/>
                    <w:sz w:val="16"/>
                    <w:szCs w:val="16"/>
                    <w:lang w:val="es-ES_tradnl"/>
                  </w:rPr>
                </w:pPr>
                <w:r w:rsidRPr="00084E69">
                  <w:rPr>
                    <w:rFonts w:ascii="Michelin Unit Text 1" w:hAnsi="Michelin Unit Text 1"/>
                    <w:sz w:val="16"/>
                    <w:szCs w:val="16"/>
                    <w:lang w:val="es-ES_tradnl"/>
                  </w:rPr>
                  <w:t>i-MEP</w:t>
                </w:r>
                <w:r w:rsidRPr="00084E69">
                  <w:rPr>
                    <w:rFonts w:ascii="Michelin Unit Text 1" w:hAnsi="Michelin Unit Text 1"/>
                    <w:sz w:val="16"/>
                    <w:szCs w:val="16"/>
                    <w:vertAlign w:val="superscript"/>
                    <w:lang w:val="es-ES_tradnl"/>
                  </w:rPr>
                  <w:t>(7)</w:t>
                </w:r>
              </w:p>
            </w:tc>
            <w:tc>
              <w:tcPr>
                <w:tcW w:w="1843" w:type="dxa"/>
              </w:tcPr>
              <w:p w14:paraId="4D3B6F80" w14:textId="4DD7AC13" w:rsidR="0089589E" w:rsidRPr="00084E69" w:rsidRDefault="00770064" w:rsidP="003649D2">
                <w:pPr>
                  <w:jc w:val="center"/>
                  <w:rPr>
                    <w:rFonts w:ascii="Michelin Unit Text 1" w:hAnsi="Michelin Unit Text 1"/>
                    <w:sz w:val="16"/>
                    <w:szCs w:val="16"/>
                    <w:lang w:val="es-ES_tradnl"/>
                  </w:rPr>
                </w:pPr>
                <w:r>
                  <w:rPr>
                    <w:rFonts w:ascii="Michelin Unit Text 1" w:hAnsi="Michelin Unit Text 1"/>
                    <w:sz w:val="16"/>
                    <w:szCs w:val="16"/>
                    <w:lang w:val="es-ES_tradnl"/>
                  </w:rPr>
                  <w:t>-1/3 vs</w:t>
                </w:r>
                <w:r w:rsidR="0089589E" w:rsidRPr="00084E69">
                  <w:rPr>
                    <w:rFonts w:ascii="Michelin Unit Text 1" w:hAnsi="Michelin Unit Text 1"/>
                    <w:sz w:val="16"/>
                    <w:szCs w:val="16"/>
                    <w:lang w:val="es-ES_tradnl"/>
                  </w:rPr>
                  <w:t xml:space="preserve"> 2020</w:t>
                </w:r>
              </w:p>
            </w:tc>
          </w:tr>
          <w:tr w:rsidR="0089589E" w:rsidRPr="00084E69" w14:paraId="50882B80" w14:textId="77777777" w:rsidTr="00796A17">
            <w:trPr>
              <w:trHeight w:val="548"/>
              <w:jc w:val="center"/>
            </w:trPr>
            <w:tc>
              <w:tcPr>
                <w:tcW w:w="4106" w:type="dxa"/>
              </w:tcPr>
              <w:p w14:paraId="0E5B9554" w14:textId="3546B4A6"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 xml:space="preserve">Llegar al 100 % de </w:t>
                </w:r>
                <w:r w:rsidR="0042060A">
                  <w:rPr>
                    <w:rFonts w:ascii="Michelin Unit Text 1" w:hAnsi="Michelin Unit Text 1"/>
                    <w:sz w:val="16"/>
                    <w:szCs w:val="16"/>
                    <w:lang w:val="es-ES_tradnl"/>
                  </w:rPr>
                  <w:t>materias primas</w:t>
                </w:r>
                <w:r w:rsidR="0042060A" w:rsidRPr="00084E69">
                  <w:rPr>
                    <w:rFonts w:ascii="Michelin Unit Text 1" w:hAnsi="Michelin Unit Text 1"/>
                    <w:sz w:val="16"/>
                    <w:szCs w:val="16"/>
                    <w:lang w:val="es-ES_tradnl"/>
                  </w:rPr>
                  <w:t xml:space="preserve"> </w:t>
                </w:r>
                <w:r w:rsidR="00770064">
                  <w:rPr>
                    <w:rFonts w:ascii="Michelin Unit Text 1" w:hAnsi="Michelin Unit Text 1"/>
                    <w:sz w:val="16"/>
                    <w:szCs w:val="16"/>
                    <w:lang w:val="es-ES_tradnl"/>
                  </w:rPr>
                  <w:t>sostenibles en la fabricación de</w:t>
                </w:r>
                <w:r w:rsidRPr="00084E69">
                  <w:rPr>
                    <w:rFonts w:ascii="Michelin Unit Text 1" w:hAnsi="Michelin Unit Text 1"/>
                    <w:sz w:val="16"/>
                    <w:szCs w:val="16"/>
                    <w:lang w:val="es-ES_tradnl"/>
                  </w:rPr>
                  <w:t xml:space="preserve"> neumáticos</w:t>
                </w:r>
              </w:p>
            </w:tc>
            <w:tc>
              <w:tcPr>
                <w:tcW w:w="3260" w:type="dxa"/>
              </w:tcPr>
              <w:p w14:paraId="6A7C8178" w14:textId="748D1167" w:rsidR="0089589E" w:rsidRPr="00084E69" w:rsidRDefault="0089589E" w:rsidP="003649D2">
                <w:pPr>
                  <w:rPr>
                    <w:rFonts w:ascii="Michelin Unit Text 1" w:hAnsi="Michelin Unit Text 1"/>
                    <w:sz w:val="16"/>
                    <w:szCs w:val="16"/>
                    <w:lang w:val="es-ES_tradnl"/>
                  </w:rPr>
                </w:pPr>
                <w:r w:rsidRPr="00084E69">
                  <w:rPr>
                    <w:rFonts w:ascii="Michelin Unit Text 1" w:hAnsi="Michelin Unit Text 1"/>
                    <w:sz w:val="16"/>
                    <w:szCs w:val="16"/>
                    <w:lang w:val="es-ES_tradnl"/>
                  </w:rPr>
                  <w:t>Tasa de mate</w:t>
                </w:r>
                <w:r w:rsidR="0042060A">
                  <w:rPr>
                    <w:rFonts w:ascii="Michelin Unit Text 1" w:hAnsi="Michelin Unit Text 1"/>
                    <w:sz w:val="16"/>
                    <w:szCs w:val="16"/>
                    <w:lang w:val="es-ES_tradnl"/>
                  </w:rPr>
                  <w:t>rias primas</w:t>
                </w:r>
                <w:r w:rsidRPr="00084E69">
                  <w:rPr>
                    <w:rFonts w:ascii="Michelin Unit Text 1" w:hAnsi="Michelin Unit Text 1"/>
                    <w:sz w:val="16"/>
                    <w:szCs w:val="16"/>
                    <w:lang w:val="es-ES_tradnl"/>
                  </w:rPr>
                  <w:t xml:space="preserve"> </w:t>
                </w:r>
                <w:r w:rsidR="00770064">
                  <w:rPr>
                    <w:rFonts w:ascii="Michelin Unit Text 1" w:hAnsi="Michelin Unit Text 1"/>
                    <w:sz w:val="16"/>
                    <w:szCs w:val="16"/>
                    <w:lang w:val="es-ES_tradnl"/>
                  </w:rPr>
                  <w:t>sostenibles</w:t>
                </w:r>
              </w:p>
            </w:tc>
            <w:tc>
              <w:tcPr>
                <w:tcW w:w="1843" w:type="dxa"/>
              </w:tcPr>
              <w:p w14:paraId="457FBD26" w14:textId="77777777" w:rsidR="0089589E" w:rsidRPr="00084E69" w:rsidRDefault="0089589E" w:rsidP="003649D2">
                <w:pPr>
                  <w:jc w:val="center"/>
                  <w:rPr>
                    <w:rFonts w:ascii="Michelin Unit Text 1" w:hAnsi="Michelin Unit Text 1"/>
                    <w:sz w:val="16"/>
                    <w:szCs w:val="16"/>
                    <w:lang w:val="es-ES_tradnl"/>
                  </w:rPr>
                </w:pPr>
                <w:r w:rsidRPr="00084E69">
                  <w:rPr>
                    <w:rFonts w:ascii="Michelin Unit Text 1" w:hAnsi="Michelin Unit Text 1"/>
                    <w:sz w:val="16"/>
                    <w:szCs w:val="16"/>
                    <w:lang w:val="es-ES_tradnl"/>
                  </w:rPr>
                  <w:t>40%</w:t>
                </w:r>
              </w:p>
            </w:tc>
          </w:tr>
        </w:tbl>
        <w:p w14:paraId="2B3C159C" w14:textId="77777777" w:rsidR="0089589E" w:rsidRPr="00084E69" w:rsidRDefault="0089589E" w:rsidP="0089589E">
          <w:pPr>
            <w:spacing w:line="276" w:lineRule="auto"/>
            <w:ind w:right="1394"/>
            <w:rPr>
              <w:rFonts w:ascii="Michelin Unit Text 1" w:hAnsi="Michelin Unit Text 1" w:cstheme="minorHAnsi"/>
              <w:sz w:val="20"/>
              <w:szCs w:val="20"/>
              <w:lang w:val="es-ES_tradnl"/>
            </w:rPr>
          </w:pPr>
        </w:p>
        <w:p w14:paraId="71939E2E" w14:textId="77777777" w:rsidR="00586E76" w:rsidRPr="00084E69" w:rsidRDefault="00586E76" w:rsidP="0089589E">
          <w:pPr>
            <w:spacing w:line="276" w:lineRule="auto"/>
            <w:ind w:right="1394"/>
            <w:rPr>
              <w:rFonts w:ascii="Michelin Unit Text 1" w:hAnsi="Michelin Unit Text 1" w:cstheme="minorHAnsi"/>
              <w:sz w:val="20"/>
              <w:szCs w:val="20"/>
              <w:lang w:val="es-ES_tradnl"/>
            </w:rPr>
          </w:pPr>
        </w:p>
        <w:p w14:paraId="11BFAA34" w14:textId="13FD5FD7" w:rsidR="0089589E" w:rsidRPr="00084E69" w:rsidRDefault="0089589E" w:rsidP="0089589E">
          <w:pPr>
            <w:pStyle w:val="Prrafodelista"/>
            <w:numPr>
              <w:ilvl w:val="0"/>
              <w:numId w:val="9"/>
            </w:numPr>
            <w:spacing w:line="276" w:lineRule="auto"/>
            <w:ind w:left="720"/>
            <w:jc w:val="both"/>
            <w:rPr>
              <w:rFonts w:ascii="Michelin Unit Text 1" w:hAnsi="Michelin Unit Text 1" w:cstheme="minorHAnsi"/>
              <w:sz w:val="16"/>
              <w:lang w:val="es-ES_tradnl"/>
            </w:rPr>
          </w:pPr>
          <w:r w:rsidRPr="00084E69">
            <w:rPr>
              <w:rFonts w:ascii="Michelin Unit Text 1" w:hAnsi="Michelin Unit Text 1" w:cstheme="minorHAnsi"/>
              <w:sz w:val="16"/>
              <w:lang w:val="es-ES_tradnl"/>
            </w:rPr>
            <w:t>Total Case Incident Rate: Número de accidentes y bajas laborales por 200.000 horas trabajadas.</w:t>
          </w:r>
        </w:p>
        <w:p w14:paraId="00F14FBB" w14:textId="57595ECD" w:rsidR="0089589E" w:rsidRPr="00084E69" w:rsidRDefault="0089589E" w:rsidP="0089589E">
          <w:pPr>
            <w:pStyle w:val="Prrafodelista"/>
            <w:numPr>
              <w:ilvl w:val="0"/>
              <w:numId w:val="9"/>
            </w:numPr>
            <w:spacing w:line="276" w:lineRule="auto"/>
            <w:ind w:left="720"/>
            <w:jc w:val="both"/>
            <w:rPr>
              <w:rFonts w:ascii="Michelin Unit Text 1" w:hAnsi="Michelin Unit Text 1" w:cstheme="minorHAnsi"/>
              <w:sz w:val="16"/>
              <w:lang w:val="es-ES_tradnl"/>
            </w:rPr>
          </w:pPr>
          <w:r w:rsidRPr="00084E69">
            <w:rPr>
              <w:rFonts w:ascii="Michelin Unit Text 1" w:hAnsi="Michelin Unit Text 1" w:cstheme="minorHAnsi"/>
              <w:sz w:val="16"/>
              <w:lang w:val="es-ES_tradnl"/>
            </w:rPr>
            <w:t>Indicador de Management de Diversidades de Inclusión</w:t>
          </w:r>
        </w:p>
        <w:p w14:paraId="53626994" w14:textId="77777777" w:rsidR="0089589E" w:rsidRPr="00084E69" w:rsidRDefault="0089589E" w:rsidP="0089589E">
          <w:pPr>
            <w:pStyle w:val="Prrafodelista"/>
            <w:numPr>
              <w:ilvl w:val="0"/>
              <w:numId w:val="9"/>
            </w:numPr>
            <w:spacing w:line="276" w:lineRule="auto"/>
            <w:ind w:left="720"/>
            <w:jc w:val="both"/>
            <w:rPr>
              <w:rFonts w:ascii="Michelin Unit Text 1" w:hAnsi="Michelin Unit Text 1" w:cstheme="minorHAnsi"/>
              <w:sz w:val="16"/>
              <w:lang w:val="es-ES_tradnl"/>
            </w:rPr>
          </w:pPr>
          <w:r w:rsidRPr="00084E69">
            <w:rPr>
              <w:rFonts w:ascii="Michelin Unit Text 1" w:hAnsi="Michelin Unit Text 1" w:cstheme="minorHAnsi"/>
              <w:sz w:val="16"/>
              <w:lang w:val="es-ES_tradnl"/>
            </w:rPr>
            <w:t>Se crearán dos indicadores compuestos en 2021:</w:t>
          </w:r>
        </w:p>
        <w:p w14:paraId="22BA9548" w14:textId="77777777" w:rsidR="0089589E" w:rsidRPr="00084E69" w:rsidRDefault="0089589E" w:rsidP="0089589E">
          <w:pPr>
            <w:spacing w:line="276" w:lineRule="auto"/>
            <w:ind w:left="720"/>
            <w:jc w:val="both"/>
            <w:rPr>
              <w:rFonts w:ascii="Michelin Unit Text 1" w:hAnsi="Michelin Unit Text 1" w:cstheme="minorHAnsi"/>
              <w:sz w:val="16"/>
              <w:lang w:val="es-ES_tradnl"/>
            </w:rPr>
          </w:pPr>
          <w:r w:rsidRPr="00084E69">
            <w:rPr>
              <w:rFonts w:ascii="Michelin Unit Text 1" w:hAnsi="Michelin Unit Text 1" w:cstheme="minorHAnsi"/>
              <w:sz w:val="16"/>
              <w:lang w:val="es-ES_tradnl"/>
            </w:rPr>
            <w:t>El NPS Cliente Final, media ponderada de los dos segmentos de usuarios: consumidores y clientes profesionales.</w:t>
          </w:r>
        </w:p>
        <w:p w14:paraId="6EC33277" w14:textId="6AFDAE24" w:rsidR="0089589E" w:rsidRPr="00084E69" w:rsidRDefault="0089589E" w:rsidP="0089589E">
          <w:pPr>
            <w:spacing w:line="276" w:lineRule="auto"/>
            <w:ind w:left="720"/>
            <w:jc w:val="both"/>
            <w:rPr>
              <w:rFonts w:ascii="Michelin Unit Text 1" w:hAnsi="Michelin Unit Text 1" w:cstheme="minorHAnsi"/>
              <w:sz w:val="16"/>
              <w:lang w:val="es-ES_tradnl"/>
            </w:rPr>
          </w:pPr>
          <w:r w:rsidRPr="00084E69">
            <w:rPr>
              <w:rFonts w:ascii="Michelin Unit Text 1" w:hAnsi="Michelin Unit Text 1" w:cstheme="minorHAnsi"/>
              <w:sz w:val="16"/>
              <w:lang w:val="es-ES_tradnl"/>
            </w:rPr>
            <w:t>El NPS Socios, media ponderada de los dos segmentos OEMs (clientes constructores) y distribuidores.</w:t>
          </w:r>
        </w:p>
        <w:p w14:paraId="5173F04C" w14:textId="3C2B24DE" w:rsidR="0089589E" w:rsidRPr="00084E69" w:rsidRDefault="0089589E" w:rsidP="0089589E">
          <w:pPr>
            <w:pStyle w:val="Prrafodelista"/>
            <w:numPr>
              <w:ilvl w:val="0"/>
              <w:numId w:val="9"/>
            </w:numPr>
            <w:spacing w:line="276" w:lineRule="auto"/>
            <w:ind w:left="720"/>
            <w:jc w:val="both"/>
            <w:rPr>
              <w:rFonts w:ascii="Michelin Unit Text 1" w:hAnsi="Michelin Unit Text 1" w:cstheme="minorHAnsi"/>
              <w:sz w:val="16"/>
              <w:lang w:val="es-ES_tradnl"/>
            </w:rPr>
          </w:pPr>
          <w:r w:rsidRPr="00084E69">
            <w:rPr>
              <w:rFonts w:ascii="Michelin Unit Text 1" w:hAnsi="Michelin Unit Text 1" w:cstheme="minorHAnsi"/>
              <w:sz w:val="16"/>
              <w:lang w:val="es-ES_tradnl"/>
            </w:rPr>
            <w:t xml:space="preserve">Al calcular el ROCE consolidado de Grupo, los activos intangibles adquiridos, así como las acciones cotizadas de sociedades se integran en los activos económicos. El resultado operativo neto incluye la amortización de activos intangibles adquiridos, así como el resultado de compañías cotizadas (véase sección 3.6 de la Guía de Resultados 2020, en la web del Grupo </w:t>
          </w:r>
          <w:hyperlink r:id="rId8" w:history="1">
            <w:r w:rsidR="00A50A86" w:rsidRPr="00084E69">
              <w:rPr>
                <w:rStyle w:val="Hipervnculo"/>
                <w:rFonts w:ascii="Michelin Unit Text 1" w:hAnsi="Michelin Unit Text 1" w:cstheme="minorHAnsi"/>
                <w:sz w:val="16"/>
                <w:lang w:val="es-ES_tradnl"/>
              </w:rPr>
              <w:t>www.michelin.com</w:t>
            </w:r>
          </w:hyperlink>
          <w:r w:rsidRPr="00084E69">
            <w:rPr>
              <w:rFonts w:ascii="Michelin Unit Text 1" w:hAnsi="Michelin Unit Text 1" w:cstheme="minorHAnsi"/>
              <w:sz w:val="16"/>
              <w:lang w:val="es-ES_tradnl"/>
            </w:rPr>
            <w:t xml:space="preserve">) </w:t>
          </w:r>
        </w:p>
        <w:p w14:paraId="67D67131" w14:textId="7877310F" w:rsidR="0089589E" w:rsidRPr="00084E69" w:rsidRDefault="0089589E" w:rsidP="0089589E">
          <w:pPr>
            <w:pStyle w:val="Prrafodelista"/>
            <w:numPr>
              <w:ilvl w:val="0"/>
              <w:numId w:val="9"/>
            </w:numPr>
            <w:spacing w:line="276" w:lineRule="auto"/>
            <w:ind w:left="720"/>
            <w:jc w:val="both"/>
            <w:rPr>
              <w:rFonts w:ascii="Michelin Unit Text 1" w:hAnsi="Michelin Unit Text 1" w:cstheme="minorHAnsi"/>
              <w:sz w:val="16"/>
              <w:lang w:val="es-ES_tradnl"/>
            </w:rPr>
          </w:pPr>
          <w:r w:rsidRPr="00084E69">
            <w:rPr>
              <w:rFonts w:ascii="Michelin Unit Text 1" w:hAnsi="Michelin Unit Text 1" w:cstheme="minorHAnsi"/>
              <w:sz w:val="16"/>
              <w:lang w:val="es-ES_tradnl"/>
            </w:rPr>
            <w:t>Indicador compuesto para medir la vitalidad de la marca.</w:t>
          </w:r>
        </w:p>
        <w:p w14:paraId="28C15FFC" w14:textId="3A723B6D" w:rsidR="0089589E" w:rsidRPr="00084E69" w:rsidRDefault="0089589E" w:rsidP="0089589E">
          <w:pPr>
            <w:pStyle w:val="Prrafodelista"/>
            <w:numPr>
              <w:ilvl w:val="0"/>
              <w:numId w:val="9"/>
            </w:numPr>
            <w:spacing w:line="276" w:lineRule="auto"/>
            <w:ind w:left="720"/>
            <w:jc w:val="both"/>
            <w:rPr>
              <w:rFonts w:ascii="Michelin Unit Text 1" w:hAnsi="Michelin Unit Text 1" w:cstheme="minorHAnsi"/>
              <w:sz w:val="16"/>
              <w:lang w:val="es-ES_tradnl"/>
            </w:rPr>
          </w:pPr>
          <w:r w:rsidRPr="00084E69">
            <w:rPr>
              <w:rFonts w:ascii="Michelin Unit Text 1" w:hAnsi="Michelin Unit Text 1" w:cstheme="minorHAnsi"/>
              <w:sz w:val="16"/>
              <w:lang w:val="es-ES_tradnl"/>
            </w:rPr>
            <w:t>Porcentaje sobre ventas totales de los servicios y productos lanzados en los tres últimos años.</w:t>
          </w:r>
        </w:p>
        <w:p w14:paraId="5ABD6847" w14:textId="4706077E" w:rsidR="007613E0" w:rsidRPr="00084E69" w:rsidRDefault="0089589E" w:rsidP="0089589E">
          <w:pPr>
            <w:pStyle w:val="Prrafodelista"/>
            <w:numPr>
              <w:ilvl w:val="0"/>
              <w:numId w:val="9"/>
            </w:numPr>
            <w:spacing w:line="276" w:lineRule="auto"/>
            <w:ind w:left="720"/>
            <w:jc w:val="both"/>
            <w:rPr>
              <w:rFonts w:ascii="Michelin Unit Text 1" w:hAnsi="Michelin Unit Text 1" w:cstheme="minorHAnsi"/>
              <w:sz w:val="16"/>
              <w:lang w:val="es-ES_tradnl"/>
            </w:rPr>
          </w:pPr>
          <w:r w:rsidRPr="00084E69">
            <w:rPr>
              <w:rFonts w:ascii="Michelin Unit Text 1" w:hAnsi="Michelin Unit Text 1" w:cstheme="minorHAnsi"/>
              <w:sz w:val="16"/>
              <w:lang w:val="es-ES_tradnl"/>
            </w:rPr>
            <w:t xml:space="preserve">I-MEP (Industrial Michelin Environmental Performance). Este indicador será la herramienta de control del impacto ambiental de las actividades industriales del Grupo para los </w:t>
          </w:r>
          <w:r w:rsidR="00770064">
            <w:rPr>
              <w:rFonts w:ascii="Michelin Unit Text 1" w:hAnsi="Michelin Unit Text 1" w:cstheme="minorHAnsi"/>
              <w:sz w:val="16"/>
              <w:lang w:val="es-ES_tradnl"/>
            </w:rPr>
            <w:t xml:space="preserve">próximos </w:t>
          </w:r>
          <w:r w:rsidRPr="00084E69">
            <w:rPr>
              <w:rFonts w:ascii="Michelin Unit Text 1" w:hAnsi="Michelin Unit Text 1" w:cstheme="minorHAnsi"/>
              <w:sz w:val="16"/>
              <w:lang w:val="es-ES_tradnl"/>
            </w:rPr>
            <w:t xml:space="preserve">diez </w:t>
          </w:r>
          <w:r w:rsidR="00770064">
            <w:rPr>
              <w:rFonts w:ascii="Michelin Unit Text 1" w:hAnsi="Michelin Unit Text 1" w:cstheme="minorHAnsi"/>
              <w:sz w:val="16"/>
              <w:lang w:val="es-ES_tradnl"/>
            </w:rPr>
            <w:t>a</w:t>
          </w:r>
          <w:r w:rsidRPr="00084E69">
            <w:rPr>
              <w:rFonts w:ascii="Michelin Unit Text 1" w:hAnsi="Michelin Unit Text 1" w:cstheme="minorHAnsi"/>
              <w:sz w:val="16"/>
              <w:lang w:val="es-ES_tradnl"/>
            </w:rPr>
            <w:t>ños. Permitirá una mejor comprensión de los impactos, sobre la base de cinco ejes prioritarios</w:t>
          </w:r>
          <w:r w:rsidR="00770064">
            <w:rPr>
              <w:rFonts w:ascii="Michelin Unit Text 1" w:hAnsi="Michelin Unit Text 1" w:cstheme="minorHAnsi"/>
              <w:sz w:val="16"/>
              <w:lang w:val="es-ES_tradnl"/>
            </w:rPr>
            <w:t>:</w:t>
          </w:r>
          <w:r w:rsidRPr="00084E69">
            <w:rPr>
              <w:rFonts w:ascii="Michelin Unit Text 1" w:hAnsi="Michelin Unit Text 1" w:cstheme="minorHAnsi"/>
              <w:sz w:val="16"/>
              <w:lang w:val="es-ES_tradnl"/>
            </w:rPr>
            <w:t xml:space="preserve"> el consumo de energía, emisiones de CO</w:t>
          </w:r>
          <w:r w:rsidRPr="00770064">
            <w:rPr>
              <w:rFonts w:ascii="Michelin Unit Text 1" w:hAnsi="Michelin Unit Text 1" w:cs="Calibri (Cuerpo)"/>
              <w:sz w:val="16"/>
              <w:vertAlign w:val="subscript"/>
              <w:lang w:val="es-ES_tradnl"/>
            </w:rPr>
            <w:t>2</w:t>
          </w:r>
          <w:r w:rsidRPr="00084E69">
            <w:rPr>
              <w:rFonts w:ascii="Michelin Unit Text 1" w:hAnsi="Michelin Unit Text 1" w:cstheme="minorHAnsi"/>
              <w:sz w:val="16"/>
              <w:lang w:val="es-ES_tradnl"/>
            </w:rPr>
            <w:t>, consumo de disolventes orgánicos, consumo de agua y de residuos generados. Este indicador se describe con más precisión en la nota metodológica del capítulo 4 del URD (User Requirement Document) 2020</w:t>
          </w:r>
          <w:r w:rsidR="00586E76" w:rsidRPr="00084E69">
            <w:rPr>
              <w:rFonts w:ascii="Michelin Unit Text 1" w:hAnsi="Michelin Unit Text 1" w:cstheme="minorHAnsi"/>
              <w:sz w:val="16"/>
              <w:lang w:val="es-ES_tradnl"/>
            </w:rPr>
            <w:t>.</w:t>
          </w:r>
        </w:p>
        <w:p w14:paraId="019C8CE1" w14:textId="77777777" w:rsidR="007613E0" w:rsidRPr="00084E69" w:rsidRDefault="007613E0" w:rsidP="007613E0">
          <w:pPr>
            <w:spacing w:line="276" w:lineRule="auto"/>
            <w:ind w:right="1394"/>
            <w:jc w:val="both"/>
            <w:rPr>
              <w:rFonts w:ascii="Michelin Unit Text 1" w:hAnsi="Michelin Unit Text 1" w:cstheme="minorHAnsi"/>
              <w:lang w:val="es-ES"/>
            </w:rPr>
          </w:pPr>
        </w:p>
        <w:p w14:paraId="6DD551A0" w14:textId="77777777" w:rsidR="007613E0" w:rsidRDefault="007613E0" w:rsidP="007613E0">
          <w:pPr>
            <w:spacing w:line="276" w:lineRule="auto"/>
            <w:ind w:right="1394"/>
            <w:jc w:val="both"/>
            <w:rPr>
              <w:rFonts w:ascii="Michelin Unit Text 1" w:hAnsi="Michelin Unit Text 1" w:cstheme="minorHAnsi"/>
              <w:lang w:val="es-ES"/>
            </w:rPr>
          </w:pPr>
        </w:p>
        <w:p w14:paraId="380F5487" w14:textId="18D2C38D" w:rsidR="007613E0" w:rsidRPr="00084E69" w:rsidRDefault="00586E76" w:rsidP="00770064">
          <w:pPr>
            <w:jc w:val="center"/>
            <w:rPr>
              <w:rFonts w:ascii="Michelin Unit Text" w:hAnsi="Michelin Unit Text" w:cstheme="minorHAnsi"/>
              <w:b/>
              <w:bCs/>
              <w:sz w:val="20"/>
              <w:u w:val="single"/>
              <w:lang w:val="es-ES"/>
            </w:rPr>
          </w:pPr>
          <w:r>
            <w:rPr>
              <w:rFonts w:ascii="Michelin Unit Text 1" w:hAnsi="Michelin Unit Text 1" w:cstheme="minorHAnsi"/>
              <w:lang w:val="es-ES"/>
            </w:rPr>
            <w:br w:type="page"/>
          </w:r>
          <w:r w:rsidRPr="00084E69">
            <w:rPr>
              <w:rFonts w:ascii="Michelin Unit Text" w:hAnsi="Michelin Unit Text" w:cstheme="minorHAnsi"/>
              <w:b/>
              <w:bCs/>
              <w:sz w:val="20"/>
              <w:u w:val="single"/>
              <w:lang w:val="es-ES"/>
            </w:rPr>
            <w:lastRenderedPageBreak/>
            <w:t>Resumen de objetivos 2023</w:t>
          </w:r>
          <w:r w:rsidRPr="00084E69">
            <w:rPr>
              <w:rStyle w:val="Refdenotaalpie"/>
              <w:rFonts w:ascii="Michelin Unit Text" w:hAnsi="Michelin Unit Text" w:cstheme="minorHAnsi"/>
              <w:b/>
              <w:bCs/>
              <w:sz w:val="20"/>
              <w:u w:val="single"/>
              <w:lang w:val="es-ES"/>
            </w:rPr>
            <w:footnoteReference w:id="4"/>
          </w:r>
        </w:p>
        <w:p w14:paraId="0457B131" w14:textId="77777777" w:rsidR="00586E76" w:rsidRDefault="00586E76" w:rsidP="007613E0">
          <w:pPr>
            <w:spacing w:line="276" w:lineRule="auto"/>
            <w:ind w:right="1394"/>
            <w:jc w:val="both"/>
            <w:rPr>
              <w:rFonts w:ascii="Michelin Unit Text 1" w:hAnsi="Michelin Unit Text 1" w:cstheme="minorHAnsi"/>
              <w:lang w:val="es-ES"/>
            </w:rPr>
          </w:pPr>
        </w:p>
        <w:tbl>
          <w:tblPr>
            <w:tblStyle w:val="Tablaconcuadrcula"/>
            <w:tblW w:w="8363" w:type="dxa"/>
            <w:tblInd w:w="279" w:type="dxa"/>
            <w:tblLook w:val="04A0" w:firstRow="1" w:lastRow="0" w:firstColumn="1" w:lastColumn="0" w:noHBand="0" w:noVBand="1"/>
          </w:tblPr>
          <w:tblGrid>
            <w:gridCol w:w="4111"/>
            <w:gridCol w:w="4252"/>
          </w:tblGrid>
          <w:tr w:rsidR="00586E76" w:rsidRPr="00631317" w14:paraId="65AB434B" w14:textId="77777777" w:rsidTr="00796A17">
            <w:trPr>
              <w:trHeight w:val="367"/>
            </w:trPr>
            <w:tc>
              <w:tcPr>
                <w:tcW w:w="4111" w:type="dxa"/>
              </w:tcPr>
              <w:p w14:paraId="4C929066" w14:textId="77777777"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Ventas 2023</w:t>
                </w:r>
              </w:p>
            </w:tc>
            <w:tc>
              <w:tcPr>
                <w:tcW w:w="4252" w:type="dxa"/>
              </w:tcPr>
              <w:p w14:paraId="2DBA7871" w14:textId="022DA72D"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En torno a 24</w:t>
                </w:r>
                <w:r w:rsidR="00081988">
                  <w:rPr>
                    <w:rFonts w:ascii="Michelin Unit Text" w:hAnsi="Michelin Unit Text" w:cstheme="minorHAnsi"/>
                    <w:sz w:val="16"/>
                    <w:lang w:val="es-ES_tradnl"/>
                  </w:rPr>
                  <w:t>.500 millones de</w:t>
                </w:r>
                <w:r w:rsidRPr="00586E76">
                  <w:rPr>
                    <w:rFonts w:ascii="Michelin Unit Text" w:hAnsi="Michelin Unit Text" w:cstheme="minorHAnsi"/>
                    <w:sz w:val="16"/>
                    <w:lang w:val="es-ES_tradnl"/>
                  </w:rPr>
                  <w:t xml:space="preserve"> € </w:t>
                </w:r>
                <w:r w:rsidR="00794760">
                  <w:rPr>
                    <w:rFonts w:ascii="Michelin Unit Text" w:hAnsi="Michelin Unit Text" w:cstheme="minorHAnsi"/>
                    <w:sz w:val="16"/>
                    <w:lang w:val="es-ES_tradnl"/>
                  </w:rPr>
                  <w:t>a tasa de cambio e</w:t>
                </w:r>
                <w:r w:rsidRPr="00586E76">
                  <w:rPr>
                    <w:rFonts w:ascii="Michelin Unit Text" w:hAnsi="Michelin Unit Text" w:cstheme="minorHAnsi"/>
                    <w:sz w:val="16"/>
                    <w:lang w:val="es-ES_tradnl"/>
                  </w:rPr>
                  <w:t>nero 2021</w:t>
                </w:r>
              </w:p>
            </w:tc>
          </w:tr>
          <w:tr w:rsidR="00586E76" w:rsidRPr="00586E76" w14:paraId="3DE7AFD2" w14:textId="77777777" w:rsidTr="00796A17">
            <w:trPr>
              <w:trHeight w:val="557"/>
            </w:trPr>
            <w:tc>
              <w:tcPr>
                <w:tcW w:w="4111" w:type="dxa"/>
              </w:tcPr>
              <w:p w14:paraId="76416F95" w14:textId="73EF72B8"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Resultado opera</w:t>
                </w:r>
                <w:r w:rsidR="002C324F">
                  <w:rPr>
                    <w:rFonts w:ascii="Michelin Unit Text" w:hAnsi="Michelin Unit Text" w:cstheme="minorHAnsi"/>
                    <w:sz w:val="16"/>
                    <w:lang w:val="es-ES_tradnl"/>
                  </w:rPr>
                  <w:t>cional</w:t>
                </w:r>
                <w:r w:rsidR="00146F87">
                  <w:rPr>
                    <w:rFonts w:ascii="Michelin Unit Text" w:hAnsi="Michelin Unit Text" w:cstheme="minorHAnsi"/>
                    <w:sz w:val="16"/>
                    <w:lang w:val="es-ES_tradnl"/>
                  </w:rPr>
                  <w:t xml:space="preserve"> </w:t>
                </w:r>
                <w:r w:rsidRPr="00586E76">
                  <w:rPr>
                    <w:rFonts w:ascii="Michelin Unit Text" w:hAnsi="Michelin Unit Text" w:cstheme="minorHAnsi"/>
                    <w:sz w:val="16"/>
                    <w:lang w:val="es-ES_tradnl"/>
                  </w:rPr>
                  <w:t>de los sectores 2023</w:t>
                </w:r>
              </w:p>
              <w:p w14:paraId="47629114" w14:textId="0E7B5496"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 xml:space="preserve">Margen </w:t>
                </w:r>
                <w:r w:rsidR="00146F87">
                  <w:rPr>
                    <w:rFonts w:ascii="Michelin Unit Text" w:hAnsi="Michelin Unit Text" w:cstheme="minorHAnsi"/>
                    <w:sz w:val="16"/>
                    <w:lang w:val="es-ES_tradnl"/>
                  </w:rPr>
                  <w:t xml:space="preserve">operacional </w:t>
                </w:r>
                <w:r w:rsidRPr="00586E76">
                  <w:rPr>
                    <w:rFonts w:ascii="Michelin Unit Text" w:hAnsi="Michelin Unit Text" w:cstheme="minorHAnsi"/>
                    <w:sz w:val="16"/>
                    <w:lang w:val="es-ES_tradnl"/>
                  </w:rPr>
                  <w:t>de los sectores</w:t>
                </w:r>
              </w:p>
            </w:tc>
            <w:tc>
              <w:tcPr>
                <w:tcW w:w="4252" w:type="dxa"/>
              </w:tcPr>
              <w:p w14:paraId="2B64801D" w14:textId="77BEFE83"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Más de 3</w:t>
                </w:r>
                <w:r w:rsidR="00081988">
                  <w:rPr>
                    <w:rFonts w:ascii="Michelin Unit Text" w:hAnsi="Michelin Unit Text" w:cstheme="minorHAnsi"/>
                    <w:sz w:val="16"/>
                    <w:lang w:val="es-ES_tradnl"/>
                  </w:rPr>
                  <w:t>.300 millones de</w:t>
                </w:r>
                <w:r w:rsidRPr="00586E76">
                  <w:rPr>
                    <w:rFonts w:ascii="Michelin Unit Text" w:hAnsi="Michelin Unit Text" w:cstheme="minorHAnsi"/>
                    <w:sz w:val="16"/>
                    <w:lang w:val="es-ES_tradnl"/>
                  </w:rPr>
                  <w:t xml:space="preserve"> € </w:t>
                </w:r>
                <w:r w:rsidR="00794760">
                  <w:rPr>
                    <w:rFonts w:ascii="Michelin Unit Text" w:hAnsi="Michelin Unit Text" w:cstheme="minorHAnsi"/>
                    <w:sz w:val="16"/>
                    <w:lang w:val="es-ES_tradnl"/>
                  </w:rPr>
                  <w:t>a tasa de cambio</w:t>
                </w:r>
                <w:r w:rsidRPr="00586E76">
                  <w:rPr>
                    <w:rFonts w:ascii="Michelin Unit Text" w:hAnsi="Michelin Unit Text" w:cstheme="minorHAnsi"/>
                    <w:sz w:val="16"/>
                    <w:lang w:val="es-ES_tradnl"/>
                  </w:rPr>
                  <w:t xml:space="preserve"> enero 2021</w:t>
                </w:r>
              </w:p>
              <w:p w14:paraId="499395D4" w14:textId="77777777"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13,5%</w:t>
                </w:r>
              </w:p>
            </w:tc>
          </w:tr>
          <w:tr w:rsidR="00586E76" w:rsidRPr="00586E76" w14:paraId="3D4D0790" w14:textId="77777777" w:rsidTr="00796A17">
            <w:trPr>
              <w:trHeight w:val="550"/>
            </w:trPr>
            <w:tc>
              <w:tcPr>
                <w:tcW w:w="4111" w:type="dxa"/>
              </w:tcPr>
              <w:p w14:paraId="7C50E1E7" w14:textId="3F46279D"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 xml:space="preserve">Margen </w:t>
                </w:r>
                <w:r w:rsidR="00146F87">
                  <w:rPr>
                    <w:rFonts w:ascii="Michelin Unit Text" w:hAnsi="Michelin Unit Text" w:cstheme="minorHAnsi"/>
                    <w:sz w:val="16"/>
                    <w:lang w:val="es-ES_tradnl"/>
                  </w:rPr>
                  <w:t>operacional</w:t>
                </w:r>
                <w:r w:rsidRPr="00586E76">
                  <w:rPr>
                    <w:rFonts w:ascii="Michelin Unit Text" w:hAnsi="Michelin Unit Text" w:cstheme="minorHAnsi"/>
                    <w:sz w:val="16"/>
                    <w:lang w:val="es-ES_tradnl"/>
                  </w:rPr>
                  <w:t xml:space="preserve"> del sector Automóvil y distribución </w:t>
                </w:r>
                <w:r w:rsidR="002252D7">
                  <w:rPr>
                    <w:rFonts w:ascii="Michelin Unit Text" w:hAnsi="Michelin Unit Text" w:cstheme="minorHAnsi"/>
                    <w:sz w:val="16"/>
                    <w:lang w:val="es-ES_tradnl"/>
                  </w:rPr>
                  <w:t xml:space="preserve">asociada </w:t>
                </w:r>
                <w:r w:rsidRPr="00586E76">
                  <w:rPr>
                    <w:rFonts w:ascii="Michelin Unit Text" w:hAnsi="Michelin Unit Text" w:cstheme="minorHAnsi"/>
                    <w:sz w:val="16"/>
                    <w:lang w:val="es-ES_tradnl"/>
                  </w:rPr>
                  <w:t>2023</w:t>
                </w:r>
              </w:p>
            </w:tc>
            <w:tc>
              <w:tcPr>
                <w:tcW w:w="4252" w:type="dxa"/>
              </w:tcPr>
              <w:p w14:paraId="45F75A39" w14:textId="77777777"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&gt;12%</w:t>
                </w:r>
              </w:p>
            </w:tc>
          </w:tr>
          <w:tr w:rsidR="00586E76" w:rsidRPr="00586E76" w14:paraId="541163C8" w14:textId="77777777" w:rsidTr="00796A17">
            <w:trPr>
              <w:trHeight w:val="572"/>
            </w:trPr>
            <w:tc>
              <w:tcPr>
                <w:tcW w:w="4111" w:type="dxa"/>
              </w:tcPr>
              <w:p w14:paraId="4F27E465" w14:textId="74B284FC"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 xml:space="preserve">Margen </w:t>
                </w:r>
                <w:r w:rsidR="00146F87">
                  <w:rPr>
                    <w:rFonts w:ascii="Michelin Unit Text" w:hAnsi="Michelin Unit Text" w:cstheme="minorHAnsi"/>
                    <w:sz w:val="16"/>
                    <w:lang w:val="es-ES_tradnl"/>
                  </w:rPr>
                  <w:t>operacional</w:t>
                </w:r>
                <w:r w:rsidRPr="00586E76">
                  <w:rPr>
                    <w:rFonts w:ascii="Michelin Unit Text" w:hAnsi="Michelin Unit Text" w:cstheme="minorHAnsi"/>
                    <w:sz w:val="16"/>
                    <w:lang w:val="es-ES_tradnl"/>
                  </w:rPr>
                  <w:t xml:space="preserve"> del sector Transporte por carretera y distribución </w:t>
                </w:r>
                <w:r w:rsidR="00146F87">
                  <w:rPr>
                    <w:rFonts w:ascii="Michelin Unit Text" w:hAnsi="Michelin Unit Text" w:cstheme="minorHAnsi"/>
                    <w:sz w:val="16"/>
                    <w:lang w:val="es-ES_tradnl"/>
                  </w:rPr>
                  <w:t>asociada</w:t>
                </w:r>
                <w:r w:rsidRPr="00586E76">
                  <w:rPr>
                    <w:rFonts w:ascii="Michelin Unit Text" w:hAnsi="Michelin Unit Text" w:cstheme="minorHAnsi"/>
                    <w:sz w:val="16"/>
                    <w:lang w:val="es-ES_tradnl"/>
                  </w:rPr>
                  <w:t xml:space="preserve"> 2023</w:t>
                </w:r>
              </w:p>
            </w:tc>
            <w:tc>
              <w:tcPr>
                <w:tcW w:w="4252" w:type="dxa"/>
              </w:tcPr>
              <w:p w14:paraId="4871E2AA" w14:textId="77777777"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&gt;10%</w:t>
                </w:r>
              </w:p>
            </w:tc>
          </w:tr>
          <w:tr w:rsidR="00586E76" w:rsidRPr="00586E76" w14:paraId="6931DD06" w14:textId="77777777" w:rsidTr="00796A17">
            <w:trPr>
              <w:trHeight w:val="552"/>
            </w:trPr>
            <w:tc>
              <w:tcPr>
                <w:tcW w:w="4111" w:type="dxa"/>
              </w:tcPr>
              <w:p w14:paraId="3A2DC932" w14:textId="62E19919"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 xml:space="preserve">Margen </w:t>
                </w:r>
                <w:r w:rsidR="00146F87">
                  <w:rPr>
                    <w:rFonts w:ascii="Michelin Unit Text" w:hAnsi="Michelin Unit Text" w:cstheme="minorHAnsi"/>
                    <w:sz w:val="16"/>
                    <w:lang w:val="es-ES_tradnl"/>
                  </w:rPr>
                  <w:t>operacional</w:t>
                </w:r>
                <w:r w:rsidRPr="00586E76">
                  <w:rPr>
                    <w:rFonts w:ascii="Michelin Unit Text" w:hAnsi="Michelin Unit Text" w:cstheme="minorHAnsi"/>
                    <w:sz w:val="16"/>
                    <w:lang w:val="es-ES_tradnl"/>
                  </w:rPr>
                  <w:t xml:space="preserve"> del sector </w:t>
                </w:r>
                <w:r w:rsidR="002252D7">
                  <w:rPr>
                    <w:rFonts w:ascii="Michelin Unit Text" w:hAnsi="Michelin Unit Text" w:cstheme="minorHAnsi"/>
                    <w:sz w:val="16"/>
                    <w:lang w:val="es-ES_tradnl"/>
                  </w:rPr>
                  <w:t>E</w:t>
                </w:r>
                <w:r w:rsidRPr="00586E76">
                  <w:rPr>
                    <w:rFonts w:ascii="Michelin Unit Text" w:hAnsi="Michelin Unit Text" w:cstheme="minorHAnsi"/>
                    <w:sz w:val="16"/>
                    <w:lang w:val="es-ES_tradnl"/>
                  </w:rPr>
                  <w:t xml:space="preserve">specialidades y distribución </w:t>
                </w:r>
                <w:r w:rsidR="00146F87">
                  <w:rPr>
                    <w:rFonts w:ascii="Michelin Unit Text" w:hAnsi="Michelin Unit Text" w:cstheme="minorHAnsi"/>
                    <w:sz w:val="16"/>
                    <w:lang w:val="es-ES_tradnl"/>
                  </w:rPr>
                  <w:t>asociada</w:t>
                </w:r>
                <w:r w:rsidRPr="00586E76">
                  <w:rPr>
                    <w:rFonts w:ascii="Michelin Unit Text" w:hAnsi="Michelin Unit Text" w:cstheme="minorHAnsi"/>
                    <w:sz w:val="16"/>
                    <w:lang w:val="es-ES_tradnl"/>
                  </w:rPr>
                  <w:t xml:space="preserve"> 2023</w:t>
                </w:r>
              </w:p>
            </w:tc>
            <w:tc>
              <w:tcPr>
                <w:tcW w:w="4252" w:type="dxa"/>
              </w:tcPr>
              <w:p w14:paraId="098C5F54" w14:textId="77777777"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&gt;17%</w:t>
                </w:r>
              </w:p>
            </w:tc>
          </w:tr>
          <w:tr w:rsidR="00586E76" w:rsidRPr="00586E76" w14:paraId="6B71B7F3" w14:textId="77777777" w:rsidTr="00796A17">
            <w:trPr>
              <w:trHeight w:val="404"/>
            </w:trPr>
            <w:tc>
              <w:tcPr>
                <w:tcW w:w="4111" w:type="dxa"/>
              </w:tcPr>
              <w:p w14:paraId="38F92245" w14:textId="77777777"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Cash-flow libre estructural acumulado</w:t>
                </w:r>
                <w:r w:rsidRPr="004C5767">
                  <w:rPr>
                    <w:rFonts w:ascii="Michelin Unit Text" w:hAnsi="Michelin Unit Text" w:cstheme="minorHAnsi"/>
                    <w:sz w:val="16"/>
                    <w:vertAlign w:val="superscript"/>
                    <w:lang w:val="es-ES_tradnl"/>
                  </w:rPr>
                  <w:t>(8)</w:t>
                </w:r>
                <w:r w:rsidRPr="00586E76">
                  <w:rPr>
                    <w:rFonts w:ascii="Michelin Unit Text" w:hAnsi="Michelin Unit Text" w:cstheme="minorHAnsi"/>
                    <w:sz w:val="16"/>
                    <w:lang w:val="es-ES_tradnl"/>
                  </w:rPr>
                  <w:t xml:space="preserve"> 2022-2023</w:t>
                </w:r>
              </w:p>
            </w:tc>
            <w:tc>
              <w:tcPr>
                <w:tcW w:w="4252" w:type="dxa"/>
              </w:tcPr>
              <w:p w14:paraId="48A48AE8" w14:textId="36CD986F"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3</w:t>
                </w:r>
                <w:r w:rsidR="00081988">
                  <w:rPr>
                    <w:rFonts w:ascii="Michelin Unit Text" w:hAnsi="Michelin Unit Text" w:cstheme="minorHAnsi"/>
                    <w:sz w:val="16"/>
                    <w:lang w:val="es-ES_tradnl"/>
                  </w:rPr>
                  <w:t xml:space="preserve">.300 millones de </w:t>
                </w:r>
                <w:r w:rsidRPr="00586E76">
                  <w:rPr>
                    <w:rFonts w:ascii="Michelin Unit Text" w:hAnsi="Michelin Unit Text" w:cstheme="minorHAnsi"/>
                    <w:sz w:val="16"/>
                    <w:lang w:val="es-ES_tradnl"/>
                  </w:rPr>
                  <w:t>€</w:t>
                </w:r>
              </w:p>
            </w:tc>
          </w:tr>
          <w:tr w:rsidR="00586E76" w:rsidRPr="00586E76" w14:paraId="33A957AD" w14:textId="77777777" w:rsidTr="00796A17">
            <w:tc>
              <w:tcPr>
                <w:tcW w:w="4111" w:type="dxa"/>
              </w:tcPr>
              <w:p w14:paraId="04AAE509" w14:textId="69929FED"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ROCE</w:t>
                </w:r>
                <w:r w:rsidR="00533708">
                  <w:rPr>
                    <w:rFonts w:ascii="Michelin Unit Text" w:hAnsi="Michelin Unit Text" w:cstheme="minorHAnsi"/>
                    <w:sz w:val="16"/>
                    <w:lang w:val="es-ES_tradnl"/>
                  </w:rPr>
                  <w:t xml:space="preserve"> </w:t>
                </w:r>
                <w:r w:rsidR="00533708" w:rsidRPr="00586E76">
                  <w:rPr>
                    <w:rFonts w:ascii="Michelin Unit Text" w:hAnsi="Michelin Unit Text" w:cstheme="minorHAnsi"/>
                    <w:sz w:val="16"/>
                    <w:lang w:val="es-ES_tradnl"/>
                  </w:rPr>
                  <w:t>2023</w:t>
                </w:r>
              </w:p>
              <w:p w14:paraId="2B213235" w14:textId="77777777" w:rsidR="00586E76" w:rsidRPr="00586E76" w:rsidRDefault="00586E76" w:rsidP="00586E76">
                <w:pPr>
                  <w:rPr>
                    <w:rFonts w:ascii="Michelin Unit Text" w:hAnsi="Michelin Unit Text" w:cstheme="minorHAnsi"/>
                    <w:sz w:val="16"/>
                    <w:lang w:val="es-ES_tradnl"/>
                  </w:rPr>
                </w:pPr>
              </w:p>
            </w:tc>
            <w:tc>
              <w:tcPr>
                <w:tcW w:w="4252" w:type="dxa"/>
              </w:tcPr>
              <w:p w14:paraId="338FEDFA" w14:textId="77777777"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&gt;10.5%</w:t>
                </w:r>
              </w:p>
            </w:tc>
          </w:tr>
          <w:tr w:rsidR="00586E76" w:rsidRPr="00586E76" w14:paraId="1DC8233E" w14:textId="77777777" w:rsidTr="00796A17">
            <w:trPr>
              <w:trHeight w:val="600"/>
            </w:trPr>
            <w:tc>
              <w:tcPr>
                <w:tcW w:w="4111" w:type="dxa"/>
              </w:tcPr>
              <w:p w14:paraId="0295691C" w14:textId="77CD0937"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 xml:space="preserve">Crecimiento medio anual de ventas </w:t>
                </w:r>
                <w:r w:rsidR="00146F87">
                  <w:rPr>
                    <w:rFonts w:ascii="Michelin Unit Text" w:hAnsi="Michelin Unit Text" w:cstheme="minorHAnsi"/>
                    <w:sz w:val="16"/>
                    <w:lang w:val="es-ES_tradnl"/>
                  </w:rPr>
                  <w:t>excluyendo</w:t>
                </w:r>
                <w:r w:rsidRPr="00586E76">
                  <w:rPr>
                    <w:rFonts w:ascii="Michelin Unit Text" w:hAnsi="Michelin Unit Text" w:cstheme="minorHAnsi"/>
                    <w:sz w:val="16"/>
                    <w:lang w:val="es-ES_tradnl"/>
                  </w:rPr>
                  <w:t xml:space="preserve"> </w:t>
                </w:r>
                <w:r w:rsidR="00146F87">
                  <w:rPr>
                    <w:rFonts w:ascii="Michelin Unit Text" w:hAnsi="Michelin Unit Text" w:cstheme="minorHAnsi"/>
                    <w:sz w:val="16"/>
                    <w:lang w:val="es-ES_tradnl"/>
                  </w:rPr>
                  <w:t>n</w:t>
                </w:r>
                <w:r w:rsidRPr="00586E76">
                  <w:rPr>
                    <w:rFonts w:ascii="Michelin Unit Text" w:hAnsi="Michelin Unit Text" w:cstheme="minorHAnsi"/>
                    <w:sz w:val="16"/>
                    <w:lang w:val="es-ES_tradnl"/>
                  </w:rPr>
                  <w:t>eumático</w:t>
                </w:r>
                <w:r w:rsidR="00146F87">
                  <w:rPr>
                    <w:rFonts w:ascii="Michelin Unit Text" w:hAnsi="Michelin Unit Text" w:cstheme="minorHAnsi"/>
                    <w:sz w:val="16"/>
                    <w:lang w:val="es-ES_tradnl"/>
                  </w:rPr>
                  <w:t>s</w:t>
                </w:r>
                <w:r w:rsidRPr="00586E76">
                  <w:rPr>
                    <w:rFonts w:ascii="Michelin Unit Text" w:hAnsi="Michelin Unit Text" w:cstheme="minorHAnsi"/>
                    <w:sz w:val="16"/>
                    <w:lang w:val="es-ES_tradnl"/>
                  </w:rPr>
                  <w:t xml:space="preserve"> y distribución </w:t>
                </w:r>
                <w:r w:rsidR="00146F87">
                  <w:rPr>
                    <w:rFonts w:ascii="Michelin Unit Text" w:hAnsi="Michelin Unit Text" w:cstheme="minorHAnsi"/>
                    <w:sz w:val="16"/>
                    <w:lang w:val="es-ES_tradnl"/>
                  </w:rPr>
                  <w:t>asociada</w:t>
                </w:r>
                <w:r w:rsidRPr="00586E76">
                  <w:rPr>
                    <w:rFonts w:ascii="Michelin Unit Text" w:hAnsi="Michelin Unit Text" w:cstheme="minorHAnsi"/>
                    <w:sz w:val="16"/>
                    <w:lang w:val="es-ES_tradnl"/>
                  </w:rPr>
                  <w:t xml:space="preserve"> 2019-2023</w:t>
                </w:r>
              </w:p>
            </w:tc>
            <w:tc>
              <w:tcPr>
                <w:tcW w:w="4252" w:type="dxa"/>
              </w:tcPr>
              <w:p w14:paraId="38EE01CF" w14:textId="77777777"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5%</w:t>
                </w:r>
              </w:p>
            </w:tc>
          </w:tr>
          <w:tr w:rsidR="00586E76" w:rsidRPr="00631317" w14:paraId="4901811D" w14:textId="77777777" w:rsidTr="00796A17">
            <w:trPr>
              <w:trHeight w:val="411"/>
            </w:trPr>
            <w:tc>
              <w:tcPr>
                <w:tcW w:w="4111" w:type="dxa"/>
              </w:tcPr>
              <w:p w14:paraId="21FCBF1E" w14:textId="77777777"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Eficiencia industrial 2020-2023</w:t>
                </w:r>
              </w:p>
            </w:tc>
            <w:tc>
              <w:tcPr>
                <w:tcW w:w="4252" w:type="dxa"/>
              </w:tcPr>
              <w:p w14:paraId="783CA136" w14:textId="0F9BEA09"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80</w:t>
                </w:r>
                <w:r w:rsidR="002D62F0">
                  <w:rPr>
                    <w:rFonts w:ascii="Michelin Unit Text" w:hAnsi="Michelin Unit Text" w:cstheme="minorHAnsi"/>
                    <w:sz w:val="16"/>
                    <w:lang w:val="es-ES_tradnl"/>
                  </w:rPr>
                  <w:t xml:space="preserve"> </w:t>
                </w:r>
                <w:r w:rsidRPr="00586E76">
                  <w:rPr>
                    <w:rFonts w:ascii="Michelin Unit Text" w:hAnsi="Michelin Unit Text" w:cstheme="minorHAnsi"/>
                    <w:sz w:val="16"/>
                    <w:lang w:val="es-ES_tradnl"/>
                  </w:rPr>
                  <w:t xml:space="preserve">millones de </w:t>
                </w:r>
                <w:r w:rsidR="00081988" w:rsidRPr="00586E76">
                  <w:rPr>
                    <w:rFonts w:ascii="Michelin Unit Text" w:hAnsi="Michelin Unit Text" w:cstheme="minorHAnsi"/>
                    <w:sz w:val="16"/>
                    <w:lang w:val="es-ES_tradnl"/>
                  </w:rPr>
                  <w:t>€</w:t>
                </w:r>
                <w:r w:rsidR="002D62F0">
                  <w:rPr>
                    <w:rFonts w:ascii="Michelin Unit Text" w:hAnsi="Michelin Unit Text" w:cstheme="minorHAnsi"/>
                    <w:sz w:val="16"/>
                    <w:lang w:val="es-ES_tradnl"/>
                  </w:rPr>
                  <w:t xml:space="preserve"> de ahorro neto de inflación</w:t>
                </w:r>
              </w:p>
            </w:tc>
          </w:tr>
          <w:tr w:rsidR="00586E76" w:rsidRPr="00631317" w14:paraId="1D28CE60" w14:textId="77777777" w:rsidTr="00796A17">
            <w:trPr>
              <w:trHeight w:val="416"/>
            </w:trPr>
            <w:tc>
              <w:tcPr>
                <w:tcW w:w="4111" w:type="dxa"/>
              </w:tcPr>
              <w:p w14:paraId="59C30FF9" w14:textId="02F0F1DF"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 xml:space="preserve">Reducción de </w:t>
                </w:r>
                <w:r w:rsidR="002D62F0">
                  <w:rPr>
                    <w:rFonts w:ascii="Michelin Unit Text" w:hAnsi="Michelin Unit Text" w:cstheme="minorHAnsi"/>
                    <w:sz w:val="16"/>
                    <w:lang w:val="es-ES_tradnl"/>
                  </w:rPr>
                  <w:t>SG&amp;A</w:t>
                </w:r>
                <w:r w:rsidRPr="00586E76">
                  <w:rPr>
                    <w:rFonts w:ascii="Michelin Unit Text" w:hAnsi="Michelin Unit Text" w:cstheme="minorHAnsi"/>
                    <w:sz w:val="16"/>
                    <w:lang w:val="es-ES_tradnl"/>
                  </w:rPr>
                  <w:t xml:space="preserve"> </w:t>
                </w:r>
                <w:r w:rsidR="002D62F0">
                  <w:rPr>
                    <w:rFonts w:ascii="Michelin Unit Text" w:hAnsi="Michelin Unit Text" w:cstheme="minorHAnsi"/>
                    <w:sz w:val="16"/>
                    <w:lang w:val="es-ES_tradnl"/>
                  </w:rPr>
                  <w:t>n</w:t>
                </w:r>
                <w:r w:rsidRPr="00586E76">
                  <w:rPr>
                    <w:rFonts w:ascii="Michelin Unit Text" w:hAnsi="Michelin Unit Text" w:cstheme="minorHAnsi"/>
                    <w:sz w:val="16"/>
                    <w:lang w:val="es-ES_tradnl"/>
                  </w:rPr>
                  <w:t>eumático hasta 2023</w:t>
                </w:r>
              </w:p>
            </w:tc>
            <w:tc>
              <w:tcPr>
                <w:tcW w:w="4252" w:type="dxa"/>
              </w:tcPr>
              <w:p w14:paraId="2B48A684" w14:textId="00F34C90"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 xml:space="preserve">65 millones de </w:t>
                </w:r>
                <w:r w:rsidR="00081988" w:rsidRPr="00586E76">
                  <w:rPr>
                    <w:rFonts w:ascii="Michelin Unit Text" w:hAnsi="Michelin Unit Text" w:cstheme="minorHAnsi"/>
                    <w:sz w:val="16"/>
                    <w:lang w:val="es-ES_tradnl"/>
                  </w:rPr>
                  <w:t>€</w:t>
                </w:r>
                <w:r w:rsidR="002D62F0">
                  <w:rPr>
                    <w:rFonts w:ascii="Michelin Unit Text" w:hAnsi="Michelin Unit Text" w:cstheme="minorHAnsi"/>
                    <w:sz w:val="16"/>
                    <w:lang w:val="es-ES_tradnl"/>
                  </w:rPr>
                  <w:t xml:space="preserve"> de ahorro neto de inflación</w:t>
                </w:r>
              </w:p>
            </w:tc>
          </w:tr>
          <w:tr w:rsidR="00586E76" w:rsidRPr="00586E76" w14:paraId="512C77AA" w14:textId="77777777" w:rsidTr="00796A17">
            <w:trPr>
              <w:trHeight w:val="550"/>
            </w:trPr>
            <w:tc>
              <w:tcPr>
                <w:tcW w:w="4111" w:type="dxa"/>
              </w:tcPr>
              <w:p w14:paraId="41820A19" w14:textId="12AD6418" w:rsidR="00586E76" w:rsidRPr="00586E76" w:rsidRDefault="002D62F0" w:rsidP="00586E76">
                <w:pPr>
                  <w:rPr>
                    <w:rFonts w:ascii="Michelin Unit Text" w:hAnsi="Michelin Unit Text" w:cstheme="minorHAnsi"/>
                    <w:sz w:val="16"/>
                    <w:lang w:val="es-ES_tradnl"/>
                  </w:rPr>
                </w:pPr>
                <w:r>
                  <w:rPr>
                    <w:rFonts w:ascii="Michelin Unit Text" w:hAnsi="Michelin Unit Text" w:cstheme="minorHAnsi"/>
                    <w:sz w:val="16"/>
                    <w:lang w:val="es-ES_tradnl"/>
                  </w:rPr>
                  <w:t>Valorización de residuos, vertidos y emisiones</w:t>
                </w:r>
                <w:r w:rsidR="00586E76" w:rsidRPr="00586E76">
                  <w:rPr>
                    <w:rFonts w:ascii="Michelin Unit Text" w:hAnsi="Michelin Unit Text" w:cstheme="minorHAnsi"/>
                    <w:sz w:val="16"/>
                    <w:lang w:val="es-ES_tradnl"/>
                  </w:rPr>
                  <w:t xml:space="preserve"> 2019</w:t>
                </w:r>
              </w:p>
              <w:p w14:paraId="7186930E" w14:textId="5C6303D6" w:rsidR="002D62F0" w:rsidRPr="00586E76" w:rsidRDefault="002D62F0" w:rsidP="002D62F0">
                <w:pPr>
                  <w:rPr>
                    <w:rFonts w:ascii="Michelin Unit Text" w:hAnsi="Michelin Unit Text" w:cstheme="minorHAnsi"/>
                    <w:sz w:val="16"/>
                    <w:lang w:val="es-ES_tradnl"/>
                  </w:rPr>
                </w:pPr>
                <w:r>
                  <w:rPr>
                    <w:rFonts w:ascii="Michelin Unit Text" w:hAnsi="Michelin Unit Text" w:cstheme="minorHAnsi"/>
                    <w:sz w:val="16"/>
                    <w:lang w:val="es-ES_tradnl"/>
                  </w:rPr>
                  <w:t>Valorización de residuos, vertidos y emisiones</w:t>
                </w:r>
                <w:r w:rsidRPr="00586E76">
                  <w:rPr>
                    <w:rFonts w:ascii="Michelin Unit Text" w:hAnsi="Michelin Unit Text" w:cstheme="minorHAnsi"/>
                    <w:sz w:val="16"/>
                    <w:lang w:val="es-ES_tradnl"/>
                  </w:rPr>
                  <w:t xml:space="preserve"> 20</w:t>
                </w:r>
                <w:r>
                  <w:rPr>
                    <w:rFonts w:ascii="Michelin Unit Text" w:hAnsi="Michelin Unit Text" w:cstheme="minorHAnsi"/>
                    <w:sz w:val="16"/>
                    <w:lang w:val="es-ES_tradnl"/>
                  </w:rPr>
                  <w:t>20</w:t>
                </w:r>
              </w:p>
              <w:p w14:paraId="34CA3707" w14:textId="252E051B" w:rsidR="00586E76" w:rsidRPr="00586E76" w:rsidRDefault="00586E76" w:rsidP="00586E76">
                <w:pPr>
                  <w:rPr>
                    <w:rFonts w:ascii="Michelin Unit Text" w:hAnsi="Michelin Unit Text" w:cstheme="minorHAnsi"/>
                    <w:sz w:val="16"/>
                    <w:lang w:val="es-ES_tradnl"/>
                  </w:rPr>
                </w:pPr>
              </w:p>
            </w:tc>
            <w:tc>
              <w:tcPr>
                <w:tcW w:w="4252" w:type="dxa"/>
              </w:tcPr>
              <w:p w14:paraId="4CADC821" w14:textId="5D9F35FD"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 xml:space="preserve">330 millones de </w:t>
                </w:r>
                <w:r w:rsidR="00081988" w:rsidRPr="00586E76">
                  <w:rPr>
                    <w:rFonts w:ascii="Michelin Unit Text" w:hAnsi="Michelin Unit Text" w:cstheme="minorHAnsi"/>
                    <w:sz w:val="16"/>
                    <w:lang w:val="es-ES_tradnl"/>
                  </w:rPr>
                  <w:t>€</w:t>
                </w:r>
              </w:p>
              <w:p w14:paraId="41E389DB" w14:textId="366FFB15"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 xml:space="preserve">300 millones de </w:t>
                </w:r>
                <w:r w:rsidR="00081988" w:rsidRPr="00586E76">
                  <w:rPr>
                    <w:rFonts w:ascii="Michelin Unit Text" w:hAnsi="Michelin Unit Text" w:cstheme="minorHAnsi"/>
                    <w:sz w:val="16"/>
                    <w:lang w:val="es-ES_tradnl"/>
                  </w:rPr>
                  <w:t>€</w:t>
                </w:r>
              </w:p>
            </w:tc>
          </w:tr>
          <w:tr w:rsidR="00586E76" w:rsidRPr="00586E76" w14:paraId="4FD78143" w14:textId="77777777" w:rsidTr="00796A17">
            <w:trPr>
              <w:trHeight w:val="416"/>
            </w:trPr>
            <w:tc>
              <w:tcPr>
                <w:tcW w:w="4111" w:type="dxa"/>
              </w:tcPr>
              <w:p w14:paraId="31F79E2F" w14:textId="24E3510B" w:rsidR="00586E76" w:rsidRPr="00586E76" w:rsidRDefault="002D62F0" w:rsidP="00586E76">
                <w:pPr>
                  <w:rPr>
                    <w:rFonts w:ascii="Michelin Unit Text" w:hAnsi="Michelin Unit Text" w:cstheme="minorHAnsi"/>
                    <w:sz w:val="16"/>
                    <w:lang w:val="es-ES_tradnl"/>
                  </w:rPr>
                </w:pPr>
                <w:r>
                  <w:rPr>
                    <w:rFonts w:ascii="Michelin Unit Text" w:hAnsi="Michelin Unit Text" w:cstheme="minorHAnsi"/>
                    <w:sz w:val="16"/>
                    <w:lang w:val="es-ES_tradnl"/>
                  </w:rPr>
                  <w:t>Tasa de distribución de dividendos</w:t>
                </w:r>
                <w:r w:rsidR="00586E76" w:rsidRPr="00586E76">
                  <w:rPr>
                    <w:rFonts w:ascii="Michelin Unit Text" w:hAnsi="Michelin Unit Text" w:cstheme="minorHAnsi"/>
                    <w:sz w:val="16"/>
                    <w:lang w:val="es-ES_tradnl"/>
                  </w:rPr>
                  <w:t xml:space="preserve"> a partir de 2021</w:t>
                </w:r>
              </w:p>
            </w:tc>
            <w:tc>
              <w:tcPr>
                <w:tcW w:w="4252" w:type="dxa"/>
              </w:tcPr>
              <w:p w14:paraId="037C3A5C" w14:textId="77777777" w:rsidR="00586E76" w:rsidRPr="00586E76" w:rsidRDefault="00586E76" w:rsidP="00586E76">
                <w:pPr>
                  <w:rPr>
                    <w:rFonts w:ascii="Michelin Unit Text" w:hAnsi="Michelin Unit Text" w:cstheme="minorHAnsi"/>
                    <w:sz w:val="16"/>
                    <w:lang w:val="es-ES_tradnl"/>
                  </w:rPr>
                </w:pPr>
                <w:r w:rsidRPr="00586E76">
                  <w:rPr>
                    <w:rFonts w:ascii="Michelin Unit Text" w:hAnsi="Michelin Unit Text" w:cstheme="minorHAnsi"/>
                    <w:sz w:val="16"/>
                    <w:lang w:val="es-ES_tradnl"/>
                  </w:rPr>
                  <w:t>50% antes de elementos no recurrentes</w:t>
                </w:r>
              </w:p>
            </w:tc>
          </w:tr>
        </w:tbl>
        <w:p w14:paraId="2D7CAFD1" w14:textId="77777777" w:rsidR="007613E0" w:rsidRDefault="007613E0" w:rsidP="007613E0">
          <w:pPr>
            <w:spacing w:line="276" w:lineRule="auto"/>
            <w:ind w:right="1394"/>
            <w:jc w:val="both"/>
            <w:rPr>
              <w:rFonts w:ascii="Michelin Unit Text 1" w:hAnsi="Michelin Unit Text 1" w:cstheme="minorHAnsi"/>
              <w:lang w:val="es-ES"/>
            </w:rPr>
          </w:pPr>
        </w:p>
        <w:p w14:paraId="374B02F4" w14:textId="77777777" w:rsidR="00586E76" w:rsidRPr="007613E0" w:rsidRDefault="00586E76" w:rsidP="007613E0">
          <w:pPr>
            <w:spacing w:line="276" w:lineRule="auto"/>
            <w:ind w:right="1394"/>
            <w:jc w:val="both"/>
            <w:rPr>
              <w:rFonts w:ascii="Michelin Unit Text 1" w:hAnsi="Michelin Unit Text 1" w:cstheme="minorHAnsi"/>
              <w:lang w:val="es-ES"/>
            </w:rPr>
          </w:pPr>
        </w:p>
        <w:p w14:paraId="787B8FDD" w14:textId="63EC6E43" w:rsidR="00586E76" w:rsidRPr="00586E76" w:rsidRDefault="00586E76" w:rsidP="00586E76">
          <w:pPr>
            <w:pStyle w:val="Prrafodelista"/>
            <w:numPr>
              <w:ilvl w:val="0"/>
              <w:numId w:val="9"/>
            </w:numPr>
            <w:spacing w:line="276" w:lineRule="auto"/>
            <w:ind w:left="720"/>
            <w:jc w:val="both"/>
            <w:rPr>
              <w:rFonts w:ascii="Michelin Unit Text" w:hAnsi="Michelin Unit Text" w:cstheme="minorHAnsi"/>
              <w:sz w:val="16"/>
              <w:szCs w:val="16"/>
              <w:lang w:val="es-ES_tradnl"/>
            </w:rPr>
          </w:pPr>
          <w:r w:rsidRPr="00586E76">
            <w:rPr>
              <w:rFonts w:ascii="Michelin Unit Text" w:hAnsi="Michelin Unit Text" w:cs="Arial"/>
              <w:i/>
              <w:iCs/>
              <w:sz w:val="16"/>
              <w:szCs w:val="16"/>
              <w:lang w:val="es-ES_tradnl"/>
            </w:rPr>
            <w:t>Cash-flow</w:t>
          </w:r>
          <w:r w:rsidRPr="00586E76">
            <w:rPr>
              <w:rFonts w:ascii="Michelin Unit Text" w:hAnsi="Michelin Unit Text" w:cs="Arial"/>
              <w:iCs/>
              <w:sz w:val="16"/>
              <w:szCs w:val="16"/>
              <w:lang w:val="es-ES_tradnl"/>
            </w:rPr>
            <w:t xml:space="preserve"> libre estructural: cash-flow libre antes de adquisiciones, ajustado al impacto en precios de materias primas en cuentas clientes, proveedores y stocks</w:t>
          </w:r>
        </w:p>
        <w:p w14:paraId="723C69B3" w14:textId="12AFF3E3" w:rsidR="006C3818" w:rsidRPr="00586E76" w:rsidRDefault="006C3818" w:rsidP="003C3FC0">
          <w:pPr>
            <w:spacing w:line="276" w:lineRule="auto"/>
            <w:jc w:val="both"/>
            <w:rPr>
              <w:rFonts w:ascii="Michelin Unit Text 1" w:hAnsi="Michelin Unit Text 1" w:cstheme="minorHAnsi"/>
              <w:sz w:val="20"/>
              <w:szCs w:val="20"/>
              <w:lang w:val="es-ES_tradnl"/>
            </w:rPr>
          </w:pPr>
        </w:p>
        <w:p w14:paraId="032C08AF" w14:textId="004EDCF5" w:rsidR="00586E76" w:rsidRDefault="00586E76">
          <w:pPr>
            <w:rPr>
              <w:rFonts w:ascii="Michelin Unit Text 1" w:hAnsi="Michelin Unit Text 1" w:cstheme="minorHAnsi"/>
              <w:sz w:val="20"/>
              <w:szCs w:val="20"/>
              <w:lang w:val="es-ES_tradnl"/>
            </w:rPr>
          </w:pPr>
          <w:r>
            <w:rPr>
              <w:rFonts w:ascii="Michelin Unit Text 1" w:hAnsi="Michelin Unit Text 1" w:cstheme="minorHAnsi"/>
              <w:sz w:val="20"/>
              <w:szCs w:val="20"/>
              <w:lang w:val="es-ES_tradnl"/>
            </w:rPr>
            <w:br w:type="page"/>
          </w:r>
        </w:p>
        <w:p w14:paraId="648342B4" w14:textId="0BCFFB68" w:rsidR="003C3FC0" w:rsidRDefault="00471900" w:rsidP="005A6FE2">
          <w:pPr>
            <w:jc w:val="both"/>
            <w:rPr>
              <w:rFonts w:ascii="Michelin Unit Text 1" w:hAnsi="Michelin Unit Text 1"/>
              <w:lang w:val="es-ES"/>
            </w:rPr>
          </w:pPr>
        </w:p>
      </w:sdtContent>
    </w:sdt>
    <w:p w14:paraId="0504ECBD" w14:textId="77777777" w:rsidR="005A6FE2" w:rsidRPr="00586E76" w:rsidRDefault="005A6FE2" w:rsidP="00816BB1">
      <w:pPr>
        <w:jc w:val="both"/>
        <w:rPr>
          <w:rFonts w:ascii="Michelin Unit Text" w:hAnsi="Michelin Unit Text" w:cs="Arial"/>
          <w:b/>
          <w:bCs/>
          <w:iCs/>
          <w:sz w:val="16"/>
          <w:szCs w:val="16"/>
          <w:lang w:val="es-ES"/>
        </w:rPr>
      </w:pPr>
      <w:r w:rsidRPr="00586E76">
        <w:rPr>
          <w:rFonts w:ascii="Michelin Unit Text" w:hAnsi="Michelin Unit Text" w:cs="Arial"/>
          <w:b/>
          <w:bCs/>
          <w:iCs/>
          <w:sz w:val="16"/>
          <w:szCs w:val="16"/>
          <w:lang w:val="es-ES"/>
        </w:rPr>
        <w:t>Acerca de Michelin</w:t>
      </w:r>
    </w:p>
    <w:p w14:paraId="69AC4661" w14:textId="318C3FC0" w:rsidR="00816BB1" w:rsidRPr="00586E76" w:rsidRDefault="00816BB1" w:rsidP="00816BB1">
      <w:pPr>
        <w:jc w:val="both"/>
        <w:rPr>
          <w:rFonts w:ascii="Michelin Unit Text" w:hAnsi="Michelin Unit Text" w:cs="Arial"/>
          <w:iCs/>
          <w:sz w:val="16"/>
          <w:szCs w:val="16"/>
          <w:lang w:val="es-ES"/>
        </w:rPr>
      </w:pPr>
      <w:r w:rsidRPr="00586E76">
        <w:rPr>
          <w:rFonts w:ascii="Michelin Unit Text" w:hAnsi="Michelin Unit Text"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Pr="00586E76">
          <w:rPr>
            <w:rStyle w:val="Hipervnculo"/>
            <w:rFonts w:ascii="Michelin Unit Text" w:hAnsi="Michelin Unit Text" w:cs="Arial"/>
            <w:iCs/>
            <w:sz w:val="16"/>
            <w:szCs w:val="16"/>
            <w:lang w:val="es-ES"/>
          </w:rPr>
          <w:t>www.michelin.es</w:t>
        </w:r>
      </w:hyperlink>
      <w:r w:rsidRPr="00586E76">
        <w:rPr>
          <w:rFonts w:ascii="Michelin Unit Text" w:hAnsi="Michelin Unit Text" w:cs="Arial"/>
          <w:iCs/>
          <w:sz w:val="16"/>
          <w:szCs w:val="16"/>
          <w:lang w:val="es-ES"/>
        </w:rPr>
        <w:t>).</w:t>
      </w:r>
    </w:p>
    <w:p w14:paraId="6C766F08" w14:textId="168E6E49" w:rsidR="005A6FE2" w:rsidRPr="00586E76" w:rsidRDefault="005A6FE2" w:rsidP="00816BB1">
      <w:pPr>
        <w:jc w:val="both"/>
        <w:rPr>
          <w:rFonts w:ascii="Michelin Unit Text" w:hAnsi="Michelin Unit Text" w:cs="Arial"/>
          <w:iCs/>
          <w:sz w:val="16"/>
          <w:szCs w:val="16"/>
          <w:lang w:val="es-ES"/>
        </w:rPr>
      </w:pPr>
    </w:p>
    <w:p w14:paraId="71299B0B" w14:textId="77777777" w:rsidR="005A6FE2" w:rsidRPr="00586E76" w:rsidRDefault="005A6FE2" w:rsidP="00816BB1">
      <w:pPr>
        <w:jc w:val="both"/>
        <w:rPr>
          <w:rFonts w:ascii="Michelin Unit Text" w:hAnsi="Michelin Unit Text" w:cs="Arial"/>
          <w:iCs/>
          <w:sz w:val="16"/>
          <w:szCs w:val="16"/>
          <w:lang w:val="es-ES"/>
        </w:rPr>
      </w:pPr>
    </w:p>
    <w:p w14:paraId="1AF1FA51" w14:textId="5F5F6A64" w:rsidR="00816BB1" w:rsidRPr="00586E76" w:rsidRDefault="006C3818" w:rsidP="006C3818">
      <w:pPr>
        <w:tabs>
          <w:tab w:val="left" w:pos="2192"/>
        </w:tabs>
        <w:jc w:val="both"/>
        <w:rPr>
          <w:rFonts w:ascii="Michelin Unit Text" w:hAnsi="Michelin Unit Text" w:cs="Arial"/>
          <w:sz w:val="16"/>
          <w:szCs w:val="16"/>
          <w:lang w:val="es-ES"/>
        </w:rPr>
      </w:pPr>
      <w:r w:rsidRPr="00586E76">
        <w:rPr>
          <w:rFonts w:ascii="Michelin Unit Text" w:hAnsi="Michelin Unit Text" w:cs="Arial"/>
          <w:sz w:val="16"/>
          <w:szCs w:val="16"/>
          <w:lang w:val="es-ES"/>
        </w:rPr>
        <w:tab/>
      </w:r>
    </w:p>
    <w:p w14:paraId="226DB142" w14:textId="6535FD7A" w:rsidR="0052344F" w:rsidRPr="00586E76" w:rsidRDefault="0052344F" w:rsidP="00CC6BAF">
      <w:pPr>
        <w:jc w:val="both"/>
        <w:rPr>
          <w:rFonts w:ascii="Michelin Unit Text" w:hAnsi="Michelin Unit Text" w:cs="Arial"/>
          <w:sz w:val="20"/>
          <w:szCs w:val="20"/>
          <w:lang w:val="es-ES"/>
        </w:rPr>
      </w:pPr>
    </w:p>
    <w:p w14:paraId="634A1C9E" w14:textId="2D38B76F" w:rsidR="0052344F" w:rsidRPr="00586E76" w:rsidRDefault="0052344F" w:rsidP="00CC6BAF">
      <w:pPr>
        <w:jc w:val="both"/>
        <w:rPr>
          <w:rFonts w:ascii="Michelin Unit Text" w:hAnsi="Michelin Unit Text" w:cs="Arial"/>
          <w:sz w:val="20"/>
          <w:szCs w:val="20"/>
          <w:lang w:val="es-ES"/>
        </w:rPr>
      </w:pPr>
    </w:p>
    <w:p w14:paraId="73E1F596" w14:textId="3E977AA5" w:rsidR="0052344F" w:rsidRPr="00586E76" w:rsidRDefault="0052344F" w:rsidP="00CC6BAF">
      <w:pPr>
        <w:jc w:val="both"/>
        <w:rPr>
          <w:rFonts w:ascii="Michelin Unit Text" w:hAnsi="Michelin Unit Text" w:cs="Arial"/>
          <w:sz w:val="20"/>
          <w:szCs w:val="20"/>
          <w:lang w:val="es-ES"/>
        </w:rPr>
      </w:pPr>
    </w:p>
    <w:p w14:paraId="5448EF38" w14:textId="0D0E2B09" w:rsidR="0052344F" w:rsidRPr="00586E76" w:rsidRDefault="0052344F" w:rsidP="00CC6BAF">
      <w:pPr>
        <w:jc w:val="both"/>
        <w:rPr>
          <w:rFonts w:ascii="Michelin Unit Text" w:hAnsi="Michelin Unit Text" w:cs="Arial"/>
          <w:sz w:val="20"/>
          <w:szCs w:val="20"/>
          <w:lang w:val="es-ES"/>
        </w:rPr>
      </w:pPr>
    </w:p>
    <w:p w14:paraId="7395BD20" w14:textId="5285720E" w:rsidR="0052344F" w:rsidRPr="00586E76" w:rsidRDefault="0052344F" w:rsidP="00CC6BAF">
      <w:pPr>
        <w:jc w:val="both"/>
        <w:rPr>
          <w:rFonts w:ascii="Michelin Unit Text" w:hAnsi="Michelin Unit Text" w:cs="Arial"/>
          <w:sz w:val="20"/>
          <w:szCs w:val="20"/>
          <w:lang w:val="es-ES"/>
        </w:rPr>
      </w:pPr>
    </w:p>
    <w:p w14:paraId="64755F9F" w14:textId="05E23D1E" w:rsidR="0052344F" w:rsidRPr="00586E76" w:rsidRDefault="0052344F" w:rsidP="00CC6BAF">
      <w:pPr>
        <w:jc w:val="both"/>
        <w:rPr>
          <w:rFonts w:ascii="Michelin Unit Text" w:hAnsi="Michelin Unit Text" w:cs="Arial"/>
          <w:sz w:val="20"/>
          <w:szCs w:val="20"/>
          <w:lang w:val="es-ES"/>
        </w:rPr>
      </w:pPr>
    </w:p>
    <w:p w14:paraId="17747D55" w14:textId="4C20ED27" w:rsidR="00CC6BAF" w:rsidRPr="00586E76" w:rsidRDefault="003C3FC0" w:rsidP="00CC6BAF">
      <w:pPr>
        <w:spacing w:line="276" w:lineRule="auto"/>
        <w:jc w:val="center"/>
        <w:rPr>
          <w:rFonts w:ascii="Michelin Unit Text" w:hAnsi="Michelin Unit Text" w:cs="Arial"/>
          <w:sz w:val="28"/>
          <w:szCs w:val="28"/>
          <w:lang w:val="es-ES"/>
        </w:rPr>
      </w:pPr>
      <w:r w:rsidRPr="00586E76">
        <w:rPr>
          <w:rFonts w:ascii="Michelin Unit Text" w:hAnsi="Michelin Unit Text" w:cs="Arial"/>
          <w:sz w:val="28"/>
          <w:szCs w:val="28"/>
          <w:lang w:val="es-ES"/>
        </w:rPr>
        <w:t>DEPARTAMENTO DE COMUNICACIÓN CO</w:t>
      </w:r>
      <w:r w:rsidR="00422E33" w:rsidRPr="00586E76">
        <w:rPr>
          <w:rFonts w:ascii="Michelin Unit Text" w:hAnsi="Michelin Unit Text" w:cs="Arial"/>
          <w:sz w:val="28"/>
          <w:szCs w:val="28"/>
          <w:lang w:val="es-ES"/>
        </w:rPr>
        <w:t>RPORATIVA</w:t>
      </w:r>
    </w:p>
    <w:p w14:paraId="6AF8E33E" w14:textId="0865A4E4" w:rsidR="00CC6BAF" w:rsidRPr="00586E76" w:rsidRDefault="00CC6BAF" w:rsidP="00CC6BAF">
      <w:pPr>
        <w:tabs>
          <w:tab w:val="left" w:pos="2780"/>
          <w:tab w:val="center" w:pos="4513"/>
        </w:tabs>
        <w:spacing w:line="276" w:lineRule="auto"/>
        <w:jc w:val="center"/>
        <w:rPr>
          <w:rFonts w:ascii="Michelin Unit Text" w:hAnsi="Michelin Unit Text" w:cs="Arial"/>
          <w:b/>
          <w:bCs/>
          <w:sz w:val="28"/>
          <w:szCs w:val="28"/>
          <w:lang w:val="es-ES"/>
        </w:rPr>
      </w:pPr>
      <w:r w:rsidRPr="00586E76">
        <w:rPr>
          <w:rFonts w:ascii="Michelin Unit Text" w:hAnsi="Michelin Unit Text" w:cs="Arial"/>
          <w:b/>
          <w:bCs/>
          <w:sz w:val="28"/>
          <w:szCs w:val="28"/>
          <w:lang w:val="es-ES"/>
        </w:rPr>
        <w:t>+3</w:t>
      </w:r>
      <w:r w:rsidR="003C3FC0" w:rsidRPr="00586E76">
        <w:rPr>
          <w:rFonts w:ascii="Michelin Unit Text" w:hAnsi="Michelin Unit Text" w:cs="Arial"/>
          <w:b/>
          <w:bCs/>
          <w:sz w:val="28"/>
          <w:szCs w:val="28"/>
          <w:lang w:val="es-ES"/>
        </w:rPr>
        <w:t>4</w:t>
      </w:r>
      <w:r w:rsidRPr="00586E76">
        <w:rPr>
          <w:rFonts w:ascii="Michelin Unit Text" w:hAnsi="Michelin Unit Text" w:cs="Arial"/>
          <w:b/>
          <w:bCs/>
          <w:sz w:val="28"/>
          <w:szCs w:val="28"/>
          <w:lang w:val="es-ES"/>
        </w:rPr>
        <w:t xml:space="preserve"> </w:t>
      </w:r>
      <w:r w:rsidR="003C3FC0" w:rsidRPr="00586E76">
        <w:rPr>
          <w:rFonts w:ascii="Michelin Unit Text" w:hAnsi="Michelin Unit Text" w:cs="Arial"/>
          <w:b/>
          <w:bCs/>
          <w:sz w:val="28"/>
          <w:szCs w:val="28"/>
          <w:lang w:val="es-ES"/>
        </w:rPr>
        <w:t>6</w:t>
      </w:r>
      <w:r w:rsidR="00422E33" w:rsidRPr="00586E76">
        <w:rPr>
          <w:rFonts w:ascii="Michelin Unit Text" w:hAnsi="Michelin Unit Text" w:cs="Arial"/>
          <w:b/>
          <w:bCs/>
          <w:sz w:val="28"/>
          <w:szCs w:val="28"/>
          <w:lang w:val="es-ES"/>
        </w:rPr>
        <w:t>2</w:t>
      </w:r>
      <w:r w:rsidR="003C3FC0" w:rsidRPr="00586E76">
        <w:rPr>
          <w:rFonts w:ascii="Michelin Unit Text" w:hAnsi="Michelin Unit Text" w:cs="Arial"/>
          <w:b/>
          <w:bCs/>
          <w:sz w:val="28"/>
          <w:szCs w:val="28"/>
          <w:lang w:val="es-ES"/>
        </w:rPr>
        <w:t xml:space="preserve">9 </w:t>
      </w:r>
      <w:r w:rsidR="00422E33" w:rsidRPr="00586E76">
        <w:rPr>
          <w:rFonts w:ascii="Michelin Unit Text" w:hAnsi="Michelin Unit Text" w:cs="Arial"/>
          <w:b/>
          <w:bCs/>
          <w:sz w:val="28"/>
          <w:szCs w:val="28"/>
          <w:lang w:val="es-ES"/>
        </w:rPr>
        <w:t>865</w:t>
      </w:r>
      <w:r w:rsidR="003C3FC0" w:rsidRPr="00586E76">
        <w:rPr>
          <w:rFonts w:ascii="Michelin Unit Text" w:hAnsi="Michelin Unit Text" w:cs="Arial"/>
          <w:b/>
          <w:bCs/>
          <w:sz w:val="28"/>
          <w:szCs w:val="28"/>
          <w:lang w:val="es-ES"/>
        </w:rPr>
        <w:t xml:space="preserve"> </w:t>
      </w:r>
      <w:r w:rsidR="00422E33" w:rsidRPr="00586E76">
        <w:rPr>
          <w:rFonts w:ascii="Michelin Unit Text" w:hAnsi="Michelin Unit Text" w:cs="Arial"/>
          <w:b/>
          <w:bCs/>
          <w:sz w:val="28"/>
          <w:szCs w:val="28"/>
          <w:lang w:val="es-ES"/>
        </w:rPr>
        <w:t>612</w:t>
      </w:r>
    </w:p>
    <w:p w14:paraId="59E2FE0A" w14:textId="35FFA911" w:rsidR="00CC6BAF" w:rsidRPr="00586E76" w:rsidRDefault="00422E33" w:rsidP="00CC6BAF">
      <w:pPr>
        <w:spacing w:line="276" w:lineRule="auto"/>
        <w:jc w:val="center"/>
        <w:rPr>
          <w:rFonts w:ascii="Michelin Unit Text" w:hAnsi="Michelin Unit Text" w:cs="Arial"/>
          <w:sz w:val="28"/>
          <w:szCs w:val="28"/>
          <w:lang w:val="es-ES"/>
        </w:rPr>
      </w:pPr>
      <w:r w:rsidRPr="00586E76">
        <w:rPr>
          <w:rFonts w:ascii="Michelin Unit Text" w:hAnsi="Michelin Unit Text" w:cs="Arial"/>
          <w:sz w:val="28"/>
          <w:szCs w:val="28"/>
          <w:lang w:val="es-ES"/>
        </w:rPr>
        <w:t>hugo</w:t>
      </w:r>
      <w:r w:rsidR="003C3FC0" w:rsidRPr="00586E76">
        <w:rPr>
          <w:rFonts w:ascii="Michelin Unit Text" w:hAnsi="Michelin Unit Text" w:cs="Arial"/>
          <w:sz w:val="28"/>
          <w:szCs w:val="28"/>
          <w:lang w:val="es-ES"/>
        </w:rPr>
        <w:t>.</w:t>
      </w:r>
      <w:r w:rsidRPr="00586E76">
        <w:rPr>
          <w:rFonts w:ascii="Michelin Unit Text" w:hAnsi="Michelin Unit Text" w:cs="Arial"/>
          <w:sz w:val="28"/>
          <w:szCs w:val="28"/>
          <w:lang w:val="es-ES"/>
        </w:rPr>
        <w:t>ureta</w:t>
      </w:r>
      <w:r w:rsidR="003C3FC0" w:rsidRPr="00586E76">
        <w:rPr>
          <w:rFonts w:ascii="Michelin Unit Text" w:hAnsi="Michelin Unit Text" w:cs="Arial"/>
          <w:sz w:val="28"/>
          <w:szCs w:val="28"/>
          <w:lang w:val="es-ES"/>
        </w:rPr>
        <w:t>-</w:t>
      </w:r>
      <w:r w:rsidRPr="00586E76">
        <w:rPr>
          <w:rFonts w:ascii="Michelin Unit Text" w:hAnsi="Michelin Unit Text" w:cs="Arial"/>
          <w:sz w:val="28"/>
          <w:szCs w:val="28"/>
          <w:lang w:val="es-ES"/>
        </w:rPr>
        <w:t>alonso</w:t>
      </w:r>
      <w:r w:rsidR="003C3FC0" w:rsidRPr="00586E76">
        <w:rPr>
          <w:rFonts w:ascii="Michelin Unit Text" w:hAnsi="Michelin Unit Text" w:cs="Arial"/>
          <w:sz w:val="28"/>
          <w:szCs w:val="28"/>
          <w:lang w:val="es-ES"/>
        </w:rPr>
        <w:t>@michelin.com</w:t>
      </w:r>
    </w:p>
    <w:p w14:paraId="7438ACE2" w14:textId="63548FC3" w:rsidR="00CC6BAF" w:rsidRPr="00210DBC" w:rsidRDefault="00CC6BAF" w:rsidP="00CC6BAF">
      <w:pPr>
        <w:jc w:val="center"/>
        <w:rPr>
          <w:rFonts w:ascii="Michelin Unit Text" w:hAnsi="Michelin Unit Text" w:cs="Arial"/>
          <w:lang w:val="es-ES"/>
        </w:rPr>
      </w:pPr>
      <w:r w:rsidRPr="00210DBC">
        <w:rPr>
          <w:rFonts w:ascii="Michelin Unit Text" w:hAnsi="Michelin Unit Text"/>
          <w:noProof/>
          <w:sz w:val="36"/>
          <w:szCs w:val="36"/>
          <w:lang w:val="en-GB" w:eastAsia="en-GB"/>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210DBC" w14:paraId="0DF1306C" w14:textId="77777777" w:rsidTr="00CC6BAF">
        <w:tc>
          <w:tcPr>
            <w:tcW w:w="9016" w:type="dxa"/>
          </w:tcPr>
          <w:p w14:paraId="64CFAB72" w14:textId="3CFD466E" w:rsidR="00CC6BAF" w:rsidRPr="00210DBC" w:rsidRDefault="00471900" w:rsidP="00CC6BAF">
            <w:pPr>
              <w:jc w:val="center"/>
              <w:rPr>
                <w:rFonts w:ascii="Michelin Unit Text" w:hAnsi="Michelin Unit Text" w:cs="Arial"/>
                <w:color w:val="08519D"/>
                <w:lang w:val="es-ES"/>
              </w:rPr>
            </w:pPr>
            <w:hyperlink r:id="rId12" w:history="1">
              <w:r w:rsidR="003C3FC0" w:rsidRPr="00210DBC">
                <w:rPr>
                  <w:rStyle w:val="Hipervnculo"/>
                  <w:rFonts w:ascii="Michelin Unit Text" w:hAnsi="Michelin Unit Text" w:cs="Arial"/>
                  <w:lang w:val="es-ES"/>
                </w:rPr>
                <w:t>www.michelin.es</w:t>
              </w:r>
            </w:hyperlink>
          </w:p>
        </w:tc>
      </w:tr>
      <w:tr w:rsidR="00CC6BAF" w:rsidRPr="00210DBC" w14:paraId="148A590E" w14:textId="77777777" w:rsidTr="00CC6BAF">
        <w:tc>
          <w:tcPr>
            <w:tcW w:w="9016" w:type="dxa"/>
          </w:tcPr>
          <w:p w14:paraId="78DB6A4F" w14:textId="4C2E4B3D" w:rsidR="00CC6BAF" w:rsidRPr="00210DBC" w:rsidRDefault="00CC6BAF" w:rsidP="00CC6BAF">
            <w:pPr>
              <w:jc w:val="center"/>
              <w:rPr>
                <w:rFonts w:ascii="Michelin Unit Text" w:hAnsi="Michelin Unit Text" w:cs="Arial"/>
                <w:color w:val="08519D"/>
                <w:lang w:val="es-ES"/>
              </w:rPr>
            </w:pPr>
            <w:r w:rsidRPr="00210DBC">
              <w:rPr>
                <w:rFonts w:ascii="Michelin Unit Text" w:hAnsi="Michelin Unit Text"/>
                <w:noProof/>
                <w:sz w:val="36"/>
                <w:szCs w:val="36"/>
                <w:lang w:val="en-GB" w:eastAsia="en-GB"/>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210DBC">
              <w:rPr>
                <w:rFonts w:ascii="Michelin Unit Text" w:hAnsi="Michelin Unit Text" w:cs="Arial"/>
                <w:color w:val="08519D"/>
                <w:lang w:val="es-ES"/>
              </w:rPr>
              <w:t xml:space="preserve"> @MichelinPress</w:t>
            </w:r>
          </w:p>
        </w:tc>
      </w:tr>
    </w:tbl>
    <w:p w14:paraId="7C41D2FE" w14:textId="77777777" w:rsidR="00CC6BAF" w:rsidRPr="00210DBC" w:rsidRDefault="00CC6BAF" w:rsidP="00CC6BAF">
      <w:pPr>
        <w:jc w:val="center"/>
        <w:rPr>
          <w:rFonts w:ascii="Michelin Unit Text" w:hAnsi="Michelin Unit Text" w:cs="Arial"/>
          <w:lang w:val="es-ES"/>
        </w:rPr>
      </w:pPr>
    </w:p>
    <w:p w14:paraId="35E7F4EF" w14:textId="566A098D" w:rsidR="00387E23" w:rsidRPr="00210DBC" w:rsidRDefault="003C3FC0" w:rsidP="00CC6BAF">
      <w:pPr>
        <w:jc w:val="center"/>
        <w:rPr>
          <w:rFonts w:ascii="Michelin Unit Text" w:hAnsi="Michelin Unit Text"/>
          <w:lang w:val="es-ES"/>
        </w:rPr>
      </w:pPr>
      <w:r w:rsidRPr="00210DBC">
        <w:rPr>
          <w:rFonts w:ascii="Michelin Unit Text" w:hAnsi="Michelin Unit Text" w:cs="Arial"/>
          <w:lang w:val="es-ES"/>
        </w:rPr>
        <w:t>Avenida de los Encuartes, 19 – 28760 Tres Cantos – Madrid. ESPAÑA</w:t>
      </w:r>
    </w:p>
    <w:sectPr w:rsidR="00387E23" w:rsidRPr="00210DBC" w:rsidSect="003E4201">
      <w:headerReference w:type="default" r:id="rId14"/>
      <w:footerReference w:type="default" r:id="rId15"/>
      <w:headerReference w:type="first" r:id="rId16"/>
      <w:footerReference w:type="first" r:id="rId17"/>
      <w:pgSz w:w="11906" w:h="16838"/>
      <w:pgMar w:top="-191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41EA4" w14:textId="77777777" w:rsidR="00471900" w:rsidRDefault="00471900" w:rsidP="00F24D98">
      <w:r>
        <w:separator/>
      </w:r>
    </w:p>
  </w:endnote>
  <w:endnote w:type="continuationSeparator" w:id="0">
    <w:p w14:paraId="38651219" w14:textId="77777777" w:rsidR="00471900" w:rsidRDefault="00471900"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Arial"/>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ichelin Unit Text 1">
    <w:altName w:val="﷽﷽﷽﷽﷽﷽﷽﷽w Roman"/>
    <w:panose1 w:val="02000000000000000000"/>
    <w:charset w:val="00"/>
    <w:family w:val="auto"/>
    <w:notTrueType/>
    <w:pitch w:val="variable"/>
    <w:sig w:usb0="00000283" w:usb1="00000000" w:usb2="00000000" w:usb3="00000000" w:csb0="0000000F" w:csb1="00000000"/>
  </w:font>
  <w:font w:name="Michelin Unit Text">
    <w:altName w:val="Calibri"/>
    <w:panose1 w:val="02000000000000000000"/>
    <w:charset w:val="00"/>
    <w:family w:val="modern"/>
    <w:notTrueType/>
    <w:pitch w:val="variable"/>
    <w:sig w:usb0="00000287" w:usb1="00000000" w:usb2="00000000" w:usb3="00000000" w:csb0="0000000F" w:csb1="00000000"/>
  </w:font>
  <w:font w:name="Calibri (Cuerpo)">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ichelin Unit Titling">
    <w:altName w:val="﷽﷽﷽﷽﷽﷽﷽﷽怀"/>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7D3E3CE1" w:rsidR="0044379B" w:rsidRPr="007613E0" w:rsidRDefault="0044379B" w:rsidP="007613E0">
    <w:pPr>
      <w:spacing w:line="276" w:lineRule="auto"/>
      <w:ind w:right="1394"/>
      <w:jc w:val="both"/>
      <w:rPr>
        <w:rFonts w:ascii="Michelin Unit Text 1" w:hAnsi="Michelin Unit Text 1" w:cstheme="minorHAnsi"/>
        <w:sz w:val="18"/>
        <w:szCs w:val="18"/>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4C0A789F" w:rsidR="0044379B" w:rsidRPr="007613E0" w:rsidRDefault="0044379B" w:rsidP="007613E0">
    <w:pPr>
      <w:spacing w:line="276" w:lineRule="auto"/>
      <w:ind w:right="1394"/>
      <w:jc w:val="both"/>
      <w:rPr>
        <w:rFonts w:ascii="Michelin Unit Text 1" w:hAnsi="Michelin Unit Text 1" w:cstheme="minorHAns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34A20" w14:textId="77777777" w:rsidR="00471900" w:rsidRDefault="00471900" w:rsidP="00F24D98">
      <w:r>
        <w:separator/>
      </w:r>
    </w:p>
  </w:footnote>
  <w:footnote w:type="continuationSeparator" w:id="0">
    <w:p w14:paraId="7B4702B6" w14:textId="77777777" w:rsidR="00471900" w:rsidRDefault="00471900" w:rsidP="00F24D98">
      <w:r>
        <w:continuationSeparator/>
      </w:r>
    </w:p>
  </w:footnote>
  <w:footnote w:id="1">
    <w:p w14:paraId="0658E0F5" w14:textId="77E8E36C" w:rsidR="00C12D82" w:rsidRPr="00586E76" w:rsidRDefault="00C12D82">
      <w:pPr>
        <w:pStyle w:val="Textonotapie"/>
        <w:rPr>
          <w:rFonts w:ascii="Michelin Unit Text" w:hAnsi="Michelin Unit Text"/>
          <w:sz w:val="16"/>
          <w:lang w:val="es-ES_tradnl"/>
        </w:rPr>
      </w:pPr>
      <w:r w:rsidRPr="00586E76">
        <w:rPr>
          <w:rStyle w:val="Refdenotaalpie"/>
          <w:rFonts w:ascii="Michelin Unit Text" w:hAnsi="Michelin Unit Text"/>
          <w:sz w:val="16"/>
          <w:lang w:val="es-ES_tradnl"/>
        </w:rPr>
        <w:footnoteRef/>
      </w:r>
      <w:r w:rsidRPr="00586E76">
        <w:rPr>
          <w:rFonts w:ascii="Michelin Unit Text" w:hAnsi="Michelin Unit Text"/>
          <w:sz w:val="16"/>
          <w:lang w:val="es-ES_tradnl"/>
        </w:rPr>
        <w:t xml:space="preserve"> Indicador descrito en cuadro Resumen de </w:t>
      </w:r>
      <w:r w:rsidR="00866340">
        <w:rPr>
          <w:rFonts w:ascii="Michelin Unit Text" w:hAnsi="Michelin Unit Text"/>
          <w:sz w:val="16"/>
          <w:lang w:val="es-ES_tradnl"/>
        </w:rPr>
        <w:t>Objetivos</w:t>
      </w:r>
      <w:r w:rsidRPr="00586E76">
        <w:rPr>
          <w:rFonts w:ascii="Michelin Unit Text" w:hAnsi="Michelin Unit Text"/>
          <w:sz w:val="16"/>
          <w:lang w:val="es-ES_tradnl"/>
        </w:rPr>
        <w:t xml:space="preserve"> para 2030</w:t>
      </w:r>
    </w:p>
  </w:footnote>
  <w:footnote w:id="2">
    <w:p w14:paraId="0D3BE3F6" w14:textId="77777777" w:rsidR="00435D29" w:rsidRPr="00586E76" w:rsidRDefault="00435D29" w:rsidP="00435D29">
      <w:pPr>
        <w:pStyle w:val="Textonotapie"/>
        <w:rPr>
          <w:rFonts w:ascii="Michelin Unit Text" w:hAnsi="Michelin Unit Text"/>
          <w:sz w:val="16"/>
          <w:lang w:val="es-ES_tradnl"/>
        </w:rPr>
      </w:pPr>
      <w:r w:rsidRPr="00586E76">
        <w:rPr>
          <w:rStyle w:val="Refdenotaalpie"/>
          <w:rFonts w:ascii="Michelin Unit Text" w:hAnsi="Michelin Unit Text"/>
          <w:sz w:val="16"/>
          <w:lang w:val="es-ES_tradnl"/>
        </w:rPr>
        <w:footnoteRef/>
      </w:r>
      <w:r w:rsidRPr="00586E76">
        <w:rPr>
          <w:rFonts w:ascii="Michelin Unit Text" w:hAnsi="Michelin Unit Text"/>
          <w:sz w:val="16"/>
          <w:lang w:val="es-ES_tradnl"/>
        </w:rPr>
        <w:t xml:space="preserve"> Tasa de crecimiento medio anual del 5% de aquí a 2030</w:t>
      </w:r>
    </w:p>
  </w:footnote>
  <w:footnote w:id="3">
    <w:p w14:paraId="7FAECBB0" w14:textId="4517E2BE" w:rsidR="00601D7E" w:rsidRPr="00586E76" w:rsidRDefault="00601D7E">
      <w:pPr>
        <w:pStyle w:val="Textonotapie"/>
        <w:rPr>
          <w:rFonts w:ascii="Michelin Unit Text" w:hAnsi="Michelin Unit Text"/>
          <w:sz w:val="16"/>
          <w:lang w:val="es-ES_tradnl"/>
        </w:rPr>
      </w:pPr>
      <w:r w:rsidRPr="00586E76">
        <w:rPr>
          <w:rStyle w:val="Refdenotaalpie"/>
          <w:rFonts w:ascii="Michelin Unit Text" w:hAnsi="Michelin Unit Text"/>
          <w:sz w:val="16"/>
          <w:lang w:val="es-ES_tradnl"/>
        </w:rPr>
        <w:footnoteRef/>
      </w:r>
      <w:r w:rsidRPr="00586E76">
        <w:rPr>
          <w:rFonts w:ascii="Michelin Unit Text" w:hAnsi="Michelin Unit Text"/>
          <w:sz w:val="16"/>
          <w:lang w:val="es-ES_tradnl"/>
        </w:rPr>
        <w:t xml:space="preserve"> A tasa de cambio medio de enero de 2021</w:t>
      </w:r>
    </w:p>
  </w:footnote>
  <w:footnote w:id="4">
    <w:p w14:paraId="2AB4FA2E" w14:textId="7FBCD45D" w:rsidR="00586E76" w:rsidRPr="00586E76" w:rsidRDefault="00586E76">
      <w:pPr>
        <w:pStyle w:val="Textonotapie"/>
        <w:rPr>
          <w:rFonts w:ascii="Michelin Unit Text" w:hAnsi="Michelin Unit Text"/>
          <w:sz w:val="16"/>
          <w:lang w:val="es-ES_tradnl"/>
        </w:rPr>
      </w:pPr>
      <w:r w:rsidRPr="00586E76">
        <w:rPr>
          <w:rStyle w:val="Refdenotaalpie"/>
          <w:rFonts w:ascii="Michelin Unit Text" w:hAnsi="Michelin Unit Text"/>
          <w:sz w:val="16"/>
          <w:lang w:val="es-ES_tradnl"/>
        </w:rPr>
        <w:footnoteRef/>
      </w:r>
      <w:r w:rsidRPr="00586E76">
        <w:rPr>
          <w:rFonts w:ascii="Michelin Unit Text" w:hAnsi="Michelin Unit Text"/>
          <w:sz w:val="16"/>
          <w:lang w:val="es-ES_tradnl"/>
        </w:rPr>
        <w:t xml:space="preserve"> Presentación </w:t>
      </w:r>
      <w:r w:rsidRPr="004A0FEC">
        <w:rPr>
          <w:rFonts w:ascii="Michelin Unit Text" w:hAnsi="Michelin Unit Text"/>
          <w:i/>
          <w:iCs/>
          <w:sz w:val="16"/>
          <w:lang w:val="es-ES_tradnl"/>
        </w:rPr>
        <w:t>Capital Markets Day</w:t>
      </w:r>
      <w:r w:rsidRPr="00586E76">
        <w:rPr>
          <w:rFonts w:ascii="Michelin Unit Text" w:hAnsi="Michelin Unit Text"/>
          <w:sz w:val="16"/>
          <w:lang w:val="es-ES_tradnl"/>
        </w:rPr>
        <w:t xml:space="preserve"> disponible en </w:t>
      </w:r>
      <w:hyperlink r:id="rId1" w:history="1">
        <w:r w:rsidRPr="00586E76">
          <w:rPr>
            <w:rStyle w:val="Hipervnculo"/>
            <w:rFonts w:ascii="Michelin Unit Text" w:hAnsi="Michelin Unit Text"/>
            <w:sz w:val="16"/>
            <w:lang w:val="es-ES_tradnl"/>
          </w:rPr>
          <w:t>www.michelin.com</w:t>
        </w:r>
      </w:hyperlink>
      <w:r w:rsidRPr="00586E76">
        <w:rPr>
          <w:rFonts w:ascii="Michelin Unit Text" w:hAnsi="Michelin Unit Text"/>
          <w:sz w:val="16"/>
          <w:lang w:val="es-ES_tradnl"/>
        </w:rPr>
        <w:t xml:space="preserve"> </w:t>
      </w:r>
      <w:r w:rsidR="004A0FEC">
        <w:rPr>
          <w:rFonts w:ascii="Michelin Unit Text" w:hAnsi="Michelin Unit Text"/>
          <w:sz w:val="16"/>
          <w:lang w:val="es-ES_tradnl"/>
        </w:rPr>
        <w:t>con el escenario detallado de los objetivos para</w:t>
      </w:r>
      <w:r w:rsidRPr="00586E76">
        <w:rPr>
          <w:rFonts w:ascii="Michelin Unit Text" w:hAnsi="Michelin Unit Text"/>
          <w:sz w:val="16"/>
          <w:lang w:val="es-ES_tradnl"/>
        </w:rPr>
        <w:t xml:space="preserv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n-GB" w:eastAsia="en-GB"/>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0A52BC4E" w:rsidR="001963B1" w:rsidRDefault="00B36FEE"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Pr>
        <w:noProof/>
        <w:lang w:val="en-GB" w:eastAsia="en-GB"/>
      </w:rPr>
      <w:drawing>
        <wp:anchor distT="0" distB="0" distL="114300" distR="114300" simplePos="0" relativeHeight="251664384" behindDoc="0" locked="0" layoutInCell="1" allowOverlap="1" wp14:anchorId="2B5BC1A7" wp14:editId="4B1BC02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6B80B4D6" wp14:editId="220C3624">
              <wp:simplePos x="0" y="0"/>
              <wp:positionH relativeFrom="page">
                <wp:posOffset>2463407</wp:posOffset>
              </wp:positionH>
              <wp:positionV relativeFrom="paragraph">
                <wp:posOffset>795717</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B4D6" id="Text Box 4" o:spid="_x0000_s1027" type="#_x0000_t202" style="position:absolute;left:0;text-align:left;margin-left:193.95pt;margin-top:62.6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noProof/>
        <w:lang w:val="en-GB" w:eastAsia="en-GB"/>
      </w:rPr>
      <w:drawing>
        <wp:anchor distT="0" distB="0" distL="114300" distR="114300" simplePos="0" relativeHeight="251665408" behindDoc="0" locked="0" layoutInCell="1" allowOverlap="1" wp14:anchorId="2DAA04BF" wp14:editId="222B6E96">
          <wp:simplePos x="0" y="0"/>
          <wp:positionH relativeFrom="column">
            <wp:posOffset>1699260</wp:posOffset>
          </wp:positionH>
          <wp:positionV relativeFrom="paragraph">
            <wp:posOffset>113665</wp:posOffset>
          </wp:positionV>
          <wp:extent cx="2556510" cy="68072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556510" cy="680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4F12"/>
    <w:multiLevelType w:val="hybridMultilevel"/>
    <w:tmpl w:val="7924E4A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4FC0F39"/>
    <w:multiLevelType w:val="hybridMultilevel"/>
    <w:tmpl w:val="4C606D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DC645D"/>
    <w:multiLevelType w:val="hybridMultilevel"/>
    <w:tmpl w:val="31D8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211E06"/>
    <w:multiLevelType w:val="hybridMultilevel"/>
    <w:tmpl w:val="17BE25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4EC0B8A"/>
    <w:multiLevelType w:val="hybridMultilevel"/>
    <w:tmpl w:val="C1D0C2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51464E"/>
    <w:multiLevelType w:val="hybridMultilevel"/>
    <w:tmpl w:val="0B7E6662"/>
    <w:lvl w:ilvl="0" w:tplc="6756D80E">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7"/>
  </w:num>
  <w:num w:numId="5">
    <w:abstractNumId w:val="5"/>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3380F"/>
    <w:rsid w:val="00081988"/>
    <w:rsid w:val="00084E69"/>
    <w:rsid w:val="000909FF"/>
    <w:rsid w:val="000A5386"/>
    <w:rsid w:val="000A6116"/>
    <w:rsid w:val="000B3F91"/>
    <w:rsid w:val="00112957"/>
    <w:rsid w:val="0011365E"/>
    <w:rsid w:val="001162A2"/>
    <w:rsid w:val="00116A1A"/>
    <w:rsid w:val="001207C6"/>
    <w:rsid w:val="00146F87"/>
    <w:rsid w:val="00154400"/>
    <w:rsid w:val="00170CB5"/>
    <w:rsid w:val="001712BA"/>
    <w:rsid w:val="00186CCB"/>
    <w:rsid w:val="001963B1"/>
    <w:rsid w:val="001D57AF"/>
    <w:rsid w:val="001E520E"/>
    <w:rsid w:val="001F5306"/>
    <w:rsid w:val="00210DBC"/>
    <w:rsid w:val="0021275D"/>
    <w:rsid w:val="0021595A"/>
    <w:rsid w:val="002252D7"/>
    <w:rsid w:val="00262F8B"/>
    <w:rsid w:val="00274DC8"/>
    <w:rsid w:val="00297EB3"/>
    <w:rsid w:val="002B3936"/>
    <w:rsid w:val="002C324F"/>
    <w:rsid w:val="002D62F0"/>
    <w:rsid w:val="002D6A06"/>
    <w:rsid w:val="003613A3"/>
    <w:rsid w:val="00387E23"/>
    <w:rsid w:val="003930CA"/>
    <w:rsid w:val="00395651"/>
    <w:rsid w:val="003C3FC0"/>
    <w:rsid w:val="003C419D"/>
    <w:rsid w:val="003C5084"/>
    <w:rsid w:val="003E4201"/>
    <w:rsid w:val="003F197B"/>
    <w:rsid w:val="00414F37"/>
    <w:rsid w:val="0042060A"/>
    <w:rsid w:val="00422E33"/>
    <w:rsid w:val="00422FAA"/>
    <w:rsid w:val="004237CD"/>
    <w:rsid w:val="00435D29"/>
    <w:rsid w:val="0044379B"/>
    <w:rsid w:val="0045418F"/>
    <w:rsid w:val="00471900"/>
    <w:rsid w:val="00471963"/>
    <w:rsid w:val="00493386"/>
    <w:rsid w:val="004A0FEC"/>
    <w:rsid w:val="004A7A65"/>
    <w:rsid w:val="004C5767"/>
    <w:rsid w:val="004C6A8C"/>
    <w:rsid w:val="004D36B6"/>
    <w:rsid w:val="004E2E0E"/>
    <w:rsid w:val="004E3294"/>
    <w:rsid w:val="004E4143"/>
    <w:rsid w:val="004E6D73"/>
    <w:rsid w:val="00507C28"/>
    <w:rsid w:val="00511304"/>
    <w:rsid w:val="00523432"/>
    <w:rsid w:val="0052344F"/>
    <w:rsid w:val="00523D3C"/>
    <w:rsid w:val="00533708"/>
    <w:rsid w:val="00572127"/>
    <w:rsid w:val="00586E76"/>
    <w:rsid w:val="00594F5C"/>
    <w:rsid w:val="005A6FE2"/>
    <w:rsid w:val="005B00AE"/>
    <w:rsid w:val="005E3895"/>
    <w:rsid w:val="00601D7E"/>
    <w:rsid w:val="00604D02"/>
    <w:rsid w:val="00631317"/>
    <w:rsid w:val="006360D4"/>
    <w:rsid w:val="006920B7"/>
    <w:rsid w:val="006C3818"/>
    <w:rsid w:val="006C44F0"/>
    <w:rsid w:val="006D398C"/>
    <w:rsid w:val="007613E0"/>
    <w:rsid w:val="00770064"/>
    <w:rsid w:val="00794760"/>
    <w:rsid w:val="00796A17"/>
    <w:rsid w:val="007D17DE"/>
    <w:rsid w:val="007F37A6"/>
    <w:rsid w:val="00816BB1"/>
    <w:rsid w:val="00821ED7"/>
    <w:rsid w:val="00834943"/>
    <w:rsid w:val="0083779A"/>
    <w:rsid w:val="0085450A"/>
    <w:rsid w:val="00866340"/>
    <w:rsid w:val="0089589E"/>
    <w:rsid w:val="008B072F"/>
    <w:rsid w:val="008F5893"/>
    <w:rsid w:val="009328D4"/>
    <w:rsid w:val="0093532F"/>
    <w:rsid w:val="009969D4"/>
    <w:rsid w:val="00A05352"/>
    <w:rsid w:val="00A133C9"/>
    <w:rsid w:val="00A50A86"/>
    <w:rsid w:val="00A6279B"/>
    <w:rsid w:val="00A72ECA"/>
    <w:rsid w:val="00A75B5C"/>
    <w:rsid w:val="00AC0E74"/>
    <w:rsid w:val="00AF14EA"/>
    <w:rsid w:val="00B05B19"/>
    <w:rsid w:val="00B13DD6"/>
    <w:rsid w:val="00B176B4"/>
    <w:rsid w:val="00B32BCE"/>
    <w:rsid w:val="00B331F9"/>
    <w:rsid w:val="00B36FEE"/>
    <w:rsid w:val="00B45C21"/>
    <w:rsid w:val="00B6609D"/>
    <w:rsid w:val="00B97B28"/>
    <w:rsid w:val="00BC2889"/>
    <w:rsid w:val="00BD102C"/>
    <w:rsid w:val="00BE269E"/>
    <w:rsid w:val="00C12D82"/>
    <w:rsid w:val="00C53F0C"/>
    <w:rsid w:val="00CC6BAF"/>
    <w:rsid w:val="00CE5E82"/>
    <w:rsid w:val="00D26D15"/>
    <w:rsid w:val="00D55011"/>
    <w:rsid w:val="00D729F5"/>
    <w:rsid w:val="00D9116F"/>
    <w:rsid w:val="00D911B6"/>
    <w:rsid w:val="00D9176A"/>
    <w:rsid w:val="00DB7FA5"/>
    <w:rsid w:val="00DE0186"/>
    <w:rsid w:val="00DE0B5B"/>
    <w:rsid w:val="00E21D43"/>
    <w:rsid w:val="00E46580"/>
    <w:rsid w:val="00E75F4B"/>
    <w:rsid w:val="00E926C4"/>
    <w:rsid w:val="00E938D6"/>
    <w:rsid w:val="00E93F1E"/>
    <w:rsid w:val="00EA512D"/>
    <w:rsid w:val="00EC6DBA"/>
    <w:rsid w:val="00ED5957"/>
    <w:rsid w:val="00ED7136"/>
    <w:rsid w:val="00F1127B"/>
    <w:rsid w:val="00F24D98"/>
    <w:rsid w:val="00F433D8"/>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character" w:styleId="Refdecomentario">
    <w:name w:val="annotation reference"/>
    <w:basedOn w:val="Fuentedeprrafopredeter"/>
    <w:uiPriority w:val="99"/>
    <w:semiHidden/>
    <w:unhideWhenUsed/>
    <w:rsid w:val="00C12D82"/>
    <w:rPr>
      <w:sz w:val="16"/>
      <w:szCs w:val="16"/>
    </w:rPr>
  </w:style>
  <w:style w:type="paragraph" w:styleId="Textocomentario">
    <w:name w:val="annotation text"/>
    <w:basedOn w:val="Normal"/>
    <w:link w:val="TextocomentarioCar"/>
    <w:uiPriority w:val="99"/>
    <w:semiHidden/>
    <w:unhideWhenUsed/>
    <w:rsid w:val="00C12D82"/>
    <w:rPr>
      <w:sz w:val="20"/>
      <w:szCs w:val="20"/>
    </w:rPr>
  </w:style>
  <w:style w:type="character" w:customStyle="1" w:styleId="TextocomentarioCar">
    <w:name w:val="Texto comentario Car"/>
    <w:basedOn w:val="Fuentedeprrafopredeter"/>
    <w:link w:val="Textocomentario"/>
    <w:uiPriority w:val="99"/>
    <w:semiHidden/>
    <w:rsid w:val="00C12D82"/>
    <w:rPr>
      <w:sz w:val="20"/>
      <w:szCs w:val="20"/>
    </w:rPr>
  </w:style>
  <w:style w:type="paragraph" w:styleId="Asuntodelcomentario">
    <w:name w:val="annotation subject"/>
    <w:basedOn w:val="Textocomentario"/>
    <w:next w:val="Textocomentario"/>
    <w:link w:val="AsuntodelcomentarioCar"/>
    <w:uiPriority w:val="99"/>
    <w:semiHidden/>
    <w:unhideWhenUsed/>
    <w:rsid w:val="00C12D82"/>
    <w:rPr>
      <w:b/>
      <w:bCs/>
    </w:rPr>
  </w:style>
  <w:style w:type="character" w:customStyle="1" w:styleId="AsuntodelcomentarioCar">
    <w:name w:val="Asunto del comentario Car"/>
    <w:basedOn w:val="TextocomentarioCar"/>
    <w:link w:val="Asuntodelcomentario"/>
    <w:uiPriority w:val="99"/>
    <w:semiHidden/>
    <w:rsid w:val="00C12D82"/>
    <w:rPr>
      <w:b/>
      <w:bCs/>
      <w:sz w:val="20"/>
      <w:szCs w:val="20"/>
    </w:rPr>
  </w:style>
  <w:style w:type="paragraph" w:styleId="Textodeglobo">
    <w:name w:val="Balloon Text"/>
    <w:basedOn w:val="Normal"/>
    <w:link w:val="TextodegloboCar"/>
    <w:uiPriority w:val="99"/>
    <w:semiHidden/>
    <w:unhideWhenUsed/>
    <w:rsid w:val="00C12D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D82"/>
    <w:rPr>
      <w:rFonts w:ascii="Segoe UI" w:hAnsi="Segoe UI" w:cs="Segoe UI"/>
      <w:sz w:val="18"/>
      <w:szCs w:val="18"/>
    </w:rPr>
  </w:style>
  <w:style w:type="paragraph" w:styleId="Textonotaalfinal">
    <w:name w:val="endnote text"/>
    <w:basedOn w:val="Normal"/>
    <w:link w:val="TextonotaalfinalCar"/>
    <w:uiPriority w:val="99"/>
    <w:semiHidden/>
    <w:unhideWhenUsed/>
    <w:rsid w:val="00C12D82"/>
    <w:rPr>
      <w:sz w:val="20"/>
      <w:szCs w:val="20"/>
    </w:rPr>
  </w:style>
  <w:style w:type="character" w:customStyle="1" w:styleId="TextonotaalfinalCar">
    <w:name w:val="Texto nota al final Car"/>
    <w:basedOn w:val="Fuentedeprrafopredeter"/>
    <w:link w:val="Textonotaalfinal"/>
    <w:uiPriority w:val="99"/>
    <w:semiHidden/>
    <w:rsid w:val="00C12D82"/>
    <w:rPr>
      <w:sz w:val="20"/>
      <w:szCs w:val="20"/>
    </w:rPr>
  </w:style>
  <w:style w:type="character" w:styleId="Refdenotaalfinal">
    <w:name w:val="endnote reference"/>
    <w:basedOn w:val="Fuentedeprrafopredeter"/>
    <w:uiPriority w:val="99"/>
    <w:semiHidden/>
    <w:unhideWhenUsed/>
    <w:rsid w:val="00C12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chel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777B-1A41-4369-A0CB-1A187DA8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1868</Words>
  <Characters>10278</Characters>
  <Application>Microsoft Office Word</Application>
  <DocSecurity>0</DocSecurity>
  <Lines>85</Lines>
  <Paragraphs>24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7</cp:revision>
  <dcterms:created xsi:type="dcterms:W3CDTF">2021-04-12T14:39:00Z</dcterms:created>
  <dcterms:modified xsi:type="dcterms:W3CDTF">2021-04-12T19:06:00Z</dcterms:modified>
</cp:coreProperties>
</file>