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0"/>
          <w:szCs w:val="20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67C2F74A" w14:textId="66DB1603" w:rsidR="009730EA" w:rsidRPr="005D7E5C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E6477B" w14:textId="51E4FD9A" w:rsidR="009730EA" w:rsidRPr="005D7E5C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  <w:r w:rsidRPr="005D7E5C">
            <w:rPr>
              <w:rFonts w:ascii="Arial" w:hAnsi="Arial" w:cs="Arial"/>
              <w:noProof/>
              <w:color w:val="000000" w:themeColor="text1"/>
              <w:sz w:val="20"/>
              <w:szCs w:val="20"/>
              <w:lang w:val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757AD8" wp14:editId="64FE8F1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5715</wp:posOffset>
                    </wp:positionV>
                    <wp:extent cx="2971800" cy="391886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71800" cy="391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02E436" w14:textId="764F0F03" w:rsidR="009730EA" w:rsidRPr="009C47D4" w:rsidRDefault="009C47D4" w:rsidP="009730EA">
                                <w:pPr>
                                  <w:jc w:val="center"/>
                                  <w:rPr>
                                    <w:rFonts w:ascii="Michelin Unit Titling" w:hAnsi="Michelin Unit Titling"/>
                                    <w:color w:val="57575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75757"/>
                                    <w:sz w:val="28"/>
                                    <w:szCs w:val="28"/>
                                    <w:lang w:val="es-ES"/>
                                  </w:rPr>
                                  <w:t>INFORMA</w:t>
                                </w:r>
                                <w:r w:rsidR="00E64366">
                                  <w:rPr>
                                    <w:rFonts w:ascii="Verdana" w:hAnsi="Verdana"/>
                                    <w:color w:val="575757"/>
                                    <w:sz w:val="28"/>
                                    <w:szCs w:val="28"/>
                                    <w:lang w:val="es-ES"/>
                                  </w:rPr>
                                  <w:t xml:space="preserve">ÇÃO </w:t>
                                </w:r>
                                <w:r>
                                  <w:rPr>
                                    <w:rFonts w:ascii="Verdana" w:hAnsi="Verdana"/>
                                    <w:color w:val="575757"/>
                                    <w:sz w:val="28"/>
                                    <w:szCs w:val="28"/>
                                    <w:lang w:val="es-ES"/>
                                  </w:rPr>
                                  <w:t xml:space="preserve">DE </w:t>
                                </w:r>
                                <w:r w:rsidR="00E64366">
                                  <w:rPr>
                                    <w:rFonts w:ascii="Verdana" w:hAnsi="Verdana"/>
                                    <w:color w:val="575757"/>
                                    <w:sz w:val="28"/>
                                    <w:szCs w:val="28"/>
                                    <w:lang w:val="es-ES"/>
                                  </w:rPr>
                                  <w:t>IM</w:t>
                                </w:r>
                                <w:r>
                                  <w:rPr>
                                    <w:rFonts w:ascii="Verdana" w:hAnsi="Verdana"/>
                                    <w:color w:val="575757"/>
                                    <w:sz w:val="28"/>
                                    <w:szCs w:val="28"/>
                                    <w:lang w:val="es-ES"/>
                                  </w:rPr>
                                  <w:t>PRENSA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757A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.45pt;width:234pt;height:3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" fillcolor="window" stroked="f" strokeweight=".5pt">
                    <v:textbox>
                      <w:txbxContent>
                        <w:p w14:paraId="6F02E436" w14:textId="764F0F03" w:rsidR="009730EA" w:rsidRPr="009C47D4" w:rsidRDefault="009C47D4" w:rsidP="009730E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575757"/>
                              <w:sz w:val="28"/>
                              <w:szCs w:val="28"/>
                              <w:lang w:val="es-ES"/>
                            </w:rPr>
                            <w:t>INFORMA</w:t>
                          </w:r>
                          <w:r w:rsidR="00E64366">
                            <w:rPr>
                              <w:rFonts w:ascii="Verdana" w:hAnsi="Verdana"/>
                              <w:color w:val="575757"/>
                              <w:sz w:val="28"/>
                              <w:szCs w:val="28"/>
                              <w:lang w:val="es-ES"/>
                            </w:rPr>
                            <w:t xml:space="preserve">ÇÃO </w:t>
                          </w:r>
                          <w:r>
                            <w:rPr>
                              <w:rFonts w:ascii="Verdana" w:hAnsi="Verdana"/>
                              <w:color w:val="575757"/>
                              <w:sz w:val="28"/>
                              <w:szCs w:val="28"/>
                              <w:lang w:val="es-ES"/>
                            </w:rPr>
                            <w:t xml:space="preserve">DE </w:t>
                          </w:r>
                          <w:r w:rsidR="00E64366">
                            <w:rPr>
                              <w:rFonts w:ascii="Verdana" w:hAnsi="Verdana"/>
                              <w:color w:val="575757"/>
                              <w:sz w:val="28"/>
                              <w:szCs w:val="28"/>
                              <w:lang w:val="es-ES"/>
                            </w:rPr>
                            <w:t>IM</w:t>
                          </w:r>
                          <w:r>
                            <w:rPr>
                              <w:rFonts w:ascii="Verdana" w:hAnsi="Verdana"/>
                              <w:color w:val="575757"/>
                              <w:sz w:val="28"/>
                              <w:szCs w:val="28"/>
                              <w:lang w:val="es-ES"/>
                            </w:rPr>
                            <w:t>PRENSA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B087427" w14:textId="77777777" w:rsidR="009730EA" w:rsidRPr="005D7E5C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075BE4" w14:textId="77777777" w:rsidR="009730EA" w:rsidRPr="005D7E5C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BEFA2E" w14:textId="0387A19C" w:rsidR="009730EA" w:rsidRPr="005D7E5C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4ED395" w14:textId="77777777" w:rsidR="00773388" w:rsidRPr="005D7E5C" w:rsidRDefault="00773388" w:rsidP="009C47D4">
          <w:pPr>
            <w:ind w:right="-46"/>
            <w:jc w:val="both"/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pt-PT"/>
            </w:rPr>
          </w:pPr>
        </w:p>
        <w:p w14:paraId="75B28583" w14:textId="1DB6E6D1" w:rsidR="00D24541" w:rsidRPr="005D7E5C" w:rsidRDefault="00E64366" w:rsidP="009C47D4">
          <w:pPr>
            <w:ind w:left="5760" w:right="-46"/>
            <w:rPr>
              <w:rFonts w:ascii="Arial" w:hAnsi="Arial" w:cs="Arial"/>
              <w:sz w:val="20"/>
              <w:szCs w:val="20"/>
              <w:lang w:val="pt-PT"/>
            </w:rPr>
          </w:pPr>
          <w:r w:rsidRPr="005D7E5C">
            <w:rPr>
              <w:rFonts w:ascii="Arial" w:hAnsi="Arial" w:cs="Arial"/>
              <w:sz w:val="20"/>
              <w:szCs w:val="20"/>
              <w:lang w:val="pt-PT"/>
            </w:rPr>
            <w:t>Lisboa</w:t>
          </w:r>
          <w:r w:rsidR="009C47D4" w:rsidRPr="005D7E5C">
            <w:rPr>
              <w:rFonts w:ascii="Arial" w:hAnsi="Arial" w:cs="Arial"/>
              <w:sz w:val="20"/>
              <w:szCs w:val="20"/>
              <w:lang w:val="pt-PT"/>
            </w:rPr>
            <w:t>, 30 de jun</w:t>
          </w:r>
          <w:r w:rsidRPr="005D7E5C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C47D4" w:rsidRPr="005D7E5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E5C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="009C47D4" w:rsidRPr="005D7E5C">
            <w:rPr>
              <w:rFonts w:ascii="Arial" w:hAnsi="Arial" w:cs="Arial"/>
              <w:sz w:val="20"/>
              <w:szCs w:val="20"/>
              <w:lang w:val="pt-PT"/>
            </w:rPr>
            <w:t xml:space="preserve"> 2021</w:t>
          </w:r>
        </w:p>
        <w:sdt>
          <w:sdtPr>
            <w:rPr>
              <w:rFonts w:ascii="Arial" w:hAnsi="Arial" w:cs="Arial"/>
              <w:sz w:val="20"/>
              <w:szCs w:val="20"/>
              <w:lang w:val="pt-PT"/>
            </w:rPr>
            <w:id w:val="-1056926528"/>
            <w:docPartObj>
              <w:docPartGallery w:val="Cover Pages"/>
              <w:docPartUnique/>
            </w:docPartObj>
          </w:sdtPr>
          <w:sdtEndPr/>
          <w:sdtContent>
            <w:p w14:paraId="478A7C78" w14:textId="3FCD9BC5" w:rsidR="009203BF" w:rsidRPr="005D7E5C" w:rsidRDefault="009203BF" w:rsidP="009C47D4">
              <w:pPr>
                <w:spacing w:line="360" w:lineRule="auto"/>
                <w:ind w:right="-46"/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605954D6" w14:textId="5E1874C0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pt-PT"/>
                </w:rPr>
              </w:pPr>
            </w:p>
            <w:p w14:paraId="238AB452" w14:textId="0CC195BA" w:rsidR="009C47D4" w:rsidRPr="005D7E5C" w:rsidRDefault="00E64366" w:rsidP="009C47D4">
              <w:pPr>
                <w:ind w:right="-46"/>
                <w:jc w:val="center"/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Reconhecer os extraordinários esforços sustentáveis na produção vinícola: 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Robert Parker Wine Advocate anuncia 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o </w:t>
              </w:r>
              <w:r w:rsidR="008A29FA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lan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ç</w:t>
              </w:r>
              <w:r w:rsidR="008A29FA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amento de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 filtros de b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u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s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ca 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para vin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o</w:t>
              </w:r>
              <w:r w:rsidR="008A29FA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s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 org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â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nico</w:t>
              </w:r>
              <w:r w:rsidR="008A29FA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s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 biodi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nâ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mico</w:t>
              </w:r>
              <w:r w:rsidR="008A29FA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s, </w:t>
              </w:r>
              <w:r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br/>
                <w:t xml:space="preserve">e do distintivo </w:t>
              </w:r>
              <w:r w:rsidR="009C47D4" w:rsidRPr="005D7E5C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Robert Parker Green Emblem</w:t>
              </w:r>
            </w:p>
            <w:p w14:paraId="1B346FA7" w14:textId="3C150BF3" w:rsidR="009C47D4" w:rsidRPr="005D7E5C" w:rsidRDefault="009C47D4" w:rsidP="009C47D4">
              <w:pPr>
                <w:ind w:right="-46"/>
                <w:jc w:val="center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pt-PT"/>
                </w:rPr>
              </w:pPr>
            </w:p>
            <w:p w14:paraId="0E782AD8" w14:textId="77777777" w:rsidR="00351D1D" w:rsidRPr="005D7E5C" w:rsidRDefault="00351D1D" w:rsidP="009C47D4">
              <w:pPr>
                <w:ind w:right="-46"/>
                <w:jc w:val="center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pt-PT"/>
                </w:rPr>
              </w:pPr>
            </w:p>
            <w:p w14:paraId="45AC268B" w14:textId="77777777" w:rsidR="009C47D4" w:rsidRPr="005D7E5C" w:rsidRDefault="009C47D4" w:rsidP="009C47D4">
              <w:pPr>
                <w:ind w:right="-46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pt-PT"/>
                </w:rPr>
              </w:pPr>
            </w:p>
            <w:p w14:paraId="784F8A45" w14:textId="22CF6E3F" w:rsidR="009C47D4" w:rsidRPr="005D7E5C" w:rsidRDefault="009C47D4" w:rsidP="009C47D4">
              <w:pPr>
                <w:ind w:left="360" w:right="-46"/>
                <w:jc w:val="both"/>
                <w:rPr>
                  <w:rStyle w:val="normaltextrun"/>
                  <w:rFonts w:ascii="Arial" w:eastAsiaTheme="majorEastAsia" w:hAnsi="Arial" w:cs="Arial"/>
                  <w:lang w:val="pt-PT"/>
                </w:rPr>
              </w:pPr>
              <w:r w:rsidRPr="005D7E5C">
                <w:rPr>
                  <w:rFonts w:ascii="Arial" w:eastAsia="Calibri" w:hAnsi="Arial" w:cs="Arial"/>
                  <w:lang w:val="pt-PT"/>
                </w:rPr>
                <w:t xml:space="preserve">24 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>a</w:t>
              </w:r>
              <w:r w:rsidRPr="005D7E5C">
                <w:rPr>
                  <w:rFonts w:ascii="Arial" w:eastAsia="Calibri" w:hAnsi="Arial" w:cs="Arial"/>
                  <w:lang w:val="pt-PT"/>
                </w:rPr>
                <w:t xml:space="preserve">degas de todo 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 xml:space="preserve">o </w:t>
              </w:r>
              <w:r w:rsidRPr="005D7E5C">
                <w:rPr>
                  <w:rFonts w:ascii="Arial" w:eastAsia="Calibri" w:hAnsi="Arial" w:cs="Arial"/>
                  <w:lang w:val="pt-PT"/>
                </w:rPr>
                <w:t>mundo rec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>e</w:t>
              </w:r>
              <w:r w:rsidRPr="005D7E5C">
                <w:rPr>
                  <w:rFonts w:ascii="Arial" w:eastAsia="Calibri" w:hAnsi="Arial" w:cs="Arial"/>
                  <w:lang w:val="pt-PT"/>
                </w:rPr>
                <w:t>be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 xml:space="preserve">m o </w:t>
              </w:r>
              <w:r w:rsidRPr="005D7E5C">
                <w:rPr>
                  <w:rFonts w:ascii="Arial" w:eastAsia="Calibri" w:hAnsi="Arial" w:cs="Arial"/>
                  <w:lang w:val="pt-PT"/>
                </w:rPr>
                <w:t>recon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>he</w:t>
              </w:r>
              <w:r w:rsidRPr="005D7E5C">
                <w:rPr>
                  <w:rFonts w:ascii="Arial" w:eastAsia="Calibri" w:hAnsi="Arial" w:cs="Arial"/>
                  <w:lang w:val="pt-PT"/>
                </w:rPr>
                <w:t>cimento dos críticos d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>a</w:t>
              </w:r>
              <w:r w:rsidRPr="005D7E5C">
                <w:rPr>
                  <w:rFonts w:ascii="Arial" w:eastAsia="Calibri" w:hAnsi="Arial" w:cs="Arial"/>
                  <w:lang w:val="pt-PT"/>
                </w:rPr>
                <w:t xml:space="preserve"> Robert Parker Wine Advocate na lista inaugural </w:t>
              </w:r>
              <w:r w:rsidR="00E64366" w:rsidRPr="005D7E5C">
                <w:rPr>
                  <w:rFonts w:ascii="Arial" w:eastAsia="Calibri" w:hAnsi="Arial" w:cs="Arial"/>
                  <w:lang w:val="pt-PT"/>
                </w:rPr>
                <w:t xml:space="preserve">de </w:t>
              </w:r>
              <w:r w:rsidRPr="005D7E5C">
                <w:rPr>
                  <w:rFonts w:ascii="Arial" w:eastAsia="Calibri" w:hAnsi="Arial" w:cs="Arial"/>
                  <w:lang w:val="pt-PT"/>
                </w:rPr>
                <w:t>2021</w:t>
              </w:r>
            </w:p>
            <w:p w14:paraId="1E7868DD" w14:textId="77777777" w:rsidR="009C47D4" w:rsidRPr="005D7E5C" w:rsidRDefault="009C47D4" w:rsidP="009C47D4">
              <w:pPr>
                <w:ind w:right="-46"/>
                <w:jc w:val="both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pt-PT"/>
                </w:rPr>
              </w:pPr>
            </w:p>
            <w:p w14:paraId="0C5B9A10" w14:textId="15B7E020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31321EFF" w14:textId="7F897DF9" w:rsidR="009C47D4" w:rsidRPr="005D7E5C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i/>
                  <w:iCs/>
                  <w:noProof/>
                  <w:color w:val="000000" w:themeColor="text1"/>
                  <w:sz w:val="22"/>
                  <w:szCs w:val="22"/>
                  <w:lang w:val="pt-PT"/>
                </w:rPr>
                <w:drawing>
                  <wp:anchor distT="0" distB="0" distL="114300" distR="114300" simplePos="0" relativeHeight="251661312" behindDoc="0" locked="0" layoutInCell="1" allowOverlap="1" wp14:anchorId="7C19BC48" wp14:editId="2451418F">
                    <wp:simplePos x="0" y="0"/>
                    <wp:positionH relativeFrom="column">
                      <wp:posOffset>-92149</wp:posOffset>
                    </wp:positionH>
                    <wp:positionV relativeFrom="paragraph">
                      <wp:posOffset>49043</wp:posOffset>
                    </wp:positionV>
                    <wp:extent cx="2004646" cy="2004646"/>
                    <wp:effectExtent l="0" t="0" r="2540" b="2540"/>
                    <wp:wrapSquare wrapText="bothSides"/>
                    <wp:docPr id="7" name="Picture 1" descr="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Logo&#10;&#10;Description automatically generated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4646" cy="20046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Wine Advocate </w:t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vela d</w:t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fun</w:t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ções totalmente novas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filtr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 de b</w:t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usca no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site </w:t>
              </w:r>
              <w:r w:rsidR="00E64366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da Internet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RobertParker.com: a pos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ibilidad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procurar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que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form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sido certificados como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ecológicos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/o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como biodin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micos. A estas 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vas fun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 de b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adiciona-se 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distintivo </w:t>
              </w:r>
              <w:r w:rsidR="009C47D4" w:rsidRPr="005D7E5C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Robert Parker Green Emblem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recon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cimento concedido 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degas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selecionad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tenham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demo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strado esf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orç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extraordinários na prossecução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práticas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respe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adoras do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meio ambiente.</w:t>
              </w:r>
            </w:p>
            <w:p w14:paraId="6ADBE58A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101D539" w14:textId="1E473E3B" w:rsidR="009C47D4" w:rsidRPr="005D7E5C" w:rsidRDefault="0078528E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Definição</w:t>
              </w:r>
              <w:r w:rsidR="009C47D4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 xml:space="preserve"> dos t</w:t>
              </w: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rmos</w:t>
              </w:r>
            </w:p>
            <w:p w14:paraId="0E5DA960" w14:textId="23B2069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Certificado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: U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vin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“certificado”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como ecológico o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biodin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mico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é aquele que empregou </w:t>
              </w:r>
              <w:r w:rsidR="00296512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métodos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plantação 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/o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elabora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auditados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verificados como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o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biodinâmicos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seg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undo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dita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normas 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uma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organiza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 independentes internacionalmente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reconhecidas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</w:t>
              </w:r>
            </w:p>
            <w:p w14:paraId="3A378E29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00557CE9" w14:textId="7F29FAFB" w:rsidR="009C47D4" w:rsidRPr="005D7E5C" w:rsidRDefault="008A29FA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Ecológico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: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viticultura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orgânica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implica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é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rie 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princípios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agrícolas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regulados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para os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quiais 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gra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exigência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estrita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comparativamente às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práticas agrícolas convenciona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 depende d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país em que 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uvas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foram produzidas e no qual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comercializa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o.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Dependendo das regiões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mundo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que a utilização do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rmo “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” está lega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mente controlad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protegid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norma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odem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variar. Para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poder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declarar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su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uvas como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organicamente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cultivadas,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viticultor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necessitará de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solicitar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certifica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u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institu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ição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auditora independente recon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cida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país de produ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ção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 Usualmente, u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vi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edo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necessitará de passar por um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período de convers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três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de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adesão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documentad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78528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compro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vada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aleatoriamente,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às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diretri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z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 naciona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s, antes que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possa ser emitida uma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certifica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cultivo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</w:t>
              </w:r>
            </w:p>
            <w:p w14:paraId="489C5A1A" w14:textId="77777777" w:rsidR="008A29FA" w:rsidRPr="005D7E5C" w:rsidRDefault="008A29FA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AA5AB18" w14:textId="27A3E5A2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t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rmos ge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rai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cultivo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uvas exclu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 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uso de su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ncias químicas artificia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como fertilizantes químicos, herbicidas 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pes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ticidas sintéticos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edo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Para a produ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vin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procedentes de “uvas cultivadas de forma ecológica”,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ma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or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dos países permite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que se aplique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co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limites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estritos que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agricultura convencional, tratamentos natura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 tradiciona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s, como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pulveriza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enxofre 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cobre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vi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edos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Entre as principais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organiza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 de certifica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prod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tos ecológicos d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mundo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incluem-se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nomes como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Ecocert,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USDA Organic,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BioGro NZ,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Australian Certified Organic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 da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EU Organic.</w:t>
              </w:r>
            </w:p>
            <w:p w14:paraId="70A19740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467CC818" w14:textId="77777777" w:rsidR="00351D1D" w:rsidRPr="005D7E5C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0234712F" w14:textId="53501741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Biodin</w:t>
              </w:r>
              <w:r w:rsidR="003C41D8" w:rsidRPr="005D7E5C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â</w:t>
              </w:r>
              <w:r w:rsidRPr="005D7E5C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mico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: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Inicialmente 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stab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lecida por Rudolf Steiner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em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1924, a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biodinâmica </w:t>
              </w:r>
              <w:r w:rsidR="008A29FA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contempla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u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rie de práticas agrícolas que 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gue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diretri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z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 de base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mais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filosófica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que as d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agricultura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convencional.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Na essência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emp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g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u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base de métodos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cultivo ecológico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como a exclus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produtos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químicos artificia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s,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envolve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 métodos. Por 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x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emplo, 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rig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rosamente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aplicadas nas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variedades compost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 infus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ões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herbáceas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especialmente concebidas para o efeito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movimentos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fases de c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rpos celestes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são habitualmente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utiliza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para determinar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calendário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práticas vitivinícolas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chaves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Entre as organiza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ções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certifica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biodinâmica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encontram-se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Demeter </w:t>
              </w:r>
              <w:r w:rsidR="003C41D8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Biodyvin.</w:t>
              </w:r>
            </w:p>
            <w:p w14:paraId="30E6C029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F66C58F" w14:textId="4AFE2C5D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Robert Parker Green Emblem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: Este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distintivo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recon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ce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bodega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ou um produtor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leva 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us esf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orços muitos mais além dos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requ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isitos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para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certifica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/o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biodinâmica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rv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ndo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como autênticos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emba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ix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ador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práticas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respeitadoras do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meio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ambiente. </w:t>
              </w:r>
            </w:p>
            <w:p w14:paraId="44B5AF34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090F36D6" w14:textId="19B765A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Crit</w:t>
              </w:r>
              <w:r w:rsidR="006F426E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é</w:t>
              </w: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 xml:space="preserve">rios para </w:t>
              </w:r>
              <w:r w:rsidR="006F426E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 xml:space="preserve">a atribuição do </w:t>
              </w: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Robert Parker Green Emblem</w:t>
              </w:r>
            </w:p>
            <w:p w14:paraId="27B75429" w14:textId="38FF5DA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Para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qualificar-se para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este galard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ão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u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ma 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dega p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de, 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n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ã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o, estar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já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certificada como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ecológica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/o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biodinâmica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Para além, ou separadamente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certifica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es,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produto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necessita de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ser u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extraordinário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defensor 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sten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bilidad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co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uma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de longo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azo d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prote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do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meio ambiente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biodiversidad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distintivo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Green Emblem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é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cuidadosamente meditado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atribuído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por méritos raros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exceciona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s.</w:t>
              </w:r>
            </w:p>
            <w:p w14:paraId="3F246703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7290A7D1" w14:textId="0A41AD24" w:rsidR="009C47D4" w:rsidRPr="005D7E5C" w:rsidRDefault="006F426E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cada ano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os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inspetores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Robert Parker Wine Advocate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nomeiam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vos candidatos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respetivas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regi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ões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consideram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merecedores d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este galard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ão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Cada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nomeação é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objeto de investiga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ção 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discus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são no seio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dentro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grupo editorial.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Q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uando 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ma ade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ga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é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recon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cida,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todos os seus futuros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ostentarão 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distintivo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Green Emblem,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até que alterações na 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dega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possam resultar em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recon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cimento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seja rescindido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</w:t>
              </w:r>
            </w:p>
            <w:p w14:paraId="3282F2F0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4AEBE52" w14:textId="703D8C18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Nicolas Achard,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Diretor Geral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Robert Parker Wine Advocate,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declara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: “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Estamos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conscientes 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cre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nte dese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j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 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consumidor por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viticultura respons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ável 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comprometida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co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meio ambiente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as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sim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da nece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sidad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ace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so 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mais fácil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esta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informa</w:t>
              </w:r>
              <w:r w:rsidR="006F426E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ção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equip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da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Robert Parker Wine Advocate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partilhamos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preocup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açõ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es,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em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por es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 motivo</w:t>
              </w:r>
              <w:r w:rsidR="00577D37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instituímos 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Green Emblem, para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destacar os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edos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que combina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a riqueza do paladar com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viticultura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sustentável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Queremos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facilitar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enc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ntro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entre estes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viticultores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comprometidos, que nos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provam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mo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respe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to p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elo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meio ambiente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exaltar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terenos e as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as, s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comprometer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 paladar e a qu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alidad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dos vin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os”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</w:t>
              </w:r>
            </w:p>
            <w:p w14:paraId="1EC84787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046CC390" w14:textId="78ADF3AA" w:rsidR="009C47D4" w:rsidRPr="005D7E5C" w:rsidRDefault="0030684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 xml:space="preserve">Lista </w:t>
              </w:r>
              <w:r w:rsidR="009C47D4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inaugural d</w:t>
              </w:r>
              <w:r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b/>
                  <w:sz w:val="20"/>
                  <w:szCs w:val="20"/>
                  <w:u w:val="single"/>
                  <w:lang w:val="pt-PT"/>
                </w:rPr>
                <w:t>Robert Parker Green Emblem</w:t>
              </w:r>
            </w:p>
            <w:p w14:paraId="5B9723A8" w14:textId="24C250D8" w:rsidR="009C47D4" w:rsidRPr="005D7E5C" w:rsidRDefault="0030684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Wine Advocate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consiste numa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equip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global de 10 exper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ientes críticos de vinhos, que estão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comprometidos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destacar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os me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lh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ores vin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mundo,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fazendo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luz sobre magníficos terr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en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 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su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diversidad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 as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sim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como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sobre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artes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ão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 exc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ciona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tradi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 intempora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s.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Liderad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la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diretora editorial Lisa Perrotti-Brown, mestra s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er,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equip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especialistas críticos de vinhos procurou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cuidadosamente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regi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õ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que lhe estão atribuídas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pesou cuidadosamente, em cada caso, os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argumentos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para incluir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degas nom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adas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lista inaugural.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distinguidas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2021 co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Robert Parker Green Emblem s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24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degas co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 resu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tados impecáveis em termos de sustentabilidade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lista compre</w:t>
              </w:r>
              <w:r w:rsidR="007C1151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nde 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it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países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cinco continentes.</w:t>
              </w:r>
            </w:p>
            <w:p w14:paraId="1157D04C" w14:textId="77777777" w:rsidR="008F640F" w:rsidRPr="005D7E5C" w:rsidRDefault="008F640F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03FD4A6" w14:textId="1D095951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“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nossos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vos filtros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Ecológico 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Biodin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mico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recon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cimentos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Robert Parker Green Emblem</w:t>
              </w:r>
              <w:r w:rsidR="0030684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,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s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ão a nossa forma de valorizar e reconhecer a crescente importância para os consumidores de vinho d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as práticas s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ustentáveis na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produ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ção vinícola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F640F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enhum outo site da Internet de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aprecia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de vin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está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assessorar desta forma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amantes d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 que dese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jam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beber 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uma 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forma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mais sustentável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. Co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es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t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novos 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me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lh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or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amentos no nosso site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nossos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su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b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scritores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têm agora 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capacidad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lastRenderedPageBreak/>
                <w:t xml:space="preserve">facilmente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encontrar grandes vin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os produ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z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idos co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uma filosofia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tornar sustentável a saúde e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viabilidad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nosso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planeta para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futuras gera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es”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296512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explica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Lisa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Perrotti-Brown.</w:t>
              </w:r>
            </w:p>
            <w:p w14:paraId="0B4B5E12" w14:textId="77777777" w:rsidR="00351D1D" w:rsidRPr="005D7E5C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3BCDBE5E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F0D02B9" w14:textId="3D2D4CC8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Aleman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(1):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Weingut Odinstal</w:t>
              </w:r>
            </w:p>
            <w:p w14:paraId="112E669A" w14:textId="09FFE6A1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Austr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á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lia (2):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Cullen Wines, Henschke</w:t>
              </w:r>
            </w:p>
            <w:p w14:paraId="3C22CAEF" w14:textId="1DFBF27F" w:rsidR="009C47D4" w:rsidRPr="005D7E5C" w:rsidRDefault="006342CC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Á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ustria (1):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Weingut Ernst Triebaumer</w:t>
              </w:r>
            </w:p>
            <w:p w14:paraId="1DCFF404" w14:textId="00F60D3B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Espa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nh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(1):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Descendientes de J.Palacios</w:t>
              </w:r>
            </w:p>
            <w:p w14:paraId="4DD0F1FA" w14:textId="13064B63" w:rsidR="009C47D4" w:rsidRPr="005D7E5C" w:rsidRDefault="009C47D4" w:rsidP="009C47D4">
              <w:pPr>
                <w:spacing w:line="276" w:lineRule="auto"/>
                <w:ind w:left="2160" w:right="-46" w:hanging="2160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UA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(5):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The Eyrie Vineyards, Horsepower Vineyards, Littoral Wines, Ridge Vineyards, Spottswood Estate</w:t>
              </w:r>
            </w:p>
            <w:p w14:paraId="63DFEA52" w14:textId="59D8278E" w:rsidR="009C47D4" w:rsidRPr="005D7E5C" w:rsidRDefault="009C47D4" w:rsidP="00351D1D">
              <w:pPr>
                <w:spacing w:line="276" w:lineRule="auto"/>
                <w:ind w:left="2160" w:right="-46" w:hanging="2160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Fran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ç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(8):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 xml:space="preserve">Champagne Lemandier-Bernier, Gerard Bertrand, Domaine Leroy &amp; Domaine </w:t>
              </w:r>
              <w:r w:rsidR="00351D1D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d’Auvenay, Domaine Bruno Lorenzon, Château Pontet-Canet, Louis Roederer, Felix et Gabin Richoux, Domaine Valentin Zusslin</w:t>
              </w:r>
            </w:p>
            <w:p w14:paraId="5156D801" w14:textId="0B3E133A" w:rsidR="00351D1D" w:rsidRPr="005D7E5C" w:rsidRDefault="00351D1D" w:rsidP="00351D1D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It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á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lia (3):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 xml:space="preserve">Alois Lageder, Salcheto, Tasca d’Almerita </w:t>
              </w:r>
            </w:p>
            <w:p w14:paraId="202D3836" w14:textId="24CD333C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va Zel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nd</w:t>
              </w:r>
              <w:r w:rsidR="006342CC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a (1):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Milton Vineyards &amp; Winery</w:t>
              </w:r>
            </w:p>
            <w:p w14:paraId="01D24317" w14:textId="21A54FE7" w:rsidR="009C47D4" w:rsidRPr="005D7E5C" w:rsidRDefault="006342CC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Á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frica </w:t>
              </w: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do Sul 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>(2):</w:t>
              </w:r>
              <w:r w:rsidR="009C47D4"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  <w:t>Reyneke, Sadie Family Wines</w:t>
              </w:r>
            </w:p>
            <w:p w14:paraId="7A648A2A" w14:textId="4DD125A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6B9E5254" w14:textId="33C9587A" w:rsidR="00351D1D" w:rsidRPr="005D7E5C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4E5412D1" w14:textId="77777777" w:rsidR="00351D1D" w:rsidRPr="005D7E5C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7E157208" w14:textId="77777777" w:rsidR="009C47D4" w:rsidRPr="005D7E5C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7C488BB" w14:textId="1F63044C" w:rsidR="009C47D4" w:rsidRPr="005D7E5C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n-US"/>
                </w:rPr>
              </w:pPr>
              <w:r w:rsidRPr="005D7E5C">
                <w:rPr>
                  <w:rFonts w:ascii="Arial" w:hAnsi="Arial" w:cs="Arial"/>
                  <w:b/>
                  <w:sz w:val="16"/>
                  <w:szCs w:val="16"/>
                  <w:u w:val="single"/>
                  <w:lang w:val="en-US"/>
                </w:rPr>
                <w:t xml:space="preserve">Sobre </w:t>
              </w:r>
              <w:r w:rsidR="006342CC" w:rsidRPr="005D7E5C">
                <w:rPr>
                  <w:rFonts w:ascii="Arial" w:hAnsi="Arial" w:cs="Arial"/>
                  <w:b/>
                  <w:sz w:val="16"/>
                  <w:szCs w:val="16"/>
                  <w:u w:val="single"/>
                  <w:lang w:val="en-US"/>
                </w:rPr>
                <w:t xml:space="preserve">a </w:t>
              </w:r>
              <w:r w:rsidRPr="005D7E5C">
                <w:rPr>
                  <w:rFonts w:ascii="Arial" w:hAnsi="Arial" w:cs="Arial"/>
                  <w:b/>
                  <w:sz w:val="16"/>
                  <w:szCs w:val="16"/>
                  <w:u w:val="single"/>
                  <w:lang w:val="en-US"/>
                </w:rPr>
                <w:t>Robert Parker Wine Advocate</w:t>
              </w:r>
            </w:p>
            <w:p w14:paraId="69BE3018" w14:textId="254B4D58" w:rsidR="009C47D4" w:rsidRPr="005D7E5C" w:rsidRDefault="006342CC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Robert Parker Wine Advocate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é o primeiro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site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da Internet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independente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do mundo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para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assessoria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de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compradores de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vin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h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o, co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u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m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a base de da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d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os de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mais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de 45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0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000 notas de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prova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, p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ontuações e avaliações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de críticos prof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is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siona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i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s de todo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mundo.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Ao longo de mais de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40 a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n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os,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Robert Parker Wine Advocate (parte d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grupo </w:t>
              </w: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de empresas da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MICHELIN)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tem sido o guia de consumidores de bons vinhos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líder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 nível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global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e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independente, co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 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s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e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u sistema de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avaliação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de 100 p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o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ntos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e uma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profunda 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cobertura das mais 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importantes</w:t>
              </w:r>
              <w:r w:rsidR="007C1151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 regiões vinícolas</w:t>
              </w:r>
              <w:r w:rsidR="009C47D4"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>.</w:t>
              </w:r>
            </w:p>
            <w:p w14:paraId="4047F178" w14:textId="77777777" w:rsidR="009C47D4" w:rsidRPr="005D7E5C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2813E4DE" w14:textId="77777777" w:rsidR="009C47D4" w:rsidRPr="005D7E5C" w:rsidRDefault="009C47D4" w:rsidP="009C47D4">
              <w:pPr>
                <w:ind w:right="-46"/>
                <w:jc w:val="both"/>
                <w:rPr>
                  <w:rFonts w:ascii="Arial" w:hAnsi="Arial" w:cs="Arial"/>
                  <w:iCs/>
                  <w:sz w:val="16"/>
                  <w:szCs w:val="16"/>
                  <w:lang w:val="pt-PT"/>
                </w:rPr>
              </w:pPr>
            </w:p>
            <w:p w14:paraId="1E3FE215" w14:textId="26DDAF93" w:rsidR="009C47D4" w:rsidRPr="005D7E5C" w:rsidRDefault="009C47D4" w:rsidP="009C47D4">
              <w:pPr>
                <w:ind w:right="-46"/>
                <w:jc w:val="both"/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 xml:space="preserve">Sobre </w:t>
              </w:r>
              <w:r w:rsidR="007C1151" w:rsidRPr="005D7E5C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 xml:space="preserve">a </w:t>
              </w:r>
              <w:r w:rsidRPr="005D7E5C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>MICHELIN</w:t>
              </w:r>
            </w:p>
            <w:p w14:paraId="28B09BD5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iCs/>
                  <w:sz w:val="16"/>
                  <w:szCs w:val="16"/>
                  <w:lang w:val="pt-PT"/>
                </w:rPr>
              </w:pPr>
              <w:r w:rsidRPr="005D7E5C">
                <w:rPr>
                  <w:rFonts w:ascii="Arial" w:hAnsi="Arial" w:cs="Arial"/>
                  <w:iCs/>
                  <w:sz w:val="16"/>
                  <w:szCs w:val="16"/>
                  <w:lang w:val="pt-PT"/>
                </w:rPr>
        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        </w:r>
              <w:hyperlink r:id="rId8" w:history="1">
                <w:r w:rsidRPr="005D7E5C">
                  <w:rPr>
                    <w:rStyle w:val="Hipervnculo"/>
                    <w:rFonts w:ascii="Arial" w:eastAsia="Times" w:hAnsi="Arial" w:cs="Arial"/>
                    <w:iCs/>
                    <w:sz w:val="16"/>
                    <w:szCs w:val="16"/>
                    <w:lang w:val="pt-PT"/>
                  </w:rPr>
                  <w:t>www.michelin.pt</w:t>
                </w:r>
              </w:hyperlink>
              <w:r w:rsidRPr="005D7E5C">
                <w:rPr>
                  <w:rFonts w:ascii="Arial" w:hAnsi="Arial" w:cs="Arial"/>
                  <w:iCs/>
                  <w:sz w:val="16"/>
                  <w:szCs w:val="16"/>
                  <w:lang w:val="pt-PT"/>
                </w:rPr>
                <w:t>).</w:t>
              </w:r>
            </w:p>
            <w:p w14:paraId="1A56F234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</w:p>
            <w:p w14:paraId="149674BC" w14:textId="77777777" w:rsidR="007C1151" w:rsidRPr="005D7E5C" w:rsidRDefault="007C1151" w:rsidP="007C1151">
              <w:pPr>
                <w:tabs>
                  <w:tab w:val="left" w:pos="2192"/>
                </w:tabs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  <w:r w:rsidRPr="005D7E5C">
                <w:rPr>
                  <w:rFonts w:ascii="Arial" w:hAnsi="Arial" w:cs="Arial"/>
                  <w:sz w:val="16"/>
                  <w:szCs w:val="16"/>
                  <w:lang w:val="pt-PT"/>
                </w:rPr>
                <w:tab/>
              </w:r>
            </w:p>
            <w:p w14:paraId="6B08FA7B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27E24A3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4C50670B" w14:textId="77777777" w:rsidR="007C1151" w:rsidRPr="005D7E5C" w:rsidRDefault="007C1151" w:rsidP="007C1151">
              <w:pPr>
                <w:tabs>
                  <w:tab w:val="left" w:pos="3451"/>
                </w:tabs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sz w:val="20"/>
                  <w:szCs w:val="20"/>
                  <w:lang w:val="pt-PT"/>
                </w:rPr>
                <w:tab/>
              </w:r>
            </w:p>
            <w:p w14:paraId="35998F60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F1E1351" w14:textId="77777777" w:rsidR="007C1151" w:rsidRPr="005D7E5C" w:rsidRDefault="007C1151" w:rsidP="007C1151">
              <w:pPr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FD7E22B" w14:textId="77777777" w:rsidR="007C1151" w:rsidRPr="005D7E5C" w:rsidRDefault="007C1151" w:rsidP="007C1151">
              <w:pPr>
                <w:spacing w:line="276" w:lineRule="auto"/>
                <w:jc w:val="center"/>
                <w:rPr>
                  <w:rFonts w:ascii="Arial" w:hAnsi="Arial" w:cs="Arial"/>
                  <w:sz w:val="28"/>
                  <w:szCs w:val="28"/>
                  <w:lang w:val="pt-PT"/>
                </w:rPr>
              </w:pPr>
              <w:r w:rsidRPr="005D7E5C">
                <w:rPr>
                  <w:rFonts w:ascii="Arial" w:hAnsi="Arial" w:cs="Arial"/>
                  <w:sz w:val="28"/>
                  <w:szCs w:val="28"/>
                  <w:lang w:val="pt-PT"/>
                </w:rPr>
                <w:t>DEPARTAMENTO DE COMUNICAÇÃO COMERCIAL</w:t>
              </w:r>
            </w:p>
            <w:p w14:paraId="380C59FF" w14:textId="77777777" w:rsidR="007C1151" w:rsidRPr="005D7E5C" w:rsidRDefault="007C1151" w:rsidP="007C1151">
              <w:pPr>
                <w:tabs>
                  <w:tab w:val="left" w:pos="2780"/>
                  <w:tab w:val="center" w:pos="4513"/>
                </w:tabs>
                <w:spacing w:line="276" w:lineRule="auto"/>
                <w:jc w:val="center"/>
                <w:rPr>
                  <w:rFonts w:ascii="Arial" w:hAnsi="Arial" w:cs="Arial"/>
                  <w:b/>
                  <w:bCs/>
                  <w:sz w:val="28"/>
                  <w:szCs w:val="28"/>
                  <w:lang w:val="pt-PT"/>
                </w:rPr>
              </w:pPr>
              <w:r w:rsidRPr="005D7E5C">
                <w:rPr>
                  <w:rFonts w:ascii="Arial" w:hAnsi="Arial" w:cs="Arial"/>
                  <w:b/>
                  <w:bCs/>
                  <w:sz w:val="28"/>
                  <w:szCs w:val="28"/>
                  <w:lang w:val="pt-PT"/>
                </w:rPr>
                <w:t>+34 609 452 532</w:t>
              </w:r>
            </w:p>
            <w:p w14:paraId="4CE56553" w14:textId="77777777" w:rsidR="007C1151" w:rsidRPr="005D7E5C" w:rsidRDefault="007C1151" w:rsidP="007C1151">
              <w:pPr>
                <w:spacing w:line="276" w:lineRule="auto"/>
                <w:jc w:val="center"/>
                <w:rPr>
                  <w:rFonts w:ascii="Arial" w:hAnsi="Arial" w:cs="Arial"/>
                  <w:sz w:val="28"/>
                  <w:szCs w:val="28"/>
                  <w:lang w:val="pt-PT"/>
                </w:rPr>
              </w:pPr>
              <w:r w:rsidRPr="005D7E5C">
                <w:rPr>
                  <w:rFonts w:ascii="Arial" w:hAnsi="Arial" w:cs="Arial"/>
                  <w:sz w:val="28"/>
                  <w:szCs w:val="28"/>
                  <w:lang w:val="pt-PT"/>
                </w:rPr>
                <w:t>angel.pardo-castro@michelin.com</w:t>
              </w:r>
            </w:p>
            <w:p w14:paraId="176D0B41" w14:textId="77777777" w:rsidR="007C1151" w:rsidRPr="005D7E5C" w:rsidRDefault="007C1151" w:rsidP="007C1151">
              <w:pPr>
                <w:jc w:val="center"/>
                <w:rPr>
                  <w:rFonts w:ascii="Arial" w:hAnsi="Arial" w:cs="Arial"/>
                  <w:lang w:val="pt-PT"/>
                </w:rPr>
              </w:pPr>
              <w:r w:rsidRPr="005D7E5C">
                <w:rPr>
                  <w:rFonts w:ascii="Arial" w:hAnsi="Arial" w:cs="Arial"/>
                  <w:noProof/>
                  <w:sz w:val="36"/>
                  <w:szCs w:val="36"/>
                  <w:lang w:val="pt-PT"/>
                </w:rPr>
                <w:drawing>
                  <wp:inline distT="0" distB="0" distL="0" distR="0" wp14:anchorId="381132DA" wp14:editId="06D8B4BC">
                    <wp:extent cx="1612265" cy="177730"/>
                    <wp:effectExtent l="0" t="0" r="635" b="635"/>
                    <wp:docPr id="1" name="Image 75" descr="Graphical user interface, text, application, email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 75" descr="Graphical user interface, text, application, email&#10;&#10;Description automatically generated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648" t="44151" r="38831" b="49475"/>
                            <a:stretch/>
                          </pic:blipFill>
                          <pic:spPr bwMode="auto">
                            <a:xfrm>
                              <a:off x="0" y="0"/>
                              <a:ext cx="1613213" cy="177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Tablaconcuadrcul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16"/>
              </w:tblGrid>
              <w:tr w:rsidR="007C1151" w:rsidRPr="005D7E5C" w14:paraId="62E4E693" w14:textId="77777777" w:rsidTr="00EC24D1">
                <w:tc>
                  <w:tcPr>
                    <w:tcW w:w="9016" w:type="dxa"/>
                  </w:tcPr>
                  <w:p w14:paraId="4D5577E2" w14:textId="77777777" w:rsidR="007C1151" w:rsidRPr="005D7E5C" w:rsidRDefault="00B51446" w:rsidP="00EC24D1">
                    <w:pPr>
                      <w:jc w:val="center"/>
                      <w:rPr>
                        <w:rFonts w:ascii="Arial" w:hAnsi="Arial" w:cs="Arial"/>
                        <w:color w:val="08519D"/>
                        <w:lang w:val="pt-PT"/>
                      </w:rPr>
                    </w:pPr>
                    <w:hyperlink r:id="rId11" w:history="1">
                      <w:r w:rsidR="007C1151" w:rsidRPr="005D7E5C">
                        <w:rPr>
                          <w:rStyle w:val="Hipervnculo"/>
                          <w:rFonts w:ascii="Arial" w:hAnsi="Arial" w:cs="Arial"/>
                          <w:lang w:val="pt-PT"/>
                        </w:rPr>
                        <w:t>www.michelin.es</w:t>
                      </w:r>
                    </w:hyperlink>
                  </w:p>
                </w:tc>
              </w:tr>
              <w:tr w:rsidR="007C1151" w:rsidRPr="005D7E5C" w14:paraId="665FF923" w14:textId="77777777" w:rsidTr="00EC24D1">
                <w:tc>
                  <w:tcPr>
                    <w:tcW w:w="9016" w:type="dxa"/>
                  </w:tcPr>
                  <w:p w14:paraId="026E8E91" w14:textId="77777777" w:rsidR="007C1151" w:rsidRPr="005D7E5C" w:rsidRDefault="007C1151" w:rsidP="00EC24D1">
                    <w:pPr>
                      <w:jc w:val="center"/>
                      <w:rPr>
                        <w:rFonts w:ascii="Arial" w:hAnsi="Arial" w:cs="Arial"/>
                        <w:color w:val="08519D"/>
                        <w:lang w:val="pt-PT"/>
                      </w:rPr>
                    </w:pPr>
                    <w:r w:rsidRPr="005D7E5C">
                      <w:rPr>
                        <w:rFonts w:ascii="Arial" w:hAnsi="Arial" w:cs="Arial"/>
                        <w:noProof/>
                        <w:sz w:val="36"/>
                        <w:szCs w:val="36"/>
                        <w:lang w:val="pt-PT"/>
                      </w:rPr>
                      <w:drawing>
                        <wp:inline distT="0" distB="0" distL="0" distR="0" wp14:anchorId="429A341D" wp14:editId="30CE0FA2">
                          <wp:extent cx="214630" cy="174625"/>
                          <wp:effectExtent l="0" t="0" r="1270" b="3175"/>
                          <wp:docPr id="11" name="Image 75" descr="Graphical user interface, text, application, emai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 75" descr="Graphical user interface, text, application, email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2" r:link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9983" t="61481" r="57112" b="3217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6813" cy="176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7E5C">
                      <w:rPr>
                        <w:rFonts w:ascii="Arial" w:hAnsi="Arial" w:cs="Arial"/>
                        <w:color w:val="08519D"/>
                        <w:lang w:val="pt-PT"/>
                      </w:rPr>
                      <w:t xml:space="preserve"> @MichelinPress</w:t>
                    </w:r>
                  </w:p>
                </w:tc>
              </w:tr>
            </w:tbl>
            <w:p w14:paraId="0AE590DB" w14:textId="77777777" w:rsidR="007C1151" w:rsidRPr="005D7E5C" w:rsidRDefault="007C1151" w:rsidP="007C1151">
              <w:pPr>
                <w:jc w:val="center"/>
                <w:rPr>
                  <w:rFonts w:ascii="Arial" w:hAnsi="Arial" w:cs="Arial"/>
                  <w:lang w:val="pt-PT"/>
                </w:rPr>
              </w:pPr>
            </w:p>
            <w:p w14:paraId="66C92C88" w14:textId="74281030" w:rsidR="00C61287" w:rsidRPr="005D7E5C" w:rsidRDefault="007C1151" w:rsidP="007C1151">
              <w:pPr>
                <w:jc w:val="center"/>
                <w:rPr>
                  <w:rFonts w:ascii="Arial" w:hAnsi="Arial" w:cs="Arial"/>
                  <w:color w:val="000000" w:themeColor="text1"/>
                  <w:sz w:val="20"/>
                  <w:szCs w:val="20"/>
                  <w:lang w:val="pt-PT"/>
                </w:rPr>
              </w:pPr>
              <w:r w:rsidRPr="005D7E5C">
                <w:rPr>
                  <w:rFonts w:ascii="Arial" w:hAnsi="Arial" w:cs="Arial"/>
                  <w:lang w:val="pt-PT"/>
                </w:rPr>
                <w:t>Avenida de los Encuartes, 19 – 28760 Tres Cantos – Madrid. ESPANHA</w:t>
              </w:r>
            </w:p>
          </w:sdtContent>
        </w:sdt>
      </w:sdtContent>
    </w:sdt>
    <w:sectPr w:rsidR="00C61287" w:rsidRPr="005D7E5C" w:rsidSect="00351D1D">
      <w:headerReference w:type="default" r:id="rId13"/>
      <w:headerReference w:type="first" r:id="rId14"/>
      <w:pgSz w:w="11906" w:h="16838"/>
      <w:pgMar w:top="1440" w:right="1440" w:bottom="1520" w:left="1440" w:header="204" w:footer="709" w:gutter="0"/>
      <w:pgBorders w:offsetFrom="page">
        <w:top w:val="single" w:sz="48" w:space="0" w:color="009983"/>
        <w:left w:val="single" w:sz="48" w:space="0" w:color="009983"/>
        <w:bottom w:val="single" w:sz="48" w:space="0" w:color="009983"/>
        <w:right w:val="single" w:sz="48" w:space="0" w:color="00998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25B7" w14:textId="77777777" w:rsidR="00B51446" w:rsidRDefault="00B51446" w:rsidP="00F24D98">
      <w:r>
        <w:separator/>
      </w:r>
    </w:p>
  </w:endnote>
  <w:endnote w:type="continuationSeparator" w:id="0">
    <w:p w14:paraId="1C3847C7" w14:textId="77777777" w:rsidR="00B51446" w:rsidRDefault="00B5144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137A" w14:textId="77777777" w:rsidR="00B51446" w:rsidRDefault="00B51446" w:rsidP="00F24D98">
      <w:r>
        <w:separator/>
      </w:r>
    </w:p>
  </w:footnote>
  <w:footnote w:type="continuationSeparator" w:id="0">
    <w:p w14:paraId="193E93F1" w14:textId="77777777" w:rsidR="00B51446" w:rsidRDefault="00B5144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505A" w14:textId="653A60D8" w:rsidR="00C53F0C" w:rsidRPr="00C53F0C" w:rsidRDefault="00967D2C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inline distT="0" distB="0" distL="0" distR="0" wp14:anchorId="04AA8028" wp14:editId="2C4DCC2F">
          <wp:extent cx="1724660" cy="520065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252CF86" wp14:editId="10A4C66F">
          <wp:simplePos x="0" y="0"/>
          <wp:positionH relativeFrom="margin">
            <wp:posOffset>4159250</wp:posOffset>
          </wp:positionH>
          <wp:positionV relativeFrom="paragraph">
            <wp:posOffset>-51435</wp:posOffset>
          </wp:positionV>
          <wp:extent cx="2402205" cy="7683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ichelin Unit Titling" w:hAnsi="Michelin Unit Titling"/>
        <w:color w:val="404040" w:themeColor="text1" w:themeTint="BF"/>
      </w:rPr>
      <w:tab/>
    </w:r>
    <w:r>
      <w:rPr>
        <w:rFonts w:ascii="Michelin Unit Titling" w:hAnsi="Michelin Unit Titling"/>
        <w:color w:val="404040" w:themeColor="text1" w:themeTint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2FD09FF" w:rsidR="001963B1" w:rsidRDefault="009730EA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32BC43" wp14:editId="4C4A6D0B">
          <wp:simplePos x="0" y="0"/>
          <wp:positionH relativeFrom="margin">
            <wp:posOffset>4140835</wp:posOffset>
          </wp:positionH>
          <wp:positionV relativeFrom="paragraph">
            <wp:posOffset>12700</wp:posOffset>
          </wp:positionV>
          <wp:extent cx="2402205" cy="7683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3E3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2B7B07A1">
              <wp:simplePos x="0" y="0"/>
              <wp:positionH relativeFrom="page">
                <wp:posOffset>190500</wp:posOffset>
              </wp:positionH>
              <wp:positionV relativeFrom="paragraph">
                <wp:posOffset>1332230</wp:posOffset>
              </wp:positionV>
              <wp:extent cx="1600200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276146B8" w:rsidR="008B73E3" w:rsidRPr="00AC0E74" w:rsidRDefault="008B73E3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EXP</w:t>
                          </w:r>
                          <w:r w:rsidR="00885E5B">
                            <w:rPr>
                              <w:rFonts w:ascii="Michelin Unit Titling" w:hAnsi="Michelin Unit Titling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RIENCES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5pt;margin-top:104.9pt;width:1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" fillcolor="white [3201]" stroked="f" strokeweight=".5pt">
              <v:textbox>
                <w:txbxContent>
                  <w:p w14:paraId="7DF7C83A" w14:textId="276146B8" w:rsidR="008B73E3" w:rsidRPr="00AC0E74" w:rsidRDefault="008B73E3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EXP</w:t>
                    </w:r>
                    <w:r w:rsidR="00885E5B">
                      <w:rPr>
                        <w:rFonts w:ascii="Michelin Unit Titling" w:hAnsi="Michelin Unit Titling"/>
                        <w:color w:val="575757"/>
                      </w:rPr>
                      <w:t>E</w:t>
                    </w:r>
                    <w:r>
                      <w:rPr>
                        <w:rFonts w:ascii="Michelin Unit Titling" w:hAnsi="Michelin Unit Titling"/>
                        <w:color w:val="575757"/>
                      </w:rPr>
                      <w:t>RIENCES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CDCF5EE" wp14:editId="53D3896C">
          <wp:extent cx="1762760" cy="520065"/>
          <wp:effectExtent l="0" t="0" r="889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35BD0"/>
    <w:rsid w:val="00041EED"/>
    <w:rsid w:val="0006333E"/>
    <w:rsid w:val="00085029"/>
    <w:rsid w:val="00087673"/>
    <w:rsid w:val="000B3F91"/>
    <w:rsid w:val="00112957"/>
    <w:rsid w:val="00116A1A"/>
    <w:rsid w:val="001963B1"/>
    <w:rsid w:val="0021595A"/>
    <w:rsid w:val="002462FF"/>
    <w:rsid w:val="00262F8B"/>
    <w:rsid w:val="00274DC8"/>
    <w:rsid w:val="0027531F"/>
    <w:rsid w:val="00287676"/>
    <w:rsid w:val="00296512"/>
    <w:rsid w:val="002E44BA"/>
    <w:rsid w:val="00306844"/>
    <w:rsid w:val="0030690B"/>
    <w:rsid w:val="00307C0A"/>
    <w:rsid w:val="00351D1D"/>
    <w:rsid w:val="00383FFE"/>
    <w:rsid w:val="00387E23"/>
    <w:rsid w:val="003C41D8"/>
    <w:rsid w:val="00401D23"/>
    <w:rsid w:val="0041774C"/>
    <w:rsid w:val="004237CD"/>
    <w:rsid w:val="00433BE4"/>
    <w:rsid w:val="004365DD"/>
    <w:rsid w:val="00437169"/>
    <w:rsid w:val="00454406"/>
    <w:rsid w:val="00471963"/>
    <w:rsid w:val="00473C39"/>
    <w:rsid w:val="00493386"/>
    <w:rsid w:val="0049612A"/>
    <w:rsid w:val="004A7A65"/>
    <w:rsid w:val="004C6A8C"/>
    <w:rsid w:val="004D1930"/>
    <w:rsid w:val="004E3294"/>
    <w:rsid w:val="004E4724"/>
    <w:rsid w:val="00505743"/>
    <w:rsid w:val="00577D37"/>
    <w:rsid w:val="005D7E5C"/>
    <w:rsid w:val="005F1622"/>
    <w:rsid w:val="00620BBB"/>
    <w:rsid w:val="006342CC"/>
    <w:rsid w:val="006C44F0"/>
    <w:rsid w:val="006F426E"/>
    <w:rsid w:val="00723C54"/>
    <w:rsid w:val="007441E6"/>
    <w:rsid w:val="00773388"/>
    <w:rsid w:val="0078528E"/>
    <w:rsid w:val="00785BD9"/>
    <w:rsid w:val="007A535E"/>
    <w:rsid w:val="007C1151"/>
    <w:rsid w:val="007E4C36"/>
    <w:rsid w:val="0085450A"/>
    <w:rsid w:val="00877B40"/>
    <w:rsid w:val="00885E5B"/>
    <w:rsid w:val="008A29FA"/>
    <w:rsid w:val="008A6711"/>
    <w:rsid w:val="008B73E3"/>
    <w:rsid w:val="008F640F"/>
    <w:rsid w:val="009203BF"/>
    <w:rsid w:val="0093532F"/>
    <w:rsid w:val="00967D2C"/>
    <w:rsid w:val="009730EA"/>
    <w:rsid w:val="009C47D4"/>
    <w:rsid w:val="00A35FCE"/>
    <w:rsid w:val="00AB0946"/>
    <w:rsid w:val="00AB47DE"/>
    <w:rsid w:val="00AC0E74"/>
    <w:rsid w:val="00AC129F"/>
    <w:rsid w:val="00B51446"/>
    <w:rsid w:val="00B54E4E"/>
    <w:rsid w:val="00B6530A"/>
    <w:rsid w:val="00B76BDF"/>
    <w:rsid w:val="00B97B28"/>
    <w:rsid w:val="00BB1209"/>
    <w:rsid w:val="00C000CC"/>
    <w:rsid w:val="00C3086F"/>
    <w:rsid w:val="00C53F0C"/>
    <w:rsid w:val="00C61287"/>
    <w:rsid w:val="00C763EE"/>
    <w:rsid w:val="00C76700"/>
    <w:rsid w:val="00CD2047"/>
    <w:rsid w:val="00CF0663"/>
    <w:rsid w:val="00D24541"/>
    <w:rsid w:val="00D67EFC"/>
    <w:rsid w:val="00D92EFF"/>
    <w:rsid w:val="00DA3F73"/>
    <w:rsid w:val="00DA4489"/>
    <w:rsid w:val="00DB7FA5"/>
    <w:rsid w:val="00DD5C33"/>
    <w:rsid w:val="00E20873"/>
    <w:rsid w:val="00E45485"/>
    <w:rsid w:val="00E605AC"/>
    <w:rsid w:val="00E64366"/>
    <w:rsid w:val="00E73CD0"/>
    <w:rsid w:val="00E8035E"/>
    <w:rsid w:val="00E87011"/>
    <w:rsid w:val="00EE006A"/>
    <w:rsid w:val="00F24D98"/>
    <w:rsid w:val="00F435A2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6128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chelin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i_kl7q6gpk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1370</Words>
  <Characters>7539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2021-06-30T11:57:00Z</dcterms:created>
  <dcterms:modified xsi:type="dcterms:W3CDTF">2021-06-30T14:23:00Z</dcterms:modified>
</cp:coreProperties>
</file>