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95E83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895E83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895E83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70E6621" w:rsidR="006D398C" w:rsidRPr="00895E8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32D78">
        <w:rPr>
          <w:rFonts w:ascii="Arial" w:hAnsi="Arial" w:cs="Arial"/>
          <w:sz w:val="20"/>
          <w:szCs w:val="20"/>
          <w:lang w:val="es-ES"/>
        </w:rPr>
        <w:t>26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 de </w:t>
      </w:r>
      <w:r w:rsidR="00832D78">
        <w:rPr>
          <w:rFonts w:ascii="Arial" w:hAnsi="Arial" w:cs="Arial"/>
          <w:sz w:val="20"/>
          <w:szCs w:val="20"/>
          <w:lang w:val="es-ES"/>
        </w:rPr>
        <w:t>octubre</w:t>
      </w:r>
      <w:r w:rsidR="006D398C" w:rsidRPr="00895E83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895E83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895E83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B74BA74" w:rsidR="006D398C" w:rsidRPr="00895E83" w:rsidRDefault="00832D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Información financiera a 30 de septiembre de 2021</w:t>
          </w:r>
        </w:p>
        <w:p w14:paraId="5614BB42" w14:textId="274536E7" w:rsidR="006D398C" w:rsidRPr="00895E8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B713BB1" w14:textId="1D908ED7" w:rsidR="00832D78" w:rsidRPr="00832D78" w:rsidRDefault="00695F8B" w:rsidP="00832D78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pesar de un entorno cada vez más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difícil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, Michelin registró unas ventas de 17.200 millones de euros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durante los primeros nueve meses de</w:t>
          </w:r>
          <w:r w:rsidR="00EB1EF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 año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lo que supone 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aumento del 15,6%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respecto al mismo período del año anterior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El Grupo mantiene sus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previsiones</w:t>
          </w:r>
          <w:r w:rsidR="00832D78" w:rsidRPr="00832D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para 2021.</w:t>
          </w:r>
        </w:p>
        <w:p w14:paraId="25580CFE" w14:textId="64D9AEBF" w:rsidR="00523432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2DF1179" w14:textId="77D26574" w:rsidR="002E7F2B" w:rsidRPr="00832D78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32D78">
            <w:rPr>
              <w:rFonts w:ascii="Arial" w:hAnsi="Arial" w:cs="Arial"/>
              <w:sz w:val="20"/>
              <w:szCs w:val="20"/>
              <w:lang w:val="es-ES"/>
            </w:rPr>
            <w:t>El entorno en el que opera el Grupo se caracteriza por</w:t>
          </w:r>
          <w:r w:rsidR="00695F8B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7460AE29" w14:textId="77777777" w:rsidR="006D398C" w:rsidRPr="00895E83" w:rsidRDefault="006D398C" w:rsidP="002E7F2B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58645A8" w14:textId="738C3B9D" w:rsidR="002E7F2B" w:rsidRPr="002E7F2B" w:rsidRDefault="002E7F2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 w:rsidRPr="002E7F2B">
            <w:rPr>
              <w:rFonts w:ascii="Arial" w:hAnsi="Arial" w:cs="Arial"/>
              <w:lang w:val="es-ES"/>
            </w:rPr>
            <w:t>la persistencia de la crisis sanitari</w:t>
          </w:r>
          <w:r w:rsidR="00695F8B">
            <w:rPr>
              <w:rFonts w:ascii="Arial" w:hAnsi="Arial" w:cs="Arial"/>
              <w:lang w:val="es-ES"/>
            </w:rPr>
            <w:t>a</w:t>
          </w:r>
        </w:p>
        <w:p w14:paraId="5B2AF853" w14:textId="28827211" w:rsidR="002E7F2B" w:rsidRPr="002E7F2B" w:rsidRDefault="002E7F2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 w:rsidRPr="002E7F2B">
            <w:rPr>
              <w:rFonts w:ascii="Arial" w:hAnsi="Arial" w:cs="Arial"/>
              <w:lang w:val="es-ES"/>
            </w:rPr>
            <w:t xml:space="preserve">las </w:t>
          </w:r>
          <w:r w:rsidR="00695F8B">
            <w:rPr>
              <w:rFonts w:ascii="Arial" w:hAnsi="Arial" w:cs="Arial"/>
              <w:lang w:val="es-ES"/>
            </w:rPr>
            <w:t xml:space="preserve">fuerte desorganización de las </w:t>
          </w:r>
          <w:r w:rsidRPr="002E7F2B">
            <w:rPr>
              <w:rFonts w:ascii="Arial" w:hAnsi="Arial" w:cs="Arial"/>
              <w:lang w:val="es-ES"/>
            </w:rPr>
            <w:t>cadenas de suministr</w:t>
          </w:r>
          <w:r w:rsidR="00695F8B">
            <w:rPr>
              <w:rFonts w:ascii="Arial" w:hAnsi="Arial" w:cs="Arial"/>
              <w:lang w:val="es-ES"/>
            </w:rPr>
            <w:t>o</w:t>
          </w:r>
        </w:p>
        <w:p w14:paraId="1A856E22" w14:textId="77777777" w:rsidR="002E7F2B" w:rsidRPr="002E7F2B" w:rsidRDefault="002E7F2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 w:rsidRPr="002E7F2B">
            <w:rPr>
              <w:rFonts w:ascii="Arial" w:hAnsi="Arial" w:cs="Arial"/>
              <w:lang w:val="es-ES"/>
            </w:rPr>
            <w:t>la inflación de las materias primas y los costes logísticos, que se extiende a los costes energéticos</w:t>
          </w:r>
        </w:p>
        <w:p w14:paraId="0BDEC9FF" w14:textId="0C44312C" w:rsidR="002E7F2B" w:rsidRPr="002E7F2B" w:rsidRDefault="002E7F2B" w:rsidP="00695F8B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 w:rsidRPr="002E7F2B">
            <w:rPr>
              <w:rFonts w:ascii="Arial" w:hAnsi="Arial" w:cs="Arial"/>
              <w:lang w:val="es-ES"/>
            </w:rPr>
            <w:t>el empeoramiento de la escasez de mano de obra en Norteamérica y, en menor medida, en Europa.</w:t>
          </w:r>
        </w:p>
        <w:p w14:paraId="32DAF8C4" w14:textId="77777777" w:rsidR="002E7F2B" w:rsidRPr="00895E83" w:rsidRDefault="002E7F2B" w:rsidP="00695F8B">
          <w:pPr>
            <w:pStyle w:val="Prrafodelista"/>
            <w:ind w:left="426" w:hanging="284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7EBDBCD3" w14:textId="0BAD6952" w:rsid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32D78">
            <w:rPr>
              <w:rFonts w:ascii="Arial" w:hAnsi="Arial" w:cs="Arial"/>
              <w:sz w:val="20"/>
              <w:szCs w:val="20"/>
              <w:lang w:val="es-ES"/>
            </w:rPr>
            <w:t xml:space="preserve">En este contexto, y con una base de comparación menos favorable que en el primer semestre, la demanda de neumáticos en el tercer trimestre evolucionó </w:t>
          </w:r>
          <w:r w:rsidR="00695F8B">
            <w:rPr>
              <w:rFonts w:ascii="Arial" w:hAnsi="Arial" w:cs="Arial"/>
              <w:sz w:val="20"/>
              <w:szCs w:val="20"/>
              <w:lang w:val="es-ES"/>
            </w:rPr>
            <w:t>de la siguiente manera</w:t>
          </w:r>
          <w:r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08235DF7" w14:textId="77777777" w:rsidR="002E7F2B" w:rsidRPr="00895E83" w:rsidRDefault="002E7F2B" w:rsidP="002E7F2B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6B9B521" w14:textId="2F948CB2" w:rsidR="002E7F2B" w:rsidRPr="002E7F2B" w:rsidRDefault="00CC4893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En el mercado de neumáticos </w:t>
          </w:r>
          <w:r w:rsidR="00A17D20">
            <w:rPr>
              <w:rFonts w:ascii="Arial" w:hAnsi="Arial" w:cs="Arial"/>
              <w:lang w:val="es-ES"/>
            </w:rPr>
            <w:t>de</w:t>
          </w:r>
          <w:r>
            <w:rPr>
              <w:rFonts w:ascii="Arial" w:hAnsi="Arial" w:cs="Arial"/>
              <w:lang w:val="es-ES"/>
            </w:rPr>
            <w:t xml:space="preserve"> turismo y </w:t>
          </w:r>
          <w:r w:rsidR="00A17D20">
            <w:rPr>
              <w:rFonts w:ascii="Arial" w:hAnsi="Arial" w:cs="Arial"/>
              <w:lang w:val="es-ES"/>
            </w:rPr>
            <w:t>camioneta</w:t>
          </w:r>
          <w:r>
            <w:rPr>
              <w:rFonts w:ascii="Arial" w:hAnsi="Arial" w:cs="Arial"/>
              <w:lang w:val="es-ES"/>
            </w:rPr>
            <w:t>, f</w:t>
          </w:r>
          <w:r w:rsidR="002E7F2B" w:rsidRPr="002E7F2B">
            <w:rPr>
              <w:rFonts w:ascii="Arial" w:hAnsi="Arial" w:cs="Arial"/>
              <w:lang w:val="es-ES"/>
            </w:rPr>
            <w:t xml:space="preserve">uerte descenso </w:t>
          </w:r>
          <w:r w:rsidR="00695F8B">
            <w:rPr>
              <w:rFonts w:ascii="Arial" w:hAnsi="Arial" w:cs="Arial"/>
              <w:lang w:val="es-ES"/>
            </w:rPr>
            <w:t xml:space="preserve">en el </w:t>
          </w:r>
          <w:r>
            <w:rPr>
              <w:rFonts w:ascii="Arial" w:hAnsi="Arial" w:cs="Arial"/>
              <w:lang w:val="es-ES"/>
            </w:rPr>
            <w:t xml:space="preserve">segmento de </w:t>
          </w:r>
          <w:r w:rsidR="002E7F2B" w:rsidRPr="002E7F2B">
            <w:rPr>
              <w:rFonts w:ascii="Arial" w:hAnsi="Arial" w:cs="Arial"/>
              <w:lang w:val="es-ES"/>
            </w:rPr>
            <w:t>equipo original</w:t>
          </w:r>
          <w:r>
            <w:rPr>
              <w:rFonts w:ascii="Arial" w:hAnsi="Arial" w:cs="Arial"/>
              <w:lang w:val="es-ES"/>
            </w:rPr>
            <w:t xml:space="preserve"> </w:t>
          </w:r>
          <w:r w:rsidR="002E7F2B" w:rsidRPr="002E7F2B">
            <w:rPr>
              <w:rFonts w:ascii="Arial" w:hAnsi="Arial" w:cs="Arial"/>
              <w:lang w:val="es-ES"/>
            </w:rPr>
            <w:t xml:space="preserve">(-21%) debido </w:t>
          </w:r>
          <w:r>
            <w:rPr>
              <w:rFonts w:ascii="Arial" w:hAnsi="Arial" w:cs="Arial"/>
              <w:lang w:val="es-ES"/>
            </w:rPr>
            <w:t>especialmente</w:t>
          </w:r>
          <w:r w:rsidR="002E7F2B" w:rsidRPr="002E7F2B">
            <w:rPr>
              <w:rFonts w:ascii="Arial" w:hAnsi="Arial" w:cs="Arial"/>
              <w:lang w:val="es-ES"/>
            </w:rPr>
            <w:t xml:space="preserve"> a la continua escasez de semiconductores, y estabilidad en el </w:t>
          </w:r>
          <w:r w:rsidR="00EB1EF8">
            <w:rPr>
              <w:rFonts w:ascii="Arial" w:hAnsi="Arial" w:cs="Arial"/>
              <w:lang w:val="es-ES"/>
            </w:rPr>
            <w:t>mercado</w:t>
          </w:r>
          <w:r>
            <w:rPr>
              <w:rFonts w:ascii="Arial" w:hAnsi="Arial" w:cs="Arial"/>
              <w:lang w:val="es-ES"/>
            </w:rPr>
            <w:t xml:space="preserve"> de reposición</w:t>
          </w:r>
          <w:r w:rsidR="002E7F2B" w:rsidRPr="002E7F2B">
            <w:rPr>
              <w:rFonts w:ascii="Arial" w:hAnsi="Arial" w:cs="Arial"/>
              <w:lang w:val="es-ES"/>
            </w:rPr>
            <w:t xml:space="preserve"> </w:t>
          </w:r>
        </w:p>
        <w:p w14:paraId="3D668017" w14:textId="02B9CE91" w:rsidR="002E7F2B" w:rsidRPr="002E7F2B" w:rsidRDefault="00CC4893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En los mercados de neumáticos </w:t>
          </w:r>
          <w:r w:rsidR="00A17D20">
            <w:rPr>
              <w:rFonts w:ascii="Arial" w:hAnsi="Arial" w:cs="Arial"/>
              <w:lang w:val="es-ES"/>
            </w:rPr>
            <w:t>de camión</w:t>
          </w:r>
          <w:r>
            <w:rPr>
              <w:rFonts w:ascii="Arial" w:hAnsi="Arial" w:cs="Arial"/>
              <w:lang w:val="es-ES"/>
            </w:rPr>
            <w:t xml:space="preserve">, </w:t>
          </w:r>
          <w:r w:rsidR="002E7F2B" w:rsidRPr="002E7F2B">
            <w:rPr>
              <w:rFonts w:ascii="Arial" w:hAnsi="Arial" w:cs="Arial"/>
              <w:lang w:val="es-ES"/>
            </w:rPr>
            <w:t xml:space="preserve">dinamismo </w:t>
          </w:r>
          <w:r>
            <w:rPr>
              <w:rFonts w:ascii="Arial" w:hAnsi="Arial" w:cs="Arial"/>
              <w:lang w:val="es-ES"/>
            </w:rPr>
            <w:t xml:space="preserve">y un sólido aumento </w:t>
          </w:r>
          <w:r w:rsidR="002E7F2B" w:rsidRPr="002E7F2B">
            <w:rPr>
              <w:rFonts w:ascii="Arial" w:hAnsi="Arial" w:cs="Arial"/>
              <w:lang w:val="es-ES"/>
            </w:rPr>
            <w:t xml:space="preserve">fuera de China (+7%) y </w:t>
          </w:r>
          <w:r>
            <w:rPr>
              <w:rFonts w:ascii="Arial" w:hAnsi="Arial" w:cs="Arial"/>
              <w:lang w:val="es-ES"/>
            </w:rPr>
            <w:t xml:space="preserve">un considerable descenso de la demanda </w:t>
          </w:r>
          <w:r w:rsidR="002E7F2B" w:rsidRPr="002E7F2B">
            <w:rPr>
              <w:rFonts w:ascii="Arial" w:hAnsi="Arial" w:cs="Arial"/>
              <w:lang w:val="es-ES"/>
            </w:rPr>
            <w:t xml:space="preserve">en </w:t>
          </w:r>
          <w:r>
            <w:rPr>
              <w:rFonts w:ascii="Arial" w:hAnsi="Arial" w:cs="Arial"/>
              <w:lang w:val="es-ES"/>
            </w:rPr>
            <w:t>este país</w:t>
          </w:r>
          <w:r w:rsidR="002E7F2B" w:rsidRPr="002E7F2B">
            <w:rPr>
              <w:rFonts w:ascii="Arial" w:hAnsi="Arial" w:cs="Arial"/>
              <w:lang w:val="es-ES"/>
            </w:rPr>
            <w:t xml:space="preserve"> (-30%)</w:t>
          </w:r>
        </w:p>
        <w:p w14:paraId="3EC856E0" w14:textId="7982DAB1" w:rsidR="002E7F2B" w:rsidRPr="00CC4893" w:rsidRDefault="00CC4893" w:rsidP="00CC4893">
          <w:pPr>
            <w:pStyle w:val="Prrafodelista"/>
            <w:numPr>
              <w:ilvl w:val="0"/>
              <w:numId w:val="7"/>
            </w:numPr>
            <w:ind w:left="426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Demanda sostenida en </w:t>
          </w:r>
          <w:r w:rsidR="00A17D20">
            <w:rPr>
              <w:rFonts w:ascii="Arial" w:hAnsi="Arial" w:cs="Arial"/>
              <w:lang w:val="es-ES"/>
            </w:rPr>
            <w:t>el mercado de especialidades</w:t>
          </w:r>
          <w:r>
            <w:rPr>
              <w:rFonts w:ascii="Arial" w:hAnsi="Arial" w:cs="Arial"/>
              <w:lang w:val="es-ES"/>
            </w:rPr>
            <w:t xml:space="preserve">, </w:t>
          </w:r>
          <w:r w:rsidR="002E7F2B" w:rsidRPr="00CC4893">
            <w:rPr>
              <w:rFonts w:ascii="Arial" w:hAnsi="Arial" w:cs="Arial"/>
              <w:lang w:val="es-ES"/>
            </w:rPr>
            <w:t xml:space="preserve">con un </w:t>
          </w:r>
          <w:r>
            <w:rPr>
              <w:rFonts w:ascii="Arial" w:hAnsi="Arial" w:cs="Arial"/>
              <w:lang w:val="es-ES"/>
            </w:rPr>
            <w:t xml:space="preserve">importante repunte </w:t>
          </w:r>
          <w:r w:rsidR="002E7F2B" w:rsidRPr="00CC4893">
            <w:rPr>
              <w:rFonts w:ascii="Arial" w:hAnsi="Arial" w:cs="Arial"/>
              <w:lang w:val="es-ES"/>
            </w:rPr>
            <w:t xml:space="preserve">en </w:t>
          </w:r>
          <w:r>
            <w:rPr>
              <w:rFonts w:ascii="Arial" w:hAnsi="Arial" w:cs="Arial"/>
              <w:lang w:val="es-ES"/>
            </w:rPr>
            <w:t xml:space="preserve">los sectores de </w:t>
          </w:r>
          <w:r w:rsidR="002E7F2B" w:rsidRPr="00CC4893">
            <w:rPr>
              <w:rFonts w:ascii="Arial" w:hAnsi="Arial" w:cs="Arial"/>
              <w:lang w:val="es-ES"/>
            </w:rPr>
            <w:t>construcción de equipos originales y agricultura</w:t>
          </w:r>
        </w:p>
        <w:p w14:paraId="1DE4946E" w14:textId="77777777" w:rsidR="00AB5624" w:rsidRPr="00895E83" w:rsidRDefault="00AB5624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51888CC" w14:textId="31568E0F" w:rsid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Con unas ventas de 6.000 millones de euros en el tercer trimestre, las ventas </w:t>
          </w:r>
          <w:r w:rsidR="00CC4893">
            <w:rPr>
              <w:rFonts w:ascii="Arial" w:hAnsi="Arial" w:cs="Arial"/>
              <w:sz w:val="20"/>
              <w:szCs w:val="20"/>
              <w:lang w:val="es-ES"/>
            </w:rPr>
            <w:t xml:space="preserve">consolidadas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del Grupo </w:t>
          </w:r>
          <w:r w:rsidR="00CC4893">
            <w:rPr>
              <w:rFonts w:ascii="Arial" w:hAnsi="Arial" w:cs="Arial"/>
              <w:sz w:val="20"/>
              <w:szCs w:val="20"/>
              <w:lang w:val="es-ES"/>
            </w:rPr>
            <w:t>durante los primeros nueve meses de 2021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se situaron en 17.200 millones de euros, </w:t>
          </w:r>
          <w:r w:rsidR="00CC4893">
            <w:rPr>
              <w:rFonts w:ascii="Arial" w:hAnsi="Arial" w:cs="Arial"/>
              <w:sz w:val="20"/>
              <w:szCs w:val="20"/>
              <w:lang w:val="es-ES"/>
            </w:rPr>
            <w:t xml:space="preserve">lo que supone un incremento interanual del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15,6%:</w:t>
          </w:r>
        </w:p>
        <w:p w14:paraId="620E919F" w14:textId="77777777" w:rsidR="002E7F2B" w:rsidRP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944ACE9" w14:textId="38A211F8" w:rsidR="002E7F2B" w:rsidRPr="002E7F2B" w:rsidRDefault="008D321A" w:rsidP="00CC4893">
          <w:pPr>
            <w:pStyle w:val="Prrafodelista"/>
            <w:numPr>
              <w:ilvl w:val="0"/>
              <w:numId w:val="8"/>
            </w:numPr>
            <w:ind w:left="567" w:hanging="283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Crecimiento del </w:t>
          </w:r>
          <w:r w:rsidR="002E7F2B" w:rsidRPr="002E7F2B">
            <w:rPr>
              <w:rFonts w:ascii="Arial" w:hAnsi="Arial" w:cs="Arial"/>
              <w:lang w:val="es-ES"/>
            </w:rPr>
            <w:t>14,8%</w:t>
          </w:r>
          <w:r>
            <w:rPr>
              <w:rFonts w:ascii="Arial" w:hAnsi="Arial" w:cs="Arial"/>
              <w:lang w:val="es-ES"/>
            </w:rPr>
            <w:t xml:space="preserve"> en los volúmenes de neumáticos</w:t>
          </w:r>
          <w:r w:rsidR="002E7F2B" w:rsidRPr="002E7F2B">
            <w:rPr>
              <w:rFonts w:ascii="Arial" w:hAnsi="Arial" w:cs="Arial"/>
              <w:lang w:val="es-ES"/>
            </w:rPr>
            <w:t>, incluido un 1,3% en el tercer trimestre</w:t>
          </w:r>
        </w:p>
        <w:p w14:paraId="0AAA53FD" w14:textId="18FEB9C3" w:rsidR="002E7F2B" w:rsidRPr="002E7F2B" w:rsidRDefault="008D321A" w:rsidP="00CC4893">
          <w:pPr>
            <w:pStyle w:val="Prrafodelista"/>
            <w:numPr>
              <w:ilvl w:val="0"/>
              <w:numId w:val="8"/>
            </w:numPr>
            <w:ind w:left="567" w:hanging="283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Aumento del 4,1% por el efecto del mix de precio de los neumáticos, que refleja</w:t>
          </w:r>
          <w:r w:rsidR="002E7F2B" w:rsidRPr="002E7F2B">
            <w:rPr>
              <w:rFonts w:ascii="Arial" w:hAnsi="Arial" w:cs="Arial"/>
              <w:lang w:val="es-ES"/>
            </w:rPr>
            <w:t>:</w:t>
          </w:r>
        </w:p>
        <w:p w14:paraId="4364BD0B" w14:textId="12208811" w:rsidR="002E7F2B" w:rsidRPr="002E7F2B" w:rsidRDefault="008D321A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los </w:t>
          </w:r>
          <w:r w:rsidR="002E7F2B" w:rsidRPr="002E7F2B">
            <w:rPr>
              <w:rFonts w:ascii="Arial" w:hAnsi="Arial" w:cs="Arial"/>
              <w:lang w:val="es-ES"/>
            </w:rPr>
            <w:t>aumentos de precios aplicados para compensar la inflación</w:t>
          </w:r>
        </w:p>
        <w:p w14:paraId="0682DD78" w14:textId="1C8F8451" w:rsidR="002E7F2B" w:rsidRDefault="008D321A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una m</w:t>
          </w:r>
          <w:r w:rsidR="002E7F2B" w:rsidRPr="002E7F2B">
            <w:rPr>
              <w:rFonts w:ascii="Arial" w:hAnsi="Arial" w:cs="Arial"/>
              <w:lang w:val="es-ES"/>
            </w:rPr>
            <w:t xml:space="preserve">ejora continua del mix de productos, con ganancias de cuota de mercado en los neumáticos </w:t>
          </w:r>
          <w:r>
            <w:rPr>
              <w:rFonts w:ascii="Arial" w:hAnsi="Arial" w:cs="Arial"/>
              <w:lang w:val="es-ES"/>
            </w:rPr>
            <w:t>de la marca MICHELIN para llantas de 18 pulgadas y superiores</w:t>
          </w:r>
        </w:p>
        <w:p w14:paraId="62D84C51" w14:textId="031298C8" w:rsidR="002E7F2B" w:rsidRPr="002E7F2B" w:rsidRDefault="002E7F2B" w:rsidP="008D321A">
          <w:pPr>
            <w:pStyle w:val="Prrafodelista"/>
            <w:numPr>
              <w:ilvl w:val="0"/>
              <w:numId w:val="11"/>
            </w:numPr>
            <w:ind w:left="993" w:hanging="284"/>
            <w:jc w:val="both"/>
            <w:rPr>
              <w:rFonts w:ascii="Arial" w:hAnsi="Arial" w:cs="Arial"/>
              <w:lang w:val="es-ES"/>
            </w:rPr>
          </w:pPr>
          <w:r w:rsidRPr="002E7F2B">
            <w:rPr>
              <w:rFonts w:ascii="Arial" w:hAnsi="Arial" w:cs="Arial"/>
              <w:lang w:val="es-ES"/>
            </w:rPr>
            <w:t xml:space="preserve">una combinación favorable de equipo original y </w:t>
          </w:r>
          <w:r w:rsidR="008D321A">
            <w:rPr>
              <w:rFonts w:ascii="Arial" w:hAnsi="Arial" w:cs="Arial"/>
              <w:lang w:val="es-ES"/>
            </w:rPr>
            <w:t xml:space="preserve">de </w:t>
          </w:r>
          <w:r w:rsidR="00EB1EF8">
            <w:rPr>
              <w:rFonts w:ascii="Arial" w:hAnsi="Arial" w:cs="Arial"/>
              <w:lang w:val="es-ES"/>
            </w:rPr>
            <w:t>reposición</w:t>
          </w:r>
          <w:r w:rsidRPr="002E7F2B">
            <w:rPr>
              <w:rFonts w:ascii="Arial" w:hAnsi="Arial" w:cs="Arial"/>
              <w:lang w:val="es-ES"/>
            </w:rPr>
            <w:t xml:space="preserve"> en el </w:t>
          </w:r>
          <w:r w:rsidR="00A17D20">
            <w:rPr>
              <w:rFonts w:ascii="Arial" w:hAnsi="Arial" w:cs="Arial"/>
              <w:lang w:val="es-ES"/>
            </w:rPr>
            <w:t>mercado</w:t>
          </w:r>
          <w:r w:rsidRPr="002E7F2B">
            <w:rPr>
              <w:rFonts w:ascii="Arial" w:hAnsi="Arial" w:cs="Arial"/>
              <w:lang w:val="es-ES"/>
            </w:rPr>
            <w:t xml:space="preserve"> de </w:t>
          </w:r>
          <w:r w:rsidR="008D321A">
            <w:rPr>
              <w:rFonts w:ascii="Arial" w:hAnsi="Arial" w:cs="Arial"/>
              <w:lang w:val="es-ES"/>
            </w:rPr>
            <w:t xml:space="preserve">neumáticos </w:t>
          </w:r>
          <w:r w:rsidR="00A17D20">
            <w:rPr>
              <w:rFonts w:ascii="Arial" w:hAnsi="Arial" w:cs="Arial"/>
              <w:lang w:val="es-ES"/>
            </w:rPr>
            <w:t>de</w:t>
          </w:r>
          <w:r w:rsidR="008D321A">
            <w:rPr>
              <w:rFonts w:ascii="Arial" w:hAnsi="Arial" w:cs="Arial"/>
              <w:lang w:val="es-ES"/>
            </w:rPr>
            <w:t xml:space="preserve"> </w:t>
          </w:r>
          <w:r w:rsidRPr="002E7F2B">
            <w:rPr>
              <w:rFonts w:ascii="Arial" w:hAnsi="Arial" w:cs="Arial"/>
              <w:lang w:val="es-ES"/>
            </w:rPr>
            <w:t xml:space="preserve">turismo y </w:t>
          </w:r>
          <w:r w:rsidR="00A17D20">
            <w:rPr>
              <w:rFonts w:ascii="Arial" w:hAnsi="Arial" w:cs="Arial"/>
              <w:lang w:val="es-ES"/>
            </w:rPr>
            <w:t>camioneta</w:t>
          </w:r>
        </w:p>
        <w:p w14:paraId="1EF4B5AA" w14:textId="30BB23EA" w:rsidR="002E7F2B" w:rsidRPr="002E7F2B" w:rsidRDefault="008D321A" w:rsidP="00CC4893">
          <w:pPr>
            <w:pStyle w:val="Prrafodelista"/>
            <w:numPr>
              <w:ilvl w:val="0"/>
              <w:numId w:val="9"/>
            </w:numPr>
            <w:ind w:left="567" w:hanging="283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Aumento del 5,8% en las ventas de productos </w:t>
          </w:r>
          <w:r w:rsidR="002E7F2B" w:rsidRPr="002E7F2B">
            <w:rPr>
              <w:rFonts w:ascii="Arial" w:hAnsi="Arial" w:cs="Arial"/>
              <w:lang w:val="es-ES"/>
            </w:rPr>
            <w:t>no relacionad</w:t>
          </w:r>
          <w:r>
            <w:rPr>
              <w:rFonts w:ascii="Arial" w:hAnsi="Arial" w:cs="Arial"/>
              <w:lang w:val="es-ES"/>
            </w:rPr>
            <w:t>os</w:t>
          </w:r>
          <w:r w:rsidR="002E7F2B" w:rsidRPr="002E7F2B">
            <w:rPr>
              <w:rFonts w:ascii="Arial" w:hAnsi="Arial" w:cs="Arial"/>
              <w:lang w:val="es-ES"/>
            </w:rPr>
            <w:t xml:space="preserve"> con los neumáticos </w:t>
          </w:r>
        </w:p>
        <w:p w14:paraId="2CEA065D" w14:textId="20A9764F" w:rsidR="002E7F2B" w:rsidRPr="002E7F2B" w:rsidRDefault="008D321A" w:rsidP="00CC4893">
          <w:pPr>
            <w:pStyle w:val="Prrafodelista"/>
            <w:numPr>
              <w:ilvl w:val="0"/>
              <w:numId w:val="9"/>
            </w:numPr>
            <w:ind w:left="567" w:hanging="283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Disminución del 3,5% por el efecto del tipo de cambio, que sigue siendo desfavorable</w:t>
          </w:r>
        </w:p>
        <w:p w14:paraId="2902DBD4" w14:textId="202C68ED" w:rsid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B816C6" w14:textId="0D988C71" w:rsidR="002E7F2B" w:rsidRPr="002E7F2B" w:rsidRDefault="00C30BB4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2E7F2B"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A pesar de la actual crisis sanitaria, el Grupo obtuvo unos resultados muy sólidos. En este </w:t>
          </w:r>
          <w:r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entorno</w:t>
          </w:r>
          <w:r w:rsidR="002E7F2B"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excepcional, que sigue marcado por </w:t>
          </w:r>
          <w:r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importantes</w:t>
          </w:r>
          <w:r w:rsidR="002E7F2B"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perturbaciones en nuestras cadenas de suministro y por fuertes aumentos de los costes, como los de la energía, quiero dar las gracias una vez más a todos los equipos de Michelin. Gracias a su movilización, el Grupo ha demostrado una vez más su capacidad de resistencia y puede proseguir su ambiciosa estrategia de desarrollo</w:t>
          </w:r>
          <w:r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2E7F2B" w:rsidRPr="00EB1EF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2E7F2B"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ha declarado Florent Menegaux, Presidente de Michelin. </w:t>
          </w:r>
        </w:p>
        <w:p w14:paraId="4A4EA410" w14:textId="77777777" w:rsidR="002E7F2B" w:rsidRP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02921B" w14:textId="449D12F5" w:rsid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En 2021, en un entorno todavía muy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>complicado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la previsión para el año completo es que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los mercados de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 neumáticos </w:t>
          </w:r>
          <w:r w:rsidR="00A17D20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EB1EF8">
            <w:rPr>
              <w:rFonts w:ascii="Arial" w:hAnsi="Arial" w:cs="Arial"/>
              <w:sz w:val="20"/>
              <w:szCs w:val="20"/>
              <w:lang w:val="es-ES"/>
            </w:rPr>
            <w:t>t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urismo y </w:t>
          </w:r>
          <w:r w:rsidR="00A17D20">
            <w:rPr>
              <w:rFonts w:ascii="Arial" w:hAnsi="Arial" w:cs="Arial"/>
              <w:sz w:val="20"/>
              <w:szCs w:val="20"/>
              <w:lang w:val="es-ES"/>
            </w:rPr>
            <w:t>camioneta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crezcan entre un 6% y un 8%,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impactados por la escasez de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lastRenderedPageBreak/>
            <w:t>semiconductores</w:t>
          </w:r>
          <w:r w:rsidR="00EB1EF8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 mientras que </w:t>
          </w:r>
          <w:r w:rsidR="00A17D20">
            <w:rPr>
              <w:rFonts w:ascii="Arial" w:hAnsi="Arial" w:cs="Arial"/>
              <w:sz w:val="20"/>
              <w:szCs w:val="20"/>
              <w:lang w:val="es-ES"/>
            </w:rPr>
            <w:t xml:space="preserve">el mercado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EB1EF8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ami</w:t>
          </w:r>
          <w:r w:rsidR="00A17D20">
            <w:rPr>
              <w:rFonts w:ascii="Arial" w:hAnsi="Arial" w:cs="Arial"/>
              <w:sz w:val="20"/>
              <w:szCs w:val="20"/>
              <w:lang w:val="es-ES"/>
            </w:rPr>
            <w:t>ón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aumentarían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entre un 6% y un 8% y los mercados de </w:t>
          </w:r>
          <w:r w:rsidR="0086101C">
            <w:rPr>
              <w:rFonts w:ascii="Arial" w:hAnsi="Arial" w:cs="Arial"/>
              <w:sz w:val="20"/>
              <w:szCs w:val="20"/>
              <w:lang w:val="es-ES"/>
            </w:rPr>
            <w:t>especialidades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entre un 9% y un 11%. Excluyendo el nuevo efecto sistémico relacionado con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 el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Covid-19</w:t>
          </w:r>
          <w:r w:rsidR="00C30BB4" w:rsidRPr="00C30BB4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y con un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>aumento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de las ventas ligeramente superior al de los mercados, Michelin mantiene sus objetivos: un resultado operativo superior a 2.800 millones de euros a paridad constante y un flujo de caja libre estructural</w:t>
          </w:r>
          <w:r w:rsidR="00C30BB4" w:rsidRPr="00C30BB4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superior a 1.000 millones de euros.</w:t>
          </w:r>
        </w:p>
        <w:p w14:paraId="6269DD29" w14:textId="77777777" w:rsidR="002E7F2B" w:rsidRP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AC160B" w14:textId="77777777" w:rsidR="002E7F2B" w:rsidRP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E7F2B">
            <w:rPr>
              <w:rFonts w:ascii="Arial" w:hAnsi="Arial" w:cs="Arial"/>
              <w:sz w:val="20"/>
              <w:szCs w:val="20"/>
              <w:lang w:val="es-ES"/>
            </w:rPr>
            <w:t>Gobernanza del grupo:</w:t>
          </w:r>
        </w:p>
        <w:p w14:paraId="07D6B2AA" w14:textId="776D8737" w:rsidR="002E7F2B" w:rsidRPr="002E7F2B" w:rsidRDefault="002E7F2B" w:rsidP="002E7F2B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El 5 de octubre de 2021, la Société Auxiliaire de Gestion (SAGES), en su calidad de socio general no gestor de la Compagnie Générale des Établissements Michelin (CGEM)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 xml:space="preserve">la aprobación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del Consejo de </w:t>
          </w:r>
          <w:r w:rsidR="00C30BB4">
            <w:rPr>
              <w:rFonts w:ascii="Arial" w:hAnsi="Arial" w:cs="Arial"/>
              <w:sz w:val="20"/>
              <w:szCs w:val="20"/>
              <w:lang w:val="es-ES"/>
            </w:rPr>
            <w:t>Supervisión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, tomó la decisión de renovar por cuatro años 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>a Florent Menegaux como S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ocio 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eneral 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estor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 xml:space="preserve">a Yves Chapot como Director General por nuevos mandatos de cuatro años, a partir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 xml:space="preserve">l vencimiento de sus actuales mandatos al cierre de la 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>próxima Junta General Ordinaria de Accionistas</w:t>
          </w:r>
          <w:r w:rsidR="00484CB9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2E7F2B">
            <w:rPr>
              <w:rFonts w:ascii="Arial" w:hAnsi="Arial" w:cs="Arial"/>
              <w:sz w:val="20"/>
              <w:szCs w:val="20"/>
              <w:lang w:val="es-ES"/>
            </w:rPr>
            <w:t xml:space="preserve"> que se celebrará el 13 de mayo de 2022.</w:t>
          </w:r>
        </w:p>
        <w:p w14:paraId="5290D13D" w14:textId="77777777" w:rsidR="002E7F2B" w:rsidRPr="002E7F2B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E15E50" w14:textId="77777777" w:rsidR="002E7F2B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B7F4D1" w14:textId="1D88E688" w:rsidR="002E7F2B" w:rsidRPr="002E7F2B" w:rsidRDefault="002E7F2B" w:rsidP="002E7F2B">
          <w:pPr>
            <w:spacing w:line="276" w:lineRule="auto"/>
            <w:jc w:val="both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2E7F2B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Ventas de Michelin</w:t>
          </w:r>
          <w:r w:rsidR="00EB1EF8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 enero-septiembre 2021</w:t>
          </w:r>
        </w:p>
        <w:p w14:paraId="59030DC5" w14:textId="7642366F" w:rsidR="002E7F2B" w:rsidRPr="002E7F2B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EVOLUCIÓN GLOBAL</w:t>
          </w:r>
        </w:p>
        <w:p w14:paraId="7E3C27B0" w14:textId="76D4823C" w:rsidR="002F618D" w:rsidRDefault="002F618D" w:rsidP="00895E83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6A947073" w14:textId="3EEA61A3" w:rsidR="002E7F2B" w:rsidRPr="00695F8B" w:rsidRDefault="00695F8B" w:rsidP="00895E83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695F8B">
            <w:rPr>
              <w:rFonts w:ascii="Arial" w:hAnsi="Arial" w:cs="Arial"/>
              <w:sz w:val="16"/>
              <w:szCs w:val="16"/>
              <w:lang w:val="es-ES"/>
            </w:rPr>
            <w:t>*En toneladas</w:t>
          </w:r>
        </w:p>
        <w:tbl>
          <w:tblPr>
            <w:tblpPr w:leftFromText="141" w:rightFromText="141" w:vertAnchor="text" w:horzAnchor="margin" w:tblpXSpec="center" w:tblpY="-48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20"/>
            <w:gridCol w:w="1979"/>
            <w:gridCol w:w="2410"/>
          </w:tblGrid>
          <w:tr w:rsidR="002E7F2B" w:rsidRPr="00895E83" w14:paraId="6B08D475" w14:textId="77777777" w:rsidTr="002E7F2B">
            <w:trPr>
              <w:trHeight w:val="558"/>
            </w:trPr>
            <w:tc>
              <w:tcPr>
                <w:tcW w:w="4820" w:type="dxa"/>
                <w:shd w:val="clear" w:color="auto" w:fill="F3F3F3"/>
                <w:vAlign w:val="center"/>
              </w:tcPr>
              <w:p w14:paraId="2544A2DC" w14:textId="4A6314D2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(E</w:t>
                </w:r>
                <w: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n millones de</w:t>
                </w: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 xml:space="preserve"> €)</w:t>
                </w:r>
              </w:p>
            </w:tc>
            <w:tc>
              <w:tcPr>
                <w:tcW w:w="4389" w:type="dxa"/>
                <w:gridSpan w:val="2"/>
                <w:shd w:val="clear" w:color="auto" w:fill="F3F3F3"/>
                <w:vAlign w:val="center"/>
              </w:tcPr>
              <w:p w14:paraId="0EEE6797" w14:textId="77777777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</w:p>
            </w:tc>
          </w:tr>
          <w:tr w:rsidR="002E7F2B" w:rsidRPr="00895E83" w14:paraId="13F2B972" w14:textId="77777777" w:rsidTr="004C1314">
            <w:trPr>
              <w:cantSplit/>
              <w:trHeight w:val="398"/>
            </w:trPr>
            <w:tc>
              <w:tcPr>
                <w:tcW w:w="4820" w:type="dxa"/>
                <w:vAlign w:val="center"/>
              </w:tcPr>
              <w:p w14:paraId="4CCB8D15" w14:textId="02E99A54" w:rsidR="002E7F2B" w:rsidRPr="00895E83" w:rsidRDefault="002E7F2B" w:rsidP="002E7F2B">
                <w:pP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Ventas</w:t>
                </w:r>
              </w:p>
            </w:tc>
            <w:tc>
              <w:tcPr>
                <w:tcW w:w="4389" w:type="dxa"/>
                <w:gridSpan w:val="2"/>
                <w:vAlign w:val="center"/>
              </w:tcPr>
              <w:p w14:paraId="37F02CC8" w14:textId="6131AE29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17.204</w:t>
                </w:r>
              </w:p>
            </w:tc>
          </w:tr>
          <w:tr w:rsidR="002E7F2B" w:rsidRPr="00895E83" w14:paraId="4B7796B1" w14:textId="77777777" w:rsidTr="004C1314">
            <w:trPr>
              <w:trHeight w:val="404"/>
            </w:trPr>
            <w:tc>
              <w:tcPr>
                <w:tcW w:w="4820" w:type="dxa"/>
                <w:vAlign w:val="center"/>
              </w:tcPr>
              <w:p w14:paraId="61C0F426" w14:textId="6D7AA3FF" w:rsidR="002E7F2B" w:rsidRPr="00895E83" w:rsidRDefault="00484CB9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Variación</w:t>
                </w:r>
                <w:r w:rsidR="002E7F2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9 meses 2021 / 9 meses 2020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2633650" w14:textId="6122CE03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327731A" w14:textId="77777777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</w:p>
            </w:tc>
          </w:tr>
          <w:tr w:rsidR="002E7F2B" w:rsidRPr="00895E83" w14:paraId="4BC12D83" w14:textId="77777777" w:rsidTr="004C1314">
            <w:trPr>
              <w:trHeight w:val="423"/>
            </w:trPr>
            <w:tc>
              <w:tcPr>
                <w:tcW w:w="4820" w:type="dxa"/>
                <w:vAlign w:val="center"/>
              </w:tcPr>
              <w:p w14:paraId="45DCF405" w14:textId="4B984925" w:rsidR="002E7F2B" w:rsidRPr="00895E83" w:rsidRDefault="00695F8B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cambio total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88A36FD" w14:textId="0C7B8984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2.316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96C5336" w14:textId="367004EB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15,6%</w:t>
                </w:r>
              </w:p>
            </w:tc>
          </w:tr>
          <w:tr w:rsidR="002E7F2B" w:rsidRPr="00895E83" w14:paraId="317CBFFB" w14:textId="77777777" w:rsidTr="004C1314">
            <w:trPr>
              <w:trHeight w:val="415"/>
            </w:trPr>
            <w:tc>
              <w:tcPr>
                <w:tcW w:w="4820" w:type="dxa"/>
                <w:vAlign w:val="center"/>
              </w:tcPr>
              <w:p w14:paraId="4CFBCDD6" w14:textId="40396D20" w:rsidR="002E7F2B" w:rsidRPr="00895E83" w:rsidRDefault="00484CB9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de los cuales, </w:t>
                </w:r>
                <w:r w:rsidR="00695F8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volúmen</w:t>
                </w:r>
                <w:r w:rsidR="00A21C5F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es</w:t>
                </w:r>
                <w:r w:rsidR="00695F8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de neumáticos*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3145D03" w14:textId="06853204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2.204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F4126DC" w14:textId="1B4A3077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1</w:t>
                </w:r>
                <w:r w:rsidR="00695F8B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4</w:t>
                </w: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,</w:t>
                </w:r>
                <w:r w:rsidR="00695F8B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8</w:t>
                </w: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72B042D7" w14:textId="77777777" w:rsidTr="004C1314">
            <w:trPr>
              <w:trHeight w:val="422"/>
            </w:trPr>
            <w:tc>
              <w:tcPr>
                <w:tcW w:w="4820" w:type="dxa"/>
                <w:vAlign w:val="center"/>
              </w:tcPr>
              <w:p w14:paraId="19DDD5FB" w14:textId="29EB05C1" w:rsidR="002E7F2B" w:rsidRPr="00895E83" w:rsidRDefault="00695F8B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mix de precios de neumáticos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6E66B0D5" w14:textId="301EFAFC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618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49AD37C" w14:textId="0BFF0BB2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4,1%</w:t>
                </w:r>
              </w:p>
            </w:tc>
          </w:tr>
          <w:tr w:rsidR="002E7F2B" w:rsidRPr="00895E83" w14:paraId="059D4DA3" w14:textId="77777777" w:rsidTr="004C1314">
            <w:trPr>
              <w:trHeight w:val="451"/>
            </w:trPr>
            <w:tc>
              <w:tcPr>
                <w:tcW w:w="4820" w:type="dxa"/>
                <w:vAlign w:val="center"/>
              </w:tcPr>
              <w:p w14:paraId="1AA66173" w14:textId="2CDD8B55" w:rsidR="002E7F2B" w:rsidRPr="00895E83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actividades no relacionadas con los neumáticos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BF54487" w14:textId="3F65B291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47</w:t>
                </w:r>
              </w:p>
            </w:tc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52E163" w14:textId="515D0190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0,3%</w:t>
                </w:r>
              </w:p>
            </w:tc>
          </w:tr>
          <w:tr w:rsidR="002E7F2B" w:rsidRPr="00895E83" w14:paraId="1805EB53" w14:textId="77777777" w:rsidTr="004C1314">
            <w:trPr>
              <w:trHeight w:val="394"/>
            </w:trPr>
            <w:tc>
              <w:tcPr>
                <w:tcW w:w="4820" w:type="dxa"/>
                <w:vAlign w:val="center"/>
              </w:tcPr>
              <w:p w14:paraId="7EB8224E" w14:textId="423AF989" w:rsidR="002E7F2B" w:rsidRPr="00895E83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variación de los tipos de cambio</w:t>
                </w:r>
                <w:r w:rsidR="002E7F2B" w:rsidRPr="00895E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908FE19" w14:textId="041BE1E5" w:rsidR="002E7F2B" w:rsidRPr="00695F8B" w:rsidRDefault="00695F8B" w:rsidP="00695F8B">
                <w:pPr>
                  <w:pStyle w:val="Prrafodelista"/>
                  <w:rPr>
                    <w:rFonts w:ascii="Arial" w:hAnsi="Arial" w:cs="Arial"/>
                    <w:b/>
                    <w:bCs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lang w:val="es-ES"/>
                  </w:rPr>
                  <w:t>–533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908F758" w14:textId="09C77521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–3,5%</w:t>
                </w:r>
              </w:p>
            </w:tc>
          </w:tr>
          <w:tr w:rsidR="002E7F2B" w:rsidRPr="00895E83" w14:paraId="4789B05C" w14:textId="77777777" w:rsidTr="004C1314">
            <w:trPr>
              <w:trHeight w:val="413"/>
            </w:trPr>
            <w:tc>
              <w:tcPr>
                <w:tcW w:w="4820" w:type="dxa"/>
                <w:vAlign w:val="center"/>
              </w:tcPr>
              <w:p w14:paraId="36218866" w14:textId="2E588F44" w:rsidR="002E7F2B" w:rsidRPr="00895E83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cambio</w:t>
                </w:r>
                <w:r w:rsidR="00A17D20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de perímetro</w:t>
                </w:r>
                <w:r w:rsidR="002E7F2B" w:rsidRPr="00895E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3F7A8234" w14:textId="77178AF8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–20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59E1D3DD" w14:textId="7D175258" w:rsidR="002E7F2B" w:rsidRPr="00895E83" w:rsidRDefault="00695F8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–0,1%</w:t>
                </w:r>
              </w:p>
            </w:tc>
          </w:tr>
        </w:tbl>
        <w:p w14:paraId="45C75DE4" w14:textId="0C69D982" w:rsidR="002E7F2B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53CA165C" w14:textId="09BF2A0D" w:rsidR="002E7F2B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05BCD95E" w14:textId="38EB97CE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412B9D91" w14:textId="41489473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1873D247" w14:textId="2E56A0BF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4C6186A5" w14:textId="547737D0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7CA51886" w14:textId="64AAD772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0918198B" w14:textId="7C9896E6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04E1F89C" w14:textId="6C0B204E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01E353EA" w14:textId="0916E9FD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4F1B484F" w14:textId="64B1CE69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14488D41" w14:textId="3E5FBACC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798E092F" w14:textId="5903518D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608B9895" w14:textId="77777777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2B09CD4B" w14:textId="480051A6" w:rsidR="00766F86" w:rsidRDefault="00766F86" w:rsidP="00695F8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43BD5022" w14:textId="77777777" w:rsidR="00766F86" w:rsidRPr="00766F86" w:rsidRDefault="00766F86" w:rsidP="00766F86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766F86">
            <w:rPr>
              <w:rFonts w:ascii="Arial" w:hAnsi="Arial" w:cs="Arial"/>
              <w:i/>
              <w:iCs/>
              <w:sz w:val="14"/>
              <w:szCs w:val="12"/>
              <w:vertAlign w:val="superscript"/>
            </w:rPr>
            <w:t>1</w:t>
          </w:r>
          <w:r w:rsidRPr="00766F86">
            <w:rPr>
              <w:rFonts w:ascii="Arial" w:hAnsi="Arial" w:cs="Arial"/>
              <w:i/>
              <w:iCs/>
              <w:sz w:val="14"/>
              <w:szCs w:val="12"/>
            </w:rPr>
            <w:t xml:space="preserve"> </w:t>
          </w:r>
          <w:r w:rsidRPr="00766F86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Interrupciones graves de la cadena de suministro o restricciones de la movilidad que provocarían una caída significativa de los mercados de neumáticos.</w:t>
          </w:r>
        </w:p>
        <w:p w14:paraId="50B7F4B4" w14:textId="77777777" w:rsidR="00766F86" w:rsidRPr="00766F86" w:rsidRDefault="00766F86" w:rsidP="00766F86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766F86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es-ES"/>
            </w:rPr>
            <w:t>2</w:t>
          </w:r>
          <w:r w:rsidRPr="00766F86">
            <w:rPr>
              <w:rFonts w:ascii="Arial" w:hAnsi="Arial" w:cs="Arial"/>
              <w:i/>
              <w:iCs/>
              <w:sz w:val="14"/>
              <w:szCs w:val="12"/>
              <w:lang w:val="es-ES"/>
            </w:rPr>
            <w:t xml:space="preserve"> </w:t>
          </w:r>
          <w:r w:rsidRPr="00766F86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Flujo de caja libre antes de adquisiciones, ajustado por el efecto de las variaciones de los precios de las materias primas sobre las cuentas por cobrar, las cuentas por pagar y las existencias.  </w:t>
          </w:r>
        </w:p>
        <w:p w14:paraId="11428B5D" w14:textId="40E918F8" w:rsidR="002E7F2B" w:rsidRDefault="002E7F2B" w:rsidP="00895E83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648342B4" w14:textId="77777777" w:rsidR="003C3FC0" w:rsidRPr="00895E83" w:rsidRDefault="00FD4A8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895E83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895E83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895E83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895E83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895E83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895E83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895E83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895E83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895E83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895E83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95E83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35FFA911" w:rsidR="00CC6BAF" w:rsidRPr="00895E83" w:rsidRDefault="00422E33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hugo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.</w:t>
      </w:r>
      <w:r w:rsidRPr="00895E83">
        <w:rPr>
          <w:rFonts w:ascii="Arial" w:hAnsi="Arial" w:cs="Arial"/>
          <w:sz w:val="28"/>
          <w:szCs w:val="28"/>
          <w:lang w:val="es-ES"/>
        </w:rPr>
        <w:t>ureta</w:t>
      </w:r>
      <w:r w:rsidR="003C3FC0" w:rsidRPr="00895E83">
        <w:rPr>
          <w:rFonts w:ascii="Arial" w:hAnsi="Arial" w:cs="Arial"/>
          <w:sz w:val="28"/>
          <w:szCs w:val="28"/>
          <w:lang w:val="es-ES"/>
        </w:rPr>
        <w:t>-</w:t>
      </w:r>
      <w:r w:rsidRPr="00895E83">
        <w:rPr>
          <w:rFonts w:ascii="Arial" w:hAnsi="Arial" w:cs="Arial"/>
          <w:sz w:val="28"/>
          <w:szCs w:val="28"/>
          <w:lang w:val="es-ES"/>
        </w:rPr>
        <w:t>alonso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  <w:r w:rsidRPr="00895E83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895E83" w14:paraId="0DF1306C" w14:textId="77777777" w:rsidTr="00CC6BAF">
        <w:tc>
          <w:tcPr>
            <w:tcW w:w="9016" w:type="dxa"/>
          </w:tcPr>
          <w:p w14:paraId="64CFAB72" w14:textId="3CFD466E" w:rsidR="00CC6BAF" w:rsidRPr="00895E83" w:rsidRDefault="00FD4A8A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895E83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895E83" w14:paraId="148A590E" w14:textId="77777777" w:rsidTr="00CC6BAF">
        <w:tc>
          <w:tcPr>
            <w:tcW w:w="9016" w:type="dxa"/>
          </w:tcPr>
          <w:p w14:paraId="78DB6A4F" w14:textId="4C2E4B3D" w:rsidR="00CC6BAF" w:rsidRPr="00895E83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895E83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95E83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117D1F6D" w:rsidR="00387E23" w:rsidRPr="00895E83" w:rsidRDefault="00766F8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="003C3FC0"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="003C3FC0" w:rsidRPr="00895E83">
        <w:rPr>
          <w:rFonts w:ascii="Arial" w:hAnsi="Arial" w:cs="Arial"/>
          <w:lang w:val="es-ES"/>
        </w:rPr>
        <w:t xml:space="preserve"> – 28760 Tres Cantos – Madrid. ESPAÑA</w:t>
      </w:r>
    </w:p>
    <w:sectPr w:rsidR="00387E23" w:rsidRPr="00895E83" w:rsidSect="00A17D2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637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9CB5" w14:textId="77777777" w:rsidR="00FD4A8A" w:rsidRDefault="00FD4A8A" w:rsidP="00F24D98">
      <w:r>
        <w:separator/>
      </w:r>
    </w:p>
  </w:endnote>
  <w:endnote w:type="continuationSeparator" w:id="0">
    <w:p w14:paraId="45FC8D0D" w14:textId="77777777" w:rsidR="00FD4A8A" w:rsidRDefault="00FD4A8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3514" w14:textId="77777777" w:rsidR="00FD4A8A" w:rsidRDefault="00FD4A8A" w:rsidP="00F24D98">
      <w:r>
        <w:separator/>
      </w:r>
    </w:p>
  </w:footnote>
  <w:footnote w:type="continuationSeparator" w:id="0">
    <w:p w14:paraId="2362B843" w14:textId="77777777" w:rsidR="00FD4A8A" w:rsidRDefault="00FD4A8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9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21595A"/>
    <w:rsid w:val="00262F8B"/>
    <w:rsid w:val="00274DC8"/>
    <w:rsid w:val="002E7F2B"/>
    <w:rsid w:val="002F618D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84CB9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836BA"/>
    <w:rsid w:val="006920B7"/>
    <w:rsid w:val="00695F8B"/>
    <w:rsid w:val="006C3818"/>
    <w:rsid w:val="006C44F0"/>
    <w:rsid w:val="006D398C"/>
    <w:rsid w:val="00743520"/>
    <w:rsid w:val="00766F86"/>
    <w:rsid w:val="0079576B"/>
    <w:rsid w:val="007F37A6"/>
    <w:rsid w:val="00816BB1"/>
    <w:rsid w:val="00832D78"/>
    <w:rsid w:val="00834943"/>
    <w:rsid w:val="0083779A"/>
    <w:rsid w:val="0085450A"/>
    <w:rsid w:val="0086101C"/>
    <w:rsid w:val="00895E83"/>
    <w:rsid w:val="008B072F"/>
    <w:rsid w:val="008D321A"/>
    <w:rsid w:val="008F5893"/>
    <w:rsid w:val="0093532F"/>
    <w:rsid w:val="009969D4"/>
    <w:rsid w:val="00A05352"/>
    <w:rsid w:val="00A133C9"/>
    <w:rsid w:val="00A17D20"/>
    <w:rsid w:val="00A21C5F"/>
    <w:rsid w:val="00A6279B"/>
    <w:rsid w:val="00A72ECA"/>
    <w:rsid w:val="00A75B5C"/>
    <w:rsid w:val="00AB5624"/>
    <w:rsid w:val="00AC0E74"/>
    <w:rsid w:val="00B05B19"/>
    <w:rsid w:val="00B13DD6"/>
    <w:rsid w:val="00B32BCE"/>
    <w:rsid w:val="00B36FEE"/>
    <w:rsid w:val="00B4380D"/>
    <w:rsid w:val="00B45C21"/>
    <w:rsid w:val="00B83473"/>
    <w:rsid w:val="00B97B28"/>
    <w:rsid w:val="00BC2889"/>
    <w:rsid w:val="00BE269E"/>
    <w:rsid w:val="00C30BB4"/>
    <w:rsid w:val="00C53F0C"/>
    <w:rsid w:val="00CC4893"/>
    <w:rsid w:val="00CC6BAF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B1EF8"/>
    <w:rsid w:val="00ED5957"/>
    <w:rsid w:val="00ED7136"/>
    <w:rsid w:val="00F1127B"/>
    <w:rsid w:val="00F24D98"/>
    <w:rsid w:val="00F54E4E"/>
    <w:rsid w:val="00F6785B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27</cp:revision>
  <dcterms:created xsi:type="dcterms:W3CDTF">2021-03-01T16:33:00Z</dcterms:created>
  <dcterms:modified xsi:type="dcterms:W3CDTF">2021-10-26T10:06:00Z</dcterms:modified>
</cp:coreProperties>
</file>