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54B" w:rsidRDefault="00C308EB">
      <w:pPr>
        <w:ind w:right="1394"/>
        <w:rPr>
          <w:rFonts w:ascii="Arial" w:hAnsi="Arial" w:cs="Arial"/>
          <w:lang w:val="es-ES"/>
        </w:rPr>
      </w:pPr>
      <w:r>
        <w:rPr>
          <w:rFonts w:ascii="Arial" w:hAnsi="Arial" w:cs="Arial"/>
          <w:noProof/>
          <w:lang w:val="es-ES_tradnl" w:eastAsia="es-ES_tradnl"/>
        </w:rPr>
        <mc:AlternateContent>
          <mc:Choice Requires="wps">
            <w:drawing>
              <wp:anchor distT="0" distB="0" distL="0" distR="0" simplePos="0" relativeHeight="9" behindDoc="0" locked="0" layoutInCell="0" allowOverlap="1" wp14:anchorId="0ED3508A">
                <wp:simplePos x="0" y="0"/>
                <wp:positionH relativeFrom="page">
                  <wp:posOffset>476885</wp:posOffset>
                </wp:positionH>
                <wp:positionV relativeFrom="paragraph">
                  <wp:posOffset>37465</wp:posOffset>
                </wp:positionV>
                <wp:extent cx="1668145" cy="255270"/>
                <wp:effectExtent l="0" t="0" r="0" b="0"/>
                <wp:wrapNone/>
                <wp:docPr id="1" name="Text Box 2"/>
                <wp:cNvGraphicFramePr/>
                <a:graphic xmlns:a="http://schemas.openxmlformats.org/drawingml/2006/main">
                  <a:graphicData uri="http://schemas.microsoft.com/office/word/2010/wordprocessingShape">
                    <wps:wsp>
                      <wps:cNvSpPr/>
                      <wps:spPr>
                        <a:xfrm>
                          <a:off x="0" y="0"/>
                          <a:ext cx="1667520" cy="25452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sdt>
                            <w:sdtPr>
                              <w:id w:val="1267024125"/>
                              <w:docPartObj>
                                <w:docPartGallery w:val="Cover Pages"/>
                                <w:docPartUnique/>
                              </w:docPartObj>
                            </w:sdtPr>
                            <w:sdtEndPr/>
                            <w:sdtContent>
                              <w:p w:rsidR="001D254B" w:rsidRDefault="00C308EB">
                                <w:pPr>
                                  <w:pStyle w:val="Contenidodelmarco"/>
                                  <w:jc w:val="center"/>
                                  <w:rPr>
                                    <w:rFonts w:ascii="Michelin Unit Titling" w:hAnsi="Michelin Unit Titling"/>
                                    <w:color w:val="575757"/>
                                  </w:rPr>
                                </w:pPr>
                                <w:proofErr w:type="spellStart"/>
                                <w:r>
                                  <w:rPr>
                                    <w:rFonts w:ascii="Michelin Unit Titling" w:hAnsi="Michelin Unit Titling"/>
                                    <w:color w:val="575757"/>
                                  </w:rPr>
                                  <w:t>GUÍa</w:t>
                                </w:r>
                                <w:proofErr w:type="spellEnd"/>
                                <w:r>
                                  <w:rPr>
                                    <w:rFonts w:ascii="Michelin Unit Titling" w:hAnsi="Michelin Unit Titling"/>
                                    <w:color w:val="575757"/>
                                  </w:rPr>
                                  <w:t xml:space="preserve"> MICHELIN</w:t>
                                </w:r>
                              </w:p>
                            </w:sdtContent>
                          </w:sdt>
                        </w:txbxContent>
                      </wps:txbx>
                      <wps:bodyPr>
                        <a:noAutofit/>
                      </wps:bodyPr>
                    </wps:wsp>
                  </a:graphicData>
                </a:graphic>
              </wp:anchor>
            </w:drawing>
          </mc:Choice>
          <mc:Fallback>
            <w:pict>
              <v:rect w14:anchorId="0ED3508A" id="Text Box 2" o:spid="_x0000_s1026" style="position:absolute;margin-left:37.55pt;margin-top:2.95pt;width:131.35pt;height:20.1pt;z-index: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" o:allowincell="f" fillcolor="white [3201]" stroked="f" strokeweight=".5pt">
                <v:textbox>
                  <w:txbxContent>
                    <w:sdt>
                      <w:sdtPr>
                        <w:id w:val="1267024125"/>
                        <w:docPartObj>
                          <w:docPartGallery w:val="Cover Pages"/>
                          <w:docPartUnique/>
                        </w:docPartObj>
                      </w:sdtPr>
                      <w:sdtEndPr/>
                      <w:sdtContent>
                        <w:p w:rsidR="001D254B" w:rsidRDefault="00C308EB">
                          <w:pPr>
                            <w:pStyle w:val="Contenidodelmarco"/>
                            <w:jc w:val="center"/>
                            <w:rPr>
                              <w:rFonts w:ascii="Michelin Unit Titling" w:hAnsi="Michelin Unit Titling"/>
                              <w:color w:val="575757"/>
                            </w:rPr>
                          </w:pPr>
                          <w:proofErr w:type="spellStart"/>
                          <w:r>
                            <w:rPr>
                              <w:rFonts w:ascii="Michelin Unit Titling" w:hAnsi="Michelin Unit Titling"/>
                              <w:color w:val="575757"/>
                            </w:rPr>
                            <w:t>GUÍa</w:t>
                          </w:r>
                          <w:proofErr w:type="spellEnd"/>
                          <w:r>
                            <w:rPr>
                              <w:rFonts w:ascii="Michelin Unit Titling" w:hAnsi="Michelin Unit Titling"/>
                              <w:color w:val="575757"/>
                            </w:rPr>
                            <w:t xml:space="preserve"> MICHELIN</w:t>
                          </w:r>
                        </w:p>
                      </w:sdtContent>
                    </w:sdt>
                  </w:txbxContent>
                </v:textbox>
                <w10:wrap anchorx="page"/>
              </v:rect>
            </w:pict>
          </mc:Fallback>
        </mc:AlternateContent>
      </w:r>
    </w:p>
    <w:p w:rsidR="001D254B" w:rsidRDefault="00C308EB">
      <w:pPr>
        <w:ind w:right="1394"/>
        <w:rPr>
          <w:rFonts w:ascii="Arial" w:hAnsi="Arial" w:cs="Arial"/>
          <w:lang w:val="es-ES"/>
        </w:rPr>
      </w:pPr>
      <w:r>
        <w:rPr>
          <w:rFonts w:ascii="Arial" w:hAnsi="Arial" w:cs="Arial"/>
          <w:noProof/>
          <w:lang w:val="es-ES_tradnl" w:eastAsia="es-ES_tradnl"/>
        </w:rPr>
        <w:drawing>
          <wp:anchor distT="0" distB="0" distL="114300" distR="114300" simplePos="0" relativeHeight="10" behindDoc="0" locked="0" layoutInCell="0" allowOverlap="1">
            <wp:simplePos x="0" y="0"/>
            <wp:positionH relativeFrom="column">
              <wp:posOffset>-226060</wp:posOffset>
            </wp:positionH>
            <wp:positionV relativeFrom="paragraph">
              <wp:posOffset>97790</wp:posOffset>
            </wp:positionV>
            <wp:extent cx="1141095" cy="168910"/>
            <wp:effectExtent l="0" t="0" r="0" b="0"/>
            <wp:wrapSquare wrapText="bothSides"/>
            <wp:docPr id="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9"/>
                    <pic:cNvPicPr>
                      <a:picLocks noChangeAspect="1" noChangeArrowheads="1"/>
                    </pic:cNvPicPr>
                  </pic:nvPicPr>
                  <pic:blipFill>
                    <a:blip r:embed="rId8"/>
                    <a:stretch>
                      <a:fillRect/>
                    </a:stretch>
                  </pic:blipFill>
                  <pic:spPr bwMode="auto">
                    <a:xfrm>
                      <a:off x="0" y="0"/>
                      <a:ext cx="1141095" cy="168910"/>
                    </a:xfrm>
                    <a:prstGeom prst="rect">
                      <a:avLst/>
                    </a:prstGeom>
                  </pic:spPr>
                </pic:pic>
              </a:graphicData>
            </a:graphic>
          </wp:anchor>
        </w:drawing>
      </w:r>
    </w:p>
    <w:p w:rsidR="001D254B" w:rsidRDefault="001D254B">
      <w:pPr>
        <w:ind w:right="1394"/>
        <w:rPr>
          <w:rFonts w:ascii="Arial" w:hAnsi="Arial" w:cs="Arial"/>
          <w:lang w:val="es-ES"/>
        </w:rPr>
      </w:pPr>
    </w:p>
    <w:p w:rsidR="001D254B" w:rsidRDefault="001D254B">
      <w:pPr>
        <w:ind w:right="1394"/>
        <w:rPr>
          <w:rFonts w:ascii="Arial" w:hAnsi="Arial" w:cs="Arial"/>
          <w:lang w:val="es-ES"/>
        </w:rPr>
      </w:pPr>
    </w:p>
    <w:p w:rsidR="001D254B" w:rsidRDefault="00C308EB">
      <w:pPr>
        <w:ind w:left="5760" w:right="1394"/>
        <w:rPr>
          <w:rFonts w:ascii="Arial" w:hAnsi="Arial" w:cs="Arial"/>
          <w:sz w:val="20"/>
          <w:szCs w:val="20"/>
          <w:lang w:val="es-ES"/>
        </w:rPr>
      </w:pPr>
      <w:r>
        <w:rPr>
          <w:rFonts w:ascii="Arial" w:hAnsi="Arial" w:cs="Arial"/>
          <w:sz w:val="20"/>
          <w:szCs w:val="20"/>
          <w:lang w:val="es-ES"/>
        </w:rPr>
        <w:t xml:space="preserve">   Madrid, </w:t>
      </w:r>
      <w:r w:rsidR="00023A5F">
        <w:rPr>
          <w:rFonts w:ascii="Arial" w:hAnsi="Arial" w:cs="Arial"/>
          <w:sz w:val="20"/>
          <w:szCs w:val="20"/>
          <w:lang w:val="es-ES"/>
        </w:rPr>
        <w:t>15</w:t>
      </w:r>
      <w:bookmarkStart w:id="0" w:name="_GoBack"/>
      <w:bookmarkEnd w:id="0"/>
      <w:r>
        <w:rPr>
          <w:rFonts w:ascii="Arial" w:hAnsi="Arial" w:cs="Arial"/>
          <w:sz w:val="20"/>
          <w:szCs w:val="20"/>
          <w:lang w:val="es-ES"/>
        </w:rPr>
        <w:t xml:space="preserve"> de </w:t>
      </w:r>
      <w:r w:rsidR="00FC34F3">
        <w:rPr>
          <w:rFonts w:ascii="Arial" w:hAnsi="Arial" w:cs="Arial"/>
          <w:sz w:val="20"/>
          <w:szCs w:val="20"/>
          <w:lang w:val="es-ES"/>
        </w:rPr>
        <w:t>marzo</w:t>
      </w:r>
      <w:r>
        <w:rPr>
          <w:rFonts w:ascii="Arial" w:hAnsi="Arial" w:cs="Arial"/>
          <w:sz w:val="20"/>
          <w:szCs w:val="20"/>
          <w:lang w:val="es-ES"/>
        </w:rPr>
        <w:t>, 2022</w:t>
      </w:r>
    </w:p>
    <w:p w:rsidR="001D254B" w:rsidRDefault="001D254B">
      <w:pPr>
        <w:ind w:right="1394"/>
        <w:jc w:val="center"/>
        <w:rPr>
          <w:rFonts w:ascii="Arial" w:hAnsi="Arial" w:cs="Arial"/>
          <w:lang w:val="es-ES"/>
        </w:rPr>
      </w:pPr>
    </w:p>
    <w:p w:rsidR="001D254B" w:rsidRDefault="001D254B">
      <w:pPr>
        <w:ind w:right="1394"/>
        <w:jc w:val="center"/>
        <w:rPr>
          <w:rFonts w:ascii="Arial" w:hAnsi="Arial" w:cs="Arial"/>
          <w:b/>
          <w:sz w:val="28"/>
          <w:szCs w:val="28"/>
          <w:lang w:val="es-ES"/>
        </w:rPr>
      </w:pPr>
    </w:p>
    <w:p w:rsidR="001D254B" w:rsidRDefault="00C308EB">
      <w:pPr>
        <w:ind w:right="1394"/>
        <w:jc w:val="center"/>
        <w:rPr>
          <w:rFonts w:ascii="Arial" w:hAnsi="Arial" w:cs="Arial"/>
          <w:b/>
          <w:sz w:val="28"/>
          <w:szCs w:val="28"/>
          <w:lang w:val="es-ES"/>
        </w:rPr>
      </w:pPr>
      <w:r>
        <w:rPr>
          <w:rFonts w:ascii="Arial" w:hAnsi="Arial" w:cs="Arial"/>
          <w:b/>
          <w:sz w:val="28"/>
          <w:szCs w:val="28"/>
          <w:lang w:val="es-ES"/>
        </w:rPr>
        <w:t xml:space="preserve">La Guía MICHELIN Alemania anuncia un número récord de Estrellas </w:t>
      </w:r>
      <w:r w:rsidR="000D4ACD">
        <w:rPr>
          <w:rFonts w:ascii="Arial" w:hAnsi="Arial" w:cs="Arial"/>
          <w:b/>
          <w:sz w:val="28"/>
          <w:szCs w:val="28"/>
          <w:lang w:val="es-ES"/>
        </w:rPr>
        <w:t xml:space="preserve">MICHELIN </w:t>
      </w:r>
      <w:r>
        <w:rPr>
          <w:rFonts w:ascii="Arial" w:hAnsi="Arial" w:cs="Arial"/>
          <w:b/>
          <w:sz w:val="28"/>
          <w:szCs w:val="28"/>
          <w:lang w:val="es-ES"/>
        </w:rPr>
        <w:t>en 2022</w:t>
      </w:r>
    </w:p>
    <w:p w:rsidR="001D254B" w:rsidRDefault="001D254B">
      <w:pPr>
        <w:ind w:right="1394"/>
        <w:jc w:val="center"/>
        <w:rPr>
          <w:rStyle w:val="normaltextrun"/>
          <w:rFonts w:ascii="Arial" w:eastAsiaTheme="majorEastAsia" w:hAnsi="Arial" w:cs="Arial"/>
          <w:b/>
          <w:bCs/>
          <w:sz w:val="22"/>
          <w:szCs w:val="22"/>
          <w:lang w:val="es-ES"/>
        </w:rPr>
      </w:pPr>
    </w:p>
    <w:p w:rsidR="001D254B" w:rsidRDefault="001D254B">
      <w:pPr>
        <w:ind w:right="1394"/>
        <w:rPr>
          <w:rStyle w:val="normaltextrun"/>
          <w:rFonts w:ascii="Arial" w:eastAsiaTheme="majorEastAsia" w:hAnsi="Arial" w:cs="Arial"/>
          <w:b/>
          <w:bCs/>
          <w:sz w:val="22"/>
          <w:szCs w:val="22"/>
          <w:lang w:val="es-ES"/>
        </w:rPr>
      </w:pPr>
    </w:p>
    <w:p w:rsidR="001D254B" w:rsidRDefault="00C308EB">
      <w:pPr>
        <w:pStyle w:val="Prrafodelista"/>
        <w:numPr>
          <w:ilvl w:val="0"/>
          <w:numId w:val="1"/>
        </w:numPr>
        <w:ind w:right="1394"/>
        <w:jc w:val="both"/>
        <w:rPr>
          <w:rFonts w:ascii="Arial" w:eastAsiaTheme="minorHAnsi" w:hAnsi="Arial" w:cs="Arial"/>
          <w:b/>
          <w:bCs/>
          <w:lang w:val="es-ES" w:eastAsia="en-US"/>
        </w:rPr>
      </w:pPr>
      <w:r>
        <w:rPr>
          <w:rFonts w:ascii="Arial" w:eastAsiaTheme="minorHAnsi" w:hAnsi="Arial" w:cs="Arial"/>
          <w:b/>
          <w:bCs/>
          <w:lang w:val="es-ES" w:eastAsia="en-US"/>
        </w:rPr>
        <w:t>La gastronomía alemana muestra su nivel culinario pese a la crisis sanitaria</w:t>
      </w:r>
    </w:p>
    <w:p w:rsidR="001D254B" w:rsidRDefault="00C308EB">
      <w:pPr>
        <w:pStyle w:val="Prrafodelista"/>
        <w:numPr>
          <w:ilvl w:val="0"/>
          <w:numId w:val="1"/>
        </w:numPr>
        <w:ind w:right="1394"/>
        <w:jc w:val="both"/>
        <w:rPr>
          <w:rFonts w:ascii="Arial" w:eastAsiaTheme="minorHAnsi" w:hAnsi="Arial" w:cs="Arial"/>
          <w:b/>
          <w:bCs/>
          <w:lang w:val="es-ES" w:eastAsia="en-US"/>
        </w:rPr>
      </w:pPr>
      <w:r>
        <w:rPr>
          <w:rFonts w:ascii="Arial" w:eastAsiaTheme="minorHAnsi" w:hAnsi="Arial" w:cs="Arial"/>
          <w:b/>
          <w:bCs/>
          <w:lang w:val="es-ES" w:eastAsia="en-US"/>
        </w:rPr>
        <w:t>Nuevo récord: 326 restaurantes con Estrellas MICHELIN</w:t>
      </w:r>
    </w:p>
    <w:p w:rsidR="001D254B" w:rsidRDefault="000D4ACD">
      <w:pPr>
        <w:pStyle w:val="Prrafodelista"/>
        <w:numPr>
          <w:ilvl w:val="0"/>
          <w:numId w:val="1"/>
        </w:numPr>
        <w:ind w:right="1394"/>
        <w:jc w:val="both"/>
        <w:rPr>
          <w:rFonts w:ascii="Arial" w:eastAsiaTheme="minorHAnsi" w:hAnsi="Arial" w:cs="Arial"/>
          <w:b/>
          <w:bCs/>
          <w:lang w:val="es-ES" w:eastAsia="en-US"/>
        </w:rPr>
      </w:pPr>
      <w:r>
        <w:rPr>
          <w:rFonts w:ascii="Arial" w:eastAsiaTheme="minorHAnsi" w:hAnsi="Arial" w:cs="Arial"/>
          <w:b/>
          <w:bCs/>
          <w:lang w:val="es-ES" w:eastAsia="en-US"/>
        </w:rPr>
        <w:t>1 nuevo</w:t>
      </w:r>
      <w:r w:rsidR="00C308EB">
        <w:rPr>
          <w:rFonts w:ascii="Arial" w:eastAsiaTheme="minorHAnsi" w:hAnsi="Arial" w:cs="Arial"/>
          <w:b/>
          <w:bCs/>
          <w:lang w:val="es-ES" w:eastAsia="en-US"/>
        </w:rPr>
        <w:t xml:space="preserve"> restaurante con tres Estrellas MICHELIN</w:t>
      </w:r>
    </w:p>
    <w:p w:rsidR="001D254B" w:rsidRDefault="000D4ACD">
      <w:pPr>
        <w:pStyle w:val="Prrafodelista"/>
        <w:numPr>
          <w:ilvl w:val="0"/>
          <w:numId w:val="1"/>
        </w:numPr>
        <w:ind w:right="1394"/>
        <w:jc w:val="both"/>
      </w:pPr>
      <w:r>
        <w:rPr>
          <w:rStyle w:val="normaltextrun"/>
          <w:rFonts w:ascii="Arial" w:eastAsiaTheme="majorEastAsia" w:hAnsi="Arial" w:cs="Arial"/>
          <w:b/>
          <w:bCs/>
          <w:lang w:val="es-ES" w:eastAsia="en-US"/>
        </w:rPr>
        <w:t>11</w:t>
      </w:r>
      <w:r w:rsidR="00C308EB">
        <w:rPr>
          <w:rStyle w:val="normaltextrun"/>
          <w:rFonts w:ascii="Arial" w:eastAsiaTheme="majorEastAsia" w:hAnsi="Arial" w:cs="Arial"/>
          <w:b/>
          <w:bCs/>
          <w:lang w:val="es-ES" w:eastAsia="en-US"/>
        </w:rPr>
        <w:t xml:space="preserve"> nuevos establecimientos con Estrella Verde MICHELIN: crece la importancia de una restauración sostenible</w:t>
      </w:r>
    </w:p>
    <w:p w:rsidR="001D254B" w:rsidRDefault="001D254B">
      <w:pPr>
        <w:ind w:right="1394"/>
        <w:jc w:val="both"/>
        <w:rPr>
          <w:rFonts w:ascii="Arial" w:eastAsiaTheme="majorEastAsia" w:hAnsi="Arial" w:cs="Arial"/>
          <w:b/>
          <w:bCs/>
          <w:sz w:val="22"/>
          <w:szCs w:val="22"/>
          <w:lang w:val="es-ES"/>
        </w:rPr>
      </w:pP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M</w:t>
      </w:r>
      <w:r w:rsidR="003B25B7">
        <w:rPr>
          <w:rFonts w:ascii="Arial" w:hAnsi="Arial" w:cs="Arial"/>
          <w:sz w:val="20"/>
          <w:szCs w:val="20"/>
          <w:lang w:val="es-ES"/>
        </w:rPr>
        <w:t>ichelin</w:t>
      </w:r>
      <w:r>
        <w:rPr>
          <w:rFonts w:ascii="Arial" w:hAnsi="Arial" w:cs="Arial"/>
          <w:sz w:val="20"/>
          <w:szCs w:val="20"/>
          <w:lang w:val="es-ES"/>
        </w:rPr>
        <w:t xml:space="preserve"> se complace en presentar la nueva edición de la Guía MICHELIN Alemania. Aunque la pandemia </w:t>
      </w:r>
      <w:r w:rsidR="00FC34F3">
        <w:rPr>
          <w:rFonts w:ascii="Arial" w:hAnsi="Arial" w:cs="Arial"/>
          <w:sz w:val="20"/>
          <w:szCs w:val="20"/>
          <w:lang w:val="es-ES"/>
        </w:rPr>
        <w:t>del coronavirus</w:t>
      </w:r>
      <w:r>
        <w:rPr>
          <w:rFonts w:ascii="Arial" w:hAnsi="Arial" w:cs="Arial"/>
          <w:sz w:val="20"/>
          <w:szCs w:val="20"/>
          <w:lang w:val="es-ES"/>
        </w:rPr>
        <w:t xml:space="preserve"> no </w:t>
      </w:r>
      <w:r w:rsidR="00FC34F3">
        <w:rPr>
          <w:rFonts w:ascii="Arial" w:hAnsi="Arial" w:cs="Arial"/>
          <w:sz w:val="20"/>
          <w:szCs w:val="20"/>
          <w:lang w:val="es-ES"/>
        </w:rPr>
        <w:t>se ha terminado</w:t>
      </w:r>
      <w:r>
        <w:rPr>
          <w:rFonts w:ascii="Arial" w:hAnsi="Arial" w:cs="Arial"/>
          <w:sz w:val="20"/>
          <w:szCs w:val="20"/>
          <w:lang w:val="es-ES"/>
        </w:rPr>
        <w:t xml:space="preserve"> aún, la selección 2022 de restaurantes confirma, pese a las delicadas circunstancias, </w:t>
      </w:r>
      <w:r w:rsidR="00FC34F3">
        <w:rPr>
          <w:rFonts w:ascii="Arial" w:hAnsi="Arial" w:cs="Arial"/>
          <w:sz w:val="20"/>
          <w:szCs w:val="20"/>
          <w:lang w:val="es-ES"/>
        </w:rPr>
        <w:t>la</w:t>
      </w:r>
      <w:r>
        <w:rPr>
          <w:rFonts w:ascii="Arial" w:hAnsi="Arial" w:cs="Arial"/>
          <w:sz w:val="20"/>
          <w:szCs w:val="20"/>
          <w:lang w:val="es-ES"/>
        </w:rPr>
        <w:t xml:space="preserve"> </w:t>
      </w:r>
      <w:r w:rsidR="00FC34F3">
        <w:rPr>
          <w:rFonts w:ascii="Arial" w:hAnsi="Arial" w:cs="Arial"/>
          <w:sz w:val="20"/>
          <w:szCs w:val="20"/>
          <w:lang w:val="es-ES"/>
        </w:rPr>
        <w:t xml:space="preserve">diversificada </w:t>
      </w:r>
      <w:r>
        <w:rPr>
          <w:rFonts w:ascii="Arial" w:hAnsi="Arial" w:cs="Arial"/>
          <w:sz w:val="20"/>
          <w:szCs w:val="20"/>
          <w:lang w:val="es-ES"/>
        </w:rPr>
        <w:t xml:space="preserve">oferta y </w:t>
      </w:r>
      <w:r w:rsidR="00FC34F3">
        <w:rPr>
          <w:rFonts w:ascii="Arial" w:hAnsi="Arial" w:cs="Arial"/>
          <w:sz w:val="20"/>
          <w:szCs w:val="20"/>
          <w:lang w:val="es-ES"/>
        </w:rPr>
        <w:t>el</w:t>
      </w:r>
      <w:r>
        <w:rPr>
          <w:rFonts w:ascii="Arial" w:hAnsi="Arial" w:cs="Arial"/>
          <w:sz w:val="20"/>
          <w:szCs w:val="20"/>
          <w:lang w:val="es-ES"/>
        </w:rPr>
        <w:t xml:space="preserve"> elevado nivel de la gastronomía germana. Atestiguan esta evolución las cifras récord de restaurantes con Estrella</w:t>
      </w:r>
      <w:r w:rsidR="00FC34F3">
        <w:rPr>
          <w:rFonts w:ascii="Arial" w:hAnsi="Arial" w:cs="Arial"/>
          <w:sz w:val="20"/>
          <w:szCs w:val="20"/>
          <w:lang w:val="es-ES"/>
        </w:rPr>
        <w:t xml:space="preserve"> MICHELIN</w:t>
      </w:r>
      <w:r>
        <w:rPr>
          <w:rFonts w:ascii="Arial" w:hAnsi="Arial" w:cs="Arial"/>
          <w:sz w:val="20"/>
          <w:szCs w:val="20"/>
          <w:lang w:val="es-ES"/>
        </w:rPr>
        <w:t xml:space="preserve">, 326 en total, incluyendo </w:t>
      </w:r>
      <w:r w:rsidR="00FC34F3">
        <w:rPr>
          <w:rFonts w:ascii="Arial" w:hAnsi="Arial" w:cs="Arial"/>
          <w:sz w:val="20"/>
          <w:szCs w:val="20"/>
          <w:lang w:val="es-ES"/>
        </w:rPr>
        <w:t>1</w:t>
      </w:r>
      <w:r>
        <w:rPr>
          <w:rFonts w:ascii="Arial" w:hAnsi="Arial" w:cs="Arial"/>
          <w:sz w:val="20"/>
          <w:szCs w:val="20"/>
          <w:lang w:val="es-ES"/>
        </w:rPr>
        <w:t xml:space="preserve"> nuevo restaurante con tres Estrellas, </w:t>
      </w:r>
      <w:r w:rsidR="00FC34F3">
        <w:rPr>
          <w:rFonts w:ascii="Arial" w:hAnsi="Arial" w:cs="Arial"/>
          <w:sz w:val="20"/>
          <w:szCs w:val="20"/>
          <w:lang w:val="es-ES"/>
        </w:rPr>
        <w:t>8</w:t>
      </w:r>
      <w:r>
        <w:rPr>
          <w:rFonts w:ascii="Arial" w:hAnsi="Arial" w:cs="Arial"/>
          <w:sz w:val="20"/>
          <w:szCs w:val="20"/>
          <w:lang w:val="es-ES"/>
        </w:rPr>
        <w:t xml:space="preserve"> nuevos restaurantes con dos Estrella y los numerosos establecimientos con una Estrella.</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sidRPr="00FC34F3">
        <w:rPr>
          <w:rFonts w:ascii="Arial" w:hAnsi="Arial" w:cs="Arial"/>
          <w:i/>
          <w:sz w:val="20"/>
          <w:szCs w:val="20"/>
          <w:lang w:val="es-ES"/>
        </w:rPr>
        <w:t xml:space="preserve">“Pese a los desafíos que plantea la actual crisis, la Guía MICHELIN Alemania sigue mostrando en 2022 una impresionante constancia en la calidad de la gastronomía alemana. Nuestros inspectores se sienten entusiasmados por el compromiso y la resiliencia de los restauradores. Han logrado atravesar la crisis con sus empresas, han mostrado una pasión inalterada a sus clientes y han mantenido un nivel muy elevado. Nos alegramos igualmente de la creciente sensibilización hacia una cocina más sostenible. Numerosos restauradores se afanan en la protección del medio ambiente, y apuestan por lo regional y de temporada. Estas iniciativas virtuosas, recompensadas por la Guía MICHELIN con la Estrella Verde, también son </w:t>
      </w:r>
      <w:r w:rsidR="00FC34F3">
        <w:rPr>
          <w:rFonts w:ascii="Arial" w:hAnsi="Arial" w:cs="Arial"/>
          <w:i/>
          <w:sz w:val="20"/>
          <w:szCs w:val="20"/>
          <w:lang w:val="es-ES"/>
        </w:rPr>
        <w:t>muy apreciadas por los clientes</w:t>
      </w:r>
      <w:r w:rsidRPr="00FC34F3">
        <w:rPr>
          <w:rFonts w:ascii="Arial" w:hAnsi="Arial" w:cs="Arial"/>
          <w:i/>
          <w:sz w:val="20"/>
          <w:szCs w:val="20"/>
          <w:lang w:val="es-ES"/>
        </w:rPr>
        <w:t>”</w:t>
      </w:r>
      <w:r w:rsidR="00FC34F3">
        <w:rPr>
          <w:rFonts w:ascii="Arial" w:hAnsi="Arial" w:cs="Arial"/>
          <w:i/>
          <w:sz w:val="20"/>
          <w:szCs w:val="20"/>
          <w:lang w:val="es-ES"/>
        </w:rPr>
        <w:t>,</w:t>
      </w:r>
      <w:r>
        <w:rPr>
          <w:rFonts w:ascii="Arial" w:hAnsi="Arial" w:cs="Arial"/>
          <w:sz w:val="20"/>
          <w:szCs w:val="20"/>
          <w:lang w:val="es-ES"/>
        </w:rPr>
        <w:t xml:space="preserve"> indica </w:t>
      </w:r>
      <w:proofErr w:type="spellStart"/>
      <w:r>
        <w:rPr>
          <w:rFonts w:ascii="Arial" w:hAnsi="Arial" w:cs="Arial"/>
          <w:sz w:val="20"/>
          <w:szCs w:val="20"/>
          <w:lang w:val="es-ES"/>
        </w:rPr>
        <w:t>Gwendal</w:t>
      </w:r>
      <w:proofErr w:type="spellEnd"/>
      <w:r>
        <w:rPr>
          <w:rFonts w:ascii="Arial" w:hAnsi="Arial" w:cs="Arial"/>
          <w:sz w:val="20"/>
          <w:szCs w:val="20"/>
          <w:lang w:val="es-ES"/>
        </w:rPr>
        <w:t xml:space="preserve"> </w:t>
      </w:r>
      <w:proofErr w:type="spellStart"/>
      <w:r>
        <w:rPr>
          <w:rFonts w:ascii="Arial" w:hAnsi="Arial" w:cs="Arial"/>
          <w:sz w:val="20"/>
          <w:szCs w:val="20"/>
          <w:lang w:val="es-ES"/>
        </w:rPr>
        <w:t>Poullennec</w:t>
      </w:r>
      <w:proofErr w:type="spellEnd"/>
      <w:r>
        <w:rPr>
          <w:rFonts w:ascii="Arial" w:hAnsi="Arial" w:cs="Arial"/>
          <w:sz w:val="20"/>
          <w:szCs w:val="20"/>
          <w:lang w:val="es-ES"/>
        </w:rPr>
        <w:t>, Director Internacional de la</w:t>
      </w:r>
      <w:r w:rsidR="00FC34F3">
        <w:rPr>
          <w:rFonts w:ascii="Arial" w:hAnsi="Arial" w:cs="Arial"/>
          <w:sz w:val="20"/>
          <w:szCs w:val="20"/>
          <w:lang w:val="es-ES"/>
        </w:rPr>
        <w:t>s</w:t>
      </w:r>
      <w:r>
        <w:rPr>
          <w:rFonts w:ascii="Arial" w:hAnsi="Arial" w:cs="Arial"/>
          <w:sz w:val="20"/>
          <w:szCs w:val="20"/>
          <w:lang w:val="es-ES"/>
        </w:rPr>
        <w:t xml:space="preserve"> Guía</w:t>
      </w:r>
      <w:r w:rsidR="00FC34F3">
        <w:rPr>
          <w:rFonts w:ascii="Arial" w:hAnsi="Arial" w:cs="Arial"/>
          <w:sz w:val="20"/>
          <w:szCs w:val="20"/>
          <w:lang w:val="es-ES"/>
        </w:rPr>
        <w:t>s</w:t>
      </w:r>
      <w:r>
        <w:rPr>
          <w:rFonts w:ascii="Arial" w:hAnsi="Arial" w:cs="Arial"/>
          <w:sz w:val="20"/>
          <w:szCs w:val="20"/>
          <w:lang w:val="es-ES"/>
        </w:rPr>
        <w:t xml:space="preserve"> MICHELIN.</w:t>
      </w:r>
    </w:p>
    <w:p w:rsidR="001D254B" w:rsidRDefault="001D254B">
      <w:pPr>
        <w:spacing w:line="276" w:lineRule="auto"/>
        <w:ind w:right="1394"/>
        <w:jc w:val="both"/>
        <w:rPr>
          <w:rFonts w:ascii="Arial" w:hAnsi="Arial" w:cs="Arial"/>
          <w:b/>
          <w:bCs/>
          <w:sz w:val="20"/>
          <w:szCs w:val="20"/>
          <w:lang w:val="es-ES"/>
        </w:rPr>
      </w:pPr>
    </w:p>
    <w:p w:rsidR="001D254B" w:rsidRDefault="00C308EB">
      <w:pPr>
        <w:spacing w:line="276" w:lineRule="auto"/>
        <w:ind w:right="1394"/>
        <w:jc w:val="both"/>
        <w:rPr>
          <w:rFonts w:ascii="Arial" w:hAnsi="Arial" w:cs="Arial"/>
          <w:b/>
          <w:bCs/>
          <w:sz w:val="20"/>
          <w:szCs w:val="20"/>
          <w:lang w:val="es-ES"/>
        </w:rPr>
      </w:pPr>
      <w:r>
        <w:rPr>
          <w:rFonts w:ascii="Arial" w:hAnsi="Arial" w:cs="Arial"/>
          <w:b/>
          <w:bCs/>
          <w:sz w:val="20"/>
          <w:szCs w:val="20"/>
          <w:lang w:val="es-ES"/>
        </w:rPr>
        <w:t>Nuevo restaurante</w:t>
      </w:r>
      <w:r w:rsidR="00723117">
        <w:rPr>
          <w:rFonts w:ascii="Arial" w:hAnsi="Arial" w:cs="Arial"/>
          <w:b/>
          <w:bCs/>
          <w:sz w:val="20"/>
          <w:szCs w:val="20"/>
          <w:lang w:val="es-ES"/>
        </w:rPr>
        <w:t xml:space="preserve"> con</w:t>
      </w:r>
      <w:r>
        <w:rPr>
          <w:rFonts w:ascii="Arial" w:hAnsi="Arial" w:cs="Arial"/>
          <w:b/>
          <w:bCs/>
          <w:sz w:val="20"/>
          <w:szCs w:val="20"/>
          <w:lang w:val="es-ES"/>
        </w:rPr>
        <w:t xml:space="preserve"> tres Estrellas</w:t>
      </w:r>
      <w:r w:rsidR="000D4ACD">
        <w:rPr>
          <w:rFonts w:ascii="Arial" w:hAnsi="Arial" w:cs="Arial"/>
          <w:b/>
          <w:bCs/>
          <w:sz w:val="20"/>
          <w:szCs w:val="20"/>
          <w:lang w:val="es-ES"/>
        </w:rPr>
        <w:t xml:space="preserve"> MICHELIN</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Este año, la Guía MICHELIN Alemania cuenta con </w:t>
      </w:r>
      <w:r w:rsidR="00FC34F3">
        <w:rPr>
          <w:rFonts w:ascii="Arial" w:hAnsi="Arial" w:cs="Arial"/>
          <w:sz w:val="20"/>
          <w:szCs w:val="20"/>
          <w:lang w:val="es-ES"/>
        </w:rPr>
        <w:t>1</w:t>
      </w:r>
      <w:r>
        <w:rPr>
          <w:rFonts w:ascii="Arial" w:hAnsi="Arial" w:cs="Arial"/>
          <w:sz w:val="20"/>
          <w:szCs w:val="20"/>
          <w:lang w:val="es-ES"/>
        </w:rPr>
        <w:t xml:space="preserve"> nuevo miembro en el grupo de </w:t>
      </w:r>
      <w:r w:rsidR="00FC34F3">
        <w:rPr>
          <w:rFonts w:ascii="Arial" w:hAnsi="Arial" w:cs="Arial"/>
          <w:sz w:val="20"/>
          <w:szCs w:val="20"/>
          <w:lang w:val="es-ES"/>
        </w:rPr>
        <w:t>9</w:t>
      </w:r>
      <w:r>
        <w:rPr>
          <w:rFonts w:ascii="Arial" w:hAnsi="Arial" w:cs="Arial"/>
          <w:sz w:val="20"/>
          <w:szCs w:val="20"/>
          <w:lang w:val="es-ES"/>
        </w:rPr>
        <w:t xml:space="preserve"> restaurantes con tres Estrellas</w:t>
      </w:r>
      <w:r w:rsidR="00FC34F3">
        <w:rPr>
          <w:rFonts w:ascii="Arial" w:hAnsi="Arial" w:cs="Arial"/>
          <w:sz w:val="20"/>
          <w:szCs w:val="20"/>
          <w:lang w:val="es-ES"/>
        </w:rPr>
        <w:t xml:space="preserve"> MICHELIN</w:t>
      </w:r>
      <w:r>
        <w:rPr>
          <w:rFonts w:ascii="Arial" w:hAnsi="Arial" w:cs="Arial"/>
          <w:sz w:val="20"/>
          <w:szCs w:val="20"/>
          <w:lang w:val="es-ES"/>
        </w:rPr>
        <w:t>.</w:t>
      </w:r>
      <w:r w:rsidR="00FC34F3">
        <w:rPr>
          <w:rFonts w:ascii="Arial" w:hAnsi="Arial" w:cs="Arial"/>
          <w:sz w:val="20"/>
          <w:szCs w:val="20"/>
          <w:lang w:val="es-ES"/>
        </w:rPr>
        <w:t xml:space="preserve"> El</w:t>
      </w:r>
      <w:r>
        <w:rPr>
          <w:rFonts w:ascii="Arial" w:hAnsi="Arial" w:cs="Arial"/>
          <w:sz w:val="20"/>
          <w:szCs w:val="20"/>
          <w:lang w:val="es-ES"/>
        </w:rPr>
        <w:t xml:space="preserve"> </w:t>
      </w:r>
      <w:proofErr w:type="spellStart"/>
      <w:r>
        <w:rPr>
          <w:rFonts w:ascii="Arial" w:hAnsi="Arial" w:cs="Arial"/>
          <w:b/>
          <w:bCs/>
          <w:i/>
          <w:iCs/>
          <w:sz w:val="20"/>
          <w:szCs w:val="20"/>
          <w:lang w:val="es-ES"/>
        </w:rPr>
        <w:t>schanz</w:t>
      </w:r>
      <w:proofErr w:type="spellEnd"/>
      <w:r>
        <w:rPr>
          <w:rFonts w:ascii="Arial" w:hAnsi="Arial" w:cs="Arial"/>
          <w:b/>
          <w:bCs/>
          <w:i/>
          <w:iCs/>
          <w:sz w:val="20"/>
          <w:szCs w:val="20"/>
          <w:lang w:val="es-ES"/>
        </w:rPr>
        <w:t xml:space="preserve">. </w:t>
      </w:r>
      <w:proofErr w:type="gramStart"/>
      <w:r>
        <w:rPr>
          <w:rFonts w:ascii="Arial" w:hAnsi="Arial" w:cs="Arial"/>
          <w:b/>
          <w:bCs/>
          <w:i/>
          <w:iCs/>
          <w:sz w:val="20"/>
          <w:szCs w:val="20"/>
          <w:lang w:val="es-ES"/>
        </w:rPr>
        <w:t>restaurant</w:t>
      </w:r>
      <w:proofErr w:type="gramEnd"/>
      <w:r>
        <w:rPr>
          <w:rFonts w:ascii="Arial" w:hAnsi="Arial" w:cs="Arial"/>
          <w:b/>
          <w:bCs/>
          <w:i/>
          <w:iCs/>
          <w:sz w:val="20"/>
          <w:szCs w:val="20"/>
          <w:lang w:val="es-ES"/>
        </w:rPr>
        <w:t>.</w:t>
      </w:r>
      <w:r>
        <w:rPr>
          <w:rFonts w:ascii="Arial" w:hAnsi="Arial" w:cs="Arial"/>
          <w:sz w:val="20"/>
          <w:szCs w:val="20"/>
          <w:lang w:val="es-ES"/>
        </w:rPr>
        <w:t xml:space="preserve"> </w:t>
      </w:r>
      <w:proofErr w:type="gramStart"/>
      <w:r w:rsidR="00FC34F3">
        <w:rPr>
          <w:rFonts w:ascii="Arial" w:hAnsi="Arial" w:cs="Arial"/>
          <w:sz w:val="20"/>
          <w:szCs w:val="20"/>
          <w:lang w:val="es-ES"/>
        </w:rPr>
        <w:t>de</w:t>
      </w:r>
      <w:proofErr w:type="gramEnd"/>
      <w:r>
        <w:rPr>
          <w:rFonts w:ascii="Arial" w:hAnsi="Arial" w:cs="Arial"/>
          <w:sz w:val="20"/>
          <w:szCs w:val="20"/>
          <w:lang w:val="es-ES"/>
        </w:rPr>
        <w:t xml:space="preserve"> </w:t>
      </w:r>
      <w:proofErr w:type="spellStart"/>
      <w:r>
        <w:rPr>
          <w:rFonts w:ascii="Arial" w:hAnsi="Arial" w:cs="Arial"/>
          <w:sz w:val="20"/>
          <w:szCs w:val="20"/>
          <w:lang w:val="es-ES"/>
        </w:rPr>
        <w:t>Piesport</w:t>
      </w:r>
      <w:proofErr w:type="spellEnd"/>
      <w:r>
        <w:rPr>
          <w:rFonts w:ascii="Arial" w:hAnsi="Arial" w:cs="Arial"/>
          <w:sz w:val="20"/>
          <w:szCs w:val="20"/>
          <w:lang w:val="es-ES"/>
        </w:rPr>
        <w:t xml:space="preserve">, que ya había logrado anteriormente dos Estrellas MICHELIN, ha alcanzado este año la cima de la gastronomía alemana. Los inspectores coinciden al afirmar que la cocina aquí es de altos vuelos: el patrón y chef Thomas </w:t>
      </w:r>
      <w:proofErr w:type="spellStart"/>
      <w:r>
        <w:rPr>
          <w:rFonts w:ascii="Arial" w:hAnsi="Arial" w:cs="Arial"/>
          <w:sz w:val="20"/>
          <w:szCs w:val="20"/>
          <w:lang w:val="es-ES"/>
        </w:rPr>
        <w:t>Schanz</w:t>
      </w:r>
      <w:proofErr w:type="spellEnd"/>
      <w:r>
        <w:rPr>
          <w:rFonts w:ascii="Arial" w:hAnsi="Arial" w:cs="Arial"/>
          <w:sz w:val="20"/>
          <w:szCs w:val="20"/>
          <w:lang w:val="es-ES"/>
        </w:rPr>
        <w:t xml:space="preserve"> crea platos plenos de finura, pero también de personalidad y expresión. El restaurante</w:t>
      </w:r>
      <w:r w:rsidR="00FC34F3">
        <w:rPr>
          <w:rFonts w:ascii="Arial" w:hAnsi="Arial" w:cs="Arial"/>
          <w:sz w:val="20"/>
          <w:szCs w:val="20"/>
          <w:lang w:val="es-ES"/>
        </w:rPr>
        <w:t>,</w:t>
      </w:r>
      <w:r>
        <w:rPr>
          <w:rFonts w:ascii="Arial" w:hAnsi="Arial" w:cs="Arial"/>
          <w:sz w:val="20"/>
          <w:szCs w:val="20"/>
          <w:lang w:val="es-ES"/>
        </w:rPr>
        <w:t xml:space="preserve"> situado en la ciudad vitivinícola de </w:t>
      </w:r>
      <w:proofErr w:type="spellStart"/>
      <w:r>
        <w:rPr>
          <w:rFonts w:ascii="Arial" w:hAnsi="Arial" w:cs="Arial"/>
          <w:sz w:val="20"/>
          <w:szCs w:val="20"/>
          <w:lang w:val="es-ES"/>
        </w:rPr>
        <w:t>Piesport</w:t>
      </w:r>
      <w:proofErr w:type="spellEnd"/>
      <w:r>
        <w:rPr>
          <w:rFonts w:ascii="Arial" w:hAnsi="Arial" w:cs="Arial"/>
          <w:sz w:val="20"/>
          <w:szCs w:val="20"/>
          <w:lang w:val="es-ES"/>
        </w:rPr>
        <w:t>, en Renania-Palatinado, es excepcional y su cocina clásico-moderna merece la tercera Estrella MICHELIN.</w:t>
      </w:r>
    </w:p>
    <w:p w:rsidR="001D254B" w:rsidRDefault="001D254B">
      <w:pPr>
        <w:spacing w:line="276" w:lineRule="auto"/>
        <w:ind w:right="1394"/>
        <w:jc w:val="both"/>
        <w:rPr>
          <w:rFonts w:ascii="Arial" w:hAnsi="Arial" w:cs="Arial"/>
          <w:sz w:val="20"/>
          <w:szCs w:val="20"/>
          <w:lang w:val="es-ES"/>
        </w:rPr>
      </w:pPr>
    </w:p>
    <w:p w:rsidR="001D254B" w:rsidRDefault="00FC34F3">
      <w:pPr>
        <w:spacing w:line="276" w:lineRule="auto"/>
        <w:ind w:right="1394"/>
        <w:jc w:val="both"/>
        <w:rPr>
          <w:rFonts w:ascii="Arial" w:hAnsi="Arial" w:cs="Arial"/>
          <w:b/>
          <w:bCs/>
          <w:sz w:val="20"/>
          <w:szCs w:val="20"/>
          <w:lang w:val="es-ES"/>
        </w:rPr>
      </w:pPr>
      <w:r>
        <w:rPr>
          <w:rFonts w:ascii="Arial" w:hAnsi="Arial" w:cs="Arial"/>
          <w:b/>
          <w:bCs/>
          <w:sz w:val="20"/>
          <w:szCs w:val="20"/>
          <w:lang w:val="es-ES"/>
        </w:rPr>
        <w:t>8</w:t>
      </w:r>
      <w:r w:rsidR="00C308EB">
        <w:rPr>
          <w:rFonts w:ascii="Arial" w:hAnsi="Arial" w:cs="Arial"/>
          <w:b/>
          <w:bCs/>
          <w:sz w:val="20"/>
          <w:szCs w:val="20"/>
          <w:lang w:val="es-ES"/>
        </w:rPr>
        <w:t xml:space="preserve"> nuevos restaurantes premiados con dos Estrellas</w:t>
      </w:r>
      <w:r>
        <w:rPr>
          <w:rFonts w:ascii="Arial" w:hAnsi="Arial" w:cs="Arial"/>
          <w:b/>
          <w:bCs/>
          <w:sz w:val="20"/>
          <w:szCs w:val="20"/>
          <w:lang w:val="es-ES"/>
        </w:rPr>
        <w:t xml:space="preserve"> </w:t>
      </w:r>
      <w:r w:rsidRPr="00FC34F3">
        <w:rPr>
          <w:rFonts w:ascii="Arial" w:hAnsi="Arial" w:cs="Arial"/>
          <w:b/>
          <w:bCs/>
          <w:sz w:val="20"/>
          <w:szCs w:val="20"/>
          <w:lang w:val="es-ES"/>
        </w:rPr>
        <w:t>MICHELIN</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A destacar también la cifra considerable de </w:t>
      </w:r>
      <w:r w:rsidR="00FC34F3">
        <w:rPr>
          <w:rFonts w:ascii="Arial" w:hAnsi="Arial" w:cs="Arial"/>
          <w:sz w:val="20"/>
          <w:szCs w:val="20"/>
          <w:lang w:val="es-ES"/>
        </w:rPr>
        <w:t>8</w:t>
      </w:r>
      <w:r>
        <w:rPr>
          <w:rFonts w:ascii="Arial" w:hAnsi="Arial" w:cs="Arial"/>
          <w:sz w:val="20"/>
          <w:szCs w:val="20"/>
          <w:lang w:val="es-ES"/>
        </w:rPr>
        <w:t xml:space="preserve"> restaurantes que se unen este año al grupo de establecimientos con dos Estrellas</w:t>
      </w:r>
      <w:r w:rsidR="00FC34F3">
        <w:rPr>
          <w:rFonts w:ascii="Arial" w:hAnsi="Arial" w:cs="Arial"/>
          <w:sz w:val="20"/>
          <w:szCs w:val="20"/>
          <w:lang w:val="es-ES"/>
        </w:rPr>
        <w:t xml:space="preserve"> MICHELIN</w:t>
      </w:r>
      <w:r>
        <w:rPr>
          <w:rFonts w:ascii="Arial" w:hAnsi="Arial" w:cs="Arial"/>
          <w:sz w:val="20"/>
          <w:szCs w:val="20"/>
          <w:lang w:val="es-ES"/>
        </w:rPr>
        <w:t xml:space="preserve">. Citamos a continuación los </w:t>
      </w:r>
      <w:r w:rsidR="00FC34F3">
        <w:rPr>
          <w:rFonts w:ascii="Arial" w:hAnsi="Arial" w:cs="Arial"/>
          <w:sz w:val="20"/>
          <w:szCs w:val="20"/>
          <w:lang w:val="es-ES"/>
        </w:rPr>
        <w:t>5</w:t>
      </w:r>
      <w:r>
        <w:rPr>
          <w:rFonts w:ascii="Arial" w:hAnsi="Arial" w:cs="Arial"/>
          <w:sz w:val="20"/>
          <w:szCs w:val="20"/>
          <w:lang w:val="es-ES"/>
        </w:rPr>
        <w:t xml:space="preserve"> restaurantes que han obtenido directamente dos Estrellas de la Guía MICHELIN Alemania: </w:t>
      </w:r>
      <w:r>
        <w:rPr>
          <w:rFonts w:ascii="Arial" w:hAnsi="Arial" w:cs="Arial"/>
          <w:b/>
          <w:bCs/>
          <w:i/>
          <w:iCs/>
          <w:sz w:val="20"/>
          <w:szCs w:val="20"/>
          <w:lang w:val="es-ES"/>
        </w:rPr>
        <w:t>ES</w:t>
      </w:r>
      <w:proofErr w:type="gramStart"/>
      <w:r>
        <w:rPr>
          <w:rFonts w:ascii="Arial" w:hAnsi="Arial" w:cs="Arial"/>
          <w:b/>
          <w:bCs/>
          <w:i/>
          <w:iCs/>
          <w:sz w:val="20"/>
          <w:szCs w:val="20"/>
          <w:lang w:val="es-ES"/>
        </w:rPr>
        <w:t>:SENZ</w:t>
      </w:r>
      <w:proofErr w:type="gramEnd"/>
      <w:r>
        <w:rPr>
          <w:rFonts w:ascii="Arial" w:hAnsi="Arial" w:cs="Arial"/>
          <w:sz w:val="20"/>
          <w:szCs w:val="20"/>
          <w:lang w:val="es-ES"/>
        </w:rPr>
        <w:t xml:space="preserve"> en </w:t>
      </w:r>
      <w:proofErr w:type="spellStart"/>
      <w:r>
        <w:rPr>
          <w:rFonts w:ascii="Arial" w:hAnsi="Arial" w:cs="Arial"/>
          <w:sz w:val="20"/>
          <w:szCs w:val="20"/>
          <w:lang w:val="es-ES"/>
        </w:rPr>
        <w:t>Grassau</w:t>
      </w:r>
      <w:proofErr w:type="spellEnd"/>
      <w:r>
        <w:rPr>
          <w:rFonts w:ascii="Arial" w:hAnsi="Arial" w:cs="Arial"/>
          <w:sz w:val="20"/>
          <w:szCs w:val="20"/>
          <w:lang w:val="es-ES"/>
        </w:rPr>
        <w:t xml:space="preserve">, </w:t>
      </w:r>
      <w:proofErr w:type="spellStart"/>
      <w:r>
        <w:rPr>
          <w:rFonts w:ascii="Arial" w:hAnsi="Arial" w:cs="Arial"/>
          <w:b/>
          <w:bCs/>
          <w:i/>
          <w:iCs/>
          <w:sz w:val="20"/>
          <w:szCs w:val="20"/>
          <w:lang w:val="es-ES"/>
        </w:rPr>
        <w:t>etz</w:t>
      </w:r>
      <w:proofErr w:type="spellEnd"/>
      <w:r>
        <w:rPr>
          <w:rFonts w:ascii="Arial" w:hAnsi="Arial" w:cs="Arial"/>
          <w:sz w:val="20"/>
          <w:szCs w:val="20"/>
          <w:lang w:val="es-ES"/>
        </w:rPr>
        <w:t xml:space="preserve"> en </w:t>
      </w:r>
      <w:proofErr w:type="spellStart"/>
      <w:r>
        <w:rPr>
          <w:rFonts w:ascii="Arial" w:hAnsi="Arial" w:cs="Arial"/>
          <w:sz w:val="20"/>
          <w:szCs w:val="20"/>
          <w:lang w:val="es-ES"/>
        </w:rPr>
        <w:lastRenderedPageBreak/>
        <w:t>Nuremberg</w:t>
      </w:r>
      <w:proofErr w:type="spellEnd"/>
      <w:r>
        <w:rPr>
          <w:rFonts w:ascii="Arial" w:hAnsi="Arial" w:cs="Arial"/>
          <w:sz w:val="20"/>
          <w:szCs w:val="20"/>
          <w:lang w:val="es-ES"/>
        </w:rPr>
        <w:t xml:space="preserve">, y los </w:t>
      </w:r>
      <w:r w:rsidR="00FC34F3">
        <w:rPr>
          <w:rFonts w:ascii="Arial" w:hAnsi="Arial" w:cs="Arial"/>
          <w:sz w:val="20"/>
          <w:szCs w:val="20"/>
          <w:lang w:val="es-ES"/>
        </w:rPr>
        <w:t xml:space="preserve">3 establecimientos muniqueses: </w:t>
      </w:r>
      <w:proofErr w:type="spellStart"/>
      <w:r>
        <w:rPr>
          <w:rFonts w:ascii="Arial" w:hAnsi="Arial" w:cs="Arial"/>
          <w:b/>
          <w:bCs/>
          <w:i/>
          <w:iCs/>
          <w:sz w:val="20"/>
          <w:szCs w:val="20"/>
          <w:lang w:val="es-ES"/>
        </w:rPr>
        <w:t>Tohru</w:t>
      </w:r>
      <w:proofErr w:type="spellEnd"/>
      <w:r>
        <w:rPr>
          <w:rFonts w:ascii="Arial" w:hAnsi="Arial" w:cs="Arial"/>
          <w:b/>
          <w:bCs/>
          <w:i/>
          <w:iCs/>
          <w:sz w:val="20"/>
          <w:szCs w:val="20"/>
          <w:lang w:val="es-ES"/>
        </w:rPr>
        <w:t xml:space="preserve"> in der </w:t>
      </w:r>
      <w:proofErr w:type="spellStart"/>
      <w:r>
        <w:rPr>
          <w:rFonts w:ascii="Arial" w:hAnsi="Arial" w:cs="Arial"/>
          <w:b/>
          <w:bCs/>
          <w:i/>
          <w:iCs/>
          <w:sz w:val="20"/>
          <w:szCs w:val="20"/>
          <w:lang w:val="es-ES"/>
        </w:rPr>
        <w:t>Schreiberai</w:t>
      </w:r>
      <w:proofErr w:type="spellEnd"/>
      <w:r>
        <w:rPr>
          <w:rFonts w:ascii="Arial" w:hAnsi="Arial" w:cs="Arial"/>
          <w:sz w:val="20"/>
          <w:szCs w:val="20"/>
          <w:lang w:val="es-ES"/>
        </w:rPr>
        <w:t xml:space="preserve">, </w:t>
      </w:r>
      <w:r>
        <w:rPr>
          <w:rFonts w:ascii="Arial" w:hAnsi="Arial" w:cs="Arial"/>
          <w:b/>
          <w:bCs/>
          <w:i/>
          <w:iCs/>
          <w:sz w:val="20"/>
          <w:szCs w:val="20"/>
          <w:lang w:val="es-ES"/>
        </w:rPr>
        <w:t>Atelier</w:t>
      </w:r>
      <w:r>
        <w:rPr>
          <w:rFonts w:ascii="Arial" w:hAnsi="Arial" w:cs="Arial"/>
          <w:sz w:val="20"/>
          <w:szCs w:val="20"/>
          <w:lang w:val="es-ES"/>
        </w:rPr>
        <w:t xml:space="preserve"> y </w:t>
      </w:r>
      <w:proofErr w:type="spellStart"/>
      <w:r>
        <w:rPr>
          <w:rFonts w:ascii="Arial" w:hAnsi="Arial" w:cs="Arial"/>
          <w:b/>
          <w:bCs/>
          <w:i/>
          <w:iCs/>
          <w:sz w:val="20"/>
          <w:szCs w:val="20"/>
          <w:lang w:val="es-ES"/>
        </w:rPr>
        <w:t>Tantris</w:t>
      </w:r>
      <w:proofErr w:type="spellEnd"/>
      <w:r>
        <w:rPr>
          <w:rFonts w:ascii="Arial" w:hAnsi="Arial" w:cs="Arial"/>
          <w:sz w:val="20"/>
          <w:szCs w:val="20"/>
          <w:lang w:val="es-ES"/>
        </w:rPr>
        <w:t xml:space="preserve">. Los dos últimos se caracterizan por una circunstancia particular, al volverse a abrir después de un cierre temporal. En el restaurante Atelier, </w:t>
      </w:r>
      <w:proofErr w:type="spellStart"/>
      <w:r>
        <w:rPr>
          <w:rFonts w:ascii="Arial" w:hAnsi="Arial" w:cs="Arial"/>
          <w:sz w:val="20"/>
          <w:szCs w:val="20"/>
          <w:lang w:val="es-ES"/>
        </w:rPr>
        <w:t>Anton</w:t>
      </w:r>
      <w:proofErr w:type="spellEnd"/>
      <w:r>
        <w:rPr>
          <w:rFonts w:ascii="Arial" w:hAnsi="Arial" w:cs="Arial"/>
          <w:sz w:val="20"/>
          <w:szCs w:val="20"/>
          <w:lang w:val="es-ES"/>
        </w:rPr>
        <w:t xml:space="preserve"> </w:t>
      </w:r>
      <w:proofErr w:type="spellStart"/>
      <w:r>
        <w:rPr>
          <w:rFonts w:ascii="Arial" w:hAnsi="Arial" w:cs="Arial"/>
          <w:sz w:val="20"/>
          <w:szCs w:val="20"/>
          <w:lang w:val="es-ES"/>
        </w:rPr>
        <w:t>Gschwendtner</w:t>
      </w:r>
      <w:proofErr w:type="spellEnd"/>
      <w:r>
        <w:rPr>
          <w:rFonts w:ascii="Arial" w:hAnsi="Arial" w:cs="Arial"/>
          <w:sz w:val="20"/>
          <w:szCs w:val="20"/>
          <w:lang w:val="es-ES"/>
        </w:rPr>
        <w:t xml:space="preserve">, que había cocinado anteriormente con dos Estrellas MICHELIN en el “OLIVO” de Stuttgart, se ha hecho cargo de la cocina. El restaurante </w:t>
      </w:r>
      <w:proofErr w:type="spellStart"/>
      <w:r>
        <w:rPr>
          <w:rFonts w:ascii="Arial" w:hAnsi="Arial" w:cs="Arial"/>
          <w:sz w:val="20"/>
          <w:szCs w:val="20"/>
          <w:lang w:val="es-ES"/>
        </w:rPr>
        <w:t>Tantris</w:t>
      </w:r>
      <w:proofErr w:type="spellEnd"/>
      <w:r>
        <w:rPr>
          <w:rFonts w:ascii="Arial" w:hAnsi="Arial" w:cs="Arial"/>
          <w:sz w:val="20"/>
          <w:szCs w:val="20"/>
          <w:lang w:val="es-ES"/>
        </w:rPr>
        <w:t xml:space="preserve">, -donde auténticas leyendas culinarias han trabajado durante décadas- celebra también su retorno con un equipo de cocineros constituido en torno a </w:t>
      </w:r>
      <w:proofErr w:type="spellStart"/>
      <w:r>
        <w:rPr>
          <w:rFonts w:ascii="Arial" w:hAnsi="Arial" w:cs="Arial"/>
          <w:sz w:val="20"/>
          <w:szCs w:val="20"/>
          <w:lang w:val="es-ES"/>
        </w:rPr>
        <w:t>Benjamin</w:t>
      </w:r>
      <w:proofErr w:type="spellEnd"/>
      <w:r>
        <w:rPr>
          <w:rFonts w:ascii="Arial" w:hAnsi="Arial" w:cs="Arial"/>
          <w:sz w:val="20"/>
          <w:szCs w:val="20"/>
          <w:lang w:val="es-ES"/>
        </w:rPr>
        <w:t xml:space="preserve"> </w:t>
      </w:r>
      <w:proofErr w:type="spellStart"/>
      <w:r>
        <w:rPr>
          <w:rFonts w:ascii="Arial" w:hAnsi="Arial" w:cs="Arial"/>
          <w:sz w:val="20"/>
          <w:szCs w:val="20"/>
          <w:lang w:val="es-ES"/>
        </w:rPr>
        <w:t>Chmura</w:t>
      </w:r>
      <w:proofErr w:type="spellEnd"/>
      <w:r>
        <w:rPr>
          <w:rFonts w:ascii="Arial" w:hAnsi="Arial" w:cs="Arial"/>
          <w:sz w:val="20"/>
          <w:szCs w:val="20"/>
          <w:lang w:val="es-ES"/>
        </w:rPr>
        <w:t xml:space="preserve"> y </w:t>
      </w:r>
      <w:proofErr w:type="spellStart"/>
      <w:r>
        <w:rPr>
          <w:rFonts w:ascii="Arial" w:hAnsi="Arial" w:cs="Arial"/>
          <w:sz w:val="20"/>
          <w:szCs w:val="20"/>
          <w:lang w:val="es-ES"/>
        </w:rPr>
        <w:t>Matthias</w:t>
      </w:r>
      <w:proofErr w:type="spellEnd"/>
      <w:r>
        <w:rPr>
          <w:rFonts w:ascii="Arial" w:hAnsi="Arial" w:cs="Arial"/>
          <w:sz w:val="20"/>
          <w:szCs w:val="20"/>
          <w:lang w:val="es-ES"/>
        </w:rPr>
        <w:t xml:space="preserve"> Hahn. Los restaurantes </w:t>
      </w:r>
      <w:r>
        <w:rPr>
          <w:rFonts w:ascii="Arial" w:hAnsi="Arial" w:cs="Arial"/>
          <w:b/>
          <w:bCs/>
          <w:i/>
          <w:iCs/>
          <w:sz w:val="20"/>
          <w:szCs w:val="20"/>
          <w:lang w:val="es-ES"/>
        </w:rPr>
        <w:t xml:space="preserve">100/200 </w:t>
      </w:r>
      <w:proofErr w:type="spellStart"/>
      <w:r>
        <w:rPr>
          <w:rFonts w:ascii="Arial" w:hAnsi="Arial" w:cs="Arial"/>
          <w:b/>
          <w:bCs/>
          <w:i/>
          <w:iCs/>
          <w:sz w:val="20"/>
          <w:szCs w:val="20"/>
          <w:lang w:val="es-ES"/>
        </w:rPr>
        <w:t>Kitchen</w:t>
      </w:r>
      <w:proofErr w:type="spellEnd"/>
      <w:r>
        <w:rPr>
          <w:rFonts w:ascii="Arial" w:hAnsi="Arial" w:cs="Arial"/>
          <w:sz w:val="20"/>
          <w:szCs w:val="20"/>
          <w:lang w:val="es-ES"/>
        </w:rPr>
        <w:t xml:space="preserve"> en Hamburgo, </w:t>
      </w:r>
      <w:r>
        <w:rPr>
          <w:rFonts w:ascii="Arial" w:hAnsi="Arial" w:cs="Arial"/>
          <w:b/>
          <w:bCs/>
          <w:i/>
          <w:iCs/>
          <w:sz w:val="20"/>
          <w:szCs w:val="20"/>
          <w:lang w:val="es-ES"/>
        </w:rPr>
        <w:t>LOUIS Restaurant</w:t>
      </w:r>
      <w:r>
        <w:rPr>
          <w:rFonts w:ascii="Arial" w:hAnsi="Arial" w:cs="Arial"/>
          <w:sz w:val="20"/>
          <w:szCs w:val="20"/>
          <w:lang w:val="es-ES"/>
        </w:rPr>
        <w:t xml:space="preserve"> en </w:t>
      </w:r>
      <w:proofErr w:type="spellStart"/>
      <w:r>
        <w:rPr>
          <w:rFonts w:ascii="Arial" w:hAnsi="Arial" w:cs="Arial"/>
          <w:sz w:val="20"/>
          <w:szCs w:val="20"/>
          <w:lang w:val="es-ES"/>
        </w:rPr>
        <w:t>Saarlouis</w:t>
      </w:r>
      <w:proofErr w:type="spellEnd"/>
      <w:r>
        <w:rPr>
          <w:rFonts w:ascii="Arial" w:hAnsi="Arial" w:cs="Arial"/>
          <w:sz w:val="20"/>
          <w:szCs w:val="20"/>
          <w:lang w:val="es-ES"/>
        </w:rPr>
        <w:t xml:space="preserve"> y </w:t>
      </w:r>
      <w:proofErr w:type="spellStart"/>
      <w:r>
        <w:rPr>
          <w:rFonts w:ascii="Arial" w:hAnsi="Arial" w:cs="Arial"/>
          <w:b/>
          <w:bCs/>
          <w:i/>
          <w:iCs/>
          <w:sz w:val="20"/>
          <w:szCs w:val="20"/>
          <w:lang w:val="es-ES"/>
        </w:rPr>
        <w:t>Speisemeisterei</w:t>
      </w:r>
      <w:proofErr w:type="spellEnd"/>
      <w:r>
        <w:rPr>
          <w:rFonts w:ascii="Arial" w:hAnsi="Arial" w:cs="Arial"/>
          <w:sz w:val="20"/>
          <w:szCs w:val="20"/>
          <w:lang w:val="es-ES"/>
        </w:rPr>
        <w:t xml:space="preserve"> en Stuttgart también han </w:t>
      </w:r>
      <w:r w:rsidR="00FC34F3">
        <w:rPr>
          <w:rFonts w:ascii="Arial" w:hAnsi="Arial" w:cs="Arial"/>
          <w:sz w:val="20"/>
          <w:szCs w:val="20"/>
          <w:lang w:val="es-ES"/>
        </w:rPr>
        <w:t xml:space="preserve">sido </w:t>
      </w:r>
      <w:r>
        <w:rPr>
          <w:rFonts w:ascii="Arial" w:hAnsi="Arial" w:cs="Arial"/>
          <w:sz w:val="20"/>
          <w:szCs w:val="20"/>
          <w:lang w:val="es-ES"/>
        </w:rPr>
        <w:t>distinguido</w:t>
      </w:r>
      <w:r w:rsidR="00FC34F3">
        <w:rPr>
          <w:rFonts w:ascii="Arial" w:hAnsi="Arial" w:cs="Arial"/>
          <w:sz w:val="20"/>
          <w:szCs w:val="20"/>
          <w:lang w:val="es-ES"/>
        </w:rPr>
        <w:t>s</w:t>
      </w:r>
      <w:r>
        <w:rPr>
          <w:rFonts w:ascii="Arial" w:hAnsi="Arial" w:cs="Arial"/>
          <w:sz w:val="20"/>
          <w:szCs w:val="20"/>
          <w:lang w:val="es-ES"/>
        </w:rPr>
        <w:t xml:space="preserve"> por su gran calidad, y </w:t>
      </w:r>
      <w:r w:rsidR="00FC34F3">
        <w:rPr>
          <w:rFonts w:ascii="Arial" w:hAnsi="Arial" w:cs="Arial"/>
          <w:sz w:val="20"/>
          <w:szCs w:val="20"/>
          <w:lang w:val="es-ES"/>
        </w:rPr>
        <w:t>obtienen</w:t>
      </w:r>
      <w:r>
        <w:rPr>
          <w:rFonts w:ascii="Arial" w:hAnsi="Arial" w:cs="Arial"/>
          <w:sz w:val="20"/>
          <w:szCs w:val="20"/>
          <w:lang w:val="es-ES"/>
        </w:rPr>
        <w:t xml:space="preserve"> dos Estrellas MICHELIN.</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b/>
          <w:bCs/>
          <w:sz w:val="20"/>
          <w:szCs w:val="20"/>
          <w:lang w:val="es-ES"/>
        </w:rPr>
      </w:pPr>
      <w:r>
        <w:rPr>
          <w:rFonts w:ascii="Arial" w:hAnsi="Arial" w:cs="Arial"/>
          <w:b/>
          <w:bCs/>
          <w:sz w:val="20"/>
          <w:szCs w:val="20"/>
          <w:lang w:val="es-ES"/>
        </w:rPr>
        <w:t>31 nuevos restaurantes con una Estrella</w:t>
      </w:r>
      <w:r w:rsidR="00FC34F3">
        <w:rPr>
          <w:rFonts w:ascii="Arial" w:hAnsi="Arial" w:cs="Arial"/>
          <w:b/>
          <w:bCs/>
          <w:sz w:val="20"/>
          <w:szCs w:val="20"/>
          <w:lang w:val="es-ES"/>
        </w:rPr>
        <w:t xml:space="preserve"> </w:t>
      </w:r>
      <w:r w:rsidR="00FC34F3" w:rsidRPr="00FC34F3">
        <w:rPr>
          <w:rFonts w:ascii="Arial" w:hAnsi="Arial" w:cs="Arial"/>
          <w:b/>
          <w:bCs/>
          <w:sz w:val="20"/>
          <w:szCs w:val="20"/>
          <w:lang w:val="es-ES"/>
        </w:rPr>
        <w:t>MICHELIN</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Con 31 nuevos restaurantes que han obtenido su primera Estrella, la selección alemana 2022 llega a la cifra récord de 272 restaurantes con una Estrella</w:t>
      </w:r>
      <w:r w:rsidR="00FC34F3">
        <w:rPr>
          <w:rFonts w:ascii="Arial" w:hAnsi="Arial" w:cs="Arial"/>
          <w:sz w:val="20"/>
          <w:szCs w:val="20"/>
          <w:lang w:val="es-ES"/>
        </w:rPr>
        <w:t xml:space="preserve"> MICHELIN</w:t>
      </w:r>
      <w:r>
        <w:rPr>
          <w:rFonts w:ascii="Arial" w:hAnsi="Arial" w:cs="Arial"/>
          <w:sz w:val="20"/>
          <w:szCs w:val="20"/>
          <w:lang w:val="es-ES"/>
        </w:rPr>
        <w:t>.</w:t>
      </w:r>
    </w:p>
    <w:p w:rsidR="00FC34F3" w:rsidRDefault="00FC34F3">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En </w:t>
      </w:r>
      <w:r w:rsidR="00FC34F3">
        <w:rPr>
          <w:rFonts w:ascii="Arial" w:hAnsi="Arial" w:cs="Arial"/>
          <w:sz w:val="20"/>
          <w:szCs w:val="20"/>
          <w:lang w:val="es-ES"/>
        </w:rPr>
        <w:t>Fráncfort</w:t>
      </w:r>
      <w:r>
        <w:rPr>
          <w:rFonts w:ascii="Arial" w:hAnsi="Arial" w:cs="Arial"/>
          <w:sz w:val="20"/>
          <w:szCs w:val="20"/>
          <w:lang w:val="es-ES"/>
        </w:rPr>
        <w:t xml:space="preserve">, </w:t>
      </w:r>
      <w:r w:rsidR="00FC34F3">
        <w:rPr>
          <w:rFonts w:ascii="Arial" w:hAnsi="Arial" w:cs="Arial"/>
          <w:sz w:val="20"/>
          <w:szCs w:val="20"/>
          <w:lang w:val="es-ES"/>
        </w:rPr>
        <w:t>2</w:t>
      </w:r>
      <w:r>
        <w:rPr>
          <w:rFonts w:ascii="Arial" w:hAnsi="Arial" w:cs="Arial"/>
          <w:sz w:val="20"/>
          <w:szCs w:val="20"/>
          <w:lang w:val="es-ES"/>
        </w:rPr>
        <w:t xml:space="preserve"> nuevos restaurantes ganan </w:t>
      </w:r>
      <w:r w:rsidR="00FC34F3">
        <w:rPr>
          <w:rFonts w:ascii="Arial" w:hAnsi="Arial" w:cs="Arial"/>
          <w:sz w:val="20"/>
          <w:szCs w:val="20"/>
          <w:lang w:val="es-ES"/>
        </w:rPr>
        <w:t>una</w:t>
      </w:r>
      <w:r>
        <w:rPr>
          <w:rFonts w:ascii="Arial" w:hAnsi="Arial" w:cs="Arial"/>
          <w:sz w:val="20"/>
          <w:szCs w:val="20"/>
          <w:lang w:val="es-ES"/>
        </w:rPr>
        <w:t xml:space="preserve"> Estrella: </w:t>
      </w:r>
      <w:r>
        <w:rPr>
          <w:rFonts w:ascii="Arial" w:hAnsi="Arial" w:cs="Arial"/>
          <w:b/>
          <w:bCs/>
          <w:i/>
          <w:iCs/>
          <w:sz w:val="20"/>
          <w:szCs w:val="20"/>
          <w:lang w:val="es-ES"/>
        </w:rPr>
        <w:t xml:space="preserve">Masa </w:t>
      </w:r>
      <w:proofErr w:type="spellStart"/>
      <w:r>
        <w:rPr>
          <w:rFonts w:ascii="Arial" w:hAnsi="Arial" w:cs="Arial"/>
          <w:b/>
          <w:bCs/>
          <w:i/>
          <w:iCs/>
          <w:sz w:val="20"/>
          <w:szCs w:val="20"/>
          <w:lang w:val="es-ES"/>
        </w:rPr>
        <w:t>Japanese</w:t>
      </w:r>
      <w:proofErr w:type="spellEnd"/>
      <w:r>
        <w:rPr>
          <w:rFonts w:ascii="Arial" w:hAnsi="Arial" w:cs="Arial"/>
          <w:b/>
          <w:bCs/>
          <w:i/>
          <w:iCs/>
          <w:sz w:val="20"/>
          <w:szCs w:val="20"/>
          <w:lang w:val="es-ES"/>
        </w:rPr>
        <w:t xml:space="preserve"> </w:t>
      </w:r>
      <w:proofErr w:type="spellStart"/>
      <w:r>
        <w:rPr>
          <w:rFonts w:ascii="Arial" w:hAnsi="Arial" w:cs="Arial"/>
          <w:b/>
          <w:bCs/>
          <w:i/>
          <w:iCs/>
          <w:sz w:val="20"/>
          <w:szCs w:val="20"/>
          <w:lang w:val="es-ES"/>
        </w:rPr>
        <w:t>Cuisine</w:t>
      </w:r>
      <w:proofErr w:type="spellEnd"/>
      <w:r>
        <w:rPr>
          <w:rFonts w:ascii="Arial" w:hAnsi="Arial" w:cs="Arial"/>
          <w:sz w:val="20"/>
          <w:szCs w:val="20"/>
          <w:lang w:val="es-ES"/>
        </w:rPr>
        <w:t xml:space="preserve"> y </w:t>
      </w:r>
      <w:r>
        <w:rPr>
          <w:rFonts w:ascii="Arial" w:hAnsi="Arial" w:cs="Arial"/>
          <w:b/>
          <w:bCs/>
          <w:i/>
          <w:iCs/>
          <w:sz w:val="20"/>
          <w:szCs w:val="20"/>
          <w:lang w:val="es-ES"/>
        </w:rPr>
        <w:t>MAIN TOWER Restaurant &amp; Lounge</w:t>
      </w:r>
      <w:r>
        <w:rPr>
          <w:rFonts w:ascii="Arial" w:hAnsi="Arial" w:cs="Arial"/>
          <w:sz w:val="20"/>
          <w:szCs w:val="20"/>
          <w:lang w:val="es-ES"/>
        </w:rPr>
        <w:t xml:space="preserve">. Hamburgo pasa a contar con los restaurantes </w:t>
      </w:r>
      <w:proofErr w:type="spellStart"/>
      <w:r>
        <w:rPr>
          <w:rFonts w:ascii="Arial" w:hAnsi="Arial" w:cs="Arial"/>
          <w:b/>
          <w:bCs/>
          <w:i/>
          <w:iCs/>
          <w:sz w:val="20"/>
          <w:szCs w:val="20"/>
          <w:lang w:val="es-ES"/>
        </w:rPr>
        <w:t>Jellyfish</w:t>
      </w:r>
      <w:proofErr w:type="spellEnd"/>
      <w:r>
        <w:rPr>
          <w:rFonts w:ascii="Arial" w:hAnsi="Arial" w:cs="Arial"/>
          <w:sz w:val="20"/>
          <w:szCs w:val="20"/>
          <w:lang w:val="es-ES"/>
        </w:rPr>
        <w:t xml:space="preserve"> y </w:t>
      </w:r>
      <w:proofErr w:type="spellStart"/>
      <w:r>
        <w:rPr>
          <w:rFonts w:ascii="Arial" w:hAnsi="Arial" w:cs="Arial"/>
          <w:b/>
          <w:bCs/>
          <w:i/>
          <w:iCs/>
          <w:sz w:val="20"/>
          <w:szCs w:val="20"/>
          <w:lang w:val="es-ES"/>
        </w:rPr>
        <w:t>Zeik</w:t>
      </w:r>
      <w:proofErr w:type="spellEnd"/>
      <w:r>
        <w:rPr>
          <w:rFonts w:ascii="Arial" w:hAnsi="Arial" w:cs="Arial"/>
          <w:sz w:val="20"/>
          <w:szCs w:val="20"/>
          <w:lang w:val="es-ES"/>
        </w:rPr>
        <w:t xml:space="preserve">, con nueva Estrella, lo mismo que Hanover con </w:t>
      </w:r>
      <w:proofErr w:type="spellStart"/>
      <w:r>
        <w:rPr>
          <w:rFonts w:ascii="Arial" w:hAnsi="Arial" w:cs="Arial"/>
          <w:b/>
          <w:bCs/>
          <w:i/>
          <w:iCs/>
          <w:sz w:val="20"/>
          <w:szCs w:val="20"/>
          <w:lang w:val="es-ES"/>
        </w:rPr>
        <w:t>Handwerk</w:t>
      </w:r>
      <w:proofErr w:type="spellEnd"/>
      <w:r>
        <w:rPr>
          <w:rFonts w:ascii="Arial" w:hAnsi="Arial" w:cs="Arial"/>
          <w:sz w:val="20"/>
          <w:szCs w:val="20"/>
          <w:lang w:val="es-ES"/>
        </w:rPr>
        <w:t xml:space="preserve"> y </w:t>
      </w:r>
      <w:proofErr w:type="spellStart"/>
      <w:r>
        <w:rPr>
          <w:rFonts w:ascii="Arial" w:hAnsi="Arial" w:cs="Arial"/>
          <w:b/>
          <w:bCs/>
          <w:i/>
          <w:iCs/>
          <w:sz w:val="20"/>
          <w:szCs w:val="20"/>
          <w:lang w:val="es-ES"/>
        </w:rPr>
        <w:t>Votum</w:t>
      </w:r>
      <w:proofErr w:type="spellEnd"/>
      <w:r>
        <w:rPr>
          <w:rFonts w:ascii="Arial" w:hAnsi="Arial" w:cs="Arial"/>
          <w:sz w:val="20"/>
          <w:szCs w:val="20"/>
          <w:lang w:val="es-ES"/>
        </w:rPr>
        <w:t xml:space="preserve">. </w:t>
      </w:r>
      <w:r w:rsidR="00FC34F3">
        <w:rPr>
          <w:rFonts w:ascii="Arial" w:hAnsi="Arial" w:cs="Arial"/>
          <w:sz w:val="20"/>
          <w:szCs w:val="20"/>
          <w:lang w:val="es-ES"/>
        </w:rPr>
        <w:t>Múnich</w:t>
      </w:r>
      <w:r>
        <w:rPr>
          <w:rFonts w:ascii="Arial" w:hAnsi="Arial" w:cs="Arial"/>
          <w:sz w:val="20"/>
          <w:szCs w:val="20"/>
          <w:lang w:val="es-ES"/>
        </w:rPr>
        <w:t xml:space="preserve"> merece </w:t>
      </w:r>
      <w:r w:rsidR="00FC34F3">
        <w:rPr>
          <w:rFonts w:ascii="Arial" w:hAnsi="Arial" w:cs="Arial"/>
          <w:sz w:val="20"/>
          <w:szCs w:val="20"/>
          <w:lang w:val="es-ES"/>
        </w:rPr>
        <w:t xml:space="preserve">una </w:t>
      </w:r>
      <w:r>
        <w:rPr>
          <w:rFonts w:ascii="Arial" w:hAnsi="Arial" w:cs="Arial"/>
          <w:sz w:val="20"/>
          <w:szCs w:val="20"/>
          <w:lang w:val="es-ES"/>
        </w:rPr>
        <w:t xml:space="preserve">mención especial: además de </w:t>
      </w:r>
      <w:r>
        <w:rPr>
          <w:rFonts w:ascii="Arial" w:hAnsi="Arial" w:cs="Arial"/>
          <w:b/>
          <w:bCs/>
          <w:i/>
          <w:iCs/>
          <w:sz w:val="20"/>
          <w:szCs w:val="20"/>
          <w:lang w:val="es-ES"/>
        </w:rPr>
        <w:t xml:space="preserve">Mountain </w:t>
      </w:r>
      <w:proofErr w:type="spellStart"/>
      <w:r>
        <w:rPr>
          <w:rFonts w:ascii="Arial" w:hAnsi="Arial" w:cs="Arial"/>
          <w:b/>
          <w:bCs/>
          <w:i/>
          <w:iCs/>
          <w:sz w:val="20"/>
          <w:szCs w:val="20"/>
          <w:lang w:val="es-ES"/>
        </w:rPr>
        <w:t>Hub</w:t>
      </w:r>
      <w:proofErr w:type="spellEnd"/>
      <w:r>
        <w:rPr>
          <w:rFonts w:ascii="Arial" w:hAnsi="Arial" w:cs="Arial"/>
          <w:b/>
          <w:bCs/>
          <w:i/>
          <w:iCs/>
          <w:sz w:val="20"/>
          <w:szCs w:val="20"/>
          <w:lang w:val="es-ES"/>
        </w:rPr>
        <w:t xml:space="preserve"> Gourmet</w:t>
      </w:r>
      <w:r>
        <w:rPr>
          <w:rFonts w:ascii="Arial" w:hAnsi="Arial" w:cs="Arial"/>
          <w:sz w:val="20"/>
          <w:szCs w:val="20"/>
          <w:lang w:val="es-ES"/>
        </w:rPr>
        <w:t xml:space="preserve">, la Guía MICHELIN distingue también a los restaurantes </w:t>
      </w:r>
      <w:proofErr w:type="spellStart"/>
      <w:r>
        <w:rPr>
          <w:rFonts w:ascii="Arial" w:hAnsi="Arial" w:cs="Arial"/>
          <w:b/>
          <w:bCs/>
          <w:i/>
          <w:iCs/>
          <w:sz w:val="20"/>
          <w:szCs w:val="20"/>
          <w:lang w:val="es-ES"/>
        </w:rPr>
        <w:t>Werneckhof</w:t>
      </w:r>
      <w:proofErr w:type="spellEnd"/>
      <w:r>
        <w:rPr>
          <w:rFonts w:ascii="Arial" w:hAnsi="Arial" w:cs="Arial"/>
          <w:b/>
          <w:bCs/>
          <w:i/>
          <w:iCs/>
          <w:sz w:val="20"/>
          <w:szCs w:val="20"/>
          <w:lang w:val="es-ES"/>
        </w:rPr>
        <w:t xml:space="preserve"> </w:t>
      </w:r>
      <w:proofErr w:type="spellStart"/>
      <w:r>
        <w:rPr>
          <w:rFonts w:ascii="Arial" w:hAnsi="Arial" w:cs="Arial"/>
          <w:b/>
          <w:bCs/>
          <w:i/>
          <w:iCs/>
          <w:sz w:val="20"/>
          <w:szCs w:val="20"/>
          <w:lang w:val="es-ES"/>
        </w:rPr>
        <w:t>Sigi</w:t>
      </w:r>
      <w:proofErr w:type="spellEnd"/>
      <w:r>
        <w:rPr>
          <w:rFonts w:ascii="Arial" w:hAnsi="Arial" w:cs="Arial"/>
          <w:b/>
          <w:bCs/>
          <w:i/>
          <w:iCs/>
          <w:sz w:val="20"/>
          <w:szCs w:val="20"/>
          <w:lang w:val="es-ES"/>
        </w:rPr>
        <w:t xml:space="preserve"> </w:t>
      </w:r>
      <w:proofErr w:type="spellStart"/>
      <w:r>
        <w:rPr>
          <w:rFonts w:ascii="Arial" w:hAnsi="Arial" w:cs="Arial"/>
          <w:b/>
          <w:bCs/>
          <w:i/>
          <w:iCs/>
          <w:sz w:val="20"/>
          <w:szCs w:val="20"/>
          <w:lang w:val="es-ES"/>
        </w:rPr>
        <w:t>Schelling</w:t>
      </w:r>
      <w:proofErr w:type="spellEnd"/>
      <w:r>
        <w:rPr>
          <w:rFonts w:ascii="Arial" w:hAnsi="Arial" w:cs="Arial"/>
          <w:sz w:val="20"/>
          <w:szCs w:val="20"/>
          <w:lang w:val="es-ES"/>
        </w:rPr>
        <w:t xml:space="preserve"> y </w:t>
      </w:r>
      <w:proofErr w:type="spellStart"/>
      <w:r>
        <w:rPr>
          <w:rFonts w:ascii="Arial" w:hAnsi="Arial" w:cs="Arial"/>
          <w:b/>
          <w:bCs/>
          <w:i/>
          <w:iCs/>
          <w:sz w:val="20"/>
          <w:szCs w:val="20"/>
          <w:lang w:val="es-ES"/>
        </w:rPr>
        <w:t>Tantris</w:t>
      </w:r>
      <w:proofErr w:type="spellEnd"/>
      <w:r>
        <w:rPr>
          <w:rFonts w:ascii="Arial" w:hAnsi="Arial" w:cs="Arial"/>
          <w:b/>
          <w:bCs/>
          <w:i/>
          <w:iCs/>
          <w:sz w:val="20"/>
          <w:szCs w:val="20"/>
          <w:lang w:val="es-ES"/>
        </w:rPr>
        <w:t xml:space="preserve"> DNA</w:t>
      </w:r>
      <w:r>
        <w:rPr>
          <w:rFonts w:ascii="Arial" w:hAnsi="Arial" w:cs="Arial"/>
          <w:sz w:val="20"/>
          <w:szCs w:val="20"/>
          <w:lang w:val="es-ES"/>
        </w:rPr>
        <w:t xml:space="preserve"> como recién llegados a la categoría. Este último comparte edificio con el </w:t>
      </w:r>
      <w:r w:rsidR="00FC34F3">
        <w:rPr>
          <w:rFonts w:ascii="Arial" w:hAnsi="Arial" w:cs="Arial"/>
          <w:sz w:val="20"/>
          <w:szCs w:val="20"/>
          <w:lang w:val="es-ES"/>
        </w:rPr>
        <w:t xml:space="preserve">restaurante </w:t>
      </w:r>
      <w:proofErr w:type="spellStart"/>
      <w:r w:rsidR="00FC34F3">
        <w:rPr>
          <w:rFonts w:ascii="Arial" w:hAnsi="Arial" w:cs="Arial"/>
          <w:sz w:val="20"/>
          <w:szCs w:val="20"/>
          <w:lang w:val="es-ES"/>
        </w:rPr>
        <w:t>Tantris</w:t>
      </w:r>
      <w:proofErr w:type="spellEnd"/>
      <w:r w:rsidR="00FC34F3">
        <w:rPr>
          <w:rFonts w:ascii="Arial" w:hAnsi="Arial" w:cs="Arial"/>
          <w:sz w:val="20"/>
          <w:szCs w:val="20"/>
          <w:lang w:val="es-ES"/>
        </w:rPr>
        <w:t xml:space="preserve">, novedad en la categoría de </w:t>
      </w:r>
      <w:r>
        <w:rPr>
          <w:rFonts w:ascii="Arial" w:hAnsi="Arial" w:cs="Arial"/>
          <w:sz w:val="20"/>
          <w:szCs w:val="20"/>
          <w:lang w:val="es-ES"/>
        </w:rPr>
        <w:t xml:space="preserve">dos Estrellas. Los dos han sido elegidos </w:t>
      </w:r>
      <w:r w:rsidR="00FC34F3">
        <w:rPr>
          <w:rFonts w:ascii="Arial" w:hAnsi="Arial" w:cs="Arial"/>
          <w:sz w:val="20"/>
          <w:szCs w:val="20"/>
          <w:lang w:val="es-ES"/>
        </w:rPr>
        <w:t xml:space="preserve">como </w:t>
      </w:r>
      <w:r>
        <w:rPr>
          <w:rFonts w:ascii="Arial" w:hAnsi="Arial" w:cs="Arial"/>
          <w:sz w:val="20"/>
          <w:szCs w:val="20"/>
          <w:lang w:val="es-ES"/>
        </w:rPr>
        <w:t>“Nueva apertura del año” por la Guía MICHELIN, en calidad de conjunto.</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b/>
          <w:bCs/>
          <w:sz w:val="20"/>
          <w:szCs w:val="20"/>
          <w:lang w:val="es-ES"/>
        </w:rPr>
      </w:pPr>
      <w:r>
        <w:rPr>
          <w:rFonts w:ascii="Arial" w:hAnsi="Arial" w:cs="Arial"/>
          <w:b/>
          <w:bCs/>
          <w:sz w:val="20"/>
          <w:szCs w:val="20"/>
          <w:lang w:val="es-ES"/>
        </w:rPr>
        <w:t>18 nuevos restaurantes “</w:t>
      </w:r>
      <w:proofErr w:type="spellStart"/>
      <w:r>
        <w:rPr>
          <w:rFonts w:ascii="Arial" w:hAnsi="Arial" w:cs="Arial"/>
          <w:b/>
          <w:bCs/>
          <w:sz w:val="20"/>
          <w:szCs w:val="20"/>
          <w:lang w:val="es-ES"/>
        </w:rPr>
        <w:t>Bib</w:t>
      </w:r>
      <w:proofErr w:type="spellEnd"/>
      <w:r>
        <w:rPr>
          <w:rFonts w:ascii="Arial" w:hAnsi="Arial" w:cs="Arial"/>
          <w:b/>
          <w:bCs/>
          <w:sz w:val="20"/>
          <w:szCs w:val="20"/>
          <w:lang w:val="es-ES"/>
        </w:rPr>
        <w:t xml:space="preserve"> </w:t>
      </w:r>
      <w:proofErr w:type="spellStart"/>
      <w:r>
        <w:rPr>
          <w:rFonts w:ascii="Arial" w:hAnsi="Arial" w:cs="Arial"/>
          <w:b/>
          <w:bCs/>
          <w:sz w:val="20"/>
          <w:szCs w:val="20"/>
          <w:lang w:val="es-ES"/>
        </w:rPr>
        <w:t>Gourmand</w:t>
      </w:r>
      <w:proofErr w:type="spellEnd"/>
      <w:r>
        <w:rPr>
          <w:rFonts w:ascii="Arial" w:hAnsi="Arial" w:cs="Arial"/>
          <w:b/>
          <w:bCs/>
          <w:sz w:val="20"/>
          <w:szCs w:val="20"/>
          <w:lang w:val="es-ES"/>
        </w:rPr>
        <w:t>”</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El título </w:t>
      </w:r>
      <w:proofErr w:type="spellStart"/>
      <w:r>
        <w:rPr>
          <w:rFonts w:ascii="Arial" w:hAnsi="Arial" w:cs="Arial"/>
          <w:sz w:val="20"/>
          <w:szCs w:val="20"/>
          <w:lang w:val="es-ES"/>
        </w:rPr>
        <w:t>Bib</w:t>
      </w:r>
      <w:proofErr w:type="spellEnd"/>
      <w:r>
        <w:rPr>
          <w:rFonts w:ascii="Arial" w:hAnsi="Arial" w:cs="Arial"/>
          <w:sz w:val="20"/>
          <w:szCs w:val="20"/>
          <w:lang w:val="es-ES"/>
        </w:rPr>
        <w:t xml:space="preserve"> </w:t>
      </w:r>
      <w:proofErr w:type="spellStart"/>
      <w:r>
        <w:rPr>
          <w:rFonts w:ascii="Arial" w:hAnsi="Arial" w:cs="Arial"/>
          <w:sz w:val="20"/>
          <w:szCs w:val="20"/>
          <w:lang w:val="es-ES"/>
        </w:rPr>
        <w:t>Gourmand</w:t>
      </w:r>
      <w:proofErr w:type="spellEnd"/>
      <w:r>
        <w:rPr>
          <w:rFonts w:ascii="Arial" w:hAnsi="Arial" w:cs="Arial"/>
          <w:sz w:val="20"/>
          <w:szCs w:val="20"/>
          <w:lang w:val="es-ES"/>
        </w:rPr>
        <w:t xml:space="preserve">, que señala las buenas mesas que ofrecen la mejor relación calidad/precio, continúa suscitando gran interés, tanto entre los restauradores como entre los clientes. </w:t>
      </w:r>
      <w:r w:rsidR="00FC34F3">
        <w:rPr>
          <w:rFonts w:ascii="Arial" w:hAnsi="Arial" w:cs="Arial"/>
          <w:sz w:val="20"/>
          <w:szCs w:val="20"/>
          <w:lang w:val="es-ES"/>
        </w:rPr>
        <w:t>P</w:t>
      </w:r>
      <w:r>
        <w:rPr>
          <w:rFonts w:ascii="Arial" w:hAnsi="Arial" w:cs="Arial"/>
          <w:sz w:val="20"/>
          <w:szCs w:val="20"/>
          <w:lang w:val="es-ES"/>
        </w:rPr>
        <w:t xml:space="preserve">ara la selección 2022, los inspectores de la Guía MICHELIN han buscado pacientemente sobre el terreno, encontrando 18 nuevos restaurantes que ofrecen una buena cocina a precios moderados y merecen la distinción </w:t>
      </w:r>
      <w:proofErr w:type="spellStart"/>
      <w:r>
        <w:rPr>
          <w:rFonts w:ascii="Arial" w:hAnsi="Arial" w:cs="Arial"/>
          <w:sz w:val="20"/>
          <w:szCs w:val="20"/>
          <w:lang w:val="es-ES"/>
        </w:rPr>
        <w:t>Bib</w:t>
      </w:r>
      <w:proofErr w:type="spellEnd"/>
      <w:r>
        <w:rPr>
          <w:rFonts w:ascii="Arial" w:hAnsi="Arial" w:cs="Arial"/>
          <w:sz w:val="20"/>
          <w:szCs w:val="20"/>
          <w:lang w:val="es-ES"/>
        </w:rPr>
        <w:t xml:space="preserve"> </w:t>
      </w:r>
      <w:proofErr w:type="spellStart"/>
      <w:r>
        <w:rPr>
          <w:rFonts w:ascii="Arial" w:hAnsi="Arial" w:cs="Arial"/>
          <w:sz w:val="20"/>
          <w:szCs w:val="20"/>
          <w:lang w:val="es-ES"/>
        </w:rPr>
        <w:t>Gourmand</w:t>
      </w:r>
      <w:proofErr w:type="spellEnd"/>
      <w:r>
        <w:rPr>
          <w:rFonts w:ascii="Arial" w:hAnsi="Arial" w:cs="Arial"/>
          <w:sz w:val="20"/>
          <w:szCs w:val="20"/>
          <w:lang w:val="es-ES"/>
        </w:rPr>
        <w:t xml:space="preserve">. De modo que la Guía MICHELIN Alemania pasa a contar ahora con 297 establecimientos </w:t>
      </w:r>
      <w:proofErr w:type="spellStart"/>
      <w:r>
        <w:rPr>
          <w:rFonts w:ascii="Arial" w:hAnsi="Arial" w:cs="Arial"/>
          <w:sz w:val="20"/>
          <w:szCs w:val="20"/>
          <w:lang w:val="es-ES"/>
        </w:rPr>
        <w:t>Bib</w:t>
      </w:r>
      <w:proofErr w:type="spellEnd"/>
      <w:r>
        <w:rPr>
          <w:rFonts w:ascii="Arial" w:hAnsi="Arial" w:cs="Arial"/>
          <w:sz w:val="20"/>
          <w:szCs w:val="20"/>
          <w:lang w:val="es-ES"/>
        </w:rPr>
        <w:t xml:space="preserve"> </w:t>
      </w:r>
      <w:proofErr w:type="spellStart"/>
      <w:r>
        <w:rPr>
          <w:rFonts w:ascii="Arial" w:hAnsi="Arial" w:cs="Arial"/>
          <w:sz w:val="20"/>
          <w:szCs w:val="20"/>
          <w:lang w:val="es-ES"/>
        </w:rPr>
        <w:t>Gourmand</w:t>
      </w:r>
      <w:proofErr w:type="spellEnd"/>
      <w:r>
        <w:rPr>
          <w:rFonts w:ascii="Arial" w:hAnsi="Arial" w:cs="Arial"/>
          <w:sz w:val="20"/>
          <w:szCs w:val="20"/>
          <w:lang w:val="es-ES"/>
        </w:rPr>
        <w:t xml:space="preserve">. </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b/>
          <w:bCs/>
          <w:sz w:val="20"/>
          <w:szCs w:val="20"/>
          <w:lang w:val="es-ES"/>
        </w:rPr>
      </w:pPr>
      <w:r>
        <w:rPr>
          <w:rFonts w:ascii="Arial" w:hAnsi="Arial" w:cs="Arial"/>
          <w:b/>
          <w:bCs/>
          <w:sz w:val="20"/>
          <w:szCs w:val="20"/>
          <w:lang w:val="es-ES"/>
        </w:rPr>
        <w:t xml:space="preserve">11 </w:t>
      </w:r>
      <w:r w:rsidR="00FC34F3">
        <w:rPr>
          <w:rFonts w:ascii="Arial" w:hAnsi="Arial" w:cs="Arial"/>
          <w:b/>
          <w:bCs/>
          <w:sz w:val="20"/>
          <w:szCs w:val="20"/>
          <w:lang w:val="es-ES"/>
        </w:rPr>
        <w:t xml:space="preserve">nuevos </w:t>
      </w:r>
      <w:r>
        <w:rPr>
          <w:rFonts w:ascii="Arial" w:hAnsi="Arial" w:cs="Arial"/>
          <w:b/>
          <w:bCs/>
          <w:sz w:val="20"/>
          <w:szCs w:val="20"/>
          <w:lang w:val="es-ES"/>
        </w:rPr>
        <w:t xml:space="preserve">establecimientos </w:t>
      </w:r>
      <w:r w:rsidR="00FC34F3">
        <w:rPr>
          <w:rFonts w:ascii="Arial" w:hAnsi="Arial" w:cs="Arial"/>
          <w:b/>
          <w:bCs/>
          <w:sz w:val="20"/>
          <w:szCs w:val="20"/>
          <w:lang w:val="es-ES"/>
        </w:rPr>
        <w:t xml:space="preserve">con </w:t>
      </w:r>
      <w:r>
        <w:rPr>
          <w:rFonts w:ascii="Arial" w:hAnsi="Arial" w:cs="Arial"/>
          <w:b/>
          <w:bCs/>
          <w:sz w:val="20"/>
          <w:szCs w:val="20"/>
          <w:lang w:val="es-ES"/>
        </w:rPr>
        <w:t>Estrella Verde MICHELIN para una gastronomía más respetuosa con el Medio Ambiente</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El total de 61 restaurantes que han sido distinguidos con la Estrella Verde MICHELIN en esta selección, confirma de nuevo la importancia de la sostenibilidad en la gastronomía. Desde el inicio de esta distinción en la Guía MICHELIN Alemania 2020, no ha hecho </w:t>
      </w:r>
      <w:r w:rsidR="00FC34F3">
        <w:rPr>
          <w:rFonts w:ascii="Arial" w:hAnsi="Arial" w:cs="Arial"/>
          <w:sz w:val="20"/>
          <w:szCs w:val="20"/>
          <w:lang w:val="es-ES"/>
        </w:rPr>
        <w:t>más que</w:t>
      </w:r>
      <w:r>
        <w:rPr>
          <w:rFonts w:ascii="Arial" w:hAnsi="Arial" w:cs="Arial"/>
          <w:sz w:val="20"/>
          <w:szCs w:val="20"/>
          <w:lang w:val="es-ES"/>
        </w:rPr>
        <w:t xml:space="preserve"> crecer el número de restaurantes </w:t>
      </w:r>
      <w:r w:rsidR="00FC34F3">
        <w:rPr>
          <w:rFonts w:ascii="Arial" w:hAnsi="Arial" w:cs="Arial"/>
          <w:sz w:val="20"/>
          <w:szCs w:val="20"/>
          <w:lang w:val="es-ES"/>
        </w:rPr>
        <w:t xml:space="preserve">con la </w:t>
      </w:r>
      <w:r>
        <w:rPr>
          <w:rFonts w:ascii="Arial" w:hAnsi="Arial" w:cs="Arial"/>
          <w:sz w:val="20"/>
          <w:szCs w:val="20"/>
          <w:lang w:val="es-ES"/>
        </w:rPr>
        <w:t>Estrella Verde</w:t>
      </w:r>
      <w:r w:rsidR="00FC34F3">
        <w:rPr>
          <w:rFonts w:ascii="Arial" w:hAnsi="Arial" w:cs="Arial"/>
          <w:sz w:val="20"/>
          <w:szCs w:val="20"/>
          <w:lang w:val="es-ES"/>
        </w:rPr>
        <w:t xml:space="preserve"> MICHELIN</w:t>
      </w:r>
      <w:r>
        <w:rPr>
          <w:rFonts w:ascii="Arial" w:hAnsi="Arial" w:cs="Arial"/>
          <w:sz w:val="20"/>
          <w:szCs w:val="20"/>
          <w:lang w:val="es-ES"/>
        </w:rPr>
        <w:t xml:space="preserve">, que se caracterizan por una gestión empresarial respetuosa con el medio ambiente y los recursos. Este año, se cuenta con </w:t>
      </w:r>
      <w:r w:rsidR="00FC34F3">
        <w:rPr>
          <w:rFonts w:ascii="Arial" w:hAnsi="Arial" w:cs="Arial"/>
          <w:sz w:val="20"/>
          <w:szCs w:val="20"/>
          <w:lang w:val="es-ES"/>
        </w:rPr>
        <w:t>11</w:t>
      </w:r>
      <w:r>
        <w:rPr>
          <w:rFonts w:ascii="Arial" w:hAnsi="Arial" w:cs="Arial"/>
          <w:sz w:val="20"/>
          <w:szCs w:val="20"/>
          <w:lang w:val="es-ES"/>
        </w:rPr>
        <w:t xml:space="preserve"> nuevos establecimientos adicionales, cuyos chefs se comprometen con una gastronomía más respetuosa ambientalmente.</w:t>
      </w:r>
    </w:p>
    <w:p w:rsidR="00FC34F3" w:rsidRDefault="00FC34F3">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Entre las iniciativas que practican en sus restaurantes, puede citarse la utilización de productos regionales y de temporada, la consideración de temas sostenibles, </w:t>
      </w:r>
      <w:r w:rsidR="00FC34F3">
        <w:rPr>
          <w:rFonts w:ascii="Arial" w:hAnsi="Arial" w:cs="Arial"/>
          <w:sz w:val="20"/>
          <w:szCs w:val="20"/>
          <w:lang w:val="es-ES"/>
        </w:rPr>
        <w:t>los</w:t>
      </w:r>
      <w:r>
        <w:rPr>
          <w:rFonts w:ascii="Arial" w:hAnsi="Arial" w:cs="Arial"/>
          <w:sz w:val="20"/>
          <w:szCs w:val="20"/>
          <w:lang w:val="es-ES"/>
        </w:rPr>
        <w:t xml:space="preserve"> circuitos de aprovisionamiento cercanos, la crianza respetuosa de los animales, economías de energía y reducción de residuos, así como la sensibilización y </w:t>
      </w:r>
      <w:r w:rsidR="00FC34F3">
        <w:rPr>
          <w:rFonts w:ascii="Arial" w:hAnsi="Arial" w:cs="Arial"/>
          <w:sz w:val="20"/>
          <w:szCs w:val="20"/>
          <w:lang w:val="es-ES"/>
        </w:rPr>
        <w:t xml:space="preserve">la </w:t>
      </w:r>
      <w:r>
        <w:rPr>
          <w:rFonts w:ascii="Arial" w:hAnsi="Arial" w:cs="Arial"/>
          <w:sz w:val="20"/>
          <w:szCs w:val="20"/>
          <w:lang w:val="es-ES"/>
        </w:rPr>
        <w:t>formación de los colaboradores de cara a métodos de trabajo más respetuosos con el clima. Con estas medidas, concretas e inspiradoras, el sector ilustra la importancia de la sostenibilidad en una gastronomía orientada al futuro.</w:t>
      </w:r>
    </w:p>
    <w:p w:rsidR="001D254B" w:rsidRDefault="001D254B">
      <w:pPr>
        <w:spacing w:line="276" w:lineRule="auto"/>
        <w:ind w:right="1394"/>
        <w:jc w:val="both"/>
        <w:rPr>
          <w:rFonts w:ascii="Arial" w:hAnsi="Arial" w:cs="Arial"/>
          <w:sz w:val="20"/>
          <w:szCs w:val="20"/>
          <w:lang w:val="es-ES"/>
        </w:rPr>
      </w:pPr>
    </w:p>
    <w:p w:rsidR="00FC34F3" w:rsidRDefault="00FC34F3">
      <w:pPr>
        <w:spacing w:line="276" w:lineRule="auto"/>
        <w:ind w:right="1394"/>
        <w:jc w:val="both"/>
        <w:rPr>
          <w:rFonts w:ascii="Arial" w:hAnsi="Arial" w:cs="Arial"/>
          <w:b/>
          <w:bCs/>
          <w:sz w:val="20"/>
          <w:szCs w:val="20"/>
          <w:lang w:val="es-ES"/>
        </w:rPr>
      </w:pPr>
    </w:p>
    <w:p w:rsidR="00FC34F3" w:rsidRDefault="00FC34F3">
      <w:pPr>
        <w:spacing w:line="276" w:lineRule="auto"/>
        <w:ind w:right="1394"/>
        <w:jc w:val="both"/>
        <w:rPr>
          <w:rFonts w:ascii="Arial" w:hAnsi="Arial" w:cs="Arial"/>
          <w:b/>
          <w:bCs/>
          <w:sz w:val="20"/>
          <w:szCs w:val="20"/>
          <w:lang w:val="es-ES"/>
        </w:rPr>
      </w:pPr>
    </w:p>
    <w:p w:rsidR="001D254B" w:rsidRDefault="00C308EB">
      <w:pPr>
        <w:spacing w:line="276" w:lineRule="auto"/>
        <w:ind w:right="1394"/>
        <w:jc w:val="both"/>
        <w:rPr>
          <w:rFonts w:ascii="Arial" w:hAnsi="Arial" w:cs="Arial"/>
          <w:b/>
          <w:bCs/>
          <w:sz w:val="20"/>
          <w:szCs w:val="20"/>
          <w:lang w:val="es-ES"/>
        </w:rPr>
      </w:pPr>
      <w:r>
        <w:rPr>
          <w:rFonts w:ascii="Arial" w:hAnsi="Arial" w:cs="Arial"/>
          <w:b/>
          <w:bCs/>
          <w:sz w:val="20"/>
          <w:szCs w:val="20"/>
          <w:lang w:val="es-ES"/>
        </w:rPr>
        <w:lastRenderedPageBreak/>
        <w:t>Premios especiales de la Guía MICHELIN</w:t>
      </w:r>
    </w:p>
    <w:p w:rsidR="001D254B" w:rsidRDefault="001D254B">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La Guía MICHELIN Alemania ha atribuido este año dos premios especiales: “Chef Mentor” y “Nueva Apertura del Año”. </w:t>
      </w:r>
      <w:r w:rsidR="00FC34F3">
        <w:rPr>
          <w:rFonts w:ascii="Arial" w:hAnsi="Arial" w:cs="Arial"/>
          <w:sz w:val="20"/>
          <w:szCs w:val="20"/>
          <w:lang w:val="es-ES"/>
        </w:rPr>
        <w:t xml:space="preserve">El galardón de </w:t>
      </w:r>
      <w:r>
        <w:rPr>
          <w:rFonts w:ascii="Arial" w:hAnsi="Arial" w:cs="Arial"/>
          <w:sz w:val="20"/>
          <w:szCs w:val="20"/>
          <w:lang w:val="es-ES"/>
        </w:rPr>
        <w:t xml:space="preserve">“Chef Mentor” ha sido designado </w:t>
      </w:r>
      <w:r w:rsidR="00FC34F3">
        <w:rPr>
          <w:rFonts w:ascii="Arial" w:hAnsi="Arial" w:cs="Arial"/>
          <w:sz w:val="20"/>
          <w:szCs w:val="20"/>
          <w:lang w:val="es-ES"/>
        </w:rPr>
        <w:t xml:space="preserve">a </w:t>
      </w:r>
      <w:r>
        <w:rPr>
          <w:rFonts w:ascii="Arial" w:hAnsi="Arial" w:cs="Arial"/>
          <w:sz w:val="20"/>
          <w:szCs w:val="20"/>
          <w:lang w:val="es-ES"/>
        </w:rPr>
        <w:t xml:space="preserve">Johannes King, de </w:t>
      </w:r>
      <w:proofErr w:type="spellStart"/>
      <w:r>
        <w:rPr>
          <w:rFonts w:ascii="Arial" w:hAnsi="Arial" w:cs="Arial"/>
          <w:b/>
          <w:bCs/>
          <w:i/>
          <w:iCs/>
          <w:sz w:val="20"/>
          <w:szCs w:val="20"/>
          <w:lang w:val="es-ES"/>
        </w:rPr>
        <w:t>Söl’Ring</w:t>
      </w:r>
      <w:proofErr w:type="spellEnd"/>
      <w:r>
        <w:rPr>
          <w:rFonts w:ascii="Arial" w:hAnsi="Arial" w:cs="Arial"/>
          <w:b/>
          <w:bCs/>
          <w:i/>
          <w:iCs/>
          <w:sz w:val="20"/>
          <w:szCs w:val="20"/>
          <w:lang w:val="es-ES"/>
        </w:rPr>
        <w:t xml:space="preserve"> </w:t>
      </w:r>
      <w:proofErr w:type="spellStart"/>
      <w:r>
        <w:rPr>
          <w:rFonts w:ascii="Arial" w:hAnsi="Arial" w:cs="Arial"/>
          <w:b/>
          <w:bCs/>
          <w:i/>
          <w:iCs/>
          <w:sz w:val="20"/>
          <w:szCs w:val="20"/>
          <w:lang w:val="es-ES"/>
        </w:rPr>
        <w:t>Hof</w:t>
      </w:r>
      <w:proofErr w:type="spellEnd"/>
      <w:r>
        <w:rPr>
          <w:rFonts w:ascii="Arial" w:hAnsi="Arial" w:cs="Arial"/>
          <w:sz w:val="20"/>
          <w:szCs w:val="20"/>
          <w:lang w:val="es-ES"/>
        </w:rPr>
        <w:t xml:space="preserve">, restaurante ubicado en la idílica isla de </w:t>
      </w:r>
      <w:proofErr w:type="spellStart"/>
      <w:r>
        <w:rPr>
          <w:rFonts w:ascii="Arial" w:hAnsi="Arial" w:cs="Arial"/>
          <w:sz w:val="20"/>
          <w:szCs w:val="20"/>
          <w:lang w:val="es-ES"/>
        </w:rPr>
        <w:t>Sylt</w:t>
      </w:r>
      <w:proofErr w:type="spellEnd"/>
      <w:r>
        <w:rPr>
          <w:rFonts w:ascii="Arial" w:hAnsi="Arial" w:cs="Arial"/>
          <w:sz w:val="20"/>
          <w:szCs w:val="20"/>
          <w:lang w:val="es-ES"/>
        </w:rPr>
        <w:t xml:space="preserve">. El antiguo patrón del restaurante </w:t>
      </w:r>
      <w:r w:rsidR="00FC34F3">
        <w:rPr>
          <w:rFonts w:ascii="Arial" w:hAnsi="Arial" w:cs="Arial"/>
          <w:sz w:val="20"/>
          <w:szCs w:val="20"/>
          <w:lang w:val="es-ES"/>
        </w:rPr>
        <w:t xml:space="preserve">con </w:t>
      </w:r>
      <w:r>
        <w:rPr>
          <w:rFonts w:ascii="Arial" w:hAnsi="Arial" w:cs="Arial"/>
          <w:sz w:val="20"/>
          <w:szCs w:val="20"/>
          <w:lang w:val="es-ES"/>
        </w:rPr>
        <w:t xml:space="preserve">dos Estrellas </w:t>
      </w:r>
      <w:r w:rsidR="00FC34F3">
        <w:rPr>
          <w:rFonts w:ascii="Arial" w:hAnsi="Arial" w:cs="Arial"/>
          <w:sz w:val="20"/>
          <w:szCs w:val="20"/>
          <w:lang w:val="es-ES"/>
        </w:rPr>
        <w:t xml:space="preserve">MICHELIN </w:t>
      </w:r>
      <w:r>
        <w:rPr>
          <w:rFonts w:ascii="Arial" w:hAnsi="Arial" w:cs="Arial"/>
          <w:sz w:val="20"/>
          <w:szCs w:val="20"/>
          <w:lang w:val="es-ES"/>
        </w:rPr>
        <w:t xml:space="preserve">en </w:t>
      </w:r>
      <w:proofErr w:type="spellStart"/>
      <w:r>
        <w:rPr>
          <w:rFonts w:ascii="Arial" w:hAnsi="Arial" w:cs="Arial"/>
          <w:sz w:val="20"/>
          <w:szCs w:val="20"/>
          <w:lang w:val="es-ES"/>
        </w:rPr>
        <w:t>Rantum</w:t>
      </w:r>
      <w:proofErr w:type="spellEnd"/>
      <w:r>
        <w:rPr>
          <w:rFonts w:ascii="Arial" w:hAnsi="Arial" w:cs="Arial"/>
          <w:sz w:val="20"/>
          <w:szCs w:val="20"/>
          <w:lang w:val="es-ES"/>
        </w:rPr>
        <w:t xml:space="preserve">, ha traspasado la dirección del establecimiento a su chef cocinero </w:t>
      </w:r>
      <w:proofErr w:type="spellStart"/>
      <w:r>
        <w:rPr>
          <w:rFonts w:ascii="Arial" w:hAnsi="Arial" w:cs="Arial"/>
          <w:sz w:val="20"/>
          <w:szCs w:val="20"/>
          <w:lang w:val="es-ES"/>
        </w:rPr>
        <w:t>Jan-Phillip</w:t>
      </w:r>
      <w:proofErr w:type="spellEnd"/>
      <w:r>
        <w:rPr>
          <w:rFonts w:ascii="Arial" w:hAnsi="Arial" w:cs="Arial"/>
          <w:sz w:val="20"/>
          <w:szCs w:val="20"/>
          <w:lang w:val="es-ES"/>
        </w:rPr>
        <w:t xml:space="preserve"> </w:t>
      </w:r>
      <w:proofErr w:type="spellStart"/>
      <w:r>
        <w:rPr>
          <w:rFonts w:ascii="Arial" w:hAnsi="Arial" w:cs="Arial"/>
          <w:sz w:val="20"/>
          <w:szCs w:val="20"/>
          <w:lang w:val="es-ES"/>
        </w:rPr>
        <w:t>Berner</w:t>
      </w:r>
      <w:proofErr w:type="spellEnd"/>
      <w:r>
        <w:rPr>
          <w:rFonts w:ascii="Arial" w:hAnsi="Arial" w:cs="Arial"/>
          <w:sz w:val="20"/>
          <w:szCs w:val="20"/>
          <w:lang w:val="es-ES"/>
        </w:rPr>
        <w:t xml:space="preserve">. A lo largo de los años, King ha transmitido sus conocimientos y saber hacer a numerosos cocineros, toda una nueva generación para buenos restaurantes. El premio se concede en colaboración con </w:t>
      </w:r>
      <w:proofErr w:type="spellStart"/>
      <w:r>
        <w:rPr>
          <w:rFonts w:ascii="Arial" w:hAnsi="Arial" w:cs="Arial"/>
          <w:sz w:val="20"/>
          <w:szCs w:val="20"/>
          <w:lang w:val="es-ES"/>
        </w:rPr>
        <w:t>Blancpain</w:t>
      </w:r>
      <w:proofErr w:type="spellEnd"/>
      <w:r>
        <w:rPr>
          <w:rFonts w:ascii="Arial" w:hAnsi="Arial" w:cs="Arial"/>
          <w:sz w:val="20"/>
          <w:szCs w:val="20"/>
          <w:lang w:val="es-ES"/>
        </w:rPr>
        <w:t>.</w:t>
      </w:r>
    </w:p>
    <w:p w:rsidR="00FC34F3" w:rsidRDefault="00FC34F3">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 xml:space="preserve">La distinción “Nueva Apertura del Año”, en </w:t>
      </w:r>
      <w:r w:rsidR="00FC34F3">
        <w:rPr>
          <w:rFonts w:ascii="Arial" w:hAnsi="Arial" w:cs="Arial"/>
          <w:sz w:val="20"/>
          <w:szCs w:val="20"/>
          <w:lang w:val="es-ES"/>
        </w:rPr>
        <w:t xml:space="preserve">colaboración con Mercedes-AMG, </w:t>
      </w:r>
      <w:r>
        <w:rPr>
          <w:rFonts w:ascii="Arial" w:hAnsi="Arial" w:cs="Arial"/>
          <w:sz w:val="20"/>
          <w:szCs w:val="20"/>
          <w:lang w:val="es-ES"/>
        </w:rPr>
        <w:t xml:space="preserve">se ha otorgado al conjunto muniqués de restauración </w:t>
      </w:r>
      <w:proofErr w:type="spellStart"/>
      <w:r>
        <w:rPr>
          <w:rFonts w:ascii="Arial" w:hAnsi="Arial" w:cs="Arial"/>
          <w:sz w:val="20"/>
          <w:szCs w:val="20"/>
          <w:lang w:val="es-ES"/>
        </w:rPr>
        <w:t>Tantris</w:t>
      </w:r>
      <w:proofErr w:type="spellEnd"/>
      <w:r>
        <w:rPr>
          <w:rFonts w:ascii="Arial" w:hAnsi="Arial" w:cs="Arial"/>
          <w:sz w:val="20"/>
          <w:szCs w:val="20"/>
          <w:lang w:val="es-ES"/>
        </w:rPr>
        <w:t xml:space="preserve"> y </w:t>
      </w:r>
      <w:proofErr w:type="spellStart"/>
      <w:r>
        <w:rPr>
          <w:rFonts w:ascii="Arial" w:hAnsi="Arial" w:cs="Arial"/>
          <w:sz w:val="20"/>
          <w:szCs w:val="20"/>
          <w:lang w:val="es-ES"/>
        </w:rPr>
        <w:t>Tantris</w:t>
      </w:r>
      <w:proofErr w:type="spellEnd"/>
      <w:r>
        <w:rPr>
          <w:rFonts w:ascii="Arial" w:hAnsi="Arial" w:cs="Arial"/>
          <w:sz w:val="20"/>
          <w:szCs w:val="20"/>
          <w:lang w:val="es-ES"/>
        </w:rPr>
        <w:t xml:space="preserve"> DNA. El establecimiento, conocido como un lugar de cultura, ahora une, tras su reapertura, a </w:t>
      </w:r>
      <w:proofErr w:type="spellStart"/>
      <w:r>
        <w:rPr>
          <w:rFonts w:ascii="Arial" w:hAnsi="Arial" w:cs="Arial"/>
          <w:sz w:val="20"/>
          <w:szCs w:val="20"/>
          <w:lang w:val="es-ES"/>
        </w:rPr>
        <w:t>Tantris</w:t>
      </w:r>
      <w:proofErr w:type="spellEnd"/>
      <w:r>
        <w:rPr>
          <w:rFonts w:ascii="Arial" w:hAnsi="Arial" w:cs="Arial"/>
          <w:sz w:val="20"/>
          <w:szCs w:val="20"/>
          <w:lang w:val="es-ES"/>
        </w:rPr>
        <w:t xml:space="preserve">, que se ha unido al grupo de los dos Estrellas MICHELIN, y a </w:t>
      </w:r>
      <w:proofErr w:type="spellStart"/>
      <w:r>
        <w:rPr>
          <w:rFonts w:ascii="Arial" w:hAnsi="Arial" w:cs="Arial"/>
          <w:sz w:val="20"/>
          <w:szCs w:val="20"/>
          <w:lang w:val="es-ES"/>
        </w:rPr>
        <w:t>Tantris</w:t>
      </w:r>
      <w:proofErr w:type="spellEnd"/>
      <w:r>
        <w:rPr>
          <w:rFonts w:ascii="Arial" w:hAnsi="Arial" w:cs="Arial"/>
          <w:sz w:val="20"/>
          <w:szCs w:val="20"/>
          <w:lang w:val="es-ES"/>
        </w:rPr>
        <w:t xml:space="preserve"> DNA, que también tiene una Estrella</w:t>
      </w:r>
      <w:r w:rsidR="00FC34F3">
        <w:rPr>
          <w:rFonts w:ascii="Arial" w:hAnsi="Arial" w:cs="Arial"/>
          <w:sz w:val="20"/>
          <w:szCs w:val="20"/>
          <w:lang w:val="es-ES"/>
        </w:rPr>
        <w:t xml:space="preserve"> MICHELIN</w:t>
      </w:r>
      <w:r>
        <w:rPr>
          <w:rFonts w:ascii="Arial" w:hAnsi="Arial" w:cs="Arial"/>
          <w:sz w:val="20"/>
          <w:szCs w:val="20"/>
          <w:lang w:val="es-ES"/>
        </w:rPr>
        <w:t>.</w:t>
      </w:r>
    </w:p>
    <w:p w:rsidR="001D254B" w:rsidRDefault="001D254B">
      <w:pPr>
        <w:spacing w:line="276" w:lineRule="auto"/>
        <w:ind w:right="1394"/>
        <w:jc w:val="both"/>
        <w:rPr>
          <w:rFonts w:ascii="Arial" w:hAnsi="Arial" w:cs="Arial"/>
          <w:sz w:val="20"/>
          <w:szCs w:val="20"/>
          <w:lang w:val="es-ES"/>
        </w:rPr>
      </w:pPr>
    </w:p>
    <w:p w:rsidR="00FC34F3" w:rsidRPr="00496DC9" w:rsidRDefault="00FC34F3" w:rsidP="00FC34F3">
      <w:pPr>
        <w:spacing w:line="276" w:lineRule="auto"/>
        <w:ind w:right="1394"/>
        <w:jc w:val="both"/>
        <w:rPr>
          <w:rFonts w:ascii="Arial" w:hAnsi="Arial" w:cs="Arial"/>
          <w:sz w:val="20"/>
          <w:szCs w:val="20"/>
          <w:lang w:val="es-ES_tradnl"/>
        </w:rPr>
      </w:pPr>
      <w:r w:rsidRPr="00496DC9">
        <w:rPr>
          <w:rFonts w:ascii="Arial" w:hAnsi="Arial" w:cs="Arial"/>
          <w:sz w:val="20"/>
          <w:szCs w:val="20"/>
          <w:lang w:val="es-ES_tradnl"/>
        </w:rPr>
        <w:t xml:space="preserve">En total, la selección de la Guía MICHELIN </w:t>
      </w:r>
      <w:r w:rsidR="006C5C03">
        <w:rPr>
          <w:rFonts w:ascii="Arial" w:hAnsi="Arial" w:cs="Arial"/>
          <w:sz w:val="20"/>
          <w:szCs w:val="20"/>
          <w:lang w:val="es-ES"/>
        </w:rPr>
        <w:t xml:space="preserve">Alemania 2022 </w:t>
      </w:r>
      <w:r w:rsidR="006C5C03" w:rsidRPr="00496DC9">
        <w:rPr>
          <w:rFonts w:ascii="Arial" w:hAnsi="Arial" w:cs="Arial"/>
          <w:sz w:val="20"/>
          <w:szCs w:val="20"/>
          <w:lang w:val="es-ES_tradnl"/>
        </w:rPr>
        <w:t>incluye</w:t>
      </w:r>
      <w:r w:rsidRPr="00496DC9">
        <w:rPr>
          <w:rFonts w:ascii="Arial" w:hAnsi="Arial" w:cs="Arial"/>
          <w:sz w:val="20"/>
          <w:szCs w:val="20"/>
          <w:lang w:val="es-ES_tradnl"/>
        </w:rPr>
        <w:t>:</w:t>
      </w:r>
    </w:p>
    <w:p w:rsidR="00FC34F3" w:rsidRPr="00496DC9" w:rsidRDefault="00FC34F3" w:rsidP="00FC34F3">
      <w:pPr>
        <w:spacing w:line="276" w:lineRule="auto"/>
        <w:ind w:right="1394"/>
        <w:jc w:val="both"/>
        <w:rPr>
          <w:rFonts w:ascii="Arial" w:hAnsi="Arial" w:cs="Arial"/>
          <w:sz w:val="20"/>
          <w:szCs w:val="20"/>
          <w:lang w:val="es-ES_tradnl"/>
        </w:rPr>
      </w:pPr>
    </w:p>
    <w:p w:rsidR="006C5C03" w:rsidRDefault="00C308EB" w:rsidP="006C5C03">
      <w:pPr>
        <w:pStyle w:val="Prrafodelista"/>
        <w:numPr>
          <w:ilvl w:val="0"/>
          <w:numId w:val="3"/>
        </w:numPr>
        <w:spacing w:line="276" w:lineRule="auto"/>
        <w:ind w:right="1394"/>
        <w:jc w:val="both"/>
        <w:rPr>
          <w:rFonts w:ascii="Arial" w:hAnsi="Arial" w:cs="Arial"/>
          <w:lang w:val="es-ES"/>
        </w:rPr>
      </w:pPr>
      <w:r w:rsidRPr="006C5C03">
        <w:rPr>
          <w:rFonts w:ascii="Arial" w:hAnsi="Arial" w:cs="Arial"/>
          <w:lang w:val="es-ES"/>
        </w:rPr>
        <w:t>9 restaurantes con tres Estrellas</w:t>
      </w:r>
      <w:r w:rsidR="006C5C03">
        <w:rPr>
          <w:rFonts w:ascii="Arial" w:hAnsi="Arial" w:cs="Arial"/>
          <w:lang w:val="es-ES"/>
        </w:rPr>
        <w:t xml:space="preserve"> </w:t>
      </w:r>
      <w:r w:rsidR="006C5C03" w:rsidRPr="00496DC9">
        <w:rPr>
          <w:rFonts w:ascii="Arial" w:hAnsi="Arial" w:cs="Arial"/>
          <w:lang w:val="es-ES_tradnl"/>
        </w:rPr>
        <w:t>MICHELIN</w:t>
      </w:r>
      <w:r w:rsidRPr="006C5C03">
        <w:rPr>
          <w:rFonts w:ascii="Arial" w:hAnsi="Arial" w:cs="Arial"/>
          <w:lang w:val="es-ES"/>
        </w:rPr>
        <w:t xml:space="preserve"> (1 nuevo)</w:t>
      </w:r>
    </w:p>
    <w:p w:rsidR="006C5C03" w:rsidRDefault="00C308EB" w:rsidP="006C5C03">
      <w:pPr>
        <w:pStyle w:val="Prrafodelista"/>
        <w:numPr>
          <w:ilvl w:val="0"/>
          <w:numId w:val="3"/>
        </w:numPr>
        <w:spacing w:line="276" w:lineRule="auto"/>
        <w:ind w:right="1394"/>
        <w:jc w:val="both"/>
        <w:rPr>
          <w:rFonts w:ascii="Arial" w:hAnsi="Arial" w:cs="Arial"/>
          <w:lang w:val="es-ES"/>
        </w:rPr>
      </w:pPr>
      <w:r w:rsidRPr="006C5C03">
        <w:rPr>
          <w:rFonts w:ascii="Arial" w:hAnsi="Arial" w:cs="Arial"/>
          <w:lang w:val="es-ES"/>
        </w:rPr>
        <w:t xml:space="preserve">46 restaurantes con dos Estrellas </w:t>
      </w:r>
      <w:r w:rsidR="006C5C03" w:rsidRPr="00496DC9">
        <w:rPr>
          <w:rFonts w:ascii="Arial" w:hAnsi="Arial" w:cs="Arial"/>
          <w:lang w:val="es-ES_tradnl"/>
        </w:rPr>
        <w:t>MICHELIN</w:t>
      </w:r>
      <w:r w:rsidR="006C5C03" w:rsidRPr="006C5C03">
        <w:rPr>
          <w:rFonts w:ascii="Arial" w:hAnsi="Arial" w:cs="Arial"/>
          <w:lang w:val="es-ES"/>
        </w:rPr>
        <w:t xml:space="preserve"> </w:t>
      </w:r>
      <w:r w:rsidRPr="006C5C03">
        <w:rPr>
          <w:rFonts w:ascii="Arial" w:hAnsi="Arial" w:cs="Arial"/>
          <w:lang w:val="es-ES"/>
        </w:rPr>
        <w:t>(8 nuevos)</w:t>
      </w:r>
    </w:p>
    <w:p w:rsidR="006C5C03" w:rsidRDefault="00C308EB" w:rsidP="006C5C03">
      <w:pPr>
        <w:pStyle w:val="Prrafodelista"/>
        <w:numPr>
          <w:ilvl w:val="0"/>
          <w:numId w:val="3"/>
        </w:numPr>
        <w:spacing w:line="276" w:lineRule="auto"/>
        <w:ind w:right="1394"/>
        <w:jc w:val="both"/>
        <w:rPr>
          <w:rFonts w:ascii="Arial" w:hAnsi="Arial" w:cs="Arial"/>
          <w:lang w:val="es-ES"/>
        </w:rPr>
      </w:pPr>
      <w:r w:rsidRPr="006C5C03">
        <w:rPr>
          <w:rFonts w:ascii="Arial" w:hAnsi="Arial" w:cs="Arial"/>
          <w:lang w:val="es-ES"/>
        </w:rPr>
        <w:t xml:space="preserve">272 restaurantes con una Estrella </w:t>
      </w:r>
      <w:r w:rsidR="006C5C03" w:rsidRPr="00496DC9">
        <w:rPr>
          <w:rFonts w:ascii="Arial" w:hAnsi="Arial" w:cs="Arial"/>
          <w:lang w:val="es-ES_tradnl"/>
        </w:rPr>
        <w:t>MICHELIN</w:t>
      </w:r>
      <w:r w:rsidR="006C5C03" w:rsidRPr="006C5C03">
        <w:rPr>
          <w:rFonts w:ascii="Arial" w:hAnsi="Arial" w:cs="Arial"/>
          <w:lang w:val="es-ES"/>
        </w:rPr>
        <w:t xml:space="preserve"> </w:t>
      </w:r>
      <w:r w:rsidRPr="006C5C03">
        <w:rPr>
          <w:rFonts w:ascii="Arial" w:hAnsi="Arial" w:cs="Arial"/>
          <w:lang w:val="es-ES"/>
        </w:rPr>
        <w:t>(31 nuevos)</w:t>
      </w:r>
    </w:p>
    <w:p w:rsidR="006C5C03" w:rsidRDefault="00C308EB" w:rsidP="006C5C03">
      <w:pPr>
        <w:pStyle w:val="Prrafodelista"/>
        <w:numPr>
          <w:ilvl w:val="0"/>
          <w:numId w:val="3"/>
        </w:numPr>
        <w:spacing w:line="276" w:lineRule="auto"/>
        <w:ind w:right="1394"/>
        <w:jc w:val="both"/>
        <w:rPr>
          <w:rFonts w:ascii="Arial" w:hAnsi="Arial" w:cs="Arial"/>
          <w:lang w:val="es-ES"/>
        </w:rPr>
      </w:pPr>
      <w:r w:rsidRPr="006C5C03">
        <w:rPr>
          <w:rFonts w:ascii="Arial" w:hAnsi="Arial" w:cs="Arial"/>
          <w:lang w:val="es-ES"/>
        </w:rPr>
        <w:t xml:space="preserve">297 restaurantes </w:t>
      </w:r>
      <w:proofErr w:type="spellStart"/>
      <w:r w:rsidRPr="006C5C03">
        <w:rPr>
          <w:rFonts w:ascii="Arial" w:hAnsi="Arial" w:cs="Arial"/>
          <w:lang w:val="es-ES"/>
        </w:rPr>
        <w:t>Bib</w:t>
      </w:r>
      <w:proofErr w:type="spellEnd"/>
      <w:r w:rsidRPr="006C5C03">
        <w:rPr>
          <w:rFonts w:ascii="Arial" w:hAnsi="Arial" w:cs="Arial"/>
          <w:lang w:val="es-ES"/>
        </w:rPr>
        <w:t xml:space="preserve"> </w:t>
      </w:r>
      <w:proofErr w:type="spellStart"/>
      <w:r w:rsidRPr="006C5C03">
        <w:rPr>
          <w:rFonts w:ascii="Arial" w:hAnsi="Arial" w:cs="Arial"/>
          <w:lang w:val="es-ES"/>
        </w:rPr>
        <w:t>Gourmand</w:t>
      </w:r>
      <w:proofErr w:type="spellEnd"/>
      <w:r w:rsidR="006C5C03">
        <w:rPr>
          <w:rFonts w:ascii="Arial" w:hAnsi="Arial" w:cs="Arial"/>
          <w:lang w:val="es-ES"/>
        </w:rPr>
        <w:t xml:space="preserve"> </w:t>
      </w:r>
      <w:r w:rsidRPr="006C5C03">
        <w:rPr>
          <w:rFonts w:ascii="Arial" w:hAnsi="Arial" w:cs="Arial"/>
          <w:lang w:val="es-ES"/>
        </w:rPr>
        <w:t>(18 nuevos)</w:t>
      </w:r>
    </w:p>
    <w:p w:rsidR="001D254B" w:rsidRPr="006C5C03" w:rsidRDefault="00C308EB" w:rsidP="006C5C03">
      <w:pPr>
        <w:pStyle w:val="Prrafodelista"/>
        <w:numPr>
          <w:ilvl w:val="0"/>
          <w:numId w:val="3"/>
        </w:numPr>
        <w:spacing w:line="276" w:lineRule="auto"/>
        <w:ind w:right="1394"/>
        <w:jc w:val="both"/>
        <w:rPr>
          <w:rFonts w:ascii="Arial" w:hAnsi="Arial" w:cs="Arial"/>
          <w:lang w:val="es-ES"/>
        </w:rPr>
      </w:pPr>
      <w:r w:rsidRPr="006C5C03">
        <w:rPr>
          <w:rFonts w:ascii="Arial" w:hAnsi="Arial" w:cs="Arial"/>
          <w:lang w:val="es-ES"/>
        </w:rPr>
        <w:t>61 restaurantes Estrella Verde MICHELIN (11 nuevos)</w:t>
      </w:r>
    </w:p>
    <w:p w:rsidR="001D254B" w:rsidRDefault="001D254B">
      <w:pPr>
        <w:spacing w:line="276" w:lineRule="auto"/>
        <w:ind w:right="1394"/>
        <w:jc w:val="both"/>
        <w:rPr>
          <w:rFonts w:ascii="Arial" w:hAnsi="Arial" w:cs="Arial"/>
          <w:sz w:val="20"/>
          <w:szCs w:val="20"/>
          <w:lang w:val="es-ES"/>
        </w:rPr>
      </w:pPr>
    </w:p>
    <w:p w:rsidR="006C5C03" w:rsidRDefault="006C5C03">
      <w:pPr>
        <w:spacing w:line="276" w:lineRule="auto"/>
        <w:ind w:right="1394"/>
        <w:jc w:val="both"/>
        <w:rPr>
          <w:rFonts w:ascii="Arial" w:hAnsi="Arial" w:cs="Arial"/>
          <w:sz w:val="20"/>
          <w:szCs w:val="20"/>
          <w:lang w:val="es-ES"/>
        </w:rPr>
      </w:pPr>
    </w:p>
    <w:p w:rsidR="001D254B" w:rsidRDefault="00C308EB">
      <w:pPr>
        <w:spacing w:line="276" w:lineRule="auto"/>
        <w:ind w:right="1394"/>
        <w:jc w:val="both"/>
        <w:rPr>
          <w:rFonts w:ascii="Arial" w:hAnsi="Arial" w:cs="Arial"/>
          <w:sz w:val="20"/>
          <w:szCs w:val="20"/>
          <w:lang w:val="es-ES"/>
        </w:rPr>
      </w:pPr>
      <w:r>
        <w:rPr>
          <w:rFonts w:ascii="Arial" w:hAnsi="Arial" w:cs="Arial"/>
          <w:sz w:val="20"/>
          <w:szCs w:val="20"/>
          <w:lang w:val="es-ES"/>
        </w:rPr>
        <w:t>En la Guía MICHELIN Alemania 2022 impresa se referencia</w:t>
      </w:r>
      <w:r w:rsidR="006C5C03">
        <w:rPr>
          <w:rFonts w:ascii="Arial" w:hAnsi="Arial" w:cs="Arial"/>
          <w:sz w:val="20"/>
          <w:szCs w:val="20"/>
          <w:lang w:val="es-ES"/>
        </w:rPr>
        <w:t>n</w:t>
      </w:r>
      <w:r>
        <w:rPr>
          <w:rFonts w:ascii="Arial" w:hAnsi="Arial" w:cs="Arial"/>
          <w:sz w:val="20"/>
          <w:szCs w:val="20"/>
          <w:lang w:val="es-ES"/>
        </w:rPr>
        <w:t xml:space="preserve"> un total de 1.330 restaurantes descritos en sus 456 páginas.</w:t>
      </w: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C308EB">
      <w:pPr>
        <w:tabs>
          <w:tab w:val="left" w:pos="5339"/>
        </w:tabs>
        <w:spacing w:line="276" w:lineRule="auto"/>
        <w:ind w:right="1394"/>
        <w:jc w:val="both"/>
        <w:rPr>
          <w:rFonts w:ascii="Arial" w:hAnsi="Arial" w:cs="Arial"/>
          <w:sz w:val="20"/>
          <w:szCs w:val="20"/>
          <w:lang w:val="es-ES"/>
        </w:rPr>
      </w:pPr>
      <w:r>
        <w:rPr>
          <w:rFonts w:ascii="Arial" w:hAnsi="Arial" w:cs="Arial"/>
          <w:sz w:val="20"/>
          <w:szCs w:val="20"/>
          <w:lang w:val="es-ES"/>
        </w:rPr>
        <w:tab/>
      </w: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1D254B">
      <w:pPr>
        <w:spacing w:line="276" w:lineRule="auto"/>
        <w:ind w:right="1394"/>
        <w:jc w:val="both"/>
        <w:rPr>
          <w:rFonts w:ascii="Arial" w:hAnsi="Arial" w:cs="Arial"/>
          <w:sz w:val="20"/>
          <w:szCs w:val="20"/>
          <w:lang w:val="es-ES"/>
        </w:rPr>
      </w:pPr>
    </w:p>
    <w:p w:rsidR="001D254B" w:rsidRDefault="00C308EB">
      <w:pPr>
        <w:ind w:right="1394"/>
        <w:jc w:val="both"/>
        <w:rPr>
          <w:rFonts w:ascii="Arial" w:hAnsi="Arial" w:cs="Arial"/>
          <w:b/>
          <w:iCs/>
          <w:sz w:val="16"/>
          <w:szCs w:val="16"/>
          <w:u w:val="single"/>
          <w:lang w:val="es-ES_tradnl"/>
        </w:rPr>
      </w:pPr>
      <w:r>
        <w:rPr>
          <w:rFonts w:ascii="Arial" w:hAnsi="Arial" w:cs="Arial"/>
          <w:b/>
          <w:iCs/>
          <w:sz w:val="16"/>
          <w:szCs w:val="16"/>
          <w:u w:val="single"/>
          <w:lang w:val="es-ES_tradnl"/>
        </w:rPr>
        <w:t>Sobre la Guía MICHELIN</w:t>
      </w:r>
    </w:p>
    <w:p w:rsidR="001D254B" w:rsidRDefault="001D254B">
      <w:pPr>
        <w:ind w:right="1394"/>
        <w:jc w:val="both"/>
        <w:rPr>
          <w:rFonts w:ascii="Arial" w:hAnsi="Arial" w:cs="Arial"/>
          <w:iCs/>
          <w:sz w:val="16"/>
          <w:szCs w:val="16"/>
          <w:lang w:val="es-ES_tradnl"/>
        </w:rPr>
      </w:pPr>
    </w:p>
    <w:p w:rsidR="001D254B" w:rsidRDefault="00C308EB">
      <w:pPr>
        <w:ind w:right="1394"/>
        <w:jc w:val="both"/>
        <w:rPr>
          <w:rFonts w:ascii="Arial" w:hAnsi="Arial" w:cs="Arial"/>
          <w:iCs/>
          <w:sz w:val="16"/>
          <w:szCs w:val="16"/>
          <w:lang w:val="es-ES_tradnl"/>
        </w:rPr>
      </w:pPr>
      <w:r>
        <w:rPr>
          <w:rFonts w:ascii="Arial" w:hAnsi="Arial" w:cs="Arial"/>
          <w:iCs/>
          <w:sz w:val="16"/>
          <w:szCs w:val="16"/>
          <w:lang w:val="es-ES_tradnl"/>
        </w:rPr>
        <w:t>La Guía MICHELIN selecciona los mejores restaurantes y hoteles de los 30 países en los que está presente. Escaparate de la gastronomía mundial, descubre el dinamismo culinario de un país, así como las nuevas tendencias y los futuros talentos. Creador de valor para los restaurantes gracias a las distinciones que atribuye cada año, la Guía MICHELIN contribuye al prestigio de la gastronomía local y al atractivo turístico de los territorios. Gracias a su riguroso sistema de selección y a su amplio conocimiento histórico del sector de la hostelería y la restauración, la Guía MICHELIN aporta a sus clientes una experiencia única y un servicio de calidad.</w:t>
      </w:r>
    </w:p>
    <w:p w:rsidR="001D254B" w:rsidRDefault="001D254B">
      <w:pPr>
        <w:ind w:right="1394"/>
        <w:jc w:val="both"/>
        <w:rPr>
          <w:rFonts w:ascii="Arial" w:hAnsi="Arial" w:cs="Arial"/>
          <w:b/>
          <w:iCs/>
          <w:sz w:val="16"/>
          <w:szCs w:val="16"/>
          <w:u w:val="single"/>
          <w:lang w:val="es-ES_tradnl"/>
        </w:rPr>
      </w:pPr>
    </w:p>
    <w:p w:rsidR="001D254B" w:rsidRDefault="00C308EB">
      <w:pPr>
        <w:ind w:right="1394"/>
        <w:jc w:val="both"/>
        <w:rPr>
          <w:rFonts w:ascii="Arial" w:hAnsi="Arial" w:cs="Arial"/>
          <w:iCs/>
          <w:sz w:val="16"/>
          <w:szCs w:val="16"/>
          <w:lang w:val="es-ES_tradnl"/>
        </w:rPr>
      </w:pPr>
      <w:r>
        <w:rPr>
          <w:rFonts w:ascii="Arial" w:hAnsi="Arial" w:cs="Arial"/>
          <w:iCs/>
          <w:sz w:val="16"/>
          <w:szCs w:val="16"/>
          <w:lang w:val="es-ES_tradnl"/>
        </w:rPr>
        <w:t>Las diferentes selecciones están disponibles tanto en versión impresa como digital. Son accesibles tanto por Internet como para todos los dispositivos móviles que proporcionen una navegación adaptada al uso individual, además de contar con un servicio de reserva online.</w:t>
      </w:r>
    </w:p>
    <w:p w:rsidR="001D254B" w:rsidRDefault="001D254B">
      <w:pPr>
        <w:ind w:right="1394"/>
        <w:jc w:val="both"/>
        <w:rPr>
          <w:rFonts w:ascii="Arial" w:hAnsi="Arial" w:cs="Arial"/>
          <w:iCs/>
          <w:sz w:val="16"/>
          <w:szCs w:val="16"/>
          <w:lang w:val="es-ES_tradnl"/>
        </w:rPr>
      </w:pPr>
    </w:p>
    <w:p w:rsidR="001D254B" w:rsidRDefault="00C308EB">
      <w:pPr>
        <w:ind w:right="1394"/>
        <w:jc w:val="both"/>
        <w:rPr>
          <w:rFonts w:ascii="Arial" w:hAnsi="Arial" w:cs="Arial"/>
          <w:iCs/>
          <w:sz w:val="16"/>
          <w:szCs w:val="16"/>
          <w:lang w:val="es-ES_tradnl"/>
        </w:rPr>
      </w:pPr>
      <w:r>
        <w:rPr>
          <w:rFonts w:ascii="Arial" w:hAnsi="Arial" w:cs="Arial"/>
          <w:iCs/>
          <w:sz w:val="16"/>
          <w:szCs w:val="16"/>
          <w:lang w:val="es-ES_tradnl"/>
        </w:rPr>
        <w:lastRenderedPageBreak/>
        <w:t>Con la Guía MICHELIN, el Grupo continúa acompañando a millones de viajeros en sus desplazamientos, lo que les permite vivir una experiencia única de movilidad.</w:t>
      </w:r>
    </w:p>
    <w:p w:rsidR="001D254B" w:rsidRDefault="001D254B">
      <w:pPr>
        <w:ind w:right="1394"/>
        <w:jc w:val="both"/>
        <w:rPr>
          <w:rFonts w:ascii="Arial" w:hAnsi="Arial" w:cs="Arial"/>
          <w:iCs/>
          <w:sz w:val="16"/>
          <w:szCs w:val="16"/>
          <w:lang w:val="es-ES_tradnl"/>
        </w:rPr>
      </w:pPr>
    </w:p>
    <w:p w:rsidR="001D254B" w:rsidRDefault="00C308EB">
      <w:pPr>
        <w:ind w:right="1394"/>
        <w:jc w:val="both"/>
        <w:rPr>
          <w:rFonts w:ascii="Arial" w:hAnsi="Arial" w:cs="Arial"/>
          <w:b/>
          <w:iCs/>
          <w:sz w:val="16"/>
          <w:szCs w:val="16"/>
          <w:u w:val="single"/>
          <w:lang w:val="es-ES_tradnl"/>
        </w:rPr>
      </w:pPr>
      <w:r>
        <w:rPr>
          <w:rFonts w:ascii="Arial" w:hAnsi="Arial" w:cs="Arial"/>
          <w:b/>
          <w:iCs/>
          <w:sz w:val="16"/>
          <w:szCs w:val="16"/>
          <w:u w:val="single"/>
          <w:lang w:val="es-ES_tradnl"/>
        </w:rPr>
        <w:t>Sobre MICHELIN</w:t>
      </w:r>
    </w:p>
    <w:p w:rsidR="001D254B" w:rsidRDefault="001D254B">
      <w:pPr>
        <w:ind w:right="1394"/>
        <w:jc w:val="both"/>
        <w:rPr>
          <w:rFonts w:ascii="Arial" w:hAnsi="Arial" w:cs="Arial"/>
          <w:iCs/>
          <w:sz w:val="16"/>
          <w:szCs w:val="16"/>
          <w:lang w:val="es-ES_tradnl"/>
        </w:rPr>
      </w:pPr>
    </w:p>
    <w:p w:rsidR="001D254B" w:rsidRDefault="00C308EB">
      <w:pPr>
        <w:ind w:right="1394"/>
        <w:jc w:val="both"/>
        <w:rPr>
          <w:rFonts w:ascii="Arial" w:hAnsi="Arial" w:cs="Arial"/>
          <w:iCs/>
          <w:sz w:val="16"/>
          <w:szCs w:val="16"/>
          <w:lang w:val="es-ES"/>
        </w:rPr>
      </w:pPr>
      <w:r>
        <w:rPr>
          <w:rFonts w:ascii="Arial" w:hAnsi="Arial" w:cs="Arial"/>
          <w:iCs/>
          <w:sz w:val="16"/>
          <w:szCs w:val="16"/>
          <w:lang w:val="es-ES"/>
        </w:rPr>
        <w:t>Michelin tiene la ambición de mejorar de manera sostenible la movilidad de sus clientes. Líder del sector del neumático, Michelin diseña, fabrica y distribuye los neumáticos más adaptados a las necesidades y a los diferentes usos de sus clientes, así como servicios y soluciones para mejorar la eficacia del transporte. Michelin ofrece igualmente a sus clientes experiencias únicas en sus viajes y desplazamientos. Michelin desarrolla también materiales de alta tecnología para diversas utilizaciones. Con sede en Clermont-Ferrand (Francia), Michelin está presente en 170 países, emplea a más de 123.600 personas y dispone de 71 centros de producción de neumáticos que en 2020 han fabricado 170 millones de neumáticos (</w:t>
      </w:r>
      <w:hyperlink r:id="rId9">
        <w:r>
          <w:rPr>
            <w:rStyle w:val="EnlacedeInternet"/>
            <w:rFonts w:ascii="Arial" w:hAnsi="Arial" w:cs="Arial"/>
            <w:iCs/>
            <w:sz w:val="16"/>
            <w:szCs w:val="16"/>
            <w:lang w:val="es-ES"/>
          </w:rPr>
          <w:t>www.michelin.es</w:t>
        </w:r>
      </w:hyperlink>
      <w:r>
        <w:rPr>
          <w:rFonts w:ascii="Arial" w:hAnsi="Arial" w:cs="Arial"/>
          <w:iCs/>
          <w:sz w:val="16"/>
          <w:szCs w:val="16"/>
          <w:lang w:val="es-ES"/>
        </w:rPr>
        <w:t>).</w:t>
      </w:r>
    </w:p>
    <w:p w:rsidR="001D254B" w:rsidRDefault="001D254B">
      <w:pPr>
        <w:ind w:right="1394"/>
        <w:jc w:val="both"/>
        <w:rPr>
          <w:rFonts w:ascii="Arial" w:hAnsi="Arial" w:cs="Arial"/>
          <w:i/>
          <w:sz w:val="16"/>
          <w:szCs w:val="16"/>
          <w:lang w:val="es-ES"/>
        </w:rPr>
      </w:pPr>
    </w:p>
    <w:p w:rsidR="001D254B" w:rsidRDefault="001D254B">
      <w:pPr>
        <w:ind w:right="1394"/>
        <w:jc w:val="both"/>
        <w:rPr>
          <w:rFonts w:ascii="Arial" w:hAnsi="Arial" w:cs="Arial"/>
          <w:sz w:val="16"/>
          <w:szCs w:val="16"/>
          <w:lang w:val="es-ES"/>
        </w:rPr>
      </w:pPr>
    </w:p>
    <w:p w:rsidR="001D254B" w:rsidRDefault="00C308EB">
      <w:pPr>
        <w:tabs>
          <w:tab w:val="left" w:pos="2192"/>
        </w:tabs>
        <w:ind w:right="1394"/>
        <w:jc w:val="both"/>
        <w:rPr>
          <w:rFonts w:ascii="Arial" w:hAnsi="Arial" w:cs="Arial"/>
          <w:lang w:val="es-ES"/>
        </w:rPr>
      </w:pPr>
      <w:r>
        <w:rPr>
          <w:rFonts w:ascii="Arial" w:hAnsi="Arial" w:cs="Arial"/>
          <w:sz w:val="16"/>
          <w:szCs w:val="16"/>
          <w:lang w:val="es-ES"/>
        </w:rPr>
        <w:tab/>
      </w:r>
    </w:p>
    <w:p w:rsidR="001D254B" w:rsidRDefault="001D254B">
      <w:pPr>
        <w:ind w:right="1394"/>
        <w:rPr>
          <w:rFonts w:ascii="Arial" w:hAnsi="Arial" w:cs="Arial"/>
          <w:lang w:val="es-ES"/>
        </w:rPr>
      </w:pPr>
    </w:p>
    <w:p w:rsidR="001D254B" w:rsidRDefault="001D254B">
      <w:pPr>
        <w:ind w:right="1394"/>
        <w:rPr>
          <w:rFonts w:ascii="Arial" w:hAnsi="Arial" w:cs="Arial"/>
          <w:lang w:val="es-ES"/>
        </w:rPr>
      </w:pPr>
    </w:p>
    <w:p w:rsidR="001D254B" w:rsidRDefault="001D254B">
      <w:pPr>
        <w:ind w:right="1394"/>
        <w:rPr>
          <w:rFonts w:ascii="Arial" w:hAnsi="Arial" w:cs="Arial"/>
          <w:lang w:val="es-ES"/>
        </w:rPr>
      </w:pPr>
    </w:p>
    <w:p w:rsidR="001D254B" w:rsidRDefault="001D254B">
      <w:pPr>
        <w:ind w:right="1394"/>
        <w:rPr>
          <w:rFonts w:ascii="Arial" w:hAnsi="Arial" w:cs="Arial"/>
          <w:lang w:val="es-ES"/>
        </w:rPr>
      </w:pPr>
    </w:p>
    <w:p w:rsidR="001D254B" w:rsidRDefault="00C308EB">
      <w:pPr>
        <w:spacing w:line="276" w:lineRule="auto"/>
        <w:ind w:right="1394"/>
        <w:jc w:val="center"/>
        <w:rPr>
          <w:rFonts w:ascii="Arial" w:hAnsi="Arial" w:cs="Arial"/>
          <w:sz w:val="28"/>
          <w:szCs w:val="28"/>
          <w:lang w:val="es-ES"/>
        </w:rPr>
      </w:pPr>
      <w:r>
        <w:rPr>
          <w:rFonts w:ascii="Arial" w:hAnsi="Arial" w:cs="Arial"/>
          <w:sz w:val="28"/>
          <w:szCs w:val="28"/>
          <w:lang w:val="es-ES"/>
        </w:rPr>
        <w:t xml:space="preserve">DEPARTAMENTO DE COMUNICACIÓN </w:t>
      </w:r>
    </w:p>
    <w:p w:rsidR="001D254B" w:rsidRDefault="00C308EB">
      <w:pPr>
        <w:tabs>
          <w:tab w:val="left" w:pos="2780"/>
          <w:tab w:val="center" w:pos="4513"/>
        </w:tabs>
        <w:spacing w:line="276" w:lineRule="auto"/>
        <w:ind w:right="1394"/>
        <w:jc w:val="center"/>
        <w:rPr>
          <w:rFonts w:ascii="Arial" w:hAnsi="Arial" w:cs="Arial"/>
          <w:b/>
          <w:bCs/>
          <w:sz w:val="28"/>
          <w:szCs w:val="28"/>
          <w:lang w:val="es-ES"/>
        </w:rPr>
      </w:pPr>
      <w:r>
        <w:rPr>
          <w:rFonts w:ascii="Arial" w:hAnsi="Arial" w:cs="Arial"/>
          <w:b/>
          <w:bCs/>
          <w:sz w:val="28"/>
          <w:szCs w:val="28"/>
          <w:lang w:val="es-ES"/>
        </w:rPr>
        <w:t>+34 630 086 682</w:t>
      </w:r>
    </w:p>
    <w:p w:rsidR="001D254B" w:rsidRDefault="00023A5F">
      <w:pPr>
        <w:spacing w:line="276" w:lineRule="auto"/>
        <w:ind w:right="1394"/>
        <w:jc w:val="center"/>
        <w:rPr>
          <w:rFonts w:ascii="Arial" w:hAnsi="Arial" w:cs="Arial"/>
          <w:sz w:val="28"/>
          <w:szCs w:val="28"/>
          <w:lang w:val="es-ES"/>
        </w:rPr>
      </w:pPr>
      <w:hyperlink r:id="rId10">
        <w:r w:rsidR="00C308EB">
          <w:rPr>
            <w:rStyle w:val="EnlacedeInternet"/>
            <w:rFonts w:ascii="Arial" w:hAnsi="Arial" w:cs="Arial"/>
            <w:sz w:val="28"/>
            <w:szCs w:val="28"/>
            <w:lang w:val="es-ES"/>
          </w:rPr>
          <w:t>monica.rius-aymami@michelin.com</w:t>
        </w:r>
      </w:hyperlink>
    </w:p>
    <w:p w:rsidR="001D254B" w:rsidRDefault="00C308EB">
      <w:pPr>
        <w:ind w:right="1394"/>
        <w:jc w:val="center"/>
        <w:rPr>
          <w:rFonts w:ascii="Arial" w:hAnsi="Arial" w:cs="Arial"/>
          <w:lang w:val="es-ES"/>
        </w:rPr>
      </w:pPr>
      <w:r>
        <w:rPr>
          <w:noProof/>
          <w:lang w:val="es-ES_tradnl" w:eastAsia="es-ES_tradnl"/>
        </w:rPr>
        <w:drawing>
          <wp:inline distT="0" distB="0" distL="0" distR="0">
            <wp:extent cx="1612265" cy="177800"/>
            <wp:effectExtent l="0" t="0" r="0" b="0"/>
            <wp:docPr id="4"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75"/>
                    <pic:cNvPicPr>
                      <a:picLocks noChangeAspect="1" noChangeArrowheads="1"/>
                    </pic:cNvPicPr>
                  </pic:nvPicPr>
                  <pic:blipFill>
                    <a:blip r:embed="rId11"/>
                    <a:srcRect l="39647" t="44156" r="38838" b="49465"/>
                    <a:stretch>
                      <a:fillRect/>
                    </a:stretch>
                  </pic:blipFill>
                  <pic:spPr bwMode="auto">
                    <a:xfrm>
                      <a:off x="0" y="0"/>
                      <a:ext cx="1612265" cy="177800"/>
                    </a:xfrm>
                    <a:prstGeom prst="rect">
                      <a:avLst/>
                    </a:prstGeom>
                  </pic:spPr>
                </pic:pic>
              </a:graphicData>
            </a:graphic>
          </wp:inline>
        </w:drawing>
      </w:r>
    </w:p>
    <w:tbl>
      <w:tblPr>
        <w:tblStyle w:val="Tablaconcuadrcula"/>
        <w:tblW w:w="9016" w:type="dxa"/>
        <w:tblLayout w:type="fixed"/>
        <w:tblLook w:val="04A0" w:firstRow="1" w:lastRow="0" w:firstColumn="1" w:lastColumn="0" w:noHBand="0" w:noVBand="1"/>
      </w:tblPr>
      <w:tblGrid>
        <w:gridCol w:w="9016"/>
      </w:tblGrid>
      <w:tr w:rsidR="001D254B">
        <w:tc>
          <w:tcPr>
            <w:tcW w:w="9016" w:type="dxa"/>
            <w:tcBorders>
              <w:top w:val="nil"/>
              <w:left w:val="nil"/>
              <w:bottom w:val="nil"/>
              <w:right w:val="nil"/>
            </w:tcBorders>
          </w:tcPr>
          <w:p w:rsidR="001D254B" w:rsidRDefault="00C308EB">
            <w:pPr>
              <w:widowControl w:val="0"/>
              <w:ind w:right="1394"/>
              <w:jc w:val="center"/>
              <w:rPr>
                <w:rFonts w:ascii="Arial" w:hAnsi="Arial" w:cs="Arial"/>
                <w:color w:val="08519D"/>
                <w:lang w:val="es-ES"/>
              </w:rPr>
            </w:pPr>
            <w:r>
              <w:rPr>
                <w:rFonts w:ascii="Arial" w:eastAsia="Calibri" w:hAnsi="Arial" w:cs="Arial"/>
                <w:lang w:val="es-ES"/>
              </w:rPr>
              <w:t xml:space="preserve">                        </w:t>
            </w:r>
            <w:hyperlink r:id="rId12">
              <w:r>
                <w:rPr>
                  <w:rStyle w:val="EnlacedeInternet"/>
                  <w:rFonts w:ascii="Arial" w:eastAsia="Calibri" w:hAnsi="Arial" w:cs="Arial"/>
                  <w:lang w:val="es-ES"/>
                </w:rPr>
                <w:t>www.michelin.es</w:t>
              </w:r>
            </w:hyperlink>
          </w:p>
        </w:tc>
      </w:tr>
      <w:tr w:rsidR="001D254B">
        <w:tc>
          <w:tcPr>
            <w:tcW w:w="9016" w:type="dxa"/>
            <w:tcBorders>
              <w:top w:val="nil"/>
              <w:left w:val="nil"/>
              <w:bottom w:val="nil"/>
              <w:right w:val="nil"/>
            </w:tcBorders>
          </w:tcPr>
          <w:p w:rsidR="001D254B" w:rsidRDefault="00C308EB">
            <w:pPr>
              <w:widowControl w:val="0"/>
              <w:ind w:right="1394"/>
              <w:jc w:val="center"/>
              <w:rPr>
                <w:rFonts w:ascii="Arial" w:hAnsi="Arial" w:cs="Arial"/>
                <w:color w:val="08519D"/>
                <w:lang w:val="es-ES"/>
              </w:rPr>
            </w:pPr>
            <w:r>
              <w:rPr>
                <w:rFonts w:ascii="Arial" w:eastAsia="Calibri" w:hAnsi="Arial" w:cs="Arial"/>
                <w:color w:val="08519D"/>
                <w:lang w:val="es-ES"/>
              </w:rPr>
              <w:t xml:space="preserve">                   </w:t>
            </w:r>
            <w:r>
              <w:rPr>
                <w:noProof/>
                <w:lang w:val="es-ES_tradnl" w:eastAsia="es-ES_tradnl"/>
              </w:rPr>
              <w:drawing>
                <wp:inline distT="0" distB="0" distL="0" distR="0">
                  <wp:extent cx="214630" cy="174625"/>
                  <wp:effectExtent l="0" t="0" r="0" b="0"/>
                  <wp:docPr id="5"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1"/>
                          <pic:cNvPicPr>
                            <a:picLocks noChangeAspect="1" noChangeArrowheads="1"/>
                          </pic:cNvPicPr>
                        </pic:nvPicPr>
                        <pic:blipFill>
                          <a:blip r:embed="rId13"/>
                          <a:srcRect l="39987" t="61480" r="57109" b="32162"/>
                          <a:stretch>
                            <a:fillRect/>
                          </a:stretch>
                        </pic:blipFill>
                        <pic:spPr bwMode="auto">
                          <a:xfrm>
                            <a:off x="0" y="0"/>
                            <a:ext cx="214630" cy="174625"/>
                          </a:xfrm>
                          <a:prstGeom prst="rect">
                            <a:avLst/>
                          </a:prstGeom>
                        </pic:spPr>
                      </pic:pic>
                    </a:graphicData>
                  </a:graphic>
                </wp:inline>
              </w:drawing>
            </w:r>
            <w:r>
              <w:rPr>
                <w:rFonts w:ascii="Arial" w:eastAsia="Calibri" w:hAnsi="Arial" w:cs="Arial"/>
                <w:color w:val="08519D"/>
                <w:lang w:val="es-ES"/>
              </w:rPr>
              <w:t xml:space="preserve"> @</w:t>
            </w:r>
            <w:proofErr w:type="spellStart"/>
            <w:r>
              <w:rPr>
                <w:rFonts w:ascii="Arial" w:eastAsia="Calibri" w:hAnsi="Arial" w:cs="Arial"/>
                <w:color w:val="08519D"/>
                <w:lang w:val="es-ES"/>
              </w:rPr>
              <w:t>MichelinPress</w:t>
            </w:r>
            <w:proofErr w:type="spellEnd"/>
          </w:p>
        </w:tc>
      </w:tr>
    </w:tbl>
    <w:p w:rsidR="001D254B" w:rsidRDefault="001D254B">
      <w:pPr>
        <w:ind w:right="1394"/>
        <w:jc w:val="center"/>
        <w:rPr>
          <w:rFonts w:ascii="Arial" w:hAnsi="Arial" w:cs="Arial"/>
          <w:lang w:val="es-ES"/>
        </w:rPr>
      </w:pPr>
    </w:p>
    <w:p w:rsidR="001D254B" w:rsidRDefault="00C308EB">
      <w:pPr>
        <w:ind w:right="1394"/>
        <w:jc w:val="center"/>
        <w:rPr>
          <w:rFonts w:ascii="Arial" w:hAnsi="Arial" w:cs="Arial"/>
          <w:lang w:val="es-ES"/>
        </w:rPr>
      </w:pPr>
      <w:r>
        <w:rPr>
          <w:rFonts w:ascii="Arial" w:hAnsi="Arial" w:cs="Arial"/>
          <w:lang w:val="es-ES"/>
        </w:rPr>
        <w:t>Ronda de Poniente, 6 – 28760 Tres Cantos – Madrid. ESPAÑA</w:t>
      </w:r>
    </w:p>
    <w:p w:rsidR="001D254B" w:rsidRDefault="001D254B">
      <w:pPr>
        <w:ind w:right="1394"/>
        <w:jc w:val="center"/>
        <w:rPr>
          <w:rFonts w:ascii="Arial" w:hAnsi="Arial" w:cs="Arial"/>
          <w:lang w:val="es-ES"/>
        </w:rPr>
      </w:pPr>
    </w:p>
    <w:p w:rsidR="001D254B" w:rsidRDefault="001D254B">
      <w:pPr>
        <w:ind w:right="1394"/>
        <w:jc w:val="center"/>
        <w:rPr>
          <w:rFonts w:ascii="Arial" w:hAnsi="Arial" w:cs="Arial"/>
          <w:lang w:val="es-ES"/>
        </w:rPr>
      </w:pPr>
    </w:p>
    <w:sectPr w:rsidR="001D254B">
      <w:headerReference w:type="default" r:id="rId14"/>
      <w:headerReference w:type="first" r:id="rId15"/>
      <w:pgSz w:w="11906" w:h="16838"/>
      <w:pgMar w:top="2056" w:right="120" w:bottom="1440" w:left="1440" w:header="202" w:footer="0" w:gutter="0"/>
      <w:pgBorders w:offsetFrom="page">
        <w:top w:val="single" w:sz="48" w:space="0" w:color="BD2333"/>
        <w:left w:val="single" w:sz="48" w:space="0" w:color="BD2333"/>
        <w:bottom w:val="single" w:sz="48" w:space="0" w:color="BD2333"/>
        <w:right w:val="single" w:sz="48" w:space="0" w:color="BD2333"/>
      </w:pgBorders>
      <w:pgNumType w:start="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8EB" w:rsidRDefault="00C308EB">
      <w:r>
        <w:separator/>
      </w:r>
    </w:p>
  </w:endnote>
  <w:endnote w:type="continuationSeparator" w:id="0">
    <w:p w:rsidR="00C308EB" w:rsidRDefault="00C3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Utopia">
    <w:altName w:val="Times New Roman"/>
    <w:charset w:val="00"/>
    <w:family w:val="roman"/>
    <w:pitch w:val="variable"/>
  </w:font>
  <w:font w:name="Michelin Unit Titling">
    <w:panose1 w:val="02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8EB" w:rsidRDefault="00C308EB">
      <w:r>
        <w:separator/>
      </w:r>
    </w:p>
  </w:footnote>
  <w:footnote w:type="continuationSeparator" w:id="0">
    <w:p w:rsidR="00C308EB" w:rsidRDefault="00C30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4B" w:rsidRDefault="00C308EB">
    <w:pPr>
      <w:pStyle w:val="Encabezado"/>
      <w:ind w:left="-1418"/>
      <w:rPr>
        <w:rFonts w:ascii="Michelin Unit Titling" w:hAnsi="Michelin Unit Titling"/>
        <w:color w:val="404040" w:themeColor="text1" w:themeTint="BF"/>
      </w:rPr>
    </w:pPr>
    <w:r>
      <w:rPr>
        <w:noProof/>
        <w:lang w:val="es-ES_tradnl" w:eastAsia="es-ES_tradnl"/>
      </w:rPr>
      <w:drawing>
        <wp:inline distT="0" distB="0" distL="0" distR="0">
          <wp:extent cx="7549515" cy="1028065"/>
          <wp:effectExtent l="0" t="0" r="0" b="0"/>
          <wp:docPr id="6"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descr="Une image contenant texte&#10;&#10;Description générée automatiquement"/>
                  <pic:cNvPicPr>
                    <a:picLocks noChangeAspect="1" noChangeArrowheads="1"/>
                  </pic:cNvPicPr>
                </pic:nvPicPr>
                <pic:blipFill>
                  <a:blip r:embed="rId1"/>
                  <a:srcRect b="52362"/>
                  <a:stretch>
                    <a:fillRect/>
                  </a:stretch>
                </pic:blipFill>
                <pic:spPr bwMode="auto">
                  <a:xfrm>
                    <a:off x="0" y="0"/>
                    <a:ext cx="7549515" cy="10280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54B" w:rsidRDefault="00C308EB">
    <w:pPr>
      <w:pStyle w:val="Encabezado"/>
      <w:ind w:left="-1418"/>
    </w:pPr>
    <w:r>
      <w:rPr>
        <w:noProof/>
        <w:lang w:val="es-ES_tradnl" w:eastAsia="es-ES_tradnl"/>
      </w:rPr>
      <mc:AlternateContent>
        <mc:Choice Requires="wps">
          <w:drawing>
            <wp:anchor distT="0" distB="0" distL="0" distR="0" simplePos="0" relativeHeight="5" behindDoc="1" locked="0" layoutInCell="0" allowOverlap="1" wp14:anchorId="4B733FC9">
              <wp:simplePos x="0" y="0"/>
              <wp:positionH relativeFrom="page">
                <wp:posOffset>2207895</wp:posOffset>
              </wp:positionH>
              <wp:positionV relativeFrom="paragraph">
                <wp:posOffset>615950</wp:posOffset>
              </wp:positionV>
              <wp:extent cx="2973070" cy="393065"/>
              <wp:effectExtent l="0" t="0" r="0" b="8255"/>
              <wp:wrapNone/>
              <wp:docPr id="7" name="Text Box 4"/>
              <wp:cNvGraphicFramePr/>
              <a:graphic xmlns:a="http://schemas.openxmlformats.org/drawingml/2006/main">
                <a:graphicData uri="http://schemas.microsoft.com/office/word/2010/wordprocessingShape">
                  <wps:wsp>
                    <wps:cNvSpPr/>
                    <wps:spPr>
                      <a:xfrm>
                        <a:off x="0" y="0"/>
                        <a:ext cx="2972520" cy="3924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rsidR="001D254B" w:rsidRDefault="00C308EB">
                          <w:pPr>
                            <w:pStyle w:val="Contenidodelmarco"/>
                            <w:jc w:val="center"/>
                            <w:rPr>
                              <w:rFonts w:ascii="Michelin Unit Titling" w:hAnsi="Michelin Unit Titling"/>
                              <w:color w:val="575757"/>
                              <w:lang w:val="es-ES"/>
                            </w:rPr>
                          </w:pPr>
                          <w:r>
                            <w:rPr>
                              <w:rFonts w:ascii="Michelin Unit Titling" w:hAnsi="Michelin Unit Titling"/>
                              <w:color w:val="575757"/>
                              <w:lang w:val="es-ES"/>
                            </w:rPr>
                            <w:t>Información de prensa</w:t>
                          </w:r>
                        </w:p>
                      </w:txbxContent>
                    </wps:txbx>
                    <wps:bodyPr>
                      <a:noAutofit/>
                    </wps:bodyPr>
                  </wps:wsp>
                </a:graphicData>
              </a:graphic>
            </wp:anchor>
          </w:drawing>
        </mc:Choice>
        <mc:Fallback>
          <w:pict>
            <v:rect w14:anchorId="4B733FC9" id="Text Box 4" o:spid="_x0000_s1027" style="position:absolute;left:0;text-align:left;margin-left:173.85pt;margin-top:48.5pt;width:234.1pt;height:30.95pt;z-index:-50331647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" o:allowincell="f" fillcolor="white [3201]" stroked="f" strokeweight=".5pt">
              <v:textbox>
                <w:txbxContent>
                  <w:p w:rsidR="001D254B" w:rsidRDefault="00C308EB">
                    <w:pPr>
                      <w:pStyle w:val="Contenidodelmarco"/>
                      <w:jc w:val="center"/>
                      <w:rPr>
                        <w:rFonts w:ascii="Michelin Unit Titling" w:hAnsi="Michelin Unit Titling"/>
                        <w:color w:val="575757"/>
                        <w:lang w:val="es-ES"/>
                      </w:rPr>
                    </w:pPr>
                    <w:r>
                      <w:rPr>
                        <w:rFonts w:ascii="Michelin Unit Titling" w:hAnsi="Michelin Unit Titling"/>
                        <w:color w:val="575757"/>
                        <w:lang w:val="es-ES"/>
                      </w:rPr>
                      <w:t>Información de prensa</w:t>
                    </w:r>
                  </w:p>
                </w:txbxContent>
              </v:textbox>
              <w10:wrap anchorx="page"/>
            </v:rect>
          </w:pict>
        </mc:Fallback>
      </mc:AlternateContent>
    </w:r>
    <w:r>
      <w:rPr>
        <w:noProof/>
        <w:lang w:val="es-ES_tradnl" w:eastAsia="es-ES_tradnl"/>
      </w:rPr>
      <w:drawing>
        <wp:anchor distT="0" distB="0" distL="114300" distR="114300" simplePos="0" relativeHeight="4" behindDoc="1" locked="0" layoutInCell="0" allowOverlap="1">
          <wp:simplePos x="0" y="0"/>
          <wp:positionH relativeFrom="column">
            <wp:posOffset>1294765</wp:posOffset>
          </wp:positionH>
          <wp:positionV relativeFrom="paragraph">
            <wp:posOffset>-16510</wp:posOffset>
          </wp:positionV>
          <wp:extent cx="2755900" cy="748665"/>
          <wp:effectExtent l="0" t="0" r="0" b="0"/>
          <wp:wrapSquare wrapText="bothSides"/>
          <wp:docPr id="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3"/>
                  <pic:cNvPicPr>
                    <a:picLocks noChangeAspect="1" noChangeArrowheads="1"/>
                  </pic:cNvPicPr>
                </pic:nvPicPr>
                <pic:blipFill>
                  <a:blip r:embed="rId1"/>
                  <a:stretch>
                    <a:fillRect/>
                  </a:stretch>
                </pic:blipFill>
                <pic:spPr bwMode="auto">
                  <a:xfrm>
                    <a:off x="0" y="0"/>
                    <a:ext cx="2755900" cy="7486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B6B51"/>
    <w:multiLevelType w:val="hybridMultilevel"/>
    <w:tmpl w:val="8AF6AA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2965EB4"/>
    <w:multiLevelType w:val="multilevel"/>
    <w:tmpl w:val="C93CAD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EC72411"/>
    <w:multiLevelType w:val="multilevel"/>
    <w:tmpl w:val="D56C49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4B"/>
    <w:rsid w:val="00023A5F"/>
    <w:rsid w:val="000D4ACD"/>
    <w:rsid w:val="001D254B"/>
    <w:rsid w:val="003B25B7"/>
    <w:rsid w:val="00465E4F"/>
    <w:rsid w:val="006C5C03"/>
    <w:rsid w:val="00723117"/>
    <w:rsid w:val="00C308EB"/>
    <w:rsid w:val="00FC34F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DA4C6D-A041-4336-B51A-9C9AB986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F24D98"/>
  </w:style>
  <w:style w:type="character" w:customStyle="1" w:styleId="PiedepginaCar">
    <w:name w:val="Pie de página Car"/>
    <w:basedOn w:val="Fuentedeprrafopredeter"/>
    <w:link w:val="Piedepgina"/>
    <w:uiPriority w:val="99"/>
    <w:qFormat/>
    <w:rsid w:val="00F24D98"/>
  </w:style>
  <w:style w:type="character" w:customStyle="1" w:styleId="SinespaciadoCar">
    <w:name w:val="Sin espaciado Car"/>
    <w:basedOn w:val="Fuentedeprrafopredeter"/>
    <w:link w:val="Sinespaciado"/>
    <w:uiPriority w:val="1"/>
    <w:qFormat/>
    <w:rsid w:val="00C53F0C"/>
    <w:rPr>
      <w:rFonts w:eastAsiaTheme="minorEastAsia"/>
      <w:sz w:val="22"/>
      <w:szCs w:val="22"/>
      <w:lang w:val="en-US" w:eastAsia="zh-CN"/>
    </w:rPr>
  </w:style>
  <w:style w:type="character" w:customStyle="1" w:styleId="EnlacedeInternet">
    <w:name w:val="Enlace de Internet"/>
    <w:basedOn w:val="Fuentedeprrafopredeter"/>
    <w:uiPriority w:val="99"/>
    <w:unhideWhenUsed/>
    <w:rsid w:val="00A5237A"/>
    <w:rPr>
      <w:color w:val="0000FF"/>
      <w:u w:val="single"/>
    </w:rPr>
  </w:style>
  <w:style w:type="character" w:customStyle="1" w:styleId="normaltextrun">
    <w:name w:val="normaltextrun"/>
    <w:basedOn w:val="Fuentedeprrafopredeter"/>
    <w:qFormat/>
    <w:rsid w:val="00FA5F7A"/>
  </w:style>
  <w:style w:type="character" w:customStyle="1" w:styleId="UnresolvedMention">
    <w:name w:val="Unresolved Mention"/>
    <w:basedOn w:val="Fuentedeprrafopredeter"/>
    <w:uiPriority w:val="99"/>
    <w:semiHidden/>
    <w:unhideWhenUsed/>
    <w:qFormat/>
    <w:rsid w:val="00FA5F7A"/>
    <w:rPr>
      <w:color w:val="605E5C"/>
      <w:shd w:val="clear" w:color="auto" w:fill="E1DFDD"/>
    </w:rPr>
  </w:style>
  <w:style w:type="character" w:customStyle="1" w:styleId="EnlacedeInternetvisitado">
    <w:name w:val="Enlace de Internet visitado"/>
    <w:basedOn w:val="Fuentedeprrafopredeter"/>
    <w:uiPriority w:val="99"/>
    <w:semiHidden/>
    <w:unhideWhenUsed/>
    <w:rsid w:val="00FA5F7A"/>
    <w:rPr>
      <w:color w:val="954F72" w:themeColor="followedHyperlink"/>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F24D98"/>
    <w:pPr>
      <w:tabs>
        <w:tab w:val="center" w:pos="4513"/>
        <w:tab w:val="right" w:pos="9026"/>
      </w:tabs>
    </w:pPr>
  </w:style>
  <w:style w:type="paragraph" w:styleId="Piedepgina">
    <w:name w:val="footer"/>
    <w:basedOn w:val="Normal"/>
    <w:link w:val="PiedepginaCar"/>
    <w:uiPriority w:val="99"/>
    <w:unhideWhenUsed/>
    <w:rsid w:val="00F24D98"/>
    <w:pPr>
      <w:tabs>
        <w:tab w:val="center" w:pos="4513"/>
        <w:tab w:val="right" w:pos="9026"/>
      </w:tabs>
    </w:pPr>
  </w:style>
  <w:style w:type="paragraph" w:styleId="Sinespaciado">
    <w:name w:val="No Spacing"/>
    <w:link w:val="SinespaciadoCar"/>
    <w:uiPriority w:val="1"/>
    <w:qFormat/>
    <w:rsid w:val="00C53F0C"/>
    <w:rPr>
      <w:rFonts w:ascii="Calibri" w:eastAsiaTheme="minorEastAsia" w:hAnsi="Calibri"/>
      <w:sz w:val="22"/>
      <w:szCs w:val="22"/>
      <w:lang w:val="en-US" w:eastAsia="zh-CN"/>
    </w:rPr>
  </w:style>
  <w:style w:type="paragraph" w:styleId="Prrafodelista">
    <w:name w:val="List Paragraph"/>
    <w:basedOn w:val="Normal"/>
    <w:uiPriority w:val="34"/>
    <w:qFormat/>
    <w:rsid w:val="00FA5F7A"/>
    <w:pPr>
      <w:ind w:left="720"/>
      <w:contextualSpacing/>
    </w:pPr>
    <w:rPr>
      <w:rFonts w:ascii="Utopia" w:eastAsia="Times New Roman" w:hAnsi="Utopia" w:cs="Times New Roman"/>
      <w:sz w:val="20"/>
      <w:szCs w:val="20"/>
      <w:lang w:eastAsia="fr-FR"/>
    </w:rPr>
  </w:style>
  <w:style w:type="paragraph" w:customStyle="1" w:styleId="Contenidodelmarco">
    <w:name w:val="Contenido del marco"/>
    <w:basedOn w:val="Normal"/>
    <w:qFormat/>
  </w:style>
  <w:style w:type="table" w:styleId="Tablaconcuadrcula">
    <w:name w:val="Table Grid"/>
    <w:basedOn w:val="Tablanormal"/>
    <w:uiPriority w:val="39"/>
    <w:rsid w:val="00A5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h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onica.rius-aymami@michelin.com" TargetMode="External"/><Relationship Id="rId4" Type="http://schemas.openxmlformats.org/officeDocument/2006/relationships/settings" Target="settings.xml"/><Relationship Id="rId9" Type="http://schemas.openxmlformats.org/officeDocument/2006/relationships/hyperlink" Target="http://www.michelin.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7D75-8E8F-408C-8A50-441CC57FC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1524</Words>
  <Characters>8370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Alberto Lopez</cp:lastModifiedBy>
  <cp:revision>25</cp:revision>
  <dcterms:created xsi:type="dcterms:W3CDTF">2021-02-16T11:07:00Z</dcterms:created>
  <dcterms:modified xsi:type="dcterms:W3CDTF">2022-03-14T08:43:00Z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