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895E83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895E83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895E83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895E83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895E83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895E83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895E83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0994734A" w:rsidR="006D398C" w:rsidRPr="00895E83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895E83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895E83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832D78">
        <w:rPr>
          <w:rFonts w:ascii="Arial" w:hAnsi="Arial" w:cs="Arial"/>
          <w:sz w:val="20"/>
          <w:szCs w:val="20"/>
          <w:lang w:val="es-ES"/>
        </w:rPr>
        <w:t>26</w:t>
      </w:r>
      <w:r w:rsidR="00BE269E" w:rsidRPr="00895E83">
        <w:rPr>
          <w:rFonts w:ascii="Arial" w:hAnsi="Arial" w:cs="Arial"/>
          <w:sz w:val="20"/>
          <w:szCs w:val="20"/>
          <w:lang w:val="es-ES"/>
        </w:rPr>
        <w:t xml:space="preserve"> de </w:t>
      </w:r>
      <w:r w:rsidR="00C81551">
        <w:rPr>
          <w:rFonts w:ascii="Arial" w:hAnsi="Arial" w:cs="Arial"/>
          <w:sz w:val="20"/>
          <w:szCs w:val="20"/>
          <w:lang w:val="es-ES"/>
        </w:rPr>
        <w:t>abr</w:t>
      </w:r>
      <w:r w:rsidR="00825FE8">
        <w:rPr>
          <w:rFonts w:ascii="Arial" w:hAnsi="Arial" w:cs="Arial"/>
          <w:sz w:val="20"/>
          <w:szCs w:val="20"/>
          <w:lang w:val="es-ES"/>
        </w:rPr>
        <w:t>il</w:t>
      </w:r>
      <w:r w:rsidR="006D398C" w:rsidRPr="00895E83">
        <w:rPr>
          <w:rFonts w:ascii="Arial" w:hAnsi="Arial" w:cs="Arial"/>
          <w:sz w:val="20"/>
          <w:szCs w:val="20"/>
          <w:lang w:val="es-ES"/>
        </w:rPr>
        <w:t>, 202</w:t>
      </w:r>
      <w:r w:rsidR="00C81551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895E83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895E83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61826BA5" w:rsidR="006D398C" w:rsidRPr="00895E83" w:rsidRDefault="00832D78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Información financiera a 3</w:t>
          </w:r>
          <w:r w:rsidR="00C81551">
            <w:rPr>
              <w:rFonts w:ascii="Arial" w:hAnsi="Arial" w:cs="Arial"/>
              <w:b/>
              <w:sz w:val="28"/>
              <w:szCs w:val="28"/>
              <w:lang w:val="es-ES"/>
            </w:rPr>
            <w:t>1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de </w:t>
          </w:r>
          <w:r w:rsidR="00C81551">
            <w:rPr>
              <w:rFonts w:ascii="Arial" w:hAnsi="Arial" w:cs="Arial"/>
              <w:b/>
              <w:sz w:val="28"/>
              <w:szCs w:val="28"/>
              <w:lang w:val="es-ES"/>
            </w:rPr>
            <w:t>marzo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de 202</w:t>
          </w:r>
          <w:r w:rsidR="00C81551">
            <w:rPr>
              <w:rFonts w:ascii="Arial" w:hAnsi="Arial" w:cs="Arial"/>
              <w:b/>
              <w:sz w:val="28"/>
              <w:szCs w:val="28"/>
              <w:lang w:val="es-ES"/>
            </w:rPr>
            <w:t>2</w:t>
          </w:r>
        </w:p>
        <w:p w14:paraId="5614BB42" w14:textId="274536E7" w:rsidR="006D398C" w:rsidRPr="00895E83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25580CFE" w14:textId="2545CB3C" w:rsidR="00523432" w:rsidRDefault="00AF4624" w:rsidP="006D398C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AF4624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En un entorno problemático, las ventas del primer trimestre de 2022 ascendieron a 6.500 millones de euros, un 19 % más</w:t>
          </w:r>
        </w:p>
        <w:p w14:paraId="3A745765" w14:textId="77777777" w:rsidR="00AF4624" w:rsidRDefault="00AF4624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3449DF2" w14:textId="6ABEB587" w:rsidR="00EA6745" w:rsidRPr="00EA6745" w:rsidRDefault="00EA6745" w:rsidP="00EA67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EA6745">
            <w:rPr>
              <w:rFonts w:ascii="Arial" w:hAnsi="Arial" w:cs="Arial"/>
              <w:sz w:val="20"/>
              <w:szCs w:val="20"/>
              <w:lang w:val="es-ES"/>
            </w:rPr>
            <w:t>En el primer trimestre de 2022, l</w:t>
          </w:r>
          <w:r w:rsidR="006438A5">
            <w:rPr>
              <w:rFonts w:ascii="Arial" w:hAnsi="Arial" w:cs="Arial"/>
              <w:sz w:val="20"/>
              <w:szCs w:val="20"/>
              <w:lang w:val="es-ES"/>
            </w:rPr>
            <w:t>o</w:t>
          </w:r>
          <w:r w:rsidRPr="00EA6745">
            <w:rPr>
              <w:rFonts w:ascii="Arial" w:hAnsi="Arial" w:cs="Arial"/>
              <w:sz w:val="20"/>
              <w:szCs w:val="20"/>
              <w:lang w:val="es-ES"/>
            </w:rPr>
            <w:t xml:space="preserve">s </w:t>
          </w:r>
          <w:r w:rsidR="006438A5">
            <w:rPr>
              <w:rFonts w:ascii="Arial" w:hAnsi="Arial" w:cs="Arial"/>
              <w:sz w:val="20"/>
              <w:szCs w:val="20"/>
              <w:lang w:val="es-ES"/>
            </w:rPr>
            <w:t>problemas</w:t>
          </w:r>
          <w:r w:rsidR="00E36D80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EA6745">
            <w:rPr>
              <w:rFonts w:ascii="Arial" w:hAnsi="Arial" w:cs="Arial"/>
              <w:sz w:val="20"/>
              <w:szCs w:val="20"/>
              <w:lang w:val="es-ES"/>
            </w:rPr>
            <w:t>operativ</w:t>
          </w:r>
          <w:r w:rsidR="00825FE8">
            <w:rPr>
              <w:rFonts w:ascii="Arial" w:hAnsi="Arial" w:cs="Arial"/>
              <w:sz w:val="20"/>
              <w:szCs w:val="20"/>
              <w:lang w:val="es-ES"/>
            </w:rPr>
            <w:t>o</w:t>
          </w:r>
          <w:r w:rsidRPr="00EA6745">
            <w:rPr>
              <w:rFonts w:ascii="Arial" w:hAnsi="Arial" w:cs="Arial"/>
              <w:sz w:val="20"/>
              <w:szCs w:val="20"/>
              <w:lang w:val="es-ES"/>
            </w:rPr>
            <w:t>s y las presiones inflacionarias se vieron exacerbadas por el conflicto en Ucrania y el resurgimiento de</w:t>
          </w:r>
          <w:r w:rsidR="006D68DB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EA6745">
            <w:rPr>
              <w:rFonts w:ascii="Arial" w:hAnsi="Arial" w:cs="Arial"/>
              <w:sz w:val="20"/>
              <w:szCs w:val="20"/>
              <w:lang w:val="es-ES"/>
            </w:rPr>
            <w:t>l</w:t>
          </w:r>
          <w:r w:rsidR="006D68DB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Pr="00EA6745">
            <w:rPr>
              <w:rFonts w:ascii="Arial" w:hAnsi="Arial" w:cs="Arial"/>
              <w:sz w:val="20"/>
              <w:szCs w:val="20"/>
              <w:lang w:val="es-ES"/>
            </w:rPr>
            <w:t xml:space="preserve"> C</w:t>
          </w:r>
          <w:r w:rsidR="006D68DB">
            <w:rPr>
              <w:rFonts w:ascii="Arial" w:hAnsi="Arial" w:cs="Arial"/>
              <w:sz w:val="20"/>
              <w:szCs w:val="20"/>
              <w:lang w:val="es-ES"/>
            </w:rPr>
            <w:t>OVID</w:t>
          </w:r>
          <w:r w:rsidRPr="00EA6745">
            <w:rPr>
              <w:rFonts w:ascii="Arial" w:hAnsi="Arial" w:cs="Arial"/>
              <w:sz w:val="20"/>
              <w:szCs w:val="20"/>
              <w:lang w:val="es-ES"/>
            </w:rPr>
            <w:t>-19 en China.</w:t>
          </w:r>
        </w:p>
        <w:p w14:paraId="6A6C2E18" w14:textId="77777777" w:rsidR="00EA6745" w:rsidRPr="00EA6745" w:rsidRDefault="00EA6745" w:rsidP="00EA67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EA6745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53313F1C" w14:textId="77777777" w:rsidR="00EA6745" w:rsidRPr="00EA6745" w:rsidRDefault="00EA6745" w:rsidP="00EA67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EA6745">
            <w:rPr>
              <w:rFonts w:ascii="Arial" w:hAnsi="Arial" w:cs="Arial"/>
              <w:sz w:val="20"/>
              <w:szCs w:val="20"/>
              <w:lang w:val="es-ES"/>
            </w:rPr>
            <w:t>En este contexto, los mercados registraron un aumento al cierre del primer trimestre:</w:t>
          </w:r>
        </w:p>
        <w:p w14:paraId="234F00B2" w14:textId="0B815771" w:rsidR="00EA6745" w:rsidRPr="00000BD6" w:rsidRDefault="00EA6745" w:rsidP="00000BD6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00BD6">
            <w:rPr>
              <w:rFonts w:ascii="Arial" w:hAnsi="Arial" w:cs="Arial"/>
              <w:lang w:val="es-ES"/>
            </w:rPr>
            <w:t>Los mercados de</w:t>
          </w:r>
          <w:r w:rsidR="000E00B4" w:rsidRPr="00000BD6">
            <w:rPr>
              <w:rFonts w:ascii="Arial" w:hAnsi="Arial" w:cs="Arial"/>
              <w:lang w:val="es-ES"/>
            </w:rPr>
            <w:t xml:space="preserve"> T</w:t>
          </w:r>
          <w:r w:rsidRPr="00000BD6">
            <w:rPr>
              <w:rFonts w:ascii="Arial" w:hAnsi="Arial" w:cs="Arial"/>
              <w:lang w:val="es-ES"/>
            </w:rPr>
            <w:t xml:space="preserve">urismo y </w:t>
          </w:r>
          <w:r w:rsidR="000E00B4" w:rsidRPr="00000BD6">
            <w:rPr>
              <w:rFonts w:ascii="Arial" w:hAnsi="Arial" w:cs="Arial"/>
              <w:lang w:val="es-ES"/>
            </w:rPr>
            <w:t>C</w:t>
          </w:r>
          <w:r w:rsidR="006438A5" w:rsidRPr="00000BD6">
            <w:rPr>
              <w:rFonts w:ascii="Arial" w:hAnsi="Arial" w:cs="Arial"/>
              <w:lang w:val="es-ES"/>
            </w:rPr>
            <w:t>amioneta</w:t>
          </w:r>
          <w:r w:rsidRPr="00000BD6">
            <w:rPr>
              <w:rFonts w:ascii="Arial" w:hAnsi="Arial" w:cs="Arial"/>
              <w:lang w:val="es-ES"/>
            </w:rPr>
            <w:t xml:space="preserve"> aumentan ligeramente un 2%</w:t>
          </w:r>
          <w:r w:rsidR="00000BD6">
            <w:rPr>
              <w:rFonts w:ascii="Arial" w:hAnsi="Arial" w:cs="Arial"/>
              <w:lang w:val="es-ES"/>
            </w:rPr>
            <w:t>.</w:t>
          </w:r>
          <w:r w:rsidRPr="00000BD6">
            <w:rPr>
              <w:rFonts w:ascii="Arial" w:hAnsi="Arial" w:cs="Arial"/>
              <w:lang w:val="es-ES"/>
            </w:rPr>
            <w:t xml:space="preserve"> </w:t>
          </w:r>
          <w:r w:rsidR="00000BD6">
            <w:rPr>
              <w:rFonts w:ascii="Arial" w:hAnsi="Arial" w:cs="Arial"/>
              <w:lang w:val="es-ES"/>
            </w:rPr>
            <w:t>E</w:t>
          </w:r>
          <w:r w:rsidRPr="00000BD6">
            <w:rPr>
              <w:rFonts w:ascii="Arial" w:hAnsi="Arial" w:cs="Arial"/>
              <w:lang w:val="es-ES"/>
            </w:rPr>
            <w:t>l dinamismo de Reemplazo compensa las dificultades operativas de los fabricantes</w:t>
          </w:r>
          <w:r w:rsidR="00E36D80">
            <w:rPr>
              <w:rFonts w:ascii="Arial" w:hAnsi="Arial" w:cs="Arial"/>
              <w:lang w:val="es-ES"/>
            </w:rPr>
            <w:t>.</w:t>
          </w:r>
        </w:p>
        <w:p w14:paraId="28DA793E" w14:textId="4799EE28" w:rsidR="00EA6745" w:rsidRPr="00000BD6" w:rsidRDefault="00EA6745" w:rsidP="00000BD6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00BD6">
            <w:rPr>
              <w:rFonts w:ascii="Arial" w:hAnsi="Arial" w:cs="Arial"/>
              <w:lang w:val="es-ES"/>
            </w:rPr>
            <w:t xml:space="preserve">Los mercados de </w:t>
          </w:r>
          <w:r w:rsidR="000E00B4" w:rsidRPr="00000BD6">
            <w:rPr>
              <w:rFonts w:ascii="Arial" w:hAnsi="Arial" w:cs="Arial"/>
              <w:lang w:val="es-ES"/>
            </w:rPr>
            <w:t>C</w:t>
          </w:r>
          <w:r w:rsidRPr="00000BD6">
            <w:rPr>
              <w:rFonts w:ascii="Arial" w:hAnsi="Arial" w:cs="Arial"/>
              <w:lang w:val="es-ES"/>
            </w:rPr>
            <w:t>ami</w:t>
          </w:r>
          <w:r w:rsidR="000E00B4" w:rsidRPr="00000BD6">
            <w:rPr>
              <w:rFonts w:ascii="Arial" w:hAnsi="Arial" w:cs="Arial"/>
              <w:lang w:val="es-ES"/>
            </w:rPr>
            <w:t>ón</w:t>
          </w:r>
          <w:r w:rsidRPr="00000BD6">
            <w:rPr>
              <w:rFonts w:ascii="Arial" w:hAnsi="Arial" w:cs="Arial"/>
              <w:lang w:val="es-ES"/>
            </w:rPr>
            <w:t xml:space="preserve"> suben un 4% excluyendo China</w:t>
          </w:r>
          <w:r w:rsidR="00000BD6">
            <w:rPr>
              <w:rFonts w:ascii="Arial" w:hAnsi="Arial" w:cs="Arial"/>
              <w:lang w:val="es-ES"/>
            </w:rPr>
            <w:t>.</w:t>
          </w:r>
          <w:r w:rsidRPr="00000BD6">
            <w:rPr>
              <w:rFonts w:ascii="Arial" w:hAnsi="Arial" w:cs="Arial"/>
              <w:lang w:val="es-ES"/>
            </w:rPr>
            <w:t xml:space="preserve"> </w:t>
          </w:r>
          <w:r w:rsidR="00000BD6">
            <w:rPr>
              <w:rFonts w:ascii="Arial" w:hAnsi="Arial" w:cs="Arial"/>
              <w:lang w:val="es-ES"/>
            </w:rPr>
            <w:t>E</w:t>
          </w:r>
          <w:r w:rsidRPr="00000BD6">
            <w:rPr>
              <w:rFonts w:ascii="Arial" w:hAnsi="Arial" w:cs="Arial"/>
              <w:lang w:val="es-ES"/>
            </w:rPr>
            <w:t>l mercado chino baja un 37%</w:t>
          </w:r>
          <w:r w:rsidR="00E36D80">
            <w:rPr>
              <w:rFonts w:ascii="Arial" w:hAnsi="Arial" w:cs="Arial"/>
              <w:lang w:val="es-ES"/>
            </w:rPr>
            <w:t>.</w:t>
          </w:r>
        </w:p>
        <w:p w14:paraId="606A0B6D" w14:textId="2D4490C9" w:rsidR="00EA6745" w:rsidRPr="00000BD6" w:rsidRDefault="000E00B4" w:rsidP="00000BD6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00BD6">
            <w:rPr>
              <w:rFonts w:ascii="Arial" w:hAnsi="Arial" w:cs="Arial"/>
              <w:lang w:val="es-ES"/>
            </w:rPr>
            <w:t>Los m</w:t>
          </w:r>
          <w:r w:rsidR="00EA6745" w:rsidRPr="00000BD6">
            <w:rPr>
              <w:rFonts w:ascii="Arial" w:hAnsi="Arial" w:cs="Arial"/>
              <w:lang w:val="es-ES"/>
            </w:rPr>
            <w:t>ercados de Especialidades: demanda al alza en todos los sectores, en un contexto limitado por las capacidades de entrega, particularmente en Minería</w:t>
          </w:r>
          <w:r w:rsidR="00E36D80">
            <w:rPr>
              <w:rFonts w:ascii="Arial" w:hAnsi="Arial" w:cs="Arial"/>
              <w:lang w:val="es-ES"/>
            </w:rPr>
            <w:t>.</w:t>
          </w:r>
        </w:p>
        <w:p w14:paraId="5F452E83" w14:textId="7DDB1CDC" w:rsidR="00EA6745" w:rsidRPr="00000BD6" w:rsidRDefault="00EA6745" w:rsidP="00000BD6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00BD6">
            <w:rPr>
              <w:rFonts w:ascii="Arial" w:hAnsi="Arial" w:cs="Arial"/>
              <w:lang w:val="es-ES"/>
            </w:rPr>
            <w:t>Una marcada estacionalidad: dinamismo en enero y febrero,</w:t>
          </w:r>
          <w:r w:rsidR="00000BD6">
            <w:rPr>
              <w:rFonts w:ascii="Arial" w:hAnsi="Arial" w:cs="Arial"/>
              <w:lang w:val="es-ES"/>
            </w:rPr>
            <w:t xml:space="preserve"> y</w:t>
          </w:r>
          <w:r w:rsidRPr="00000BD6">
            <w:rPr>
              <w:rFonts w:ascii="Arial" w:hAnsi="Arial" w:cs="Arial"/>
              <w:lang w:val="es-ES"/>
            </w:rPr>
            <w:t xml:space="preserve"> mes de marzo penalizado por el conflicto en Ucrania y el repunte de</w:t>
          </w:r>
          <w:r w:rsidR="009C760B" w:rsidRPr="00000BD6">
            <w:rPr>
              <w:rFonts w:ascii="Arial" w:hAnsi="Arial" w:cs="Arial"/>
              <w:lang w:val="es-ES"/>
            </w:rPr>
            <w:t xml:space="preserve"> </w:t>
          </w:r>
          <w:r w:rsidRPr="00000BD6">
            <w:rPr>
              <w:rFonts w:ascii="Arial" w:hAnsi="Arial" w:cs="Arial"/>
              <w:lang w:val="es-ES"/>
            </w:rPr>
            <w:t>l</w:t>
          </w:r>
          <w:r w:rsidR="009C760B" w:rsidRPr="00000BD6">
            <w:rPr>
              <w:rFonts w:ascii="Arial" w:hAnsi="Arial" w:cs="Arial"/>
              <w:lang w:val="es-ES"/>
            </w:rPr>
            <w:t>a</w:t>
          </w:r>
          <w:r w:rsidRPr="00000BD6">
            <w:rPr>
              <w:rFonts w:ascii="Arial" w:hAnsi="Arial" w:cs="Arial"/>
              <w:lang w:val="es-ES"/>
            </w:rPr>
            <w:t xml:space="preserve"> C</w:t>
          </w:r>
          <w:r w:rsidR="009C760B" w:rsidRPr="00000BD6">
            <w:rPr>
              <w:rFonts w:ascii="Arial" w:hAnsi="Arial" w:cs="Arial"/>
              <w:lang w:val="es-ES"/>
            </w:rPr>
            <w:t>OVID</w:t>
          </w:r>
          <w:r w:rsidRPr="00000BD6">
            <w:rPr>
              <w:rFonts w:ascii="Arial" w:hAnsi="Arial" w:cs="Arial"/>
              <w:lang w:val="es-ES"/>
            </w:rPr>
            <w:t>-19 en China, sobre una base de referencia alta.</w:t>
          </w:r>
        </w:p>
        <w:p w14:paraId="7C16303A" w14:textId="77777777" w:rsidR="00EA6745" w:rsidRPr="00EA6745" w:rsidRDefault="00EA6745" w:rsidP="00EA67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A451CB3" w14:textId="3214B1BB" w:rsidR="00EA6745" w:rsidRPr="00EA6745" w:rsidRDefault="00000BD6" w:rsidP="00EA67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Las v</w:t>
          </w:r>
          <w:r w:rsidR="00EA6745" w:rsidRPr="00EA6745">
            <w:rPr>
              <w:rFonts w:ascii="Arial" w:hAnsi="Arial" w:cs="Arial"/>
              <w:sz w:val="20"/>
              <w:szCs w:val="20"/>
              <w:lang w:val="es-ES"/>
            </w:rPr>
            <w:t>entas del primer trimestre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han sido</w:t>
          </w:r>
          <w:r w:rsidR="00EA6745" w:rsidRPr="00EA6745">
            <w:rPr>
              <w:rFonts w:ascii="Arial" w:hAnsi="Arial" w:cs="Arial"/>
              <w:sz w:val="20"/>
              <w:szCs w:val="20"/>
              <w:lang w:val="es-ES"/>
            </w:rPr>
            <w:t xml:space="preserve"> de 6.481 millones de euros, un 19,0% más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que el mismo periodo del año pasado</w:t>
          </w:r>
          <w:r w:rsidR="00EA6745" w:rsidRPr="00EA6745">
            <w:rPr>
              <w:rFonts w:ascii="Arial" w:hAnsi="Arial" w:cs="Arial"/>
              <w:sz w:val="20"/>
              <w:szCs w:val="20"/>
              <w:lang w:val="es-ES"/>
            </w:rPr>
            <w:t>, incluyendo un efecto de tipo de cambio favorable del 3,4%:</w:t>
          </w:r>
        </w:p>
        <w:p w14:paraId="486AF424" w14:textId="7306F9DE" w:rsidR="00EA6745" w:rsidRPr="00000BD6" w:rsidRDefault="00EA6745" w:rsidP="00000BD6">
          <w:pPr>
            <w:pStyle w:val="Prrafodelista"/>
            <w:numPr>
              <w:ilvl w:val="0"/>
              <w:numId w:val="1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00BD6">
            <w:rPr>
              <w:rFonts w:ascii="Arial" w:hAnsi="Arial" w:cs="Arial"/>
              <w:lang w:val="es-ES"/>
            </w:rPr>
            <w:t>Efecto del precio de los neumáticos del +11,9%</w:t>
          </w:r>
          <w:r w:rsidR="00B3179E">
            <w:rPr>
              <w:rFonts w:ascii="Arial" w:hAnsi="Arial" w:cs="Arial"/>
              <w:lang w:val="es-ES"/>
            </w:rPr>
            <w:t>.</w:t>
          </w:r>
          <w:r w:rsidRPr="00000BD6">
            <w:rPr>
              <w:rFonts w:ascii="Arial" w:hAnsi="Arial" w:cs="Arial"/>
              <w:lang w:val="es-ES"/>
            </w:rPr>
            <w:t xml:space="preserve"> </w:t>
          </w:r>
          <w:r w:rsidR="00B3179E">
            <w:rPr>
              <w:rFonts w:ascii="Arial" w:hAnsi="Arial" w:cs="Arial"/>
              <w:lang w:val="es-ES"/>
            </w:rPr>
            <w:t>E</w:t>
          </w:r>
          <w:r w:rsidRPr="00000BD6">
            <w:rPr>
              <w:rFonts w:ascii="Arial" w:hAnsi="Arial" w:cs="Arial"/>
              <w:lang w:val="es-ES"/>
            </w:rPr>
            <w:t xml:space="preserve">n un contexto de fuertes subidas de los precios de la energía, la logística y las materias primas, el Grupo continúa con su gestión dinámica de </w:t>
          </w:r>
          <w:r w:rsidR="007B6803" w:rsidRPr="00000BD6">
            <w:rPr>
              <w:rFonts w:ascii="Arial" w:hAnsi="Arial" w:cs="Arial"/>
              <w:lang w:val="es-ES"/>
            </w:rPr>
            <w:t xml:space="preserve">los </w:t>
          </w:r>
          <w:r w:rsidRPr="00000BD6">
            <w:rPr>
              <w:rFonts w:ascii="Arial" w:hAnsi="Arial" w:cs="Arial"/>
              <w:lang w:val="es-ES"/>
            </w:rPr>
            <w:t>precios</w:t>
          </w:r>
          <w:r w:rsidR="00E36D80">
            <w:rPr>
              <w:rFonts w:ascii="Arial" w:hAnsi="Arial" w:cs="Arial"/>
              <w:lang w:val="es-ES"/>
            </w:rPr>
            <w:t>.</w:t>
          </w:r>
        </w:p>
        <w:p w14:paraId="4A24DF52" w14:textId="15997AFF" w:rsidR="00EA6745" w:rsidRPr="00000BD6" w:rsidRDefault="00EA6745" w:rsidP="00000BD6">
          <w:pPr>
            <w:pStyle w:val="Prrafodelista"/>
            <w:numPr>
              <w:ilvl w:val="0"/>
              <w:numId w:val="1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00BD6">
            <w:rPr>
              <w:rFonts w:ascii="Arial" w:hAnsi="Arial" w:cs="Arial"/>
              <w:lang w:val="es-ES"/>
            </w:rPr>
            <w:t>Efecto mix de neumáticos de +1,6% impulsado por el dinamismo del mercado de Recambio (vs mercado de Equipo Original) en Turismos y Camionetas y el continuo enriquecimiento del mix de producto</w:t>
          </w:r>
          <w:r w:rsidR="00E36D80">
            <w:rPr>
              <w:rFonts w:ascii="Arial" w:hAnsi="Arial" w:cs="Arial"/>
              <w:lang w:val="es-ES"/>
            </w:rPr>
            <w:t>.</w:t>
          </w:r>
        </w:p>
        <w:p w14:paraId="03982941" w14:textId="59D8886D" w:rsidR="00EA6745" w:rsidRPr="00000BD6" w:rsidRDefault="00EA6745" w:rsidP="00000BD6">
          <w:pPr>
            <w:pStyle w:val="Prrafodelista"/>
            <w:numPr>
              <w:ilvl w:val="0"/>
              <w:numId w:val="1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00BD6">
            <w:rPr>
              <w:rFonts w:ascii="Arial" w:hAnsi="Arial" w:cs="Arial"/>
              <w:lang w:val="es-ES"/>
            </w:rPr>
            <w:t>Ligero crecimiento en los volúmenes de neumáticos (efecto positivo del 0,5 %), limitado por numeros</w:t>
          </w:r>
          <w:r w:rsidR="00C16B21" w:rsidRPr="00000BD6">
            <w:rPr>
              <w:rFonts w:ascii="Arial" w:hAnsi="Arial" w:cs="Arial"/>
              <w:lang w:val="es-ES"/>
            </w:rPr>
            <w:t>o</w:t>
          </w:r>
          <w:r w:rsidRPr="00000BD6">
            <w:rPr>
              <w:rFonts w:ascii="Arial" w:hAnsi="Arial" w:cs="Arial"/>
              <w:lang w:val="es-ES"/>
            </w:rPr>
            <w:t xml:space="preserve">s </w:t>
          </w:r>
          <w:r w:rsidR="00C16B21" w:rsidRPr="00000BD6">
            <w:rPr>
              <w:rFonts w:ascii="Arial" w:hAnsi="Arial" w:cs="Arial"/>
              <w:lang w:val="es-ES"/>
            </w:rPr>
            <w:t>problemas</w:t>
          </w:r>
          <w:r w:rsidRPr="00000BD6">
            <w:rPr>
              <w:rFonts w:ascii="Arial" w:hAnsi="Arial" w:cs="Arial"/>
              <w:lang w:val="es-ES"/>
            </w:rPr>
            <w:t xml:space="preserve"> operativ</w:t>
          </w:r>
          <w:r w:rsidR="00C16B21" w:rsidRPr="00000BD6">
            <w:rPr>
              <w:rFonts w:ascii="Arial" w:hAnsi="Arial" w:cs="Arial"/>
              <w:lang w:val="es-ES"/>
            </w:rPr>
            <w:t>o</w:t>
          </w:r>
          <w:r w:rsidRPr="00000BD6">
            <w:rPr>
              <w:rFonts w:ascii="Arial" w:hAnsi="Arial" w:cs="Arial"/>
              <w:lang w:val="es-ES"/>
            </w:rPr>
            <w:t>s</w:t>
          </w:r>
          <w:r w:rsidR="00C13082">
            <w:rPr>
              <w:rFonts w:ascii="Arial" w:hAnsi="Arial" w:cs="Arial"/>
              <w:lang w:val="es-ES"/>
            </w:rPr>
            <w:t>.</w:t>
          </w:r>
          <w:r w:rsidRPr="00000BD6">
            <w:rPr>
              <w:rFonts w:ascii="Arial" w:hAnsi="Arial" w:cs="Arial"/>
              <w:lang w:val="es-ES"/>
            </w:rPr>
            <w:t xml:space="preserve"> </w:t>
          </w:r>
          <w:r w:rsidR="00C13082">
            <w:rPr>
              <w:rFonts w:ascii="Arial" w:hAnsi="Arial" w:cs="Arial"/>
              <w:lang w:val="es-ES"/>
            </w:rPr>
            <w:t>E</w:t>
          </w:r>
          <w:r w:rsidRPr="00000BD6">
            <w:rPr>
              <w:rFonts w:ascii="Arial" w:hAnsi="Arial" w:cs="Arial"/>
              <w:lang w:val="es-ES"/>
            </w:rPr>
            <w:t>fecto perímetro favorable del 0,8 % que refleja en particular la integración de Allopneus.com</w:t>
          </w:r>
          <w:r w:rsidR="00E36D80">
            <w:rPr>
              <w:rFonts w:ascii="Arial" w:hAnsi="Arial" w:cs="Arial"/>
              <w:lang w:val="es-ES"/>
            </w:rPr>
            <w:t>.</w:t>
          </w:r>
        </w:p>
        <w:p w14:paraId="7F735BA1" w14:textId="023CF3EB" w:rsidR="00EA6745" w:rsidRPr="00000BD6" w:rsidRDefault="00EA6745" w:rsidP="00000BD6">
          <w:pPr>
            <w:pStyle w:val="Prrafodelista"/>
            <w:numPr>
              <w:ilvl w:val="0"/>
              <w:numId w:val="1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00BD6">
            <w:rPr>
              <w:rFonts w:ascii="Arial" w:hAnsi="Arial" w:cs="Arial"/>
              <w:lang w:val="es-ES"/>
            </w:rPr>
            <w:t xml:space="preserve">Las actividades </w:t>
          </w:r>
          <w:r w:rsidR="000E00B4" w:rsidRPr="00000BD6">
            <w:rPr>
              <w:rFonts w:ascii="Arial" w:hAnsi="Arial" w:cs="Arial"/>
              <w:lang w:val="es-ES"/>
            </w:rPr>
            <w:t>no relacionadas con los</w:t>
          </w:r>
          <w:r w:rsidRPr="00000BD6">
            <w:rPr>
              <w:rFonts w:ascii="Arial" w:hAnsi="Arial" w:cs="Arial"/>
              <w:lang w:val="es-ES"/>
            </w:rPr>
            <w:t xml:space="preserve"> neumáticos registraron un fuerte crecimiento del 11,9%.</w:t>
          </w:r>
        </w:p>
        <w:p w14:paraId="078F3876" w14:textId="77777777" w:rsidR="00EA6745" w:rsidRPr="00EA6745" w:rsidRDefault="00EA6745" w:rsidP="00EA67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C75BBD8" w14:textId="77777777" w:rsidR="00EA6745" w:rsidRPr="00E36D80" w:rsidRDefault="00EA6745" w:rsidP="00EA674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E36D8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Orientación confirmada</w:t>
          </w:r>
        </w:p>
        <w:p w14:paraId="6BB4110D" w14:textId="264EDE00" w:rsidR="00EA6745" w:rsidRPr="00EA6745" w:rsidRDefault="00EA6745" w:rsidP="00EA67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EA6745">
            <w:rPr>
              <w:rFonts w:ascii="Arial" w:hAnsi="Arial" w:cs="Arial"/>
              <w:sz w:val="20"/>
              <w:szCs w:val="20"/>
              <w:lang w:val="es-ES"/>
            </w:rPr>
            <w:t xml:space="preserve">En 2022, en un contexto de mucha incertidumbre, los mercados deberían mostrar un ligero crecimiento, en la parte baja de los rangos inicialmente previstos: entre el 0% y el +4% en Turismo y </w:t>
          </w:r>
          <w:r w:rsidR="000E00B4">
            <w:rPr>
              <w:rFonts w:ascii="Arial" w:hAnsi="Arial" w:cs="Arial"/>
              <w:sz w:val="20"/>
              <w:szCs w:val="20"/>
              <w:lang w:val="es-ES"/>
            </w:rPr>
            <w:t>Camioneta</w:t>
          </w:r>
          <w:r w:rsidRPr="00EA6745">
            <w:rPr>
              <w:rFonts w:ascii="Arial" w:hAnsi="Arial" w:cs="Arial"/>
              <w:sz w:val="20"/>
              <w:szCs w:val="20"/>
              <w:lang w:val="es-ES"/>
            </w:rPr>
            <w:t>, entre el +3% y el +7% en Cami</w:t>
          </w:r>
          <w:r w:rsidR="000E00B4">
            <w:rPr>
              <w:rFonts w:ascii="Arial" w:hAnsi="Arial" w:cs="Arial"/>
              <w:sz w:val="20"/>
              <w:szCs w:val="20"/>
              <w:lang w:val="es-ES"/>
            </w:rPr>
            <w:t>ón</w:t>
          </w:r>
          <w:r w:rsidRPr="00EA6745">
            <w:rPr>
              <w:rFonts w:ascii="Arial" w:hAnsi="Arial" w:cs="Arial"/>
              <w:sz w:val="20"/>
              <w:szCs w:val="20"/>
              <w:lang w:val="es-ES"/>
            </w:rPr>
            <w:t xml:space="preserve"> (excluyendo China)</w:t>
          </w:r>
          <w:r w:rsidR="00E36D80">
            <w:rPr>
              <w:rFonts w:ascii="Arial" w:hAnsi="Arial" w:cs="Arial"/>
              <w:sz w:val="20"/>
              <w:szCs w:val="20"/>
              <w:lang w:val="es-ES"/>
            </w:rPr>
            <w:t xml:space="preserve"> y</w:t>
          </w:r>
          <w:r w:rsidRPr="00EA6745">
            <w:rPr>
              <w:rFonts w:ascii="Arial" w:hAnsi="Arial" w:cs="Arial"/>
              <w:sz w:val="20"/>
              <w:szCs w:val="20"/>
              <w:lang w:val="es-ES"/>
            </w:rPr>
            <w:t xml:space="preserve"> entre +6% y +10% para </w:t>
          </w:r>
          <w:r w:rsidR="000E00B4">
            <w:rPr>
              <w:rFonts w:ascii="Arial" w:hAnsi="Arial" w:cs="Arial"/>
              <w:sz w:val="20"/>
              <w:szCs w:val="20"/>
              <w:lang w:val="es-ES"/>
            </w:rPr>
            <w:t>Especialidades</w:t>
          </w:r>
          <w:r w:rsidRPr="00EA6745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5290D13D" w14:textId="3A29F9B1" w:rsidR="002E7F2B" w:rsidRPr="002E7F2B" w:rsidRDefault="00EA6745" w:rsidP="00EA67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EA6745">
            <w:rPr>
              <w:rFonts w:ascii="Arial" w:hAnsi="Arial" w:cs="Arial"/>
              <w:sz w:val="20"/>
              <w:szCs w:val="20"/>
              <w:lang w:val="es-ES"/>
            </w:rPr>
            <w:t>En este escenario, excluyendo la intensificación de los efectos sistémicos</w:t>
          </w:r>
          <w:r w:rsidR="008805C0" w:rsidRPr="008805C0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1</w:t>
          </w:r>
          <w:r w:rsidRPr="00EA6745">
            <w:rPr>
              <w:rFonts w:ascii="Arial" w:hAnsi="Arial" w:cs="Arial"/>
              <w:sz w:val="20"/>
              <w:szCs w:val="20"/>
              <w:lang w:val="es-ES"/>
            </w:rPr>
            <w:t>, Michelin mantiene su orientación con un resultado operativo anual de</w:t>
          </w:r>
          <w:r w:rsidR="005121D5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EA6745">
            <w:rPr>
              <w:rFonts w:ascii="Arial" w:hAnsi="Arial" w:cs="Arial"/>
              <w:sz w:val="20"/>
              <w:szCs w:val="20"/>
              <w:lang w:val="es-ES"/>
            </w:rPr>
            <w:t>l</w:t>
          </w:r>
          <w:r w:rsidR="005121D5">
            <w:rPr>
              <w:rFonts w:ascii="Arial" w:hAnsi="Arial" w:cs="Arial"/>
              <w:sz w:val="20"/>
              <w:szCs w:val="20"/>
              <w:lang w:val="es-ES"/>
            </w:rPr>
            <w:t>os</w:t>
          </w:r>
          <w:r w:rsidRPr="00EA6745">
            <w:rPr>
              <w:rFonts w:ascii="Arial" w:hAnsi="Arial" w:cs="Arial"/>
              <w:sz w:val="20"/>
              <w:szCs w:val="20"/>
              <w:lang w:val="es-ES"/>
            </w:rPr>
            <w:t xml:space="preserve"> se</w:t>
          </w:r>
          <w:r w:rsidR="005121D5">
            <w:rPr>
              <w:rFonts w:ascii="Arial" w:hAnsi="Arial" w:cs="Arial"/>
              <w:sz w:val="20"/>
              <w:szCs w:val="20"/>
              <w:lang w:val="es-ES"/>
            </w:rPr>
            <w:t>ctores</w:t>
          </w:r>
          <w:r w:rsidRPr="00EA6745">
            <w:rPr>
              <w:rFonts w:ascii="Arial" w:hAnsi="Arial" w:cs="Arial"/>
              <w:sz w:val="20"/>
              <w:szCs w:val="20"/>
              <w:lang w:val="es-ES"/>
            </w:rPr>
            <w:t xml:space="preserve"> superior a 3.200 millones de euros a tipos de cambio constantes y un flujo de caja libre estructural</w:t>
          </w:r>
          <w:r w:rsidR="008805C0" w:rsidRPr="008805C0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2</w:t>
          </w:r>
          <w:r w:rsidRPr="00EA6745">
            <w:rPr>
              <w:rFonts w:ascii="Arial" w:hAnsi="Arial" w:cs="Arial"/>
              <w:sz w:val="20"/>
              <w:szCs w:val="20"/>
              <w:lang w:val="es-ES"/>
            </w:rPr>
            <w:t xml:space="preserve"> superior a 1.200 millones de euros.</w:t>
          </w:r>
        </w:p>
        <w:p w14:paraId="5C09119F" w14:textId="7ED3F904" w:rsidR="00E36D80" w:rsidRDefault="00E36D80" w:rsidP="00B24C3D">
          <w:pPr>
            <w:pStyle w:val="Textonotapie"/>
            <w:jc w:val="both"/>
            <w:rPr>
              <w:rFonts w:asciiTheme="minorHAnsi" w:eastAsiaTheme="minorEastAsia" w:hAnsiTheme="minorHAnsi" w:cstheme="minorBidi"/>
              <w:color w:val="000000" w:themeColor="text1"/>
              <w:lang w:val="es-ES"/>
            </w:rPr>
          </w:pPr>
        </w:p>
        <w:p w14:paraId="2505145A" w14:textId="4EEA8AF3" w:rsidR="00E36D80" w:rsidRDefault="00E36D80" w:rsidP="00B24C3D">
          <w:pPr>
            <w:pStyle w:val="Textonotapie"/>
            <w:jc w:val="both"/>
            <w:rPr>
              <w:rFonts w:asciiTheme="minorHAnsi" w:eastAsiaTheme="minorEastAsia" w:hAnsiTheme="minorHAnsi" w:cstheme="minorBidi"/>
              <w:color w:val="000000" w:themeColor="text1"/>
              <w:lang w:val="es-ES"/>
            </w:rPr>
          </w:pPr>
        </w:p>
        <w:p w14:paraId="16E16658" w14:textId="77777777" w:rsidR="00E36D80" w:rsidRDefault="00E36D80" w:rsidP="00B24C3D">
          <w:pPr>
            <w:pStyle w:val="Textonotapie"/>
            <w:jc w:val="both"/>
            <w:rPr>
              <w:rFonts w:asciiTheme="minorHAnsi" w:eastAsiaTheme="minorEastAsia" w:hAnsiTheme="minorHAnsi" w:cstheme="minorBidi"/>
              <w:color w:val="000000" w:themeColor="text1"/>
              <w:lang w:val="es-ES"/>
            </w:rPr>
          </w:pPr>
        </w:p>
        <w:p w14:paraId="6FF9D26C" w14:textId="77777777" w:rsidR="00E36D80" w:rsidRDefault="00E36D80" w:rsidP="00B24C3D">
          <w:pPr>
            <w:pStyle w:val="Textonotapie"/>
            <w:jc w:val="both"/>
            <w:rPr>
              <w:rFonts w:asciiTheme="minorHAnsi" w:eastAsiaTheme="minorEastAsia" w:hAnsiTheme="minorHAnsi" w:cstheme="minorBidi"/>
              <w:color w:val="000000" w:themeColor="text1"/>
              <w:lang w:val="es-ES"/>
            </w:rPr>
          </w:pPr>
        </w:p>
        <w:p w14:paraId="5E0A79A9" w14:textId="77777777" w:rsidR="00E36D80" w:rsidRPr="00766F86" w:rsidRDefault="00E36D80" w:rsidP="00E36D80">
          <w:pPr>
            <w:jc w:val="both"/>
            <w:rPr>
              <w:rFonts w:ascii="Arial" w:hAnsi="Arial" w:cs="Arial"/>
              <w:i/>
              <w:iCs/>
              <w:sz w:val="16"/>
              <w:szCs w:val="16"/>
              <w:lang w:val="es-ES"/>
            </w:rPr>
          </w:pPr>
          <w:r w:rsidRPr="00C81551">
            <w:rPr>
              <w:rFonts w:ascii="Arial" w:hAnsi="Arial" w:cs="Arial"/>
              <w:i/>
              <w:iCs/>
              <w:sz w:val="14"/>
              <w:szCs w:val="12"/>
              <w:vertAlign w:val="superscript"/>
              <w:lang w:val="es-ES"/>
            </w:rPr>
            <w:t>1</w:t>
          </w:r>
          <w:r w:rsidRPr="00C81551">
            <w:rPr>
              <w:rFonts w:ascii="Arial" w:hAnsi="Arial" w:cs="Arial"/>
              <w:i/>
              <w:iCs/>
              <w:sz w:val="14"/>
              <w:szCs w:val="12"/>
              <w:lang w:val="es-ES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Interrupciones</w:t>
          </w:r>
          <w:r w:rsidRPr="00766F86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 graves de la cadena de suministro o restricciones de la movilidad que provocarían una caída significativa de los mercados de neumáticos.</w:t>
          </w:r>
        </w:p>
        <w:p w14:paraId="52EA2F1F" w14:textId="77777777" w:rsidR="00E36D80" w:rsidRPr="00766F86" w:rsidRDefault="00E36D80" w:rsidP="00E36D80">
          <w:pPr>
            <w:jc w:val="both"/>
            <w:rPr>
              <w:rFonts w:ascii="Arial" w:hAnsi="Arial" w:cs="Arial"/>
              <w:i/>
              <w:iCs/>
              <w:sz w:val="16"/>
              <w:szCs w:val="16"/>
              <w:lang w:val="es-ES"/>
            </w:rPr>
          </w:pPr>
          <w:r w:rsidRPr="00766F86">
            <w:rPr>
              <w:rFonts w:ascii="Arial" w:hAnsi="Arial" w:cs="Arial"/>
              <w:i/>
              <w:iCs/>
              <w:sz w:val="14"/>
              <w:szCs w:val="12"/>
              <w:vertAlign w:val="superscript"/>
              <w:lang w:val="es-ES"/>
            </w:rPr>
            <w:t>2</w:t>
          </w:r>
          <w:r w:rsidRPr="00766F86">
            <w:rPr>
              <w:rFonts w:ascii="Arial" w:hAnsi="Arial" w:cs="Arial"/>
              <w:i/>
              <w:iCs/>
              <w:sz w:val="14"/>
              <w:szCs w:val="12"/>
              <w:lang w:val="es-ES"/>
            </w:rPr>
            <w:t xml:space="preserve"> </w:t>
          </w:r>
          <w:r w:rsidRPr="00766F86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Flujo de caja libre antes de adquisiciones, ajustado por el efecto de las variaciones de los precios de las materias primas sobre las cuentas por cobrar, las cuentas por pagar y las existencias.  </w:t>
          </w:r>
        </w:p>
        <w:p w14:paraId="18B7F4D1" w14:textId="1850AC60" w:rsidR="002E7F2B" w:rsidRPr="00E36D80" w:rsidRDefault="002E7F2B" w:rsidP="002E7F2B">
          <w:pPr>
            <w:spacing w:line="276" w:lineRule="auto"/>
            <w:jc w:val="both"/>
            <w:rPr>
              <w:rFonts w:ascii="Arial" w:hAnsi="Arial" w:cs="Arial"/>
              <w:b/>
              <w:bCs/>
              <w:lang w:val="es-ES"/>
            </w:rPr>
          </w:pPr>
          <w:r w:rsidRPr="00E36D80">
            <w:rPr>
              <w:rFonts w:ascii="Arial" w:hAnsi="Arial" w:cs="Arial"/>
              <w:b/>
              <w:bCs/>
              <w:lang w:val="es-ES"/>
            </w:rPr>
            <w:lastRenderedPageBreak/>
            <w:t>Ventas de Michelin</w:t>
          </w:r>
          <w:r w:rsidR="00EB1EF8" w:rsidRPr="00E36D80">
            <w:rPr>
              <w:rFonts w:ascii="Arial" w:hAnsi="Arial" w:cs="Arial"/>
              <w:b/>
              <w:bCs/>
              <w:lang w:val="es-ES"/>
            </w:rPr>
            <w:t xml:space="preserve"> enero-</w:t>
          </w:r>
          <w:r w:rsidR="006A6195" w:rsidRPr="00E36D80">
            <w:rPr>
              <w:rFonts w:ascii="Arial" w:hAnsi="Arial" w:cs="Arial"/>
              <w:b/>
              <w:bCs/>
              <w:lang w:val="es-ES"/>
            </w:rPr>
            <w:t>marzo</w:t>
          </w:r>
          <w:r w:rsidR="00EB1EF8" w:rsidRPr="00E36D80">
            <w:rPr>
              <w:rFonts w:ascii="Arial" w:hAnsi="Arial" w:cs="Arial"/>
              <w:b/>
              <w:bCs/>
              <w:lang w:val="es-ES"/>
            </w:rPr>
            <w:t xml:space="preserve"> 202</w:t>
          </w:r>
          <w:r w:rsidR="006A6195" w:rsidRPr="00E36D80">
            <w:rPr>
              <w:rFonts w:ascii="Arial" w:hAnsi="Arial" w:cs="Arial"/>
              <w:b/>
              <w:bCs/>
              <w:lang w:val="es-ES"/>
            </w:rPr>
            <w:t>2</w:t>
          </w:r>
        </w:p>
        <w:p w14:paraId="59030DC5" w14:textId="7642366F" w:rsidR="002E7F2B" w:rsidRPr="002E7F2B" w:rsidRDefault="002E7F2B" w:rsidP="002E7F2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EVOLUCIÓN GLOBAL</w:t>
          </w:r>
        </w:p>
        <w:p w14:paraId="7E3C27B0" w14:textId="76D4823C" w:rsidR="002F618D" w:rsidRDefault="002F618D" w:rsidP="00895E83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6A947073" w14:textId="3EEA61A3" w:rsidR="002E7F2B" w:rsidRPr="00695F8B" w:rsidRDefault="00695F8B" w:rsidP="00895E83">
          <w:pPr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695F8B">
            <w:rPr>
              <w:rFonts w:ascii="Arial" w:hAnsi="Arial" w:cs="Arial"/>
              <w:sz w:val="16"/>
              <w:szCs w:val="16"/>
              <w:lang w:val="es-ES"/>
            </w:rPr>
            <w:t>*En toneladas</w:t>
          </w:r>
        </w:p>
        <w:tbl>
          <w:tblPr>
            <w:tblpPr w:leftFromText="141" w:rightFromText="141" w:vertAnchor="text" w:horzAnchor="margin" w:tblpXSpec="center" w:tblpY="-48"/>
            <w:tblW w:w="920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820"/>
            <w:gridCol w:w="1979"/>
            <w:gridCol w:w="2410"/>
          </w:tblGrid>
          <w:tr w:rsidR="002E7F2B" w:rsidRPr="00895E83" w14:paraId="6B08D475" w14:textId="77777777" w:rsidTr="002E7F2B">
            <w:trPr>
              <w:trHeight w:val="558"/>
            </w:trPr>
            <w:tc>
              <w:tcPr>
                <w:tcW w:w="4820" w:type="dxa"/>
                <w:shd w:val="clear" w:color="auto" w:fill="F3F3F3"/>
                <w:vAlign w:val="center"/>
              </w:tcPr>
              <w:p w14:paraId="2544A2DC" w14:textId="4A6314D2" w:rsidR="002E7F2B" w:rsidRPr="00895E83" w:rsidRDefault="002E7F2B" w:rsidP="002E7F2B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 w:rsidRPr="00895E83"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  <w:t>(E</w:t>
                </w:r>
                <w:r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  <w:t>n millones de</w:t>
                </w:r>
                <w:r w:rsidRPr="00895E83"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  <w:t xml:space="preserve"> €)</w:t>
                </w:r>
              </w:p>
            </w:tc>
            <w:tc>
              <w:tcPr>
                <w:tcW w:w="4389" w:type="dxa"/>
                <w:gridSpan w:val="2"/>
                <w:shd w:val="clear" w:color="auto" w:fill="F3F3F3"/>
                <w:vAlign w:val="center"/>
              </w:tcPr>
              <w:p w14:paraId="0EEE6797" w14:textId="546B2831" w:rsidR="002E7F2B" w:rsidRPr="00895E83" w:rsidRDefault="006A6195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  <w:t>Primer trimestre 2022</w:t>
                </w:r>
              </w:p>
            </w:tc>
          </w:tr>
          <w:tr w:rsidR="002E7F2B" w:rsidRPr="00895E83" w14:paraId="13F2B972" w14:textId="77777777" w:rsidTr="004C1314">
            <w:trPr>
              <w:cantSplit/>
              <w:trHeight w:val="398"/>
            </w:trPr>
            <w:tc>
              <w:tcPr>
                <w:tcW w:w="4820" w:type="dxa"/>
                <w:vAlign w:val="center"/>
              </w:tcPr>
              <w:p w14:paraId="4CCB8D15" w14:textId="02E99A54" w:rsidR="002E7F2B" w:rsidRPr="00895E83" w:rsidRDefault="002E7F2B" w:rsidP="002E7F2B">
                <w:pP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Ventas</w:t>
                </w:r>
              </w:p>
            </w:tc>
            <w:tc>
              <w:tcPr>
                <w:tcW w:w="4389" w:type="dxa"/>
                <w:gridSpan w:val="2"/>
                <w:vAlign w:val="center"/>
              </w:tcPr>
              <w:p w14:paraId="37F02CC8" w14:textId="0B037592" w:rsidR="002E7F2B" w:rsidRPr="00895E83" w:rsidRDefault="006A6195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  <w:t>6.481</w:t>
                </w:r>
              </w:p>
            </w:tc>
          </w:tr>
          <w:tr w:rsidR="002E7F2B" w:rsidRPr="00895E83" w14:paraId="4B7796B1" w14:textId="77777777" w:rsidTr="004C1314">
            <w:trPr>
              <w:trHeight w:val="404"/>
            </w:trPr>
            <w:tc>
              <w:tcPr>
                <w:tcW w:w="4820" w:type="dxa"/>
                <w:vAlign w:val="center"/>
              </w:tcPr>
              <w:p w14:paraId="61C0F426" w14:textId="490BA80E" w:rsidR="002E7F2B" w:rsidRPr="00895E83" w:rsidRDefault="00484CB9" w:rsidP="002E7F2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Variación</w:t>
                </w:r>
                <w:r w:rsidR="002E7F2B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 xml:space="preserve"> </w:t>
                </w:r>
                <w:r w:rsidR="00071B7E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T1</w:t>
                </w:r>
                <w:r w:rsidR="002E7F2B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 xml:space="preserve"> 202</w:t>
                </w:r>
                <w:r w:rsidR="00071B7E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2</w:t>
                </w:r>
                <w:r w:rsidR="002E7F2B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 xml:space="preserve"> / </w:t>
                </w:r>
                <w:r w:rsidR="00071B7E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T1</w:t>
                </w:r>
                <w:r w:rsidR="002E7F2B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 xml:space="preserve"> 202</w:t>
                </w:r>
                <w:r w:rsidR="00071B7E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1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42633650" w14:textId="6122CE03" w:rsidR="002E7F2B" w:rsidRPr="00895E83" w:rsidRDefault="002E7F2B" w:rsidP="00603CB3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</w:pP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7327731A" w14:textId="77777777" w:rsidR="002E7F2B" w:rsidRPr="00895E83" w:rsidRDefault="002E7F2B" w:rsidP="002E7F2B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</w:pPr>
              </w:p>
            </w:tc>
          </w:tr>
          <w:tr w:rsidR="002E7F2B" w:rsidRPr="00895E83" w14:paraId="4BC12D83" w14:textId="77777777" w:rsidTr="004C1314">
            <w:trPr>
              <w:trHeight w:val="423"/>
            </w:trPr>
            <w:tc>
              <w:tcPr>
                <w:tcW w:w="4820" w:type="dxa"/>
                <w:vAlign w:val="center"/>
              </w:tcPr>
              <w:p w14:paraId="45DCF405" w14:textId="4B984925" w:rsidR="002E7F2B" w:rsidRPr="00B24C3D" w:rsidRDefault="00695F8B" w:rsidP="002E7F2B">
                <w:pPr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 w:rsidRPr="00B24C3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cambio total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488A36FD" w14:textId="00DF0DCD" w:rsidR="002E7F2B" w:rsidRPr="00E903CA" w:rsidRDefault="00071B7E" w:rsidP="00603C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</w:pPr>
                <w:r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>+1.033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796C5336" w14:textId="1FC8EB11" w:rsidR="002E7F2B" w:rsidRPr="00E903CA" w:rsidRDefault="00071B7E" w:rsidP="002E7F2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</w:pPr>
                <w:r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 xml:space="preserve">+19,0 </w:t>
                </w:r>
                <w:r w:rsidR="00695F8B"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>%</w:t>
                </w:r>
              </w:p>
            </w:tc>
          </w:tr>
          <w:tr w:rsidR="002E7F2B" w:rsidRPr="00895E83" w14:paraId="317CBFFB" w14:textId="77777777" w:rsidTr="004C1314">
            <w:trPr>
              <w:trHeight w:val="415"/>
            </w:trPr>
            <w:tc>
              <w:tcPr>
                <w:tcW w:w="4820" w:type="dxa"/>
                <w:vAlign w:val="center"/>
              </w:tcPr>
              <w:p w14:paraId="4CFBCDD6" w14:textId="40396D20" w:rsidR="002E7F2B" w:rsidRPr="00B24C3D" w:rsidRDefault="00484CB9" w:rsidP="002E7F2B">
                <w:pPr>
                  <w:tabs>
                    <w:tab w:val="left" w:pos="360"/>
                  </w:tabs>
                  <w:ind w:right="-227"/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 w:rsidRPr="00B24C3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 xml:space="preserve">de los cuales, </w:t>
                </w:r>
                <w:r w:rsidR="00695F8B" w:rsidRPr="00B24C3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volúmen</w:t>
                </w:r>
                <w:r w:rsidR="00A21C5F" w:rsidRPr="00B24C3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es</w:t>
                </w:r>
                <w:r w:rsidR="00695F8B" w:rsidRPr="00B24C3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 xml:space="preserve"> de neumáticos*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73145D03" w14:textId="082128D9" w:rsidR="002E7F2B" w:rsidRPr="00E903CA" w:rsidRDefault="00071B7E" w:rsidP="00603C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</w:pPr>
                <w:r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>+28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6F4126DC" w14:textId="79EEB786" w:rsidR="002E7F2B" w:rsidRPr="00E903CA" w:rsidRDefault="00071B7E" w:rsidP="002E7F2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</w:pPr>
                <w:r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 xml:space="preserve">+0,5 </w:t>
                </w:r>
                <w:r w:rsidR="002E7F2B"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>%</w:t>
                </w:r>
              </w:p>
            </w:tc>
          </w:tr>
          <w:tr w:rsidR="002E7F2B" w:rsidRPr="00895E83" w14:paraId="72B042D7" w14:textId="77777777" w:rsidTr="004C1314">
            <w:trPr>
              <w:trHeight w:val="422"/>
            </w:trPr>
            <w:tc>
              <w:tcPr>
                <w:tcW w:w="4820" w:type="dxa"/>
                <w:vAlign w:val="center"/>
              </w:tcPr>
              <w:p w14:paraId="19DDD5FB" w14:textId="29EB05C1" w:rsidR="002E7F2B" w:rsidRPr="00B24C3D" w:rsidRDefault="00695F8B" w:rsidP="002E7F2B">
                <w:pPr>
                  <w:tabs>
                    <w:tab w:val="left" w:pos="360"/>
                  </w:tabs>
                  <w:ind w:right="-227"/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 w:rsidRPr="00B24C3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mix de precios de neumáticos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6E66B0D5" w14:textId="7B28C939" w:rsidR="002E7F2B" w:rsidRPr="00E903CA" w:rsidRDefault="00E20B62" w:rsidP="00603C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</w:pPr>
                <w:r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>+736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749AD37C" w14:textId="56039367" w:rsidR="002E7F2B" w:rsidRPr="00E903CA" w:rsidRDefault="00E20B62" w:rsidP="002E7F2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</w:pPr>
                <w:r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 xml:space="preserve">+13,5 </w:t>
                </w:r>
                <w:r w:rsidR="00695F8B"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>%</w:t>
                </w:r>
              </w:p>
            </w:tc>
          </w:tr>
          <w:tr w:rsidR="002E7F2B" w:rsidRPr="00895E83" w14:paraId="059D4DA3" w14:textId="77777777" w:rsidTr="004C1314">
            <w:trPr>
              <w:trHeight w:val="451"/>
            </w:trPr>
            <w:tc>
              <w:tcPr>
                <w:tcW w:w="4820" w:type="dxa"/>
                <w:vAlign w:val="center"/>
              </w:tcPr>
              <w:p w14:paraId="1AA66173" w14:textId="2CDD8B55" w:rsidR="002E7F2B" w:rsidRPr="00B24C3D" w:rsidRDefault="00695F8B" w:rsidP="002E7F2B">
                <w:pPr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 w:rsidRPr="00B24C3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actividades no relacionadas con los neumáticos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7BF54487" w14:textId="66BC847B" w:rsidR="002E7F2B" w:rsidRPr="00E903CA" w:rsidRDefault="00E20B62" w:rsidP="00603C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</w:pPr>
                <w:r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>+39</w:t>
                </w:r>
              </w:p>
            </w:tc>
            <w:tc>
              <w:tcPr>
                <w:tcW w:w="24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B52E163" w14:textId="623ABCD8" w:rsidR="002E7F2B" w:rsidRPr="00E903CA" w:rsidRDefault="000854CC" w:rsidP="002E7F2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</w:pPr>
                <w:r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>+0,7</w:t>
                </w:r>
                <w:r w:rsidR="00E20B62"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 xml:space="preserve"> </w:t>
                </w:r>
                <w:r w:rsidR="00695F8B"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>%</w:t>
                </w:r>
              </w:p>
            </w:tc>
          </w:tr>
          <w:tr w:rsidR="002E7F2B" w:rsidRPr="00895E83" w14:paraId="1805EB53" w14:textId="77777777" w:rsidTr="004C1314">
            <w:trPr>
              <w:trHeight w:val="394"/>
            </w:trPr>
            <w:tc>
              <w:tcPr>
                <w:tcW w:w="4820" w:type="dxa"/>
                <w:vAlign w:val="center"/>
              </w:tcPr>
              <w:p w14:paraId="7EB8224E" w14:textId="423AF989" w:rsidR="002E7F2B" w:rsidRPr="00B24C3D" w:rsidRDefault="00695F8B" w:rsidP="002E7F2B">
                <w:pPr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 w:rsidRPr="00B24C3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variación de los tipos de cambio</w:t>
                </w:r>
                <w:r w:rsidR="002E7F2B" w:rsidRPr="00B24C3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7908FE19" w14:textId="69335326" w:rsidR="002E7F2B" w:rsidRPr="00E903CA" w:rsidRDefault="000854CC" w:rsidP="00603C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</w:pPr>
                <w:r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>+186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6908F758" w14:textId="026B8FED" w:rsidR="002E7F2B" w:rsidRPr="00E903CA" w:rsidRDefault="000854CC" w:rsidP="002E7F2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</w:pPr>
                <w:r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 xml:space="preserve">+3,4 </w:t>
                </w:r>
                <w:r w:rsidR="00695F8B"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>%</w:t>
                </w:r>
              </w:p>
            </w:tc>
          </w:tr>
          <w:tr w:rsidR="002E7F2B" w:rsidRPr="00895E83" w14:paraId="4789B05C" w14:textId="77777777" w:rsidTr="004C1314">
            <w:trPr>
              <w:trHeight w:val="413"/>
            </w:trPr>
            <w:tc>
              <w:tcPr>
                <w:tcW w:w="4820" w:type="dxa"/>
                <w:vAlign w:val="center"/>
              </w:tcPr>
              <w:p w14:paraId="36218866" w14:textId="2E588F44" w:rsidR="002E7F2B" w:rsidRPr="00B24C3D" w:rsidRDefault="00695F8B" w:rsidP="002E7F2B">
                <w:pPr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 w:rsidRPr="00B24C3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>cambio</w:t>
                </w:r>
                <w:r w:rsidR="00A17D20" w:rsidRPr="00B24C3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 xml:space="preserve"> de perímetro</w:t>
                </w:r>
                <w:r w:rsidR="002E7F2B" w:rsidRPr="00B24C3D">
                  <w:rPr>
                    <w:rFonts w:ascii="Arial" w:hAnsi="Arial" w:cs="Arial"/>
                    <w:bCs/>
                    <w:smallCaps/>
                    <w:sz w:val="20"/>
                    <w:szCs w:val="20"/>
                    <w:lang w:val="es-ES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  <w:vAlign w:val="center"/>
              </w:tcPr>
              <w:p w14:paraId="3F7A8234" w14:textId="7109CB4B" w:rsidR="002E7F2B" w:rsidRPr="00E903CA" w:rsidRDefault="000854CC" w:rsidP="00603CB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</w:pPr>
                <w:r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>+44</w:t>
                </w:r>
              </w:p>
            </w:tc>
            <w:tc>
              <w:tcPr>
                <w:tcW w:w="2410" w:type="dxa"/>
                <w:shd w:val="clear" w:color="auto" w:fill="auto"/>
                <w:vAlign w:val="center"/>
              </w:tcPr>
              <w:p w14:paraId="59E1D3DD" w14:textId="737D2853" w:rsidR="002E7F2B" w:rsidRPr="00E903CA" w:rsidRDefault="00B24C3D" w:rsidP="002E7F2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</w:pPr>
                <w:r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 xml:space="preserve">+0,8 </w:t>
                </w:r>
                <w:r w:rsidR="00695F8B" w:rsidRPr="00E903CA">
                  <w:rPr>
                    <w:rFonts w:ascii="Arial" w:hAnsi="Arial" w:cs="Arial"/>
                    <w:b/>
                    <w:sz w:val="20"/>
                    <w:szCs w:val="20"/>
                    <w:lang w:val="es-ES"/>
                  </w:rPr>
                  <w:t>%</w:t>
                </w:r>
              </w:p>
            </w:tc>
          </w:tr>
        </w:tbl>
        <w:p w14:paraId="45C75DE4" w14:textId="0C69D982" w:rsidR="002E7F2B" w:rsidRDefault="002E7F2B" w:rsidP="002E7F2B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608B9895" w14:textId="77777777" w:rsidR="00A17D20" w:rsidRDefault="00A17D20" w:rsidP="002E7F2B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2B09CD4B" w14:textId="480051A6" w:rsidR="00766F86" w:rsidRDefault="00766F86" w:rsidP="00695F8B">
          <w:pPr>
            <w:jc w:val="both"/>
            <w:rPr>
              <w:rFonts w:ascii="Arial" w:hAnsi="Arial" w:cs="Arial"/>
              <w:sz w:val="22"/>
              <w:szCs w:val="22"/>
              <w:lang w:val="es-ES"/>
            </w:rPr>
          </w:pPr>
        </w:p>
        <w:p w14:paraId="56E20648" w14:textId="77777777" w:rsidR="00172652" w:rsidRDefault="00172652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08B14957" w14:textId="77777777" w:rsidR="00172652" w:rsidRDefault="00172652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648342B4" w14:textId="3817EB79" w:rsidR="003C3FC0" w:rsidRPr="00895E83" w:rsidRDefault="001D13BF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381E3845" w14:textId="7EB8E6A4" w:rsidR="008C6732" w:rsidRPr="00895E83" w:rsidRDefault="008C6732" w:rsidP="008C6732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>
        <w:rPr>
          <w:rFonts w:ascii="Arial" w:hAnsi="Arial" w:cs="Arial"/>
          <w:iCs/>
          <w:sz w:val="16"/>
          <w:szCs w:val="16"/>
          <w:lang w:val="es-ES"/>
        </w:rPr>
        <w:br/>
      </w:r>
      <w:r w:rsidRPr="00895E83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7</w:t>
      </w:r>
      <w:r w:rsidRPr="00895E83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>
        <w:rPr>
          <w:rFonts w:ascii="Arial" w:hAnsi="Arial" w:cs="Arial"/>
          <w:iCs/>
          <w:sz w:val="16"/>
          <w:szCs w:val="16"/>
          <w:lang w:val="es-ES"/>
        </w:rPr>
        <w:t>4</w:t>
      </w:r>
      <w:r w:rsidRPr="00895E83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760</w:t>
      </w:r>
      <w:r w:rsidRPr="00895E83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68</w:t>
      </w:r>
      <w:r w:rsidRPr="00895E83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>
        <w:rPr>
          <w:rFonts w:ascii="Arial" w:hAnsi="Arial" w:cs="Arial"/>
          <w:iCs/>
          <w:sz w:val="16"/>
          <w:szCs w:val="16"/>
          <w:lang w:val="es-ES"/>
        </w:rPr>
        <w:t>1</w:t>
      </w:r>
      <w:r w:rsidRPr="00895E83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>
        <w:rPr>
          <w:rFonts w:ascii="Arial" w:hAnsi="Arial" w:cs="Arial"/>
          <w:iCs/>
          <w:sz w:val="16"/>
          <w:szCs w:val="16"/>
          <w:lang w:val="es-ES"/>
        </w:rPr>
        <w:t>3</w:t>
      </w:r>
      <w:r w:rsidRPr="00895E83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895E83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895E83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9AC4661" w14:textId="2380DEF5" w:rsidR="00816BB1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21F62FA7" w14:textId="7C8EDA8D" w:rsidR="00E903CA" w:rsidRDefault="00E903CA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0F635EF8" w14:textId="723EFA6D" w:rsidR="00E903CA" w:rsidRDefault="00E903CA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51A197C" w14:textId="0550ADDA" w:rsidR="00E903CA" w:rsidRDefault="00E903CA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032A24CB" w14:textId="77777777" w:rsidR="00E903CA" w:rsidRPr="00895E83" w:rsidRDefault="00E903CA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Pr="00895E83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895E83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895E83">
        <w:rPr>
          <w:rFonts w:ascii="Arial" w:hAnsi="Arial" w:cs="Arial"/>
          <w:sz w:val="16"/>
          <w:szCs w:val="16"/>
          <w:lang w:val="es-ES"/>
        </w:rPr>
        <w:tab/>
      </w:r>
    </w:p>
    <w:p w14:paraId="17747D55" w14:textId="4C20ED27" w:rsidR="00CC6BAF" w:rsidRPr="00895E83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895E83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895E83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895E83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895E83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895E83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895E83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895E83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895E83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895E83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895E83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895E83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895E83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35FFA911" w:rsidR="00CC6BAF" w:rsidRPr="00895E83" w:rsidRDefault="00422E33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895E83">
        <w:rPr>
          <w:rFonts w:ascii="Arial" w:hAnsi="Arial" w:cs="Arial"/>
          <w:sz w:val="28"/>
          <w:szCs w:val="28"/>
          <w:lang w:val="es-ES"/>
        </w:rPr>
        <w:t>hugo</w:t>
      </w:r>
      <w:r w:rsidR="003C3FC0" w:rsidRPr="00895E83">
        <w:rPr>
          <w:rFonts w:ascii="Arial" w:hAnsi="Arial" w:cs="Arial"/>
          <w:sz w:val="28"/>
          <w:szCs w:val="28"/>
          <w:lang w:val="es-ES"/>
        </w:rPr>
        <w:t>.</w:t>
      </w:r>
      <w:r w:rsidRPr="00895E83">
        <w:rPr>
          <w:rFonts w:ascii="Arial" w:hAnsi="Arial" w:cs="Arial"/>
          <w:sz w:val="28"/>
          <w:szCs w:val="28"/>
          <w:lang w:val="es-ES"/>
        </w:rPr>
        <w:t>ureta</w:t>
      </w:r>
      <w:r w:rsidR="003C3FC0" w:rsidRPr="00895E83">
        <w:rPr>
          <w:rFonts w:ascii="Arial" w:hAnsi="Arial" w:cs="Arial"/>
          <w:sz w:val="28"/>
          <w:szCs w:val="28"/>
          <w:lang w:val="es-ES"/>
        </w:rPr>
        <w:t>-</w:t>
      </w:r>
      <w:r w:rsidRPr="00895E83">
        <w:rPr>
          <w:rFonts w:ascii="Arial" w:hAnsi="Arial" w:cs="Arial"/>
          <w:sz w:val="28"/>
          <w:szCs w:val="28"/>
          <w:lang w:val="es-ES"/>
        </w:rPr>
        <w:t>alonso</w:t>
      </w:r>
      <w:r w:rsidR="003C3FC0" w:rsidRPr="00895E83">
        <w:rPr>
          <w:rFonts w:ascii="Arial" w:hAnsi="Arial" w:cs="Arial"/>
          <w:sz w:val="28"/>
          <w:szCs w:val="28"/>
          <w:lang w:val="es-ES"/>
        </w:rPr>
        <w:t>@michelin.com</w:t>
      </w:r>
    </w:p>
    <w:p w14:paraId="7438ACE2" w14:textId="63548FC3" w:rsidR="00CC6BAF" w:rsidRPr="00895E83" w:rsidRDefault="00CC6BAF" w:rsidP="00CC6BAF">
      <w:pPr>
        <w:jc w:val="center"/>
        <w:rPr>
          <w:rFonts w:ascii="Arial" w:hAnsi="Arial" w:cs="Arial"/>
          <w:lang w:val="es-ES"/>
        </w:rPr>
      </w:pPr>
      <w:r w:rsidRPr="00895E83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895E83" w14:paraId="0DF1306C" w14:textId="77777777" w:rsidTr="00CC6BAF">
        <w:tc>
          <w:tcPr>
            <w:tcW w:w="9016" w:type="dxa"/>
          </w:tcPr>
          <w:p w14:paraId="64CFAB72" w14:textId="3CFD466E" w:rsidR="00CC6BAF" w:rsidRPr="00895E83" w:rsidRDefault="001D13B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1" w:history="1">
              <w:r w:rsidR="003C3FC0" w:rsidRPr="00895E83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895E83" w14:paraId="148A590E" w14:textId="77777777" w:rsidTr="00CC6BAF">
        <w:tc>
          <w:tcPr>
            <w:tcW w:w="9016" w:type="dxa"/>
          </w:tcPr>
          <w:p w14:paraId="78DB6A4F" w14:textId="4C2E4B3D" w:rsidR="00CC6BAF" w:rsidRPr="00895E83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895E83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95E83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895E83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117D1F6D" w:rsidR="00387E23" w:rsidRPr="00895E83" w:rsidRDefault="00766F8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="003C3FC0"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="003C3FC0" w:rsidRPr="00895E83">
        <w:rPr>
          <w:rFonts w:ascii="Arial" w:hAnsi="Arial" w:cs="Arial"/>
          <w:lang w:val="es-ES"/>
        </w:rPr>
        <w:t xml:space="preserve"> – 28760 Tres Cantos – Madrid. ESPAÑA</w:t>
      </w:r>
    </w:p>
    <w:sectPr w:rsidR="00387E23" w:rsidRPr="00895E83" w:rsidSect="00E36D8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148" w:left="1440" w:header="204" w:footer="933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AC67" w14:textId="77777777" w:rsidR="001D13BF" w:rsidRDefault="001D13BF" w:rsidP="00F24D98">
      <w:r>
        <w:separator/>
      </w:r>
    </w:p>
  </w:endnote>
  <w:endnote w:type="continuationSeparator" w:id="0">
    <w:p w14:paraId="3BA8C22E" w14:textId="77777777" w:rsidR="001D13BF" w:rsidRDefault="001D13BF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57BC4308" w:rsidR="0044379B" w:rsidRPr="00766F86" w:rsidRDefault="0044379B" w:rsidP="00766F86">
    <w:pPr>
      <w:tabs>
        <w:tab w:val="left" w:pos="1207"/>
      </w:tabs>
      <w:jc w:val="both"/>
      <w:rPr>
        <w:rFonts w:ascii="Arial" w:hAnsi="Arial" w:cs="Arial"/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83AE" w14:textId="77777777" w:rsidR="001D13BF" w:rsidRDefault="001D13BF" w:rsidP="00F24D98">
      <w:r>
        <w:separator/>
      </w:r>
    </w:p>
  </w:footnote>
  <w:footnote w:type="continuationSeparator" w:id="0">
    <w:p w14:paraId="646E52B8" w14:textId="77777777" w:rsidR="001D13BF" w:rsidRDefault="001D13BF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283534BC" w:rsidR="00B36FEE" w:rsidRDefault="008C6732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10553610" wp14:editId="4C13C1E2">
          <wp:simplePos x="0" y="0"/>
          <wp:positionH relativeFrom="column">
            <wp:posOffset>1642683</wp:posOffset>
          </wp:positionH>
          <wp:positionV relativeFrom="paragraph">
            <wp:posOffset>158379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59944558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AAE1F60" w:rsidR="001963B1" w:rsidRDefault="008C6732" w:rsidP="006C44F0">
    <w:pPr>
      <w:pStyle w:val="Encabezado"/>
      <w:ind w:left="-1418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2716283" wp14:editId="682A87A9">
          <wp:simplePos x="0" y="0"/>
          <wp:positionH relativeFrom="column">
            <wp:posOffset>1780248</wp:posOffset>
          </wp:positionH>
          <wp:positionV relativeFrom="paragraph">
            <wp:posOffset>185420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EUwSxz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77A2CA7B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43EB"/>
    <w:multiLevelType w:val="hybridMultilevel"/>
    <w:tmpl w:val="AC48C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11D0"/>
    <w:multiLevelType w:val="hybridMultilevel"/>
    <w:tmpl w:val="0F5C9B72"/>
    <w:lvl w:ilvl="0" w:tplc="CB446AC8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29BC"/>
    <w:multiLevelType w:val="hybridMultilevel"/>
    <w:tmpl w:val="92D22A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6E4B"/>
    <w:multiLevelType w:val="hybridMultilevel"/>
    <w:tmpl w:val="FFBA10C4"/>
    <w:lvl w:ilvl="0" w:tplc="0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73EF9"/>
    <w:multiLevelType w:val="hybridMultilevel"/>
    <w:tmpl w:val="0AC2126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87563"/>
    <w:multiLevelType w:val="hybridMultilevel"/>
    <w:tmpl w:val="687A8E2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34DF3"/>
    <w:multiLevelType w:val="hybridMultilevel"/>
    <w:tmpl w:val="4B02E796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</w:abstractNum>
  <w:abstractNum w:abstractNumId="10" w15:restartNumberingAfterBreak="0">
    <w:nsid w:val="6FF5620C"/>
    <w:multiLevelType w:val="hybridMultilevel"/>
    <w:tmpl w:val="4532EFC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400A9"/>
    <w:multiLevelType w:val="hybridMultilevel"/>
    <w:tmpl w:val="83305348"/>
    <w:lvl w:ilvl="0" w:tplc="B01804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528DD"/>
    <w:multiLevelType w:val="hybridMultilevel"/>
    <w:tmpl w:val="ABC2D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33186"/>
    <w:multiLevelType w:val="hybridMultilevel"/>
    <w:tmpl w:val="3A8202EE"/>
    <w:lvl w:ilvl="0" w:tplc="4C48E44C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00BD6"/>
    <w:rsid w:val="00012C61"/>
    <w:rsid w:val="00071B7E"/>
    <w:rsid w:val="000778DE"/>
    <w:rsid w:val="000854CC"/>
    <w:rsid w:val="000A5386"/>
    <w:rsid w:val="000B0D77"/>
    <w:rsid w:val="000B3F91"/>
    <w:rsid w:val="000E00B4"/>
    <w:rsid w:val="00112957"/>
    <w:rsid w:val="001162A2"/>
    <w:rsid w:val="00116A1A"/>
    <w:rsid w:val="00140656"/>
    <w:rsid w:val="00154400"/>
    <w:rsid w:val="00170CB5"/>
    <w:rsid w:val="001712BA"/>
    <w:rsid w:val="00172652"/>
    <w:rsid w:val="00186CCB"/>
    <w:rsid w:val="001963B1"/>
    <w:rsid w:val="001D13BF"/>
    <w:rsid w:val="001D57AF"/>
    <w:rsid w:val="001E520E"/>
    <w:rsid w:val="0021595A"/>
    <w:rsid w:val="00262F8B"/>
    <w:rsid w:val="00274DC8"/>
    <w:rsid w:val="002E7F2B"/>
    <w:rsid w:val="002F618D"/>
    <w:rsid w:val="00387E23"/>
    <w:rsid w:val="003930CA"/>
    <w:rsid w:val="00395651"/>
    <w:rsid w:val="003C09EE"/>
    <w:rsid w:val="003C3FC0"/>
    <w:rsid w:val="003C419D"/>
    <w:rsid w:val="003F197B"/>
    <w:rsid w:val="00414F37"/>
    <w:rsid w:val="0042207B"/>
    <w:rsid w:val="00422E33"/>
    <w:rsid w:val="00422FAA"/>
    <w:rsid w:val="004237CD"/>
    <w:rsid w:val="0044379B"/>
    <w:rsid w:val="0045418F"/>
    <w:rsid w:val="00471963"/>
    <w:rsid w:val="00484CB9"/>
    <w:rsid w:val="00493386"/>
    <w:rsid w:val="004A7A65"/>
    <w:rsid w:val="004C6A8C"/>
    <w:rsid w:val="004D7C63"/>
    <w:rsid w:val="004E3294"/>
    <w:rsid w:val="004E4143"/>
    <w:rsid w:val="00511304"/>
    <w:rsid w:val="005121D5"/>
    <w:rsid w:val="00523432"/>
    <w:rsid w:val="0052344F"/>
    <w:rsid w:val="00523D3C"/>
    <w:rsid w:val="00572127"/>
    <w:rsid w:val="00594F5C"/>
    <w:rsid w:val="005B00AE"/>
    <w:rsid w:val="00603CB3"/>
    <w:rsid w:val="006438A5"/>
    <w:rsid w:val="006836BA"/>
    <w:rsid w:val="006920B7"/>
    <w:rsid w:val="00695F8B"/>
    <w:rsid w:val="006A6195"/>
    <w:rsid w:val="006C3818"/>
    <w:rsid w:val="006C44F0"/>
    <w:rsid w:val="006D398C"/>
    <w:rsid w:val="006D68DB"/>
    <w:rsid w:val="00717E49"/>
    <w:rsid w:val="00743520"/>
    <w:rsid w:val="00757264"/>
    <w:rsid w:val="00761618"/>
    <w:rsid w:val="00766F86"/>
    <w:rsid w:val="0079576B"/>
    <w:rsid w:val="007B6803"/>
    <w:rsid w:val="007F37A6"/>
    <w:rsid w:val="00816BB1"/>
    <w:rsid w:val="00825FE8"/>
    <w:rsid w:val="00832D78"/>
    <w:rsid w:val="00834943"/>
    <w:rsid w:val="0083779A"/>
    <w:rsid w:val="0085450A"/>
    <w:rsid w:val="0086101C"/>
    <w:rsid w:val="008805C0"/>
    <w:rsid w:val="00895E83"/>
    <w:rsid w:val="008B072F"/>
    <w:rsid w:val="008C6732"/>
    <w:rsid w:val="008D321A"/>
    <w:rsid w:val="008F5893"/>
    <w:rsid w:val="0093532F"/>
    <w:rsid w:val="009455D7"/>
    <w:rsid w:val="00947800"/>
    <w:rsid w:val="009969D4"/>
    <w:rsid w:val="009C760B"/>
    <w:rsid w:val="00A05352"/>
    <w:rsid w:val="00A133C9"/>
    <w:rsid w:val="00A17D20"/>
    <w:rsid w:val="00A21C5F"/>
    <w:rsid w:val="00A6279B"/>
    <w:rsid w:val="00A72ECA"/>
    <w:rsid w:val="00A75B5C"/>
    <w:rsid w:val="00AB5624"/>
    <w:rsid w:val="00AC0E74"/>
    <w:rsid w:val="00AF4624"/>
    <w:rsid w:val="00B05B19"/>
    <w:rsid w:val="00B13DD6"/>
    <w:rsid w:val="00B24C3D"/>
    <w:rsid w:val="00B3179E"/>
    <w:rsid w:val="00B32BCE"/>
    <w:rsid w:val="00B36FEE"/>
    <w:rsid w:val="00B4380D"/>
    <w:rsid w:val="00B45C21"/>
    <w:rsid w:val="00B83473"/>
    <w:rsid w:val="00B97B28"/>
    <w:rsid w:val="00BC2889"/>
    <w:rsid w:val="00BE269E"/>
    <w:rsid w:val="00C13082"/>
    <w:rsid w:val="00C16B21"/>
    <w:rsid w:val="00C30BB4"/>
    <w:rsid w:val="00C53F0C"/>
    <w:rsid w:val="00C81551"/>
    <w:rsid w:val="00CC4893"/>
    <w:rsid w:val="00CC6BAF"/>
    <w:rsid w:val="00CE5E82"/>
    <w:rsid w:val="00D226AF"/>
    <w:rsid w:val="00D26D15"/>
    <w:rsid w:val="00D55011"/>
    <w:rsid w:val="00D729F5"/>
    <w:rsid w:val="00D9116F"/>
    <w:rsid w:val="00DB7FA5"/>
    <w:rsid w:val="00DE0B5B"/>
    <w:rsid w:val="00E20B62"/>
    <w:rsid w:val="00E319D4"/>
    <w:rsid w:val="00E36D80"/>
    <w:rsid w:val="00E46580"/>
    <w:rsid w:val="00E903CA"/>
    <w:rsid w:val="00E926C4"/>
    <w:rsid w:val="00EA512D"/>
    <w:rsid w:val="00EA6745"/>
    <w:rsid w:val="00EB1EF8"/>
    <w:rsid w:val="00ED5957"/>
    <w:rsid w:val="00ED7136"/>
    <w:rsid w:val="00F1127B"/>
    <w:rsid w:val="00F24D98"/>
    <w:rsid w:val="00F54E4E"/>
    <w:rsid w:val="00F6785B"/>
    <w:rsid w:val="00F9569F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682</Words>
  <Characters>3756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33</cp:revision>
  <dcterms:created xsi:type="dcterms:W3CDTF">2022-04-26T15:52:00Z</dcterms:created>
  <dcterms:modified xsi:type="dcterms:W3CDTF">2022-04-26T16:39:00Z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2022-04-26T15:51:16Z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4234e660-905c-438d-8979-9d441806085e</vt:lpwstr>
  </property>
  <property fmtid="{D5CDD505-2E9C-101B-9397-08002B2CF9AE}" pid="8" name="MSIP_Label_09e9a456-2778-4ca9-be06-1190b1e1118a_ContentBits">
    <vt:lpwstr>0</vt:lpwstr>
  </property>
</Properties>
</file>