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21.10.0 -->
  <w:body>
    <w:p>
      <w:pPr>
        <w:spacing w:before="0" w:after="0"/>
        <w:jc w:val="center"/>
        <w:rPr>
          <w:rFonts w:ascii="Verdana" w:eastAsia="Verdana" w:hAnsi="Verdana" w:cs="Verdana"/>
          <w:b/>
          <w:bCs/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 xml:space="preserve">BFGoodrich Trail-Terrain T/A, um pneu polivalente </w:t>
      </w:r>
      <w:r>
        <w:rPr>
          <w:rFonts w:ascii="Verdana" w:eastAsia="Verdana" w:hAnsi="Verdana" w:cs="Verdana"/>
          <w:b/>
          <w:bCs/>
          <w:sz w:val="28"/>
          <w:szCs w:val="28"/>
        </w:rPr>
        <w:br/>
      </w:r>
      <w:r>
        <w:rPr>
          <w:rFonts w:ascii="Verdana" w:eastAsia="Verdana" w:hAnsi="Verdana" w:cs="Verdana"/>
          <w:b/>
          <w:bCs/>
          <w:sz w:val="28"/>
          <w:szCs w:val="28"/>
        </w:rPr>
        <w:t>para todas as estações, em estrada e fora de estrada</w:t>
      </w:r>
    </w:p>
    <w:p>
      <w:pPr>
        <w:spacing w:before="0" w:after="0" w:line="360" w:lineRule="atLeast"/>
        <w:ind w:right="283"/>
        <w:jc w:val="center"/>
        <w:rPr>
          <w:rFonts w:ascii="Verdana" w:eastAsia="Verdana" w:hAnsi="Verdana" w:cs="Verdana"/>
          <w:b/>
          <w:bCs/>
          <w:sz w:val="36"/>
          <w:szCs w:val="36"/>
        </w:rPr>
      </w:pPr>
    </w:p>
    <w:p>
      <w:pPr>
        <w:spacing w:before="0" w:after="0" w:line="260" w:lineRule="atLeast"/>
        <w:ind w:right="283"/>
        <w:jc w:val="both"/>
        <w:rPr>
          <w:rFonts w:ascii="Verdana" w:eastAsia="Verdana" w:hAnsi="Verdana" w:cs="Verdana"/>
          <w:sz w:val="21"/>
          <w:szCs w:val="21"/>
        </w:rPr>
      </w:pPr>
    </w:p>
    <w:p>
      <w:pPr>
        <w:spacing w:before="0" w:after="0" w:line="260" w:lineRule="atLeast"/>
        <w:ind w:right="283"/>
        <w:jc w:val="both"/>
        <w:rPr>
          <w:rFonts w:ascii="Verdana" w:eastAsia="Verdana" w:hAnsi="Verdana" w:cs="Verdana"/>
          <w:sz w:val="21"/>
          <w:szCs w:val="21"/>
        </w:rPr>
      </w:pPr>
    </w:p>
    <w:p>
      <w:pPr>
        <w:spacing w:before="0" w:after="160" w:line="259" w:lineRule="auto"/>
        <w:jc w:val="both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A BFGoodrich lança na Europa o pneu BFGoodrich Trail-Terrain T/A, concebido para uma utilização diária tanto em estrada e fora de estrada, independentemente da estação do ano. </w:t>
      </w:r>
    </w:p>
    <w:p>
      <w:pPr>
        <w:spacing w:before="0" w:after="160" w:line="259" w:lineRule="auto"/>
        <w:jc w:val="both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Graças a um composto de borracha concebido para resistir aos impactos e às agressões, o novo pneu BFGoodrich Trail Terrain T/A permite uma utilização ocasional fora de estrada, especialmente em caminhos de gravilha e terra. O desenho dos ombros, com tacos laterais recortados e descentrados, foi otimizado para proporcionar tração em piso macio em situações de todo-o-terreno ligeiro, sem gerar ruído adicional em estrada, em que os canais laterais fechados garantem uma condução mais silenciosa em asfalto. </w:t>
      </w:r>
    </w:p>
    <w:p>
      <w:pPr>
        <w:spacing w:before="0" w:after="160" w:line="259" w:lineRule="auto"/>
        <w:jc w:val="both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O BFGoodrich Trail Terrain T/A também oferece uma excelente tração quando a temperatura exterior baixa. As profundas lamelas autoblocantes 3D foram desenhadas como arestas suplementarias aos tacos, destinando-se a melhorar a aderência em superfícies escorregadias durante toda a vida útil do pneu. A classificação 3PMSF (3 Peak Mountain Snow Flake) atesta as suas performances no inverno, inclusive em condições de neve intensa. </w:t>
      </w:r>
    </w:p>
    <w:p>
      <w:pPr>
        <w:spacing w:before="0" w:after="160" w:line="259" w:lineRule="auto"/>
        <w:jc w:val="both"/>
        <w:rPr>
          <w:sz w:val="22"/>
          <w:szCs w:val="22"/>
        </w:rPr>
      </w:pPr>
      <w:r>
        <w:rPr>
          <w:rFonts w:ascii="Verdana" w:eastAsia="Verdana" w:hAnsi="Verdana" w:cs="Verdana"/>
          <w:i/>
          <w:iCs/>
          <w:sz w:val="22"/>
          <w:szCs w:val="22"/>
        </w:rPr>
        <w:t>“Ao longo da última década, o crecimento das atividades de lazer ao ar livre levou a uma elevada procura por veículos CUV, SUV, pick-up e de todo-o-terreno, equipados com transmissão integral”</w:t>
      </w:r>
      <w:r>
        <w:rPr>
          <w:rFonts w:ascii="Verdana" w:eastAsia="Verdana" w:hAnsi="Verdana" w:cs="Verdana"/>
          <w:sz w:val="22"/>
          <w:szCs w:val="22"/>
        </w:rPr>
        <w:t xml:space="preserve">, declara Sandrine Combeaux, Diretora da BFGoodrich para a Europa. </w:t>
      </w:r>
      <w:r>
        <w:rPr>
          <w:rFonts w:ascii="Verdana" w:eastAsia="Verdana" w:hAnsi="Verdana" w:cs="Verdana"/>
          <w:i/>
          <w:iCs/>
          <w:sz w:val="22"/>
          <w:szCs w:val="22"/>
        </w:rPr>
        <w:t>“Os fabricantes de automóveis e os utilizadores exigem veículos que lhes ofereçam algumas capacidades todo-o-terreno, ao mesmo tempo mantendo um comportamento dinâmico e um conforto excelentes para circular em estrada. O novo BFGoodrich Trail-Terrain T/A completa a nossa atual gama, e foi especialmente concebido para aqueles consumidores tanto pretendem usufruir de um magnífico desempenho em estrada, como da capacidade para se aventurarem fora de ela”</w:t>
      </w:r>
      <w:r>
        <w:rPr>
          <w:rFonts w:ascii="Verdana" w:eastAsia="Verdana" w:hAnsi="Verdana" w:cs="Verdana"/>
          <w:sz w:val="22"/>
          <w:szCs w:val="22"/>
        </w:rPr>
        <w:t xml:space="preserve">.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O novo BFGoodrich Trail-Terrain T/A está disponível em 45 medidas, algumas dos quais com letras brancas em relevo.</w:t>
      </w:r>
    </w:p>
    <w:p>
      <w:pPr>
        <w:spacing w:before="0" w:after="0"/>
        <w:ind w:right="284"/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>
      <w:pPr>
        <w:spacing w:before="0" w:after="0"/>
        <w:ind w:right="284"/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>
      <w:pPr>
        <w:spacing w:before="0" w:after="0"/>
        <w:ind w:right="284"/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>
      <w:pPr>
        <w:spacing w:before="0" w:after="0"/>
        <w:ind w:right="284"/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>
      <w:pPr>
        <w:spacing w:before="0" w:after="0"/>
        <w:ind w:right="284"/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>
      <w:pPr>
        <w:spacing w:before="0" w:after="0"/>
        <w:ind w:right="284"/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>
      <w:pPr>
        <w:spacing w:before="0" w:after="0"/>
        <w:ind w:right="284"/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>
      <w:pPr>
        <w:spacing w:before="0" w:after="0"/>
        <w:ind w:right="284"/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>
      <w:pPr>
        <w:spacing w:before="0" w:after="0"/>
        <w:ind w:right="284"/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>
      <w:pPr>
        <w:spacing w:before="0" w:after="0"/>
        <w:ind w:right="284"/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>
      <w:pPr>
        <w:spacing w:before="0" w:after="0"/>
        <w:ind w:right="284"/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>
      <w:pPr>
        <w:spacing w:before="0" w:after="0"/>
        <w:ind w:right="284"/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>
      <w:pPr>
        <w:spacing w:before="0" w:after="0"/>
        <w:ind w:right="284"/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>
      <w:pPr>
        <w:spacing w:before="0" w:after="0"/>
        <w:ind w:right="284"/>
        <w:jc w:val="both"/>
        <w:rPr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Sobre a BFGoodrich®</w:t>
      </w:r>
    </w:p>
    <w:p>
      <w:pPr>
        <w:spacing w:before="0" w:after="0"/>
        <w:ind w:right="284"/>
        <w:jc w:val="both"/>
      </w:pPr>
      <w:r>
        <w:rPr>
          <w:rFonts w:ascii="Verdana" w:eastAsia="Verdana" w:hAnsi="Verdana" w:cs="Verdana"/>
          <w:sz w:val="18"/>
          <w:szCs w:val="18"/>
        </w:rPr>
        <w:t xml:space="preserve">Com 150 anos de história, a BFGoodrich® oferece pneus de alta performance para os utilizadores que têm paixão pela condução. Combinando o conhecimento técnico com 45 anos de presença em competições desportivas, a BFGoodrich oferece pneus para una ampla variedade de experiências, desde a condução diária à utilização off-road ou em circuito, com um lema comum: a performance extrema. Para mais informação: </w:t>
      </w:r>
      <w:hyperlink r:id="rId4" w:history="1">
        <w:r>
          <w:rPr>
            <w:rFonts w:ascii="Verdana" w:eastAsia="Verdana" w:hAnsi="Verdana" w:cs="Verdana"/>
            <w:color w:val="0000FF"/>
            <w:sz w:val="18"/>
            <w:szCs w:val="18"/>
            <w:u w:val="single" w:color="0000FF"/>
          </w:rPr>
          <w:t>www.bfgoodrich.pt</w:t>
        </w:r>
      </w:hyperlink>
    </w:p>
    <w:p>
      <w:pPr>
        <w:spacing w:before="0" w:after="0"/>
        <w:ind w:right="283"/>
        <w:jc w:val="both"/>
        <w:rPr>
          <w:rFonts w:ascii="Verdana" w:eastAsia="Verdana" w:hAnsi="Verdana" w:cs="Verdana"/>
          <w:i/>
          <w:iCs/>
          <w:sz w:val="18"/>
          <w:szCs w:val="18"/>
        </w:rPr>
      </w:pPr>
    </w:p>
    <w:p>
      <w:pPr>
        <w:spacing w:before="0" w:after="0"/>
        <w:ind w:right="283"/>
        <w:rPr>
          <w:rFonts w:ascii="Arial" w:eastAsia="Arial" w:hAnsi="Arial" w:cs="Arial"/>
          <w:b/>
          <w:bCs/>
          <w:color w:val="808080"/>
          <w:sz w:val="18"/>
          <w:szCs w:val="18"/>
        </w:rPr>
      </w:pPr>
    </w:p>
    <w:p>
      <w:pPr>
        <w:spacing w:before="0" w:after="0"/>
        <w:ind w:right="283"/>
        <w:rPr>
          <w:sz w:val="18"/>
          <w:szCs w:val="18"/>
        </w:rPr>
      </w:pPr>
      <w:r>
        <w:rPr>
          <w:rFonts w:ascii="Verdana" w:eastAsia="Verdana" w:hAnsi="Verdana" w:cs="Verdana"/>
          <w:b/>
          <w:bCs/>
          <w:color w:val="808080"/>
          <w:sz w:val="18"/>
          <w:szCs w:val="18"/>
        </w:rPr>
        <w:t>DEPARTAMENTO DE COMUNICAÇÃO</w:t>
      </w:r>
    </w:p>
    <w:p>
      <w:pPr>
        <w:spacing w:before="0" w:after="0"/>
        <w:ind w:right="283"/>
        <w:rPr>
          <w:sz w:val="18"/>
          <w:szCs w:val="18"/>
        </w:rPr>
      </w:pPr>
      <w:r>
        <w:rPr>
          <w:rFonts w:ascii="Verdana" w:eastAsia="Verdana" w:hAnsi="Verdana" w:cs="Verdana"/>
          <w:color w:val="808080"/>
          <w:sz w:val="18"/>
          <w:szCs w:val="18"/>
        </w:rPr>
        <w:t xml:space="preserve">Ronda de Poniente, 6 </w:t>
      </w:r>
    </w:p>
    <w:p>
      <w:pPr>
        <w:spacing w:before="0" w:after="0"/>
        <w:ind w:right="283"/>
        <w:rPr>
          <w:sz w:val="18"/>
          <w:szCs w:val="18"/>
        </w:rPr>
      </w:pPr>
      <w:r>
        <w:rPr>
          <w:rFonts w:ascii="Verdana" w:eastAsia="Verdana" w:hAnsi="Verdana" w:cs="Verdana"/>
          <w:color w:val="808080"/>
          <w:sz w:val="18"/>
          <w:szCs w:val="18"/>
        </w:rPr>
        <w:t>28760 Tres Cantos – Madrid – ESPAÑA</w:t>
      </w:r>
    </w:p>
    <w:p>
      <w:pPr>
        <w:spacing w:before="0" w:after="0"/>
        <w:ind w:right="283"/>
        <w:rPr>
          <w:sz w:val="18"/>
          <w:szCs w:val="18"/>
        </w:rPr>
      </w:pPr>
      <w:r>
        <w:rPr>
          <w:rFonts w:ascii="Verdana" w:eastAsia="Verdana" w:hAnsi="Verdana" w:cs="Verdana"/>
          <w:color w:val="808080"/>
          <w:sz w:val="18"/>
          <w:szCs w:val="18"/>
        </w:rPr>
        <w:t xml:space="preserve">Tel: 0034 914 105 167 </w:t>
      </w:r>
    </w:p>
    <w:sectPr>
      <w:headerReference w:type="default" r:id="rId5"/>
      <w:footerReference w:type="default" r:id="rId6"/>
      <w:type w:val="nextPage"/>
      <w:pgSz w:w="11906" w:h="16838"/>
      <w:pgMar w:top="1735" w:right="1410" w:bottom="1353" w:left="1418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t>2</w:t>
    </w:r>
    <w:r>
      <w:rPr>
        <w:rFonts w:ascii="Cambria" w:eastAsia="Cambria" w:hAnsi="Cambria" w:cs="Cambria"/>
      </w:rPr>
      <w:fldChar w:fldCharType="end"/>
    </w:r>
  </w:p>
  <w:p>
    <w:pPr>
      <w:spacing w:before="0" w:after="0"/>
      <w:ind w:left="1701" w:firstLine="360"/>
      <w:rPr>
        <w:rFonts w:ascii="Cambria" w:eastAsia="Cambria" w:hAnsi="Cambria" w:cs="Cambria"/>
        <w:sz w:val="24"/>
        <w:szCs w:val="24"/>
      </w:rPr>
    </w:pPr>
  </w:p>
  <w:p>
    <w:pPr>
      <w:spacing w:before="0" w:after="0"/>
      <w:rPr>
        <w:rFonts w:ascii="Times New Roman" w:eastAsia="Times New Roman" w:hAnsi="Times New Roman" w:cs="Times New Roman"/>
        <w:sz w:val="24"/>
        <w:szCs w:val="2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keepNext/>
      <w:spacing w:before="0" w:after="230"/>
      <w:jc w:val="right"/>
    </w:pPr>
    <w:r>
      <w:rPr>
        <w:strike w:val="0"/>
        <w:u w:val="none"/>
      </w:rPr>
      <w:drawing>
        <wp:anchor simplePos="0" relativeHeight="251658240" behindDoc="0" locked="0" layoutInCell="1" allowOverlap="0">
          <wp:simplePos x="0" y="0"/>
          <wp:positionH relativeFrom="column">
            <wp:align>left</wp:align>
          </wp:positionH>
          <wp:positionV relativeFrom="paragraph">
            <wp:posOffset>254635</wp:posOffset>
          </wp:positionV>
          <wp:extent cx="2428875" cy="390525"/>
          <wp:wrapSquare wrapText="bothSides"/>
          <wp:docPr id="100001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1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24288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keepNext/>
      <w:spacing w:before="0" w:after="230"/>
      <w:ind w:left="7788"/>
      <w:jc w:val="center"/>
    </w:pPr>
    <w:r>
      <w:rPr>
        <w:rFonts w:ascii="Verdana" w:eastAsia="Verdana" w:hAnsi="Verdana" w:cs="Verdana"/>
        <w:b/>
        <w:bCs/>
        <w:color w:val="808080"/>
      </w:rPr>
      <w:t xml:space="preserve">                                                           </w:t>
    </w:r>
    <w:r>
      <w:rPr>
        <w:rFonts w:ascii="Verdana" w:eastAsia="Verdana" w:hAnsi="Verdana" w:cs="Verdana"/>
        <w:b/>
        <w:bCs/>
        <w:color w:val="808080"/>
      </w:rPr>
      <w:t xml:space="preserve">  </w:t>
    </w:r>
    <w:r>
      <w:rPr>
        <w:rFonts w:ascii="Verdana" w:eastAsia="Verdana" w:hAnsi="Verdana" w:cs="Verdana"/>
        <w:b/>
        <w:bCs/>
        <w:color w:val="808080"/>
      </w:rPr>
      <w:br/>
    </w:r>
    <w:r>
      <w:rPr>
        <w:rFonts w:ascii="Verdana" w:eastAsia="Verdana" w:hAnsi="Verdana" w:cs="Verdana"/>
        <w:color w:val="808080"/>
        <w:sz w:val="22"/>
        <w:szCs w:val="22"/>
      </w:rPr>
      <w:t xml:space="preserve">                                                             </w:t>
    </w:r>
    <w:r>
      <w:rPr>
        <w:rFonts w:ascii="Verdana" w:eastAsia="Verdana" w:hAnsi="Verdana" w:cs="Verdana"/>
        <w:color w:val="808080"/>
        <w:sz w:val="22"/>
        <w:szCs w:val="22"/>
      </w:rPr>
      <w:t xml:space="preserve">        </w:t>
    </w:r>
    <w:r>
      <w:rPr>
        <w:rFonts w:ascii="Verdana" w:eastAsia="Verdana" w:hAnsi="Verdana" w:cs="Verdana"/>
        <w:color w:val="808080"/>
        <w:sz w:val="22"/>
        <w:szCs w:val="22"/>
      </w:rPr>
      <w:t xml:space="preserve">                     </w:t>
    </w:r>
    <w:r>
      <w:rPr>
        <w:rFonts w:ascii="Verdana" w:eastAsia="Verdana" w:hAnsi="Verdana" w:cs="Verdana"/>
        <w:color w:val="808080"/>
        <w:sz w:val="22"/>
        <w:szCs w:val="22"/>
      </w:rPr>
      <w:t xml:space="preserve"> </w:t>
    </w:r>
    <w:r>
      <w:rPr>
        <w:rFonts w:ascii="Verdana" w:eastAsia="Verdana" w:hAnsi="Verdana" w:cs="Verdana"/>
        <w:color w:val="808080"/>
        <w:sz w:val="22"/>
        <w:szCs w:val="22"/>
      </w:rPr>
      <w:t>3/10/2022</w:t>
    </w:r>
  </w:p>
  <w:p>
    <w:pPr>
      <w:spacing w:before="0" w:after="0"/>
      <w:jc w:val="right"/>
    </w:pPr>
    <w:r>
      <w:rPr>
        <w:rFonts w:ascii="Cambria" w:eastAsia="Cambria" w:hAnsi="Cambria" w:cs="Cambria"/>
      </w:rPr>
      <w:t xml:space="preserve"> </w:t>
    </w:r>
  </w:p>
  <w:p>
    <w:pPr>
      <w:spacing w:before="0" w:after="0"/>
      <w:rPr>
        <w:rFonts w:ascii="Times New Roman" w:eastAsia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bfgoodrich.pt" TargetMode="Externa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