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1CE3BA7F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7765960" w14:textId="77777777" w:rsidR="00173D96" w:rsidRPr="006D4CB8" w:rsidRDefault="00173D96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8E5ADB4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B43B39">
        <w:rPr>
          <w:rFonts w:ascii="Arial" w:hAnsi="Arial" w:cs="Arial"/>
          <w:sz w:val="20"/>
          <w:szCs w:val="20"/>
          <w:lang w:val="es-ES"/>
        </w:rPr>
        <w:t>6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B43B39">
        <w:rPr>
          <w:rFonts w:ascii="Arial" w:hAnsi="Arial" w:cs="Arial"/>
          <w:sz w:val="20"/>
          <w:szCs w:val="20"/>
          <w:lang w:val="es-ES"/>
        </w:rPr>
        <w:t>octubre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707806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424F9D67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035656FB" w14:textId="77777777" w:rsidR="00173D96" w:rsidRPr="006D4CB8" w:rsidRDefault="00173D96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7460AE29" w14:textId="56CA4EAB" w:rsidR="006D398C" w:rsidRPr="006D4CB8" w:rsidRDefault="006111FB" w:rsidP="00173D96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El </w:t>
          </w:r>
          <w:r w:rsidR="007920FA">
            <w:rPr>
              <w:rFonts w:ascii="Arial" w:hAnsi="Arial" w:cs="Arial"/>
              <w:b/>
              <w:sz w:val="28"/>
              <w:szCs w:val="28"/>
              <w:lang w:val="es-ES"/>
            </w:rPr>
            <w:t>coche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sigue siendo el medio de transporte preferido por los habitantes de las grandes ciudades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</w:p>
        <w:p w14:paraId="2E8110D3" w14:textId="4D810241" w:rsidR="00B43B39" w:rsidRPr="006D4CB8" w:rsidRDefault="00B43B39" w:rsidP="00B43B3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Seis de cada diez personas que residen en grandes ciudades reconocen utilizar el coche como medio de transporte habitual, según el Barómetro de Seguridad Vial y Movilidad 2022</w:t>
          </w:r>
          <w:r w:rsidR="00FE0E02">
            <w:rPr>
              <w:rFonts w:ascii="Arial" w:eastAsia="Calibri" w:hAnsi="Arial" w:cs="Arial"/>
              <w:lang w:val="es-ES" w:eastAsia="en-US"/>
            </w:rPr>
            <w:t xml:space="preserve"> de FESVIAL y Michelin</w:t>
          </w:r>
        </w:p>
        <w:p w14:paraId="3BA40E98" w14:textId="74D79BDF" w:rsidR="00E43A41" w:rsidRPr="00E43A41" w:rsidRDefault="00E43A41" w:rsidP="00E43A4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La preocupación de los habitantes de las grandes ciudades por la seguridad vial queda relegada a un segundo plano</w:t>
          </w:r>
          <w:r w:rsidR="006111FB">
            <w:rPr>
              <w:rFonts w:ascii="Arial" w:eastAsia="Calibri" w:hAnsi="Arial" w:cs="Arial"/>
              <w:lang w:val="es-ES" w:eastAsia="en-US"/>
            </w:rPr>
            <w:t>,</w:t>
          </w:r>
          <w:r>
            <w:rPr>
              <w:rFonts w:ascii="Arial" w:eastAsia="Calibri" w:hAnsi="Arial" w:cs="Arial"/>
              <w:lang w:val="es-ES" w:eastAsia="en-US"/>
            </w:rPr>
            <w:t xml:space="preserve"> frente a cuestiones como la movilidad o la accesibilidad</w:t>
          </w:r>
        </w:p>
        <w:p w14:paraId="26533D61" w14:textId="288038D7" w:rsidR="00E43A41" w:rsidRPr="006D4CB8" w:rsidRDefault="00373DE4" w:rsidP="00E43A4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Necesidad de una mayor formación y sensibilización en seguridad vial por parte de todos los usuarios de la vía, desde peatones y conductores hasta ciclistas o usuarios de patinetes  </w:t>
          </w: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BB467A8" w14:textId="77777777" w:rsidR="00373DE4" w:rsidRDefault="00373DE4" w:rsidP="00373DE4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</w:p>
        <w:p w14:paraId="142D3CFD" w14:textId="426135CD" w:rsidR="00373DE4" w:rsidRDefault="00373DE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73DE4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El </w:t>
          </w:r>
          <w:r w:rsidR="007920FA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coche </w:t>
          </w:r>
          <w:r w:rsidRPr="00373DE4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sigue siendo el medio de transporte </w:t>
          </w:r>
          <w:r w:rsidR="00173D96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urbano </w:t>
          </w:r>
          <w:r w:rsidRPr="00373DE4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preferido por los </w:t>
          </w:r>
          <w:r w:rsidR="00173D96">
            <w:rPr>
              <w:rFonts w:ascii="Arial" w:hAnsi="Arial" w:cs="Arial"/>
              <w:bCs/>
              <w:sz w:val="20"/>
              <w:szCs w:val="20"/>
              <w:lang w:val="es-ES"/>
            </w:rPr>
            <w:t>usuarios</w:t>
          </w:r>
          <w:r w:rsidRPr="00373DE4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, que muestran </w:t>
          </w:r>
          <w:r w:rsidR="00173D96">
            <w:rPr>
              <w:rFonts w:ascii="Arial" w:hAnsi="Arial" w:cs="Arial"/>
              <w:bCs/>
              <w:sz w:val="20"/>
              <w:szCs w:val="20"/>
              <w:lang w:val="es-ES"/>
            </w:rPr>
            <w:t>un nivel de preocupación bajo</w:t>
          </w:r>
          <w:r w:rsidRPr="00373DE4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 por la seguridad vial</w:t>
          </w:r>
          <w:r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. Estas son algunas de las principales </w:t>
          </w:r>
          <w:r w:rsidR="00B43B39">
            <w:rPr>
              <w:rFonts w:ascii="Arial" w:hAnsi="Arial" w:cs="Arial"/>
              <w:sz w:val="20"/>
              <w:szCs w:val="20"/>
              <w:lang w:val="es-ES"/>
            </w:rPr>
            <w:t xml:space="preserve">conclusiones del Barómetro FESVIAL de Seguridad Vial y Movilidad </w:t>
          </w:r>
          <w:r>
            <w:rPr>
              <w:rFonts w:ascii="Arial" w:hAnsi="Arial" w:cs="Arial"/>
              <w:sz w:val="20"/>
              <w:szCs w:val="20"/>
              <w:lang w:val="es-ES"/>
            </w:rPr>
            <w:t>2022</w:t>
          </w:r>
          <w:r w:rsidR="00B43B39">
            <w:rPr>
              <w:rFonts w:ascii="Arial" w:hAnsi="Arial" w:cs="Arial"/>
              <w:sz w:val="20"/>
              <w:szCs w:val="20"/>
              <w:lang w:val="es-ES"/>
            </w:rPr>
            <w:t>, realizado por la Fundación Española para la Seguridad Vial (FESVIAL) y Michelin</w:t>
          </w:r>
          <w:r>
            <w:rPr>
              <w:rFonts w:ascii="Arial" w:hAnsi="Arial" w:cs="Arial"/>
              <w:sz w:val="20"/>
              <w:szCs w:val="20"/>
              <w:lang w:val="es-ES"/>
            </w:rPr>
            <w:t>, que en esta edición se ha centrado en las cuestiones básicas de seguridad vial y movilidad en las grandes ciudades.</w:t>
          </w:r>
        </w:p>
        <w:p w14:paraId="076AE074" w14:textId="2A316AC1" w:rsidR="00AB3AEA" w:rsidRDefault="00AB3AE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6EB9BB" w14:textId="1A10BDE0" w:rsidR="006C35D6" w:rsidRPr="006C35D6" w:rsidRDefault="006C35D6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6C35D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El coche sigue siendo el medio de transporte preferido en la ciudad </w:t>
          </w:r>
        </w:p>
        <w:p w14:paraId="54A6FED0" w14:textId="77777777" w:rsidR="006C35D6" w:rsidRDefault="006C35D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D932D3" w14:textId="080215BF" w:rsidR="00AB3AEA" w:rsidRDefault="00AB3AE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estudio, realizado sobre las grandes ciudades españolas</w:t>
          </w:r>
          <w:r w:rsidRPr="00BB0FCD">
            <w:rPr>
              <w:rFonts w:ascii="Arial" w:hAnsi="Arial" w:cs="Arial"/>
              <w:sz w:val="20"/>
              <w:szCs w:val="20"/>
              <w:lang w:val="es-ES"/>
            </w:rPr>
            <w:t xml:space="preserve">, revela que, pese a las diferentes políticas y medidas de movilidad sostenible que se están implementando, </w:t>
          </w:r>
          <w:r w:rsidR="007920FA" w:rsidRPr="00BB0FCD">
            <w:rPr>
              <w:rFonts w:ascii="Arial" w:hAnsi="Arial" w:cs="Arial"/>
              <w:sz w:val="20"/>
              <w:szCs w:val="20"/>
              <w:lang w:val="es-ES"/>
            </w:rPr>
            <w:t xml:space="preserve">un 60,5% de las </w:t>
          </w:r>
          <w:r w:rsidRPr="00BB0FCD">
            <w:rPr>
              <w:rFonts w:ascii="Arial" w:hAnsi="Arial" w:cs="Arial"/>
              <w:sz w:val="20"/>
              <w:szCs w:val="20"/>
              <w:lang w:val="es-ES"/>
            </w:rPr>
            <w:t>personas que residen en grandes ciudades reconocen utilizar el coche para sus desplazamientos habituales,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920FA">
            <w:rPr>
              <w:rFonts w:ascii="Arial" w:hAnsi="Arial" w:cs="Arial"/>
              <w:sz w:val="20"/>
              <w:szCs w:val="20"/>
              <w:lang w:val="es-ES"/>
            </w:rPr>
            <w:t xml:space="preserve">ya sea un vehículo particular, transporte público 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>(</w:t>
          </w:r>
          <w:r w:rsidR="007920FA">
            <w:rPr>
              <w:rFonts w:ascii="Arial" w:hAnsi="Arial" w:cs="Arial"/>
              <w:sz w:val="20"/>
              <w:szCs w:val="20"/>
              <w:lang w:val="es-ES"/>
            </w:rPr>
            <w:t>taxi o los VTC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>)</w:t>
          </w:r>
          <w:r w:rsidR="007920FA">
            <w:rPr>
              <w:rFonts w:ascii="Arial" w:hAnsi="Arial" w:cs="Arial"/>
              <w:sz w:val="20"/>
              <w:szCs w:val="20"/>
              <w:lang w:val="es-ES"/>
            </w:rPr>
            <w:t xml:space="preserve"> o el coche compartido,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valorando por encima de todo la seguridad, la comodidad y la capacidad de carga que aporta este medio de transporte. </w:t>
          </w:r>
          <w:r w:rsidR="007920FA">
            <w:rPr>
              <w:rFonts w:ascii="Arial" w:hAnsi="Arial" w:cs="Arial"/>
              <w:sz w:val="20"/>
              <w:szCs w:val="20"/>
              <w:lang w:val="es-ES"/>
            </w:rPr>
            <w:t>Al coche le siguen el transporte público (18,8%), los desplazamientos caminando (8,2%), la bicicleta o patinete (7,7%) y la motocicleta o ciclomotor (4,8%).</w:t>
          </w:r>
        </w:p>
        <w:p w14:paraId="12FEB029" w14:textId="4FB8C4A0" w:rsidR="006C35D6" w:rsidRDefault="006C35D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E5BFCA5" w14:textId="00CAE0E4" w:rsidR="006C35D6" w:rsidRDefault="006C35D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población encuestada en las 10 principales ciudades españolas ha manifestado en un 43,5% su predisposición a utilizar el transporte público para desplazarse al centro de la ciudad 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 xml:space="preserve">para realizar </w:t>
          </w:r>
          <w:r>
            <w:rPr>
              <w:rFonts w:ascii="Arial" w:hAnsi="Arial" w:cs="Arial"/>
              <w:sz w:val="20"/>
              <w:szCs w:val="20"/>
              <w:lang w:val="es-ES"/>
            </w:rPr>
            <w:t>actividades como ir de compras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>;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 en un 38,3% a moverse andando, especialmente en salidas de ocio. Pero la aceptación de otras formas de movilidad como el coche compartido (8,2%), la motocicleta (4,7%) o la bicicleta/patinete (3,7%), que se utilizan principalmente para ir a trabajar o al centro de estudios, es muy baja. </w:t>
          </w:r>
        </w:p>
        <w:p w14:paraId="55A17C73" w14:textId="0F51012F" w:rsidR="007920FA" w:rsidRDefault="007920F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A73481" w14:textId="29EC5349" w:rsidR="006C35D6" w:rsidRDefault="006C35D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opinión de los encuestados sobre la facilidad de los desplazamientos urbanos es bastante positiva en aspectos como la iluminación o el estado de la vía en general, siendo el aparcamiento en el caso de los coches el que recibe peor puntuación, ya que el 73% de los encuestados opina que la facilidad para aparcar en las grandes cuidades es 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>“</w:t>
          </w:r>
          <w:r>
            <w:rPr>
              <w:rFonts w:ascii="Arial" w:hAnsi="Arial" w:cs="Arial"/>
              <w:sz w:val="20"/>
              <w:szCs w:val="20"/>
              <w:lang w:val="es-ES"/>
            </w:rPr>
            <w:t>regular o mala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En términos globales, la valoración media otorgada en cuanto a “facilidad de desplazamientos” es buena, con 2,91 </w:t>
          </w:r>
          <w:r w:rsidR="00173D96">
            <w:rPr>
              <w:rFonts w:ascii="Arial" w:hAnsi="Arial" w:cs="Arial"/>
              <w:sz w:val="20"/>
              <w:szCs w:val="20"/>
              <w:lang w:val="es-ES"/>
            </w:rPr>
            <w:t xml:space="preserve">puntos </w:t>
          </w:r>
          <w:r>
            <w:rPr>
              <w:rFonts w:ascii="Arial" w:hAnsi="Arial" w:cs="Arial"/>
              <w:sz w:val="20"/>
              <w:szCs w:val="20"/>
              <w:lang w:val="es-ES"/>
            </w:rPr>
            <w:t>sobre 5</w:t>
          </w:r>
          <w:r w:rsidR="0005654B">
            <w:rPr>
              <w:rFonts w:ascii="Arial" w:hAnsi="Arial" w:cs="Arial"/>
              <w:sz w:val="20"/>
              <w:szCs w:val="20"/>
              <w:lang w:val="es-ES"/>
            </w:rPr>
            <w:t xml:space="preserve">, destacando la “facilidad para moverse por la ciudad en moto”, valorada como muy buena en un 58,8% de los casos.  </w:t>
          </w:r>
        </w:p>
        <w:p w14:paraId="00776E52" w14:textId="6A43DDE0" w:rsidR="00373DE4" w:rsidRDefault="00373DE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8A3C9B8" w14:textId="4E7E6E89" w:rsidR="00173D96" w:rsidRDefault="00173D9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635DAD" w14:textId="760DA2DE" w:rsidR="00173D96" w:rsidRDefault="00173D9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83C865" w14:textId="419A9FC8" w:rsidR="007920FA" w:rsidRPr="007920FA" w:rsidRDefault="007920FA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920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seguridad vial, poco valorada por los habitantes de las grandes ciudades</w:t>
          </w:r>
        </w:p>
        <w:p w14:paraId="5B49FD5A" w14:textId="7319F941" w:rsidR="00511304" w:rsidRDefault="0051130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4A2185FB" w:rsidR="006C3818" w:rsidRDefault="0005654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Según el ranking de los 10 problemas con los que se encuentran las grandes ciudades planteados en el Barómetro FESVIAL de Seguridad y Movilidad 2022, la seguridad vial ocupa el octavo puesto, por detrás de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 xml:space="preserve"> otros como 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 estado de limpieza de las calles y de la recogida de basuras. Sin embargo, los problemas de movilidad y accesibilidad son la segunda mayor preocupación, 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>siendo el primero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seguridad ciudadana.  </w:t>
          </w:r>
        </w:p>
        <w:p w14:paraId="4DD6E1C9" w14:textId="77777777" w:rsidR="007920FA" w:rsidRPr="006D4CB8" w:rsidRDefault="007920F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73514E" w14:textId="7AE4B4EA" w:rsidR="0005654B" w:rsidRDefault="0005654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estudio también muestra que las principales ciudades españolas obtienen un aprobado en seguridad vial, con una valoración media de 2,94 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 xml:space="preserve">puntos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sobre 5 en lo que se refiere a usuarios no motorizados (peatones, ciclistas y usuarios de patinetes), y de 3,05 puntos en el caso de los usuarios motorizados. </w:t>
          </w:r>
        </w:p>
        <w:p w14:paraId="66C3F84A" w14:textId="071928B8" w:rsidR="000260EC" w:rsidRDefault="000260E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3BDBA8" w14:textId="242E2B91" w:rsidR="000260EC" w:rsidRDefault="000260E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aspectos mejor evaluados en el Barómetro FESVIAL son los referidos a la situación de 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 xml:space="preserve">las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señales de tráfico, semáforos y paneles informativos: seis de cada diez ciudadanos consideran que se encuentran en una situación buena o muy buena en cuanto a visibilidad, número, claridad, estado de conservación y funcionamiento. También obtiene una buena valoración el transporte público, especialmente el estado de conservación, la limpieza, las rutas y las conexiones. </w:t>
          </w:r>
        </w:p>
        <w:p w14:paraId="11C399B6" w14:textId="77777777" w:rsidR="0005654B" w:rsidRDefault="0005654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0626036C" w:rsidR="006C3818" w:rsidRPr="00974CCC" w:rsidRDefault="00974CCC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974C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ciudadanía suspende en cuanto a formación y sensibilización en seguridad vial</w:t>
          </w:r>
        </w:p>
        <w:p w14:paraId="7B5E07CB" w14:textId="615DF479" w:rsidR="00974CCC" w:rsidRDefault="00974CC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D56807" w14:textId="6933342B" w:rsidR="00974CCC" w:rsidRDefault="00974CC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nivel de 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 xml:space="preserve">formación </w:t>
          </w:r>
          <w:r w:rsidR="00FE6F8F" w:rsidRPr="00974CCC">
            <w:rPr>
              <w:rFonts w:ascii="Arial" w:hAnsi="Arial" w:cs="Arial"/>
              <w:sz w:val="20"/>
              <w:szCs w:val="20"/>
              <w:lang w:val="es-ES"/>
            </w:rPr>
            <w:t>en seguridad via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 xml:space="preserve">l 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>de l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>os habitantes de l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 xml:space="preserve">as grandes ciudades es </w:t>
          </w:r>
          <w:r>
            <w:rPr>
              <w:rFonts w:ascii="Arial" w:hAnsi="Arial" w:cs="Arial"/>
              <w:sz w:val="20"/>
              <w:szCs w:val="20"/>
              <w:lang w:val="es-ES"/>
            </w:rPr>
            <w:t>donde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 xml:space="preserve"> se han obtenido las puntuaciones más bajas, 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>poniendo de relieve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 xml:space="preserve">necesidad de campañas de 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 xml:space="preserve">sensibilización 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>sobre las nuevas formas de movilidad dirigidas a todos los colectivos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>. Los encuestados también se muestran a favor de la imposición 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 sanciones por incumplimiento de la normativa </w:t>
          </w:r>
          <w:r w:rsidRPr="00974CCC">
            <w:rPr>
              <w:rFonts w:ascii="Arial" w:hAnsi="Arial" w:cs="Arial"/>
              <w:sz w:val="20"/>
              <w:szCs w:val="20"/>
              <w:lang w:val="es-ES"/>
            </w:rPr>
            <w:t>para todos los usuarios de la vía (peatones, conductores, ciclistas, usuarios de patinetes, etc.).</w:t>
          </w:r>
        </w:p>
        <w:p w14:paraId="4691B803" w14:textId="5F4D12DF" w:rsidR="00F30FE6" w:rsidRDefault="00F30FE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660A6D" w14:textId="12E047F4" w:rsidR="00F30FE6" w:rsidRDefault="00F30FE6" w:rsidP="00F30F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009E9">
            <w:rPr>
              <w:rFonts w:ascii="Arial" w:hAnsi="Arial" w:cs="Arial"/>
              <w:sz w:val="20"/>
              <w:szCs w:val="20"/>
              <w:lang w:val="es-ES"/>
            </w:rPr>
            <w:t xml:space="preserve">Las cuestiones 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>sobre</w:t>
          </w:r>
          <w:r w:rsidRPr="009009E9">
            <w:rPr>
              <w:rFonts w:ascii="Arial" w:hAnsi="Arial" w:cs="Arial"/>
              <w:sz w:val="20"/>
              <w:szCs w:val="20"/>
              <w:lang w:val="es-ES"/>
            </w:rPr>
            <w:t xml:space="preserve"> las que la ciudadanía se muestra más 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>conforme</w:t>
          </w:r>
          <w:r w:rsidR="009009E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9009E9">
            <w:rPr>
              <w:rFonts w:ascii="Arial" w:hAnsi="Arial" w:cs="Arial"/>
              <w:sz w:val="20"/>
              <w:szCs w:val="20"/>
              <w:lang w:val="es-ES"/>
            </w:rPr>
            <w:t xml:space="preserve">hacen referencia a las medidas que garanticen unos mínimos de seguridad sobre las nuevas formas de movilidad (bicicletas y patinetes), tales como la obligatoriedad del uso del casco, disponer de un seguro o la prohibición de circular por las aceras y calles peatonales. </w:t>
          </w:r>
        </w:p>
        <w:p w14:paraId="4C53B859" w14:textId="77777777" w:rsidR="00F30FE6" w:rsidRPr="00F30FE6" w:rsidRDefault="00F30FE6" w:rsidP="00F30F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FAAEEE2" w14:textId="629CD531" w:rsidR="00F30FE6" w:rsidRDefault="00F30FE6" w:rsidP="00F30F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009E9">
            <w:rPr>
              <w:rFonts w:ascii="Arial" w:hAnsi="Arial" w:cs="Arial"/>
              <w:sz w:val="20"/>
              <w:szCs w:val="20"/>
              <w:lang w:val="es-ES"/>
            </w:rPr>
            <w:t xml:space="preserve">Por el contrario, las medidas que menor apoyo reciben, 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 xml:space="preserve">aunque </w:t>
          </w:r>
          <w:r w:rsidRPr="009009E9">
            <w:rPr>
              <w:rFonts w:ascii="Arial" w:hAnsi="Arial" w:cs="Arial"/>
              <w:sz w:val="20"/>
              <w:szCs w:val="20"/>
              <w:lang w:val="es-ES"/>
            </w:rPr>
            <w:t>en cualquier caso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 xml:space="preserve"> con </w:t>
          </w:r>
          <w:r w:rsidRPr="009009E9">
            <w:rPr>
              <w:rFonts w:ascii="Arial" w:hAnsi="Arial" w:cs="Arial"/>
              <w:sz w:val="20"/>
              <w:szCs w:val="20"/>
              <w:lang w:val="es-ES"/>
            </w:rPr>
            <w:t>una posición a favor superior al 50%, hacen referencia a los límites de velocidad “específicos” (20 km/h en vías donde acera y calzada compartan plataforma, 30 km/h en vías de un solo carril por sentido de circulación), y a la prohibición de accesos de vehículos con altas emisiones al centro de la ciudad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 xml:space="preserve">, o </w:t>
          </w:r>
          <w:r w:rsidRPr="009009E9">
            <w:rPr>
              <w:rFonts w:ascii="Arial" w:hAnsi="Arial" w:cs="Arial"/>
              <w:sz w:val="20"/>
              <w:szCs w:val="20"/>
              <w:lang w:val="es-ES"/>
            </w:rPr>
            <w:t xml:space="preserve">el tránsito de vehículos a determinadas zonas de la ciudad, salvo </w:t>
          </w:r>
          <w:r w:rsidR="00FE6F8F">
            <w:rPr>
              <w:rFonts w:ascii="Arial" w:hAnsi="Arial" w:cs="Arial"/>
              <w:sz w:val="20"/>
              <w:szCs w:val="20"/>
              <w:lang w:val="es-ES"/>
            </w:rPr>
            <w:t xml:space="preserve">en el caso de </w:t>
          </w:r>
          <w:r w:rsidRPr="009009E9">
            <w:rPr>
              <w:rFonts w:ascii="Arial" w:hAnsi="Arial" w:cs="Arial"/>
              <w:sz w:val="20"/>
              <w:szCs w:val="20"/>
              <w:lang w:val="es-ES"/>
            </w:rPr>
            <w:t>los residentes.</w:t>
          </w:r>
        </w:p>
        <w:p w14:paraId="35ABA96B" w14:textId="158F47F0" w:rsidR="00FE0E02" w:rsidRDefault="00FE0E02" w:rsidP="00F30F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69EB65" w14:textId="77777777" w:rsidR="00FE0E02" w:rsidRDefault="00FE0E02" w:rsidP="00FE0E0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91C937" w14:textId="75F85158" w:rsidR="00FE0E02" w:rsidRPr="00FE0E02" w:rsidRDefault="00FE0E02" w:rsidP="00FE0E02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142"/>
            <w:jc w:val="both"/>
            <w:rPr>
              <w:rFonts w:ascii="Arial" w:eastAsia="Calibri" w:hAnsi="Arial" w:cs="Arial"/>
              <w:lang w:val="es-ES"/>
            </w:rPr>
          </w:pPr>
          <w:r w:rsidRPr="00FE0E02">
            <w:rPr>
              <w:rFonts w:ascii="Arial" w:hAnsi="Arial" w:cs="Arial"/>
              <w:lang w:val="es-ES"/>
            </w:rPr>
            <w:t xml:space="preserve">Link al estudio completo: </w:t>
          </w:r>
          <w:hyperlink r:id="rId8" w:history="1">
            <w:r w:rsidRPr="00FE0E02">
              <w:rPr>
                <w:rStyle w:val="Hipervnculo"/>
                <w:rFonts w:ascii="Arial" w:eastAsia="Calibri" w:hAnsi="Arial" w:cs="Arial"/>
                <w:lang w:val="es-ES"/>
              </w:rPr>
              <w:t>Barómetro de Se</w:t>
            </w:r>
            <w:r w:rsidRPr="00FE0E02">
              <w:rPr>
                <w:rStyle w:val="Hipervnculo"/>
                <w:rFonts w:ascii="Arial" w:eastAsia="Calibri" w:hAnsi="Arial" w:cs="Arial"/>
                <w:lang w:val="es-ES"/>
              </w:rPr>
              <w:t>g</w:t>
            </w:r>
            <w:r w:rsidRPr="00FE0E02">
              <w:rPr>
                <w:rStyle w:val="Hipervnculo"/>
                <w:rFonts w:ascii="Arial" w:eastAsia="Calibri" w:hAnsi="Arial" w:cs="Arial"/>
                <w:lang w:val="es-ES"/>
              </w:rPr>
              <w:t>uridad Vial y Movilidad 2022 de FESVIAL y Michelin</w:t>
            </w:r>
          </w:hyperlink>
        </w:p>
        <w:p w14:paraId="34C78267" w14:textId="77777777" w:rsidR="00FE0E02" w:rsidRDefault="00FE0E02" w:rsidP="00F30F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653920" w14:textId="034D6183" w:rsidR="00FE0E02" w:rsidRDefault="00FE0E02" w:rsidP="00F30F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4C21DC" w14:textId="77777777" w:rsidR="00FE0E02" w:rsidRDefault="00FE0E02" w:rsidP="00FE0E02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5E9EC7" w14:textId="2058AA9E" w:rsidR="00275062" w:rsidRDefault="00275062" w:rsidP="00FE0E02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28145506" w14:textId="4BB4EAC7" w:rsidR="00275062" w:rsidRDefault="00275062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769FA07E" w14:textId="64DCF78F" w:rsidR="00FE6F8F" w:rsidRDefault="00FE6F8F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0C121779" w14:textId="2D1B2D5D" w:rsidR="00FE6F8F" w:rsidRDefault="00FE6F8F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06A8094D" w14:textId="77799182" w:rsidR="00FE6F8F" w:rsidRDefault="00FE6F8F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0DD00D75" w14:textId="01A10445" w:rsidR="00FE6F8F" w:rsidRDefault="00FE6F8F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192D787A" w14:textId="77777777" w:rsidR="00FE6F8F" w:rsidRDefault="00FE6F8F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59EEABEB" w14:textId="77777777" w:rsidR="00275062" w:rsidRDefault="00275062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03C87863" w14:textId="77777777" w:rsidR="00275062" w:rsidRDefault="00275062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0CCE8E14" w14:textId="77777777" w:rsidR="00275062" w:rsidRDefault="00275062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433E1358" w14:textId="77777777" w:rsidR="00275062" w:rsidRDefault="00275062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  <w:p w14:paraId="3535CCCF" w14:textId="20463740" w:rsidR="00275062" w:rsidRDefault="00373DE4" w:rsidP="00275062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  <w:r w:rsidRPr="00373DE4"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  <w:lastRenderedPageBreak/>
            <w:t xml:space="preserve">Acerca de </w:t>
          </w:r>
          <w:r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  <w:t>FESVIAL</w:t>
          </w:r>
        </w:p>
        <w:p w14:paraId="6A2A13C5" w14:textId="58B41737" w:rsidR="00373DE4" w:rsidRPr="00373DE4" w:rsidRDefault="00275062" w:rsidP="00275062">
          <w:pPr>
            <w:jc w:val="both"/>
            <w:rPr>
              <w:rFonts w:ascii="Arial" w:hAnsi="Arial" w:cs="Arial"/>
              <w:iCs/>
              <w:sz w:val="16"/>
              <w:szCs w:val="16"/>
              <w:lang w:val="es-ES"/>
            </w:rPr>
          </w:pPr>
          <w:r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La Fundación Española para la Seguridad Vial es una </w:t>
          </w:r>
          <w:proofErr w:type="spellStart"/>
          <w:r>
            <w:rPr>
              <w:rFonts w:ascii="Arial" w:hAnsi="Arial" w:cs="Arial"/>
              <w:iCs/>
              <w:sz w:val="16"/>
              <w:szCs w:val="16"/>
              <w:lang w:val="es-ES"/>
            </w:rPr>
            <w:t>or</w:t>
          </w:r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ganización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sin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ánimo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de lucro que tiene como objeto fundamental la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prevención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de los accidentes de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tráfico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, promover la movilidad sostenible, la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formación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en seguridad y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educación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vial y el estudio de la siniestralidad,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asi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́ como la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investigación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de estrategias más adecuadas para la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prevención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de los riesgos viales. Una de sus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líneas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de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actuación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prioritarias es realizar estudios que permitan un mayor conocimiento de temas claves en materia de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tráfico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y que posibiliten también un conocimiento riguroso y </w:t>
          </w:r>
          <w:proofErr w:type="spellStart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>científico</w:t>
          </w:r>
          <w:proofErr w:type="spellEnd"/>
          <w:r w:rsidR="00373DE4" w:rsidRPr="00373DE4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de los distintos temas clave de la seguridad vial. </w:t>
          </w:r>
        </w:p>
        <w:p w14:paraId="648342B4" w14:textId="53D6AE89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73F84692" w14:textId="77777777" w:rsidR="00373DE4" w:rsidRPr="00373DE4" w:rsidRDefault="00373DE4" w:rsidP="00416DE4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373DE4"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7F292A6A" w14:textId="16B84760" w:rsidR="00416DE4" w:rsidRPr="009A43CE" w:rsidRDefault="00416DE4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09CE972F" w:rsidR="0052344F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8AA949" w14:textId="77777777" w:rsidR="00173D96" w:rsidRPr="006D4CB8" w:rsidRDefault="00173D96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000000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484B" w14:textId="77777777" w:rsidR="004E2463" w:rsidRDefault="004E2463" w:rsidP="00F24D98">
      <w:r>
        <w:separator/>
      </w:r>
    </w:p>
  </w:endnote>
  <w:endnote w:type="continuationSeparator" w:id="0">
    <w:p w14:paraId="0FE75CDC" w14:textId="77777777" w:rsidR="004E2463" w:rsidRDefault="004E246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275D" w14:textId="77777777" w:rsidR="004E2463" w:rsidRDefault="004E2463" w:rsidP="00F24D98">
      <w:r>
        <w:separator/>
      </w:r>
    </w:p>
  </w:footnote>
  <w:footnote w:type="continuationSeparator" w:id="0">
    <w:p w14:paraId="465F697A" w14:textId="77777777" w:rsidR="004E2463" w:rsidRDefault="004E246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FC5C6E1" w:rsidR="00C53F0C" w:rsidRPr="00C53F0C" w:rsidRDefault="00173D96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6AAD1FB" wp14:editId="2F98890D">
          <wp:simplePos x="0" y="0"/>
          <wp:positionH relativeFrom="column">
            <wp:posOffset>1565567</wp:posOffset>
          </wp:positionH>
          <wp:positionV relativeFrom="paragraph">
            <wp:posOffset>54215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A3F"/>
    <w:multiLevelType w:val="hybridMultilevel"/>
    <w:tmpl w:val="2AAC80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6636">
    <w:abstractNumId w:val="2"/>
  </w:num>
  <w:num w:numId="2" w16cid:durableId="1479490091">
    <w:abstractNumId w:val="1"/>
  </w:num>
  <w:num w:numId="3" w16cid:durableId="1880123810">
    <w:abstractNumId w:val="3"/>
  </w:num>
  <w:num w:numId="4" w16cid:durableId="200326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60EC"/>
    <w:rsid w:val="0005654B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73D96"/>
    <w:rsid w:val="00186CCB"/>
    <w:rsid w:val="001963B1"/>
    <w:rsid w:val="001D57AF"/>
    <w:rsid w:val="001E520E"/>
    <w:rsid w:val="0021595A"/>
    <w:rsid w:val="002462B9"/>
    <w:rsid w:val="00262F8B"/>
    <w:rsid w:val="00274DC8"/>
    <w:rsid w:val="00275062"/>
    <w:rsid w:val="00373DE4"/>
    <w:rsid w:val="00387E23"/>
    <w:rsid w:val="003930CA"/>
    <w:rsid w:val="00395651"/>
    <w:rsid w:val="003C3FC0"/>
    <w:rsid w:val="003C419D"/>
    <w:rsid w:val="003C6219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55CA3"/>
    <w:rsid w:val="00471963"/>
    <w:rsid w:val="00493386"/>
    <w:rsid w:val="004A7A65"/>
    <w:rsid w:val="004C6A8C"/>
    <w:rsid w:val="004E2463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111FB"/>
    <w:rsid w:val="00670F94"/>
    <w:rsid w:val="006920B7"/>
    <w:rsid w:val="006C35D6"/>
    <w:rsid w:val="006C3818"/>
    <w:rsid w:val="006C44F0"/>
    <w:rsid w:val="006C7776"/>
    <w:rsid w:val="006D398C"/>
    <w:rsid w:val="006D4CB8"/>
    <w:rsid w:val="00707806"/>
    <w:rsid w:val="007920FA"/>
    <w:rsid w:val="007F37A6"/>
    <w:rsid w:val="00816BB1"/>
    <w:rsid w:val="00834943"/>
    <w:rsid w:val="0083779A"/>
    <w:rsid w:val="0085450A"/>
    <w:rsid w:val="00877AE5"/>
    <w:rsid w:val="008B072F"/>
    <w:rsid w:val="008F5893"/>
    <w:rsid w:val="009009E9"/>
    <w:rsid w:val="0093532F"/>
    <w:rsid w:val="00974CCC"/>
    <w:rsid w:val="009969D4"/>
    <w:rsid w:val="00A010E6"/>
    <w:rsid w:val="00A0200C"/>
    <w:rsid w:val="00A05352"/>
    <w:rsid w:val="00A133C9"/>
    <w:rsid w:val="00A6279B"/>
    <w:rsid w:val="00A72ECA"/>
    <w:rsid w:val="00A75B5C"/>
    <w:rsid w:val="00AB3AEA"/>
    <w:rsid w:val="00AB5624"/>
    <w:rsid w:val="00AC0E74"/>
    <w:rsid w:val="00B05B19"/>
    <w:rsid w:val="00B13DD6"/>
    <w:rsid w:val="00B32BCE"/>
    <w:rsid w:val="00B361FB"/>
    <w:rsid w:val="00B36FEE"/>
    <w:rsid w:val="00B43B39"/>
    <w:rsid w:val="00B45C21"/>
    <w:rsid w:val="00B97B28"/>
    <w:rsid w:val="00BB0FCD"/>
    <w:rsid w:val="00BC2889"/>
    <w:rsid w:val="00BE269E"/>
    <w:rsid w:val="00C53F0C"/>
    <w:rsid w:val="00C62690"/>
    <w:rsid w:val="00CC6BAF"/>
    <w:rsid w:val="00CE5E82"/>
    <w:rsid w:val="00D26D15"/>
    <w:rsid w:val="00D55011"/>
    <w:rsid w:val="00D729F5"/>
    <w:rsid w:val="00D9116F"/>
    <w:rsid w:val="00DB7FA5"/>
    <w:rsid w:val="00DE0B5B"/>
    <w:rsid w:val="00E43A41"/>
    <w:rsid w:val="00E46580"/>
    <w:rsid w:val="00E926C4"/>
    <w:rsid w:val="00E930BA"/>
    <w:rsid w:val="00EA512D"/>
    <w:rsid w:val="00ED5957"/>
    <w:rsid w:val="00ED7136"/>
    <w:rsid w:val="00F1127B"/>
    <w:rsid w:val="00F23D2E"/>
    <w:rsid w:val="00F24D98"/>
    <w:rsid w:val="00F30FE6"/>
    <w:rsid w:val="00F5180D"/>
    <w:rsid w:val="00F54E4E"/>
    <w:rsid w:val="00F6785B"/>
    <w:rsid w:val="00F9569F"/>
    <w:rsid w:val="00FE0E02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DE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vial.es/wp-content/uploads/2022/10/Informe-Bar%C3%B3metro-2022-10-Grandes-Ciudades-Poblaci%C3%B3n-2.pdf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ugo.ureta-alons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2022-10-11T16:06:00Z</cp:lastPrinted>
  <dcterms:created xsi:type="dcterms:W3CDTF">2022-10-11T16:05:00Z</dcterms:created>
  <dcterms:modified xsi:type="dcterms:W3CDTF">2022-10-11T16:06:00Z</dcterms:modified>
</cp:coreProperties>
</file>