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895E83" w:rsidRDefault="00395651" w:rsidP="00395651">
      <w:pPr>
        <w:rPr>
          <w:rFonts w:ascii="Arial" w:hAnsi="Arial" w:cs="Arial"/>
          <w:sz w:val="20"/>
          <w:szCs w:val="20"/>
          <w:lang w:val="es-ES"/>
        </w:rPr>
      </w:pPr>
      <w:r w:rsidRPr="00895E83">
        <w:rPr>
          <w:rFonts w:ascii="Arial" w:hAnsi="Arial" w:cs="Arial"/>
          <w:sz w:val="20"/>
          <w:szCs w:val="20"/>
          <w:lang w:val="es-ES"/>
        </w:rPr>
        <w:t xml:space="preserve">                                                                               </w:t>
      </w:r>
      <w:r w:rsidR="00422E33" w:rsidRPr="00895E83">
        <w:rPr>
          <w:rFonts w:ascii="Arial" w:hAnsi="Arial" w:cs="Arial"/>
          <w:sz w:val="20"/>
          <w:szCs w:val="20"/>
          <w:lang w:val="es-ES"/>
        </w:rPr>
        <w:t xml:space="preserve">                </w:t>
      </w:r>
      <w:r w:rsidRPr="00895E83">
        <w:rPr>
          <w:rFonts w:ascii="Arial" w:hAnsi="Arial" w:cs="Arial"/>
          <w:sz w:val="20"/>
          <w:szCs w:val="20"/>
          <w:lang w:val="es-ES"/>
        </w:rPr>
        <w:t xml:space="preserve">    </w:t>
      </w:r>
    </w:p>
    <w:p w14:paraId="2F46475E" w14:textId="77777777" w:rsidR="00B36FEE" w:rsidRPr="00895E83" w:rsidRDefault="00B36FEE" w:rsidP="00395651">
      <w:pPr>
        <w:rPr>
          <w:rFonts w:ascii="Arial" w:hAnsi="Arial" w:cs="Arial"/>
          <w:sz w:val="20"/>
          <w:szCs w:val="20"/>
          <w:lang w:val="es-ES"/>
        </w:rPr>
      </w:pPr>
    </w:p>
    <w:p w14:paraId="74DBC59E" w14:textId="77777777" w:rsidR="00B36FEE" w:rsidRPr="00895E83" w:rsidRDefault="00B36FEE" w:rsidP="00395651">
      <w:pPr>
        <w:rPr>
          <w:rFonts w:ascii="Arial" w:hAnsi="Arial" w:cs="Arial"/>
          <w:sz w:val="20"/>
          <w:szCs w:val="20"/>
          <w:lang w:val="es-ES"/>
        </w:rPr>
      </w:pPr>
    </w:p>
    <w:p w14:paraId="62CD8697" w14:textId="77777777" w:rsidR="00B36FEE" w:rsidRPr="00895E83" w:rsidRDefault="00B36FEE" w:rsidP="00395651">
      <w:pPr>
        <w:rPr>
          <w:rFonts w:ascii="Arial" w:hAnsi="Arial" w:cs="Arial"/>
          <w:sz w:val="20"/>
          <w:szCs w:val="20"/>
          <w:lang w:val="es-ES"/>
        </w:rPr>
      </w:pPr>
    </w:p>
    <w:p w14:paraId="73920A83" w14:textId="77777777" w:rsidR="00B36FEE" w:rsidRPr="00895E83" w:rsidRDefault="00B36FEE" w:rsidP="00395651">
      <w:pPr>
        <w:rPr>
          <w:rFonts w:ascii="Arial" w:hAnsi="Arial" w:cs="Arial"/>
          <w:sz w:val="20"/>
          <w:szCs w:val="20"/>
          <w:lang w:val="es-ES"/>
        </w:rPr>
      </w:pPr>
    </w:p>
    <w:p w14:paraId="139D66BB" w14:textId="30FA59CD" w:rsidR="006D398C" w:rsidRPr="00895E83" w:rsidRDefault="00B36FEE" w:rsidP="00B36FEE">
      <w:pPr>
        <w:ind w:left="5760"/>
        <w:rPr>
          <w:rFonts w:ascii="Arial" w:hAnsi="Arial" w:cs="Arial"/>
          <w:sz w:val="20"/>
          <w:szCs w:val="20"/>
          <w:lang w:val="es-ES"/>
        </w:rPr>
      </w:pPr>
      <w:r w:rsidRPr="00895E83">
        <w:rPr>
          <w:rFonts w:ascii="Arial" w:hAnsi="Arial" w:cs="Arial"/>
          <w:sz w:val="20"/>
          <w:szCs w:val="20"/>
          <w:lang w:val="es-ES"/>
        </w:rPr>
        <w:t xml:space="preserve">   </w:t>
      </w:r>
      <w:r w:rsidR="00BE269E" w:rsidRPr="00895E83">
        <w:rPr>
          <w:rFonts w:ascii="Arial" w:hAnsi="Arial" w:cs="Arial"/>
          <w:sz w:val="20"/>
          <w:szCs w:val="20"/>
          <w:lang w:val="es-ES"/>
        </w:rPr>
        <w:t xml:space="preserve">Madrid, </w:t>
      </w:r>
      <w:r w:rsidR="00841E40">
        <w:rPr>
          <w:rFonts w:ascii="Arial" w:hAnsi="Arial" w:cs="Arial"/>
          <w:sz w:val="20"/>
          <w:szCs w:val="20"/>
          <w:lang w:val="es-ES"/>
        </w:rPr>
        <w:t>26</w:t>
      </w:r>
      <w:r w:rsidR="00BE269E" w:rsidRPr="00895E83">
        <w:rPr>
          <w:rFonts w:ascii="Arial" w:hAnsi="Arial" w:cs="Arial"/>
          <w:sz w:val="20"/>
          <w:szCs w:val="20"/>
          <w:lang w:val="es-ES"/>
        </w:rPr>
        <w:t xml:space="preserve"> de </w:t>
      </w:r>
      <w:r w:rsidR="00841E40">
        <w:rPr>
          <w:rFonts w:ascii="Arial" w:hAnsi="Arial" w:cs="Arial"/>
          <w:sz w:val="20"/>
          <w:szCs w:val="20"/>
          <w:lang w:val="es-ES"/>
        </w:rPr>
        <w:t>octubre</w:t>
      </w:r>
      <w:r w:rsidR="006D398C" w:rsidRPr="00895E83">
        <w:rPr>
          <w:rFonts w:ascii="Arial" w:hAnsi="Arial" w:cs="Arial"/>
          <w:sz w:val="20"/>
          <w:szCs w:val="20"/>
          <w:lang w:val="es-ES"/>
        </w:rPr>
        <w:t>, 202</w:t>
      </w:r>
      <w:r w:rsidR="007F790E">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Content>
        <w:p w14:paraId="75083583" w14:textId="77777777" w:rsidR="006D398C" w:rsidRPr="00895E83" w:rsidRDefault="006D398C" w:rsidP="006D398C">
          <w:pPr>
            <w:jc w:val="center"/>
            <w:rPr>
              <w:rFonts w:ascii="Arial" w:hAnsi="Arial" w:cs="Arial"/>
              <w:lang w:val="es-ES"/>
            </w:rPr>
          </w:pPr>
        </w:p>
        <w:p w14:paraId="5B402CDD" w14:textId="77777777" w:rsidR="008F5893" w:rsidRPr="00895E83" w:rsidRDefault="008F5893" w:rsidP="006D398C">
          <w:pPr>
            <w:jc w:val="center"/>
            <w:rPr>
              <w:rFonts w:ascii="Arial" w:hAnsi="Arial" w:cs="Arial"/>
              <w:b/>
              <w:sz w:val="26"/>
              <w:lang w:val="es-ES"/>
            </w:rPr>
          </w:pPr>
        </w:p>
        <w:p w14:paraId="22084615" w14:textId="77777777" w:rsidR="00BE71E8" w:rsidRDefault="00BE71E8" w:rsidP="00BE269E">
          <w:pPr>
            <w:jc w:val="center"/>
            <w:rPr>
              <w:rFonts w:ascii="Arial" w:hAnsi="Arial" w:cs="Arial"/>
              <w:b/>
              <w:sz w:val="28"/>
              <w:szCs w:val="28"/>
              <w:lang w:val="es-ES"/>
            </w:rPr>
          </w:pPr>
          <w:r>
            <w:rPr>
              <w:rFonts w:ascii="Arial" w:hAnsi="Arial" w:cs="Arial"/>
              <w:b/>
              <w:sz w:val="28"/>
              <w:szCs w:val="28"/>
              <w:lang w:val="es-ES"/>
            </w:rPr>
            <w:t xml:space="preserve">Información financiera del grupo Michelin </w:t>
          </w:r>
        </w:p>
        <w:p w14:paraId="6AD3B006" w14:textId="4D6E7841" w:rsidR="006D398C" w:rsidRPr="00895E83" w:rsidRDefault="00BE71E8" w:rsidP="00BE269E">
          <w:pPr>
            <w:jc w:val="center"/>
            <w:rPr>
              <w:rFonts w:ascii="Arial" w:hAnsi="Arial" w:cs="Arial"/>
              <w:b/>
              <w:sz w:val="28"/>
              <w:szCs w:val="28"/>
              <w:lang w:val="es-ES"/>
            </w:rPr>
          </w:pPr>
          <w:r>
            <w:rPr>
              <w:rFonts w:ascii="Arial" w:hAnsi="Arial" w:cs="Arial"/>
              <w:b/>
              <w:sz w:val="28"/>
              <w:szCs w:val="28"/>
              <w:lang w:val="es-ES"/>
            </w:rPr>
            <w:t>a 30 de septiembre de 2022</w:t>
          </w:r>
        </w:p>
        <w:p w14:paraId="5614BB42" w14:textId="274536E7" w:rsidR="006D398C" w:rsidRPr="00895E83" w:rsidRDefault="006D398C" w:rsidP="006D398C">
          <w:pPr>
            <w:jc w:val="center"/>
            <w:rPr>
              <w:rStyle w:val="normaltextrun"/>
              <w:rFonts w:ascii="Arial" w:eastAsiaTheme="majorEastAsia" w:hAnsi="Arial" w:cs="Arial"/>
              <w:b/>
              <w:bCs/>
              <w:sz w:val="22"/>
              <w:szCs w:val="22"/>
              <w:lang w:val="es-ES"/>
            </w:rPr>
          </w:pPr>
        </w:p>
        <w:p w14:paraId="25580CFE" w14:textId="77777777" w:rsidR="00523432" w:rsidRPr="00895E83" w:rsidRDefault="00523432" w:rsidP="006D398C">
          <w:pPr>
            <w:jc w:val="center"/>
            <w:rPr>
              <w:rStyle w:val="normaltextrun"/>
              <w:rFonts w:ascii="Arial" w:eastAsiaTheme="majorEastAsia" w:hAnsi="Arial" w:cs="Arial"/>
              <w:b/>
              <w:bCs/>
              <w:sz w:val="22"/>
              <w:szCs w:val="22"/>
              <w:lang w:val="es-ES"/>
            </w:rPr>
          </w:pPr>
        </w:p>
        <w:p w14:paraId="2316D008" w14:textId="72D49C55" w:rsidR="00BE71E8" w:rsidRPr="00BE71E8" w:rsidRDefault="00BE71E8" w:rsidP="00BE71E8">
          <w:pPr>
            <w:spacing w:line="276" w:lineRule="auto"/>
            <w:jc w:val="center"/>
            <w:rPr>
              <w:rFonts w:ascii="Arial" w:hAnsi="Arial" w:cs="Arial"/>
              <w:b/>
              <w:bCs/>
              <w:sz w:val="20"/>
              <w:szCs w:val="20"/>
              <w:lang w:val="es-ES"/>
            </w:rPr>
          </w:pPr>
          <w:r w:rsidRPr="00BE71E8">
            <w:rPr>
              <w:rFonts w:ascii="Arial" w:hAnsi="Arial" w:cs="Arial"/>
              <w:b/>
              <w:bCs/>
              <w:sz w:val="20"/>
              <w:szCs w:val="20"/>
              <w:lang w:val="es-ES"/>
            </w:rPr>
            <w:t xml:space="preserve">Las ventas </w:t>
          </w:r>
          <w:r>
            <w:rPr>
              <w:rFonts w:ascii="Arial" w:hAnsi="Arial" w:cs="Arial"/>
              <w:b/>
              <w:bCs/>
              <w:sz w:val="20"/>
              <w:szCs w:val="20"/>
              <w:lang w:val="es-ES"/>
            </w:rPr>
            <w:t>en los primeros</w:t>
          </w:r>
          <w:r w:rsidRPr="00BE71E8">
            <w:rPr>
              <w:rFonts w:ascii="Arial" w:hAnsi="Arial" w:cs="Arial"/>
              <w:b/>
              <w:bCs/>
              <w:sz w:val="20"/>
              <w:szCs w:val="20"/>
              <w:lang w:val="es-ES"/>
            </w:rPr>
            <w:t xml:space="preserve"> nueve meses </w:t>
          </w:r>
          <w:r>
            <w:rPr>
              <w:rFonts w:ascii="Arial" w:hAnsi="Arial" w:cs="Arial"/>
              <w:b/>
              <w:bCs/>
              <w:sz w:val="20"/>
              <w:szCs w:val="20"/>
              <w:lang w:val="es-ES"/>
            </w:rPr>
            <w:t xml:space="preserve">de 2022 </w:t>
          </w:r>
          <w:r w:rsidRPr="00BE71E8">
            <w:rPr>
              <w:rFonts w:ascii="Arial" w:hAnsi="Arial" w:cs="Arial"/>
              <w:b/>
              <w:bCs/>
              <w:sz w:val="20"/>
              <w:szCs w:val="20"/>
              <w:lang w:val="es-ES"/>
            </w:rPr>
            <w:t>aumentaron un 20,5% hasta los 20.700 millones de euros.</w:t>
          </w:r>
          <w:r>
            <w:rPr>
              <w:rFonts w:ascii="Arial" w:hAnsi="Arial" w:cs="Arial"/>
              <w:b/>
              <w:bCs/>
              <w:sz w:val="20"/>
              <w:szCs w:val="20"/>
              <w:lang w:val="es-ES"/>
            </w:rPr>
            <w:t xml:space="preserve"> </w:t>
          </w:r>
          <w:r w:rsidRPr="00BE71E8">
            <w:rPr>
              <w:rFonts w:ascii="Arial" w:hAnsi="Arial" w:cs="Arial"/>
              <w:b/>
              <w:bCs/>
              <w:sz w:val="20"/>
              <w:szCs w:val="20"/>
              <w:lang w:val="es-ES"/>
            </w:rPr>
            <w:t xml:space="preserve">En un entorno altamente inflacionista, </w:t>
          </w:r>
          <w:r>
            <w:rPr>
              <w:rFonts w:ascii="Arial" w:hAnsi="Arial" w:cs="Arial"/>
              <w:b/>
              <w:bCs/>
              <w:sz w:val="20"/>
              <w:szCs w:val="20"/>
              <w:lang w:val="es-ES"/>
            </w:rPr>
            <w:t xml:space="preserve">el Grupo </w:t>
          </w:r>
          <w:r w:rsidRPr="00BE71E8">
            <w:rPr>
              <w:rFonts w:ascii="Arial" w:hAnsi="Arial" w:cs="Arial"/>
              <w:b/>
              <w:bCs/>
              <w:sz w:val="20"/>
              <w:szCs w:val="20"/>
              <w:lang w:val="es-ES"/>
            </w:rPr>
            <w:t xml:space="preserve">confirma </w:t>
          </w:r>
          <w:r>
            <w:rPr>
              <w:rFonts w:ascii="Arial" w:hAnsi="Arial" w:cs="Arial"/>
              <w:b/>
              <w:bCs/>
              <w:sz w:val="20"/>
              <w:szCs w:val="20"/>
              <w:lang w:val="es-ES"/>
            </w:rPr>
            <w:t>su</w:t>
          </w:r>
          <w:r w:rsidR="00EF34EC">
            <w:rPr>
              <w:rFonts w:ascii="Arial" w:hAnsi="Arial" w:cs="Arial"/>
              <w:b/>
              <w:bCs/>
              <w:sz w:val="20"/>
              <w:szCs w:val="20"/>
              <w:lang w:val="es-ES"/>
            </w:rPr>
            <w:t>s</w:t>
          </w:r>
          <w:r w:rsidRPr="00BE71E8">
            <w:rPr>
              <w:rFonts w:ascii="Arial" w:hAnsi="Arial" w:cs="Arial"/>
              <w:b/>
              <w:bCs/>
              <w:sz w:val="20"/>
              <w:szCs w:val="20"/>
              <w:lang w:val="es-ES"/>
            </w:rPr>
            <w:t xml:space="preserve"> </w:t>
          </w:r>
          <w:r>
            <w:rPr>
              <w:rFonts w:ascii="Arial" w:hAnsi="Arial" w:cs="Arial"/>
              <w:b/>
              <w:bCs/>
              <w:sz w:val="20"/>
              <w:szCs w:val="20"/>
              <w:lang w:val="es-ES"/>
            </w:rPr>
            <w:t>previsi</w:t>
          </w:r>
          <w:r w:rsidR="00EF34EC">
            <w:rPr>
              <w:rFonts w:ascii="Arial" w:hAnsi="Arial" w:cs="Arial"/>
              <w:b/>
              <w:bCs/>
              <w:sz w:val="20"/>
              <w:szCs w:val="20"/>
              <w:lang w:val="es-ES"/>
            </w:rPr>
            <w:t xml:space="preserve">ones en cuanto al resultado operacional y </w:t>
          </w:r>
          <w:r>
            <w:rPr>
              <w:rFonts w:ascii="Arial" w:hAnsi="Arial" w:cs="Arial"/>
              <w:b/>
              <w:bCs/>
              <w:sz w:val="20"/>
              <w:szCs w:val="20"/>
              <w:lang w:val="es-ES"/>
            </w:rPr>
            <w:t>revisa el</w:t>
          </w:r>
          <w:r w:rsidRPr="00BE71E8">
            <w:rPr>
              <w:rFonts w:ascii="Arial" w:hAnsi="Arial" w:cs="Arial"/>
              <w:b/>
              <w:bCs/>
              <w:sz w:val="20"/>
              <w:szCs w:val="20"/>
              <w:lang w:val="es-ES"/>
            </w:rPr>
            <w:t xml:space="preserve"> </w:t>
          </w:r>
          <w:r w:rsidRPr="00BE71E8">
            <w:rPr>
              <w:rFonts w:ascii="Arial" w:hAnsi="Arial" w:cs="Arial"/>
              <w:b/>
              <w:bCs/>
              <w:i/>
              <w:iCs/>
              <w:sz w:val="20"/>
              <w:szCs w:val="20"/>
              <w:lang w:val="es-ES"/>
            </w:rPr>
            <w:t>cash flow</w:t>
          </w:r>
          <w:r w:rsidRPr="00BE71E8">
            <w:rPr>
              <w:rFonts w:ascii="Arial" w:hAnsi="Arial" w:cs="Arial"/>
              <w:b/>
              <w:bCs/>
              <w:sz w:val="20"/>
              <w:szCs w:val="20"/>
              <w:lang w:val="es-ES"/>
            </w:rPr>
            <w:t xml:space="preserve"> libre estructural.</w:t>
          </w:r>
        </w:p>
        <w:p w14:paraId="3D377D47" w14:textId="77777777" w:rsidR="00BE71E8" w:rsidRPr="00BE71E8" w:rsidRDefault="00BE71E8" w:rsidP="00BE71E8">
          <w:pPr>
            <w:spacing w:line="276" w:lineRule="auto"/>
            <w:jc w:val="both"/>
            <w:rPr>
              <w:rFonts w:ascii="Arial" w:hAnsi="Arial" w:cs="Arial"/>
              <w:sz w:val="20"/>
              <w:szCs w:val="20"/>
              <w:lang w:val="es-ES"/>
            </w:rPr>
          </w:pPr>
        </w:p>
        <w:p w14:paraId="6CCFD5C4" w14:textId="77777777" w:rsidR="00EF34EC" w:rsidRDefault="00EF34EC" w:rsidP="00EF34EC">
          <w:pPr>
            <w:spacing w:after="120" w:line="276" w:lineRule="auto"/>
            <w:jc w:val="both"/>
            <w:rPr>
              <w:rFonts w:ascii="Arial" w:hAnsi="Arial" w:cs="Arial"/>
              <w:sz w:val="20"/>
              <w:szCs w:val="20"/>
              <w:lang w:val="es-ES"/>
            </w:rPr>
          </w:pPr>
        </w:p>
        <w:p w14:paraId="4860C433" w14:textId="65CCEC06" w:rsidR="00EF34EC" w:rsidRDefault="00EF34EC" w:rsidP="00EF34EC">
          <w:pPr>
            <w:spacing w:after="120" w:line="276" w:lineRule="auto"/>
            <w:jc w:val="both"/>
            <w:rPr>
              <w:rFonts w:ascii="Arial" w:hAnsi="Arial" w:cs="Arial"/>
              <w:sz w:val="20"/>
              <w:szCs w:val="20"/>
              <w:lang w:val="es-ES"/>
            </w:rPr>
          </w:pPr>
          <w:r w:rsidRPr="00277546">
            <w:rPr>
              <w:rFonts w:ascii="Arial" w:hAnsi="Arial" w:cs="Arial"/>
              <w:sz w:val="20"/>
              <w:szCs w:val="20"/>
              <w:lang w:val="es-ES"/>
            </w:rPr>
            <w:t xml:space="preserve">En un entorno de mercado </w:t>
          </w:r>
          <w:r>
            <w:rPr>
              <w:rFonts w:ascii="Arial" w:hAnsi="Arial" w:cs="Arial"/>
              <w:sz w:val="20"/>
              <w:szCs w:val="20"/>
              <w:lang w:val="es-ES"/>
            </w:rPr>
            <w:t>caracterizado por continuas perturbaciones operativas, una inflación generalizada y una visibilidad limitada sobre la futura</w:t>
          </w:r>
          <w:r w:rsidR="00720FD8">
            <w:rPr>
              <w:rFonts w:ascii="Arial" w:hAnsi="Arial" w:cs="Arial"/>
              <w:sz w:val="20"/>
              <w:szCs w:val="20"/>
              <w:lang w:val="es-ES"/>
            </w:rPr>
            <w:t xml:space="preserve"> demanda</w:t>
          </w:r>
          <w:r>
            <w:rPr>
              <w:rFonts w:ascii="Arial" w:hAnsi="Arial" w:cs="Arial"/>
              <w:sz w:val="20"/>
              <w:szCs w:val="20"/>
              <w:lang w:val="es-ES"/>
            </w:rPr>
            <w:t xml:space="preserve">, Michelin ha registrado un crecimiento de las ventas </w:t>
          </w:r>
          <w:r w:rsidR="00720FD8">
            <w:rPr>
              <w:rFonts w:ascii="Arial" w:hAnsi="Arial" w:cs="Arial"/>
              <w:sz w:val="20"/>
              <w:szCs w:val="20"/>
              <w:lang w:val="es-ES"/>
            </w:rPr>
            <w:t xml:space="preserve">durante los primeros nueve meses de 2022, </w:t>
          </w:r>
          <w:r>
            <w:rPr>
              <w:rFonts w:ascii="Arial" w:hAnsi="Arial" w:cs="Arial"/>
              <w:sz w:val="20"/>
              <w:szCs w:val="20"/>
              <w:lang w:val="es-ES"/>
            </w:rPr>
            <w:t xml:space="preserve">y está </w:t>
          </w:r>
          <w:r w:rsidR="00720FD8">
            <w:rPr>
              <w:rFonts w:ascii="Arial" w:hAnsi="Arial" w:cs="Arial"/>
              <w:sz w:val="20"/>
              <w:szCs w:val="20"/>
              <w:lang w:val="es-ES"/>
            </w:rPr>
            <w:t>orientando</w:t>
          </w:r>
          <w:r>
            <w:rPr>
              <w:rFonts w:ascii="Arial" w:hAnsi="Arial" w:cs="Arial"/>
              <w:sz w:val="20"/>
              <w:szCs w:val="20"/>
              <w:lang w:val="es-ES"/>
            </w:rPr>
            <w:t xml:space="preserve"> sus operaciones para garantizar unos niveles adecuados de existencias.</w:t>
          </w:r>
        </w:p>
        <w:p w14:paraId="1AFBB3CC" w14:textId="0DF5046C" w:rsidR="00EF34EC" w:rsidRPr="00277546" w:rsidRDefault="00EF34EC" w:rsidP="00EF34EC">
          <w:pPr>
            <w:spacing w:after="120" w:line="276" w:lineRule="auto"/>
            <w:jc w:val="both"/>
            <w:rPr>
              <w:rFonts w:ascii="Arial" w:hAnsi="Arial" w:cs="Arial"/>
              <w:sz w:val="20"/>
              <w:szCs w:val="20"/>
              <w:lang w:val="es-ES"/>
            </w:rPr>
          </w:pPr>
          <w:r>
            <w:rPr>
              <w:rFonts w:ascii="Arial" w:hAnsi="Arial" w:cs="Arial"/>
              <w:sz w:val="20"/>
              <w:szCs w:val="20"/>
              <w:lang w:val="es-ES"/>
            </w:rPr>
            <w:t xml:space="preserve">Los mercados mantuvieron una tendencia al alza:  </w:t>
          </w:r>
        </w:p>
        <w:p w14:paraId="452D5FB1" w14:textId="7389A6C5" w:rsidR="00EF34EC" w:rsidRDefault="00EF34EC" w:rsidP="00EF34EC">
          <w:pPr>
            <w:pStyle w:val="Prrafodelista"/>
            <w:numPr>
              <w:ilvl w:val="0"/>
              <w:numId w:val="7"/>
            </w:numPr>
            <w:spacing w:after="120" w:line="276" w:lineRule="auto"/>
            <w:jc w:val="both"/>
            <w:rPr>
              <w:rFonts w:ascii="Arial" w:hAnsi="Arial" w:cs="Arial"/>
              <w:lang w:val="es-ES"/>
            </w:rPr>
          </w:pPr>
          <w:r>
            <w:rPr>
              <w:rFonts w:ascii="Arial" w:hAnsi="Arial" w:cs="Arial"/>
              <w:lang w:val="es-ES"/>
            </w:rPr>
            <w:t xml:space="preserve">La demanda </w:t>
          </w:r>
          <w:r w:rsidR="00720FD8">
            <w:rPr>
              <w:rFonts w:ascii="Arial" w:hAnsi="Arial" w:cs="Arial"/>
              <w:lang w:val="es-ES"/>
            </w:rPr>
            <w:t xml:space="preserve">del usuario final </w:t>
          </w:r>
          <w:r>
            <w:rPr>
              <w:rFonts w:ascii="Arial" w:hAnsi="Arial" w:cs="Arial"/>
              <w:lang w:val="es-ES"/>
            </w:rPr>
            <w:t>se mantuvo en la mayoría de las regiones y mercados</w:t>
          </w:r>
        </w:p>
        <w:p w14:paraId="7E97B8B2" w14:textId="0F4FFCBA" w:rsidR="00EF34EC" w:rsidRDefault="00A91FE1" w:rsidP="00EF34EC">
          <w:pPr>
            <w:pStyle w:val="Prrafodelista"/>
            <w:numPr>
              <w:ilvl w:val="0"/>
              <w:numId w:val="7"/>
            </w:numPr>
            <w:spacing w:after="120" w:line="276" w:lineRule="auto"/>
            <w:jc w:val="both"/>
            <w:rPr>
              <w:rFonts w:ascii="Arial" w:hAnsi="Arial" w:cs="Arial"/>
              <w:lang w:val="es-ES"/>
            </w:rPr>
          </w:pPr>
          <w:r>
            <w:rPr>
              <w:rFonts w:ascii="Arial" w:hAnsi="Arial" w:cs="Arial"/>
              <w:lang w:val="es-ES"/>
            </w:rPr>
            <w:t xml:space="preserve">Los mercados de </w:t>
          </w:r>
          <w:r w:rsidR="0085424A">
            <w:rPr>
              <w:rFonts w:ascii="Arial" w:hAnsi="Arial" w:cs="Arial"/>
              <w:lang w:val="es-ES"/>
            </w:rPr>
            <w:t>Turismo-Camioneta</w:t>
          </w:r>
          <w:r>
            <w:rPr>
              <w:rFonts w:ascii="Arial" w:hAnsi="Arial" w:cs="Arial"/>
              <w:lang w:val="es-ES"/>
            </w:rPr>
            <w:t xml:space="preserve"> crecieron un 1,4%, impulsados por una recuperación de la demanda de</w:t>
          </w:r>
          <w:r w:rsidR="004C430A">
            <w:rPr>
              <w:rFonts w:ascii="Arial" w:hAnsi="Arial" w:cs="Arial"/>
              <w:lang w:val="es-ES"/>
            </w:rPr>
            <w:t xml:space="preserve"> neumáticos de e</w:t>
          </w:r>
          <w:r>
            <w:rPr>
              <w:rFonts w:ascii="Arial" w:hAnsi="Arial" w:cs="Arial"/>
              <w:lang w:val="es-ES"/>
            </w:rPr>
            <w:t xml:space="preserve">quipo </w:t>
          </w:r>
          <w:r w:rsidR="004C430A">
            <w:rPr>
              <w:rFonts w:ascii="Arial" w:hAnsi="Arial" w:cs="Arial"/>
              <w:lang w:val="es-ES"/>
            </w:rPr>
            <w:t>o</w:t>
          </w:r>
          <w:r>
            <w:rPr>
              <w:rFonts w:ascii="Arial" w:hAnsi="Arial" w:cs="Arial"/>
              <w:lang w:val="es-ES"/>
            </w:rPr>
            <w:t>riginal (O</w:t>
          </w:r>
          <w:r w:rsidR="00BE7D89">
            <w:rPr>
              <w:rFonts w:ascii="Arial" w:hAnsi="Arial" w:cs="Arial"/>
              <w:lang w:val="es-ES"/>
            </w:rPr>
            <w:t>E</w:t>
          </w:r>
          <w:r>
            <w:rPr>
              <w:rFonts w:ascii="Arial" w:hAnsi="Arial" w:cs="Arial"/>
              <w:lang w:val="es-ES"/>
            </w:rPr>
            <w:t>) durante el tercer trimestre, principalmente en Norteamérica y China; los mercados de reposición (RT) permanecieron estables, con un mix afectado temporalmente por el aumento de las importaciones asiáticas.</w:t>
          </w:r>
        </w:p>
        <w:p w14:paraId="2A2F4D43" w14:textId="551A35F9" w:rsidR="00A91FE1" w:rsidRDefault="00A91FE1" w:rsidP="00EF34EC">
          <w:pPr>
            <w:pStyle w:val="Prrafodelista"/>
            <w:numPr>
              <w:ilvl w:val="0"/>
              <w:numId w:val="7"/>
            </w:numPr>
            <w:spacing w:after="120" w:line="276" w:lineRule="auto"/>
            <w:jc w:val="both"/>
            <w:rPr>
              <w:rFonts w:ascii="Arial" w:hAnsi="Arial" w:cs="Arial"/>
              <w:lang w:val="es-ES"/>
            </w:rPr>
          </w:pPr>
          <w:r>
            <w:rPr>
              <w:rFonts w:ascii="Arial" w:hAnsi="Arial" w:cs="Arial"/>
              <w:lang w:val="es-ES"/>
            </w:rPr>
            <w:t xml:space="preserve">Los mercados de neumáticos de </w:t>
          </w:r>
          <w:r w:rsidR="0085424A">
            <w:rPr>
              <w:rFonts w:ascii="Arial" w:hAnsi="Arial" w:cs="Arial"/>
              <w:lang w:val="es-ES"/>
            </w:rPr>
            <w:t>Camiones</w:t>
          </w:r>
          <w:r>
            <w:rPr>
              <w:rFonts w:ascii="Arial" w:hAnsi="Arial" w:cs="Arial"/>
              <w:lang w:val="es-ES"/>
            </w:rPr>
            <w:t xml:space="preserve"> -excluyendo China- crecieron un 6,0%, con una aceleración de las ventas durante el tercer trimestre.</w:t>
          </w:r>
        </w:p>
        <w:p w14:paraId="4462E976" w14:textId="5E393414" w:rsidR="00A91FE1" w:rsidRPr="00277546" w:rsidRDefault="00A91FE1" w:rsidP="00EF34EC">
          <w:pPr>
            <w:pStyle w:val="Prrafodelista"/>
            <w:numPr>
              <w:ilvl w:val="0"/>
              <w:numId w:val="7"/>
            </w:numPr>
            <w:spacing w:after="120" w:line="276" w:lineRule="auto"/>
            <w:jc w:val="both"/>
            <w:rPr>
              <w:rFonts w:ascii="Arial" w:hAnsi="Arial" w:cs="Arial"/>
              <w:lang w:val="es-ES"/>
            </w:rPr>
          </w:pPr>
          <w:r>
            <w:rPr>
              <w:rFonts w:ascii="Arial" w:hAnsi="Arial" w:cs="Arial"/>
              <w:lang w:val="es-ES"/>
            </w:rPr>
            <w:t xml:space="preserve">Los mercados de neumáticos de actividades de </w:t>
          </w:r>
          <w:r w:rsidR="009429D3">
            <w:rPr>
              <w:rFonts w:ascii="Arial" w:hAnsi="Arial" w:cs="Arial"/>
              <w:lang w:val="es-ES"/>
            </w:rPr>
            <w:t>E</w:t>
          </w:r>
          <w:r>
            <w:rPr>
              <w:rFonts w:ascii="Arial" w:hAnsi="Arial" w:cs="Arial"/>
              <w:lang w:val="es-ES"/>
            </w:rPr>
            <w:t xml:space="preserve">specialidades se mantuvieron al alza, excepto en los segmentos </w:t>
          </w:r>
          <w:r w:rsidR="0085424A">
            <w:rPr>
              <w:rFonts w:ascii="Arial" w:hAnsi="Arial" w:cs="Arial"/>
              <w:lang w:val="es-ES"/>
            </w:rPr>
            <w:t>A</w:t>
          </w:r>
          <w:r>
            <w:rPr>
              <w:rFonts w:ascii="Arial" w:hAnsi="Arial" w:cs="Arial"/>
              <w:lang w:val="es-ES"/>
            </w:rPr>
            <w:t xml:space="preserve">grícola y </w:t>
          </w:r>
          <w:r w:rsidR="0085424A">
            <w:rPr>
              <w:rFonts w:ascii="Arial" w:hAnsi="Arial" w:cs="Arial"/>
              <w:lang w:val="es-ES"/>
            </w:rPr>
            <w:t>C</w:t>
          </w:r>
          <w:r>
            <w:rPr>
              <w:rFonts w:ascii="Arial" w:hAnsi="Arial" w:cs="Arial"/>
              <w:lang w:val="es-ES"/>
            </w:rPr>
            <w:t xml:space="preserve">onstrucción durante el tercer trimestre; la demanda sigue siendo fuerte en </w:t>
          </w:r>
          <w:r w:rsidR="0085424A">
            <w:rPr>
              <w:rFonts w:ascii="Arial" w:hAnsi="Arial" w:cs="Arial"/>
              <w:lang w:val="es-ES"/>
            </w:rPr>
            <w:t>M</w:t>
          </w:r>
          <w:r>
            <w:rPr>
              <w:rFonts w:ascii="Arial" w:hAnsi="Arial" w:cs="Arial"/>
              <w:lang w:val="es-ES"/>
            </w:rPr>
            <w:t xml:space="preserve">inería.  </w:t>
          </w:r>
        </w:p>
        <w:p w14:paraId="049A0D40" w14:textId="3369A327" w:rsidR="00212F8C" w:rsidRDefault="00BE7D89" w:rsidP="00BE269E">
          <w:pPr>
            <w:spacing w:line="276" w:lineRule="auto"/>
            <w:jc w:val="both"/>
            <w:rPr>
              <w:rFonts w:ascii="Arial" w:hAnsi="Arial" w:cs="Arial"/>
              <w:sz w:val="20"/>
              <w:szCs w:val="20"/>
              <w:lang w:val="es-ES"/>
            </w:rPr>
          </w:pPr>
          <w:r>
            <w:rPr>
              <w:rFonts w:ascii="Arial" w:hAnsi="Arial" w:cs="Arial"/>
              <w:sz w:val="20"/>
              <w:szCs w:val="20"/>
              <w:lang w:val="es-ES"/>
            </w:rPr>
            <w:t>Las ventas netas</w:t>
          </w:r>
          <w:r w:rsidR="0085424A">
            <w:rPr>
              <w:rFonts w:ascii="Arial" w:hAnsi="Arial" w:cs="Arial"/>
              <w:sz w:val="20"/>
              <w:szCs w:val="20"/>
              <w:lang w:val="es-ES"/>
            </w:rPr>
            <w:t xml:space="preserve"> consolidad</w:t>
          </w:r>
          <w:r>
            <w:rPr>
              <w:rFonts w:ascii="Arial" w:hAnsi="Arial" w:cs="Arial"/>
              <w:sz w:val="20"/>
              <w:szCs w:val="20"/>
              <w:lang w:val="es-ES"/>
            </w:rPr>
            <w:t>as</w:t>
          </w:r>
          <w:r w:rsidR="00212F8C">
            <w:rPr>
              <w:rFonts w:ascii="Arial" w:hAnsi="Arial" w:cs="Arial"/>
              <w:sz w:val="20"/>
              <w:szCs w:val="20"/>
              <w:lang w:val="es-ES"/>
            </w:rPr>
            <w:t xml:space="preserve"> a 30 de septiembre de 2022 asciende a 20.700 millones de euros, lo que supone un aumento interanual del 20,5%, incluyendo un efecto favorable del tipo de cambio del 6,5%:</w:t>
          </w:r>
        </w:p>
        <w:p w14:paraId="4F740997" w14:textId="77777777" w:rsidR="00212F8C" w:rsidRDefault="00212F8C" w:rsidP="00BE269E">
          <w:pPr>
            <w:spacing w:line="276" w:lineRule="auto"/>
            <w:jc w:val="both"/>
            <w:rPr>
              <w:rFonts w:ascii="Arial" w:hAnsi="Arial" w:cs="Arial"/>
              <w:sz w:val="20"/>
              <w:szCs w:val="20"/>
              <w:lang w:val="es-ES"/>
            </w:rPr>
          </w:pPr>
        </w:p>
        <w:p w14:paraId="01F1DE4B" w14:textId="7627214C" w:rsidR="00212F8C" w:rsidRDefault="001F706F" w:rsidP="00212F8C">
          <w:pPr>
            <w:pStyle w:val="Prrafodelista"/>
            <w:numPr>
              <w:ilvl w:val="0"/>
              <w:numId w:val="7"/>
            </w:numPr>
            <w:spacing w:after="120" w:line="276" w:lineRule="auto"/>
            <w:jc w:val="both"/>
            <w:rPr>
              <w:rFonts w:ascii="Arial" w:hAnsi="Arial" w:cs="Arial"/>
              <w:lang w:val="es-ES"/>
            </w:rPr>
          </w:pPr>
          <w:r>
            <w:rPr>
              <w:rFonts w:ascii="Arial" w:hAnsi="Arial" w:cs="Arial"/>
              <w:lang w:val="es-ES"/>
            </w:rPr>
            <w:t xml:space="preserve">Efecto </w:t>
          </w:r>
          <w:r w:rsidR="00720FD8">
            <w:rPr>
              <w:rFonts w:ascii="Arial" w:hAnsi="Arial" w:cs="Arial"/>
              <w:lang w:val="es-ES"/>
            </w:rPr>
            <w:t>mix-precio</w:t>
          </w:r>
          <w:r>
            <w:rPr>
              <w:rFonts w:ascii="Arial" w:hAnsi="Arial" w:cs="Arial"/>
              <w:lang w:val="es-ES"/>
            </w:rPr>
            <w:t xml:space="preserve"> precio de neumáticos de +13,4%</w:t>
          </w:r>
          <w:r w:rsidR="00212F8C">
            <w:rPr>
              <w:rFonts w:ascii="Arial" w:hAnsi="Arial" w:cs="Arial"/>
              <w:lang w:val="es-ES"/>
            </w:rPr>
            <w:t xml:space="preserve">, que refleja la </w:t>
          </w:r>
          <w:r w:rsidR="00720FD8">
            <w:rPr>
              <w:rFonts w:ascii="Arial" w:hAnsi="Arial" w:cs="Arial"/>
              <w:lang w:val="es-ES"/>
            </w:rPr>
            <w:t>determinación</w:t>
          </w:r>
          <w:r w:rsidR="00212F8C">
            <w:rPr>
              <w:rFonts w:ascii="Arial" w:hAnsi="Arial" w:cs="Arial"/>
              <w:lang w:val="es-ES"/>
            </w:rPr>
            <w:t xml:space="preserve"> del Grupo de </w:t>
          </w:r>
          <w:r w:rsidR="00720FD8">
            <w:rPr>
              <w:rFonts w:ascii="Arial" w:hAnsi="Arial" w:cs="Arial"/>
              <w:lang w:val="es-ES"/>
            </w:rPr>
            <w:t>compensar la</w:t>
          </w:r>
          <w:r w:rsidR="00212F8C">
            <w:rPr>
              <w:rFonts w:ascii="Arial" w:hAnsi="Arial" w:cs="Arial"/>
              <w:lang w:val="es-ES"/>
            </w:rPr>
            <w:t xml:space="preserve"> inflación </w:t>
          </w:r>
          <w:r w:rsidR="00720FD8">
            <w:rPr>
              <w:rFonts w:ascii="Arial" w:hAnsi="Arial" w:cs="Arial"/>
              <w:lang w:val="es-ES"/>
            </w:rPr>
            <w:t>de</w:t>
          </w:r>
          <w:r w:rsidR="00212F8C">
            <w:rPr>
              <w:rFonts w:ascii="Arial" w:hAnsi="Arial" w:cs="Arial"/>
              <w:lang w:val="es-ES"/>
            </w:rPr>
            <w:t xml:space="preserve"> </w:t>
          </w:r>
          <w:r>
            <w:rPr>
              <w:rFonts w:ascii="Arial" w:hAnsi="Arial" w:cs="Arial"/>
              <w:lang w:val="es-ES"/>
            </w:rPr>
            <w:t xml:space="preserve">costes, así como el impacto creciente de las cláusulas de indexación de precios. </w:t>
          </w:r>
        </w:p>
        <w:p w14:paraId="4C951C8D" w14:textId="041B7AAB" w:rsidR="001F706F" w:rsidRDefault="001F706F" w:rsidP="00212F8C">
          <w:pPr>
            <w:pStyle w:val="Prrafodelista"/>
            <w:numPr>
              <w:ilvl w:val="0"/>
              <w:numId w:val="7"/>
            </w:numPr>
            <w:spacing w:after="120" w:line="276" w:lineRule="auto"/>
            <w:jc w:val="both"/>
            <w:rPr>
              <w:rFonts w:ascii="Arial" w:hAnsi="Arial" w:cs="Arial"/>
              <w:lang w:val="es-ES"/>
            </w:rPr>
          </w:pPr>
          <w:r>
            <w:rPr>
              <w:rFonts w:ascii="Arial" w:hAnsi="Arial" w:cs="Arial"/>
              <w:lang w:val="es-ES"/>
            </w:rPr>
            <w:t>Efecto del mix de neumáticos de +0,9%, que refleja el crecimiento en el segmento de los neumáticos de Turismo para llanta de 18” y superiores y en Minería, compensado parcialmente por un efecto mix desfavorable de OE/RT en Turismo</w:t>
          </w:r>
          <w:r w:rsidR="0085424A">
            <w:rPr>
              <w:rFonts w:ascii="Arial" w:hAnsi="Arial" w:cs="Arial"/>
              <w:lang w:val="es-ES"/>
            </w:rPr>
            <w:t>-Camioneta</w:t>
          </w:r>
          <w:r>
            <w:rPr>
              <w:rFonts w:ascii="Arial" w:hAnsi="Arial" w:cs="Arial"/>
              <w:lang w:val="es-ES"/>
            </w:rPr>
            <w:t>.</w:t>
          </w:r>
        </w:p>
        <w:p w14:paraId="659CECB0" w14:textId="66A248CA" w:rsidR="001F706F" w:rsidRDefault="001F706F" w:rsidP="00212F8C">
          <w:pPr>
            <w:pStyle w:val="Prrafodelista"/>
            <w:numPr>
              <w:ilvl w:val="0"/>
              <w:numId w:val="7"/>
            </w:numPr>
            <w:spacing w:after="120" w:line="276" w:lineRule="auto"/>
            <w:jc w:val="both"/>
            <w:rPr>
              <w:rFonts w:ascii="Arial" w:hAnsi="Arial" w:cs="Arial"/>
              <w:lang w:val="es-ES"/>
            </w:rPr>
          </w:pPr>
          <w:r>
            <w:rPr>
              <w:rFonts w:ascii="Arial" w:hAnsi="Arial" w:cs="Arial"/>
              <w:lang w:val="es-ES"/>
            </w:rPr>
            <w:t>Descenso del 2,4% en los volúmenes, afectados por la salida de Rusia y los cierres debidos a las restricciones sanitarias en China, en un contexto de persistentes interrupciones operativas.</w:t>
          </w:r>
        </w:p>
        <w:p w14:paraId="7ACF54DB" w14:textId="0E719ED9" w:rsidR="001F706F" w:rsidRDefault="001F706F" w:rsidP="00212F8C">
          <w:pPr>
            <w:pStyle w:val="Prrafodelista"/>
            <w:numPr>
              <w:ilvl w:val="0"/>
              <w:numId w:val="7"/>
            </w:numPr>
            <w:spacing w:after="120" w:line="276" w:lineRule="auto"/>
            <w:jc w:val="both"/>
            <w:rPr>
              <w:rFonts w:ascii="Arial" w:hAnsi="Arial" w:cs="Arial"/>
              <w:lang w:val="es-ES"/>
            </w:rPr>
          </w:pPr>
          <w:r>
            <w:rPr>
              <w:rFonts w:ascii="Arial" w:hAnsi="Arial" w:cs="Arial"/>
              <w:lang w:val="es-ES"/>
            </w:rPr>
            <w:t xml:space="preserve">Efecto </w:t>
          </w:r>
          <w:r w:rsidR="00BE7D89">
            <w:rPr>
              <w:rFonts w:ascii="Arial" w:hAnsi="Arial" w:cs="Arial"/>
              <w:lang w:val="es-ES"/>
            </w:rPr>
            <w:t>perímetro</w:t>
          </w:r>
          <w:r>
            <w:rPr>
              <w:rFonts w:ascii="Arial" w:hAnsi="Arial" w:cs="Arial"/>
              <w:lang w:val="es-ES"/>
            </w:rPr>
            <w:t xml:space="preserve"> favorable, debido principalmente a la consolidación de Allopneus.com.</w:t>
          </w:r>
        </w:p>
        <w:p w14:paraId="43BBA3FB" w14:textId="27657EAC" w:rsidR="001F706F" w:rsidRDefault="001F706F" w:rsidP="0085424A">
          <w:pPr>
            <w:pStyle w:val="Prrafodelista"/>
            <w:numPr>
              <w:ilvl w:val="0"/>
              <w:numId w:val="7"/>
            </w:numPr>
            <w:spacing w:after="120" w:line="276" w:lineRule="auto"/>
            <w:rPr>
              <w:rFonts w:ascii="Arial" w:hAnsi="Arial" w:cs="Arial"/>
              <w:lang w:val="es-ES"/>
            </w:rPr>
          </w:pPr>
          <w:r>
            <w:rPr>
              <w:rFonts w:ascii="Arial" w:hAnsi="Arial" w:cs="Arial"/>
              <w:lang w:val="es-ES"/>
            </w:rPr>
            <w:t xml:space="preserve">Aumento </w:t>
          </w:r>
          <w:r w:rsidR="005963E0">
            <w:rPr>
              <w:rFonts w:ascii="Arial" w:hAnsi="Arial" w:cs="Arial"/>
              <w:lang w:val="es-ES"/>
            </w:rPr>
            <w:t>del 22% de</w:t>
          </w:r>
          <w:r>
            <w:rPr>
              <w:rFonts w:ascii="Arial" w:hAnsi="Arial" w:cs="Arial"/>
              <w:lang w:val="es-ES"/>
            </w:rPr>
            <w:t xml:space="preserve"> las ventas de No Neumáticos, </w:t>
          </w:r>
          <w:r w:rsidR="005963E0">
            <w:rPr>
              <w:rFonts w:ascii="Arial" w:hAnsi="Arial" w:cs="Arial"/>
              <w:lang w:val="es-ES"/>
            </w:rPr>
            <w:t>que contribuyen en un 1,1% al crecimiento de</w:t>
          </w:r>
          <w:r w:rsidR="0085424A">
            <w:rPr>
              <w:rFonts w:ascii="Arial" w:hAnsi="Arial" w:cs="Arial"/>
              <w:lang w:val="es-ES"/>
            </w:rPr>
            <w:t>l resultado neto consolidado</w:t>
          </w:r>
          <w:r w:rsidR="005963E0">
            <w:rPr>
              <w:rFonts w:ascii="Arial" w:hAnsi="Arial" w:cs="Arial"/>
              <w:lang w:val="es-ES"/>
            </w:rPr>
            <w:t xml:space="preserve"> del Grupo, </w:t>
          </w:r>
          <w:r w:rsidR="0085424A">
            <w:rPr>
              <w:rFonts w:ascii="Arial" w:hAnsi="Arial" w:cs="Arial"/>
              <w:lang w:val="es-ES"/>
            </w:rPr>
            <w:t xml:space="preserve">en consonancia con </w:t>
          </w:r>
          <w:r w:rsidR="005963E0">
            <w:rPr>
              <w:rFonts w:ascii="Arial" w:hAnsi="Arial" w:cs="Arial"/>
              <w:lang w:val="es-ES"/>
            </w:rPr>
            <w:t>la estrategia Michelin in Motion.</w:t>
          </w:r>
          <w:r w:rsidR="0085424A">
            <w:rPr>
              <w:rFonts w:ascii="Arial" w:hAnsi="Arial" w:cs="Arial"/>
              <w:lang w:val="es-ES"/>
            </w:rPr>
            <w:br/>
          </w:r>
          <w:r w:rsidR="0085424A">
            <w:rPr>
              <w:rFonts w:ascii="Arial" w:hAnsi="Arial" w:cs="Arial"/>
              <w:lang w:val="es-ES"/>
            </w:rPr>
            <w:br/>
          </w:r>
        </w:p>
        <w:p w14:paraId="21630E31" w14:textId="70667F53" w:rsidR="00A91FE1" w:rsidRDefault="005963E0" w:rsidP="00BE269E">
          <w:pPr>
            <w:spacing w:line="276" w:lineRule="auto"/>
            <w:jc w:val="both"/>
            <w:rPr>
              <w:rFonts w:ascii="Arial" w:hAnsi="Arial" w:cs="Arial"/>
              <w:sz w:val="20"/>
              <w:szCs w:val="20"/>
              <w:lang w:val="es-ES"/>
            </w:rPr>
          </w:pPr>
          <w:r>
            <w:rPr>
              <w:rFonts w:ascii="Arial" w:hAnsi="Arial" w:cs="Arial"/>
              <w:sz w:val="20"/>
              <w:szCs w:val="20"/>
              <w:lang w:val="es-ES"/>
            </w:rPr>
            <w:lastRenderedPageBreak/>
            <w:t>Orientación anual</w:t>
          </w:r>
        </w:p>
        <w:p w14:paraId="272F8B0A" w14:textId="65F5CA15" w:rsidR="005963E0" w:rsidRDefault="005963E0" w:rsidP="00BE269E">
          <w:pPr>
            <w:spacing w:line="276" w:lineRule="auto"/>
            <w:jc w:val="both"/>
            <w:rPr>
              <w:rFonts w:ascii="Arial" w:hAnsi="Arial" w:cs="Arial"/>
              <w:sz w:val="20"/>
              <w:szCs w:val="20"/>
              <w:lang w:val="es-ES"/>
            </w:rPr>
          </w:pPr>
        </w:p>
        <w:p w14:paraId="2A68E4A1" w14:textId="37E7B084" w:rsidR="005963E0" w:rsidRDefault="005963E0" w:rsidP="005963E0">
          <w:pPr>
            <w:spacing w:line="276" w:lineRule="auto"/>
            <w:jc w:val="both"/>
            <w:rPr>
              <w:rFonts w:ascii="Arial" w:hAnsi="Arial" w:cs="Arial"/>
              <w:sz w:val="20"/>
              <w:szCs w:val="20"/>
              <w:lang w:val="es-ES"/>
            </w:rPr>
          </w:pPr>
          <w:r w:rsidRPr="005963E0">
            <w:rPr>
              <w:rFonts w:ascii="Arial" w:hAnsi="Arial" w:cs="Arial"/>
              <w:sz w:val="20"/>
              <w:szCs w:val="20"/>
              <w:lang w:val="es-ES"/>
            </w:rPr>
            <w:t xml:space="preserve">Se prevé que los mercados de neumáticos </w:t>
          </w:r>
          <w:r w:rsidR="0085424A">
            <w:rPr>
              <w:rFonts w:ascii="Arial" w:hAnsi="Arial" w:cs="Arial"/>
              <w:sz w:val="20"/>
              <w:szCs w:val="20"/>
              <w:lang w:val="es-ES"/>
            </w:rPr>
            <w:t>de</w:t>
          </w:r>
          <w:r w:rsidRPr="005963E0">
            <w:rPr>
              <w:rFonts w:ascii="Arial" w:hAnsi="Arial" w:cs="Arial"/>
              <w:sz w:val="20"/>
              <w:szCs w:val="20"/>
              <w:lang w:val="es-ES"/>
            </w:rPr>
            <w:t xml:space="preserve"> </w:t>
          </w:r>
          <w:r>
            <w:rPr>
              <w:rFonts w:ascii="Arial" w:hAnsi="Arial" w:cs="Arial"/>
              <w:sz w:val="20"/>
              <w:szCs w:val="20"/>
              <w:lang w:val="es-ES"/>
            </w:rPr>
            <w:t>T</w:t>
          </w:r>
          <w:r w:rsidRPr="005963E0">
            <w:rPr>
              <w:rFonts w:ascii="Arial" w:hAnsi="Arial" w:cs="Arial"/>
              <w:sz w:val="20"/>
              <w:szCs w:val="20"/>
              <w:lang w:val="es-ES"/>
            </w:rPr>
            <w:t>urismo</w:t>
          </w:r>
          <w:r w:rsidR="0085424A">
            <w:rPr>
              <w:rFonts w:ascii="Arial" w:hAnsi="Arial" w:cs="Arial"/>
              <w:sz w:val="20"/>
              <w:szCs w:val="20"/>
              <w:lang w:val="es-ES"/>
            </w:rPr>
            <w:t>-Camioneta</w:t>
          </w:r>
          <w:r w:rsidRPr="005963E0">
            <w:rPr>
              <w:rFonts w:ascii="Arial" w:hAnsi="Arial" w:cs="Arial"/>
              <w:sz w:val="20"/>
              <w:szCs w:val="20"/>
              <w:lang w:val="es-ES"/>
            </w:rPr>
            <w:t xml:space="preserve"> terminen el año entre un </w:t>
          </w:r>
          <w:r>
            <w:rPr>
              <w:rFonts w:ascii="Arial" w:hAnsi="Arial" w:cs="Arial"/>
              <w:sz w:val="20"/>
              <w:szCs w:val="20"/>
              <w:lang w:val="es-ES"/>
            </w:rPr>
            <w:t>-</w:t>
          </w:r>
          <w:r w:rsidRPr="005963E0">
            <w:rPr>
              <w:rFonts w:ascii="Arial" w:hAnsi="Arial" w:cs="Arial"/>
              <w:sz w:val="20"/>
              <w:szCs w:val="20"/>
              <w:lang w:val="es-ES"/>
            </w:rPr>
            <w:t xml:space="preserve">2% y un </w:t>
          </w:r>
          <w:r>
            <w:rPr>
              <w:rFonts w:ascii="Arial" w:hAnsi="Arial" w:cs="Arial"/>
              <w:sz w:val="20"/>
              <w:szCs w:val="20"/>
              <w:lang w:val="es-ES"/>
            </w:rPr>
            <w:t>+</w:t>
          </w:r>
          <w:r w:rsidRPr="005963E0">
            <w:rPr>
              <w:rFonts w:ascii="Arial" w:hAnsi="Arial" w:cs="Arial"/>
              <w:sz w:val="20"/>
              <w:szCs w:val="20"/>
              <w:lang w:val="es-ES"/>
            </w:rPr>
            <w:t xml:space="preserve">2%, </w:t>
          </w:r>
          <w:r w:rsidR="0085424A">
            <w:rPr>
              <w:rFonts w:ascii="Arial" w:hAnsi="Arial" w:cs="Arial"/>
              <w:sz w:val="20"/>
              <w:szCs w:val="20"/>
              <w:lang w:val="es-ES"/>
            </w:rPr>
            <w:t xml:space="preserve">un crecimiento en </w:t>
          </w:r>
          <w:r w:rsidRPr="005963E0">
            <w:rPr>
              <w:rFonts w:ascii="Arial" w:hAnsi="Arial" w:cs="Arial"/>
              <w:sz w:val="20"/>
              <w:szCs w:val="20"/>
              <w:lang w:val="es-ES"/>
            </w:rPr>
            <w:t xml:space="preserve">los mercados de neumáticos </w:t>
          </w:r>
          <w:r w:rsidR="0085424A">
            <w:rPr>
              <w:rFonts w:ascii="Arial" w:hAnsi="Arial" w:cs="Arial"/>
              <w:sz w:val="20"/>
              <w:szCs w:val="20"/>
              <w:lang w:val="es-ES"/>
            </w:rPr>
            <w:t>de</w:t>
          </w:r>
          <w:r w:rsidRPr="005963E0">
            <w:rPr>
              <w:rFonts w:ascii="Arial" w:hAnsi="Arial" w:cs="Arial"/>
              <w:sz w:val="20"/>
              <w:szCs w:val="20"/>
              <w:lang w:val="es-ES"/>
            </w:rPr>
            <w:t xml:space="preserve"> </w:t>
          </w:r>
          <w:r w:rsidR="0085424A">
            <w:rPr>
              <w:rFonts w:ascii="Arial" w:hAnsi="Arial" w:cs="Arial"/>
              <w:sz w:val="20"/>
              <w:szCs w:val="20"/>
              <w:lang w:val="es-ES"/>
            </w:rPr>
            <w:t>C</w:t>
          </w:r>
          <w:r w:rsidRPr="005963E0">
            <w:rPr>
              <w:rFonts w:ascii="Arial" w:hAnsi="Arial" w:cs="Arial"/>
              <w:sz w:val="20"/>
              <w:szCs w:val="20"/>
              <w:lang w:val="es-ES"/>
            </w:rPr>
            <w:t xml:space="preserve">amiones (excluyendo China) </w:t>
          </w:r>
          <w:r w:rsidR="0085424A">
            <w:rPr>
              <w:rFonts w:ascii="Arial" w:hAnsi="Arial" w:cs="Arial"/>
              <w:sz w:val="20"/>
              <w:szCs w:val="20"/>
              <w:lang w:val="es-ES"/>
            </w:rPr>
            <w:t>e</w:t>
          </w:r>
          <w:r w:rsidRPr="005963E0">
            <w:rPr>
              <w:rFonts w:ascii="Arial" w:hAnsi="Arial" w:cs="Arial"/>
              <w:sz w:val="20"/>
              <w:szCs w:val="20"/>
              <w:lang w:val="es-ES"/>
            </w:rPr>
            <w:t xml:space="preserve">ntre un 2% y un 6%, y que los de </w:t>
          </w:r>
          <w:r>
            <w:rPr>
              <w:rFonts w:ascii="Arial" w:hAnsi="Arial" w:cs="Arial"/>
              <w:sz w:val="20"/>
              <w:szCs w:val="20"/>
              <w:lang w:val="es-ES"/>
            </w:rPr>
            <w:t xml:space="preserve">actividades de </w:t>
          </w:r>
          <w:r w:rsidR="0085424A">
            <w:rPr>
              <w:rFonts w:ascii="Arial" w:hAnsi="Arial" w:cs="Arial"/>
              <w:sz w:val="20"/>
              <w:szCs w:val="20"/>
              <w:lang w:val="es-ES"/>
            </w:rPr>
            <w:t>E</w:t>
          </w:r>
          <w:r>
            <w:rPr>
              <w:rFonts w:ascii="Arial" w:hAnsi="Arial" w:cs="Arial"/>
              <w:sz w:val="20"/>
              <w:szCs w:val="20"/>
              <w:lang w:val="es-ES"/>
            </w:rPr>
            <w:t xml:space="preserve">specialidades </w:t>
          </w:r>
          <w:r w:rsidRPr="005963E0">
            <w:rPr>
              <w:rFonts w:ascii="Arial" w:hAnsi="Arial" w:cs="Arial"/>
              <w:sz w:val="20"/>
              <w:szCs w:val="20"/>
              <w:lang w:val="es-ES"/>
            </w:rPr>
            <w:t>crezcan entre un 3% y un 7%.</w:t>
          </w:r>
        </w:p>
        <w:p w14:paraId="480AD201" w14:textId="77777777" w:rsidR="005963E0" w:rsidRPr="005963E0" w:rsidRDefault="005963E0" w:rsidP="005963E0">
          <w:pPr>
            <w:spacing w:line="276" w:lineRule="auto"/>
            <w:jc w:val="both"/>
            <w:rPr>
              <w:rFonts w:ascii="Arial" w:hAnsi="Arial" w:cs="Arial"/>
              <w:sz w:val="20"/>
              <w:szCs w:val="20"/>
              <w:lang w:val="es-ES"/>
            </w:rPr>
          </w:pPr>
        </w:p>
        <w:p w14:paraId="1517B0F5" w14:textId="4E6B8EF2" w:rsidR="005963E0" w:rsidRPr="005963E0" w:rsidRDefault="005963E0" w:rsidP="005963E0">
          <w:pPr>
            <w:spacing w:line="276" w:lineRule="auto"/>
            <w:jc w:val="both"/>
            <w:rPr>
              <w:rFonts w:ascii="Arial" w:hAnsi="Arial" w:cs="Arial"/>
              <w:sz w:val="20"/>
              <w:szCs w:val="20"/>
              <w:lang w:val="es-ES"/>
            </w:rPr>
          </w:pPr>
          <w:r>
            <w:rPr>
              <w:rFonts w:ascii="Arial" w:hAnsi="Arial" w:cs="Arial"/>
              <w:sz w:val="20"/>
              <w:szCs w:val="20"/>
              <w:lang w:val="es-ES"/>
            </w:rPr>
            <w:t xml:space="preserve">En este escenario, Michelin </w:t>
          </w:r>
          <w:r w:rsidRPr="005963E0">
            <w:rPr>
              <w:rFonts w:ascii="Arial" w:hAnsi="Arial" w:cs="Arial"/>
              <w:sz w:val="20"/>
              <w:szCs w:val="20"/>
              <w:lang w:val="es-ES"/>
            </w:rPr>
            <w:t xml:space="preserve">confirma </w:t>
          </w:r>
          <w:r>
            <w:rPr>
              <w:rFonts w:ascii="Arial" w:hAnsi="Arial" w:cs="Arial"/>
              <w:sz w:val="20"/>
              <w:szCs w:val="20"/>
              <w:lang w:val="es-ES"/>
            </w:rPr>
            <w:t>su</w:t>
          </w:r>
          <w:r w:rsidRPr="005963E0">
            <w:rPr>
              <w:rFonts w:ascii="Arial" w:hAnsi="Arial" w:cs="Arial"/>
              <w:sz w:val="20"/>
              <w:szCs w:val="20"/>
              <w:lang w:val="es-ES"/>
            </w:rPr>
            <w:t xml:space="preserve"> previsi</w:t>
          </w:r>
          <w:r>
            <w:rPr>
              <w:rFonts w:ascii="Arial" w:hAnsi="Arial" w:cs="Arial"/>
              <w:sz w:val="20"/>
              <w:szCs w:val="20"/>
              <w:lang w:val="es-ES"/>
            </w:rPr>
            <w:t xml:space="preserve">ón de </w:t>
          </w:r>
          <w:r w:rsidRPr="005963E0">
            <w:rPr>
              <w:rFonts w:ascii="Arial" w:hAnsi="Arial" w:cs="Arial"/>
              <w:sz w:val="20"/>
              <w:szCs w:val="20"/>
              <w:lang w:val="es-ES"/>
            </w:rPr>
            <w:t>un</w:t>
          </w:r>
          <w:r>
            <w:rPr>
              <w:rFonts w:ascii="Arial" w:hAnsi="Arial" w:cs="Arial"/>
              <w:sz w:val="20"/>
              <w:szCs w:val="20"/>
              <w:lang w:val="es-ES"/>
            </w:rPr>
            <w:t xml:space="preserve"> resultado operacional</w:t>
          </w:r>
          <w:r w:rsidRPr="005963E0">
            <w:rPr>
              <w:rFonts w:ascii="Arial" w:hAnsi="Arial" w:cs="Arial"/>
              <w:sz w:val="20"/>
              <w:szCs w:val="20"/>
              <w:lang w:val="es-ES"/>
            </w:rPr>
            <w:t xml:space="preserve"> </w:t>
          </w:r>
          <w:r>
            <w:rPr>
              <w:rFonts w:ascii="Arial" w:hAnsi="Arial" w:cs="Arial"/>
              <w:sz w:val="20"/>
              <w:szCs w:val="20"/>
              <w:lang w:val="es-ES"/>
            </w:rPr>
            <w:t xml:space="preserve">anual </w:t>
          </w:r>
          <w:r w:rsidRPr="005963E0">
            <w:rPr>
              <w:rFonts w:ascii="Arial" w:hAnsi="Arial" w:cs="Arial"/>
              <w:sz w:val="20"/>
              <w:szCs w:val="20"/>
              <w:lang w:val="es-ES"/>
            </w:rPr>
            <w:t>de</w:t>
          </w:r>
          <w:r>
            <w:rPr>
              <w:rFonts w:ascii="Arial" w:hAnsi="Arial" w:cs="Arial"/>
              <w:sz w:val="20"/>
              <w:szCs w:val="20"/>
              <w:lang w:val="es-ES"/>
            </w:rPr>
            <w:t xml:space="preserve"> los sectores </w:t>
          </w:r>
          <w:r w:rsidRPr="005963E0">
            <w:rPr>
              <w:rFonts w:ascii="Arial" w:hAnsi="Arial" w:cs="Arial"/>
              <w:sz w:val="20"/>
              <w:szCs w:val="20"/>
              <w:lang w:val="es-ES"/>
            </w:rPr>
            <w:t xml:space="preserve">superior a 3.200 millones de euros a tipos de cambio constantes, y </w:t>
          </w:r>
          <w:r>
            <w:rPr>
              <w:rFonts w:ascii="Arial" w:hAnsi="Arial" w:cs="Arial"/>
              <w:sz w:val="20"/>
              <w:szCs w:val="20"/>
              <w:lang w:val="es-ES"/>
            </w:rPr>
            <w:t xml:space="preserve">revisa su previsión de </w:t>
          </w:r>
          <w:r w:rsidRPr="0085424A">
            <w:rPr>
              <w:rFonts w:ascii="Arial" w:hAnsi="Arial" w:cs="Arial"/>
              <w:i/>
              <w:iCs/>
              <w:sz w:val="20"/>
              <w:szCs w:val="20"/>
              <w:lang w:val="es-ES"/>
            </w:rPr>
            <w:t>cash flow</w:t>
          </w:r>
          <w:r>
            <w:rPr>
              <w:rFonts w:ascii="Arial" w:hAnsi="Arial" w:cs="Arial"/>
              <w:sz w:val="20"/>
              <w:szCs w:val="20"/>
              <w:lang w:val="es-ES"/>
            </w:rPr>
            <w:t xml:space="preserve"> libre estructural</w:t>
          </w:r>
          <w:r w:rsidRPr="005963E0">
            <w:rPr>
              <w:rFonts w:ascii="Arial" w:hAnsi="Arial" w:cs="Arial"/>
              <w:sz w:val="20"/>
              <w:szCs w:val="20"/>
              <w:vertAlign w:val="superscript"/>
              <w:lang w:val="es-ES"/>
            </w:rPr>
            <w:t>1</w:t>
          </w:r>
          <w:r>
            <w:rPr>
              <w:rFonts w:ascii="Arial" w:hAnsi="Arial" w:cs="Arial"/>
              <w:sz w:val="20"/>
              <w:szCs w:val="20"/>
              <w:lang w:val="es-ES"/>
            </w:rPr>
            <w:t xml:space="preserve"> </w:t>
          </w:r>
          <w:r w:rsidRPr="005963E0">
            <w:rPr>
              <w:rFonts w:ascii="Arial" w:hAnsi="Arial" w:cs="Arial"/>
              <w:sz w:val="20"/>
              <w:szCs w:val="20"/>
              <w:lang w:val="es-ES"/>
            </w:rPr>
            <w:t>a 700 millones de euros.</w:t>
          </w:r>
        </w:p>
        <w:p w14:paraId="0AF518D8" w14:textId="77C6C1D9" w:rsidR="00841E40" w:rsidRDefault="00841E40" w:rsidP="00895E83">
          <w:pPr>
            <w:jc w:val="both"/>
            <w:rPr>
              <w:rFonts w:ascii="Arial" w:hAnsi="Arial" w:cs="Arial"/>
              <w:sz w:val="22"/>
              <w:szCs w:val="22"/>
              <w:lang w:val="es-ES"/>
            </w:rPr>
          </w:pPr>
        </w:p>
        <w:p w14:paraId="1F07A88E" w14:textId="03DA19D8" w:rsidR="00841E40" w:rsidRDefault="00841E40" w:rsidP="00895E83">
          <w:pPr>
            <w:jc w:val="both"/>
            <w:rPr>
              <w:rFonts w:ascii="Arial" w:hAnsi="Arial" w:cs="Arial"/>
              <w:sz w:val="22"/>
              <w:szCs w:val="22"/>
              <w:lang w:val="es-ES"/>
            </w:rPr>
          </w:pPr>
        </w:p>
        <w:p w14:paraId="611E272B" w14:textId="0B78BAF7" w:rsidR="00841E40" w:rsidRPr="009F3FB2" w:rsidRDefault="009F3FB2" w:rsidP="00895E83">
          <w:pPr>
            <w:jc w:val="both"/>
            <w:rPr>
              <w:rFonts w:ascii="Arial" w:hAnsi="Arial" w:cs="Arial"/>
              <w:b/>
              <w:bCs/>
              <w:sz w:val="22"/>
              <w:szCs w:val="22"/>
              <w:lang w:val="es-ES"/>
            </w:rPr>
          </w:pPr>
          <w:r w:rsidRPr="009F3FB2">
            <w:rPr>
              <w:rFonts w:ascii="Arial" w:hAnsi="Arial" w:cs="Arial"/>
              <w:b/>
              <w:bCs/>
              <w:sz w:val="22"/>
              <w:szCs w:val="22"/>
              <w:lang w:val="es-ES"/>
            </w:rPr>
            <w:t>Evolución de las ventas a 30 de septiembre de 2022</w:t>
          </w:r>
        </w:p>
        <w:p w14:paraId="5F57C544" w14:textId="4537AB47" w:rsidR="00841E40" w:rsidRDefault="00841E40" w:rsidP="00895E83">
          <w:pPr>
            <w:jc w:val="both"/>
            <w:rPr>
              <w:rFonts w:ascii="Arial" w:hAnsi="Arial" w:cs="Arial"/>
              <w:sz w:val="22"/>
              <w:szCs w:val="22"/>
              <w:lang w:val="es-ES"/>
            </w:rPr>
          </w:pPr>
        </w:p>
        <w:p w14:paraId="67C97180" w14:textId="36142BBE" w:rsidR="004C430A" w:rsidRDefault="004C430A" w:rsidP="00895E83">
          <w:pPr>
            <w:jc w:val="both"/>
            <w:rPr>
              <w:rFonts w:ascii="Arial" w:hAnsi="Arial" w:cs="Arial"/>
              <w:sz w:val="22"/>
              <w:szCs w:val="22"/>
              <w:lang w:val="es-ES"/>
            </w:rPr>
          </w:pPr>
        </w:p>
        <w:p w14:paraId="3EDEF59C" w14:textId="77777777" w:rsidR="004C430A" w:rsidRPr="00895E83" w:rsidRDefault="004C430A" w:rsidP="00895E83">
          <w:pPr>
            <w:jc w:val="both"/>
            <w:rPr>
              <w:rFonts w:ascii="Arial" w:hAnsi="Arial" w:cs="Arial"/>
              <w:sz w:val="22"/>
              <w:szCs w:val="22"/>
              <w:lang w:val="es-ES"/>
            </w:rPr>
          </w:pPr>
        </w:p>
        <w:tbl>
          <w:tblPr>
            <w:tblpPr w:leftFromText="141" w:rightFromText="141" w:vertAnchor="text" w:horzAnchor="margin" w:tblpXSpec="center" w:tblpY="-4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560"/>
            <w:gridCol w:w="1559"/>
            <w:gridCol w:w="1701"/>
          </w:tblGrid>
          <w:tr w:rsidR="00895E83" w:rsidRPr="00895E83" w14:paraId="42FD4D52" w14:textId="77777777" w:rsidTr="009F3FB2">
            <w:trPr>
              <w:trHeight w:val="699"/>
            </w:trPr>
            <w:tc>
              <w:tcPr>
                <w:tcW w:w="3964" w:type="dxa"/>
                <w:shd w:val="clear" w:color="auto" w:fill="F3F3F3"/>
                <w:vAlign w:val="center"/>
              </w:tcPr>
              <w:p w14:paraId="2CE62E83" w14:textId="77777777" w:rsidR="00895E83" w:rsidRPr="00895E83" w:rsidRDefault="00895E83" w:rsidP="00895E83">
                <w:pPr>
                  <w:jc w:val="center"/>
                  <w:rPr>
                    <w:rFonts w:ascii="Arial" w:hAnsi="Arial" w:cs="Arial"/>
                    <w:bCs/>
                    <w:sz w:val="20"/>
                    <w:szCs w:val="20"/>
                    <w:lang w:val="es-ES"/>
                  </w:rPr>
                </w:pPr>
                <w:r w:rsidRPr="00895E83">
                  <w:rPr>
                    <w:rFonts w:ascii="Arial" w:hAnsi="Arial" w:cs="Arial"/>
                    <w:bCs/>
                    <w:sz w:val="20"/>
                    <w:szCs w:val="20"/>
                    <w:lang w:val="es-ES"/>
                  </w:rPr>
                  <w:t>(EN MILLONES DE €)</w:t>
                </w:r>
              </w:p>
            </w:tc>
            <w:tc>
              <w:tcPr>
                <w:tcW w:w="1560" w:type="dxa"/>
                <w:shd w:val="clear" w:color="auto" w:fill="F3F3F3"/>
                <w:vAlign w:val="center"/>
              </w:tcPr>
              <w:p w14:paraId="1E94D3B2" w14:textId="77777777" w:rsidR="009F3FB2" w:rsidRDefault="009F3FB2" w:rsidP="00895E83">
                <w:pPr>
                  <w:jc w:val="center"/>
                  <w:rPr>
                    <w:rFonts w:ascii="Arial" w:hAnsi="Arial" w:cs="Arial"/>
                    <w:b/>
                    <w:bCs/>
                    <w:sz w:val="20"/>
                    <w:szCs w:val="20"/>
                    <w:lang w:val="es-ES"/>
                  </w:rPr>
                </w:pPr>
              </w:p>
              <w:p w14:paraId="4A46A15B" w14:textId="614B3DF5" w:rsidR="00895E83" w:rsidRPr="00895E83" w:rsidRDefault="009F3FB2" w:rsidP="00895E83">
                <w:pPr>
                  <w:jc w:val="center"/>
                  <w:rPr>
                    <w:rFonts w:ascii="Arial" w:hAnsi="Arial" w:cs="Arial"/>
                    <w:b/>
                    <w:bCs/>
                    <w:sz w:val="20"/>
                    <w:szCs w:val="20"/>
                    <w:lang w:val="es-ES"/>
                  </w:rPr>
                </w:pPr>
                <w:r>
                  <w:rPr>
                    <w:rFonts w:ascii="Arial" w:hAnsi="Arial" w:cs="Arial"/>
                    <w:b/>
                    <w:bCs/>
                    <w:sz w:val="20"/>
                    <w:szCs w:val="20"/>
                    <w:lang w:val="es-ES"/>
                  </w:rPr>
                  <w:t>Nueve meses</w:t>
                </w:r>
                <w:r>
                  <w:rPr>
                    <w:rFonts w:ascii="Arial" w:hAnsi="Arial" w:cs="Arial"/>
                    <w:b/>
                    <w:bCs/>
                    <w:sz w:val="20"/>
                    <w:szCs w:val="20"/>
                    <w:lang w:val="es-ES"/>
                  </w:rPr>
                  <w:br/>
                  <w:t>2022</w:t>
                </w:r>
              </w:p>
              <w:p w14:paraId="12A90FEE" w14:textId="77777777" w:rsidR="00895E83" w:rsidRPr="00895E83" w:rsidRDefault="00895E83" w:rsidP="00895E83">
                <w:pPr>
                  <w:jc w:val="center"/>
                  <w:rPr>
                    <w:rFonts w:ascii="Arial" w:hAnsi="Arial" w:cs="Arial"/>
                    <w:b/>
                    <w:bCs/>
                    <w:sz w:val="20"/>
                    <w:szCs w:val="20"/>
                    <w:lang w:val="es-ES"/>
                  </w:rPr>
                </w:pPr>
              </w:p>
            </w:tc>
            <w:tc>
              <w:tcPr>
                <w:tcW w:w="1559" w:type="dxa"/>
                <w:tcBorders>
                  <w:bottom w:val="single" w:sz="4" w:space="0" w:color="auto"/>
                </w:tcBorders>
                <w:shd w:val="clear" w:color="auto" w:fill="F2F2F2" w:themeFill="background1" w:themeFillShade="F2"/>
                <w:vAlign w:val="center"/>
              </w:tcPr>
              <w:p w14:paraId="52772C50" w14:textId="2AE2FE87" w:rsidR="00895E83" w:rsidRPr="00895E83" w:rsidRDefault="009F3FB2" w:rsidP="00895E83">
                <w:pPr>
                  <w:jc w:val="center"/>
                  <w:rPr>
                    <w:rFonts w:ascii="Arial" w:hAnsi="Arial" w:cs="Arial"/>
                    <w:b/>
                    <w:bCs/>
                    <w:sz w:val="20"/>
                    <w:szCs w:val="20"/>
                    <w:lang w:val="es-ES"/>
                  </w:rPr>
                </w:pPr>
                <w:r>
                  <w:rPr>
                    <w:rFonts w:ascii="Arial" w:hAnsi="Arial" w:cs="Arial"/>
                    <w:b/>
                    <w:bCs/>
                    <w:sz w:val="20"/>
                    <w:szCs w:val="20"/>
                    <w:lang w:val="es-ES"/>
                  </w:rPr>
                  <w:t>Nueve meses 2021</w:t>
                </w:r>
              </w:p>
            </w:tc>
            <w:tc>
              <w:tcPr>
                <w:tcW w:w="1701" w:type="dxa"/>
                <w:shd w:val="clear" w:color="auto" w:fill="F3F3F3"/>
                <w:vAlign w:val="center"/>
              </w:tcPr>
              <w:p w14:paraId="073D10DA" w14:textId="77777777" w:rsidR="00895E83" w:rsidRDefault="009F3FB2" w:rsidP="00895E83">
                <w:pPr>
                  <w:jc w:val="center"/>
                  <w:rPr>
                    <w:rFonts w:ascii="Arial" w:hAnsi="Arial" w:cs="Arial"/>
                    <w:b/>
                    <w:bCs/>
                    <w:sz w:val="20"/>
                    <w:szCs w:val="20"/>
                    <w:lang w:val="es-ES"/>
                  </w:rPr>
                </w:pPr>
                <w:r>
                  <w:rPr>
                    <w:rFonts w:ascii="Arial" w:hAnsi="Arial" w:cs="Arial"/>
                    <w:b/>
                    <w:bCs/>
                    <w:sz w:val="20"/>
                    <w:szCs w:val="20"/>
                    <w:lang w:val="es-ES"/>
                  </w:rPr>
                  <w:t>% Variación</w:t>
                </w:r>
              </w:p>
              <w:p w14:paraId="0F5B7752" w14:textId="79DA93C1" w:rsidR="009F3FB2" w:rsidRPr="009F3FB2" w:rsidRDefault="009F3FB2" w:rsidP="00895E83">
                <w:pPr>
                  <w:jc w:val="center"/>
                  <w:rPr>
                    <w:rFonts w:ascii="Arial" w:hAnsi="Arial" w:cs="Arial"/>
                    <w:sz w:val="13"/>
                    <w:szCs w:val="13"/>
                    <w:lang w:val="es-ES"/>
                  </w:rPr>
                </w:pPr>
                <w:r w:rsidRPr="009F3FB2">
                  <w:rPr>
                    <w:rFonts w:ascii="Arial" w:hAnsi="Arial" w:cs="Arial"/>
                    <w:sz w:val="13"/>
                    <w:szCs w:val="13"/>
                    <w:lang w:val="es-ES"/>
                  </w:rPr>
                  <w:t>(a los tipos de cambio actuales)</w:t>
                </w:r>
              </w:p>
            </w:tc>
          </w:tr>
          <w:tr w:rsidR="00895E83" w:rsidRPr="00895E83" w14:paraId="51926CAB" w14:textId="77777777" w:rsidTr="009F3FB2">
            <w:trPr>
              <w:cantSplit/>
              <w:trHeight w:val="398"/>
            </w:trPr>
            <w:tc>
              <w:tcPr>
                <w:tcW w:w="3964" w:type="dxa"/>
                <w:vAlign w:val="center"/>
              </w:tcPr>
              <w:p w14:paraId="0A8C160A" w14:textId="0AA487DE" w:rsidR="00895E83" w:rsidRPr="00895E83" w:rsidRDefault="009F3FB2" w:rsidP="00895E83">
                <w:pPr>
                  <w:rPr>
                    <w:rFonts w:ascii="Arial" w:hAnsi="Arial" w:cs="Arial"/>
                    <w:bCs/>
                    <w:smallCaps/>
                    <w:sz w:val="20"/>
                    <w:szCs w:val="20"/>
                    <w:lang w:val="es-ES"/>
                  </w:rPr>
                </w:pPr>
                <w:r>
                  <w:rPr>
                    <w:rFonts w:ascii="Arial" w:hAnsi="Arial" w:cs="Arial"/>
                    <w:bCs/>
                    <w:smallCaps/>
                    <w:sz w:val="20"/>
                    <w:szCs w:val="20"/>
                    <w:lang w:val="es-ES"/>
                  </w:rPr>
                  <w:t>turismo y distribución asociada</w:t>
                </w:r>
              </w:p>
            </w:tc>
            <w:tc>
              <w:tcPr>
                <w:tcW w:w="1560" w:type="dxa"/>
                <w:shd w:val="clear" w:color="auto" w:fill="auto"/>
                <w:vAlign w:val="center"/>
              </w:tcPr>
              <w:p w14:paraId="3B36298B" w14:textId="0D0E7E06" w:rsidR="00895E83" w:rsidRPr="00895E83" w:rsidRDefault="009F3FB2" w:rsidP="00895E83">
                <w:pPr>
                  <w:jc w:val="right"/>
                  <w:rPr>
                    <w:rFonts w:ascii="Arial" w:hAnsi="Arial" w:cs="Arial"/>
                    <w:b/>
                    <w:bCs/>
                    <w:sz w:val="20"/>
                    <w:szCs w:val="20"/>
                    <w:lang w:val="es-ES"/>
                  </w:rPr>
                </w:pPr>
                <w:r>
                  <w:rPr>
                    <w:rFonts w:ascii="Arial" w:hAnsi="Arial" w:cs="Arial"/>
                    <w:b/>
                    <w:bCs/>
                    <w:sz w:val="20"/>
                    <w:szCs w:val="20"/>
                    <w:lang w:val="es-ES"/>
                  </w:rPr>
                  <w:t>10.238</w:t>
                </w:r>
              </w:p>
            </w:tc>
            <w:tc>
              <w:tcPr>
                <w:tcW w:w="1559" w:type="dxa"/>
                <w:shd w:val="clear" w:color="auto" w:fill="auto"/>
                <w:vAlign w:val="center"/>
              </w:tcPr>
              <w:p w14:paraId="27E47DE8" w14:textId="430B4665" w:rsidR="00895E83" w:rsidRPr="00895E83" w:rsidRDefault="009F3FB2" w:rsidP="00895E83">
                <w:pPr>
                  <w:jc w:val="right"/>
                  <w:rPr>
                    <w:rFonts w:ascii="Arial" w:hAnsi="Arial" w:cs="Arial"/>
                    <w:b/>
                    <w:bCs/>
                    <w:sz w:val="20"/>
                    <w:szCs w:val="20"/>
                    <w:lang w:val="es-ES"/>
                  </w:rPr>
                </w:pPr>
                <w:r>
                  <w:rPr>
                    <w:rFonts w:ascii="Arial" w:hAnsi="Arial" w:cs="Arial"/>
                    <w:b/>
                    <w:bCs/>
                    <w:sz w:val="20"/>
                    <w:szCs w:val="20"/>
                    <w:lang w:val="es-ES"/>
                  </w:rPr>
                  <w:t>8.603</w:t>
                </w:r>
              </w:p>
            </w:tc>
            <w:tc>
              <w:tcPr>
                <w:tcW w:w="1701" w:type="dxa"/>
                <w:shd w:val="clear" w:color="auto" w:fill="auto"/>
                <w:vAlign w:val="center"/>
              </w:tcPr>
              <w:p w14:paraId="03BF00E8" w14:textId="095AD740" w:rsidR="00895E83" w:rsidRPr="00895E83" w:rsidRDefault="009F3FB2" w:rsidP="00895E83">
                <w:pPr>
                  <w:jc w:val="right"/>
                  <w:rPr>
                    <w:rFonts w:ascii="Arial" w:hAnsi="Arial" w:cs="Arial"/>
                    <w:b/>
                    <w:bCs/>
                    <w:sz w:val="20"/>
                    <w:szCs w:val="20"/>
                    <w:lang w:val="es-ES"/>
                  </w:rPr>
                </w:pPr>
                <w:r>
                  <w:rPr>
                    <w:rFonts w:ascii="Arial" w:hAnsi="Arial" w:cs="Arial"/>
                    <w:bCs/>
                    <w:sz w:val="20"/>
                    <w:szCs w:val="20"/>
                    <w:lang w:val="es-ES"/>
                  </w:rPr>
                  <w:t>+19,0%</w:t>
                </w:r>
              </w:p>
            </w:tc>
          </w:tr>
          <w:tr w:rsidR="00895E83" w:rsidRPr="00895E83" w14:paraId="2CEB0758" w14:textId="77777777" w:rsidTr="009F3FB2">
            <w:trPr>
              <w:trHeight w:val="404"/>
            </w:trPr>
            <w:tc>
              <w:tcPr>
                <w:tcW w:w="3964" w:type="dxa"/>
                <w:vAlign w:val="center"/>
              </w:tcPr>
              <w:p w14:paraId="795FB249" w14:textId="49C94E76" w:rsidR="00895E83" w:rsidRPr="00895E83" w:rsidRDefault="009F3FB2" w:rsidP="00895E83">
                <w:pPr>
                  <w:rPr>
                    <w:rFonts w:ascii="Arial" w:hAnsi="Arial" w:cs="Arial"/>
                    <w:b/>
                    <w:bCs/>
                    <w:sz w:val="20"/>
                    <w:szCs w:val="20"/>
                    <w:lang w:val="es-ES"/>
                  </w:rPr>
                </w:pPr>
                <w:r>
                  <w:rPr>
                    <w:rFonts w:ascii="Arial" w:hAnsi="Arial" w:cs="Arial"/>
                    <w:bCs/>
                    <w:smallCaps/>
                    <w:sz w:val="20"/>
                    <w:szCs w:val="20"/>
                    <w:lang w:val="es-ES"/>
                  </w:rPr>
                  <w:t>camión y distribución asociada</w:t>
                </w:r>
              </w:p>
            </w:tc>
            <w:tc>
              <w:tcPr>
                <w:tcW w:w="1560" w:type="dxa"/>
                <w:shd w:val="clear" w:color="auto" w:fill="auto"/>
                <w:vAlign w:val="center"/>
              </w:tcPr>
              <w:p w14:paraId="67479660" w14:textId="46A0E10D" w:rsidR="00895E83" w:rsidRPr="00895E83" w:rsidRDefault="009F3FB2" w:rsidP="00895E83">
                <w:pPr>
                  <w:jc w:val="right"/>
                  <w:rPr>
                    <w:rFonts w:ascii="Arial" w:hAnsi="Arial" w:cs="Arial"/>
                    <w:b/>
                    <w:bCs/>
                    <w:sz w:val="20"/>
                    <w:szCs w:val="20"/>
                    <w:lang w:val="es-ES"/>
                  </w:rPr>
                </w:pPr>
                <w:r>
                  <w:rPr>
                    <w:rFonts w:ascii="Arial" w:hAnsi="Arial" w:cs="Arial"/>
                    <w:b/>
                    <w:bCs/>
                    <w:sz w:val="20"/>
                    <w:szCs w:val="20"/>
                    <w:lang w:val="es-ES"/>
                  </w:rPr>
                  <w:t>5.403</w:t>
                </w:r>
              </w:p>
            </w:tc>
            <w:tc>
              <w:tcPr>
                <w:tcW w:w="1559" w:type="dxa"/>
                <w:shd w:val="clear" w:color="auto" w:fill="auto"/>
                <w:vAlign w:val="center"/>
              </w:tcPr>
              <w:p w14:paraId="4060C474" w14:textId="3F79EC47" w:rsidR="00895E83" w:rsidRPr="00895E83" w:rsidRDefault="009F3FB2" w:rsidP="00895E83">
                <w:pPr>
                  <w:jc w:val="right"/>
                  <w:rPr>
                    <w:rFonts w:ascii="Arial" w:hAnsi="Arial" w:cs="Arial"/>
                    <w:b/>
                    <w:bCs/>
                    <w:sz w:val="20"/>
                    <w:szCs w:val="20"/>
                    <w:lang w:val="es-ES"/>
                  </w:rPr>
                </w:pPr>
                <w:r>
                  <w:rPr>
                    <w:rFonts w:ascii="Arial" w:hAnsi="Arial" w:cs="Arial"/>
                    <w:b/>
                    <w:bCs/>
                    <w:sz w:val="20"/>
                    <w:szCs w:val="20"/>
                    <w:lang w:val="es-ES"/>
                  </w:rPr>
                  <w:t>4.503</w:t>
                </w:r>
              </w:p>
            </w:tc>
            <w:tc>
              <w:tcPr>
                <w:tcW w:w="1701" w:type="dxa"/>
                <w:shd w:val="clear" w:color="auto" w:fill="auto"/>
                <w:vAlign w:val="center"/>
              </w:tcPr>
              <w:p w14:paraId="5B5D7F57" w14:textId="171B9C5F" w:rsidR="00895E83" w:rsidRPr="00895E83" w:rsidRDefault="009F3FB2" w:rsidP="00895E83">
                <w:pPr>
                  <w:jc w:val="right"/>
                  <w:rPr>
                    <w:rFonts w:ascii="Arial" w:hAnsi="Arial" w:cs="Arial"/>
                    <w:b/>
                    <w:bCs/>
                    <w:sz w:val="20"/>
                    <w:szCs w:val="20"/>
                    <w:lang w:val="es-ES"/>
                  </w:rPr>
                </w:pPr>
                <w:r>
                  <w:rPr>
                    <w:rFonts w:ascii="Arial" w:hAnsi="Arial" w:cs="Arial"/>
                    <w:bCs/>
                    <w:sz w:val="20"/>
                    <w:szCs w:val="20"/>
                    <w:lang w:val="es-ES"/>
                  </w:rPr>
                  <w:t>+20,0%</w:t>
                </w:r>
              </w:p>
            </w:tc>
          </w:tr>
          <w:tr w:rsidR="00895E83" w:rsidRPr="00895E83" w14:paraId="43F3C76C" w14:textId="77777777" w:rsidTr="009F3FB2">
            <w:trPr>
              <w:trHeight w:val="423"/>
            </w:trPr>
            <w:tc>
              <w:tcPr>
                <w:tcW w:w="3964" w:type="dxa"/>
                <w:vAlign w:val="center"/>
              </w:tcPr>
              <w:p w14:paraId="4F859389" w14:textId="07AAD727" w:rsidR="00895E83" w:rsidRPr="00895E83" w:rsidRDefault="009F3FB2" w:rsidP="00895E83">
                <w:pPr>
                  <w:rPr>
                    <w:rFonts w:ascii="Arial" w:hAnsi="Arial" w:cs="Arial"/>
                    <w:b/>
                    <w:bCs/>
                    <w:sz w:val="20"/>
                    <w:szCs w:val="20"/>
                    <w:lang w:val="es-ES"/>
                  </w:rPr>
                </w:pPr>
                <w:r>
                  <w:rPr>
                    <w:rFonts w:ascii="Arial" w:hAnsi="Arial" w:cs="Arial"/>
                    <w:bCs/>
                    <w:smallCaps/>
                    <w:sz w:val="20"/>
                    <w:szCs w:val="20"/>
                    <w:lang w:val="es-ES"/>
                  </w:rPr>
                  <w:t>actividades de especialidades y distribución asociada</w:t>
                </w:r>
              </w:p>
            </w:tc>
            <w:tc>
              <w:tcPr>
                <w:tcW w:w="1560" w:type="dxa"/>
                <w:shd w:val="clear" w:color="auto" w:fill="auto"/>
                <w:vAlign w:val="center"/>
              </w:tcPr>
              <w:p w14:paraId="5279BD12" w14:textId="0E3E2E43" w:rsidR="00895E83" w:rsidRPr="00895E83" w:rsidRDefault="009F3FB2" w:rsidP="00895E83">
                <w:pPr>
                  <w:jc w:val="right"/>
                  <w:rPr>
                    <w:rFonts w:ascii="Arial" w:hAnsi="Arial" w:cs="Arial"/>
                    <w:b/>
                    <w:bCs/>
                    <w:sz w:val="20"/>
                    <w:szCs w:val="20"/>
                    <w:lang w:val="es-ES"/>
                  </w:rPr>
                </w:pPr>
                <w:r>
                  <w:rPr>
                    <w:rFonts w:ascii="Arial" w:hAnsi="Arial" w:cs="Arial"/>
                    <w:b/>
                    <w:bCs/>
                    <w:sz w:val="20"/>
                    <w:szCs w:val="20"/>
                    <w:lang w:val="es-ES"/>
                  </w:rPr>
                  <w:t>5.091</w:t>
                </w:r>
              </w:p>
            </w:tc>
            <w:tc>
              <w:tcPr>
                <w:tcW w:w="1559" w:type="dxa"/>
                <w:shd w:val="clear" w:color="auto" w:fill="auto"/>
                <w:vAlign w:val="center"/>
              </w:tcPr>
              <w:p w14:paraId="23572E43" w14:textId="75311990" w:rsidR="00895E83" w:rsidRPr="009F3FB2" w:rsidRDefault="009F3FB2" w:rsidP="00895E83">
                <w:pPr>
                  <w:jc w:val="right"/>
                  <w:rPr>
                    <w:rFonts w:ascii="Arial" w:hAnsi="Arial" w:cs="Arial"/>
                    <w:b/>
                    <w:sz w:val="20"/>
                    <w:szCs w:val="20"/>
                    <w:lang w:val="es-ES"/>
                  </w:rPr>
                </w:pPr>
                <w:r w:rsidRPr="009F3FB2">
                  <w:rPr>
                    <w:rFonts w:ascii="Arial" w:hAnsi="Arial" w:cs="Arial"/>
                    <w:b/>
                    <w:sz w:val="20"/>
                    <w:szCs w:val="20"/>
                    <w:lang w:val="es-ES"/>
                  </w:rPr>
                  <w:t>4.098</w:t>
                </w:r>
              </w:p>
            </w:tc>
            <w:tc>
              <w:tcPr>
                <w:tcW w:w="1701" w:type="dxa"/>
                <w:shd w:val="clear" w:color="auto" w:fill="auto"/>
                <w:vAlign w:val="center"/>
              </w:tcPr>
              <w:p w14:paraId="62968832" w14:textId="76876757" w:rsidR="00895E83" w:rsidRPr="00895E83" w:rsidRDefault="009F3FB2" w:rsidP="00895E83">
                <w:pPr>
                  <w:jc w:val="right"/>
                  <w:rPr>
                    <w:rFonts w:ascii="Arial" w:hAnsi="Arial" w:cs="Arial"/>
                    <w:b/>
                    <w:bCs/>
                    <w:sz w:val="20"/>
                    <w:szCs w:val="20"/>
                    <w:lang w:val="es-ES"/>
                  </w:rPr>
                </w:pPr>
                <w:r>
                  <w:rPr>
                    <w:rFonts w:ascii="Arial" w:hAnsi="Arial" w:cs="Arial"/>
                    <w:bCs/>
                    <w:sz w:val="20"/>
                    <w:szCs w:val="20"/>
                    <w:lang w:val="es-ES"/>
                  </w:rPr>
                  <w:t>+24,4%</w:t>
                </w:r>
              </w:p>
            </w:tc>
          </w:tr>
          <w:tr w:rsidR="00895E83" w:rsidRPr="00895E83" w14:paraId="5EBA3940" w14:textId="77777777" w:rsidTr="009F3FB2">
            <w:trPr>
              <w:trHeight w:val="451"/>
            </w:trPr>
            <w:tc>
              <w:tcPr>
                <w:tcW w:w="3964" w:type="dxa"/>
                <w:vAlign w:val="center"/>
              </w:tcPr>
              <w:p w14:paraId="588D01E8" w14:textId="6FED7AD8" w:rsidR="00895E83" w:rsidRPr="00895E83" w:rsidRDefault="009F3FB2" w:rsidP="00895E83">
                <w:pPr>
                  <w:rPr>
                    <w:rFonts w:ascii="Arial" w:hAnsi="Arial" w:cs="Arial"/>
                    <w:bCs/>
                    <w:i/>
                    <w:smallCaps/>
                    <w:sz w:val="20"/>
                    <w:szCs w:val="20"/>
                    <w:lang w:val="es-ES"/>
                  </w:rPr>
                </w:pPr>
                <w:r>
                  <w:rPr>
                    <w:rFonts w:ascii="Arial" w:hAnsi="Arial" w:cs="Arial"/>
                    <w:bCs/>
                    <w:smallCaps/>
                    <w:sz w:val="20"/>
                    <w:szCs w:val="20"/>
                    <w:lang w:val="es-ES"/>
                  </w:rPr>
                  <w:t>total grupo</w:t>
                </w:r>
              </w:p>
            </w:tc>
            <w:tc>
              <w:tcPr>
                <w:tcW w:w="1560" w:type="dxa"/>
                <w:shd w:val="clear" w:color="auto" w:fill="auto"/>
                <w:vAlign w:val="center"/>
              </w:tcPr>
              <w:p w14:paraId="348EFA5F" w14:textId="281E99C1" w:rsidR="00895E83" w:rsidRPr="00895E83" w:rsidRDefault="009F3FB2" w:rsidP="00895E83">
                <w:pPr>
                  <w:jc w:val="right"/>
                  <w:rPr>
                    <w:rFonts w:ascii="Arial" w:hAnsi="Arial" w:cs="Arial"/>
                    <w:b/>
                    <w:bCs/>
                    <w:sz w:val="20"/>
                    <w:szCs w:val="20"/>
                    <w:lang w:val="es-ES"/>
                  </w:rPr>
                </w:pPr>
                <w:r>
                  <w:rPr>
                    <w:rFonts w:ascii="Arial" w:hAnsi="Arial" w:cs="Arial"/>
                    <w:b/>
                    <w:bCs/>
                    <w:sz w:val="20"/>
                    <w:szCs w:val="20"/>
                    <w:lang w:val="es-ES"/>
                  </w:rPr>
                  <w:t>20.732</w:t>
                </w:r>
              </w:p>
            </w:tc>
            <w:tc>
              <w:tcPr>
                <w:tcW w:w="1559" w:type="dxa"/>
                <w:shd w:val="clear" w:color="auto" w:fill="auto"/>
                <w:vAlign w:val="center"/>
              </w:tcPr>
              <w:p w14:paraId="6C27E739" w14:textId="4038A66E" w:rsidR="00895E83" w:rsidRPr="00895E83" w:rsidRDefault="009F3FB2" w:rsidP="00895E83">
                <w:pPr>
                  <w:jc w:val="right"/>
                  <w:rPr>
                    <w:rFonts w:ascii="Arial" w:hAnsi="Arial" w:cs="Arial"/>
                    <w:b/>
                    <w:bCs/>
                    <w:sz w:val="20"/>
                    <w:szCs w:val="20"/>
                    <w:lang w:val="es-ES"/>
                  </w:rPr>
                </w:pPr>
                <w:r>
                  <w:rPr>
                    <w:rFonts w:ascii="Arial" w:hAnsi="Arial" w:cs="Arial"/>
                    <w:b/>
                    <w:bCs/>
                    <w:sz w:val="20"/>
                    <w:szCs w:val="20"/>
                    <w:lang w:val="es-ES"/>
                  </w:rPr>
                  <w:t>17.204</w:t>
                </w:r>
              </w:p>
            </w:tc>
            <w:tc>
              <w:tcPr>
                <w:tcW w:w="1701" w:type="dxa"/>
                <w:shd w:val="clear" w:color="auto" w:fill="auto"/>
                <w:vAlign w:val="center"/>
              </w:tcPr>
              <w:p w14:paraId="51DE784E" w14:textId="62CDD392" w:rsidR="00895E83" w:rsidRPr="00895E83" w:rsidRDefault="009F3FB2" w:rsidP="00895E83">
                <w:pPr>
                  <w:jc w:val="right"/>
                  <w:rPr>
                    <w:rFonts w:ascii="Arial" w:hAnsi="Arial" w:cs="Arial"/>
                    <w:b/>
                    <w:bCs/>
                    <w:sz w:val="20"/>
                    <w:szCs w:val="20"/>
                    <w:lang w:val="es-ES"/>
                  </w:rPr>
                </w:pPr>
                <w:r>
                  <w:rPr>
                    <w:rFonts w:ascii="Arial" w:hAnsi="Arial" w:cs="Arial"/>
                    <w:b/>
                    <w:bCs/>
                    <w:sz w:val="20"/>
                    <w:szCs w:val="20"/>
                    <w:lang w:val="es-ES"/>
                  </w:rPr>
                  <w:t>+20,5%</w:t>
                </w:r>
              </w:p>
            </w:tc>
          </w:tr>
        </w:tbl>
        <w:p w14:paraId="73152431" w14:textId="5531BF93" w:rsidR="00895E83" w:rsidRDefault="00895E83" w:rsidP="003C3FC0">
          <w:pPr>
            <w:spacing w:line="276" w:lineRule="auto"/>
            <w:jc w:val="both"/>
            <w:rPr>
              <w:rFonts w:ascii="Arial" w:hAnsi="Arial" w:cs="Arial"/>
              <w:sz w:val="20"/>
              <w:szCs w:val="20"/>
              <w:lang w:val="es-ES"/>
            </w:rPr>
          </w:pPr>
        </w:p>
        <w:p w14:paraId="708F3BEC" w14:textId="77777777" w:rsidR="004C430A" w:rsidRPr="00895E83" w:rsidRDefault="004C430A" w:rsidP="003C3FC0">
          <w:pPr>
            <w:spacing w:line="276" w:lineRule="auto"/>
            <w:jc w:val="both"/>
            <w:rPr>
              <w:rFonts w:ascii="Arial" w:hAnsi="Arial" w:cs="Arial"/>
              <w:sz w:val="20"/>
              <w:szCs w:val="20"/>
              <w:lang w:val="es-ES"/>
            </w:rPr>
          </w:pPr>
        </w:p>
        <w:p w14:paraId="0845981D" w14:textId="77777777" w:rsidR="00422E33" w:rsidRPr="00895E83" w:rsidRDefault="00422E33" w:rsidP="003C3FC0">
          <w:pPr>
            <w:spacing w:line="276" w:lineRule="auto"/>
            <w:jc w:val="both"/>
            <w:rPr>
              <w:rFonts w:ascii="Arial" w:hAnsi="Arial" w:cs="Arial"/>
              <w:sz w:val="20"/>
              <w:szCs w:val="20"/>
              <w:lang w:val="es-ES"/>
            </w:rPr>
          </w:pPr>
        </w:p>
        <w:p w14:paraId="178B470F" w14:textId="77777777" w:rsidR="004C430A" w:rsidRDefault="004C430A" w:rsidP="004C430A">
          <w:pPr>
            <w:rPr>
              <w:rFonts w:ascii="Arial" w:hAnsi="Arial" w:cs="Arial"/>
              <w:iCs/>
              <w:sz w:val="16"/>
              <w:szCs w:val="16"/>
              <w:lang w:val="es-ES"/>
            </w:rPr>
          </w:pPr>
          <w:r>
            <w:rPr>
              <w:rFonts w:ascii="Arial" w:hAnsi="Arial" w:cs="Arial"/>
              <w:i/>
              <w:iCs/>
              <w:sz w:val="14"/>
              <w:szCs w:val="12"/>
              <w:vertAlign w:val="superscript"/>
              <w:lang w:val="es-ES"/>
            </w:rPr>
            <w:t>1</w:t>
          </w:r>
          <w:r w:rsidRPr="00766F86">
            <w:rPr>
              <w:rFonts w:ascii="Arial" w:hAnsi="Arial" w:cs="Arial"/>
              <w:i/>
              <w:iCs/>
              <w:sz w:val="14"/>
              <w:szCs w:val="12"/>
              <w:lang w:val="es-ES"/>
            </w:rPr>
            <w:t xml:space="preserve"> </w:t>
          </w:r>
          <w:r w:rsidRPr="00635449">
            <w:rPr>
              <w:rFonts w:ascii="Arial" w:hAnsi="Arial" w:cs="Arial"/>
              <w:i/>
              <w:iCs/>
              <w:sz w:val="16"/>
              <w:szCs w:val="16"/>
              <w:lang w:val="es-ES"/>
            </w:rPr>
            <w:t xml:space="preserve">Flujo de caja libre estructural: flujo de caja libre antes de las adquisiciones, ajustado por el efecto de las variaciones de los precios de las materias primas en las cuentas por cobrar, las cuentas por pagar y las existencias. </w:t>
          </w:r>
        </w:p>
        <w:p w14:paraId="424F32D8" w14:textId="3DB7D11A" w:rsidR="003C3FC0" w:rsidRPr="00895E83" w:rsidRDefault="003C3FC0" w:rsidP="003C3FC0">
          <w:pPr>
            <w:spacing w:line="276" w:lineRule="auto"/>
            <w:jc w:val="both"/>
            <w:rPr>
              <w:rFonts w:ascii="Arial" w:hAnsi="Arial" w:cs="Arial"/>
              <w:sz w:val="20"/>
              <w:szCs w:val="20"/>
              <w:lang w:val="es-ES"/>
            </w:rPr>
          </w:pPr>
        </w:p>
        <w:p w14:paraId="4FDDA085" w14:textId="0463F280" w:rsidR="006C3818" w:rsidRPr="00895E83" w:rsidRDefault="006C3818" w:rsidP="003C3FC0">
          <w:pPr>
            <w:spacing w:line="276" w:lineRule="auto"/>
            <w:jc w:val="both"/>
            <w:rPr>
              <w:rFonts w:ascii="Arial" w:hAnsi="Arial" w:cs="Arial"/>
              <w:sz w:val="20"/>
              <w:szCs w:val="20"/>
              <w:lang w:val="es-ES"/>
            </w:rPr>
          </w:pPr>
        </w:p>
        <w:p w14:paraId="095AC65C" w14:textId="7A787130" w:rsidR="006C3818" w:rsidRPr="00895E83" w:rsidRDefault="006C3818" w:rsidP="003C3FC0">
          <w:pPr>
            <w:spacing w:line="276" w:lineRule="auto"/>
            <w:jc w:val="both"/>
            <w:rPr>
              <w:rFonts w:ascii="Arial" w:hAnsi="Arial" w:cs="Arial"/>
              <w:sz w:val="20"/>
              <w:szCs w:val="20"/>
              <w:lang w:val="es-ES"/>
            </w:rPr>
          </w:pPr>
        </w:p>
        <w:p w14:paraId="799B405C" w14:textId="5401086D" w:rsidR="006C3818" w:rsidRPr="00895E83" w:rsidRDefault="006C3818" w:rsidP="003C3FC0">
          <w:pPr>
            <w:spacing w:line="276" w:lineRule="auto"/>
            <w:jc w:val="both"/>
            <w:rPr>
              <w:rFonts w:ascii="Arial" w:hAnsi="Arial" w:cs="Arial"/>
              <w:sz w:val="20"/>
              <w:szCs w:val="20"/>
              <w:lang w:val="es-ES"/>
            </w:rPr>
          </w:pPr>
        </w:p>
        <w:p w14:paraId="46AD12F1" w14:textId="78BC7D1E" w:rsidR="006C3818" w:rsidRPr="00895E83" w:rsidRDefault="006C3818" w:rsidP="003C3FC0">
          <w:pPr>
            <w:spacing w:line="276" w:lineRule="auto"/>
            <w:jc w:val="both"/>
            <w:rPr>
              <w:rFonts w:ascii="Arial" w:hAnsi="Arial" w:cs="Arial"/>
              <w:sz w:val="20"/>
              <w:szCs w:val="20"/>
              <w:lang w:val="es-ES"/>
            </w:rPr>
          </w:pPr>
        </w:p>
        <w:p w14:paraId="7218D25E" w14:textId="3D4B64B2" w:rsidR="006C3818" w:rsidRPr="00895E83" w:rsidRDefault="006C3818" w:rsidP="003C3FC0">
          <w:pPr>
            <w:spacing w:line="276" w:lineRule="auto"/>
            <w:jc w:val="both"/>
            <w:rPr>
              <w:rFonts w:ascii="Arial" w:hAnsi="Arial" w:cs="Arial"/>
              <w:sz w:val="20"/>
              <w:szCs w:val="20"/>
              <w:lang w:val="es-ES"/>
            </w:rPr>
          </w:pPr>
        </w:p>
        <w:p w14:paraId="1062E6F2" w14:textId="3D428311" w:rsidR="006C3818" w:rsidRPr="00895E83" w:rsidRDefault="006C3818" w:rsidP="003C3FC0">
          <w:pPr>
            <w:spacing w:line="276" w:lineRule="auto"/>
            <w:jc w:val="both"/>
            <w:rPr>
              <w:rFonts w:ascii="Arial" w:hAnsi="Arial" w:cs="Arial"/>
              <w:sz w:val="20"/>
              <w:szCs w:val="20"/>
              <w:lang w:val="es-ES"/>
            </w:rPr>
          </w:pPr>
        </w:p>
        <w:p w14:paraId="3BAB0302" w14:textId="2A9F49C8" w:rsidR="006C3818" w:rsidRPr="00895E83" w:rsidRDefault="006C3818" w:rsidP="003C3FC0">
          <w:pPr>
            <w:spacing w:line="276" w:lineRule="auto"/>
            <w:jc w:val="both"/>
            <w:rPr>
              <w:rFonts w:ascii="Arial" w:hAnsi="Arial" w:cs="Arial"/>
              <w:sz w:val="20"/>
              <w:szCs w:val="20"/>
              <w:lang w:val="es-ES"/>
            </w:rPr>
          </w:pPr>
        </w:p>
        <w:p w14:paraId="3BDE4045" w14:textId="58545CE6" w:rsidR="006C3818" w:rsidRPr="00895E83" w:rsidRDefault="006C3818" w:rsidP="003C3FC0">
          <w:pPr>
            <w:spacing w:line="276" w:lineRule="auto"/>
            <w:jc w:val="both"/>
            <w:rPr>
              <w:rFonts w:ascii="Arial" w:hAnsi="Arial" w:cs="Arial"/>
              <w:sz w:val="20"/>
              <w:szCs w:val="20"/>
              <w:lang w:val="es-ES"/>
            </w:rPr>
          </w:pPr>
        </w:p>
        <w:p w14:paraId="377CC87C" w14:textId="49240A39" w:rsidR="006C3818" w:rsidRPr="00895E83" w:rsidRDefault="006C3818" w:rsidP="003C3FC0">
          <w:pPr>
            <w:spacing w:line="276" w:lineRule="auto"/>
            <w:jc w:val="both"/>
            <w:rPr>
              <w:rFonts w:ascii="Arial" w:hAnsi="Arial" w:cs="Arial"/>
              <w:sz w:val="20"/>
              <w:szCs w:val="20"/>
              <w:lang w:val="es-ES"/>
            </w:rPr>
          </w:pPr>
        </w:p>
        <w:p w14:paraId="06A909FF" w14:textId="1DF13496" w:rsidR="006C3818" w:rsidRPr="00895E83" w:rsidRDefault="006C3818" w:rsidP="003C3FC0">
          <w:pPr>
            <w:spacing w:line="276" w:lineRule="auto"/>
            <w:jc w:val="both"/>
            <w:rPr>
              <w:rFonts w:ascii="Arial" w:hAnsi="Arial" w:cs="Arial"/>
              <w:sz w:val="20"/>
              <w:szCs w:val="20"/>
              <w:lang w:val="es-ES"/>
            </w:rPr>
          </w:pPr>
        </w:p>
        <w:p w14:paraId="497B13C4" w14:textId="11B225AA" w:rsidR="006C3818" w:rsidRPr="00895E83" w:rsidRDefault="006C3818" w:rsidP="003C3FC0">
          <w:pPr>
            <w:spacing w:line="276" w:lineRule="auto"/>
            <w:jc w:val="both"/>
            <w:rPr>
              <w:rFonts w:ascii="Arial" w:hAnsi="Arial" w:cs="Arial"/>
              <w:sz w:val="20"/>
              <w:szCs w:val="20"/>
              <w:lang w:val="es-ES"/>
            </w:rPr>
          </w:pPr>
        </w:p>
        <w:p w14:paraId="7A5BADF7" w14:textId="2A2DDA50" w:rsidR="006C3818" w:rsidRPr="00895E83" w:rsidRDefault="006C3818" w:rsidP="003C3FC0">
          <w:pPr>
            <w:spacing w:line="276" w:lineRule="auto"/>
            <w:jc w:val="both"/>
            <w:rPr>
              <w:rFonts w:ascii="Arial" w:hAnsi="Arial" w:cs="Arial"/>
              <w:sz w:val="20"/>
              <w:szCs w:val="20"/>
              <w:lang w:val="es-ES"/>
            </w:rPr>
          </w:pPr>
        </w:p>
        <w:p w14:paraId="3C1CF306" w14:textId="3DA3FD5A" w:rsidR="006C3818" w:rsidRPr="00895E83" w:rsidRDefault="006C3818" w:rsidP="003C3FC0">
          <w:pPr>
            <w:spacing w:line="276" w:lineRule="auto"/>
            <w:jc w:val="both"/>
            <w:rPr>
              <w:rFonts w:ascii="Arial" w:hAnsi="Arial" w:cs="Arial"/>
              <w:sz w:val="20"/>
              <w:szCs w:val="20"/>
              <w:lang w:val="es-ES"/>
            </w:rPr>
          </w:pPr>
        </w:p>
        <w:p w14:paraId="573B4D2C" w14:textId="190C64E8" w:rsidR="006C3818" w:rsidRPr="00895E83" w:rsidRDefault="006C3818" w:rsidP="003C3FC0">
          <w:pPr>
            <w:spacing w:line="276" w:lineRule="auto"/>
            <w:jc w:val="both"/>
            <w:rPr>
              <w:rFonts w:ascii="Arial" w:hAnsi="Arial" w:cs="Arial"/>
              <w:sz w:val="20"/>
              <w:szCs w:val="20"/>
              <w:lang w:val="es-ES"/>
            </w:rPr>
          </w:pPr>
        </w:p>
        <w:p w14:paraId="0B87DC8B" w14:textId="7624862D" w:rsidR="006C3818" w:rsidRPr="00895E83" w:rsidRDefault="006C3818" w:rsidP="003C3FC0">
          <w:pPr>
            <w:spacing w:line="276" w:lineRule="auto"/>
            <w:jc w:val="both"/>
            <w:rPr>
              <w:rFonts w:ascii="Arial" w:hAnsi="Arial" w:cs="Arial"/>
              <w:sz w:val="20"/>
              <w:szCs w:val="20"/>
              <w:lang w:val="es-ES"/>
            </w:rPr>
          </w:pPr>
        </w:p>
        <w:p w14:paraId="723C69B3" w14:textId="12AFF3E3" w:rsidR="006C3818" w:rsidRPr="00895E83" w:rsidRDefault="006C3818" w:rsidP="003C3FC0">
          <w:pPr>
            <w:spacing w:line="276" w:lineRule="auto"/>
            <w:jc w:val="both"/>
            <w:rPr>
              <w:rFonts w:ascii="Arial" w:hAnsi="Arial" w:cs="Arial"/>
              <w:sz w:val="20"/>
              <w:szCs w:val="20"/>
              <w:lang w:val="es-ES"/>
            </w:rPr>
          </w:pPr>
        </w:p>
        <w:p w14:paraId="032C08AF" w14:textId="4B55E469" w:rsidR="006C3818" w:rsidRPr="00895E83" w:rsidRDefault="006C3818" w:rsidP="003C3FC0">
          <w:pPr>
            <w:spacing w:line="276" w:lineRule="auto"/>
            <w:jc w:val="both"/>
            <w:rPr>
              <w:rFonts w:ascii="Arial" w:hAnsi="Arial" w:cs="Arial"/>
              <w:sz w:val="20"/>
              <w:szCs w:val="20"/>
              <w:lang w:val="es-ES"/>
            </w:rPr>
          </w:pPr>
        </w:p>
        <w:p w14:paraId="39286AE3" w14:textId="5E994FAB" w:rsidR="006C3818" w:rsidRPr="00895E83" w:rsidRDefault="006C3818" w:rsidP="003C3FC0">
          <w:pPr>
            <w:spacing w:line="276" w:lineRule="auto"/>
            <w:jc w:val="both"/>
            <w:rPr>
              <w:rFonts w:ascii="Arial" w:hAnsi="Arial" w:cs="Arial"/>
              <w:sz w:val="20"/>
              <w:szCs w:val="20"/>
              <w:lang w:val="es-ES"/>
            </w:rPr>
          </w:pPr>
        </w:p>
        <w:p w14:paraId="3A923EB8" w14:textId="177CEC64" w:rsidR="006C3818" w:rsidRPr="00895E83" w:rsidRDefault="006C3818" w:rsidP="003C3FC0">
          <w:pPr>
            <w:spacing w:line="276" w:lineRule="auto"/>
            <w:jc w:val="both"/>
            <w:rPr>
              <w:rFonts w:ascii="Arial" w:hAnsi="Arial" w:cs="Arial"/>
              <w:sz w:val="20"/>
              <w:szCs w:val="20"/>
              <w:lang w:val="es-ES"/>
            </w:rPr>
          </w:pPr>
        </w:p>
        <w:p w14:paraId="2E85801C" w14:textId="52908C76" w:rsidR="006C3818" w:rsidRPr="00895E83" w:rsidRDefault="006C3818" w:rsidP="003C3FC0">
          <w:pPr>
            <w:spacing w:line="276" w:lineRule="auto"/>
            <w:jc w:val="both"/>
            <w:rPr>
              <w:rFonts w:ascii="Arial" w:hAnsi="Arial" w:cs="Arial"/>
              <w:sz w:val="20"/>
              <w:szCs w:val="20"/>
              <w:lang w:val="es-ES"/>
            </w:rPr>
          </w:pPr>
        </w:p>
        <w:p w14:paraId="0E695FFD" w14:textId="596C668F" w:rsidR="006C3818" w:rsidRPr="00895E83" w:rsidRDefault="006C3818" w:rsidP="003C3FC0">
          <w:pPr>
            <w:spacing w:line="276" w:lineRule="auto"/>
            <w:jc w:val="both"/>
            <w:rPr>
              <w:rFonts w:ascii="Arial" w:hAnsi="Arial" w:cs="Arial"/>
              <w:sz w:val="20"/>
              <w:szCs w:val="20"/>
              <w:lang w:val="es-ES"/>
            </w:rPr>
          </w:pPr>
        </w:p>
        <w:p w14:paraId="2EA76A78" w14:textId="67AC545C" w:rsidR="006C3818" w:rsidRPr="00895E83" w:rsidRDefault="006C3818" w:rsidP="003C3FC0">
          <w:pPr>
            <w:spacing w:line="276" w:lineRule="auto"/>
            <w:jc w:val="both"/>
            <w:rPr>
              <w:rFonts w:ascii="Arial" w:hAnsi="Arial" w:cs="Arial"/>
              <w:sz w:val="20"/>
              <w:szCs w:val="20"/>
              <w:lang w:val="es-ES"/>
            </w:rPr>
          </w:pPr>
        </w:p>
        <w:p w14:paraId="592D344C" w14:textId="363C3083" w:rsidR="006C3818" w:rsidRPr="00895E83" w:rsidRDefault="006C3818" w:rsidP="003C3FC0">
          <w:pPr>
            <w:spacing w:line="276" w:lineRule="auto"/>
            <w:jc w:val="both"/>
            <w:rPr>
              <w:rFonts w:ascii="Arial" w:hAnsi="Arial" w:cs="Arial"/>
              <w:sz w:val="20"/>
              <w:szCs w:val="20"/>
              <w:lang w:val="es-ES"/>
            </w:rPr>
          </w:pPr>
        </w:p>
        <w:p w14:paraId="75584E82" w14:textId="77777777" w:rsidR="009429D3" w:rsidRDefault="00000000" w:rsidP="009429D3">
          <w:pPr>
            <w:spacing w:line="276" w:lineRule="auto"/>
            <w:jc w:val="both"/>
            <w:rPr>
              <w:rFonts w:ascii="Arial" w:hAnsi="Arial" w:cs="Arial"/>
              <w:lang w:val="es-ES"/>
            </w:rPr>
          </w:pPr>
        </w:p>
      </w:sdtContent>
    </w:sdt>
    <w:p w14:paraId="69AC4661" w14:textId="4C4B06FF" w:rsidR="00816BB1" w:rsidRPr="00895E83" w:rsidRDefault="00816BB1" w:rsidP="00816BB1">
      <w:pPr>
        <w:jc w:val="both"/>
        <w:rPr>
          <w:rFonts w:ascii="Arial" w:hAnsi="Arial" w:cs="Arial"/>
          <w:iCs/>
          <w:sz w:val="16"/>
          <w:szCs w:val="16"/>
          <w:lang w:val="es-ES"/>
        </w:rPr>
      </w:pPr>
      <w:r w:rsidRPr="00895E83">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sidR="007F790E">
        <w:rPr>
          <w:rFonts w:ascii="Arial" w:hAnsi="Arial" w:cs="Arial"/>
          <w:iCs/>
          <w:sz w:val="16"/>
          <w:szCs w:val="16"/>
          <w:lang w:val="es-ES"/>
        </w:rPr>
        <w:t>7</w:t>
      </w:r>
      <w:r w:rsidRPr="00895E83">
        <w:rPr>
          <w:rFonts w:ascii="Arial" w:hAnsi="Arial" w:cs="Arial"/>
          <w:iCs/>
          <w:sz w:val="16"/>
          <w:szCs w:val="16"/>
          <w:lang w:val="es-ES"/>
        </w:rPr>
        <w:t xml:space="preserve"> países, emplea a más de 12</w:t>
      </w:r>
      <w:r w:rsidR="007F790E">
        <w:rPr>
          <w:rFonts w:ascii="Arial" w:hAnsi="Arial" w:cs="Arial"/>
          <w:iCs/>
          <w:sz w:val="16"/>
          <w:szCs w:val="16"/>
          <w:lang w:val="es-ES"/>
        </w:rPr>
        <w:t>4</w:t>
      </w:r>
      <w:r w:rsidRPr="00895E83">
        <w:rPr>
          <w:rFonts w:ascii="Arial" w:hAnsi="Arial" w:cs="Arial"/>
          <w:iCs/>
          <w:sz w:val="16"/>
          <w:szCs w:val="16"/>
          <w:lang w:val="es-ES"/>
        </w:rPr>
        <w:t>.</w:t>
      </w:r>
      <w:r w:rsidR="007F790E">
        <w:rPr>
          <w:rFonts w:ascii="Arial" w:hAnsi="Arial" w:cs="Arial"/>
          <w:iCs/>
          <w:sz w:val="16"/>
          <w:szCs w:val="16"/>
          <w:lang w:val="es-ES"/>
        </w:rPr>
        <w:t>760</w:t>
      </w:r>
      <w:r w:rsidRPr="00895E83">
        <w:rPr>
          <w:rFonts w:ascii="Arial" w:hAnsi="Arial" w:cs="Arial"/>
          <w:iCs/>
          <w:sz w:val="16"/>
          <w:szCs w:val="16"/>
          <w:lang w:val="es-ES"/>
        </w:rPr>
        <w:t xml:space="preserve"> personas y dispone de </w:t>
      </w:r>
      <w:r w:rsidR="007F790E">
        <w:rPr>
          <w:rFonts w:ascii="Arial" w:hAnsi="Arial" w:cs="Arial"/>
          <w:iCs/>
          <w:sz w:val="16"/>
          <w:szCs w:val="16"/>
          <w:lang w:val="es-ES"/>
        </w:rPr>
        <w:t>68</w:t>
      </w:r>
      <w:r w:rsidRPr="00895E83">
        <w:rPr>
          <w:rFonts w:ascii="Arial" w:hAnsi="Arial" w:cs="Arial"/>
          <w:iCs/>
          <w:sz w:val="16"/>
          <w:szCs w:val="16"/>
          <w:lang w:val="es-ES"/>
        </w:rPr>
        <w:t xml:space="preserve"> centros de producción de neumáticos que en 202</w:t>
      </w:r>
      <w:r w:rsidR="007F790E">
        <w:rPr>
          <w:rFonts w:ascii="Arial" w:hAnsi="Arial" w:cs="Arial"/>
          <w:iCs/>
          <w:sz w:val="16"/>
          <w:szCs w:val="16"/>
          <w:lang w:val="es-ES"/>
        </w:rPr>
        <w:t>1</w:t>
      </w:r>
      <w:r w:rsidRPr="00895E83">
        <w:rPr>
          <w:rFonts w:ascii="Arial" w:hAnsi="Arial" w:cs="Arial"/>
          <w:iCs/>
          <w:sz w:val="16"/>
          <w:szCs w:val="16"/>
          <w:lang w:val="es-ES"/>
        </w:rPr>
        <w:t xml:space="preserve"> han fabricado 17</w:t>
      </w:r>
      <w:r w:rsidR="007F790E">
        <w:rPr>
          <w:rFonts w:ascii="Arial" w:hAnsi="Arial" w:cs="Arial"/>
          <w:iCs/>
          <w:sz w:val="16"/>
          <w:szCs w:val="16"/>
          <w:lang w:val="es-ES"/>
        </w:rPr>
        <w:t>3</w:t>
      </w:r>
      <w:r w:rsidRPr="00895E83">
        <w:rPr>
          <w:rFonts w:ascii="Arial" w:hAnsi="Arial" w:cs="Arial"/>
          <w:iCs/>
          <w:sz w:val="16"/>
          <w:szCs w:val="16"/>
          <w:lang w:val="es-ES"/>
        </w:rPr>
        <w:t xml:space="preserve"> millones de neumáticos (</w:t>
      </w:r>
      <w:hyperlink r:id="rId8" w:history="1">
        <w:r w:rsidRPr="00895E83">
          <w:rPr>
            <w:rStyle w:val="Hipervnculo"/>
            <w:rFonts w:ascii="Arial" w:hAnsi="Arial" w:cs="Arial"/>
            <w:iCs/>
            <w:sz w:val="16"/>
            <w:szCs w:val="16"/>
            <w:lang w:val="es-ES"/>
          </w:rPr>
          <w:t>www.michelin.es</w:t>
        </w:r>
      </w:hyperlink>
      <w:r w:rsidRPr="00895E83">
        <w:rPr>
          <w:rFonts w:ascii="Arial" w:hAnsi="Arial" w:cs="Arial"/>
          <w:iCs/>
          <w:sz w:val="16"/>
          <w:szCs w:val="16"/>
          <w:lang w:val="es-ES"/>
        </w:rPr>
        <w:t>).</w:t>
      </w:r>
    </w:p>
    <w:p w14:paraId="7D5CED95" w14:textId="1114D9B2" w:rsidR="00CC6BAF" w:rsidRPr="00895E83" w:rsidRDefault="00CC6BAF" w:rsidP="00CC6BAF">
      <w:pPr>
        <w:jc w:val="both"/>
        <w:rPr>
          <w:rFonts w:ascii="Arial" w:hAnsi="Arial" w:cs="Arial"/>
          <w:sz w:val="16"/>
          <w:szCs w:val="16"/>
          <w:lang w:val="es-ES"/>
        </w:rPr>
      </w:pPr>
    </w:p>
    <w:p w14:paraId="1AF1FA51" w14:textId="5F5F6A64" w:rsidR="00816BB1" w:rsidRPr="00895E83" w:rsidRDefault="006C3818" w:rsidP="006C3818">
      <w:pPr>
        <w:tabs>
          <w:tab w:val="left" w:pos="2192"/>
        </w:tabs>
        <w:jc w:val="both"/>
        <w:rPr>
          <w:rFonts w:ascii="Arial" w:hAnsi="Arial" w:cs="Arial"/>
          <w:sz w:val="16"/>
          <w:szCs w:val="16"/>
          <w:lang w:val="es-ES"/>
        </w:rPr>
      </w:pPr>
      <w:r w:rsidRPr="00895E83">
        <w:rPr>
          <w:rFonts w:ascii="Arial" w:hAnsi="Arial" w:cs="Arial"/>
          <w:sz w:val="16"/>
          <w:szCs w:val="16"/>
          <w:lang w:val="es-ES"/>
        </w:rPr>
        <w:tab/>
      </w:r>
    </w:p>
    <w:p w14:paraId="226DB142" w14:textId="6535FD7A" w:rsidR="0052344F" w:rsidRPr="00895E83" w:rsidRDefault="0052344F" w:rsidP="00CC6BAF">
      <w:pPr>
        <w:jc w:val="both"/>
        <w:rPr>
          <w:rFonts w:ascii="Arial" w:hAnsi="Arial" w:cs="Arial"/>
          <w:sz w:val="20"/>
          <w:szCs w:val="20"/>
          <w:lang w:val="es-ES"/>
        </w:rPr>
      </w:pPr>
    </w:p>
    <w:p w14:paraId="634A1C9E" w14:textId="2D38B76F" w:rsidR="0052344F" w:rsidRPr="00895E83" w:rsidRDefault="0052344F" w:rsidP="00CC6BAF">
      <w:pPr>
        <w:jc w:val="both"/>
        <w:rPr>
          <w:rFonts w:ascii="Arial" w:hAnsi="Arial" w:cs="Arial"/>
          <w:sz w:val="20"/>
          <w:szCs w:val="20"/>
          <w:lang w:val="es-ES"/>
        </w:rPr>
      </w:pPr>
    </w:p>
    <w:p w14:paraId="73E1F596" w14:textId="3E977AA5" w:rsidR="0052344F" w:rsidRPr="00895E83" w:rsidRDefault="0052344F" w:rsidP="00CC6BAF">
      <w:pPr>
        <w:jc w:val="both"/>
        <w:rPr>
          <w:rFonts w:ascii="Arial" w:hAnsi="Arial" w:cs="Arial"/>
          <w:sz w:val="20"/>
          <w:szCs w:val="20"/>
          <w:lang w:val="es-ES"/>
        </w:rPr>
      </w:pPr>
    </w:p>
    <w:p w14:paraId="7395BD20" w14:textId="5285720E" w:rsidR="0052344F" w:rsidRPr="00895E83" w:rsidRDefault="0052344F" w:rsidP="00CC6BAF">
      <w:pPr>
        <w:jc w:val="both"/>
        <w:rPr>
          <w:rFonts w:ascii="Arial" w:hAnsi="Arial" w:cs="Arial"/>
          <w:sz w:val="20"/>
          <w:szCs w:val="20"/>
          <w:lang w:val="es-ES"/>
        </w:rPr>
      </w:pPr>
    </w:p>
    <w:p w14:paraId="64755F9F" w14:textId="05E23D1E" w:rsidR="0052344F" w:rsidRPr="00895E83" w:rsidRDefault="0052344F" w:rsidP="00CC6BAF">
      <w:pPr>
        <w:jc w:val="both"/>
        <w:rPr>
          <w:rFonts w:ascii="Arial" w:hAnsi="Arial" w:cs="Arial"/>
          <w:sz w:val="20"/>
          <w:szCs w:val="20"/>
          <w:lang w:val="es-ES"/>
        </w:rPr>
      </w:pPr>
    </w:p>
    <w:p w14:paraId="17747D55" w14:textId="4C20ED27" w:rsidR="00CC6BAF" w:rsidRPr="00895E83" w:rsidRDefault="003C3FC0" w:rsidP="00CC6BAF">
      <w:pPr>
        <w:spacing w:line="276" w:lineRule="auto"/>
        <w:jc w:val="center"/>
        <w:rPr>
          <w:rFonts w:ascii="Arial" w:hAnsi="Arial" w:cs="Arial"/>
          <w:sz w:val="28"/>
          <w:szCs w:val="28"/>
          <w:lang w:val="es-ES"/>
        </w:rPr>
      </w:pPr>
      <w:r w:rsidRPr="00895E83">
        <w:rPr>
          <w:rFonts w:ascii="Arial" w:hAnsi="Arial" w:cs="Arial"/>
          <w:sz w:val="28"/>
          <w:szCs w:val="28"/>
          <w:lang w:val="es-ES"/>
        </w:rPr>
        <w:t>DEPARTAMENTO DE COMUNICACIÓN CO</w:t>
      </w:r>
      <w:r w:rsidR="00422E33" w:rsidRPr="00895E83">
        <w:rPr>
          <w:rFonts w:ascii="Arial" w:hAnsi="Arial" w:cs="Arial"/>
          <w:sz w:val="28"/>
          <w:szCs w:val="28"/>
          <w:lang w:val="es-ES"/>
        </w:rPr>
        <w:t>RPORATIVA</w:t>
      </w:r>
    </w:p>
    <w:p w14:paraId="6AF8E33E" w14:textId="0865A4E4" w:rsidR="00CC6BAF" w:rsidRPr="00895E83" w:rsidRDefault="00CC6BAF" w:rsidP="00CC6BAF">
      <w:pPr>
        <w:tabs>
          <w:tab w:val="left" w:pos="2780"/>
          <w:tab w:val="center" w:pos="4513"/>
        </w:tabs>
        <w:spacing w:line="276" w:lineRule="auto"/>
        <w:jc w:val="center"/>
        <w:rPr>
          <w:rFonts w:ascii="Arial" w:hAnsi="Arial" w:cs="Arial"/>
          <w:b/>
          <w:bCs/>
          <w:sz w:val="28"/>
          <w:szCs w:val="28"/>
          <w:lang w:val="es-ES"/>
        </w:rPr>
      </w:pPr>
      <w:r w:rsidRPr="00895E83">
        <w:rPr>
          <w:rFonts w:ascii="Arial" w:hAnsi="Arial" w:cs="Arial"/>
          <w:b/>
          <w:bCs/>
          <w:sz w:val="28"/>
          <w:szCs w:val="28"/>
          <w:lang w:val="es-ES"/>
        </w:rPr>
        <w:t>+3</w:t>
      </w:r>
      <w:r w:rsidR="003C3FC0" w:rsidRPr="00895E83">
        <w:rPr>
          <w:rFonts w:ascii="Arial" w:hAnsi="Arial" w:cs="Arial"/>
          <w:b/>
          <w:bCs/>
          <w:sz w:val="28"/>
          <w:szCs w:val="28"/>
          <w:lang w:val="es-ES"/>
        </w:rPr>
        <w:t>4</w:t>
      </w:r>
      <w:r w:rsidRPr="00895E83">
        <w:rPr>
          <w:rFonts w:ascii="Arial" w:hAnsi="Arial" w:cs="Arial"/>
          <w:b/>
          <w:bCs/>
          <w:sz w:val="28"/>
          <w:szCs w:val="28"/>
          <w:lang w:val="es-ES"/>
        </w:rPr>
        <w:t xml:space="preserve"> </w:t>
      </w:r>
      <w:r w:rsidR="003C3FC0" w:rsidRPr="00895E83">
        <w:rPr>
          <w:rFonts w:ascii="Arial" w:hAnsi="Arial" w:cs="Arial"/>
          <w:b/>
          <w:bCs/>
          <w:sz w:val="28"/>
          <w:szCs w:val="28"/>
          <w:lang w:val="es-ES"/>
        </w:rPr>
        <w:t>6</w:t>
      </w:r>
      <w:r w:rsidR="00422E33" w:rsidRPr="00895E83">
        <w:rPr>
          <w:rFonts w:ascii="Arial" w:hAnsi="Arial" w:cs="Arial"/>
          <w:b/>
          <w:bCs/>
          <w:sz w:val="28"/>
          <w:szCs w:val="28"/>
          <w:lang w:val="es-ES"/>
        </w:rPr>
        <w:t>2</w:t>
      </w:r>
      <w:r w:rsidR="003C3FC0" w:rsidRPr="00895E83">
        <w:rPr>
          <w:rFonts w:ascii="Arial" w:hAnsi="Arial" w:cs="Arial"/>
          <w:b/>
          <w:bCs/>
          <w:sz w:val="28"/>
          <w:szCs w:val="28"/>
          <w:lang w:val="es-ES"/>
        </w:rPr>
        <w:t xml:space="preserve">9 </w:t>
      </w:r>
      <w:r w:rsidR="00422E33" w:rsidRPr="00895E83">
        <w:rPr>
          <w:rFonts w:ascii="Arial" w:hAnsi="Arial" w:cs="Arial"/>
          <w:b/>
          <w:bCs/>
          <w:sz w:val="28"/>
          <w:szCs w:val="28"/>
          <w:lang w:val="es-ES"/>
        </w:rPr>
        <w:t>865</w:t>
      </w:r>
      <w:r w:rsidR="003C3FC0" w:rsidRPr="00895E83">
        <w:rPr>
          <w:rFonts w:ascii="Arial" w:hAnsi="Arial" w:cs="Arial"/>
          <w:b/>
          <w:bCs/>
          <w:sz w:val="28"/>
          <w:szCs w:val="28"/>
          <w:lang w:val="es-ES"/>
        </w:rPr>
        <w:t xml:space="preserve"> </w:t>
      </w:r>
      <w:r w:rsidR="00422E33" w:rsidRPr="00895E83">
        <w:rPr>
          <w:rFonts w:ascii="Arial" w:hAnsi="Arial" w:cs="Arial"/>
          <w:b/>
          <w:bCs/>
          <w:sz w:val="28"/>
          <w:szCs w:val="28"/>
          <w:lang w:val="es-ES"/>
        </w:rPr>
        <w:t>612</w:t>
      </w:r>
    </w:p>
    <w:p w14:paraId="59E2FE0A" w14:textId="2D99CACA" w:rsidR="00CC6BAF" w:rsidRDefault="00000000" w:rsidP="00CC6BAF">
      <w:pPr>
        <w:spacing w:line="276" w:lineRule="auto"/>
        <w:jc w:val="center"/>
        <w:rPr>
          <w:rFonts w:ascii="Arial" w:hAnsi="Arial" w:cs="Arial"/>
          <w:sz w:val="28"/>
          <w:szCs w:val="28"/>
          <w:lang w:val="es-ES"/>
        </w:rPr>
      </w:pPr>
      <w:hyperlink r:id="rId9" w:history="1">
        <w:r w:rsidR="00DF5F38" w:rsidRPr="007C5E1C">
          <w:rPr>
            <w:rStyle w:val="Hipervnculo"/>
            <w:rFonts w:ascii="Arial" w:hAnsi="Arial" w:cs="Arial"/>
            <w:sz w:val="28"/>
            <w:szCs w:val="28"/>
            <w:lang w:val="es-ES"/>
          </w:rPr>
          <w:t>hugo.ureta-alonso@michelin.com</w:t>
        </w:r>
      </w:hyperlink>
    </w:p>
    <w:p w14:paraId="7438ACE2" w14:textId="63548FC3" w:rsidR="00CC6BAF" w:rsidRPr="00895E83" w:rsidRDefault="00CC6BAF" w:rsidP="00CC6BAF">
      <w:pPr>
        <w:jc w:val="center"/>
        <w:rPr>
          <w:rFonts w:ascii="Arial" w:hAnsi="Arial" w:cs="Arial"/>
          <w:lang w:val="es-ES"/>
        </w:rPr>
      </w:pPr>
      <w:r w:rsidRPr="00895E83">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94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gridCol w:w="426"/>
      </w:tblGrid>
      <w:tr w:rsidR="00E70CE5" w:rsidRPr="00215EB6" w14:paraId="4E32B944" w14:textId="77777777" w:rsidTr="00E70CE5">
        <w:trPr>
          <w:gridAfter w:val="1"/>
          <w:wAfter w:w="426" w:type="dxa"/>
          <w:jc w:val="center"/>
        </w:trPr>
        <w:tc>
          <w:tcPr>
            <w:tcW w:w="9016" w:type="dxa"/>
            <w:gridSpan w:val="2"/>
          </w:tcPr>
          <w:p w14:paraId="2787C179" w14:textId="15C2C2CB" w:rsidR="00E70CE5" w:rsidRDefault="00E70CE5" w:rsidP="00B30C20">
            <w:pPr>
              <w:ind w:right="1394" w:firstLine="851"/>
              <w:jc w:val="center"/>
              <w:rPr>
                <w:rStyle w:val="Hipervnculo"/>
                <w:rFonts w:ascii="Arial" w:hAnsi="Arial" w:cs="Arial"/>
                <w:lang w:val="es-ES"/>
              </w:rPr>
            </w:pPr>
            <w:r>
              <w:t xml:space="preserve">               </w:t>
            </w:r>
            <w:hyperlink r:id="rId12" w:history="1">
              <w:r w:rsidRPr="00CD3E55">
                <w:rPr>
                  <w:rStyle w:val="Hipervnculo"/>
                  <w:rFonts w:ascii="Arial" w:hAnsi="Arial" w:cs="Arial"/>
                  <w:lang w:val="es-ES"/>
                </w:rPr>
                <w:t>www.michelin.es</w:t>
              </w:r>
            </w:hyperlink>
          </w:p>
          <w:p w14:paraId="1E1607B7" w14:textId="77777777" w:rsidR="00E70CE5" w:rsidRPr="00215EB6" w:rsidRDefault="00E70CE5" w:rsidP="00B30C20">
            <w:pPr>
              <w:ind w:right="-19" w:firstLine="851"/>
              <w:jc w:val="center"/>
              <w:rPr>
                <w:rFonts w:ascii="Arial" w:hAnsi="Arial" w:cs="Arial"/>
                <w:color w:val="08519D"/>
                <w:lang w:val="es-ES"/>
              </w:rPr>
            </w:pPr>
          </w:p>
        </w:tc>
      </w:tr>
      <w:tr w:rsidR="00E70CE5" w:rsidRPr="00215EB6" w14:paraId="4027A95B" w14:textId="77777777" w:rsidTr="00E70CE5">
        <w:trPr>
          <w:gridBefore w:val="1"/>
          <w:wBefore w:w="426" w:type="dxa"/>
          <w:jc w:val="center"/>
        </w:trPr>
        <w:tc>
          <w:tcPr>
            <w:tcW w:w="9016" w:type="dxa"/>
            <w:gridSpan w:val="2"/>
          </w:tcPr>
          <w:p w14:paraId="0AFA51FA" w14:textId="25F87FB4" w:rsidR="00E70CE5" w:rsidRPr="00215EB6" w:rsidRDefault="00E70CE5" w:rsidP="00E70CE5">
            <w:pPr>
              <w:rPr>
                <w:rFonts w:ascii="Arial" w:hAnsi="Arial" w:cs="Arial"/>
                <w:color w:val="08519D"/>
                <w:lang w:val="es-ES"/>
              </w:rPr>
            </w:pPr>
            <w:r>
              <w:t xml:space="preserve">        </w:t>
            </w:r>
            <w:r>
              <w:rPr>
                <w:noProof/>
                <w:color w:val="000000"/>
                <w:lang w:val="es-ES_tradnl" w:eastAsia="es-ES_tradnl"/>
              </w:rPr>
              <w:drawing>
                <wp:inline distT="0" distB="0" distL="0" distR="0" wp14:anchorId="63A210F3" wp14:editId="5B7127AC">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F0BD2D2" wp14:editId="23A373E5">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6"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50A1D51B" wp14:editId="6B79607F">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8"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2A77D35C" wp14:editId="51F44790">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w:t>
              </w:r>
            </w:hyperlink>
          </w:p>
        </w:tc>
      </w:tr>
    </w:tbl>
    <w:p w14:paraId="4C98D11D" w14:textId="77777777" w:rsidR="00E70CE5" w:rsidRPr="00215EB6" w:rsidRDefault="00E70CE5" w:rsidP="00E70CE5">
      <w:pPr>
        <w:ind w:right="1394" w:firstLine="851"/>
        <w:jc w:val="center"/>
        <w:rPr>
          <w:rFonts w:ascii="Arial" w:hAnsi="Arial" w:cs="Arial"/>
          <w:lang w:val="es-ES"/>
        </w:rPr>
      </w:pPr>
    </w:p>
    <w:p w14:paraId="1D9B2333" w14:textId="77777777" w:rsidR="00E70CE5" w:rsidRDefault="00E70CE5" w:rsidP="00E70CE5">
      <w:pPr>
        <w:ind w:right="1394" w:firstLine="851"/>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Pr="00215EB6">
        <w:rPr>
          <w:rFonts w:ascii="Arial" w:hAnsi="Arial" w:cs="Arial"/>
          <w:lang w:val="es-ES"/>
        </w:rPr>
        <w:t>– 28760 Tres Cantos – Madrid. ESPAÑA</w:t>
      </w:r>
    </w:p>
    <w:p w14:paraId="35E7F4EF" w14:textId="4E7988F3" w:rsidR="00387E23" w:rsidRPr="00895E83" w:rsidRDefault="00387E23" w:rsidP="00CC6BAF">
      <w:pPr>
        <w:jc w:val="center"/>
        <w:rPr>
          <w:rFonts w:ascii="Arial" w:hAnsi="Arial" w:cs="Arial"/>
          <w:lang w:val="es-ES"/>
        </w:rPr>
      </w:pPr>
    </w:p>
    <w:sectPr w:rsidR="00387E23" w:rsidRPr="00895E83" w:rsidSect="006C3818">
      <w:headerReference w:type="default" r:id="rId21"/>
      <w:footerReference w:type="default" r:id="rId22"/>
      <w:headerReference w:type="first" r:id="rId23"/>
      <w:footerReference w:type="first" r:id="rId24"/>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03A8" w14:textId="77777777" w:rsidR="001074A7" w:rsidRDefault="001074A7" w:rsidP="00F24D98">
      <w:r>
        <w:separator/>
      </w:r>
    </w:p>
  </w:endnote>
  <w:endnote w:type="continuationSeparator" w:id="0">
    <w:p w14:paraId="0604509B" w14:textId="77777777" w:rsidR="001074A7" w:rsidRDefault="001074A7"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7824" w14:textId="77777777" w:rsidR="001074A7" w:rsidRDefault="001074A7" w:rsidP="00F24D98">
      <w:r>
        <w:separator/>
      </w:r>
    </w:p>
  </w:footnote>
  <w:footnote w:type="continuationSeparator" w:id="0">
    <w:p w14:paraId="53D93D67" w14:textId="77777777" w:rsidR="001074A7" w:rsidRDefault="001074A7"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2B9420E6" w:rsidR="00B36FEE" w:rsidRDefault="00B36FEE" w:rsidP="00170CB5">
    <w:pPr>
      <w:pStyle w:val="Encabezado"/>
      <w:ind w:left="-1418"/>
      <w:jc w:val="center"/>
      <w:rPr>
        <w:rFonts w:ascii="Michelin Unit Titling" w:hAnsi="Michelin Unit Titling"/>
        <w:color w:val="404040" w:themeColor="text1" w:themeTint="BF"/>
      </w:rPr>
    </w:pPr>
  </w:p>
  <w:p w14:paraId="4AE4505A" w14:textId="6CBEEA33" w:rsidR="00C53F0C" w:rsidRPr="00C53F0C" w:rsidRDefault="00E70CE5"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437866D3" wp14:editId="1EEACD76">
          <wp:simplePos x="0" y="0"/>
          <wp:positionH relativeFrom="column">
            <wp:posOffset>1618593</wp:posOffset>
          </wp:positionH>
          <wp:positionV relativeFrom="paragraph">
            <wp:posOffset>26495</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3EF55E65" w:rsidR="001963B1" w:rsidRDefault="00764B9F" w:rsidP="006C44F0">
    <w:pPr>
      <w:pStyle w:val="Encabezado"/>
      <w:ind w:left="-1418"/>
    </w:pPr>
    <w:r>
      <w:rPr>
        <w:noProof/>
      </w:rPr>
      <w:drawing>
        <wp:anchor distT="0" distB="0" distL="114300" distR="114300" simplePos="0" relativeHeight="251668480" behindDoc="0" locked="0" layoutInCell="1" allowOverlap="1" wp14:anchorId="2677E85B" wp14:editId="077FB600">
          <wp:simplePos x="0" y="0"/>
          <wp:positionH relativeFrom="column">
            <wp:posOffset>1821305</wp:posOffset>
          </wp:positionH>
          <wp:positionV relativeFrom="paragraph">
            <wp:posOffset>149215</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&#13;&#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03C3ECD6">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43EB"/>
    <w:multiLevelType w:val="hybridMultilevel"/>
    <w:tmpl w:val="AC48C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2211D0"/>
    <w:multiLevelType w:val="hybridMultilevel"/>
    <w:tmpl w:val="0F5C9B72"/>
    <w:lvl w:ilvl="0" w:tplc="CB446AC8">
      <w:start w:val="1"/>
      <w:numFmt w:val="bullet"/>
      <w:lvlText w:val="o"/>
      <w:lvlJc w:val="left"/>
      <w:pPr>
        <w:ind w:left="502"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8234DF3"/>
    <w:multiLevelType w:val="hybridMultilevel"/>
    <w:tmpl w:val="4B02E796"/>
    <w:lvl w:ilvl="0" w:tplc="0C0A0003">
      <w:start w:val="1"/>
      <w:numFmt w:val="bullet"/>
      <w:lvlText w:val="o"/>
      <w:lvlJc w:val="left"/>
      <w:pPr>
        <w:ind w:left="502" w:hanging="360"/>
      </w:pPr>
      <w:rPr>
        <w:rFonts w:ascii="Courier New" w:hAnsi="Courier New" w:hint="default"/>
      </w:rPr>
    </w:lvl>
    <w:lvl w:ilvl="1" w:tplc="0C0A0003">
      <w:start w:val="1"/>
      <w:numFmt w:val="bullet"/>
      <w:lvlText w:val="o"/>
      <w:lvlJc w:val="left"/>
      <w:pPr>
        <w:ind w:left="-66" w:hanging="360"/>
      </w:pPr>
      <w:rPr>
        <w:rFonts w:ascii="Courier New" w:hAnsi="Courier New" w:cs="Courier New" w:hint="default"/>
      </w:rPr>
    </w:lvl>
    <w:lvl w:ilvl="2" w:tplc="0C0A0005">
      <w:start w:val="1"/>
      <w:numFmt w:val="bullet"/>
      <w:lvlText w:val=""/>
      <w:lvlJc w:val="left"/>
      <w:pPr>
        <w:ind w:left="654" w:hanging="360"/>
      </w:pPr>
      <w:rPr>
        <w:rFonts w:ascii="Wingdings" w:hAnsi="Wingdings" w:hint="default"/>
      </w:rPr>
    </w:lvl>
    <w:lvl w:ilvl="3" w:tplc="0C0A0001" w:tentative="1">
      <w:start w:val="1"/>
      <w:numFmt w:val="bullet"/>
      <w:lvlText w:val=""/>
      <w:lvlJc w:val="left"/>
      <w:pPr>
        <w:ind w:left="1374" w:hanging="360"/>
      </w:pPr>
      <w:rPr>
        <w:rFonts w:ascii="Symbol" w:hAnsi="Symbol" w:hint="default"/>
      </w:rPr>
    </w:lvl>
    <w:lvl w:ilvl="4" w:tplc="0C0A0003" w:tentative="1">
      <w:start w:val="1"/>
      <w:numFmt w:val="bullet"/>
      <w:lvlText w:val="o"/>
      <w:lvlJc w:val="left"/>
      <w:pPr>
        <w:ind w:left="2094" w:hanging="360"/>
      </w:pPr>
      <w:rPr>
        <w:rFonts w:ascii="Courier New" w:hAnsi="Courier New" w:cs="Courier New" w:hint="default"/>
      </w:rPr>
    </w:lvl>
    <w:lvl w:ilvl="5" w:tplc="0C0A0005" w:tentative="1">
      <w:start w:val="1"/>
      <w:numFmt w:val="bullet"/>
      <w:lvlText w:val=""/>
      <w:lvlJc w:val="left"/>
      <w:pPr>
        <w:ind w:left="2814" w:hanging="360"/>
      </w:pPr>
      <w:rPr>
        <w:rFonts w:ascii="Wingdings" w:hAnsi="Wingdings" w:hint="default"/>
      </w:rPr>
    </w:lvl>
    <w:lvl w:ilvl="6" w:tplc="0C0A0001" w:tentative="1">
      <w:start w:val="1"/>
      <w:numFmt w:val="bullet"/>
      <w:lvlText w:val=""/>
      <w:lvlJc w:val="left"/>
      <w:pPr>
        <w:ind w:left="3534" w:hanging="360"/>
      </w:pPr>
      <w:rPr>
        <w:rFonts w:ascii="Symbol" w:hAnsi="Symbol" w:hint="default"/>
      </w:rPr>
    </w:lvl>
    <w:lvl w:ilvl="7" w:tplc="0C0A0003" w:tentative="1">
      <w:start w:val="1"/>
      <w:numFmt w:val="bullet"/>
      <w:lvlText w:val="o"/>
      <w:lvlJc w:val="left"/>
      <w:pPr>
        <w:ind w:left="4254" w:hanging="360"/>
      </w:pPr>
      <w:rPr>
        <w:rFonts w:ascii="Courier New" w:hAnsi="Courier New" w:cs="Courier New" w:hint="default"/>
      </w:rPr>
    </w:lvl>
    <w:lvl w:ilvl="8" w:tplc="0C0A0005" w:tentative="1">
      <w:start w:val="1"/>
      <w:numFmt w:val="bullet"/>
      <w:lvlText w:val=""/>
      <w:lvlJc w:val="left"/>
      <w:pPr>
        <w:ind w:left="4974" w:hanging="360"/>
      </w:pPr>
      <w:rPr>
        <w:rFonts w:ascii="Wingdings" w:hAnsi="Wingdings" w:hint="default"/>
      </w:rPr>
    </w:lvl>
  </w:abstractNum>
  <w:abstractNum w:abstractNumId="6" w15:restartNumberingAfterBreak="0">
    <w:nsid w:val="78233186"/>
    <w:multiLevelType w:val="hybridMultilevel"/>
    <w:tmpl w:val="3A8202EE"/>
    <w:lvl w:ilvl="0" w:tplc="4C48E44C">
      <w:start w:val="1"/>
      <w:numFmt w:val="bullet"/>
      <w:lvlText w:val="o"/>
      <w:lvlJc w:val="left"/>
      <w:pPr>
        <w:ind w:left="502"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06013763">
    <w:abstractNumId w:val="3"/>
  </w:num>
  <w:num w:numId="2" w16cid:durableId="1325743586">
    <w:abstractNumId w:val="2"/>
  </w:num>
  <w:num w:numId="3" w16cid:durableId="1559785456">
    <w:abstractNumId w:val="4"/>
  </w:num>
  <w:num w:numId="4" w16cid:durableId="1195923313">
    <w:abstractNumId w:val="5"/>
  </w:num>
  <w:num w:numId="5" w16cid:durableId="1483767804">
    <w:abstractNumId w:val="6"/>
  </w:num>
  <w:num w:numId="6" w16cid:durableId="320235406">
    <w:abstractNumId w:val="1"/>
  </w:num>
  <w:num w:numId="7" w16cid:durableId="1724518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778DE"/>
    <w:rsid w:val="000A5386"/>
    <w:rsid w:val="000B3F91"/>
    <w:rsid w:val="001074A7"/>
    <w:rsid w:val="00112957"/>
    <w:rsid w:val="001162A2"/>
    <w:rsid w:val="00116A1A"/>
    <w:rsid w:val="00154400"/>
    <w:rsid w:val="00170CB5"/>
    <w:rsid w:val="001712BA"/>
    <w:rsid w:val="00186CCB"/>
    <w:rsid w:val="001963B1"/>
    <w:rsid w:val="001D4124"/>
    <w:rsid w:val="001D471F"/>
    <w:rsid w:val="001D57AF"/>
    <w:rsid w:val="001D5FA6"/>
    <w:rsid w:val="001E520E"/>
    <w:rsid w:val="001F706F"/>
    <w:rsid w:val="00212F8C"/>
    <w:rsid w:val="0021595A"/>
    <w:rsid w:val="00262F8B"/>
    <w:rsid w:val="00274DC8"/>
    <w:rsid w:val="00387E23"/>
    <w:rsid w:val="003930CA"/>
    <w:rsid w:val="00395651"/>
    <w:rsid w:val="003C3FC0"/>
    <w:rsid w:val="003C419D"/>
    <w:rsid w:val="003F197B"/>
    <w:rsid w:val="00414F37"/>
    <w:rsid w:val="0042207B"/>
    <w:rsid w:val="00422E33"/>
    <w:rsid w:val="00422FAA"/>
    <w:rsid w:val="004237CD"/>
    <w:rsid w:val="0044379B"/>
    <w:rsid w:val="004518CE"/>
    <w:rsid w:val="0045418F"/>
    <w:rsid w:val="00471963"/>
    <w:rsid w:val="00493386"/>
    <w:rsid w:val="004A7A65"/>
    <w:rsid w:val="004C430A"/>
    <w:rsid w:val="004C6A8C"/>
    <w:rsid w:val="004E3294"/>
    <w:rsid w:val="004E4143"/>
    <w:rsid w:val="00511304"/>
    <w:rsid w:val="00523432"/>
    <w:rsid w:val="0052344F"/>
    <w:rsid w:val="00523D3C"/>
    <w:rsid w:val="00572127"/>
    <w:rsid w:val="00594F5C"/>
    <w:rsid w:val="005963E0"/>
    <w:rsid w:val="005B00AE"/>
    <w:rsid w:val="006920B7"/>
    <w:rsid w:val="006C3818"/>
    <w:rsid w:val="006C44F0"/>
    <w:rsid w:val="006D398C"/>
    <w:rsid w:val="00720FD8"/>
    <w:rsid w:val="00743520"/>
    <w:rsid w:val="00764B9F"/>
    <w:rsid w:val="007F37A6"/>
    <w:rsid w:val="007F790E"/>
    <w:rsid w:val="00816BB1"/>
    <w:rsid w:val="00834943"/>
    <w:rsid w:val="0083779A"/>
    <w:rsid w:val="00841E40"/>
    <w:rsid w:val="0085424A"/>
    <w:rsid w:val="0085450A"/>
    <w:rsid w:val="00882C2F"/>
    <w:rsid w:val="00895E83"/>
    <w:rsid w:val="008B072F"/>
    <w:rsid w:val="008F5893"/>
    <w:rsid w:val="0093532F"/>
    <w:rsid w:val="009429D3"/>
    <w:rsid w:val="009969D4"/>
    <w:rsid w:val="009F3FB2"/>
    <w:rsid w:val="00A05352"/>
    <w:rsid w:val="00A133C9"/>
    <w:rsid w:val="00A6279B"/>
    <w:rsid w:val="00A72ECA"/>
    <w:rsid w:val="00A75B5C"/>
    <w:rsid w:val="00A91FE1"/>
    <w:rsid w:val="00A92316"/>
    <w:rsid w:val="00AB5624"/>
    <w:rsid w:val="00AC0E74"/>
    <w:rsid w:val="00B05B19"/>
    <w:rsid w:val="00B13DD6"/>
    <w:rsid w:val="00B32BCE"/>
    <w:rsid w:val="00B36FEE"/>
    <w:rsid w:val="00B45C21"/>
    <w:rsid w:val="00B97B28"/>
    <w:rsid w:val="00BC2889"/>
    <w:rsid w:val="00BE269E"/>
    <w:rsid w:val="00BE71E8"/>
    <w:rsid w:val="00BE7D89"/>
    <w:rsid w:val="00C53F0C"/>
    <w:rsid w:val="00CC6BAF"/>
    <w:rsid w:val="00CE5E82"/>
    <w:rsid w:val="00D26D15"/>
    <w:rsid w:val="00D55011"/>
    <w:rsid w:val="00D729F5"/>
    <w:rsid w:val="00D9116F"/>
    <w:rsid w:val="00DB7FA5"/>
    <w:rsid w:val="00DE0B5B"/>
    <w:rsid w:val="00DF5F38"/>
    <w:rsid w:val="00E46580"/>
    <w:rsid w:val="00E70CE5"/>
    <w:rsid w:val="00E74C95"/>
    <w:rsid w:val="00E926C4"/>
    <w:rsid w:val="00EA512D"/>
    <w:rsid w:val="00ED5957"/>
    <w:rsid w:val="00ED7136"/>
    <w:rsid w:val="00EF34EC"/>
    <w:rsid w:val="00F1127B"/>
    <w:rsid w:val="00F24BC6"/>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hyperlink" Target="https://twitter.com/MichelinNew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807</Words>
  <Characters>4442</Characters>
  <Application>Microsoft Office Word</Application>
  <DocSecurity>0</DocSecurity>
  <Lines>37</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32</cp:revision>
  <dcterms:created xsi:type="dcterms:W3CDTF">2021-03-01T16:33:00Z</dcterms:created>
  <dcterms:modified xsi:type="dcterms:W3CDTF">2022-10-26T16:31:00Z</dcterms:modified>
</cp:coreProperties>
</file>