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ind w:left="57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Lisboa, 10 de outubro de 2022</w:t>
      </w:r>
    </w:p>
    <w:sdt>
      <w:sdtPr>
        <w:id w:val="962987854"/>
        <w:placeholder>
          <w:docPart w:val="DefaultPlaceholder_22675703"/>
        </w:placeholder>
        <w:richText/>
      </w:sdtPr>
      <w:sdtContent>
        <w:p>
          <w:pPr>
            <w:spacing w:before="0" w:after="0"/>
            <w:jc w:val="center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</w:p>
        <w:p>
          <w:pPr>
            <w:spacing w:before="0" w:after="0"/>
            <w:jc w:val="center"/>
            <w:rPr>
              <w:sz w:val="28"/>
              <w:szCs w:val="28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</w:rPr>
            <w:t xml:space="preserve">Michelin revela, em estreia mundial, dois pneus homologados para utilização em estrada, contendo, respetivamente, 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br/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45% e 58% de materiais sustentáveis</w:t>
          </w:r>
        </w:p>
        <w:p>
          <w:pPr>
            <w:spacing w:before="0" w:after="0"/>
            <w:jc w:val="center"/>
            <w:rPr>
              <w:rFonts w:ascii="Arial" w:eastAsia="Arial" w:hAnsi="Arial" w:cs="Arial"/>
              <w:b/>
              <w:bCs/>
              <w:sz w:val="28"/>
              <w:szCs w:val="28"/>
            </w:rPr>
          </w:pPr>
        </w:p>
        <w:p>
          <w:pPr>
            <w:spacing w:before="0" w:after="0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before="0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Um pneu para turismos e outro para autocarros, que prefiguram as tecnologias a incorporar, dentro de dois a três anos, nos pneus MICHELIN de produção em série </w:t>
          </w: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>Forte experiência da Michelin em materiais de alta tecnologia, e programa específico de parcerias, ajudam a acelerar a inovação</w:t>
          </w: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after="0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>Uma ilustração concreta da capacidade da Michelin para alcançar o seu ambicioso objetivo de utilizar materiais 100% sustentáveis em todos os seus pneus em 2050</w:t>
          </w:r>
        </w:p>
        <w:p>
          <w:pPr>
            <w:spacing w:before="0" w:after="0"/>
            <w:jc w:val="both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A Michelin apresenta um pneu para turismos, e outro destinado a autocarros, contendo, respetivamente, 45% e 58% de materiais sustentáveis. Estos pneus, homologados para utilização em estrada, oferecem níveis de performance estritamente idênticos aos dos pneus atuais. 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Com esta estreia mundial, a Michelin dá um novo passo rumo à pré-produção e comercialização, num prazo de dois a três anos, de novas gamas de pneus que incluirão elevados níveis de materiais sustentáveis. Deste modo, o Grupo está em vias de cumprir o seu compromisso de alcançar 100% de materiais de origem biológica, renováveis ou reciclados no fabrico, a nível global, dos seus pneus para 2050, com o objetivo de chegar a 40% em 2030. 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A Michelin deve este progresso a uma superior utilização de borracha natural, juntamente com a inclusão de negro de carbono reciclado,</w:t>
          </w:r>
          <w:r>
            <w:rPr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 xml:space="preserve">óleo de girassol e resinas de origem biológica, sílica proveniente de casca de arroz, e, inclusivamente, aço reciclado. O Grupo aposta na inclusão de materiais sustentáveis no desenvolvimento dos seus pneus sem comprometer a respetiva performance, e garantindo que não existe impacto sobre o meio ambiente em cada etapa do seu ciclo de vida – conceção, design, fabrico, transporte, utilização e reciclagem. </w:t>
          </w: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strike w:val="0"/>
              <w:sz w:val="20"/>
              <w:szCs w:val="20"/>
              <w:u w:val="none"/>
            </w:rPr>
            <w:drawing>
              <wp:anchor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209169</wp:posOffset>
                </wp:positionV>
                <wp:extent cx="5143500" cy="2771775"/>
                <wp:wrapSquare wrapText="bothSides"/>
                <wp:docPr id="10000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3" name="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0" cy="2771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strike w:val="0"/>
              <w:sz w:val="20"/>
              <w:szCs w:val="20"/>
              <w:u w:val="none"/>
            </w:rPr>
            <w:drawing>
              <wp:anchor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5000625" cy="3019425"/>
                <wp:wrapSquare wrapText="bothSides"/>
                <wp:docPr id="10000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5" name="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301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Para cumprir este plano, a Michelin conta com a sua experiência em materiais de alta tecnologia, e com o contributo de todo o seu departamento de I+D, em que trabalham cerca de 6000 engenheiros, investigadores, químicos e desenvolvedores. Em 2021, só no que a estes materiais diz respeito, a Michelin detinha 3678 patentes ativas. 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Consciente de que a rapidez e a natureza das inovações, no domínio dos materiais sustentáveis, exigem novas competências, o Grupo empreende um programa de parcerias específicas, para acelerar o desenvolvimento de tecnologias de vanguarda, em particular nas áreas da transformação e da reciclagem. Exemplos disso mesmo são a Pyrowave (estireno reciclado a partir de plástico); a Carbios (garrafas PET recicladas); a Enviro (negro de carbono reciclado); a IFPEN/Axens, com a participação da ADEME (bio-butadieno); o projeto Empreinte*, levado a cabo com a ADEME; ou o estabelecimento dos projetos de economia circular BlackCycle e Whitecycle, que a Michelin leva a cabo com inúmeros parceiros europeus, e conta com o apoio da UE, para transformar pneus em fim de vida útil em matérias-primas de muito elevada qualidade, que possam ser incorporadas no fabrico de novos pneus. 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i/>
              <w:iCs/>
              <w:sz w:val="16"/>
              <w:szCs w:val="16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i/>
              <w:iCs/>
              <w:sz w:val="16"/>
              <w:szCs w:val="16"/>
            </w:rPr>
          </w:pPr>
        </w:p>
        <w:p>
          <w:pPr>
            <w:spacing w:before="0" w:after="0" w:line="276" w:lineRule="auto"/>
            <w:jc w:val="both"/>
            <w:rPr>
              <w:sz w:val="16"/>
              <w:szCs w:val="16"/>
            </w:rPr>
          </w:pPr>
          <w:r>
            <w:rPr>
              <w:rFonts w:ascii="Arial" w:eastAsia="Arial" w:hAnsi="Arial" w:cs="Arial"/>
              <w:i/>
              <w:iCs/>
              <w:sz w:val="16"/>
              <w:szCs w:val="16"/>
            </w:rPr>
            <w:t>*O projeto Empreinte é financiado pelo Governo como parte do Programa de Investimentos Futuros, agora incluído no França 2030, e gerido pela ADEME (Agência Francesa de Medo Ambiente e Gestão de Energia).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</w:sdtContent>
    </w:sdt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>
      <w:pPr>
        <w:spacing w:before="0" w:after="0"/>
        <w:jc w:val="both"/>
      </w:pPr>
      <w:r>
        <w:rPr>
          <w:rFonts w:ascii="Arial" w:eastAsia="Arial" w:hAnsi="Arial" w:cs="Arial"/>
          <w:sz w:val="16"/>
          <w:szCs w:val="16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177 países, emprega mais de 124.760 pessoas e dispõe de 68 centros de produção de pneus, que, em 2021, fabricaram 173 milhões de pneus (</w:t>
      </w:r>
      <w:hyperlink r:id="rId6" w:history="1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www.michelin.pt</w:t>
        </w:r>
      </w:hyperlink>
      <w:r>
        <w:rPr>
          <w:rFonts w:ascii="Arial" w:eastAsia="Arial" w:hAnsi="Arial" w:cs="Arial"/>
          <w:sz w:val="16"/>
          <w:szCs w:val="16"/>
        </w:rPr>
        <w:t>).</w:t>
      </w:r>
    </w:p>
    <w:p>
      <w:pPr>
        <w:spacing w:before="0" w:after="0"/>
        <w:jc w:val="both"/>
        <w:rPr>
          <w:rFonts w:ascii="Arial" w:eastAsia="Arial" w:hAnsi="Arial" w:cs="Arial"/>
          <w:sz w:val="16"/>
          <w:szCs w:val="16"/>
        </w:rPr>
      </w:pPr>
    </w:p>
    <w:p>
      <w:pPr>
        <w:tabs>
          <w:tab w:val="left" w:pos="2192"/>
        </w:tabs>
        <w:spacing w:before="0" w:after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DEPARTAMENTO DE COMUNICAÇÃO CORPORATIVA</w:t>
      </w: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+34 629 865 612</w:t>
      </w:r>
    </w:p>
    <w:p>
      <w:pPr>
        <w:spacing w:before="0" w:after="0" w:line="276" w:lineRule="auto"/>
        <w:jc w:val="center"/>
        <w:rPr>
          <w:sz w:val="28"/>
          <w:szCs w:val="28"/>
        </w:rPr>
      </w:pPr>
      <w:hyperlink r:id="rId7" w:history="1">
        <w:r>
          <w:rPr>
            <w:rFonts w:ascii="Arial" w:eastAsia="Arial" w:hAnsi="Arial" w:cs="Arial"/>
            <w:color w:val="0000FF"/>
            <w:sz w:val="28"/>
            <w:szCs w:val="28"/>
            <w:u w:val="single" w:color="0000FF"/>
          </w:rPr>
          <w:t>hugo.ureta-alonso@michelin.com</w:t>
        </w:r>
      </w:hyperlink>
    </w:p>
    <w:p>
      <w:pPr>
        <w:spacing w:before="0" w:after="0"/>
        <w:jc w:val="center"/>
      </w:pPr>
      <w:r>
        <w:rPr>
          <w:strike w:val="0"/>
          <w:u w:val="none"/>
        </w:rPr>
        <w:drawing>
          <wp:inline>
            <wp:extent cx="1609725" cy="180975"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0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6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9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u w:val="single" w:color="0000FF"/>
                </w:rPr>
                <w:t>www.michelin.es</w:t>
              </w:r>
            </w:hyperlink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6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219075" cy="171450"/>
                  <wp:docPr id="10000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</w:rPr>
              <w:t>@MichelinPress</w:t>
            </w:r>
          </w:p>
        </w:tc>
      </w:tr>
    </w:tbl>
    <w:p>
      <w:pPr>
        <w:spacing w:before="0" w:after="0"/>
        <w:jc w:val="center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jc w:val="center"/>
      </w:pPr>
      <w:r>
        <w:rPr>
          <w:rFonts w:ascii="Arial" w:eastAsia="Arial" w:hAnsi="Arial" w:cs="Arial"/>
        </w:rPr>
        <w:t>Ronda de Poniente, 6 – 28760 Tres Cantos – Madrid. ESPAÑA</w:t>
      </w:r>
    </w:p>
    <w:p>
      <w:pPr>
        <w:spacing w:before="0" w:after="0"/>
        <w:jc w:val="center"/>
        <w:rPr>
          <w:rFonts w:ascii="Arial" w:eastAsia="Arial" w:hAnsi="Arial" w:cs="Arial"/>
          <w:sz w:val="24"/>
          <w:szCs w:val="24"/>
        </w:rPr>
      </w:pPr>
    </w:p>
    <w:sectPr>
      <w:headerReference w:type="default" r:id="rId11"/>
      <w:footerReference w:type="default" r:id="rId12"/>
      <w:type w:val="nextPage"/>
      <w:pgSz w:w="11906" w:h="16838"/>
      <w:pgMar w:top="-1770" w:right="1440" w:bottom="324" w:left="1440"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both"/>
      <w:rPr>
        <w:rFonts w:ascii="Arial" w:eastAsia="Arial" w:hAnsi="Arial" w:cs="Arial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rFonts w:ascii="Michelin Unit Titling" w:eastAsia="Michelin Unit Titling" w:hAnsi="Michelin Unit Titling" w:cs="Michelin Unit Titling"/>
        <w:color w:val="404040"/>
        <w:sz w:val="24"/>
        <w:szCs w:val="24"/>
      </w:rPr>
    </w:pPr>
  </w:p>
  <w:p>
    <w:pPr>
      <w:spacing w:before="0" w:after="0"/>
      <w:jc w:val="center"/>
    </w:pPr>
    <w:r>
      <w:rPr>
        <w:strike w:val="0"/>
        <w:u w:val="none"/>
      </w:rPr>
      <w:drawing>
        <wp:anchor simplePos="0" relativeHeight="251658240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12065</wp:posOffset>
          </wp:positionV>
          <wp:extent cx="2466975" cy="657225"/>
          <wp:wrapSquare wrapText="bothSides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4669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://www.michelin.pt" TargetMode="External" /><Relationship Id="rId7" Type="http://schemas.openxmlformats.org/officeDocument/2006/relationships/hyperlink" Target="mailto:hugo.ureta-alonso@michelin.com" TargetMode="External" /><Relationship Id="rId8" Type="http://schemas.openxmlformats.org/officeDocument/2006/relationships/image" Target="media/image3.jpeg" /><Relationship Id="rId9" Type="http://schemas.openxmlformats.org/officeDocument/2006/relationships/hyperlink" Target="http://www.michelin.es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2844-659C-4234-A85C-09DA974DBE9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