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0"/>
          <w:szCs w:val="20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67C2F74A" w14:textId="06529C8B" w:rsidR="009730EA" w:rsidRPr="00C77719" w:rsidRDefault="004556CF" w:rsidP="004556CF">
          <w:pPr>
            <w:tabs>
              <w:tab w:val="center" w:pos="4536"/>
            </w:tabs>
            <w:ind w:right="-46"/>
            <w:rPr>
              <w:rFonts w:ascii="Arial" w:hAnsi="Arial" w:cs="Arial"/>
              <w:sz w:val="20"/>
              <w:szCs w:val="20"/>
              <w:lang w:val="pt-PT"/>
            </w:rPr>
          </w:pPr>
          <w:r w:rsidRPr="00C77719">
            <w:rPr>
              <w:rFonts w:ascii="Arial" w:hAnsi="Arial" w:cs="Arial"/>
              <w:sz w:val="20"/>
              <w:szCs w:val="20"/>
              <w:lang w:val="pt-PT"/>
            </w:rPr>
            <w:tab/>
          </w:r>
        </w:p>
        <w:p w14:paraId="34E6477B" w14:textId="38B9419D" w:rsidR="009730EA" w:rsidRPr="00C77719" w:rsidRDefault="009730EA" w:rsidP="009C47D4">
          <w:pPr>
            <w:ind w:left="4320" w:right="-46" w:firstLine="720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B087427" w14:textId="77777777" w:rsidR="009730EA" w:rsidRPr="00C77719" w:rsidRDefault="009730EA" w:rsidP="009C47D4">
          <w:pPr>
            <w:ind w:left="4320" w:right="-46" w:firstLine="720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6075BE4" w14:textId="755A098D" w:rsidR="009730EA" w:rsidRPr="00C77719" w:rsidRDefault="009730EA" w:rsidP="009C47D4">
          <w:pPr>
            <w:ind w:left="4320" w:right="-46" w:firstLine="720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5BEFA2E" w14:textId="255BBD57" w:rsidR="009730EA" w:rsidRPr="00C77719" w:rsidRDefault="009730EA" w:rsidP="009C47D4">
          <w:pPr>
            <w:ind w:right="-46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F276E64" w14:textId="2C08A4EA" w:rsidR="002E5E37" w:rsidRPr="00C77719" w:rsidRDefault="002E5E37" w:rsidP="002E5E37">
          <w:pPr>
            <w:ind w:right="-46"/>
            <w:rPr>
              <w:rFonts w:ascii="Arial" w:hAnsi="Arial" w:cs="Arial"/>
              <w:b/>
              <w:bCs/>
              <w:color w:val="FF0000"/>
              <w:sz w:val="20"/>
              <w:szCs w:val="20"/>
              <w:u w:val="single"/>
              <w:lang w:val="pt-PT"/>
            </w:rPr>
          </w:pPr>
        </w:p>
        <w:p w14:paraId="75B28583" w14:textId="791062B1" w:rsidR="00D24541" w:rsidRPr="00C77719" w:rsidRDefault="001249F8" w:rsidP="002E5E37">
          <w:pPr>
            <w:ind w:right="-46"/>
            <w:jc w:val="right"/>
            <w:rPr>
              <w:rFonts w:ascii="Arial" w:hAnsi="Arial" w:cs="Arial"/>
              <w:sz w:val="20"/>
              <w:szCs w:val="20"/>
              <w:lang w:val="pt-PT"/>
            </w:rPr>
          </w:pPr>
          <w:r w:rsidRPr="00C77719">
            <w:rPr>
              <w:rFonts w:ascii="Arial" w:hAnsi="Arial" w:cs="Arial"/>
              <w:sz w:val="20"/>
              <w:szCs w:val="20"/>
              <w:lang w:val="pt-PT"/>
            </w:rPr>
            <w:t>Lisboa</w:t>
          </w:r>
          <w:r w:rsidR="009C47D4" w:rsidRPr="00C777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E5E37" w:rsidRPr="00C77719">
            <w:rPr>
              <w:rFonts w:ascii="Arial" w:hAnsi="Arial" w:cs="Arial"/>
              <w:sz w:val="20"/>
              <w:szCs w:val="20"/>
              <w:lang w:val="pt-PT"/>
            </w:rPr>
            <w:t>1</w:t>
          </w:r>
          <w:r w:rsidR="003A2915" w:rsidRPr="00C77719">
            <w:rPr>
              <w:rFonts w:ascii="Arial" w:hAnsi="Arial" w:cs="Arial"/>
              <w:sz w:val="20"/>
              <w:szCs w:val="20"/>
              <w:lang w:val="pt-PT"/>
            </w:rPr>
            <w:t>6</w:t>
          </w:r>
          <w:r w:rsidR="002E5E37" w:rsidRPr="00C77719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EE0667" w:rsidRPr="00C77719">
            <w:rPr>
              <w:rFonts w:ascii="Arial" w:hAnsi="Arial" w:cs="Arial"/>
              <w:sz w:val="20"/>
              <w:szCs w:val="20"/>
              <w:lang w:val="pt-PT"/>
            </w:rPr>
            <w:t>novembr</w:t>
          </w:r>
          <w:r w:rsidRPr="00C77719">
            <w:rPr>
              <w:rFonts w:ascii="Arial" w:hAnsi="Arial" w:cs="Arial"/>
              <w:sz w:val="20"/>
              <w:szCs w:val="20"/>
              <w:lang w:val="pt-PT"/>
            </w:rPr>
            <w:t>o de</w:t>
          </w:r>
          <w:r w:rsidR="009C47D4" w:rsidRPr="00C77719">
            <w:rPr>
              <w:rFonts w:ascii="Arial" w:hAnsi="Arial" w:cs="Arial"/>
              <w:sz w:val="20"/>
              <w:szCs w:val="20"/>
              <w:lang w:val="pt-PT"/>
            </w:rPr>
            <w:t xml:space="preserve"> 202</w:t>
          </w:r>
          <w:r w:rsidR="003A2915" w:rsidRPr="00C77719">
            <w:rPr>
              <w:rFonts w:ascii="Arial" w:hAnsi="Arial" w:cs="Arial"/>
              <w:sz w:val="20"/>
              <w:szCs w:val="20"/>
              <w:lang w:val="pt-PT"/>
            </w:rPr>
            <w:t>2</w:t>
          </w:r>
        </w:p>
        <w:sdt>
          <w:sdtPr>
            <w:rPr>
              <w:rFonts w:ascii="Arial" w:hAnsi="Arial" w:cs="Arial"/>
              <w:sz w:val="20"/>
              <w:szCs w:val="20"/>
              <w:lang w:val="pt-PT"/>
            </w:rPr>
            <w:id w:val="-1056926528"/>
            <w:docPartObj>
              <w:docPartGallery w:val="Cover Pages"/>
              <w:docPartUnique/>
            </w:docPartObj>
          </w:sdtPr>
          <w:sdtEndPr/>
          <w:sdtContent>
            <w:p w14:paraId="478A7C78" w14:textId="0E098F6E" w:rsidR="009203BF" w:rsidRPr="00C77719" w:rsidRDefault="009203BF" w:rsidP="009C47D4">
              <w:pPr>
                <w:spacing w:line="360" w:lineRule="auto"/>
                <w:ind w:right="-46"/>
                <w:jc w:val="center"/>
                <w:rPr>
                  <w:rFonts w:ascii="Arial" w:hAnsi="Arial" w:cs="Arial"/>
                  <w:b/>
                  <w:bCs/>
                  <w:sz w:val="20"/>
                  <w:szCs w:val="20"/>
                  <w:lang w:val="pt-PT"/>
                </w:rPr>
              </w:pPr>
            </w:p>
            <w:p w14:paraId="605954D6" w14:textId="0987EC46" w:rsidR="009C47D4" w:rsidRPr="00C77719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color w:val="000000" w:themeColor="text1"/>
                  <w:sz w:val="20"/>
                  <w:szCs w:val="20"/>
                  <w:lang w:val="pt-PT"/>
                </w:rPr>
              </w:pPr>
            </w:p>
            <w:p w14:paraId="238AB452" w14:textId="401293A9" w:rsidR="009C47D4" w:rsidRPr="00C77719" w:rsidRDefault="003E2EE3" w:rsidP="009C47D4">
              <w:pPr>
                <w:ind w:right="-46"/>
                <w:jc w:val="center"/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</w:pPr>
              <w:r w:rsidRPr="00C77719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 xml:space="preserve">Robert Parker Green Emblem distingue 40 </w:t>
              </w:r>
              <w:r w:rsidR="001249F8" w:rsidRPr="00C77719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notáveis adegas</w:t>
              </w:r>
              <w:r w:rsidR="001249F8" w:rsidRPr="00C77719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br/>
              </w:r>
              <w:r w:rsidRPr="00C77719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 xml:space="preserve">de todo </w:t>
              </w:r>
              <w:r w:rsidR="001249F8" w:rsidRPr="00C77719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 xml:space="preserve">o </w:t>
              </w:r>
              <w:r w:rsidRPr="00C77719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 xml:space="preserve">mundo </w:t>
              </w:r>
              <w:r w:rsidR="001249F8" w:rsidRPr="00C77719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 xml:space="preserve">pelo </w:t>
              </w:r>
              <w:r w:rsidRPr="00C77719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s</w:t>
              </w:r>
              <w:r w:rsidR="001249F8" w:rsidRPr="00C77719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e</w:t>
              </w:r>
              <w:r w:rsidRPr="00C77719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u compromis</w:t>
              </w:r>
              <w:r w:rsidR="001249F8" w:rsidRPr="00C77719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s</w:t>
              </w:r>
              <w:r w:rsidRPr="00C77719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o co</w:t>
              </w:r>
              <w:r w:rsidR="001249F8" w:rsidRPr="00C77719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m uma</w:t>
              </w:r>
              <w:r w:rsidRPr="00C77719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 xml:space="preserve"> ind</w:t>
              </w:r>
              <w:r w:rsidR="001249F8" w:rsidRPr="00C77719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>ú</w:t>
              </w:r>
              <w:r w:rsidRPr="00C77719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t xml:space="preserve">stria </w:t>
              </w:r>
              <w:r w:rsidR="001249F8" w:rsidRPr="00C77719">
                <w:rPr>
                  <w:rFonts w:ascii="Arial" w:hAnsi="Arial" w:cs="Arial"/>
                  <w:b/>
                  <w:sz w:val="28"/>
                  <w:szCs w:val="28"/>
                  <w:lang w:val="pt-PT"/>
                </w:rPr>
                <w:br/>
                <w:t>mais sustentável</w:t>
              </w:r>
            </w:p>
            <w:p w14:paraId="1B346FA7" w14:textId="3C150BF3" w:rsidR="009C47D4" w:rsidRPr="00C77719" w:rsidRDefault="009C47D4" w:rsidP="009C47D4">
              <w:pPr>
                <w:ind w:right="-46"/>
                <w:jc w:val="center"/>
                <w:rPr>
                  <w:rStyle w:val="normaltextrun"/>
                  <w:rFonts w:ascii="Arial" w:eastAsiaTheme="majorEastAsia" w:hAnsi="Arial" w:cs="Arial"/>
                  <w:b/>
                  <w:bCs/>
                  <w:sz w:val="22"/>
                  <w:szCs w:val="22"/>
                  <w:lang w:val="pt-PT"/>
                </w:rPr>
              </w:pPr>
            </w:p>
            <w:p w14:paraId="0C5B9A10" w14:textId="15B7E020" w:rsidR="009C47D4" w:rsidRPr="00C77719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55D124D0" w14:textId="4F4E75D0" w:rsidR="003E2EE3" w:rsidRPr="00C77719" w:rsidRDefault="001249F8" w:rsidP="003E2EE3">
              <w:pPr>
                <w:pStyle w:val="Prrafodelista"/>
                <w:numPr>
                  <w:ilvl w:val="0"/>
                  <w:numId w:val="1"/>
                </w:numPr>
                <w:jc w:val="both"/>
                <w:rPr>
                  <w:rFonts w:ascii="Arial" w:eastAsia="Calibri" w:hAnsi="Arial" w:cs="Arial"/>
                  <w:lang w:val="pt-PT"/>
                </w:rPr>
              </w:pPr>
              <w:r w:rsidRPr="00C77719">
                <w:rPr>
                  <w:rFonts w:ascii="Arial" w:eastAsia="Calibri" w:hAnsi="Arial" w:cs="Arial"/>
                  <w:lang w:val="pt-PT" w:eastAsia="en-US"/>
                </w:rPr>
                <w:t>Especialistas</w:t>
              </w:r>
              <w:r w:rsidR="003E2EE3" w:rsidRPr="00C77719">
                <w:rPr>
                  <w:rFonts w:ascii="Arial" w:eastAsia="Calibri" w:hAnsi="Arial" w:cs="Arial"/>
                  <w:lang w:val="pt-PT" w:eastAsia="en-US"/>
                </w:rPr>
                <w:t xml:space="preserve"> </w:t>
              </w:r>
              <w:r w:rsidRPr="00C77719">
                <w:rPr>
                  <w:rFonts w:ascii="Arial" w:eastAsia="Calibri" w:hAnsi="Arial" w:cs="Arial"/>
                  <w:lang w:val="pt-PT" w:eastAsia="en-US"/>
                </w:rPr>
                <w:t xml:space="preserve">da </w:t>
              </w:r>
              <w:r w:rsidR="003E2EE3" w:rsidRPr="00C77719">
                <w:rPr>
                  <w:rFonts w:ascii="Arial" w:eastAsia="Calibri" w:hAnsi="Arial" w:cs="Arial"/>
                  <w:lang w:val="pt-PT" w:eastAsia="en-US"/>
                </w:rPr>
                <w:t>Robert Parker Wine Advocate seleciona</w:t>
              </w:r>
              <w:r w:rsidRPr="00C77719">
                <w:rPr>
                  <w:rFonts w:ascii="Arial" w:eastAsia="Calibri" w:hAnsi="Arial" w:cs="Arial"/>
                  <w:lang w:val="pt-PT" w:eastAsia="en-US"/>
                </w:rPr>
                <w:t>ram</w:t>
              </w:r>
              <w:r w:rsidR="00C42295" w:rsidRPr="00C77719">
                <w:rPr>
                  <w:rFonts w:ascii="Arial" w:eastAsia="Calibri" w:hAnsi="Arial" w:cs="Arial"/>
                  <w:lang w:val="pt-PT" w:eastAsia="en-US"/>
                </w:rPr>
                <w:t xml:space="preserve">, em </w:t>
              </w:r>
              <w:r w:rsidR="003E2EE3" w:rsidRPr="00C77719">
                <w:rPr>
                  <w:rFonts w:ascii="Arial" w:eastAsia="Calibri" w:hAnsi="Arial" w:cs="Arial"/>
                  <w:lang w:val="pt-PT" w:eastAsia="en-US"/>
                </w:rPr>
                <w:t>2022</w:t>
              </w:r>
              <w:r w:rsidR="00C42295" w:rsidRPr="00C77719">
                <w:rPr>
                  <w:rFonts w:ascii="Arial" w:eastAsia="Calibri" w:hAnsi="Arial" w:cs="Arial"/>
                  <w:lang w:val="pt-PT" w:eastAsia="en-US"/>
                </w:rPr>
                <w:t xml:space="preserve">, </w:t>
              </w:r>
              <w:r w:rsidR="003E2EE3" w:rsidRPr="00C77719">
                <w:rPr>
                  <w:rFonts w:ascii="Arial" w:eastAsia="Calibri" w:hAnsi="Arial" w:cs="Arial"/>
                  <w:lang w:val="pt-PT" w:eastAsia="en-US"/>
                </w:rPr>
                <w:t xml:space="preserve">nada menos </w:t>
              </w:r>
              <w:r w:rsidR="00C42295" w:rsidRPr="00C77719">
                <w:rPr>
                  <w:rFonts w:ascii="Arial" w:eastAsia="Calibri" w:hAnsi="Arial" w:cs="Arial"/>
                  <w:lang w:val="pt-PT" w:eastAsia="en-US"/>
                </w:rPr>
                <w:t xml:space="preserve">do </w:t>
              </w:r>
              <w:r w:rsidR="003E2EE3" w:rsidRPr="00C77719">
                <w:rPr>
                  <w:rFonts w:ascii="Arial" w:eastAsia="Calibri" w:hAnsi="Arial" w:cs="Arial"/>
                  <w:lang w:val="pt-PT" w:eastAsia="en-US"/>
                </w:rPr>
                <w:t xml:space="preserve">que 16 inspiradoras </w:t>
              </w:r>
              <w:r w:rsidR="00C42295" w:rsidRPr="00C77719">
                <w:rPr>
                  <w:rFonts w:ascii="Arial" w:eastAsia="Calibri" w:hAnsi="Arial" w:cs="Arial"/>
                  <w:lang w:val="pt-PT" w:eastAsia="en-US"/>
                </w:rPr>
                <w:t>a</w:t>
              </w:r>
              <w:r w:rsidR="003E2EE3" w:rsidRPr="00C77719">
                <w:rPr>
                  <w:rFonts w:ascii="Arial" w:eastAsia="Calibri" w:hAnsi="Arial" w:cs="Arial"/>
                  <w:lang w:val="pt-PT" w:eastAsia="en-US"/>
                </w:rPr>
                <w:t>degas p</w:t>
              </w:r>
              <w:r w:rsidR="00C42295" w:rsidRPr="00C77719">
                <w:rPr>
                  <w:rFonts w:ascii="Arial" w:eastAsia="Calibri" w:hAnsi="Arial" w:cs="Arial"/>
                  <w:lang w:val="pt-PT" w:eastAsia="en-US"/>
                </w:rPr>
                <w:t>ela sua abordagem sustentável d</w:t>
              </w:r>
              <w:r w:rsidR="003E2EE3" w:rsidRPr="00C77719">
                <w:rPr>
                  <w:rFonts w:ascii="Arial" w:eastAsia="Calibri" w:hAnsi="Arial" w:cs="Arial"/>
                  <w:lang w:val="pt-PT" w:eastAsia="en-US"/>
                </w:rPr>
                <w:t>a atividad</w:t>
              </w:r>
              <w:r w:rsidR="00C42295" w:rsidRPr="00C77719">
                <w:rPr>
                  <w:rFonts w:ascii="Arial" w:eastAsia="Calibri" w:hAnsi="Arial" w:cs="Arial"/>
                  <w:lang w:val="pt-PT" w:eastAsia="en-US"/>
                </w:rPr>
                <w:t xml:space="preserve">e </w:t>
              </w:r>
              <w:r w:rsidR="003E2EE3" w:rsidRPr="00C77719">
                <w:rPr>
                  <w:rFonts w:ascii="Arial" w:eastAsia="Calibri" w:hAnsi="Arial" w:cs="Arial"/>
                  <w:lang w:val="pt-PT" w:eastAsia="en-US"/>
                </w:rPr>
                <w:t>vitivinícola</w:t>
              </w:r>
            </w:p>
            <w:p w14:paraId="591D584B" w14:textId="356207FA" w:rsidR="003E2EE3" w:rsidRPr="00C77719" w:rsidRDefault="00C42295" w:rsidP="003E2EE3">
              <w:pPr>
                <w:pStyle w:val="Prrafodelista"/>
                <w:numPr>
                  <w:ilvl w:val="0"/>
                  <w:numId w:val="1"/>
                </w:numPr>
                <w:jc w:val="both"/>
                <w:rPr>
                  <w:rFonts w:ascii="Arial" w:eastAsia="Calibri" w:hAnsi="Arial" w:cs="Arial"/>
                  <w:lang w:val="pt-PT"/>
                </w:rPr>
              </w:pPr>
              <w:r w:rsidRPr="00C77719">
                <w:rPr>
                  <w:rFonts w:ascii="Arial" w:eastAsia="Calibri" w:hAnsi="Arial" w:cs="Arial"/>
                  <w:lang w:val="pt-PT" w:eastAsia="en-US"/>
                </w:rPr>
                <w:t>No</w:t>
              </w:r>
              <w:r w:rsidR="003E2EE3" w:rsidRPr="00C77719">
                <w:rPr>
                  <w:rFonts w:ascii="Arial" w:eastAsia="Calibri" w:hAnsi="Arial" w:cs="Arial"/>
                  <w:lang w:val="pt-PT" w:eastAsia="en-US"/>
                </w:rPr>
                <w:t xml:space="preserve">vas </w:t>
              </w:r>
              <w:r w:rsidRPr="00C77719">
                <w:rPr>
                  <w:rFonts w:ascii="Arial" w:eastAsia="Calibri" w:hAnsi="Arial" w:cs="Arial"/>
                  <w:lang w:val="pt-PT" w:eastAsia="en-US"/>
                </w:rPr>
                <w:t>a</w:t>
              </w:r>
              <w:r w:rsidR="003E2EE3" w:rsidRPr="00C77719">
                <w:rPr>
                  <w:rFonts w:ascii="Arial" w:eastAsia="Calibri" w:hAnsi="Arial" w:cs="Arial"/>
                  <w:lang w:val="pt-PT" w:eastAsia="en-US"/>
                </w:rPr>
                <w:t xml:space="preserve">degas </w:t>
              </w:r>
              <w:r w:rsidRPr="00C77719">
                <w:rPr>
                  <w:rFonts w:ascii="Arial" w:eastAsia="Calibri" w:hAnsi="Arial" w:cs="Arial"/>
                  <w:lang w:val="pt-PT" w:eastAsia="en-US"/>
                </w:rPr>
                <w:t xml:space="preserve">juntam-se às </w:t>
              </w:r>
              <w:r w:rsidR="003E2EE3" w:rsidRPr="00C77719">
                <w:rPr>
                  <w:rFonts w:ascii="Arial" w:eastAsia="Calibri" w:hAnsi="Arial" w:cs="Arial"/>
                  <w:lang w:val="pt-PT" w:eastAsia="en-US"/>
                </w:rPr>
                <w:t>24 recon</w:t>
              </w:r>
              <w:r w:rsidRPr="00C77719">
                <w:rPr>
                  <w:rFonts w:ascii="Arial" w:eastAsia="Calibri" w:hAnsi="Arial" w:cs="Arial"/>
                  <w:lang w:val="pt-PT" w:eastAsia="en-US"/>
                </w:rPr>
                <w:t>he</w:t>
              </w:r>
              <w:r w:rsidR="003E2EE3" w:rsidRPr="00C77719">
                <w:rPr>
                  <w:rFonts w:ascii="Arial" w:eastAsia="Calibri" w:hAnsi="Arial" w:cs="Arial"/>
                  <w:lang w:val="pt-PT" w:eastAsia="en-US"/>
                </w:rPr>
                <w:t xml:space="preserve">cidas </w:t>
              </w:r>
              <w:r w:rsidRPr="00C77719">
                <w:rPr>
                  <w:rFonts w:ascii="Arial" w:eastAsia="Calibri" w:hAnsi="Arial" w:cs="Arial"/>
                  <w:lang w:val="pt-PT" w:eastAsia="en-US"/>
                </w:rPr>
                <w:t>n</w:t>
              </w:r>
              <w:r w:rsidR="003E2EE3" w:rsidRPr="00C77719">
                <w:rPr>
                  <w:rFonts w:ascii="Arial" w:eastAsia="Calibri" w:hAnsi="Arial" w:cs="Arial"/>
                  <w:lang w:val="pt-PT" w:eastAsia="en-US"/>
                </w:rPr>
                <w:t>a lista inaugural de 2021, que inclu</w:t>
              </w:r>
              <w:r w:rsidRPr="00C77719">
                <w:rPr>
                  <w:rFonts w:ascii="Arial" w:eastAsia="Calibri" w:hAnsi="Arial" w:cs="Arial"/>
                  <w:lang w:val="pt-PT" w:eastAsia="en-US"/>
                </w:rPr>
                <w:t xml:space="preserve">i </w:t>
              </w:r>
              <w:r w:rsidR="003E2EE3" w:rsidRPr="00C77719">
                <w:rPr>
                  <w:rFonts w:ascii="Arial" w:eastAsia="Calibri" w:hAnsi="Arial" w:cs="Arial"/>
                  <w:lang w:val="pt-PT" w:eastAsia="en-US"/>
                </w:rPr>
                <w:t>2 e</w:t>
              </w:r>
              <w:r w:rsidRPr="00C77719">
                <w:rPr>
                  <w:rFonts w:ascii="Arial" w:eastAsia="Calibri" w:hAnsi="Arial" w:cs="Arial"/>
                  <w:lang w:val="pt-PT" w:eastAsia="en-US"/>
                </w:rPr>
                <w:t xml:space="preserve">m Portugal e </w:t>
              </w:r>
              <w:r w:rsidR="003E2EE3" w:rsidRPr="00C77719">
                <w:rPr>
                  <w:rFonts w:ascii="Arial" w:eastAsia="Calibri" w:hAnsi="Arial" w:cs="Arial"/>
                  <w:lang w:val="pt-PT" w:eastAsia="en-US"/>
                </w:rPr>
                <w:t>2 e</w:t>
              </w:r>
              <w:r w:rsidRPr="00C77719">
                <w:rPr>
                  <w:rFonts w:ascii="Arial" w:eastAsia="Calibri" w:hAnsi="Arial" w:cs="Arial"/>
                  <w:lang w:val="pt-PT" w:eastAsia="en-US"/>
                </w:rPr>
                <w:t>m Espanha</w:t>
              </w:r>
            </w:p>
            <w:p w14:paraId="0AA091D6" w14:textId="77777777" w:rsidR="003E2EE3" w:rsidRPr="00C77719" w:rsidRDefault="003E2EE3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74F5B375" w14:textId="77777777" w:rsidR="003E2EE3" w:rsidRPr="00C77719" w:rsidRDefault="003E2EE3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611C278C" w14:textId="74A73439" w:rsidR="003E2EE3" w:rsidRPr="00C77719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2021, 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Robert Parker Wine Advocate 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tornou-se no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prime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iro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espa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ç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o especializado na crítica de vin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ho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 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 capacitar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os amantes d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vin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h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que 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procuram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vin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h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os 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sustentáveis com uma série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de inova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çõ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es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editoria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i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s. 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As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me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lh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or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i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as 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no seu website incluíram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n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o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vos filtros de b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u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s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ca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para vin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h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os 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orgânicos e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biodinâmicos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certificados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,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 foi, igualmente,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introdu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zido o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Green Emblem: u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recon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he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cimento 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atribuído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 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degas selecionadas</w:t>
              </w:r>
              <w:r w:rsidR="00F5013F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,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que tenham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demo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n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str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ado levar a cabo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esf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orç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os </w:t>
              </w:r>
              <w:r w:rsidR="00C42295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extraordinários na procura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de práticas respe</w:t>
              </w:r>
              <w:r w:rsidR="00F5013F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itadoras do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meio ambiente.</w:t>
              </w:r>
            </w:p>
            <w:p w14:paraId="1025FE94" w14:textId="77777777" w:rsidR="003E2EE3" w:rsidRPr="00C77719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42A30983" w14:textId="594634AC" w:rsidR="002E5E37" w:rsidRPr="00C77719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bookmarkStart w:id="0" w:name="_GoBack"/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“Co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m 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a cre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s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c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e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nte 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procura, por parte 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de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sses 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consumidores apai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x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onados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, 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p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or 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vin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h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os que s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ão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 elaborados de forma 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mais sustentável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, 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a nossa 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iniciativa Green Emblem t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em por 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objetivo destacar os 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vitivinicultores 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que 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deram mostras dos 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s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e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us 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esforços extraordinários para 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levar a cabo u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ma 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viticultura 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mais amiga do 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ambiente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, 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f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a</w:t>
              </w:r>
              <w:r w:rsidR="008B7626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c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e 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aos 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desafios 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climáticos que nos 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envolvem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. 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A 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ambi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ção 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d</w:t>
              </w:r>
              <w:r w:rsidR="00F5013F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a nossa abordagem é 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ampli</w:t>
              </w:r>
              <w:r w:rsidR="008B7626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fic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ar </w:t>
              </w:r>
              <w:r w:rsidR="008B7626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e 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destacar </w:t>
              </w:r>
              <w:r w:rsidR="008B7626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as 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práticas </w:t>
              </w:r>
              <w:r w:rsidR="008B7626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sustentáveis nas a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degas</w:t>
              </w:r>
              <w:r w:rsidR="008B7626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, colocando-as no 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centro d</w:t>
              </w:r>
              <w:r w:rsidR="008B7626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as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 xml:space="preserve"> aten</w:t>
              </w:r>
              <w:r w:rsidR="008B7626"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ções</w:t>
              </w:r>
              <w:r w:rsidRPr="003B5490">
                <w:rPr>
                  <w:rFonts w:ascii="Arial" w:hAnsi="Arial" w:cs="Arial"/>
                  <w:i/>
                  <w:sz w:val="20"/>
                  <w:szCs w:val="20"/>
                  <w:lang w:val="pt-PT"/>
                </w:rPr>
                <w:t>”</w:t>
              </w:r>
              <w:bookmarkEnd w:id="0"/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, explica Joe Czerwinski, Diretor Editorial d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Robert Parker Wine Advocate.</w:t>
              </w:r>
            </w:p>
            <w:p w14:paraId="65122E68" w14:textId="77777777" w:rsidR="003E2EE3" w:rsidRPr="00C77719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3299D755" w14:textId="6A00BD36" w:rsidR="003E2EE3" w:rsidRPr="00C77719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</w:pPr>
              <w:r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>Robert Parker Green Emblem: u</w:t>
              </w:r>
              <w:r w:rsidR="008B7626"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>m</w:t>
              </w:r>
              <w:r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 xml:space="preserve"> recon</w:t>
              </w:r>
              <w:r w:rsidR="008B7626"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>he</w:t>
              </w:r>
              <w:r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 xml:space="preserve">cimento dedicado </w:t>
              </w:r>
              <w:r w:rsidR="008B7626"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>às a</w:t>
              </w:r>
              <w:r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>degas inspiradoras</w:t>
              </w:r>
            </w:p>
            <w:p w14:paraId="73C9DD3E" w14:textId="77777777" w:rsidR="003E2EE3" w:rsidRPr="00C77719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</w:pPr>
            </w:p>
            <w:p w14:paraId="058B423F" w14:textId="37B12C31" w:rsidR="003E2EE3" w:rsidRPr="00C77719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Para 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qualificar-se para o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pr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é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mio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Green Emblem, u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ma a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dega p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o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de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o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u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n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ã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o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estar certificada como 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orgânica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/o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u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biodinâmica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. 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Para além d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a certifica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ção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produtor 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necessita de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ser u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destacado defensor da s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u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sten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ta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bilidad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e,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que se preocupa, 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no longo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p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r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azo, 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com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a prote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ção do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meio ambiente 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 da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biodiversidad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. 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A c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ada a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n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o, 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os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inspetores 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especializados da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Robert Parker Wine Advocate nom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eiam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n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o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vos candidatos d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as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su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s regi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ões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que 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são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merece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dores do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Robert Parker Green Emblem. 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Uma vez que uma a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dega 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seja reconhecida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todos 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os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s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us vin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h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os 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ostentam, a partir de então, o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Robert Parker Green Emblem, 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até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que 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eventuais alterações na a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dega p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ossam resultar na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rescis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ão do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recon</w:t>
              </w:r>
              <w:r w:rsidR="008B7626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he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cimento.</w:t>
              </w:r>
            </w:p>
            <w:p w14:paraId="2DC4C790" w14:textId="77777777" w:rsidR="003E2EE3" w:rsidRPr="00C77719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136E6191" w14:textId="22463D0F" w:rsidR="003E2EE3" w:rsidRPr="00C77719" w:rsidRDefault="008B7626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</w:pPr>
              <w:r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 xml:space="preserve">De Portugal, </w:t>
              </w:r>
              <w:r w:rsidR="003E2EE3"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>Espa</w:t>
              </w:r>
              <w:r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>nh</w:t>
              </w:r>
              <w:r w:rsidR="003E2EE3"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>a, Fran</w:t>
              </w:r>
              <w:r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 xml:space="preserve">ça ou </w:t>
              </w:r>
              <w:r w:rsidR="003E2EE3"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>It</w:t>
              </w:r>
              <w:r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>á</w:t>
              </w:r>
              <w:r w:rsidR="003E2EE3"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>lia: inspira</w:t>
              </w:r>
              <w:r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 xml:space="preserve">ções sustentáveis em </w:t>
              </w:r>
              <w:r w:rsidR="003E2EE3"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>toda</w:t>
              </w:r>
              <w:r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 xml:space="preserve"> a </w:t>
              </w:r>
              <w:r w:rsidR="003E2EE3"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>parte</w:t>
              </w:r>
            </w:p>
            <w:p w14:paraId="226A246B" w14:textId="77777777" w:rsidR="003E2EE3" w:rsidRPr="00C77719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</w:pPr>
            </w:p>
            <w:p w14:paraId="77486D65" w14:textId="1F9DB841" w:rsidR="003E2EE3" w:rsidRPr="00C77719" w:rsidRDefault="008B7626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degas recon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he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cidas deste a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no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impre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s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siona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ram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os e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specialistas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d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Robert Parker Wine Advocate p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la amplitud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e,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magnitud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 e profundidade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d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as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práticas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sustentáveis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que se des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envolvem e destacam nos seus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campos. Destas 16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degas excecionalmente inspiradoras,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situadas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7 países, p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o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de destacar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-se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 </w:t>
              </w:r>
              <w:r w:rsidR="003E2EE3"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>Château Maris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, e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Languedoc, Fran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ç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a.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É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a prime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i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ra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dega co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certificado B-Corp d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Europa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, e uma d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as 26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em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todo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mundo. </w:t>
              </w:r>
              <w:r w:rsidR="00CA4DA9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edifica</w:t>
              </w:r>
              <w:r w:rsidR="00CA4DA9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ção é construída em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"c</w:t>
              </w:r>
              <w:r w:rsidR="00CA4DA9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ânh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amo" </w:t>
              </w:r>
              <w:r w:rsidR="00CA4DA9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à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base de plantas</w:t>
              </w:r>
              <w:r w:rsidR="00CA4DA9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e é energeticamente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auto</w:t>
              </w:r>
              <w:r w:rsidR="00CA4DA9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s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suficiente, biodegrad</w:t>
              </w:r>
              <w:r w:rsidR="00CA4DA9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ável e negativa em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carbono.</w:t>
              </w:r>
            </w:p>
            <w:p w14:paraId="15D2860B" w14:textId="77777777" w:rsidR="003E2EE3" w:rsidRPr="00C77719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50262A5B" w14:textId="5285C0A1" w:rsidR="003E2EE3" w:rsidRPr="00C77719" w:rsidRDefault="00CA4DA9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Em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It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á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lia est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ão a </w:t>
              </w:r>
              <w:r w:rsidR="003E2EE3"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>Avignonesi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na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Toscana, que implement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ou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múltipl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o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s protocolos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de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conserva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ção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;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 </w:t>
              </w:r>
              <w:r w:rsidR="003E2EE3"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>E. Pira &amp; Figli – Chiara Boschis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, e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Barolo,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propôs-se fazer o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Cannubi MGA completamente org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â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nico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e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certificado;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e </w:t>
              </w:r>
              <w:r w:rsidR="003E2EE3" w:rsidRPr="00C77719">
                <w:rPr>
                  <w:rFonts w:ascii="Arial" w:hAnsi="Arial" w:cs="Arial"/>
                  <w:b/>
                  <w:sz w:val="20"/>
                  <w:szCs w:val="20"/>
                  <w:lang w:val="pt-PT"/>
                </w:rPr>
                <w:t>Arianna Occhipinti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, a jove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humanista co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m a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dega homónima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que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present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ou a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su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a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própria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vis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ão d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a viticultura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orgânica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,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biodinâmica e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sustentável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.</w:t>
              </w:r>
            </w:p>
            <w:p w14:paraId="5ABEB650" w14:textId="77777777" w:rsidR="003E2EE3" w:rsidRPr="00C77719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bCs/>
                  <w:sz w:val="20"/>
                  <w:szCs w:val="20"/>
                  <w:lang w:val="pt-PT"/>
                </w:rPr>
              </w:pPr>
            </w:p>
            <w:p w14:paraId="6164FFFD" w14:textId="021E3513" w:rsidR="003E2EE3" w:rsidRPr="00C77719" w:rsidRDefault="00CA4DA9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Cs/>
                  <w:sz w:val="20"/>
                  <w:szCs w:val="20"/>
                  <w:lang w:val="pt-PT"/>
                </w:rPr>
              </w:pPr>
              <w:r w:rsidRPr="00C77719">
                <w:rPr>
                  <w:rFonts w:ascii="Arial" w:hAnsi="Arial" w:cs="Arial"/>
                  <w:bCs/>
                  <w:sz w:val="20"/>
                  <w:szCs w:val="20"/>
                  <w:lang w:val="pt-PT"/>
                </w:rPr>
                <w:t>O</w:t>
              </w:r>
              <w:r w:rsidR="003E2EE3" w:rsidRPr="00C77719">
                <w:rPr>
                  <w:rFonts w:ascii="Arial" w:hAnsi="Arial" w:cs="Arial"/>
                  <w:bCs/>
                  <w:sz w:val="20"/>
                  <w:szCs w:val="20"/>
                  <w:lang w:val="pt-PT"/>
                </w:rPr>
                <w:t>s inspetores d</w:t>
              </w:r>
              <w:r w:rsidRPr="00C77719">
                <w:rPr>
                  <w:rFonts w:ascii="Arial" w:hAnsi="Arial" w:cs="Arial"/>
                  <w:bCs/>
                  <w:sz w:val="20"/>
                  <w:szCs w:val="20"/>
                  <w:lang w:val="pt-PT"/>
                </w:rPr>
                <w:t>a</w:t>
              </w:r>
              <w:r w:rsidR="003E2EE3" w:rsidRPr="00C77719">
                <w:rPr>
                  <w:rFonts w:ascii="Arial" w:hAnsi="Arial" w:cs="Arial"/>
                  <w:bCs/>
                  <w:sz w:val="20"/>
                  <w:szCs w:val="20"/>
                  <w:lang w:val="pt-PT"/>
                </w:rPr>
                <w:t xml:space="preserve"> </w:t>
              </w:r>
              <w:r w:rsidR="003E2EE3"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>Robert Parker Wine Advocate també</w:t>
              </w:r>
              <w:r w:rsidRPr="00C77719">
                <w:rPr>
                  <w:rFonts w:ascii="Arial" w:hAnsi="Arial" w:cs="Arial"/>
                  <w:sz w:val="20"/>
                  <w:szCs w:val="20"/>
                  <w:lang w:val="pt-PT"/>
                </w:rPr>
                <w:t xml:space="preserve">m atribuíram o </w:t>
              </w:r>
              <w:r w:rsidR="003E2EE3" w:rsidRPr="00C77719">
                <w:rPr>
                  <w:rFonts w:ascii="Arial" w:hAnsi="Arial" w:cs="Arial"/>
                  <w:bCs/>
                  <w:sz w:val="20"/>
                  <w:szCs w:val="20"/>
                  <w:lang w:val="pt-PT"/>
                </w:rPr>
                <w:t>Green Emblem a d</w:t>
              </w:r>
              <w:r w:rsidRPr="00C77719">
                <w:rPr>
                  <w:rFonts w:ascii="Arial" w:hAnsi="Arial" w:cs="Arial"/>
                  <w:bCs/>
                  <w:sz w:val="20"/>
                  <w:szCs w:val="20"/>
                  <w:lang w:val="pt-PT"/>
                </w:rPr>
                <w:t>ua</w:t>
              </w:r>
              <w:r w:rsidR="003E2EE3" w:rsidRPr="00C77719">
                <w:rPr>
                  <w:rFonts w:ascii="Arial" w:hAnsi="Arial" w:cs="Arial"/>
                  <w:bCs/>
                  <w:sz w:val="20"/>
                  <w:szCs w:val="20"/>
                  <w:lang w:val="pt-PT"/>
                </w:rPr>
                <w:t xml:space="preserve">s </w:t>
              </w:r>
              <w:r w:rsidRPr="00C77719">
                <w:rPr>
                  <w:rFonts w:ascii="Arial" w:hAnsi="Arial" w:cs="Arial"/>
                  <w:bCs/>
                  <w:sz w:val="20"/>
                  <w:szCs w:val="20"/>
                  <w:lang w:val="pt-PT"/>
                </w:rPr>
                <w:t>a</w:t>
              </w:r>
              <w:r w:rsidR="003E2EE3" w:rsidRPr="00C77719">
                <w:rPr>
                  <w:rFonts w:ascii="Arial" w:hAnsi="Arial" w:cs="Arial"/>
                  <w:bCs/>
                  <w:sz w:val="20"/>
                  <w:szCs w:val="20"/>
                  <w:lang w:val="pt-PT"/>
                </w:rPr>
                <w:t>degas portuguesas</w:t>
              </w:r>
              <w:r w:rsidRPr="00C77719">
                <w:rPr>
                  <w:rFonts w:ascii="Arial" w:hAnsi="Arial" w:cs="Arial"/>
                  <w:bCs/>
                  <w:sz w:val="20"/>
                  <w:szCs w:val="20"/>
                  <w:lang w:val="pt-PT"/>
                </w:rPr>
                <w:t xml:space="preserve"> e a uma </w:t>
              </w:r>
              <w:r w:rsidR="003E2EE3" w:rsidRPr="00C77719">
                <w:rPr>
                  <w:rFonts w:ascii="Arial" w:hAnsi="Arial" w:cs="Arial"/>
                  <w:bCs/>
                  <w:sz w:val="20"/>
                  <w:szCs w:val="20"/>
                  <w:lang w:val="pt-PT"/>
                </w:rPr>
                <w:t>espa</w:t>
              </w:r>
              <w:r w:rsidRPr="00C77719">
                <w:rPr>
                  <w:rFonts w:ascii="Arial" w:hAnsi="Arial" w:cs="Arial"/>
                  <w:bCs/>
                  <w:sz w:val="20"/>
                  <w:szCs w:val="20"/>
                  <w:lang w:val="pt-PT"/>
                </w:rPr>
                <w:t>nh</w:t>
              </w:r>
              <w:r w:rsidR="003E2EE3" w:rsidRPr="00C77719">
                <w:rPr>
                  <w:rFonts w:ascii="Arial" w:hAnsi="Arial" w:cs="Arial"/>
                  <w:bCs/>
                  <w:sz w:val="20"/>
                  <w:szCs w:val="20"/>
                  <w:lang w:val="pt-PT"/>
                </w:rPr>
                <w:t>ola:</w:t>
              </w:r>
            </w:p>
            <w:p w14:paraId="486D127C" w14:textId="77777777" w:rsidR="003E2EE3" w:rsidRPr="00C77719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Cs/>
                  <w:sz w:val="20"/>
                  <w:szCs w:val="20"/>
                  <w:lang w:val="pt-PT"/>
                </w:rPr>
              </w:pPr>
            </w:p>
            <w:p w14:paraId="1C52E96D" w14:textId="3825C07A" w:rsidR="003E2EE3" w:rsidRPr="00C77719" w:rsidRDefault="003E2EE3" w:rsidP="003E2EE3">
              <w:pPr>
                <w:pStyle w:val="Prrafodelista"/>
                <w:numPr>
                  <w:ilvl w:val="0"/>
                  <w:numId w:val="2"/>
                </w:numPr>
                <w:spacing w:line="276" w:lineRule="auto"/>
                <w:ind w:right="-46"/>
                <w:jc w:val="both"/>
                <w:rPr>
                  <w:rFonts w:ascii="Arial" w:hAnsi="Arial" w:cs="Arial"/>
                  <w:bCs/>
                  <w:lang w:val="pt-PT"/>
                </w:rPr>
              </w:pPr>
              <w:r w:rsidRPr="00C77719">
                <w:rPr>
                  <w:rFonts w:ascii="Arial" w:hAnsi="Arial" w:cs="Arial"/>
                  <w:b/>
                  <w:bCs/>
                  <w:lang w:val="pt-PT"/>
                </w:rPr>
                <w:t>Herdade do Esporão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: situado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no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 Alentejo, Portugal,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é um d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os ma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i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ores produtores de vin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h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os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orgânicos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certificados d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o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mundo.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D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irigid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por João Roquette, da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família proprietária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, c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o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nta co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m um total de mais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de 778 hect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a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res, d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os quais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673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ocupados por videiras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,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quase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todas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orgânicas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 certificadas.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No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con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junto das suas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prop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r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iedades s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ão levadas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a cabo iniciativas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sustentáveis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sobre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o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uso d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a á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gua,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a utilização da energia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,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as embalagens ou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a m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ão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de obra local.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O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lema d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o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Esporão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é o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de “redu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z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ir, reutilizar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e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 reciclar”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, e os seus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esf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orços já foram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recompensados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no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Gu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i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a MICHELIN Espa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nh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a y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e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 Portugal 2022, cu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ja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sele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ção elegeu o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s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e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u restaurante Esporão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,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e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recon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heceu-o com uma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Estrela Verde MICHELIN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e uma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Estrela MICHELIN.</w:t>
              </w:r>
            </w:p>
            <w:p w14:paraId="33D1B651" w14:textId="77777777" w:rsidR="003E2EE3" w:rsidRPr="00C77719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Cs/>
                  <w:sz w:val="20"/>
                  <w:szCs w:val="20"/>
                  <w:lang w:val="pt-PT"/>
                </w:rPr>
              </w:pPr>
            </w:p>
            <w:p w14:paraId="0F4C125A" w14:textId="4ED05A63" w:rsidR="003E2EE3" w:rsidRPr="00C77719" w:rsidRDefault="003E2EE3" w:rsidP="003E2EE3">
              <w:pPr>
                <w:pStyle w:val="Prrafodelista"/>
                <w:numPr>
                  <w:ilvl w:val="0"/>
                  <w:numId w:val="2"/>
                </w:numPr>
                <w:spacing w:line="276" w:lineRule="auto"/>
                <w:ind w:right="-46"/>
                <w:jc w:val="both"/>
                <w:rPr>
                  <w:rFonts w:ascii="Arial" w:hAnsi="Arial" w:cs="Arial"/>
                  <w:bCs/>
                  <w:lang w:val="pt-PT"/>
                </w:rPr>
              </w:pPr>
              <w:r w:rsidRPr="00C77719">
                <w:rPr>
                  <w:rFonts w:ascii="Arial" w:hAnsi="Arial" w:cs="Arial"/>
                  <w:b/>
                  <w:bCs/>
                  <w:lang w:val="pt-PT"/>
                </w:rPr>
                <w:t>Julia Kemper Wines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: os vi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nh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edos enc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o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ntra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m-se n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a regi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ão do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Dão, Portugal,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e foi em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2003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que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Julia Kemper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tomou a seu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cargo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Quinta do Cruzeiro, que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tinha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sido prop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r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iedad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e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 d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a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 su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a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família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durante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séculos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. Desde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su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a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ch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egada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, Julia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Kemper quis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reconvert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der e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reestruturar a Quinta por “respe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i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to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às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pe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s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soas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e ao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planeta Terra”,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e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consult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ou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especialistas franceses para levar a cabo u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m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estudo exaustivo dos s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o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los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e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 climas d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os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s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e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us vi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nh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edos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,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para adaptar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-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se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às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preocupa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çõ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es biológicas d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o século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XXI.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Deste modo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,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foram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implement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ados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peque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n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os detal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h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es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todos os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níveis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, de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pil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h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as de compost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agem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casas de pá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ssa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ros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, passando pela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gest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ão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de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á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guas residua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>i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s, 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até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que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, em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2008</w:t>
              </w:r>
              <w:r w:rsidR="00CA4DA9" w:rsidRPr="00C77719">
                <w:rPr>
                  <w:rFonts w:ascii="Arial" w:hAnsi="Arial" w:cs="Arial"/>
                  <w:bCs/>
                  <w:lang w:val="pt-PT"/>
                </w:rPr>
                <w:t xml:space="preserve">, chegou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a prime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i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ra co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lheita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. Desde ent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ã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o, toda a produ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ção é orgânica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certificada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, e 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Quinta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é biodinâmica, embora não esteja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certificada como tal.</w:t>
              </w:r>
            </w:p>
            <w:p w14:paraId="7468C0C3" w14:textId="77777777" w:rsidR="003E2EE3" w:rsidRPr="00C77719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Cs/>
                  <w:sz w:val="20"/>
                  <w:szCs w:val="20"/>
                  <w:lang w:val="pt-PT"/>
                </w:rPr>
              </w:pPr>
            </w:p>
            <w:p w14:paraId="6BA973A8" w14:textId="2D54AFBC" w:rsidR="003E2EE3" w:rsidRPr="00C77719" w:rsidRDefault="003E2EE3" w:rsidP="003E2EE3">
              <w:pPr>
                <w:pStyle w:val="Prrafodelista"/>
                <w:numPr>
                  <w:ilvl w:val="0"/>
                  <w:numId w:val="2"/>
                </w:numPr>
                <w:spacing w:line="276" w:lineRule="auto"/>
                <w:ind w:right="-46"/>
                <w:jc w:val="both"/>
                <w:rPr>
                  <w:rFonts w:ascii="Arial" w:eastAsia="Arial" w:hAnsi="Arial" w:cs="Arial"/>
                  <w:bCs/>
                  <w:lang w:val="pt-PT"/>
                </w:rPr>
              </w:pPr>
              <w:r w:rsidRPr="00C77719">
                <w:rPr>
                  <w:rFonts w:ascii="Arial" w:hAnsi="Arial" w:cs="Arial"/>
                  <w:b/>
                  <w:bCs/>
                  <w:lang w:val="pt-PT"/>
                </w:rPr>
                <w:t>Recaredo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: co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m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 50 hect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a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res de vi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nh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edo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próprio,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situado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nas margens do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r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i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o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Bitlles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, no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Alto Penedés,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próximo das suas a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degas de Sant Sadurní d’Anoia (e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m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Barcelona),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Recaredo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é o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prime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i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r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o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 produtor de vin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h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o espum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ante em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Espa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nh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a. U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ma a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dega familiar, liderada por Toni Mata, que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começou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a traba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lh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ar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a vertente ecológica em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2004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 e,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 posteriormente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, a biodinâmica, em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2006, obt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endo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a certifica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ção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Demeter completa e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m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2010,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prime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i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ra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na sua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regi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ão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.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Para mais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,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apenas são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utiliza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das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variedades de uva autó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c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ton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e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s,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v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i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ndim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a d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a uva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é efetuada à mão, e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os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s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e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us vin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h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os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são envelhecidos durante um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mínimo de 30 meses co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m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as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borras na garrafa,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utilizando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para tal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u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ma rolha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natural.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Leva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a cabo u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ma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viticultura 100% ecológica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e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biodinâmica,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e a sua colheita é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100% manual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,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para defender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a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s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u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sten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ta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bilidad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e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 xml:space="preserve"> de todos 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 xml:space="preserve">os 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s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e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us proce</w:t>
              </w:r>
              <w:r w:rsidR="00976E3A" w:rsidRPr="00C77719">
                <w:rPr>
                  <w:rFonts w:ascii="Arial" w:hAnsi="Arial" w:cs="Arial"/>
                  <w:bCs/>
                  <w:lang w:val="pt-PT"/>
                </w:rPr>
                <w:t>s</w:t>
              </w:r>
              <w:r w:rsidRPr="00C77719">
                <w:rPr>
                  <w:rFonts w:ascii="Arial" w:hAnsi="Arial" w:cs="Arial"/>
                  <w:bCs/>
                  <w:lang w:val="pt-PT"/>
                </w:rPr>
                <w:t>sos.</w:t>
              </w:r>
            </w:p>
            <w:p w14:paraId="2F84D49C" w14:textId="77777777" w:rsidR="003E2EE3" w:rsidRPr="00C77719" w:rsidRDefault="003E2EE3" w:rsidP="003E2EE3">
              <w:pPr>
                <w:spacing w:line="276" w:lineRule="auto"/>
                <w:ind w:right="-46"/>
                <w:jc w:val="both"/>
                <w:rPr>
                  <w:rFonts w:ascii="Arial" w:eastAsia="Arial" w:hAnsi="Arial" w:cs="Arial"/>
                  <w:bCs/>
                  <w:lang w:val="pt-PT"/>
                </w:rPr>
              </w:pPr>
            </w:p>
            <w:p w14:paraId="4CEAF0C2" w14:textId="77777777" w:rsidR="003A2915" w:rsidRPr="00C77719" w:rsidRDefault="003A2915" w:rsidP="003E2EE3">
              <w:pPr>
                <w:spacing w:line="276" w:lineRule="auto"/>
                <w:ind w:right="-46"/>
                <w:jc w:val="both"/>
                <w:rPr>
                  <w:rFonts w:ascii="Arial" w:eastAsia="Arial" w:hAnsi="Arial" w:cs="Arial"/>
                  <w:bCs/>
                  <w:lang w:val="pt-PT"/>
                </w:rPr>
              </w:pPr>
            </w:p>
            <w:p w14:paraId="47EE6FEC" w14:textId="6532FC5B" w:rsidR="003E2EE3" w:rsidRPr="00C77719" w:rsidRDefault="003E2EE3" w:rsidP="003E2EE3">
              <w:pPr>
                <w:pStyle w:val="Prrafodelista"/>
                <w:ind w:left="0"/>
                <w:rPr>
                  <w:rFonts w:ascii="Arial" w:eastAsia="Arial" w:hAnsi="Arial" w:cs="Arial"/>
                  <w:bCs/>
                  <w:lang w:val="pt-PT"/>
                </w:rPr>
              </w:pPr>
              <w:r w:rsidRPr="00C77719">
                <w:rPr>
                  <w:rFonts w:ascii="Arial" w:eastAsia="Arial" w:hAnsi="Arial" w:cs="Arial"/>
                  <w:b/>
                  <w:bCs/>
                  <w:noProof/>
                  <w:sz w:val="22"/>
                  <w:szCs w:val="22"/>
                  <w:u w:val="single"/>
                  <w:lang w:val="es-ES_tradnl" w:eastAsia="es-ES_tradnl"/>
                </w:rPr>
                <w:drawing>
                  <wp:anchor distT="0" distB="0" distL="114300" distR="114300" simplePos="0" relativeHeight="251659264" behindDoc="1" locked="0" layoutInCell="1" allowOverlap="1" wp14:anchorId="504B156C" wp14:editId="1271B6F7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12065</wp:posOffset>
                    </wp:positionV>
                    <wp:extent cx="762000" cy="762000"/>
                    <wp:effectExtent l="0" t="0" r="0" b="0"/>
                    <wp:wrapTight wrapText="bothSides">
                      <wp:wrapPolygon edited="0">
                        <wp:start x="7560" y="0"/>
                        <wp:lineTo x="4320" y="2700"/>
                        <wp:lineTo x="0" y="7560"/>
                        <wp:lineTo x="0" y="11340"/>
                        <wp:lineTo x="3240" y="18360"/>
                        <wp:lineTo x="7560" y="21060"/>
                        <wp:lineTo x="13500" y="21060"/>
                        <wp:lineTo x="17820" y="18360"/>
                        <wp:lineTo x="21060" y="11340"/>
                        <wp:lineTo x="21060" y="7560"/>
                        <wp:lineTo x="16740" y="2700"/>
                        <wp:lineTo x="13500" y="0"/>
                        <wp:lineTo x="7560" y="0"/>
                      </wp:wrapPolygon>
                    </wp:wrapTight>
                    <wp:docPr id="4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2000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  <w:p w14:paraId="52D9C397" w14:textId="79F3FF11" w:rsidR="003E2EE3" w:rsidRPr="00C77719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Cs/>
                  <w:sz w:val="20"/>
                  <w:szCs w:val="20"/>
                  <w:lang w:val="pt-PT"/>
                </w:rPr>
              </w:pPr>
            </w:p>
            <w:p w14:paraId="36D637F0" w14:textId="1AC189E9" w:rsidR="003E2EE3" w:rsidRPr="00C77719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bCs/>
                  <w:sz w:val="20"/>
                  <w:szCs w:val="20"/>
                  <w:lang w:val="pt-PT"/>
                </w:rPr>
              </w:pPr>
              <w:r w:rsidRPr="00C77719">
                <w:rPr>
                  <w:rFonts w:ascii="Arial" w:hAnsi="Arial" w:cs="Arial"/>
                  <w:b/>
                  <w:bCs/>
                  <w:sz w:val="20"/>
                  <w:szCs w:val="20"/>
                  <w:lang w:val="pt-PT"/>
                </w:rPr>
                <w:t xml:space="preserve">Lista de </w:t>
              </w:r>
              <w:r w:rsidR="00976E3A" w:rsidRPr="00C77719">
                <w:rPr>
                  <w:rFonts w:ascii="Arial" w:hAnsi="Arial" w:cs="Arial"/>
                  <w:b/>
                  <w:bCs/>
                  <w:sz w:val="20"/>
                  <w:szCs w:val="20"/>
                  <w:lang w:val="pt-PT"/>
                </w:rPr>
                <w:t>a</w:t>
              </w:r>
              <w:r w:rsidRPr="00C77719">
                <w:rPr>
                  <w:rFonts w:ascii="Arial" w:hAnsi="Arial" w:cs="Arial"/>
                  <w:b/>
                  <w:bCs/>
                  <w:sz w:val="20"/>
                  <w:szCs w:val="20"/>
                  <w:lang w:val="pt-PT"/>
                </w:rPr>
                <w:t>degas co</w:t>
              </w:r>
              <w:r w:rsidR="00976E3A" w:rsidRPr="00C77719">
                <w:rPr>
                  <w:rFonts w:ascii="Arial" w:hAnsi="Arial" w:cs="Arial"/>
                  <w:b/>
                  <w:bCs/>
                  <w:sz w:val="20"/>
                  <w:szCs w:val="20"/>
                  <w:lang w:val="pt-PT"/>
                </w:rPr>
                <w:t xml:space="preserve">m o </w:t>
              </w:r>
              <w:r w:rsidRPr="00C77719">
                <w:rPr>
                  <w:rFonts w:ascii="Arial" w:hAnsi="Arial" w:cs="Arial"/>
                  <w:b/>
                  <w:bCs/>
                  <w:sz w:val="20"/>
                  <w:szCs w:val="20"/>
                  <w:lang w:val="pt-PT"/>
                </w:rPr>
                <w:t>Robert Parker Green Emblem:</w:t>
              </w:r>
            </w:p>
            <w:p w14:paraId="71289B54" w14:textId="77777777" w:rsidR="003E2EE3" w:rsidRPr="00C77719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6B9E5254" w14:textId="33C9587A" w:rsidR="00351D1D" w:rsidRPr="00C77719" w:rsidRDefault="00351D1D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bCs/>
                  <w:sz w:val="20"/>
                  <w:szCs w:val="20"/>
                  <w:lang w:val="pt-PT"/>
                </w:rPr>
              </w:pPr>
            </w:p>
            <w:p w14:paraId="7E157208" w14:textId="77777777" w:rsidR="009C47D4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258D51E6" w14:textId="77777777" w:rsidR="00854215" w:rsidRPr="00C77719" w:rsidRDefault="00854215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tbl>
              <w:tblPr>
                <w:tblStyle w:val="Tablaconcuadrcula"/>
                <w:tblW w:w="8930" w:type="dxa"/>
                <w:tblInd w:w="137" w:type="dxa"/>
                <w:tblLook w:val="04A0" w:firstRow="1" w:lastRow="0" w:firstColumn="1" w:lastColumn="0" w:noHBand="0" w:noVBand="1"/>
              </w:tblPr>
              <w:tblGrid>
                <w:gridCol w:w="3969"/>
                <w:gridCol w:w="4961"/>
              </w:tblGrid>
              <w:tr w:rsidR="003E2EE3" w:rsidRPr="00C77719" w14:paraId="217FF287" w14:textId="77777777" w:rsidTr="003E2EE3">
                <w:tc>
                  <w:tcPr>
                    <w:tcW w:w="3969" w:type="dxa"/>
                  </w:tcPr>
                  <w:p w14:paraId="7B308B86" w14:textId="5613C49B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Austr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á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lia (2)</w:t>
                    </w:r>
                  </w:p>
                </w:tc>
                <w:tc>
                  <w:tcPr>
                    <w:tcW w:w="4961" w:type="dxa"/>
                  </w:tcPr>
                  <w:p w14:paraId="106583DA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Cullen Wines</w:t>
                    </w:r>
                  </w:p>
                </w:tc>
              </w:tr>
              <w:tr w:rsidR="003E2EE3" w:rsidRPr="00C77719" w14:paraId="77DA3F71" w14:textId="77777777" w:rsidTr="003E2EE3">
                <w:tc>
                  <w:tcPr>
                    <w:tcW w:w="3969" w:type="dxa"/>
                  </w:tcPr>
                  <w:p w14:paraId="4487DE97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2B730D84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Henschke</w:t>
                    </w:r>
                  </w:p>
                </w:tc>
              </w:tr>
              <w:tr w:rsidR="003E2EE3" w:rsidRPr="00C77719" w14:paraId="69E51F6C" w14:textId="77777777" w:rsidTr="003E2EE3">
                <w:tc>
                  <w:tcPr>
                    <w:tcW w:w="3969" w:type="dxa"/>
                  </w:tcPr>
                  <w:p w14:paraId="0AC0BEA0" w14:textId="1A478AAB" w:rsidR="003E2EE3" w:rsidRPr="00C77719" w:rsidRDefault="00976E3A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Á</w:t>
                    </w:r>
                    <w:r w:rsidR="003E2EE3"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ustria (2)</w:t>
                    </w:r>
                  </w:p>
                </w:tc>
                <w:tc>
                  <w:tcPr>
                    <w:tcW w:w="4961" w:type="dxa"/>
                  </w:tcPr>
                  <w:p w14:paraId="1F5DBB3F" w14:textId="35421516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 xml:space="preserve">HM Lang 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(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n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o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va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)</w:t>
                    </w:r>
                  </w:p>
                </w:tc>
              </w:tr>
              <w:tr w:rsidR="003E2EE3" w:rsidRPr="00C77719" w14:paraId="436CB510" w14:textId="77777777" w:rsidTr="003E2EE3">
                <w:tc>
                  <w:tcPr>
                    <w:tcW w:w="3969" w:type="dxa"/>
                  </w:tcPr>
                  <w:p w14:paraId="15F373A3" w14:textId="0655E864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37A8024A" w14:textId="0EC421F1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Weingut Ernst Triebaumer</w:t>
                    </w:r>
                  </w:p>
                </w:tc>
              </w:tr>
              <w:tr w:rsidR="003E2EE3" w:rsidRPr="00C77719" w14:paraId="5FFF6D69" w14:textId="77777777" w:rsidTr="003E2EE3">
                <w:tc>
                  <w:tcPr>
                    <w:tcW w:w="3969" w:type="dxa"/>
                  </w:tcPr>
                  <w:p w14:paraId="031037CF" w14:textId="69E2D126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lastRenderedPageBreak/>
                      <w:t>Fran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ç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a (12)</w:t>
                    </w:r>
                  </w:p>
                </w:tc>
                <w:tc>
                  <w:tcPr>
                    <w:tcW w:w="4961" w:type="dxa"/>
                  </w:tcPr>
                  <w:p w14:paraId="2039AF1B" w14:textId="24D0C12F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Champagne Larmandier-Bernier</w:t>
                    </w:r>
                  </w:p>
                </w:tc>
              </w:tr>
              <w:tr w:rsidR="003E2EE3" w:rsidRPr="00C77719" w14:paraId="54F844DC" w14:textId="77777777" w:rsidTr="003E2EE3">
                <w:tc>
                  <w:tcPr>
                    <w:tcW w:w="3969" w:type="dxa"/>
                  </w:tcPr>
                  <w:p w14:paraId="65153460" w14:textId="778FFDCA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798741E7" w14:textId="785BFA54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 xml:space="preserve">Château Cheval Blanc 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(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n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o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va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)</w:t>
                    </w:r>
                  </w:p>
                </w:tc>
              </w:tr>
              <w:tr w:rsidR="003E2EE3" w:rsidRPr="00C77719" w14:paraId="36CABF75" w14:textId="77777777" w:rsidTr="003E2EE3">
                <w:tc>
                  <w:tcPr>
                    <w:tcW w:w="3969" w:type="dxa"/>
                  </w:tcPr>
                  <w:p w14:paraId="53769532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074680E0" w14:textId="41CBCC6A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 xml:space="preserve">Château Maris 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(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n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o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va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)</w:t>
                    </w:r>
                  </w:p>
                </w:tc>
              </w:tr>
              <w:tr w:rsidR="003E2EE3" w:rsidRPr="00C77719" w14:paraId="5C24D542" w14:textId="77777777" w:rsidTr="003E2EE3">
                <w:tc>
                  <w:tcPr>
                    <w:tcW w:w="3969" w:type="dxa"/>
                  </w:tcPr>
                  <w:p w14:paraId="1B1FBA2E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2B3645E9" w14:textId="662EE6F8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Château Pontet-Canet</w:t>
                    </w:r>
                  </w:p>
                </w:tc>
              </w:tr>
              <w:tr w:rsidR="003E2EE3" w:rsidRPr="00C77719" w14:paraId="24FD566A" w14:textId="77777777" w:rsidTr="003E2EE3">
                <w:tc>
                  <w:tcPr>
                    <w:tcW w:w="3969" w:type="dxa"/>
                  </w:tcPr>
                  <w:p w14:paraId="0C16281C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490D7990" w14:textId="60B5A9BB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 xml:space="preserve">Domaine Bruno Lorenzon </w:t>
                    </w:r>
                  </w:p>
                </w:tc>
              </w:tr>
              <w:tr w:rsidR="003E2EE3" w:rsidRPr="00C77719" w14:paraId="610E60E4" w14:textId="77777777" w:rsidTr="003E2EE3">
                <w:tc>
                  <w:tcPr>
                    <w:tcW w:w="3969" w:type="dxa"/>
                  </w:tcPr>
                  <w:p w14:paraId="25E8F6D4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7551E014" w14:textId="0A3449F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 xml:space="preserve">Domaine Ganevat 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(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n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o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va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)</w:t>
                    </w:r>
                  </w:p>
                </w:tc>
              </w:tr>
              <w:tr w:rsidR="003E2EE3" w:rsidRPr="00C77719" w14:paraId="6129A0BA" w14:textId="77777777" w:rsidTr="003E2EE3">
                <w:tc>
                  <w:tcPr>
                    <w:tcW w:w="3969" w:type="dxa"/>
                  </w:tcPr>
                  <w:p w14:paraId="7FA7EDF4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6860B5C1" w14:textId="4917E3F2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Domaine Leroy &amp; Domaine d’Auvenay</w:t>
                    </w:r>
                  </w:p>
                </w:tc>
              </w:tr>
              <w:tr w:rsidR="003E2EE3" w:rsidRPr="00C77719" w14:paraId="4713441E" w14:textId="77777777" w:rsidTr="003E2EE3">
                <w:tc>
                  <w:tcPr>
                    <w:tcW w:w="3969" w:type="dxa"/>
                  </w:tcPr>
                  <w:p w14:paraId="1507E3D4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6ABBF0D6" w14:textId="72BEDDB9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 xml:space="preserve">Domaine Vincent Dancer 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(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n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o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va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)</w:t>
                    </w:r>
                  </w:p>
                </w:tc>
              </w:tr>
              <w:tr w:rsidR="003E2EE3" w:rsidRPr="00C77719" w14:paraId="572DAB35" w14:textId="77777777" w:rsidTr="003E2EE3">
                <w:tc>
                  <w:tcPr>
                    <w:tcW w:w="3969" w:type="dxa"/>
                  </w:tcPr>
                  <w:p w14:paraId="49290ED6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472AFCB6" w14:textId="61A8B931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Domaine Valentin Zusslin</w:t>
                    </w:r>
                  </w:p>
                </w:tc>
              </w:tr>
              <w:tr w:rsidR="003E2EE3" w:rsidRPr="00C77719" w14:paraId="4E5CDD5B" w14:textId="77777777" w:rsidTr="003E2EE3">
                <w:tc>
                  <w:tcPr>
                    <w:tcW w:w="3969" w:type="dxa"/>
                  </w:tcPr>
                  <w:p w14:paraId="0E0DE8F9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46AF4E55" w14:textId="3AEE384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Felix et Gabin Richoux</w:t>
                    </w:r>
                  </w:p>
                </w:tc>
              </w:tr>
              <w:tr w:rsidR="003E2EE3" w:rsidRPr="00C77719" w14:paraId="0E7961A1" w14:textId="77777777" w:rsidTr="003E2EE3">
                <w:tc>
                  <w:tcPr>
                    <w:tcW w:w="3969" w:type="dxa"/>
                  </w:tcPr>
                  <w:p w14:paraId="5BA4DB07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5E7375C1" w14:textId="5BA33943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Gerard Bertrand</w:t>
                    </w:r>
                  </w:p>
                </w:tc>
              </w:tr>
              <w:tr w:rsidR="003E2EE3" w:rsidRPr="00C77719" w14:paraId="5F35C68D" w14:textId="77777777" w:rsidTr="003E2EE3">
                <w:tc>
                  <w:tcPr>
                    <w:tcW w:w="3969" w:type="dxa"/>
                  </w:tcPr>
                  <w:p w14:paraId="61A32245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4A66A787" w14:textId="57EB982B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Louis Roederer</w:t>
                    </w:r>
                  </w:p>
                </w:tc>
              </w:tr>
              <w:tr w:rsidR="003E2EE3" w:rsidRPr="00C77719" w14:paraId="369B3310" w14:textId="77777777" w:rsidTr="003E2EE3">
                <w:tc>
                  <w:tcPr>
                    <w:tcW w:w="3969" w:type="dxa"/>
                  </w:tcPr>
                  <w:p w14:paraId="6694C40B" w14:textId="14436E5F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Aleman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h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a (1)</w:t>
                    </w:r>
                  </w:p>
                </w:tc>
                <w:tc>
                  <w:tcPr>
                    <w:tcW w:w="4961" w:type="dxa"/>
                  </w:tcPr>
                  <w:p w14:paraId="7431D3E7" w14:textId="13580561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Weingut Odinstal</w:t>
                    </w:r>
                  </w:p>
                </w:tc>
              </w:tr>
              <w:tr w:rsidR="003E2EE3" w:rsidRPr="00C77719" w14:paraId="7F1D3943" w14:textId="77777777" w:rsidTr="003E2EE3">
                <w:tc>
                  <w:tcPr>
                    <w:tcW w:w="3969" w:type="dxa"/>
                  </w:tcPr>
                  <w:p w14:paraId="127AD63A" w14:textId="2BA2A2FB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It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á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lia (6)</w:t>
                    </w:r>
                  </w:p>
                </w:tc>
                <w:tc>
                  <w:tcPr>
                    <w:tcW w:w="4961" w:type="dxa"/>
                  </w:tcPr>
                  <w:p w14:paraId="0D793CC6" w14:textId="3933624B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Alois Lageder</w:t>
                    </w:r>
                  </w:p>
                </w:tc>
              </w:tr>
              <w:tr w:rsidR="003E2EE3" w:rsidRPr="00C77719" w14:paraId="24892A04" w14:textId="77777777" w:rsidTr="003E2EE3">
                <w:tc>
                  <w:tcPr>
                    <w:tcW w:w="3969" w:type="dxa"/>
                  </w:tcPr>
                  <w:p w14:paraId="1F2ACE88" w14:textId="034EBC6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4841EF61" w14:textId="355A6CC9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 xml:space="preserve">Arianna Occhipinti 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(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n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o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va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)</w:t>
                    </w:r>
                  </w:p>
                </w:tc>
              </w:tr>
              <w:tr w:rsidR="003E2EE3" w:rsidRPr="00C77719" w14:paraId="2E987959" w14:textId="77777777" w:rsidTr="003E2EE3">
                <w:tc>
                  <w:tcPr>
                    <w:tcW w:w="3969" w:type="dxa"/>
                  </w:tcPr>
                  <w:p w14:paraId="3D1DA3C2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35202E2E" w14:textId="4AE1EEBC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 xml:space="preserve">Avignonesi 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(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n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o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va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)</w:t>
                    </w:r>
                  </w:p>
                </w:tc>
              </w:tr>
              <w:tr w:rsidR="003E2EE3" w:rsidRPr="00C77719" w14:paraId="5980B754" w14:textId="77777777" w:rsidTr="003E2EE3">
                <w:tc>
                  <w:tcPr>
                    <w:tcW w:w="3969" w:type="dxa"/>
                  </w:tcPr>
                  <w:p w14:paraId="2A740E9F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4161A195" w14:textId="24C2FD18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 xml:space="preserve">E. Pira e Figli - Chiara 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(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n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o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va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)</w:t>
                    </w:r>
                  </w:p>
                </w:tc>
              </w:tr>
              <w:tr w:rsidR="003E2EE3" w:rsidRPr="00C77719" w14:paraId="45DA03E6" w14:textId="77777777" w:rsidTr="003E2EE3">
                <w:tc>
                  <w:tcPr>
                    <w:tcW w:w="3969" w:type="dxa"/>
                  </w:tcPr>
                  <w:p w14:paraId="3A06086D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147E218E" w14:textId="1C6CBDEB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Salcheto</w:t>
                    </w:r>
                  </w:p>
                </w:tc>
              </w:tr>
              <w:tr w:rsidR="003E2EE3" w:rsidRPr="00C77719" w14:paraId="3B8513F3" w14:textId="77777777" w:rsidTr="003E2EE3">
                <w:tc>
                  <w:tcPr>
                    <w:tcW w:w="3969" w:type="dxa"/>
                  </w:tcPr>
                  <w:p w14:paraId="57D47B0D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0D817C2A" w14:textId="37375B1B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Tasca d’Almerita</w:t>
                    </w:r>
                  </w:p>
                </w:tc>
              </w:tr>
              <w:tr w:rsidR="003E2EE3" w:rsidRPr="00C77719" w14:paraId="2EC7DA37" w14:textId="77777777" w:rsidTr="003E2EE3">
                <w:tc>
                  <w:tcPr>
                    <w:tcW w:w="3969" w:type="dxa"/>
                  </w:tcPr>
                  <w:p w14:paraId="7B5B300F" w14:textId="16964A73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N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o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va Zel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â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nd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i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a (1)</w:t>
                    </w:r>
                  </w:p>
                </w:tc>
                <w:tc>
                  <w:tcPr>
                    <w:tcW w:w="4961" w:type="dxa"/>
                  </w:tcPr>
                  <w:p w14:paraId="744FA708" w14:textId="3E271A03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Millton Vineyards &amp; Winery</w:t>
                    </w:r>
                  </w:p>
                </w:tc>
              </w:tr>
              <w:tr w:rsidR="003E2EE3" w:rsidRPr="00C77719" w14:paraId="0CD01DC0" w14:textId="77777777" w:rsidTr="003E2EE3">
                <w:tc>
                  <w:tcPr>
                    <w:tcW w:w="3969" w:type="dxa"/>
                  </w:tcPr>
                  <w:p w14:paraId="57FE78A5" w14:textId="5EFBF2D3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Portugal (2)</w:t>
                    </w:r>
                  </w:p>
                </w:tc>
                <w:tc>
                  <w:tcPr>
                    <w:tcW w:w="4961" w:type="dxa"/>
                  </w:tcPr>
                  <w:p w14:paraId="58674508" w14:textId="40A6C6C2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 xml:space="preserve">Herdade do Esporão 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(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n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o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va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)</w:t>
                    </w:r>
                  </w:p>
                </w:tc>
              </w:tr>
              <w:tr w:rsidR="003E2EE3" w:rsidRPr="00C77719" w14:paraId="25E80855" w14:textId="77777777" w:rsidTr="003E2EE3">
                <w:tc>
                  <w:tcPr>
                    <w:tcW w:w="3969" w:type="dxa"/>
                  </w:tcPr>
                  <w:p w14:paraId="2711FA0F" w14:textId="3BB41DDB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77B2EAD6" w14:textId="133ECA72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 xml:space="preserve">Julia Kemper 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(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n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o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va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)</w:t>
                    </w:r>
                  </w:p>
                </w:tc>
              </w:tr>
              <w:tr w:rsidR="003E2EE3" w:rsidRPr="00C77719" w14:paraId="1EDB42F1" w14:textId="77777777" w:rsidTr="003E2EE3">
                <w:tc>
                  <w:tcPr>
                    <w:tcW w:w="3969" w:type="dxa"/>
                  </w:tcPr>
                  <w:p w14:paraId="16B08F14" w14:textId="2ACC3021" w:rsidR="003E2EE3" w:rsidRPr="00C77719" w:rsidRDefault="00976E3A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Á</w:t>
                    </w:r>
                    <w:r w:rsidR="003E2EE3"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 xml:space="preserve">frica 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 xml:space="preserve">doo Sul </w:t>
                    </w:r>
                    <w:r w:rsidR="003E2EE3"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(3)</w:t>
                    </w:r>
                  </w:p>
                </w:tc>
                <w:tc>
                  <w:tcPr>
                    <w:tcW w:w="4961" w:type="dxa"/>
                  </w:tcPr>
                  <w:p w14:paraId="0E6DA18C" w14:textId="0EF6D4CE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 xml:space="preserve">Backsberg Estate 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(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n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o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va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)</w:t>
                    </w:r>
                  </w:p>
                </w:tc>
              </w:tr>
              <w:tr w:rsidR="003E2EE3" w:rsidRPr="00C77719" w14:paraId="7918F426" w14:textId="77777777" w:rsidTr="003E2EE3">
                <w:tc>
                  <w:tcPr>
                    <w:tcW w:w="3969" w:type="dxa"/>
                  </w:tcPr>
                  <w:p w14:paraId="5CA3CB2D" w14:textId="06D2FDBB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12B65CF6" w14:textId="662E9A91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Reyneke</w:t>
                    </w:r>
                  </w:p>
                </w:tc>
              </w:tr>
              <w:tr w:rsidR="003E2EE3" w:rsidRPr="00C77719" w14:paraId="40AC540A" w14:textId="77777777" w:rsidTr="003E2EE3">
                <w:tc>
                  <w:tcPr>
                    <w:tcW w:w="3969" w:type="dxa"/>
                  </w:tcPr>
                  <w:p w14:paraId="4D5B4B24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425E8F4D" w14:textId="24300240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Sadie Family Wines</w:t>
                    </w:r>
                  </w:p>
                </w:tc>
              </w:tr>
              <w:tr w:rsidR="003E2EE3" w:rsidRPr="00C77719" w14:paraId="1340BCD9" w14:textId="77777777" w:rsidTr="003E2EE3">
                <w:tc>
                  <w:tcPr>
                    <w:tcW w:w="3969" w:type="dxa"/>
                  </w:tcPr>
                  <w:p w14:paraId="10B5BDDC" w14:textId="08BA2BAB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Espa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nh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a (2)</w:t>
                    </w:r>
                  </w:p>
                </w:tc>
                <w:tc>
                  <w:tcPr>
                    <w:tcW w:w="4961" w:type="dxa"/>
                  </w:tcPr>
                  <w:p w14:paraId="27416808" w14:textId="64BF4B66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 xml:space="preserve">Recaredo 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(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n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o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va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)</w:t>
                    </w:r>
                  </w:p>
                </w:tc>
              </w:tr>
              <w:tr w:rsidR="003E2EE3" w:rsidRPr="00C77719" w14:paraId="0DFBAAA7" w14:textId="77777777" w:rsidTr="003E2EE3">
                <w:tc>
                  <w:tcPr>
                    <w:tcW w:w="3969" w:type="dxa"/>
                  </w:tcPr>
                  <w:p w14:paraId="35997E51" w14:textId="6C46F52B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5C8FA6B7" w14:textId="018C292A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Descendientes de J. Palacios</w:t>
                    </w:r>
                  </w:p>
                </w:tc>
              </w:tr>
              <w:tr w:rsidR="003E2EE3" w:rsidRPr="00C77719" w14:paraId="1EA8D249" w14:textId="77777777" w:rsidTr="003E2EE3">
                <w:tc>
                  <w:tcPr>
                    <w:tcW w:w="3969" w:type="dxa"/>
                  </w:tcPr>
                  <w:p w14:paraId="5DE0179A" w14:textId="110AFCAB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>Estados Unidos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 xml:space="preserve"> da América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  <w:t xml:space="preserve"> (9)</w:t>
                    </w:r>
                  </w:p>
                </w:tc>
                <w:tc>
                  <w:tcPr>
                    <w:tcW w:w="4961" w:type="dxa"/>
                  </w:tcPr>
                  <w:p w14:paraId="78F65F09" w14:textId="0A12E10E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 xml:space="preserve">Brick House 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(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n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o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va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)</w:t>
                    </w:r>
                  </w:p>
                </w:tc>
              </w:tr>
              <w:tr w:rsidR="003E2EE3" w:rsidRPr="00C77719" w14:paraId="6D2EE047" w14:textId="77777777" w:rsidTr="003E2EE3">
                <w:tc>
                  <w:tcPr>
                    <w:tcW w:w="3969" w:type="dxa"/>
                  </w:tcPr>
                  <w:p w14:paraId="4D97F14B" w14:textId="236F8825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59109B9E" w14:textId="4CE39EA8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The Eyrie Vineyards</w:t>
                    </w:r>
                  </w:p>
                </w:tc>
              </w:tr>
              <w:tr w:rsidR="003E2EE3" w:rsidRPr="00C77719" w14:paraId="39B00DF7" w14:textId="77777777" w:rsidTr="003E2EE3">
                <w:tc>
                  <w:tcPr>
                    <w:tcW w:w="3969" w:type="dxa"/>
                  </w:tcPr>
                  <w:p w14:paraId="3A5EE281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6524391E" w14:textId="33A94C69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 xml:space="preserve">Hedges Family Estate 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(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n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o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va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)</w:t>
                    </w:r>
                  </w:p>
                </w:tc>
              </w:tr>
              <w:tr w:rsidR="003E2EE3" w:rsidRPr="00C77719" w14:paraId="3A0518E7" w14:textId="77777777" w:rsidTr="003E2EE3">
                <w:tc>
                  <w:tcPr>
                    <w:tcW w:w="3969" w:type="dxa"/>
                  </w:tcPr>
                  <w:p w14:paraId="32147CF2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570A1CF0" w14:textId="4CBD03C5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Horsepower Vineyards</w:t>
                    </w:r>
                  </w:p>
                </w:tc>
              </w:tr>
              <w:tr w:rsidR="003E2EE3" w:rsidRPr="00C77719" w14:paraId="099D303F" w14:textId="77777777" w:rsidTr="003E2EE3">
                <w:tc>
                  <w:tcPr>
                    <w:tcW w:w="3969" w:type="dxa"/>
                  </w:tcPr>
                  <w:p w14:paraId="7099171A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3C1841B2" w14:textId="4EF0E628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Littorai Wines</w:t>
                    </w:r>
                  </w:p>
                </w:tc>
              </w:tr>
              <w:tr w:rsidR="003E2EE3" w:rsidRPr="00C77719" w14:paraId="49FBF7AA" w14:textId="77777777" w:rsidTr="003E2EE3">
                <w:tc>
                  <w:tcPr>
                    <w:tcW w:w="3969" w:type="dxa"/>
                  </w:tcPr>
                  <w:p w14:paraId="6E50878C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226CFB93" w14:textId="16B69326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 xml:space="preserve">Raen Winery 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(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n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o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va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)</w:t>
                    </w:r>
                  </w:p>
                </w:tc>
              </w:tr>
              <w:tr w:rsidR="003E2EE3" w:rsidRPr="00C77719" w14:paraId="461D3A4E" w14:textId="77777777" w:rsidTr="003E2EE3">
                <w:tc>
                  <w:tcPr>
                    <w:tcW w:w="3969" w:type="dxa"/>
                  </w:tcPr>
                  <w:p w14:paraId="6259169D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0EC5676B" w14:textId="72E732A4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Ridge Vineyards</w:t>
                    </w:r>
                  </w:p>
                </w:tc>
              </w:tr>
              <w:tr w:rsidR="003E2EE3" w:rsidRPr="00C77719" w14:paraId="5842CBA3" w14:textId="77777777" w:rsidTr="003E2EE3">
                <w:tc>
                  <w:tcPr>
                    <w:tcW w:w="3969" w:type="dxa"/>
                  </w:tcPr>
                  <w:p w14:paraId="6A529248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7CC2CD16" w14:textId="4113736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>Spottswoode Estate</w:t>
                    </w:r>
                  </w:p>
                </w:tc>
              </w:tr>
              <w:tr w:rsidR="003E2EE3" w:rsidRPr="00C77719" w14:paraId="23A980E8" w14:textId="77777777" w:rsidTr="003E2EE3">
                <w:tc>
                  <w:tcPr>
                    <w:tcW w:w="3969" w:type="dxa"/>
                  </w:tcPr>
                  <w:p w14:paraId="158B15CB" w14:textId="77777777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13CFBD9A" w14:textId="3A6FB0A2" w:rsidR="003E2EE3" w:rsidRPr="00C77719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C77719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 xml:space="preserve">Tablas Creek 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(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n</w:t>
                    </w:r>
                    <w:r w:rsidR="00976E3A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o</w:t>
                    </w:r>
                    <w:r w:rsidR="003A2915"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va</w:t>
                    </w:r>
                    <w:r w:rsidRPr="00C77719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)</w:t>
                    </w:r>
                  </w:p>
                </w:tc>
              </w:tr>
            </w:tbl>
            <w:p w14:paraId="549FFEEB" w14:textId="77777777" w:rsidR="003E2EE3" w:rsidRPr="00C77719" w:rsidRDefault="003E2EE3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19036E4A" w14:textId="77777777" w:rsidR="003E2EE3" w:rsidRPr="00C77719" w:rsidRDefault="003E2EE3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33AADC75" w14:textId="77777777" w:rsidR="003E2EE3" w:rsidRPr="00C77719" w:rsidRDefault="003E2EE3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3CD84A99" w14:textId="77777777" w:rsidR="003E2EE3" w:rsidRPr="00C77719" w:rsidRDefault="003E2EE3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63E5F67C" w14:textId="77777777" w:rsidR="003E2EE3" w:rsidRPr="00C77719" w:rsidRDefault="003E2EE3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17C488BB" w14:textId="1E75C576" w:rsidR="009C47D4" w:rsidRPr="00854215" w:rsidRDefault="009C47D4" w:rsidP="009C47D4">
              <w:pPr>
                <w:tabs>
                  <w:tab w:val="left" w:pos="5339"/>
                </w:tabs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sz w:val="16"/>
                  <w:szCs w:val="16"/>
                  <w:u w:val="single"/>
                  <w:lang w:val="en-GB"/>
                </w:rPr>
              </w:pPr>
              <w:proofErr w:type="spellStart"/>
              <w:r w:rsidRPr="00854215">
                <w:rPr>
                  <w:rFonts w:ascii="Arial" w:hAnsi="Arial" w:cs="Arial"/>
                  <w:b/>
                  <w:sz w:val="16"/>
                  <w:szCs w:val="16"/>
                  <w:u w:val="single"/>
                  <w:lang w:val="en-GB"/>
                </w:rPr>
                <w:t>Sobre</w:t>
              </w:r>
              <w:proofErr w:type="spellEnd"/>
              <w:r w:rsidRPr="00854215">
                <w:rPr>
                  <w:rFonts w:ascii="Arial" w:hAnsi="Arial" w:cs="Arial"/>
                  <w:b/>
                  <w:sz w:val="16"/>
                  <w:szCs w:val="16"/>
                  <w:u w:val="single"/>
                  <w:lang w:val="en-GB"/>
                </w:rPr>
                <w:t xml:space="preserve"> </w:t>
              </w:r>
              <w:r w:rsidR="00976E3A" w:rsidRPr="00854215">
                <w:rPr>
                  <w:rFonts w:ascii="Arial" w:hAnsi="Arial" w:cs="Arial"/>
                  <w:b/>
                  <w:sz w:val="16"/>
                  <w:szCs w:val="16"/>
                  <w:u w:val="single"/>
                  <w:lang w:val="en-GB"/>
                </w:rPr>
                <w:t xml:space="preserve">a </w:t>
              </w:r>
              <w:r w:rsidRPr="00854215">
                <w:rPr>
                  <w:rFonts w:ascii="Arial" w:hAnsi="Arial" w:cs="Arial"/>
                  <w:b/>
                  <w:sz w:val="16"/>
                  <w:szCs w:val="16"/>
                  <w:u w:val="single"/>
                  <w:lang w:val="en-GB"/>
                </w:rPr>
                <w:t>Robert Parker Wine Advocate</w:t>
              </w:r>
            </w:p>
            <w:p w14:paraId="69BE3018" w14:textId="67616C70" w:rsidR="009C47D4" w:rsidRPr="00C77719" w:rsidRDefault="004556CF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16"/>
                  <w:szCs w:val="16"/>
                  <w:lang w:val="pt-PT"/>
                </w:rPr>
              </w:pP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A Robert Parker Wine Advocate é o primeiro site da Internet independente do mundo para assessoria de compradores de vinho, com uma base de dados de mais de 450 000 notas de prova, pontuações e avaliações de críticos profissionais de todo o mundo. Ao longo de mais de 40 anos, a Robert Parker Wine Advocate (parte do grupo de empresas da MICHELIN) tem sido o guia de consumidores de bons vinhos líder a nível global e independente, com o seu sistema de avaliação de 100 pontos e uma profunda cobertura das mais importantes regiões vinícolas</w:t>
              </w:r>
              <w:r w:rsidR="009C47D4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.</w:t>
              </w:r>
            </w:p>
            <w:p w14:paraId="2DD47C0D" w14:textId="77777777" w:rsidR="003A2915" w:rsidRPr="00C77719" w:rsidRDefault="003A2915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16"/>
                  <w:szCs w:val="16"/>
                  <w:lang w:val="pt-PT"/>
                </w:rPr>
              </w:pPr>
            </w:p>
            <w:p w14:paraId="76123013" w14:textId="30C6708A" w:rsidR="003A2915" w:rsidRPr="00C77719" w:rsidRDefault="004556CF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16"/>
                  <w:szCs w:val="16"/>
                  <w:lang w:val="pt-PT"/>
                </w:rPr>
              </w:pP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Liderada, 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desde 2022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, pelo 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Diretor Editorial Joe Czerwinski, 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a 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Robert Parker Wine Advocate compre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e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nde u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ma 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equip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a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 global de 10 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experimentados 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inspetores de vin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h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os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, 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que 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estão 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compromet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idos 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a destacar os me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lh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ores vin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h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os d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o 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mundo, 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fazendo 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luz sobre os magníficos 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terroirs e 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su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a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 diversidad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e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, as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sim 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como 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sobre 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os exceciona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i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s artes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ão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s 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e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 xml:space="preserve"> su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a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s eternas tradi</w:t>
              </w:r>
              <w:r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çõ</w:t>
              </w:r>
              <w:r w:rsidR="003A2915" w:rsidRPr="00C77719">
                <w:rPr>
                  <w:rFonts w:ascii="Arial" w:hAnsi="Arial" w:cs="Arial"/>
                  <w:sz w:val="16"/>
                  <w:szCs w:val="16"/>
                  <w:lang w:val="pt-PT"/>
                </w:rPr>
                <w:t>es.</w:t>
              </w:r>
            </w:p>
            <w:p w14:paraId="4047F178" w14:textId="77777777" w:rsidR="009C47D4" w:rsidRPr="00C77719" w:rsidRDefault="009C47D4" w:rsidP="009C47D4">
              <w:pPr>
                <w:tabs>
                  <w:tab w:val="left" w:pos="5339"/>
                </w:tabs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pt-PT"/>
                </w:rPr>
              </w:pPr>
            </w:p>
            <w:p w14:paraId="2813E4DE" w14:textId="77777777" w:rsidR="009C47D4" w:rsidRPr="00C77719" w:rsidRDefault="009C47D4" w:rsidP="009C47D4">
              <w:pPr>
                <w:ind w:right="-46"/>
                <w:jc w:val="both"/>
                <w:rPr>
                  <w:rFonts w:ascii="Arial" w:hAnsi="Arial" w:cs="Arial"/>
                  <w:iCs/>
                  <w:sz w:val="16"/>
                  <w:szCs w:val="16"/>
                  <w:lang w:val="pt-PT"/>
                </w:rPr>
              </w:pPr>
            </w:p>
            <w:p w14:paraId="1E3FE215" w14:textId="3E271A9D" w:rsidR="009C47D4" w:rsidRPr="00C77719" w:rsidRDefault="009C47D4" w:rsidP="009C47D4">
              <w:pPr>
                <w:ind w:right="-46"/>
                <w:jc w:val="both"/>
                <w:rPr>
                  <w:rFonts w:ascii="Arial" w:hAnsi="Arial" w:cs="Arial"/>
                  <w:b/>
                  <w:iCs/>
                  <w:sz w:val="16"/>
                  <w:szCs w:val="16"/>
                  <w:u w:val="single"/>
                  <w:lang w:val="pt-PT"/>
                </w:rPr>
              </w:pPr>
              <w:r w:rsidRPr="00C77719">
                <w:rPr>
                  <w:rFonts w:ascii="Arial" w:hAnsi="Arial" w:cs="Arial"/>
                  <w:b/>
                  <w:iCs/>
                  <w:sz w:val="16"/>
                  <w:szCs w:val="16"/>
                  <w:u w:val="single"/>
                  <w:lang w:val="pt-PT"/>
                </w:rPr>
                <w:t xml:space="preserve">Sobre </w:t>
              </w:r>
              <w:r w:rsidR="004556CF" w:rsidRPr="00C77719">
                <w:rPr>
                  <w:rFonts w:ascii="Arial" w:hAnsi="Arial" w:cs="Arial"/>
                  <w:b/>
                  <w:iCs/>
                  <w:sz w:val="16"/>
                  <w:szCs w:val="16"/>
                  <w:u w:val="single"/>
                  <w:lang w:val="pt-PT"/>
                </w:rPr>
                <w:t xml:space="preserve">a </w:t>
              </w:r>
              <w:r w:rsidRPr="00C77719">
                <w:rPr>
                  <w:rFonts w:ascii="Arial" w:hAnsi="Arial" w:cs="Arial"/>
                  <w:b/>
                  <w:iCs/>
                  <w:sz w:val="16"/>
                  <w:szCs w:val="16"/>
                  <w:u w:val="single"/>
                  <w:lang w:val="pt-PT"/>
                </w:rPr>
                <w:t>MICHELIN</w:t>
              </w:r>
            </w:p>
          </w:sdtContent>
        </w:sdt>
      </w:sdtContent>
    </w:sdt>
    <w:p w14:paraId="7D34BC9E" w14:textId="77777777" w:rsidR="004556CF" w:rsidRPr="00C77719" w:rsidRDefault="004556CF" w:rsidP="004556CF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C77719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177 países, emprega mais de 124.760 pessoas e dispõe de 68 centros de produção de pneus, que, em 2021, fabricaram 173 milhões de pneus (</w:t>
      </w:r>
      <w:hyperlink r:id="rId9" w:history="1">
        <w:r w:rsidRPr="00C77719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C77719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6B34F374" w14:textId="77777777" w:rsidR="004556CF" w:rsidRPr="00C77719" w:rsidRDefault="004556CF" w:rsidP="004556CF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696CA54B" w14:textId="77777777" w:rsidR="004556CF" w:rsidRPr="00C77719" w:rsidRDefault="004556CF" w:rsidP="004556CF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C77719">
        <w:rPr>
          <w:rFonts w:ascii="Arial" w:hAnsi="Arial" w:cs="Arial"/>
          <w:sz w:val="16"/>
          <w:szCs w:val="16"/>
          <w:lang w:val="pt-PT"/>
        </w:rPr>
        <w:tab/>
      </w:r>
    </w:p>
    <w:p w14:paraId="080E2DB4" w14:textId="77777777" w:rsidR="004556CF" w:rsidRPr="00C77719" w:rsidRDefault="004556CF" w:rsidP="004556C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2FC04BF" w14:textId="77777777" w:rsidR="004556CF" w:rsidRPr="00C77719" w:rsidRDefault="004556CF" w:rsidP="004556C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94EC943" w14:textId="77777777" w:rsidR="004556CF" w:rsidRPr="00C77719" w:rsidRDefault="004556CF" w:rsidP="004556CF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C77719">
        <w:rPr>
          <w:rFonts w:ascii="Arial" w:hAnsi="Arial" w:cs="Arial"/>
          <w:sz w:val="20"/>
          <w:szCs w:val="20"/>
          <w:lang w:val="pt-PT"/>
        </w:rPr>
        <w:tab/>
      </w:r>
    </w:p>
    <w:p w14:paraId="1E8BD9D2" w14:textId="77777777" w:rsidR="004556CF" w:rsidRPr="00C77719" w:rsidRDefault="004556CF" w:rsidP="004556C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63015E4" w14:textId="77777777" w:rsidR="004556CF" w:rsidRPr="00C77719" w:rsidRDefault="004556CF" w:rsidP="004556C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DC4CC68" w14:textId="77777777" w:rsidR="004556CF" w:rsidRPr="00C77719" w:rsidRDefault="004556CF" w:rsidP="004556CF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C77719">
        <w:rPr>
          <w:rFonts w:ascii="Arial" w:hAnsi="Arial" w:cs="Arial"/>
          <w:sz w:val="28"/>
          <w:szCs w:val="28"/>
          <w:lang w:val="pt-PT"/>
        </w:rPr>
        <w:t>DEPARTAMENTO DE COMUNICAÇÃO MICHELIN</w:t>
      </w:r>
    </w:p>
    <w:p w14:paraId="71E27FEE" w14:textId="77777777" w:rsidR="004556CF" w:rsidRPr="00C77719" w:rsidRDefault="004556CF" w:rsidP="004556CF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pt-PT"/>
        </w:rPr>
      </w:pPr>
      <w:r w:rsidRPr="00C77719">
        <w:rPr>
          <w:lang w:val="pt-PT"/>
        </w:rPr>
        <w:t xml:space="preserve">       </w:t>
      </w:r>
      <w:hyperlink r:id="rId10" w:history="1">
        <w:r w:rsidRPr="00C77719">
          <w:rPr>
            <w:rStyle w:val="Hipervnculo"/>
            <w:rFonts w:ascii="Arial" w:hAnsi="Arial" w:cs="Arial"/>
            <w:sz w:val="28"/>
            <w:szCs w:val="28"/>
            <w:lang w:val="pt-PT"/>
          </w:rPr>
          <w:t>comunicación-ib@michelin.com</w:t>
        </w:r>
      </w:hyperlink>
    </w:p>
    <w:p w14:paraId="1952B89C" w14:textId="77777777" w:rsidR="004556CF" w:rsidRPr="00C77719" w:rsidRDefault="004556CF" w:rsidP="004556CF">
      <w:pPr>
        <w:jc w:val="center"/>
        <w:rPr>
          <w:rFonts w:ascii="Arial" w:hAnsi="Arial" w:cs="Arial"/>
          <w:lang w:val="pt-PT"/>
        </w:rPr>
      </w:pPr>
      <w:r w:rsidRPr="00C77719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345AD842" wp14:editId="1C273345">
            <wp:extent cx="1612265" cy="177730"/>
            <wp:effectExtent l="0" t="0" r="635" b="635"/>
            <wp:docPr id="5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56CF" w:rsidRPr="00C77719" w14:paraId="3E5EDABA" w14:textId="77777777" w:rsidTr="00252767">
        <w:tc>
          <w:tcPr>
            <w:tcW w:w="9016" w:type="dxa"/>
          </w:tcPr>
          <w:p w14:paraId="158108EC" w14:textId="77777777" w:rsidR="004556CF" w:rsidRDefault="003B5490" w:rsidP="00252767">
            <w:pPr>
              <w:jc w:val="center"/>
              <w:rPr>
                <w:rStyle w:val="Hipervnculo"/>
                <w:rFonts w:ascii="Arial" w:hAnsi="Arial" w:cs="Arial"/>
                <w:lang w:val="pt-PT"/>
              </w:rPr>
            </w:pPr>
            <w:hyperlink r:id="rId13" w:history="1">
              <w:r w:rsidR="004556CF" w:rsidRPr="00C77719">
                <w:rPr>
                  <w:rStyle w:val="Hipervnculo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12400DD2" w14:textId="77777777" w:rsidR="004556CF" w:rsidRPr="00854215" w:rsidRDefault="004556CF" w:rsidP="00252767">
            <w:pPr>
              <w:jc w:val="center"/>
              <w:rPr>
                <w:rFonts w:ascii="Arial" w:hAnsi="Arial" w:cs="Arial"/>
                <w:color w:val="08519D"/>
                <w:sz w:val="32"/>
                <w:lang w:val="pt-PT"/>
              </w:rPr>
            </w:pPr>
          </w:p>
        </w:tc>
      </w:tr>
      <w:tr w:rsidR="004556CF" w:rsidRPr="00C77719" w14:paraId="269B716B" w14:textId="77777777" w:rsidTr="00252767">
        <w:tc>
          <w:tcPr>
            <w:tcW w:w="9016" w:type="dxa"/>
          </w:tcPr>
          <w:p w14:paraId="57F9D634" w14:textId="77777777" w:rsidR="004556CF" w:rsidRPr="00C77719" w:rsidRDefault="004556CF" w:rsidP="00252767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C77719">
              <w:rPr>
                <w:lang w:val="pt-PT"/>
              </w:rPr>
              <w:t xml:space="preserve">     </w:t>
            </w:r>
            <w:r w:rsidRPr="00C77719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6E6A8FF" wp14:editId="79EE0AB0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C77719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@MichelinNews</w:t>
              </w:r>
            </w:hyperlink>
            <w:r w:rsidRPr="00C77719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C77719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C1CE9CA" wp14:editId="3C41BAEE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7719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7" w:history="1">
              <w:r w:rsidRPr="00C77719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@Michelinportugal</w:t>
              </w:r>
            </w:hyperlink>
            <w:r w:rsidRPr="00C77719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  </w:t>
            </w:r>
            <w:r w:rsidRPr="00C77719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0AD206A" wp14:editId="4CC1682F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7719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9" w:history="1">
              <w:r w:rsidRPr="00C77719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</w:t>
              </w:r>
            </w:hyperlink>
          </w:p>
        </w:tc>
      </w:tr>
    </w:tbl>
    <w:p w14:paraId="575B2BAF" w14:textId="77777777" w:rsidR="00C42295" w:rsidRDefault="00C42295" w:rsidP="004556CF">
      <w:pPr>
        <w:ind w:right="-46"/>
        <w:jc w:val="both"/>
        <w:rPr>
          <w:rFonts w:ascii="Arial" w:hAnsi="Arial" w:cs="Arial"/>
          <w:sz w:val="20"/>
          <w:szCs w:val="20"/>
          <w:lang w:val="pt-PT"/>
        </w:rPr>
      </w:pPr>
    </w:p>
    <w:p w14:paraId="678E4B99" w14:textId="59A7262C" w:rsidR="007840FF" w:rsidRPr="009C47D4" w:rsidRDefault="007840FF" w:rsidP="007840FF">
      <w:pPr>
        <w:spacing w:line="276" w:lineRule="auto"/>
        <w:ind w:right="-46"/>
        <w:jc w:val="center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Pr="00215EB6">
        <w:rPr>
          <w:rFonts w:ascii="Arial" w:hAnsi="Arial" w:cs="Arial"/>
          <w:lang w:val="es-ES"/>
        </w:rPr>
        <w:t>– 28760 Tres Cantos – Madrid. ESPA</w:t>
      </w:r>
      <w:r>
        <w:rPr>
          <w:rFonts w:ascii="Arial" w:hAnsi="Arial" w:cs="Arial"/>
          <w:lang w:val="es-ES"/>
        </w:rPr>
        <w:t>NH</w:t>
      </w:r>
      <w:r w:rsidRPr="00215EB6">
        <w:rPr>
          <w:rFonts w:ascii="Arial" w:hAnsi="Arial" w:cs="Arial"/>
          <w:lang w:val="es-ES"/>
        </w:rPr>
        <w:t>A</w:t>
      </w:r>
    </w:p>
    <w:p w14:paraId="29CFBC40" w14:textId="039E361B" w:rsidR="007840FF" w:rsidRPr="007840FF" w:rsidRDefault="007840FF" w:rsidP="007840FF">
      <w:pPr>
        <w:ind w:right="-46"/>
        <w:jc w:val="both"/>
        <w:rPr>
          <w:rFonts w:ascii="Arial" w:hAnsi="Arial" w:cs="Arial"/>
          <w:sz w:val="20"/>
          <w:szCs w:val="20"/>
          <w:lang w:val="es-ES_tradnl"/>
        </w:rPr>
      </w:pPr>
    </w:p>
    <w:sectPr w:rsidR="007840FF" w:rsidRPr="007840FF" w:rsidSect="002E5E37">
      <w:headerReference w:type="default" r:id="rId20"/>
      <w:headerReference w:type="first" r:id="rId21"/>
      <w:pgSz w:w="11906" w:h="16838"/>
      <w:pgMar w:top="1440" w:right="1440" w:bottom="1520" w:left="1440" w:header="170" w:footer="680" w:gutter="0"/>
      <w:pgBorders w:offsetFrom="page">
        <w:top w:val="single" w:sz="48" w:space="0" w:color="009983"/>
        <w:left w:val="single" w:sz="48" w:space="0" w:color="009983"/>
        <w:bottom w:val="single" w:sz="48" w:space="0" w:color="009983"/>
        <w:right w:val="single" w:sz="48" w:space="0" w:color="009983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6EF52" w14:textId="77777777" w:rsidR="007328BE" w:rsidRDefault="007328BE" w:rsidP="00F24D98">
      <w:r>
        <w:separator/>
      </w:r>
    </w:p>
  </w:endnote>
  <w:endnote w:type="continuationSeparator" w:id="0">
    <w:p w14:paraId="5D7A0476" w14:textId="77777777" w:rsidR="007328BE" w:rsidRDefault="007328B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E3BDF" w14:textId="77777777" w:rsidR="007328BE" w:rsidRDefault="007328BE" w:rsidP="00F24D98">
      <w:r>
        <w:separator/>
      </w:r>
    </w:p>
  </w:footnote>
  <w:footnote w:type="continuationSeparator" w:id="0">
    <w:p w14:paraId="273E84F6" w14:textId="77777777" w:rsidR="007328BE" w:rsidRDefault="007328BE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4505A" w14:textId="653A60D8" w:rsidR="00C53F0C" w:rsidRPr="00C53F0C" w:rsidRDefault="00967D2C" w:rsidP="00383FFE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  <w:lang w:val="es-ES_tradnl" w:eastAsia="es-ES_tradnl"/>
      </w:rPr>
      <w:drawing>
        <wp:inline distT="0" distB="0" distL="0" distR="0" wp14:anchorId="04AA8028" wp14:editId="2C4DCC2F">
          <wp:extent cx="1724660" cy="520065"/>
          <wp:effectExtent l="0" t="0" r="889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252CF86" wp14:editId="10A4C66F">
          <wp:simplePos x="0" y="0"/>
          <wp:positionH relativeFrom="margin">
            <wp:posOffset>4159250</wp:posOffset>
          </wp:positionH>
          <wp:positionV relativeFrom="paragraph">
            <wp:posOffset>-51435</wp:posOffset>
          </wp:positionV>
          <wp:extent cx="2402205" cy="76835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Michelin Unit Titling" w:hAnsi="Michelin Unit Titling"/>
        <w:color w:val="404040" w:themeColor="text1" w:themeTint="BF"/>
      </w:rPr>
      <w:tab/>
    </w:r>
    <w:r>
      <w:rPr>
        <w:rFonts w:ascii="Michelin Unit Titling" w:hAnsi="Michelin Unit Titling"/>
        <w:color w:val="404040" w:themeColor="text1" w:themeTint="BF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719D0CF9" w:rsidR="001963B1" w:rsidRDefault="005444A8" w:rsidP="006C44F0">
    <w:pPr>
      <w:pStyle w:val="Encabezado"/>
      <w:ind w:left="-1418"/>
    </w:pPr>
    <w:r>
      <w:rPr>
        <w:rFonts w:ascii="Arial" w:hAnsi="Arial" w:cs="Arial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07AE16" wp14:editId="2326D2BE">
              <wp:simplePos x="0" y="0"/>
              <wp:positionH relativeFrom="column">
                <wp:posOffset>-428625</wp:posOffset>
              </wp:positionH>
              <wp:positionV relativeFrom="paragraph">
                <wp:posOffset>1586865</wp:posOffset>
              </wp:positionV>
              <wp:extent cx="909320" cy="66675"/>
              <wp:effectExtent l="0" t="0" r="5080" b="9525"/>
              <wp:wrapNone/>
              <wp:docPr id="13" name="Paralelogram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9320" cy="66675"/>
                      </a:xfrm>
                      <a:prstGeom prst="parallelogram">
                        <a:avLst/>
                      </a:prstGeom>
                      <a:solidFill>
                        <a:srgbClr val="0099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4CFC747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elogramo 13" o:spid="_x0000_s1026" type="#_x0000_t7" style="position:absolute;margin-left:-33.75pt;margin-top:124.95pt;width:71.6pt;height: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" adj="396" fillcolor="#009983" stroked="f" strokeweight="1pt"/>
          </w:pict>
        </mc:Fallback>
      </mc:AlternateContent>
    </w:r>
    <w:r w:rsidR="009730EA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1132BC43" wp14:editId="4C4A6D0B">
          <wp:simplePos x="0" y="0"/>
          <wp:positionH relativeFrom="margin">
            <wp:posOffset>4140835</wp:posOffset>
          </wp:positionH>
          <wp:positionV relativeFrom="paragraph">
            <wp:posOffset>12700</wp:posOffset>
          </wp:positionV>
          <wp:extent cx="2402205" cy="76835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73E3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03E5B" wp14:editId="2B7B07A1">
              <wp:simplePos x="0" y="0"/>
              <wp:positionH relativeFrom="page">
                <wp:posOffset>190500</wp:posOffset>
              </wp:positionH>
              <wp:positionV relativeFrom="paragraph">
                <wp:posOffset>1332230</wp:posOffset>
              </wp:positionV>
              <wp:extent cx="1600200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F7C83A" w14:textId="276146B8" w:rsidR="008B73E3" w:rsidRPr="00AC0E74" w:rsidRDefault="008B73E3" w:rsidP="008B73E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EXP</w:t>
                          </w:r>
                          <w:r w:rsidR="00885E5B">
                            <w:rPr>
                              <w:rFonts w:ascii="Michelin Unit Titling" w:hAnsi="Michelin Unit Titling"/>
                              <w:color w:val="575757"/>
                            </w:rPr>
                            <w:t>E</w:t>
                          </w: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RIENCES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03E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pt;margin-top:104.9pt;width:12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" fillcolor="white [3201]" stroked="f" strokeweight=".5pt">
              <v:textbox>
                <w:txbxContent>
                  <w:p w14:paraId="7DF7C83A" w14:textId="276146B8" w:rsidR="008B73E3" w:rsidRPr="00AC0E74" w:rsidRDefault="008B73E3" w:rsidP="008B73E3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EXP</w:t>
                    </w:r>
                    <w:r w:rsidR="00885E5B">
                      <w:rPr>
                        <w:rFonts w:ascii="Michelin Unit Titling" w:hAnsi="Michelin Unit Titling"/>
                        <w:color w:val="575757"/>
                      </w:rPr>
                      <w:t>E</w:t>
                    </w:r>
                    <w:r>
                      <w:rPr>
                        <w:rFonts w:ascii="Michelin Unit Titling" w:hAnsi="Michelin Unit Titling"/>
                        <w:color w:val="575757"/>
                      </w:rPr>
                      <w:t>RIENCES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730EA">
      <w:rPr>
        <w:noProof/>
        <w:lang w:val="es-ES_tradnl" w:eastAsia="es-ES_tradnl"/>
      </w:rPr>
      <w:drawing>
        <wp:inline distT="0" distB="0" distL="0" distR="0" wp14:anchorId="4CDCF5EE" wp14:editId="53D3896C">
          <wp:extent cx="1762760" cy="520065"/>
          <wp:effectExtent l="0" t="0" r="8890" b="0"/>
          <wp:docPr id="1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5E37">
      <w:rPr>
        <w:noProof/>
        <w:lang w:val="es-ES_tradnl" w:eastAsia="es-ES_tradnl"/>
      </w:rPr>
      <mc:AlternateContent>
        <mc:Choice Requires="wps">
          <w:drawing>
            <wp:anchor distT="0" distB="0" distL="0" distR="0" simplePos="0" relativeHeight="251668480" behindDoc="1" locked="0" layoutInCell="0" allowOverlap="1" wp14:anchorId="6CC829C8" wp14:editId="55F7C103">
              <wp:simplePos x="0" y="0"/>
              <wp:positionH relativeFrom="page">
                <wp:posOffset>2207895</wp:posOffset>
              </wp:positionH>
              <wp:positionV relativeFrom="paragraph">
                <wp:posOffset>681355</wp:posOffset>
              </wp:positionV>
              <wp:extent cx="2973070" cy="393065"/>
              <wp:effectExtent l="0" t="0" r="0" b="6985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3070" cy="393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8EEB04" w14:textId="1278482F" w:rsidR="002E5E37" w:rsidRPr="00C77719" w:rsidRDefault="002E5E37" w:rsidP="002E5E37">
                          <w:pPr>
                            <w:pStyle w:val="Contenidodelmarco"/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C7771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</w:t>
                          </w:r>
                          <w:r w:rsidR="004556CF" w:rsidRPr="00C7771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 xml:space="preserve">ção </w:t>
                          </w:r>
                          <w:r w:rsidRPr="00C7771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 xml:space="preserve">de </w:t>
                          </w:r>
                          <w:r w:rsidR="004556CF" w:rsidRPr="00C7771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im</w:t>
                          </w:r>
                          <w:r w:rsidRPr="00C7771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prensa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C829C8" id="Text Box 4" o:spid="_x0000_s1027" style="position:absolute;left:0;text-align:left;margin-left:173.85pt;margin-top:53.65pt;width:234.1pt;height:30.9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" o:allowincell="f" fillcolor="white [3201]" stroked="f" strokeweight=".5pt">
              <v:textbox>
                <w:txbxContent>
                  <w:p w14:paraId="728EEB04" w14:textId="1278482F" w:rsidR="002E5E37" w:rsidRPr="00C77719" w:rsidRDefault="002E5E37" w:rsidP="002E5E37">
                    <w:pPr>
                      <w:pStyle w:val="Contenidodelmarco"/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C7771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</w:t>
                    </w:r>
                    <w:r w:rsidR="004556CF" w:rsidRPr="00C7771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 xml:space="preserve">ção </w:t>
                    </w:r>
                    <w:r w:rsidRPr="00C7771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 xml:space="preserve">de </w:t>
                    </w:r>
                    <w:r w:rsidR="004556CF" w:rsidRPr="00C7771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im</w:t>
                    </w:r>
                    <w:r w:rsidRPr="00C7771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prensa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91230"/>
    <w:multiLevelType w:val="hybridMultilevel"/>
    <w:tmpl w:val="D82831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04E59"/>
    <w:rsid w:val="000232A2"/>
    <w:rsid w:val="00035BD0"/>
    <w:rsid w:val="00041EED"/>
    <w:rsid w:val="0006333E"/>
    <w:rsid w:val="00085029"/>
    <w:rsid w:val="00087673"/>
    <w:rsid w:val="000B3F91"/>
    <w:rsid w:val="00112957"/>
    <w:rsid w:val="00116A1A"/>
    <w:rsid w:val="001249F8"/>
    <w:rsid w:val="00133C30"/>
    <w:rsid w:val="001963B1"/>
    <w:rsid w:val="0021595A"/>
    <w:rsid w:val="002462FF"/>
    <w:rsid w:val="00262F8B"/>
    <w:rsid w:val="00274DC8"/>
    <w:rsid w:val="0027531F"/>
    <w:rsid w:val="00287676"/>
    <w:rsid w:val="00296512"/>
    <w:rsid w:val="002E44BA"/>
    <w:rsid w:val="002E5E37"/>
    <w:rsid w:val="0030690B"/>
    <w:rsid w:val="00307C0A"/>
    <w:rsid w:val="00351D1D"/>
    <w:rsid w:val="00383FFE"/>
    <w:rsid w:val="00387E23"/>
    <w:rsid w:val="003A2915"/>
    <w:rsid w:val="003B5490"/>
    <w:rsid w:val="003E2EE3"/>
    <w:rsid w:val="00401D23"/>
    <w:rsid w:val="0041774C"/>
    <w:rsid w:val="004237CD"/>
    <w:rsid w:val="00433BE4"/>
    <w:rsid w:val="004365DD"/>
    <w:rsid w:val="00437169"/>
    <w:rsid w:val="00454406"/>
    <w:rsid w:val="004556CF"/>
    <w:rsid w:val="00471963"/>
    <w:rsid w:val="00473C39"/>
    <w:rsid w:val="00493386"/>
    <w:rsid w:val="0049612A"/>
    <w:rsid w:val="004A7A65"/>
    <w:rsid w:val="004C6A8C"/>
    <w:rsid w:val="004E3294"/>
    <w:rsid w:val="004E4724"/>
    <w:rsid w:val="00505743"/>
    <w:rsid w:val="005444A8"/>
    <w:rsid w:val="005F1622"/>
    <w:rsid w:val="00620BBB"/>
    <w:rsid w:val="006C44F0"/>
    <w:rsid w:val="0071099F"/>
    <w:rsid w:val="00723C54"/>
    <w:rsid w:val="007328BE"/>
    <w:rsid w:val="007441E6"/>
    <w:rsid w:val="0076144B"/>
    <w:rsid w:val="00773388"/>
    <w:rsid w:val="007840FF"/>
    <w:rsid w:val="00785BD9"/>
    <w:rsid w:val="007A535E"/>
    <w:rsid w:val="007E4C36"/>
    <w:rsid w:val="00842044"/>
    <w:rsid w:val="00851406"/>
    <w:rsid w:val="00854215"/>
    <w:rsid w:val="0085450A"/>
    <w:rsid w:val="00877B40"/>
    <w:rsid w:val="00885E5B"/>
    <w:rsid w:val="008A29FA"/>
    <w:rsid w:val="008A6711"/>
    <w:rsid w:val="008B73E3"/>
    <w:rsid w:val="008B7626"/>
    <w:rsid w:val="008F640F"/>
    <w:rsid w:val="009203BF"/>
    <w:rsid w:val="0093532F"/>
    <w:rsid w:val="00967D2C"/>
    <w:rsid w:val="009730EA"/>
    <w:rsid w:val="00976E3A"/>
    <w:rsid w:val="009C47D4"/>
    <w:rsid w:val="009C760F"/>
    <w:rsid w:val="00A35FCE"/>
    <w:rsid w:val="00A97737"/>
    <w:rsid w:val="00AB0946"/>
    <w:rsid w:val="00AB47DE"/>
    <w:rsid w:val="00AC0E74"/>
    <w:rsid w:val="00AC129F"/>
    <w:rsid w:val="00B54E4E"/>
    <w:rsid w:val="00B6530A"/>
    <w:rsid w:val="00B76BDF"/>
    <w:rsid w:val="00B97B28"/>
    <w:rsid w:val="00BB1209"/>
    <w:rsid w:val="00C000CC"/>
    <w:rsid w:val="00C3086F"/>
    <w:rsid w:val="00C42295"/>
    <w:rsid w:val="00C53F0C"/>
    <w:rsid w:val="00C61287"/>
    <w:rsid w:val="00C763EE"/>
    <w:rsid w:val="00C76700"/>
    <w:rsid w:val="00C77719"/>
    <w:rsid w:val="00CA4DA9"/>
    <w:rsid w:val="00CD2047"/>
    <w:rsid w:val="00CF0663"/>
    <w:rsid w:val="00D24541"/>
    <w:rsid w:val="00D67EFC"/>
    <w:rsid w:val="00D92EFF"/>
    <w:rsid w:val="00DA3F73"/>
    <w:rsid w:val="00DA4489"/>
    <w:rsid w:val="00DA5ED4"/>
    <w:rsid w:val="00DB7FA5"/>
    <w:rsid w:val="00DD5AE5"/>
    <w:rsid w:val="00DD5C33"/>
    <w:rsid w:val="00E20873"/>
    <w:rsid w:val="00E45485"/>
    <w:rsid w:val="00E605AC"/>
    <w:rsid w:val="00E73CD0"/>
    <w:rsid w:val="00E8035E"/>
    <w:rsid w:val="00E87011"/>
    <w:rsid w:val="00EE006A"/>
    <w:rsid w:val="00EE0667"/>
    <w:rsid w:val="00F24D98"/>
    <w:rsid w:val="00F435A2"/>
    <w:rsid w:val="00F5013F"/>
    <w:rsid w:val="00F6785B"/>
    <w:rsid w:val="00FA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1287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C47D4"/>
  </w:style>
  <w:style w:type="character" w:customStyle="1" w:styleId="EnlacedeInternet">
    <w:name w:val="Enlace de Internet"/>
    <w:basedOn w:val="Fuentedeprrafopredeter"/>
    <w:uiPriority w:val="99"/>
    <w:unhideWhenUsed/>
    <w:rsid w:val="002E5E37"/>
    <w:rPr>
      <w:color w:val="0000FF"/>
      <w:u w:val="single"/>
    </w:rPr>
  </w:style>
  <w:style w:type="paragraph" w:customStyle="1" w:styleId="Contenidodelmarco">
    <w:name w:val="Contenido del marco"/>
    <w:basedOn w:val="Normal"/>
    <w:qFormat/>
    <w:rsid w:val="002E5E37"/>
    <w:pPr>
      <w:suppressAutoHyphens/>
    </w:pPr>
  </w:style>
  <w:style w:type="paragraph" w:styleId="Prrafodelista">
    <w:name w:val="List Paragraph"/>
    <w:basedOn w:val="Normal"/>
    <w:uiPriority w:val="34"/>
    <w:qFormat/>
    <w:rsid w:val="003E2EE3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chelin.pt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portuga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municaci&#243;n-ib@michelin.com" TargetMode="External"/><Relationship Id="rId19" Type="http://schemas.openxmlformats.org/officeDocument/2006/relationships/hyperlink" Target="https://www.linkedin.com/company/michel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DC5B49-87F8-49EB-9870-7F6C804D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1396</Words>
  <Characters>7680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7</cp:revision>
  <dcterms:created xsi:type="dcterms:W3CDTF">2022-11-14T18:18:00Z</dcterms:created>
  <dcterms:modified xsi:type="dcterms:W3CDTF">2022-11-15T10:12:00Z</dcterms:modified>
</cp:coreProperties>
</file>