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0"/>
        <w:ind w:left="5760"/>
        <w:rPr>
          <w:sz w:val="20"/>
          <w:szCs w:val="20"/>
        </w:rPr>
      </w:pPr>
      <w:r>
        <w:rPr>
          <w:rFonts w:ascii="Arial" w:eastAsia="Arial" w:hAnsi="Arial" w:cs="Arial"/>
          <w:sz w:val="20"/>
          <w:szCs w:val="20"/>
        </w:rPr>
        <w:t>Madrid, 26 de enero, 2023</w:t>
      </w:r>
    </w:p>
    <w:sdt>
      <w:sdtPr>
        <w:id w:val="1910743306"/>
        <w:placeholder>
          <w:docPart w:val="DefaultPlaceholder_22675703"/>
        </w:placeholder>
        <w:richText/>
      </w:sdtPr>
      <w:sdtContent>
        <w:p>
          <w:pPr>
            <w:spacing w:before="0" w:after="0"/>
            <w:jc w:val="center"/>
            <w:rPr>
              <w:rFonts w:ascii="Arial" w:eastAsia="Arial" w:hAnsi="Arial" w:cs="Arial"/>
              <w:sz w:val="24"/>
              <w:szCs w:val="24"/>
            </w:rPr>
          </w:pPr>
        </w:p>
        <w:p>
          <w:pPr>
            <w:tabs>
              <w:tab w:val="left" w:pos="1402"/>
            </w:tabs>
            <w:spacing w:before="0" w:after="0"/>
            <w:rPr>
              <w:rFonts w:ascii="Calibri" w:eastAsia="Calibri" w:hAnsi="Calibri" w:cs="Calibri"/>
              <w:sz w:val="26"/>
              <w:szCs w:val="26"/>
            </w:rPr>
          </w:pPr>
          <w:r>
            <w:rPr>
              <w:rFonts w:ascii="Calibri" w:eastAsia="Calibri" w:hAnsi="Calibri" w:cs="Calibri"/>
              <w:sz w:val="26"/>
              <w:szCs w:val="26"/>
            </w:rPr>
            <w:tab/>
          </w:r>
        </w:p>
        <w:p>
          <w:pPr>
            <w:spacing w:before="0" w:after="0"/>
            <w:jc w:val="center"/>
            <w:rPr>
              <w:sz w:val="28"/>
              <w:szCs w:val="28"/>
            </w:rPr>
          </w:pPr>
          <w:r>
            <w:rPr>
              <w:rFonts w:ascii="Arial" w:eastAsia="Arial" w:hAnsi="Arial" w:cs="Arial"/>
              <w:b/>
              <w:bCs/>
              <w:sz w:val="28"/>
              <w:szCs w:val="28"/>
            </w:rPr>
            <w:t>Michelin se adentra en la nueva era de las carreras de resistencia</w:t>
          </w:r>
        </w:p>
        <w:p>
          <w:pPr>
            <w:spacing w:before="0" w:after="0"/>
            <w:jc w:val="center"/>
            <w:rPr>
              <w:rFonts w:ascii="Arial" w:eastAsia="Arial" w:hAnsi="Arial" w:cs="Arial"/>
              <w:b/>
              <w:bCs/>
              <w:sz w:val="22"/>
              <w:szCs w:val="22"/>
            </w:rPr>
          </w:pPr>
        </w:p>
        <w:p>
          <w:pPr>
            <w:spacing w:before="0" w:after="0"/>
            <w:rPr>
              <w:rFonts w:ascii="Arial" w:eastAsia="Arial" w:hAnsi="Arial" w:cs="Arial"/>
              <w:b/>
              <w:bCs/>
              <w:sz w:val="22"/>
              <w:szCs w:val="22"/>
            </w:rPr>
          </w:pPr>
        </w:p>
        <w:p>
          <w:pPr>
            <w:numPr>
              <w:ilvl w:val="0"/>
              <w:numId w:val="1"/>
            </w:numPr>
            <w:pBdr>
              <w:left w:val="none" w:sz="0" w:space="8" w:color="auto"/>
            </w:pBdr>
            <w:spacing w:before="0"/>
            <w:ind w:left="720" w:right="0" w:hanging="424"/>
            <w:jc w:val="both"/>
            <w:rPr>
              <w:rFonts w:ascii="Times New Roman" w:eastAsia="Times New Roman" w:hAnsi="Times New Roman" w:cs="Times New Roman"/>
              <w:sz w:val="20"/>
              <w:szCs w:val="20"/>
            </w:rPr>
          </w:pPr>
          <w:r>
            <w:rPr>
              <w:rFonts w:ascii="Arial" w:eastAsia="Arial" w:hAnsi="Arial" w:cs="Arial"/>
              <w:sz w:val="20"/>
              <w:szCs w:val="20"/>
            </w:rPr>
            <w:t>Los prototipos Hypercar que competirán en el IMSA WeatherTech SportsCar Championship y el FIA WEC equiparán neumáticos MCHELIN</w:t>
          </w:r>
        </w:p>
        <w:p>
          <w:pPr>
            <w:numPr>
              <w:ilvl w:val="0"/>
              <w:numId w:val="1"/>
            </w:numPr>
            <w:pBdr>
              <w:left w:val="none" w:sz="0" w:space="8" w:color="auto"/>
            </w:pBdr>
            <w:ind w:left="720" w:right="0" w:hanging="424"/>
            <w:jc w:val="both"/>
            <w:rPr>
              <w:rFonts w:ascii="Times New Roman" w:eastAsia="Times New Roman" w:hAnsi="Times New Roman" w:cs="Times New Roman"/>
              <w:sz w:val="20"/>
              <w:szCs w:val="20"/>
            </w:rPr>
          </w:pPr>
          <w:r>
            <w:rPr>
              <w:rFonts w:ascii="Arial" w:eastAsia="Arial" w:hAnsi="Arial" w:cs="Arial"/>
              <w:sz w:val="20"/>
              <w:szCs w:val="20"/>
            </w:rPr>
            <w:t>Fabricantes de primer nivel y gran prestigio se medirán en esta nueva era de las carreras de resistencia</w:t>
          </w:r>
        </w:p>
        <w:p>
          <w:pPr>
            <w:numPr>
              <w:ilvl w:val="0"/>
              <w:numId w:val="1"/>
            </w:numPr>
            <w:pBdr>
              <w:left w:val="none" w:sz="0" w:space="8" w:color="auto"/>
            </w:pBdr>
            <w:spacing w:after="0"/>
            <w:ind w:left="720" w:right="0" w:hanging="424"/>
            <w:jc w:val="both"/>
            <w:rPr>
              <w:rFonts w:ascii="Times New Roman" w:eastAsia="Times New Roman" w:hAnsi="Times New Roman" w:cs="Times New Roman"/>
              <w:sz w:val="20"/>
              <w:szCs w:val="20"/>
            </w:rPr>
          </w:pPr>
          <w:r>
            <w:rPr>
              <w:rFonts w:ascii="Arial" w:eastAsia="Arial" w:hAnsi="Arial" w:cs="Arial"/>
              <w:sz w:val="20"/>
              <w:szCs w:val="20"/>
            </w:rPr>
            <w:t>Este año se celebra el centenario las 24 Horas de Le Mans, y al mismo tiempo se cumplen 100 años de la primera victoria de Michelin en esta mítica prueba</w:t>
          </w:r>
        </w:p>
        <w:p>
          <w:pPr>
            <w:spacing w:before="0" w:after="0"/>
            <w:jc w:val="both"/>
            <w:rPr>
              <w:rFonts w:ascii="Arial" w:eastAsia="Arial" w:hAnsi="Arial" w:cs="Arial"/>
              <w:b/>
              <w:bCs/>
              <w:sz w:val="22"/>
              <w:szCs w:val="22"/>
            </w:rPr>
          </w:pP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b/>
              <w:bCs/>
              <w:sz w:val="20"/>
              <w:szCs w:val="20"/>
            </w:rPr>
            <w:t xml:space="preserve">Michelin es el suministrador de neumáticos de todos los prototipos Hypercar que competirán en 2023 en los dos principales campeonatos de resistencia del mundo, el IMSA WeatherTech SportsCar Championship que se celebra en Norteamérica, y el Campeonato del Mundo de Resistencia de la FIA (FIA WEC). Estos neumáticos han sido desarrollados para desempeñar un papel crucial en el apasionante duelo que enfrentará a fabricantes de la talla de Peugeot, Porsche, Ferrari, Cadillac, Toyota, Acura, BMW, Glickenhaus y Vanwall esta temporada, en carreras tan importantes como el centenario de las 24 Horas de Le Mans, que se celebrará en junio. </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Aunque la introducción de la especificación Hypercar en las carreras de resistencia se remonta a la temporada 2020 del FIA WEC, esta categoría promete alcanzar su verdadera madurez este año, tras la entrada de numerosos fabricantes de prestigio en la batalla por la victoria en las dos competiciones más importantes de esta disciplina y en carreras tan famosas como las 24 Horas de Le Mans.</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A los equipos ya presentes en la categoría -Toyota, Glickenhaus y Peugeot- se unirán en 2023 nada menos que seis marcas, que debutarán o reaparecerán en el campeonato, como son Porsche, Ferrari, Cadillac, Acura, BMW y Vanwall; mientras que otras como Alpine, Lamborghini e Isotta Fraschini entrarán en 2024.</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 xml:space="preserve">Michelin ha sido elegida por los organizadores de las dos principales competiciones de resistencia del mundo como suministrador de neumáticos de la categoría Hypercar al completo. Los prototipos inscritos competirán con neumáticos </w:t>
          </w:r>
          <w:r>
            <w:rPr>
              <w:rFonts w:ascii="Arial" w:eastAsia="Arial" w:hAnsi="Arial" w:cs="Arial"/>
              <w:b/>
              <w:bCs/>
              <w:sz w:val="20"/>
              <w:szCs w:val="20"/>
            </w:rPr>
            <w:t>MICHELIN Pilot Sport</w:t>
          </w:r>
          <w:r>
            <w:rPr>
              <w:rFonts w:ascii="Arial" w:eastAsia="Arial" w:hAnsi="Arial" w:cs="Arial"/>
              <w:sz w:val="20"/>
              <w:szCs w:val="20"/>
            </w:rPr>
            <w:t xml:space="preserve">, que han sido desarrollados gracias a una avanzada tecnología de simulación en cuestión de meses. Impulsada por los éxitos cosechados desde 2020, la gama ha evolucionado todavía más este año, con el fin de ofrecer a los socios la una alta durabilidad y prestaciones. </w:t>
          </w:r>
          <w:r>
            <w:rPr>
              <w:rFonts w:ascii="Arial" w:eastAsia="Arial" w:hAnsi="Arial" w:cs="Arial"/>
              <w:i/>
              <w:iCs/>
              <w:sz w:val="20"/>
              <w:szCs w:val="20"/>
            </w:rPr>
            <w:t>“Nuestra gama de neumáticos Hypercar para 2023 es totalmente nueva”</w:t>
          </w:r>
          <w:r>
            <w:rPr>
              <w:rFonts w:ascii="Arial" w:eastAsia="Arial" w:hAnsi="Arial" w:cs="Arial"/>
              <w:sz w:val="20"/>
              <w:szCs w:val="20"/>
            </w:rPr>
            <w:t>, confirma Pierre Alves, director del Programa de Carreras de Resistencia de Michelin Motorsport.</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La temporada del IMSA WeatherTech SportsCar Championship arranca con las 24 Horas de Daytona, en Florida (EEUU), el 28 de enero. En este escenario debutarán los nuevos prototipos híbridos Porsche 963, Cadillac V-LMDh, Acura ARX-06 y BMW M Hybrid V8 equipados con MICHELIN Pilot Sport, que han sido concebidos para afrontar con dobles o triples stints, una cuestión importante debido a la menor asignación de neumáticos para cada carrera.</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Posteriormente, el 11 de marzo, trece Hypercars se darán cita en el famoso circuito situado en el aeródromo de Sebring, en Florida, para la prueba inaugural del FIA WEC. En la categoría principal del campeonato mundial, Michelin equipará los dos Toyota GR010 Hybrid, cuatro Porsche 963, dos Ferrari 499P, dos Peugeot 9X8, un Cadillac V-LMDh, un Glickenhaus 007 y un Vanwall Vandervell.</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La nueva normativa prohíbe el uso de calentadores de neumáticos, por lo que los ingenieros de Michelin Motorsport han centrado su trabajo en el desarrollo de nuevos compuestos.</w:t>
          </w:r>
        </w:p>
        <w:p>
          <w:pPr>
            <w:spacing w:before="0" w:after="0" w:line="276" w:lineRule="auto"/>
            <w:jc w:val="both"/>
            <w:rPr>
              <w:rFonts w:ascii="Arial" w:eastAsia="Arial" w:hAnsi="Arial" w:cs="Arial"/>
              <w:sz w:val="20"/>
              <w:szCs w:val="20"/>
            </w:rPr>
          </w:pPr>
        </w:p>
        <w:p>
          <w:pPr>
            <w:spacing w:before="0" w:after="0" w:line="276" w:lineRule="auto"/>
            <w:jc w:val="both"/>
            <w:rPr>
              <w:sz w:val="20"/>
              <w:szCs w:val="20"/>
            </w:rPr>
          </w:pPr>
          <w:r>
            <w:rPr>
              <w:rFonts w:ascii="Arial" w:eastAsia="Arial" w:hAnsi="Arial" w:cs="Arial"/>
              <w:sz w:val="20"/>
              <w:szCs w:val="20"/>
            </w:rPr>
            <w:t>El punto álgido de la temporada del FIA WEC 2023 será el centenario de las 24 Horas de Le Mans (10 y 11 de junio). La celebración de este importante aniversario marcará también el centenario de la primera victoria de Michelin en la carrera francesa. Desde aquel hito, logrado en 1923 por el Chenard et Walcker Sport de Lagache/Léonard en 1923, Michelin ha cosechado nada menos que 30 victorias absolutas en Le Mans y permanece invicto desde 1998.</w:t>
          </w: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0"/>
              <w:szCs w:val="20"/>
            </w:rPr>
          </w:pPr>
        </w:p>
        <w:p>
          <w:pPr>
            <w:spacing w:before="0" w:after="0" w:line="276" w:lineRule="auto"/>
            <w:jc w:val="both"/>
            <w:rPr>
              <w:rFonts w:ascii="Arial" w:eastAsia="Arial" w:hAnsi="Arial" w:cs="Arial"/>
              <w:sz w:val="24"/>
              <w:szCs w:val="24"/>
            </w:rPr>
          </w:pPr>
        </w:p>
      </w:sdtContent>
    </w:sdt>
    <w:p>
      <w:pPr>
        <w:spacing w:before="0" w:after="0"/>
        <w:jc w:val="both"/>
        <w:rPr>
          <w:rFonts w:ascii="Arial" w:eastAsia="Arial" w:hAnsi="Arial" w:cs="Arial"/>
          <w:sz w:val="16"/>
          <w:szCs w:val="16"/>
        </w:rPr>
      </w:pPr>
    </w:p>
    <w:p>
      <w:pPr>
        <w:spacing w:before="0" w:after="0"/>
        <w:jc w:val="both"/>
      </w:pPr>
      <w:r>
        <w:rPr>
          <w:rFonts w:ascii="Arial" w:eastAsia="Arial" w:hAnsi="Arial" w:cs="Arial"/>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4" w:history="1">
        <w:r>
          <w:rPr>
            <w:rFonts w:ascii="Arial" w:eastAsia="Arial" w:hAnsi="Arial" w:cs="Arial"/>
            <w:color w:val="0000FF"/>
            <w:sz w:val="16"/>
            <w:szCs w:val="16"/>
            <w:u w:val="single" w:color="0000FF"/>
          </w:rPr>
          <w:t>www.michelin.es</w:t>
        </w:r>
      </w:hyperlink>
      <w:r>
        <w:rPr>
          <w:rFonts w:ascii="Arial" w:eastAsia="Arial" w:hAnsi="Arial" w:cs="Arial"/>
          <w:sz w:val="16"/>
          <w:szCs w:val="16"/>
        </w:rPr>
        <w:t>).</w:t>
      </w:r>
    </w:p>
    <w:p>
      <w:pPr>
        <w:spacing w:before="0" w:after="0"/>
        <w:jc w:val="both"/>
        <w:rPr>
          <w:rFonts w:ascii="Arial" w:eastAsia="Arial" w:hAnsi="Arial" w:cs="Arial"/>
          <w:sz w:val="16"/>
          <w:szCs w:val="16"/>
        </w:rPr>
      </w:pPr>
    </w:p>
    <w:p>
      <w:pPr>
        <w:spacing w:before="0" w:after="0"/>
        <w:jc w:val="both"/>
        <w:rPr>
          <w:rFonts w:ascii="Arial" w:eastAsia="Arial" w:hAnsi="Arial" w:cs="Arial"/>
          <w:sz w:val="16"/>
          <w:szCs w:val="16"/>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jc w:val="both"/>
        <w:rPr>
          <w:rFonts w:ascii="Arial" w:eastAsia="Arial" w:hAnsi="Arial" w:cs="Arial"/>
          <w:sz w:val="20"/>
          <w:szCs w:val="20"/>
        </w:rPr>
      </w:pPr>
    </w:p>
    <w:p>
      <w:pPr>
        <w:spacing w:before="0" w:after="0" w:line="276" w:lineRule="auto"/>
        <w:jc w:val="center"/>
        <w:rPr>
          <w:sz w:val="28"/>
          <w:szCs w:val="28"/>
        </w:rPr>
      </w:pPr>
      <w:r>
        <w:rPr>
          <w:rFonts w:ascii="Arial" w:eastAsia="Arial" w:hAnsi="Arial" w:cs="Arial"/>
          <w:sz w:val="28"/>
          <w:szCs w:val="28"/>
        </w:rPr>
        <w:t>DEPARTAMENTO DE COMUNICACIÓN MICHELIN</w:t>
      </w:r>
    </w:p>
    <w:p>
      <w:pPr>
        <w:spacing w:before="0" w:after="0" w:line="276" w:lineRule="auto"/>
        <w:ind w:right="1394" w:firstLine="851"/>
        <w:jc w:val="center"/>
        <w:rPr>
          <w:sz w:val="28"/>
          <w:szCs w:val="28"/>
        </w:rPr>
      </w:pPr>
      <w:r>
        <w:rPr>
          <w:rFonts w:ascii="Arial" w:eastAsia="Arial" w:hAnsi="Arial" w:cs="Arial"/>
          <w:sz w:val="28"/>
          <w:szCs w:val="28"/>
        </w:rPr>
        <w:t xml:space="preserve">     </w:t>
      </w:r>
      <w:hyperlink r:id="rId5" w:history="1">
        <w:r>
          <w:rPr>
            <w:rFonts w:ascii="Arial" w:eastAsia="Arial" w:hAnsi="Arial" w:cs="Arial"/>
            <w:color w:val="0000FF"/>
            <w:sz w:val="28"/>
            <w:szCs w:val="28"/>
            <w:u w:val="single" w:color="0000FF"/>
          </w:rPr>
          <w:t>comunicación-ib@michelin.com</w:t>
        </w:r>
      </w:hyperlink>
    </w:p>
    <w:p>
      <w:pPr>
        <w:spacing w:before="0" w:after="0"/>
        <w:jc w:val="center"/>
      </w:pPr>
      <w:r>
        <w:rPr>
          <w:strike w:val="0"/>
          <w:u w:val="none"/>
        </w:rPr>
        <w:drawing>
          <wp:inline>
            <wp:extent cx="1609725" cy="18097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6"/>
                    <a:stretch>
                      <a:fillRect/>
                    </a:stretch>
                  </pic:blipFill>
                  <pic:spPr>
                    <a:xfrm>
                      <a:off x="0" y="0"/>
                      <a:ext cx="1609725" cy="180975"/>
                    </a:xfrm>
                    <a:prstGeom prst="rect">
                      <a:avLst/>
                    </a:prstGeom>
                  </pic:spPr>
                </pic:pic>
              </a:graphicData>
            </a:graphic>
          </wp:inline>
        </w:drawing>
      </w:r>
    </w:p>
    <w:tbl>
      <w:tblPr>
        <w:tblCellMar>
          <w:top w:w="0" w:type="dxa"/>
          <w:left w:w="0" w:type="dxa"/>
          <w:bottom w:w="0" w:type="dxa"/>
          <w:right w:w="0" w:type="dxa"/>
        </w:tblCellMar>
      </w:tblPr>
      <w:tblGrid>
        <w:gridCol w:w="9026"/>
      </w:tblGrid>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hyperlink r:id="rId4" w:history="1">
              <w:r>
                <w:rPr>
                  <w:rFonts w:ascii="Arial" w:eastAsia="Arial" w:hAnsi="Arial" w:cs="Arial"/>
                  <w:b w:val="0"/>
                  <w:bCs w:val="0"/>
                  <w:i w:val="0"/>
                  <w:iCs w:val="0"/>
                  <w:smallCaps w:val="0"/>
                  <w:color w:val="0000FF"/>
                  <w:u w:val="single" w:color="0000FF"/>
                </w:rPr>
                <w:t>www.michelin.es</w:t>
              </w:r>
            </w:hyperlink>
          </w:p>
          <w:p>
            <w:pPr>
              <w:spacing w:before="0" w:after="0"/>
              <w:jc w:val="center"/>
              <w:rPr>
                <w:rFonts w:ascii="Arial" w:eastAsia="Arial" w:hAnsi="Arial" w:cs="Arial"/>
                <w:b w:val="0"/>
                <w:bCs w:val="0"/>
                <w:i w:val="0"/>
                <w:iCs w:val="0"/>
                <w:smallCaps w:val="0"/>
                <w:color w:val="08519D"/>
                <w:sz w:val="24"/>
                <w:szCs w:val="24"/>
              </w:rPr>
            </w:pPr>
          </w:p>
        </w:tc>
      </w:tr>
      <w:tr>
        <w:tblPrEx>
          <w:tblCellMar>
            <w:top w:w="0" w:type="dxa"/>
            <w:left w:w="0" w:type="dxa"/>
            <w:bottom w:w="0" w:type="dxa"/>
            <w:right w:w="0" w:type="dxa"/>
          </w:tblCellMar>
        </w:tblPrEx>
        <w:tc>
          <w:tcPr>
            <w:tcW w:w="9026" w:type="dxa"/>
            <w:noWrap w:val="0"/>
            <w:tcMar>
              <w:top w:w="0" w:type="dxa"/>
              <w:left w:w="113" w:type="dxa"/>
              <w:bottom w:w="0" w:type="dxa"/>
              <w:right w:w="113" w:type="dxa"/>
            </w:tcMar>
            <w:vAlign w:val="top"/>
            <w:hideMark/>
          </w:tcPr>
          <w:p>
            <w:pPr>
              <w:spacing w:before="0" w:after="0"/>
              <w:jc w:val="center"/>
              <w:rPr>
                <w:b w:val="0"/>
                <w:bCs w:val="0"/>
                <w:i w:val="0"/>
                <w:iCs w:val="0"/>
                <w:smallCaps w:val="0"/>
                <w:color w:val="000000"/>
              </w:rPr>
            </w:pPr>
            <w:r>
              <w:rPr>
                <w:b w:val="0"/>
                <w:bCs w:val="0"/>
                <w:i w:val="0"/>
                <w:iCs w:val="0"/>
                <w:smallCaps w:val="0"/>
                <w:color w:val="000000"/>
              </w:rPr>
              <w:t xml:space="preserve">   </w:t>
            </w:r>
            <w:r>
              <w:rPr>
                <w:b w:val="0"/>
                <w:bCs w:val="0"/>
                <w:i w:val="0"/>
                <w:iCs w:val="0"/>
                <w:smallCaps w:val="0"/>
                <w:strike w:val="0"/>
                <w:color w:val="000000"/>
                <w:u w:val="none"/>
              </w:rPr>
              <w:drawing>
                <wp:inline>
                  <wp:extent cx="152400" cy="123825"/>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7"/>
                          <a:stretch>
                            <a:fillRect/>
                          </a:stretch>
                        </pic:blipFill>
                        <pic:spPr>
                          <a:xfrm>
                            <a:off x="0" y="0"/>
                            <a:ext cx="152400" cy="123825"/>
                          </a:xfrm>
                          <a:prstGeom prst="rect">
                            <a:avLst/>
                          </a:prstGeom>
                        </pic:spPr>
                      </pic:pic>
                    </a:graphicData>
                  </a:graphic>
                </wp:inline>
              </w:drawing>
            </w:r>
            <w:hyperlink r:id="rId8" w:history="1">
              <w:r>
                <w:rPr>
                  <w:rFonts w:ascii="Arial" w:eastAsia="Arial" w:hAnsi="Arial" w:cs="Arial"/>
                  <w:b w:val="0"/>
                  <w:bCs w:val="0"/>
                  <w:i w:val="0"/>
                  <w:iCs w:val="0"/>
                  <w:smallCaps w:val="0"/>
                  <w:color w:val="0000FF"/>
                  <w:sz w:val="20"/>
                  <w:szCs w:val="20"/>
                  <w:u w:val="single" w:color="0000FF"/>
                </w:rPr>
                <w:t>@MichelinNews</w:t>
              </w:r>
            </w:hyperlink>
            <w:r>
              <w:rPr>
                <w:rFonts w:ascii="Arial" w:eastAsia="Arial" w:hAnsi="Arial" w:cs="Arial"/>
                <w:b w:val="0"/>
                <w:bCs w:val="0"/>
                <w:i w:val="0"/>
                <w:iCs w:val="0"/>
                <w:smallCaps w:val="0"/>
                <w:color w:val="08519D"/>
                <w:sz w:val="20"/>
                <w:szCs w:val="20"/>
              </w:rPr>
              <w:t xml:space="preserve">  </w:t>
            </w:r>
            <w:r>
              <w:rPr>
                <w:b w:val="0"/>
                <w:bCs w:val="0"/>
                <w:i w:val="0"/>
                <w:iCs w:val="0"/>
                <w:smallCaps w:val="0"/>
                <w:strike w:val="0"/>
                <w:color w:val="000000"/>
                <w:u w:val="none"/>
              </w:rPr>
              <w:drawing>
                <wp:inline>
                  <wp:extent cx="161925" cy="161925"/>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9"/>
                          <a:stretch>
                            <a:fillRect/>
                          </a:stretch>
                        </pic:blipFill>
                        <pic:spPr>
                          <a:xfrm>
                            <a:off x="0" y="0"/>
                            <a:ext cx="161925" cy="161925"/>
                          </a:xfrm>
                          <a:prstGeom prst="rect">
                            <a:avLst/>
                          </a:prstGeom>
                        </pic:spPr>
                      </pic:pic>
                    </a:graphicData>
                  </a:graphic>
                </wp:inline>
              </w:drawing>
            </w:r>
            <w:r>
              <w:rPr>
                <w:rFonts w:ascii="Arial" w:eastAsia="Arial" w:hAnsi="Arial" w:cs="Arial"/>
                <w:b w:val="0"/>
                <w:bCs w:val="0"/>
                <w:i w:val="0"/>
                <w:iCs w:val="0"/>
                <w:smallCaps w:val="0"/>
                <w:color w:val="08519D"/>
                <w:sz w:val="20"/>
                <w:szCs w:val="20"/>
              </w:rPr>
              <w:t xml:space="preserve"> </w:t>
            </w:r>
            <w:hyperlink r:id="rId10" w:history="1">
              <w:r>
                <w:rPr>
                  <w:rFonts w:ascii="Arial" w:eastAsia="Arial" w:hAnsi="Arial" w:cs="Arial"/>
                  <w:b w:val="0"/>
                  <w:bCs w:val="0"/>
                  <w:i w:val="0"/>
                  <w:iCs w:val="0"/>
                  <w:smallCaps w:val="0"/>
                  <w:color w:val="0000FF"/>
                  <w:sz w:val="20"/>
                  <w:szCs w:val="20"/>
                  <w:u w:val="single" w:color="0000FF"/>
                </w:rPr>
                <w:t>@Michelinespana</w:t>
              </w:r>
            </w:hyperlink>
            <w:r>
              <w:rPr>
                <w:rFonts w:ascii="Arial" w:eastAsia="Arial" w:hAnsi="Arial" w:cs="Arial"/>
                <w:b w:val="0"/>
                <w:bCs w:val="0"/>
                <w:i w:val="0"/>
                <w:iCs w:val="0"/>
                <w:smallCaps w:val="0"/>
                <w:color w:val="08519D"/>
                <w:sz w:val="20"/>
                <w:szCs w:val="20"/>
              </w:rPr>
              <w:t xml:space="preserve">  </w:t>
            </w:r>
            <w:r>
              <w:rPr>
                <w:b w:val="0"/>
                <w:bCs w:val="0"/>
                <w:i w:val="0"/>
                <w:iCs w:val="0"/>
                <w:smallCaps w:val="0"/>
                <w:strike w:val="0"/>
                <w:color w:val="000000"/>
                <w:u w:val="none"/>
              </w:rPr>
              <w:drawing>
                <wp:inline>
                  <wp:extent cx="161925" cy="161925"/>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1"/>
                          <a:stretch>
                            <a:fillRect/>
                          </a:stretch>
                        </pic:blipFill>
                        <pic:spPr>
                          <a:xfrm>
                            <a:off x="0" y="0"/>
                            <a:ext cx="161925" cy="161925"/>
                          </a:xfrm>
                          <a:prstGeom prst="rect">
                            <a:avLst/>
                          </a:prstGeom>
                        </pic:spPr>
                      </pic:pic>
                    </a:graphicData>
                  </a:graphic>
                </wp:inline>
              </w:drawing>
            </w:r>
            <w:r>
              <w:rPr>
                <w:rFonts w:ascii="Arial" w:eastAsia="Arial" w:hAnsi="Arial" w:cs="Arial"/>
                <w:b w:val="0"/>
                <w:bCs w:val="0"/>
                <w:i w:val="0"/>
                <w:iCs w:val="0"/>
                <w:smallCaps w:val="0"/>
                <w:color w:val="08519D"/>
                <w:sz w:val="20"/>
                <w:szCs w:val="20"/>
              </w:rPr>
              <w:t xml:space="preserve"> </w:t>
            </w:r>
            <w:hyperlink r:id="rId12" w:history="1">
              <w:r>
                <w:rPr>
                  <w:rFonts w:ascii="Arial" w:eastAsia="Arial" w:hAnsi="Arial" w:cs="Arial"/>
                  <w:b w:val="0"/>
                  <w:bCs w:val="0"/>
                  <w:i w:val="0"/>
                  <w:iCs w:val="0"/>
                  <w:smallCaps w:val="0"/>
                  <w:color w:val="0000FF"/>
                  <w:sz w:val="20"/>
                  <w:szCs w:val="20"/>
                  <w:u w:val="single" w:color="0000FF"/>
                </w:rPr>
                <w:t>@Michelinespana</w:t>
              </w:r>
            </w:hyperlink>
            <w:r>
              <w:rPr>
                <w:rFonts w:ascii="Arial" w:eastAsia="Arial" w:hAnsi="Arial" w:cs="Arial"/>
                <w:b w:val="0"/>
                <w:bCs w:val="0"/>
                <w:i w:val="0"/>
                <w:iCs w:val="0"/>
                <w:smallCaps w:val="0"/>
                <w:color w:val="08519D"/>
                <w:sz w:val="20"/>
                <w:szCs w:val="20"/>
              </w:rPr>
              <w:t xml:space="preserve">  </w:t>
            </w:r>
            <w:r>
              <w:rPr>
                <w:b w:val="0"/>
                <w:bCs w:val="0"/>
                <w:i w:val="0"/>
                <w:iCs w:val="0"/>
                <w:smallCaps w:val="0"/>
                <w:strike w:val="0"/>
                <w:color w:val="000000"/>
                <w:u w:val="none"/>
              </w:rPr>
              <w:drawing>
                <wp:inline>
                  <wp:extent cx="171450" cy="171450"/>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13"/>
                          <a:stretch>
                            <a:fillRect/>
                          </a:stretch>
                        </pic:blipFill>
                        <pic:spPr>
                          <a:xfrm>
                            <a:off x="0" y="0"/>
                            <a:ext cx="171450" cy="171450"/>
                          </a:xfrm>
                          <a:prstGeom prst="rect">
                            <a:avLst/>
                          </a:prstGeom>
                        </pic:spPr>
                      </pic:pic>
                    </a:graphicData>
                  </a:graphic>
                </wp:inline>
              </w:drawing>
            </w:r>
            <w:r>
              <w:rPr>
                <w:rFonts w:ascii="Arial" w:eastAsia="Arial" w:hAnsi="Arial" w:cs="Arial"/>
                <w:b w:val="0"/>
                <w:bCs w:val="0"/>
                <w:i w:val="0"/>
                <w:iCs w:val="0"/>
                <w:smallCaps w:val="0"/>
                <w:color w:val="08519D"/>
                <w:sz w:val="20"/>
                <w:szCs w:val="20"/>
              </w:rPr>
              <w:t xml:space="preserve"> </w:t>
            </w:r>
            <w:hyperlink r:id="rId14" w:history="1">
              <w:r>
                <w:rPr>
                  <w:rFonts w:ascii="Arial" w:eastAsia="Arial" w:hAnsi="Arial" w:cs="Arial"/>
                  <w:b w:val="0"/>
                  <w:bCs w:val="0"/>
                  <w:i w:val="0"/>
                  <w:iCs w:val="0"/>
                  <w:smallCaps w:val="0"/>
                  <w:color w:val="0000FF"/>
                  <w:sz w:val="20"/>
                  <w:szCs w:val="20"/>
                  <w:u w:val="single" w:color="0000FF"/>
                </w:rPr>
                <w:t>@Michelin</w:t>
              </w:r>
            </w:hyperlink>
          </w:p>
        </w:tc>
      </w:tr>
    </w:tbl>
    <w:p>
      <w:pPr>
        <w:spacing w:before="0" w:after="0"/>
        <w:jc w:val="center"/>
        <w:rPr>
          <w:rFonts w:ascii="Arial" w:eastAsia="Arial" w:hAnsi="Arial" w:cs="Arial"/>
          <w:sz w:val="24"/>
          <w:szCs w:val="24"/>
        </w:rPr>
      </w:pPr>
    </w:p>
    <w:p>
      <w:pPr>
        <w:spacing w:before="0" w:after="0"/>
        <w:jc w:val="center"/>
      </w:pPr>
      <w:r>
        <w:rPr>
          <w:rFonts w:ascii="Arial" w:eastAsia="Arial" w:hAnsi="Arial" w:cs="Arial"/>
        </w:rPr>
        <w:t>Ronda de Poniente, 6 – 28760 Tres Cantos – Madrid. ESPAÑA</w:t>
      </w:r>
    </w:p>
    <w:p>
      <w:pPr>
        <w:spacing w:before="0" w:after="0" w:line="276" w:lineRule="auto"/>
        <w:jc w:val="center"/>
        <w:rPr>
          <w:rFonts w:ascii="Arial" w:eastAsia="Arial" w:hAnsi="Arial" w:cs="Arial"/>
          <w:sz w:val="24"/>
          <w:szCs w:val="24"/>
        </w:rPr>
      </w:pPr>
    </w:p>
    <w:sectPr>
      <w:headerReference w:type="default" r:id="rId15"/>
      <w:type w:val="nextPage"/>
      <w:pgSz w:w="11906" w:h="16838"/>
      <w:pgMar w:top="1832" w:right="1440" w:bottom="1440"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rPr>
        <w:strike w:val="0"/>
        <w:u w:val="none"/>
      </w:rPr>
      <w:drawing>
        <wp:inline>
          <wp:extent cx="7515225" cy="8382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7515225" cy="838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acebook.com/michelinespana/" TargetMode="External" /><Relationship Id="rId11" Type="http://schemas.openxmlformats.org/officeDocument/2006/relationships/image" Target="media/image4.png" /><Relationship Id="rId12" Type="http://schemas.openxmlformats.org/officeDocument/2006/relationships/hyperlink" Target="https://www.instagram.com/michelinespana/" TargetMode="External" /><Relationship Id="rId13" Type="http://schemas.openxmlformats.org/officeDocument/2006/relationships/image" Target="media/image5.png" /><Relationship Id="rId14" Type="http://schemas.openxmlformats.org/officeDocument/2006/relationships/hyperlink" Target="https://www.linkedin.com/company/michelin/" TargetMode="External" /><Relationship Id="rId15" Type="http://schemas.openxmlformats.org/officeDocument/2006/relationships/header" Target="header1.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michelin.es" TargetMode="External" /><Relationship Id="rId5" Type="http://schemas.openxmlformats.org/officeDocument/2006/relationships/hyperlink" Target="mailto:comunicaci&#243;n-ib@michelin.com" TargetMode="Externa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hyperlink" Target="https://twitter.com/MichelinNews" TargetMode="External"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6.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9DDECDE-1BC2-4207-8043-3B211F59BB9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