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5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Madrid, 13 de febrero, 2023</w:t>
      </w:r>
    </w:p>
    <w:sdt>
      <w:sdtPr>
        <w:id w:val="2072739860"/>
        <w:placeholder>
          <w:docPart w:val="DefaultPlaceholder_22675703"/>
        </w:placeholder>
        <w:richText/>
      </w:sdtPr>
      <w:sdtContent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8"/>
              <w:szCs w:val="28"/>
            </w:rPr>
          </w:pP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>Resultados financieros del Grupo MICHELIN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br/>
          </w:r>
        </w:p>
        <w:p>
          <w:pPr>
            <w:spacing w:before="0" w:after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Información financiera a 31 de diciembre de 2022</w:t>
          </w:r>
        </w:p>
        <w:p>
          <w:pPr>
            <w:spacing w:before="0" w:after="0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  <w:p>
          <w:pPr>
            <w:spacing w:before="0" w:after="0" w:line="276" w:lineRule="auto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El grupo Michelin cumplió su previsión de ingresos operativos del segmento al alcanzar los 3.400 millones de euros, con un aumento de las ventas del 20,2% en 2022</w:t>
          </w:r>
        </w:p>
        <w:p>
          <w:pPr>
            <w:spacing w:before="0" w:after="0" w:line="276" w:lineRule="auto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En un mercado turbulento y un contexto altamente inflacionario, las ventas de Michelin aumentaron a 28.600 millones de euros y los ingresos operativos de los segmentos totalizaron 3.400 millones de euros. El </w:t>
          </w:r>
          <w:r>
            <w:rPr>
              <w:rFonts w:ascii="Arial" w:eastAsia="Arial" w:hAnsi="Arial" w:cs="Arial"/>
              <w:i/>
              <w:iCs/>
              <w:sz w:val="20"/>
              <w:szCs w:val="20"/>
            </w:rPr>
            <w:t>cash flow</w:t>
          </w:r>
          <w:r>
            <w:rPr>
              <w:rFonts w:ascii="Arial" w:eastAsia="Arial" w:hAnsi="Arial" w:cs="Arial"/>
              <w:sz w:val="20"/>
              <w:szCs w:val="20"/>
            </w:rPr>
            <w:t xml:space="preserve"> libre se vio afectado puntualmente por la inflación y las operaciones de fin de año. Durante el período 2019-2022, el Grupo ha demostrado la resiliencia de su modelo de negocio. Las ventas aumentaron un 20,2% hasta los 28.600 millones de euros, impulsadas por una firme disciplina de precios y el rápido crecimiento de las ventas de productos no relacionados con los neumáticos: </w:t>
          </w:r>
        </w:p>
        <w:p>
          <w:pPr>
            <w:numPr>
              <w:ilvl w:val="0"/>
              <w:numId w:val="1"/>
            </w:numPr>
            <w:pBdr>
              <w:left w:val="none" w:sz="0" w:space="3" w:color="auto"/>
            </w:pBdr>
            <w:spacing w:before="0"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Los mercados de neumáticos aumentan ligeramente en 2022, respaldados por las ventas en primeros equipos y la demanda sostenida de los clientes de neumáticos para camiones y minería.</w:t>
          </w:r>
        </w:p>
        <w:p>
          <w:pPr>
            <w:numPr>
              <w:ilvl w:val="0"/>
              <w:numId w:val="1"/>
            </w:numPr>
            <w:pBdr>
              <w:left w:val="none" w:sz="0" w:space="3" w:color="auto"/>
            </w:pBdr>
            <w:spacing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Los volúmenes de ventas de neumáticos disminuyen, principalmente afectados por el conflicto en Ucrania y las consecuencias de la COVID en China, y reflejando la prioridad del Grupo en la protección de márgenes.</w:t>
          </w:r>
        </w:p>
        <w:p>
          <w:pPr>
            <w:numPr>
              <w:ilvl w:val="0"/>
              <w:numId w:val="1"/>
            </w:numPr>
            <w:pBdr>
              <w:left w:val="none" w:sz="0" w:space="3" w:color="auto"/>
            </w:pBdr>
            <w:spacing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El efecto precio-mix se sitúa en el 13,7%, demostrando la voluntad del Grupo de compensar todos los factores de inflación de costes.</w:t>
          </w:r>
        </w:p>
        <w:p>
          <w:pPr>
            <w:numPr>
              <w:ilvl w:val="0"/>
              <w:numId w:val="1"/>
            </w:numPr>
            <w:pBdr>
              <w:left w:val="none" w:sz="0" w:space="3" w:color="auto"/>
            </w:pBdr>
            <w:spacing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Las ventas de productos no relacionados con los neumáticos crecieron un 22% a tipos de cambio constantes, lo que confirma su fuerte impulso.</w:t>
          </w:r>
        </w:p>
        <w:p>
          <w:pPr>
            <w:numPr>
              <w:ilvl w:val="0"/>
              <w:numId w:val="1"/>
            </w:numPr>
            <w:pBdr>
              <w:left w:val="none" w:sz="0" w:space="3" w:color="auto"/>
            </w:pBdr>
            <w:spacing w:after="0"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Un efecto de cambio positivo del 6,2%, liderado por el dólar estadounidense.</w:t>
          </w:r>
        </w:p>
        <w:p>
          <w:pPr>
            <w:spacing w:before="24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Los ingresos operativos del segmento ascendieron a 3.400 millones de euros o el 11,9% de las ventas, impulsados por la gestión dinámica de precios:</w:t>
          </w:r>
        </w:p>
        <w:p>
          <w:pPr>
            <w:numPr>
              <w:ilvl w:val="0"/>
              <w:numId w:val="2"/>
            </w:numPr>
            <w:pBdr>
              <w:left w:val="none" w:sz="0" w:space="3" w:color="auto"/>
            </w:pBdr>
            <w:spacing w:before="0"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El control de los precios ha permitido mantener la integridad del margen unitario, compensando un récord de 2700 millones de euros de aumento de costos.</w:t>
          </w:r>
        </w:p>
        <w:p>
          <w:pPr>
            <w:numPr>
              <w:ilvl w:val="0"/>
              <w:numId w:val="2"/>
            </w:numPr>
            <w:pBdr>
              <w:left w:val="none" w:sz="0" w:space="3" w:color="auto"/>
            </w:pBdr>
            <w:spacing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El margen operativo reflejó un efecto dilutivo de 1,2 puntos por los aumentos de precios.</w:t>
          </w:r>
        </w:p>
        <w:p>
          <w:pPr>
            <w:numPr>
              <w:ilvl w:val="0"/>
              <w:numId w:val="2"/>
            </w:numPr>
            <w:pBdr>
              <w:left w:val="none" w:sz="0" w:space="3" w:color="auto"/>
            </w:pBdr>
            <w:spacing w:after="0"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Cada segmento de actividad contribuyó a mejorar los ingresos operativos de los sectores, con un margen en el sector de Especialidades que alcanzó el 16,2% en el segundo semestre.</w:t>
          </w:r>
        </w:p>
        <w:p>
          <w:pPr>
            <w:spacing w:before="24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i/>
              <w:iCs/>
              <w:sz w:val="20"/>
              <w:szCs w:val="20"/>
            </w:rPr>
            <w:t>Cash flow</w:t>
          </w:r>
          <w:r>
            <w:rPr>
              <w:rFonts w:ascii="Arial" w:eastAsia="Arial" w:hAnsi="Arial" w:cs="Arial"/>
              <w:sz w:val="20"/>
              <w:szCs w:val="20"/>
            </w:rPr>
            <w:t xml:space="preserve"> libre antes de adquisiciones de -104 millones de euros. </w:t>
          </w:r>
          <w:r>
            <w:rPr>
              <w:rFonts w:ascii="Arial" w:eastAsia="Arial" w:hAnsi="Arial" w:cs="Arial"/>
              <w:i/>
              <w:iCs/>
              <w:sz w:val="20"/>
              <w:szCs w:val="20"/>
            </w:rPr>
            <w:t>Cash flow</w:t>
          </w:r>
          <w:r>
            <w:rPr>
              <w:rFonts w:ascii="Arial" w:eastAsia="Arial" w:hAnsi="Arial" w:cs="Arial"/>
              <w:sz w:val="20"/>
              <w:szCs w:val="20"/>
            </w:rPr>
            <w:t xml:space="preserve"> libre estructural</w:t>
          </w:r>
          <w:r>
            <w:rPr>
              <w:rFonts w:ascii="Utopia" w:eastAsia="Utopia" w:hAnsi="Utopia" w:cs="Utopia"/>
              <w:color w:val="000000"/>
              <w:sz w:val="20"/>
              <w:szCs w:val="20"/>
              <w:u w:val="none"/>
              <w:vertAlign w:val="superscript"/>
            </w:rPr>
            <w:footnoteReference w:id="2"/>
          </w:r>
          <w:r>
            <w:rPr>
              <w:rFonts w:ascii="Arial" w:eastAsia="Arial" w:hAnsi="Arial" w:cs="Arial"/>
              <w:sz w:val="20"/>
              <w:szCs w:val="20"/>
            </w:rPr>
            <w:t xml:space="preserve"> de +378 millones de euros:</w:t>
          </w:r>
        </w:p>
        <w:p>
          <w:pPr>
            <w:numPr>
              <w:ilvl w:val="0"/>
              <w:numId w:val="3"/>
            </w:numPr>
            <w:pBdr>
              <w:left w:val="none" w:sz="0" w:space="3" w:color="auto"/>
            </w:pBdr>
            <w:spacing w:before="0"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Impacto puntual de la inflación en el capital circulante, reduciendo el </w:t>
          </w:r>
          <w:r>
            <w:rPr>
              <w:rFonts w:ascii="Arial" w:eastAsia="Arial" w:hAnsi="Arial" w:cs="Arial"/>
              <w:i/>
              <w:iCs/>
              <w:sz w:val="20"/>
              <w:szCs w:val="20"/>
            </w:rPr>
            <w:t>cash flow</w:t>
          </w:r>
          <w:r>
            <w:rPr>
              <w:rFonts w:ascii="Arial" w:eastAsia="Arial" w:hAnsi="Arial" w:cs="Arial"/>
              <w:sz w:val="20"/>
              <w:szCs w:val="20"/>
            </w:rPr>
            <w:t xml:space="preserve"> libre estructural en unos 500 millones de euros</w:t>
          </w:r>
        </w:p>
        <w:p>
          <w:pPr>
            <w:numPr>
              <w:ilvl w:val="0"/>
              <w:numId w:val="3"/>
            </w:numPr>
            <w:pBdr>
              <w:left w:val="none" w:sz="0" w:space="3" w:color="auto"/>
            </w:pBdr>
            <w:spacing w:after="0" w:line="276" w:lineRule="auto"/>
            <w:ind w:left="567" w:right="0" w:hanging="28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4º trimestre penalizado por recortes de compras y ventas de diciembre de 300 millones de euros, que se compensarán en el primer trimestre de 2023.</w:t>
          </w:r>
        </w:p>
        <w:p>
          <w:pPr>
            <w:spacing w:before="24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El resultado general del Grupo mejoró en línea con los objetivos del plan estratégico “Michelin in Motion 2030” establecidos para cada uno de sus tres pilares People, Profit, Planet:</w:t>
          </w:r>
        </w:p>
        <w:p>
          <w:pPr>
            <w:numPr>
              <w:ilvl w:val="0"/>
              <w:numId w:val="4"/>
            </w:numPr>
            <w:pBdr>
              <w:left w:val="none" w:sz="0" w:space="7" w:color="auto"/>
            </w:pBdr>
            <w:spacing w:before="0" w:line="276" w:lineRule="auto"/>
            <w:ind w:left="1080" w:right="0" w:hanging="36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Sólida y creciente tasa de compromiso de los empleados del 83%</w:t>
          </w:r>
        </w:p>
        <w:p>
          <w:pPr>
            <w:numPr>
              <w:ilvl w:val="0"/>
              <w:numId w:val="4"/>
            </w:numPr>
            <w:pBdr>
              <w:left w:val="none" w:sz="0" w:space="7" w:color="auto"/>
            </w:pBdr>
            <w:spacing w:line="276" w:lineRule="auto"/>
            <w:ind w:left="1080" w:right="0" w:hanging="36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Reducción en un 17% vs. 2021 de las emisiones de CO</w:t>
          </w:r>
          <w:r>
            <w:rPr>
              <w:rFonts w:ascii="Arial" w:eastAsia="Arial" w:hAnsi="Arial" w:cs="Arial"/>
              <w:sz w:val="20"/>
              <w:szCs w:val="20"/>
              <w:vertAlign w:val="subscript"/>
            </w:rPr>
            <w:t>2</w:t>
          </w:r>
          <w:r>
            <w:rPr>
              <w:rFonts w:ascii="Arial" w:eastAsia="Arial" w:hAnsi="Arial" w:cs="Arial"/>
              <w:sz w:val="20"/>
              <w:szCs w:val="20"/>
            </w:rPr>
            <w:t xml:space="preserve"> para los alcances 1 y 2 </w:t>
          </w:r>
        </w:p>
        <w:p>
          <w:pPr>
            <w:numPr>
              <w:ilvl w:val="0"/>
              <w:numId w:val="4"/>
            </w:numPr>
            <w:pBdr>
              <w:left w:val="none" w:sz="0" w:space="7" w:color="auto"/>
            </w:pBdr>
            <w:spacing w:after="0" w:line="276" w:lineRule="auto"/>
            <w:ind w:left="1080" w:right="0" w:hanging="360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La tasa de materiales sostenibles en neumáticos alcanzó un promedio de 30%</w:t>
          </w:r>
        </w:p>
        <w:p>
          <w:pPr>
            <w:spacing w:before="24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El beneficio neto alcanzó los 2.000 millones de euros en el año. Se propondrá un dividendo de 1,25 € por acción en la junta general anual de mayo de 2023.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numPr>
              <w:ilvl w:val="0"/>
              <w:numId w:val="5"/>
            </w:numPr>
            <w:pBdr>
              <w:left w:val="none" w:sz="0" w:space="8" w:color="auto"/>
            </w:pBdr>
            <w:spacing w:before="0" w:after="0" w:line="276" w:lineRule="auto"/>
            <w:ind w:left="36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Florent Menegaux, presidente, ha declarado: </w:t>
          </w:r>
          <w:r>
            <w:rPr>
              <w:rFonts w:ascii="Arial" w:eastAsia="Arial" w:hAnsi="Arial" w:cs="Arial"/>
              <w:i/>
              <w:iCs/>
              <w:sz w:val="20"/>
              <w:szCs w:val="20"/>
            </w:rPr>
            <w:t>“En un entorno caótico afectado por una combinación de crisis sistémicas, Michelin obtuvo resultados sólidos en 2022. Con nuestro futuro en mente, mantuvimos todas nuestras inversiones industriales y de I+D. Quiero reconocer el compromiso de nuestro personal que contribuye año tras año al desarrollo exitoso de nuestro Grupo”</w:t>
          </w:r>
          <w:r>
            <w:rPr>
              <w:rFonts w:ascii="Arial" w:eastAsia="Arial" w:hAnsi="Arial" w:cs="Arial"/>
              <w:sz w:val="20"/>
              <w:szCs w:val="20"/>
            </w:rPr>
            <w:t>.</w:t>
          </w:r>
        </w:p>
        <w:p>
          <w:pPr>
            <w:spacing w:before="0" w:after="0"/>
            <w:ind w:left="720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numPr>
              <w:ilvl w:val="0"/>
              <w:numId w:val="6"/>
            </w:numPr>
            <w:pBdr>
              <w:left w:val="none" w:sz="0" w:space="8" w:color="auto"/>
            </w:pBdr>
            <w:spacing w:before="0" w:after="0" w:line="276" w:lineRule="auto"/>
            <w:ind w:left="36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Perspectivas 2023:</w:t>
          </w:r>
          <w:r>
            <w:rPr>
              <w:rFonts w:ascii="Utopia" w:eastAsia="Utopia" w:hAnsi="Utopia" w:cs="Utopia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en un escenario de demanda de mercado débil, el objetivo de Michelin es alcanzar unos ingresos operativos de los sectores superiores a 3.200 millones de euros a tipos de cambio constantes y un </w:t>
          </w:r>
          <w:r>
            <w:rPr>
              <w:rFonts w:ascii="Arial" w:eastAsia="Arial" w:hAnsi="Arial" w:cs="Arial"/>
              <w:i/>
              <w:iCs/>
              <w:sz w:val="20"/>
              <w:szCs w:val="20"/>
            </w:rPr>
            <w:t>cash flow</w:t>
          </w:r>
          <w:r>
            <w:rPr>
              <w:rFonts w:ascii="Arial" w:eastAsia="Arial" w:hAnsi="Arial" w:cs="Arial"/>
              <w:sz w:val="20"/>
              <w:szCs w:val="20"/>
            </w:rPr>
            <w:t xml:space="preserve"> libre antes de adquisiciones de más de 1.600 millones de euros.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 w:line="276" w:lineRule="auto"/>
            <w:jc w:val="both"/>
            <w:rPr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Resultados del Grupo Michelin 2022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tbl>
          <w:tblPr>
            <w:tblW w:w="4934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21"/>
            <w:gridCol w:w="1699"/>
            <w:gridCol w:w="1418"/>
            <w:gridCol w:w="1559"/>
          </w:tblGrid>
          <w:tr>
            <w:tblPrEx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332"/>
            </w:trPr>
            <w:tc>
              <w:tcPr>
                <w:tcW w:w="2372" w:type="pct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center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EN MILLONES DE EUROS)</w:t>
                </w:r>
              </w:p>
            </w:tc>
            <w:tc>
              <w:tcPr>
                <w:tcW w:w="955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center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2022</w:t>
                </w:r>
              </w:p>
            </w:tc>
            <w:tc>
              <w:tcPr>
                <w:tcW w:w="797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center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2021</w:t>
                </w:r>
              </w:p>
            </w:tc>
            <w:tc>
              <w:tcPr>
                <w:tcW w:w="876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D9D9D9"/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center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2020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 xml:space="preserve">Ventas 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28.590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23.795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20.469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Resultado operacional de los sectores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3.396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2.966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1.878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199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Margen operacional de los sectores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11,9 %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12,5 %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9,2 %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 xml:space="preserve">Turismo, camioneta y distribución asociada 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12,1 %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13,7 %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8,3 %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 xml:space="preserve">Camión y distribución asociada 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8,6 %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9,6 %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5,6 %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Actividades de especialidades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14,9 %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13,0 %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14,8 %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Otros Ingresos y gastos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- 375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- 189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- 475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Resultado operacional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3.021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2.777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1.403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 xml:space="preserve">Resultado neto 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2.009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1.845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625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Resultado neto por acción</w:t>
                </w: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2,81 €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2,58 €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0,88 €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rFonts w:ascii="Calibri" w:eastAsia="Calibri" w:hAnsi="Calibri" w:cs="Calibri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Dividendo por acción</w:t>
                </w: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  <w:vertAlign w:val="superscript"/>
                  </w:rPr>
                  <w:t>2</w:t>
                </w:r>
                <w:r>
                  <w:rPr>
                    <w:rFonts w:ascii="Calibri" w:eastAsia="Calibri" w:hAnsi="Calibri" w:cs="Calibri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  <w:vertAlign w:val="superscript"/>
                  </w:rPr>
                  <w:tab/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1,25 €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1,125 €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0,575 €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EBITDA de los sectores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5.262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4.700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3.631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Inversiones (sin adquisiciones)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2.141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1.705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1.221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Endeudamiento neto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4.320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2.789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3.531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Porcentaje de endeudamiento neto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25,2 %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18,6 %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28,0 %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Deuda social</w:t>
                </w: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 xml:space="preserve">  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2.561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3.362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3.700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Cash flow libre</w:t>
                </w: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  <w:vertAlign w:val="superscript"/>
                  </w:rPr>
                  <w:t>3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- 180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1.357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2.004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Cash flow libre estructural</w:t>
                </w: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  <w:vertAlign w:val="superscript"/>
                  </w:rPr>
                  <w:t>4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378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1.793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2.010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74"/>
            </w:trPr>
            <w:tc>
              <w:tcPr>
                <w:tcW w:w="2372" w:type="pct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ROCE</w:t>
                </w: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  <w:vertAlign w:val="superscript"/>
                  </w:rPr>
                  <w:t>5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10,8 %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10,3 %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6,0 %</w:t>
                </w:r>
              </w:p>
            </w:tc>
          </w:tr>
          <w:tr>
            <w:tblPrEx>
              <w:tblW w:w="4934" w:type="pct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4"/>
            </w:trPr>
            <w:tc>
              <w:tcPr>
                <w:tcW w:w="2372" w:type="pct"/>
                <w:tcBorders>
                  <w:top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both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</w:rPr>
                  <w:t>Efectivo inscrito</w:t>
                </w:r>
                <w:r>
                  <w:rPr>
                    <w:rFonts w:ascii="Arial" w:eastAsia="Arial" w:hAnsi="Arial" w:cs="Arial"/>
                    <w:b w:val="0"/>
                    <w:bCs w:val="0"/>
                    <w:i w:val="0"/>
                    <w:iCs w:val="0"/>
                    <w:smallCaps w:val="0"/>
                    <w:color w:val="000000"/>
                    <w:sz w:val="20"/>
                    <w:szCs w:val="20"/>
                    <w:vertAlign w:val="superscript"/>
                  </w:rPr>
                  <w:t>6</w:t>
                </w:r>
              </w:p>
            </w:tc>
            <w:tc>
              <w:tcPr>
                <w:tcW w:w="955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132.200</w:t>
                </w:r>
              </w:p>
            </w:tc>
            <w:tc>
              <w:tcPr>
                <w:tcW w:w="797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124.760</w:t>
                </w:r>
              </w:p>
            </w:tc>
            <w:tc>
              <w:tcPr>
                <w:tcW w:w="876" w:type="pct"/>
                <w:tcBorders>
                  <w:top w:val="single" w:sz="4" w:space="0" w:color="000000"/>
                  <w:left w:val="single" w:sz="4" w:space="0" w:color="000000"/>
                </w:tcBorders>
                <w:noWrap w:val="0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top"/>
                <w:hideMark/>
              </w:tcPr>
              <w:p>
                <w:pPr>
                  <w:spacing w:before="0" w:after="0" w:line="276" w:lineRule="auto"/>
                  <w:jc w:val="right"/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</w:pP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 xml:space="preserve"> </w:t>
                </w:r>
                <w:r>
                  <w:rPr>
                    <w:b w:val="0"/>
                    <w:bCs w:val="0"/>
                    <w:i w:val="0"/>
                    <w:iCs w:val="0"/>
                    <w:smallCaps w:val="0"/>
                    <w:color w:val="000000"/>
                  </w:rPr>
                  <w:t>123.600</w:t>
                </w:r>
              </w:p>
            </w:tc>
          </w:tr>
        </w:tbl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60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1 Los resultados por acción de 2021 y 2020 se han reexpresado para reflejar la división de acciones de cuatro por uno el 16 de junio de 2022.</w:t>
          </w:r>
        </w:p>
        <w:p>
          <w:pPr>
            <w:spacing w:before="0" w:after="60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2021 publicado: 10,31 €; 2020 publicado: 3,52 €.</w:t>
          </w:r>
        </w:p>
        <w:p>
          <w:pPr>
            <w:spacing w:before="0" w:after="60"/>
            <w:ind w:left="284" w:hanging="284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2 Dividendo 2022 sujeto a aprobación por la Asamblea General Ordinaria de Accionistas el 12 de mayo de 2023.</w:t>
          </w:r>
        </w:p>
        <w:p>
          <w:pPr>
            <w:spacing w:before="0" w:after="60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3 Cash flow libre: Flujo de caja de las operaciones menos flujo de caja de las inversiones ajustado por el flujo de caja neto de los activos financieros de gestión de tesorería y de garantía de préstamos</w:t>
          </w:r>
        </w:p>
        <w:p>
          <w:pPr>
            <w:spacing w:before="0" w:after="60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4 Cash flow libre estructural: flujo de caja libre antes de las adquisiciones, ajustado por el efecto de los cambios en los precios de las materias primas en las cuentas a cobrar, las cuentas a pagar y los inventarios.</w:t>
          </w:r>
        </w:p>
        <w:p>
          <w:pPr>
            <w:spacing w:before="0" w:after="60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5 Para el cálculo del ROCE se suma al resultado operacional de los sectores, la amortización de los activos intangibles adquiridos y el resultado de las sociedades contabilizadas por puesta en equivalencia. El ROCE se calcula después de impuestos, sobre la base de una tasa estándar del 25%.</w:t>
          </w:r>
        </w:p>
        <w:p>
          <w:pPr>
            <w:spacing w:before="0" w:after="60"/>
            <w:rPr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6 Al final del período.</w:t>
          </w:r>
        </w:p>
        <w:p>
          <w:pPr>
            <w:spacing w:before="0" w:after="120"/>
            <w:ind w:left="284"/>
            <w:rPr>
              <w:rFonts w:ascii="Arial" w:eastAsia="Arial" w:hAnsi="Arial" w:cs="Arial"/>
              <w:sz w:val="14"/>
              <w:szCs w:val="14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>
      <w:pPr>
        <w:spacing w:before="0" w:after="0"/>
        <w:jc w:val="both"/>
      </w:pPr>
      <w:r>
        <w:rPr>
          <w:rFonts w:ascii="Arial" w:eastAsia="Arial" w:hAnsi="Arial" w:cs="Arial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177 países, emplea a más de 124.760 personas y dispone de 68 centros de producción de neumáticos que en 2021 han fabricado 173 millones de neumáticos. (</w:t>
      </w:r>
      <w:hyperlink r:id="rId5" w:history="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www.michelin.es</w:t>
        </w:r>
      </w:hyperlink>
      <w:r>
        <w:rPr>
          <w:rFonts w:ascii="Arial" w:eastAsia="Arial" w:hAnsi="Arial" w:cs="Arial"/>
          <w:sz w:val="16"/>
          <w:szCs w:val="16"/>
        </w:rPr>
        <w:t>).</w:t>
      </w: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tabs>
          <w:tab w:val="left" w:pos="2192"/>
        </w:tabs>
        <w:spacing w:before="0"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DEPARTAMENTO DE COMUNICACIÓN CORPORATIVA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+34 629 865 612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hugo.ureta-alonso@michelin.com</w:t>
      </w:r>
    </w:p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1609725" cy="180975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5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www.michelin.es</w:t>
              </w:r>
            </w:hyperlink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219075" cy="171450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</w:rPr>
              <w:t xml:space="preserve"> @MichelinPress</w:t>
            </w:r>
          </w:p>
        </w:tc>
      </w:tr>
    </w:tbl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</w:rPr>
        <w:t>Ronda de Poniente, 6 – 28760 Tres Cantos – Madrid. ESPAÑA</w:t>
      </w:r>
    </w:p>
    <w:sectPr>
      <w:headerReference w:type="default" r:id="rId8"/>
      <w:footerReference w:type="default" r:id="rId9"/>
      <w:type w:val="nextPage"/>
      <w:pgSz w:w="11906" w:h="16838"/>
      <w:pgMar w:top="-1770" w:right="1440" w:bottom="757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both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spacing w:before="0" w:after="0"/>
        <w:jc w:val="both"/>
        <w:rPr>
          <w:rFonts w:ascii="Utopia" w:eastAsia="Utopia" w:hAnsi="Utopia" w:cs="Utopia"/>
          <w:color w:val="000000"/>
          <w:sz w:val="20"/>
          <w:szCs w:val="20"/>
          <w:vertAlign w:val="superscript"/>
        </w:rPr>
      </w:pPr>
      <w:r>
        <w:rPr>
          <w:rStyle w:val="FootnoteReference"/>
          <w:rFonts w:ascii="Utopia" w:eastAsia="Utopia" w:hAnsi="Utopia" w:cs="Utopia"/>
          <w:color w:val="000000"/>
          <w:sz w:val="20"/>
          <w:szCs w:val="20"/>
          <w:u w:val="none"/>
          <w:vertAlign w:val="superscript"/>
        </w:rPr>
        <w:footnoteRef/>
      </w:r>
      <w:r>
        <w:rPr>
          <w:rFonts w:ascii="Utopia" w:eastAsia="Utopia" w:hAnsi="Utopia" w:cs="Utopi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sz w:val="12"/>
          <w:szCs w:val="12"/>
        </w:rPr>
        <w:t>Cash flow libre estructural: flujo de caja libre antes de las adquisiciones, ajustado por el efecto de los cambios en los precios de las materias primas en las cuentas a cobrar, las cuentas a pagar y los inventarios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127635</wp:posOffset>
          </wp:positionV>
          <wp:extent cx="2457450" cy="65722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  <w:jc w:val="center"/>
      <w:rPr>
        <w:rFonts w:ascii="Michelin Unit Titling" w:eastAsia="Michelin Unit Titling" w:hAnsi="Michelin Unit Titling" w:cs="Michelin Unit Titling"/>
        <w:color w:val="40404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defaultTabStop w:val="720"/>
  <w:noPunctuationKerning/>
  <w:characterSpacingControl w:val="doNotCompress"/>
  <w:footnotePr>
    <w:footnote w:id="0"/>
    <w:footnote w:id="1"/>
  </w:footnotePr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F3D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D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michelin.es" TargetMode="External" /><Relationship Id="rId6" Type="http://schemas.openxmlformats.org/officeDocument/2006/relationships/image" Target="media/image1.jpeg" /><Relationship Id="rId7" Type="http://schemas.openxmlformats.org/officeDocument/2006/relationships/image" Target="media/image2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96A4-A1C1-43C8-AC06-58AC79249B9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footnotePr>
    <w:footnote w:id="0"/>
    <w:footnote w:id="1"/>
  </w:footnotePr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