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4D2F425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077E7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077E7" w:rsidRPr="006077E7">
        <w:rPr>
          <w:rFonts w:ascii="Arial" w:hAnsi="Arial" w:cs="Arial"/>
          <w:sz w:val="20"/>
          <w:szCs w:val="20"/>
          <w:lang w:val="es-ES"/>
        </w:rPr>
        <w:t>1</w:t>
      </w:r>
      <w:r w:rsidR="006077E7">
        <w:rPr>
          <w:rFonts w:ascii="Arial" w:hAnsi="Arial" w:cs="Arial"/>
          <w:sz w:val="20"/>
          <w:szCs w:val="20"/>
          <w:lang w:val="es-ES"/>
        </w:rPr>
        <w:t>3</w:t>
      </w:r>
      <w:r w:rsidR="00BE269E" w:rsidRPr="006077E7">
        <w:rPr>
          <w:rFonts w:ascii="Arial" w:hAnsi="Arial" w:cs="Arial"/>
          <w:sz w:val="20"/>
          <w:szCs w:val="20"/>
          <w:lang w:val="es-ES"/>
        </w:rPr>
        <w:t xml:space="preserve"> de </w:t>
      </w:r>
      <w:r w:rsidR="00B76679" w:rsidRPr="006077E7">
        <w:rPr>
          <w:rFonts w:ascii="Arial" w:hAnsi="Arial" w:cs="Arial"/>
          <w:sz w:val="20"/>
          <w:szCs w:val="20"/>
          <w:lang w:val="es-ES"/>
        </w:rPr>
        <w:t>marzo</w:t>
      </w:r>
      <w:r w:rsidR="006D398C" w:rsidRPr="006077E7">
        <w:rPr>
          <w:rFonts w:ascii="Arial" w:hAnsi="Arial" w:cs="Arial"/>
          <w:sz w:val="20"/>
          <w:szCs w:val="20"/>
          <w:lang w:val="es-ES"/>
        </w:rPr>
        <w:t>, 202</w:t>
      </w:r>
      <w:r w:rsidR="00B76679" w:rsidRPr="006077E7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1814305" w14:textId="77777777" w:rsidR="00523B50" w:rsidRDefault="00523B50" w:rsidP="00523B50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da forma al futuro de la competición con el </w:t>
          </w:r>
        </w:p>
        <w:p w14:paraId="6AD3B006" w14:textId="0EC7C946" w:rsidR="006D398C" w:rsidRPr="009A43CE" w:rsidRDefault="00523B50" w:rsidP="00523B50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proyecto MissionH24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BE5FC0F" w:rsidR="00BE269E" w:rsidRPr="009A43CE" w:rsidRDefault="00523B5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H24 se presenta con su nueva decoración para 2023 </w:t>
          </w:r>
        </w:p>
        <w:p w14:paraId="3C065D45" w14:textId="1871325F" w:rsidR="006D398C" w:rsidRPr="009A43CE" w:rsidRDefault="00523B5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prototipo forma parte del proyecto MissionH24 para acelerar el desarrollo de la movilidad con cero emisiones basada en el hidrógeno, que tiene a Michelin como socio de referencia</w:t>
          </w:r>
        </w:p>
        <w:p w14:paraId="380422CF" w14:textId="281BF18B" w:rsidR="006D398C" w:rsidRPr="009A43CE" w:rsidRDefault="00523B50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equipa al H24 con neumáticos fabricados con más de un 50% de materiales sostenibles, reciclados y de origen biológico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5CE011" w14:textId="204897E2" w:rsidR="00AB20A1" w:rsidRDefault="00523B50" w:rsidP="00AB20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H24</w:t>
          </w:r>
          <w:r w:rsidR="00AB20A1">
            <w:rPr>
              <w:rFonts w:ascii="Arial" w:hAnsi="Arial" w:cs="Arial"/>
              <w:sz w:val="20"/>
              <w:szCs w:val="20"/>
              <w:lang w:val="es-ES"/>
            </w:rPr>
            <w:t xml:space="preserve"> luce sus nuevos colores para la temporada 2023. El prototipo de propulsión eléctrica con pila de combustible de hidrógeno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>, que</w:t>
          </w:r>
          <w:r w:rsidR="00AB20A1">
            <w:rPr>
              <w:rFonts w:ascii="Arial" w:hAnsi="Arial" w:cs="Arial"/>
              <w:sz w:val="20"/>
              <w:szCs w:val="20"/>
              <w:lang w:val="es-ES"/>
            </w:rPr>
            <w:t xml:space="preserve"> forma parte del programa deportivo MissionH24, 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 xml:space="preserve">se presentó ante la Comisión Europea en Bruselas en el marco de un evento que tuvo lugar en la capital belga para sentar las bases de la estrategia europea del hidrógeno, y también ha participado en la Eurexpo de Lyon, el mayor escaparate francés de la innovación industrial, que ha tenido lugar entre el 7 y el 10 de marzo. El programa MissionH24, </w:t>
          </w:r>
          <w:r w:rsidR="00AB20A1">
            <w:rPr>
              <w:rFonts w:ascii="Arial" w:hAnsi="Arial" w:cs="Arial"/>
              <w:sz w:val="20"/>
              <w:szCs w:val="20"/>
              <w:lang w:val="es-ES"/>
            </w:rPr>
            <w:t>que cuenta con la colaboración de Michelin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 xml:space="preserve"> como uno de los socios principales, </w:t>
          </w:r>
          <w:r w:rsidR="00AB20A1">
            <w:rPr>
              <w:rFonts w:ascii="Arial" w:hAnsi="Arial" w:cs="Arial"/>
              <w:sz w:val="20"/>
              <w:szCs w:val="20"/>
              <w:lang w:val="es-ES"/>
            </w:rPr>
            <w:t xml:space="preserve">tiene como objetivo dar forma al futuro de la competición automovilística con cero emisiones. </w:t>
          </w:r>
        </w:p>
        <w:p w14:paraId="1B93A0E2" w14:textId="77777777" w:rsidR="005D00CA" w:rsidRDefault="005D00C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7A98C6A6" w:rsidR="00511304" w:rsidRDefault="005D00C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H24 estrenó una nueva decoración </w:t>
          </w:r>
          <w:r w:rsidR="00BC14C9">
            <w:rPr>
              <w:rFonts w:ascii="Arial" w:hAnsi="Arial" w:cs="Arial"/>
              <w:sz w:val="20"/>
              <w:szCs w:val="20"/>
              <w:lang w:val="es-ES"/>
            </w:rPr>
            <w:t>con un color azul y burbujas como símbolo del agua, las únicas emisiones del prototipo durante su funcionamiento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>. También se ha incorporado</w:t>
          </w:r>
          <w:r w:rsidR="00BC14C9">
            <w:rPr>
              <w:rFonts w:ascii="Arial" w:hAnsi="Arial" w:cs="Arial"/>
              <w:sz w:val="20"/>
              <w:szCs w:val="20"/>
              <w:lang w:val="es-ES"/>
            </w:rPr>
            <w:t xml:space="preserve"> un cronómetro que evoca el paso del tiempo 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>para</w:t>
          </w:r>
          <w:r w:rsidR="00BC14C9">
            <w:rPr>
              <w:rFonts w:ascii="Arial" w:hAnsi="Arial" w:cs="Arial"/>
              <w:sz w:val="20"/>
              <w:szCs w:val="20"/>
              <w:lang w:val="es-ES"/>
            </w:rPr>
            <w:t xml:space="preserve"> la celebración del centenario de las 24 Horas de Le Mans </w:t>
          </w:r>
          <w:r w:rsidR="00AE6A7C">
            <w:rPr>
              <w:rFonts w:ascii="Arial" w:hAnsi="Arial" w:cs="Arial"/>
              <w:sz w:val="20"/>
              <w:szCs w:val="20"/>
              <w:lang w:val="es-ES"/>
            </w:rPr>
            <w:t>que tiene lugar este año</w:t>
          </w:r>
          <w:r w:rsidR="00BC14C9">
            <w:rPr>
              <w:rFonts w:ascii="Arial" w:hAnsi="Arial" w:cs="Arial"/>
              <w:sz w:val="20"/>
              <w:szCs w:val="20"/>
              <w:lang w:val="es-ES"/>
            </w:rPr>
            <w:t xml:space="preserve">, y el tiempo </w:t>
          </w:r>
          <w:r w:rsidR="008108A1">
            <w:rPr>
              <w:rFonts w:ascii="Arial" w:hAnsi="Arial" w:cs="Arial"/>
              <w:sz w:val="20"/>
              <w:szCs w:val="20"/>
              <w:lang w:val="es-ES"/>
            </w:rPr>
            <w:t xml:space="preserve">que este programa deportivo basado en el hidrógeno pretende ahorrar al </w:t>
          </w:r>
          <w:r w:rsidR="00291946">
            <w:rPr>
              <w:rFonts w:ascii="Arial" w:hAnsi="Arial" w:cs="Arial"/>
              <w:sz w:val="20"/>
              <w:szCs w:val="20"/>
              <w:lang w:val="es-ES"/>
            </w:rPr>
            <w:t>planeta</w:t>
          </w:r>
          <w:r w:rsidR="008108A1">
            <w:rPr>
              <w:rFonts w:ascii="Arial" w:hAnsi="Arial" w:cs="Arial"/>
              <w:sz w:val="20"/>
              <w:szCs w:val="20"/>
              <w:lang w:val="es-ES"/>
            </w:rPr>
            <w:t xml:space="preserve"> reduciendo las emisiones de CO</w:t>
          </w:r>
          <w:r w:rsidR="008108A1" w:rsidRPr="008108A1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="008108A1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BC14C9">
            <w:rPr>
              <w:rFonts w:ascii="Arial" w:hAnsi="Arial" w:cs="Arial"/>
              <w:sz w:val="20"/>
              <w:szCs w:val="20"/>
              <w:lang w:val="es-ES"/>
            </w:rPr>
            <w:t>Partiendo del trabajo realizado en 2022, e</w:t>
          </w:r>
          <w:r w:rsidR="008108A1">
            <w:rPr>
              <w:rFonts w:ascii="Arial" w:hAnsi="Arial" w:cs="Arial"/>
              <w:sz w:val="20"/>
              <w:szCs w:val="20"/>
              <w:lang w:val="es-ES"/>
            </w:rPr>
            <w:t>l prototipo H24 continuará su desarrollo participando en las carreras de resistencia de la Copa Michelin Le Mans, y estará presente en las 24 Horas de Le Mans que tendrán lugar los días 10 y 11 de junio.</w:t>
          </w:r>
        </w:p>
        <w:p w14:paraId="5A25E65F" w14:textId="7B03A998" w:rsidR="008108A1" w:rsidRDefault="008108A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97D154" w14:textId="276599A0" w:rsidR="00BE269E" w:rsidRPr="009A43CE" w:rsidRDefault="008108A1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y el proyecto MissionH24 </w:t>
          </w:r>
        </w:p>
        <w:p w14:paraId="4AD8F43A" w14:textId="77777777" w:rsidR="006D398C" w:rsidRPr="009A43CE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E38707" w14:textId="54D4BBAF" w:rsidR="008108A1" w:rsidRDefault="008108A1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programa Mission H24, impulsado por el Automobile Club de l’Ouest (ACO)</w:t>
          </w:r>
          <w:r w:rsidR="002F48C6">
            <w:rPr>
              <w:rFonts w:ascii="Arial" w:hAnsi="Arial" w:cs="Arial"/>
              <w:sz w:val="20"/>
              <w:szCs w:val="20"/>
              <w:lang w:val="es-ES"/>
            </w:rPr>
            <w:t xml:space="preserve">, organizador de las 24 Horas de Le Mans, y por GreenGT, empresa pionera en movilidad eléctrica basada en el hidrógeno, se puso en marcha en 2018. El </w:t>
          </w:r>
          <w:r w:rsidR="0082588A">
            <w:rPr>
              <w:rFonts w:ascii="Arial" w:hAnsi="Arial" w:cs="Arial"/>
              <w:sz w:val="20"/>
              <w:szCs w:val="20"/>
              <w:lang w:val="es-ES"/>
            </w:rPr>
            <w:t xml:space="preserve">LMP </w:t>
          </w:r>
          <w:r w:rsidR="002F48C6">
            <w:rPr>
              <w:rFonts w:ascii="Arial" w:hAnsi="Arial" w:cs="Arial"/>
              <w:sz w:val="20"/>
              <w:szCs w:val="20"/>
              <w:lang w:val="es-ES"/>
            </w:rPr>
            <w:t>H2G con los colores del equipo H24 Racing</w:t>
          </w:r>
          <w:r w:rsidR="0082588A">
            <w:rPr>
              <w:rFonts w:ascii="Arial" w:hAnsi="Arial" w:cs="Arial"/>
              <w:sz w:val="20"/>
              <w:szCs w:val="20"/>
              <w:lang w:val="es-ES"/>
            </w:rPr>
            <w:t>, diseñado como un prototipo de laboratorio,</w:t>
          </w:r>
          <w:r w:rsidR="002F48C6">
            <w:rPr>
              <w:rFonts w:ascii="Arial" w:hAnsi="Arial" w:cs="Arial"/>
              <w:sz w:val="20"/>
              <w:szCs w:val="20"/>
              <w:lang w:val="es-ES"/>
            </w:rPr>
            <w:t xml:space="preserve"> se convirtió en el primer LMP (Le Mans Prototype) del mundo con un sistema de propulsión eléctrico de pila de hidrógeno. </w:t>
          </w:r>
        </w:p>
        <w:p w14:paraId="003101F8" w14:textId="73252EF4" w:rsidR="0082588A" w:rsidRDefault="0082588A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8738C1" w14:textId="533EA7EC" w:rsidR="0082588A" w:rsidRDefault="0082588A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H24, que participa en las pruebas de la Michelin Le Mans Cup de 2021, es ya un prototipo real, equipado con dos motores eléctricos y un módulo de energía basado en </w:t>
          </w:r>
          <w:r w:rsidR="00DF0014">
            <w:rPr>
              <w:rFonts w:ascii="Arial" w:hAnsi="Arial" w:cs="Arial"/>
              <w:sz w:val="20"/>
              <w:szCs w:val="20"/>
              <w:lang w:val="es-ES"/>
            </w:rPr>
            <w:t xml:space="preserve">cuatro pilas que utilizan hidrógeno como combustible para generar la electricidad que necesitan los motores para impulsar el vehículo. En su funcionamiento, el prototipo únicamente emite agua. </w:t>
          </w:r>
        </w:p>
        <w:p w14:paraId="698D84CB" w14:textId="77777777" w:rsidR="008108A1" w:rsidRDefault="008108A1" w:rsidP="008108A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C5D6DBC" w14:textId="11B1B94C" w:rsidR="005F345C" w:rsidRDefault="008108A1" w:rsidP="002F48C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grupo Michelin colabora con el proyecto MissionH24 de dos maneras: a través de su filial Symbio, suministrando la tecnología de pila de combustible de hidrógeno, y equipando al prototipo con neumáticos MICHELIN fabricados con materiales sostenibles, reciclados y de origen biológico. </w:t>
          </w:r>
          <w:r w:rsidR="002F48C6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2F48C6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porcentaje de estos materiales en los neumáticos de competición del H24 ha pasado del 46% en 2021 al 53% en la actualidad, gracias a la mayor proporción de caucho natural, a la utilización de negro de humo procedente de neumáticos fuera de uso y a otros materiales como corteza de naranja y de limón, aceite de girasol o resina de pino. </w:t>
          </w:r>
        </w:p>
        <w:p w14:paraId="62B6679E" w14:textId="77777777" w:rsidR="005F345C" w:rsidRDefault="005F345C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C8E84A0" w14:textId="5DBFC1AC" w:rsidR="00B76679" w:rsidRPr="009A43CE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Para Michelin, la competición siempre ha sido un motor de innovación y el mejor laboratorio tecnológico para desarrollar soluciones de alta tecnología en condiciones extremas. El proyecto MissionH24 es una ilustración perfecta de esta visión audaz y pionera, y encaja a la perfección con la estrategia “Todo Sostenible” de </w:t>
          </w:r>
          <w:r w:rsidR="005F345C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>, que</w:t>
          </w:r>
          <w:r w:rsidR="005F345C">
            <w:rPr>
              <w:rFonts w:ascii="Arial" w:hAnsi="Arial" w:cs="Arial"/>
              <w:sz w:val="20"/>
              <w:szCs w:val="20"/>
              <w:lang w:val="es-ES"/>
            </w:rPr>
            <w:t xml:space="preserve"> muestra nuevamente su capacidad para incorporar un porcentaje cada vez mayor de materiales sostenibles en sus productos sin comprometer las prestaciones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Una tendencia que coincide con el compromiso de Michelin de fabricar todos sus neumáticos exclusivamente con materiales de origen biológicos y reciclados para </w:t>
          </w:r>
          <w:r w:rsidR="005F345C">
            <w:rPr>
              <w:rFonts w:ascii="Arial" w:hAnsi="Arial" w:cs="Arial"/>
              <w:sz w:val="20"/>
              <w:szCs w:val="20"/>
              <w:lang w:val="es-ES"/>
            </w:rPr>
            <w:t xml:space="preserve">2050. </w:t>
          </w:r>
        </w:p>
        <w:p w14:paraId="424F32D8" w14:textId="2075D2E8" w:rsidR="003C3FC0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28C594" w14:textId="2E309A8E" w:rsidR="00DF0014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9A6009F" w14:textId="10728EBC" w:rsidR="00DF0014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5DA73E7" w14:textId="789D21D5" w:rsidR="00DF0014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27DC12" w14:textId="77326365" w:rsidR="00DF0014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1C171F" w14:textId="77777777" w:rsidR="00DF0014" w:rsidRPr="009A43CE" w:rsidRDefault="00DF001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EBC774" w14:textId="77777777" w:rsidR="002F48C6" w:rsidRDefault="00000000" w:rsidP="002F48C6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2603C00F" w:rsidR="00816BB1" w:rsidRPr="002F48C6" w:rsidRDefault="00816BB1" w:rsidP="002F48C6">
      <w:pPr>
        <w:spacing w:line="276" w:lineRule="auto"/>
        <w:jc w:val="both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482D5290" w:rsidR="00E434BB" w:rsidRDefault="000D63D1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E50E86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7EC7" w14:textId="77777777" w:rsidR="0027223B" w:rsidRDefault="0027223B" w:rsidP="00F24D98">
      <w:r>
        <w:separator/>
      </w:r>
    </w:p>
  </w:endnote>
  <w:endnote w:type="continuationSeparator" w:id="0">
    <w:p w14:paraId="6E66E612" w14:textId="77777777" w:rsidR="0027223B" w:rsidRDefault="0027223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47DC" w14:textId="77777777" w:rsidR="0027223B" w:rsidRDefault="0027223B" w:rsidP="00F24D98">
      <w:r>
        <w:separator/>
      </w:r>
    </w:p>
  </w:footnote>
  <w:footnote w:type="continuationSeparator" w:id="0">
    <w:p w14:paraId="05801709" w14:textId="77777777" w:rsidR="0027223B" w:rsidRDefault="0027223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56856">
    <w:abstractNumId w:val="1"/>
  </w:num>
  <w:num w:numId="2" w16cid:durableId="685909608">
    <w:abstractNumId w:val="0"/>
  </w:num>
  <w:num w:numId="3" w16cid:durableId="202296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D63D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223B"/>
    <w:rsid w:val="00274DC8"/>
    <w:rsid w:val="00291946"/>
    <w:rsid w:val="002F48C6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43E73"/>
    <w:rsid w:val="00446133"/>
    <w:rsid w:val="0045418F"/>
    <w:rsid w:val="00462EE8"/>
    <w:rsid w:val="00471963"/>
    <w:rsid w:val="00472749"/>
    <w:rsid w:val="00493386"/>
    <w:rsid w:val="004A3CF0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B50"/>
    <w:rsid w:val="00523D3C"/>
    <w:rsid w:val="00572127"/>
    <w:rsid w:val="00585BA1"/>
    <w:rsid w:val="00594F5C"/>
    <w:rsid w:val="005B00AE"/>
    <w:rsid w:val="005D00CA"/>
    <w:rsid w:val="005E08B3"/>
    <w:rsid w:val="005E1047"/>
    <w:rsid w:val="005F345C"/>
    <w:rsid w:val="006077E7"/>
    <w:rsid w:val="00613A00"/>
    <w:rsid w:val="00621821"/>
    <w:rsid w:val="00664307"/>
    <w:rsid w:val="006920B7"/>
    <w:rsid w:val="006C3818"/>
    <w:rsid w:val="006C44F0"/>
    <w:rsid w:val="006D398C"/>
    <w:rsid w:val="00744191"/>
    <w:rsid w:val="0076736C"/>
    <w:rsid w:val="00767B4C"/>
    <w:rsid w:val="007F37A6"/>
    <w:rsid w:val="008108A1"/>
    <w:rsid w:val="00816BB1"/>
    <w:rsid w:val="0082588A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1A17"/>
    <w:rsid w:val="00977E95"/>
    <w:rsid w:val="009969D4"/>
    <w:rsid w:val="009A43CE"/>
    <w:rsid w:val="009C7DF7"/>
    <w:rsid w:val="00A05352"/>
    <w:rsid w:val="00A0766D"/>
    <w:rsid w:val="00A133C9"/>
    <w:rsid w:val="00A3324C"/>
    <w:rsid w:val="00A72ECA"/>
    <w:rsid w:val="00A75B5C"/>
    <w:rsid w:val="00AA05BE"/>
    <w:rsid w:val="00AB20A1"/>
    <w:rsid w:val="00AB4101"/>
    <w:rsid w:val="00AC0E74"/>
    <w:rsid w:val="00AC3578"/>
    <w:rsid w:val="00AE6A7C"/>
    <w:rsid w:val="00B05B19"/>
    <w:rsid w:val="00B13DD6"/>
    <w:rsid w:val="00B32BCE"/>
    <w:rsid w:val="00B36FEE"/>
    <w:rsid w:val="00B45C21"/>
    <w:rsid w:val="00B6670B"/>
    <w:rsid w:val="00B76679"/>
    <w:rsid w:val="00B97B28"/>
    <w:rsid w:val="00BC14C9"/>
    <w:rsid w:val="00BC2889"/>
    <w:rsid w:val="00BD28C6"/>
    <w:rsid w:val="00BD7DE1"/>
    <w:rsid w:val="00BE0101"/>
    <w:rsid w:val="00BE269E"/>
    <w:rsid w:val="00C31A6F"/>
    <w:rsid w:val="00C53F0C"/>
    <w:rsid w:val="00C56426"/>
    <w:rsid w:val="00C65779"/>
    <w:rsid w:val="00CA4996"/>
    <w:rsid w:val="00CC6BAF"/>
    <w:rsid w:val="00CE5E82"/>
    <w:rsid w:val="00D01366"/>
    <w:rsid w:val="00D26D15"/>
    <w:rsid w:val="00D55011"/>
    <w:rsid w:val="00D729F5"/>
    <w:rsid w:val="00DB7FA5"/>
    <w:rsid w:val="00DF0014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11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1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F9B78-5557-2C4A-A6DF-C46E7EBB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2023-03-13T08:47:00Z</cp:lastPrinted>
  <dcterms:created xsi:type="dcterms:W3CDTF">2023-03-13T08:46:00Z</dcterms:created>
  <dcterms:modified xsi:type="dcterms:W3CDTF">2023-03-13T08:47:00Z</dcterms:modified>
</cp:coreProperties>
</file>