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ED6062" w:rsidRDefault="00395651" w:rsidP="003F77AC">
      <w:pPr>
        <w:jc w:val="both"/>
        <w:rPr>
          <w:rFonts w:ascii="Arial" w:hAnsi="Arial" w:cs="Arial"/>
          <w:sz w:val="20"/>
          <w:szCs w:val="20"/>
          <w:lang w:val="pt-PT"/>
        </w:rPr>
      </w:pPr>
      <w:r w:rsidRPr="00ED606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D606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D606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D6062" w:rsidRDefault="00B36FEE" w:rsidP="003F77A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D6062" w:rsidRDefault="00B36FEE" w:rsidP="003F77A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ED6062" w:rsidRDefault="00B36FEE" w:rsidP="003F77A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B30A9D2" w14:textId="77777777" w:rsidR="00D6188A" w:rsidRDefault="00D6188A" w:rsidP="003F77AC">
      <w:pPr>
        <w:ind w:left="5760"/>
        <w:jc w:val="both"/>
        <w:rPr>
          <w:rFonts w:ascii="Arial" w:hAnsi="Arial" w:cs="Arial"/>
          <w:sz w:val="20"/>
          <w:szCs w:val="20"/>
          <w:lang w:val="pt-PT"/>
        </w:rPr>
      </w:pPr>
    </w:p>
    <w:p w14:paraId="139D66BB" w14:textId="0DD9E4F1" w:rsidR="006D398C" w:rsidRPr="00ED6062" w:rsidRDefault="00B36FEE" w:rsidP="003F77AC">
      <w:pPr>
        <w:ind w:left="5760"/>
        <w:jc w:val="both"/>
        <w:rPr>
          <w:rFonts w:ascii="Arial" w:hAnsi="Arial" w:cs="Arial"/>
          <w:sz w:val="20"/>
          <w:szCs w:val="20"/>
          <w:lang w:val="pt-PT"/>
        </w:rPr>
      </w:pPr>
      <w:r w:rsidRPr="00ED6062">
        <w:rPr>
          <w:rFonts w:ascii="Arial" w:hAnsi="Arial" w:cs="Arial"/>
          <w:sz w:val="20"/>
          <w:szCs w:val="20"/>
          <w:lang w:val="pt-PT"/>
        </w:rPr>
        <w:t xml:space="preserve">   </w:t>
      </w:r>
      <w:r w:rsidR="00ED6062" w:rsidRPr="00ED606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D6062">
        <w:rPr>
          <w:rFonts w:ascii="Arial" w:hAnsi="Arial" w:cs="Arial"/>
          <w:sz w:val="20"/>
          <w:szCs w:val="20"/>
          <w:lang w:val="pt-PT"/>
        </w:rPr>
        <w:t xml:space="preserve">, </w:t>
      </w:r>
      <w:r w:rsidR="00832D78" w:rsidRPr="00ED6062">
        <w:rPr>
          <w:rFonts w:ascii="Arial" w:hAnsi="Arial" w:cs="Arial"/>
          <w:sz w:val="20"/>
          <w:szCs w:val="20"/>
          <w:lang w:val="pt-PT"/>
        </w:rPr>
        <w:t>2</w:t>
      </w:r>
      <w:r w:rsidR="00D6188A">
        <w:rPr>
          <w:rFonts w:ascii="Arial" w:hAnsi="Arial" w:cs="Arial"/>
          <w:sz w:val="20"/>
          <w:szCs w:val="20"/>
          <w:lang w:val="pt-PT"/>
        </w:rPr>
        <w:t>7</w:t>
      </w:r>
      <w:r w:rsidR="00BE269E" w:rsidRPr="00ED6062">
        <w:rPr>
          <w:rFonts w:ascii="Arial" w:hAnsi="Arial" w:cs="Arial"/>
          <w:sz w:val="20"/>
          <w:szCs w:val="20"/>
          <w:lang w:val="pt-PT"/>
        </w:rPr>
        <w:t xml:space="preserve"> de </w:t>
      </w:r>
      <w:r w:rsidR="00C81551" w:rsidRPr="00ED6062">
        <w:rPr>
          <w:rFonts w:ascii="Arial" w:hAnsi="Arial" w:cs="Arial"/>
          <w:sz w:val="20"/>
          <w:szCs w:val="20"/>
          <w:lang w:val="pt-PT"/>
        </w:rPr>
        <w:t>abr</w:t>
      </w:r>
      <w:r w:rsidR="00825FE8" w:rsidRPr="00ED6062">
        <w:rPr>
          <w:rFonts w:ascii="Arial" w:hAnsi="Arial" w:cs="Arial"/>
          <w:sz w:val="20"/>
          <w:szCs w:val="20"/>
          <w:lang w:val="pt-PT"/>
        </w:rPr>
        <w:t>il</w:t>
      </w:r>
      <w:r w:rsidR="00ED6062" w:rsidRPr="00ED6062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ED6062">
        <w:rPr>
          <w:rFonts w:ascii="Arial" w:hAnsi="Arial" w:cs="Arial"/>
          <w:sz w:val="20"/>
          <w:szCs w:val="20"/>
          <w:lang w:val="pt-PT"/>
        </w:rPr>
        <w:t>202</w:t>
      </w:r>
      <w:r w:rsidR="00ED6062" w:rsidRPr="00ED6062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2427D0BB" w14:textId="14EFD54F" w:rsidR="00D6188A" w:rsidRDefault="00D6188A" w:rsidP="00D6188A">
          <w:pPr>
            <w:jc w:val="both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0021056D" w14:textId="77777777" w:rsidR="00D6188A" w:rsidRDefault="00D6188A" w:rsidP="001D334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6AD3B006" w14:textId="267F63B6" w:rsidR="006D398C" w:rsidRPr="00ED6062" w:rsidRDefault="00832D78" w:rsidP="001D334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D6062">
            <w:rPr>
              <w:rFonts w:ascii="Arial" w:hAnsi="Arial" w:cs="Arial"/>
              <w:b/>
              <w:sz w:val="28"/>
              <w:szCs w:val="28"/>
              <w:lang w:val="pt-PT"/>
            </w:rPr>
            <w:t>Informa</w:t>
          </w:r>
          <w:r w:rsidR="00ED6062" w:rsidRPr="00ED60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ED6062">
            <w:rPr>
              <w:rFonts w:ascii="Arial" w:hAnsi="Arial" w:cs="Arial"/>
              <w:b/>
              <w:sz w:val="28"/>
              <w:szCs w:val="28"/>
              <w:lang w:val="pt-PT"/>
            </w:rPr>
            <w:t>financ</w:t>
          </w:r>
          <w:r w:rsidR="00ED6062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ei</w:t>
          </w:r>
          <w:r w:rsidRPr="00ED6062">
            <w:rPr>
              <w:rFonts w:ascii="Arial" w:hAnsi="Arial" w:cs="Arial"/>
              <w:b/>
              <w:sz w:val="28"/>
              <w:szCs w:val="28"/>
              <w:lang w:val="pt-PT"/>
            </w:rPr>
            <w:t>ra a 3</w:t>
          </w:r>
          <w:r w:rsidR="00C81551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1</w:t>
          </w:r>
          <w:r w:rsidRPr="00ED60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</w:t>
          </w:r>
          <w:r w:rsidR="00C81551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mar</w:t>
          </w:r>
          <w:r w:rsidR="00ED6062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C81551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ED60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de 202</w:t>
          </w:r>
          <w:r w:rsidR="00255789" w:rsidRPr="00ED6062">
            <w:rPr>
              <w:rFonts w:ascii="Arial" w:hAnsi="Arial" w:cs="Arial"/>
              <w:b/>
              <w:sz w:val="28"/>
              <w:szCs w:val="28"/>
              <w:lang w:val="pt-PT"/>
            </w:rPr>
            <w:t>3</w:t>
          </w:r>
        </w:p>
        <w:p w14:paraId="5614BB42" w14:textId="274536E7" w:rsidR="006D398C" w:rsidRPr="00ED6062" w:rsidRDefault="006D398C" w:rsidP="003F77A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A745765" w14:textId="140EC7A3" w:rsidR="00AF4624" w:rsidRPr="00ED6062" w:rsidRDefault="00ED6062" w:rsidP="003F77AC">
          <w:pPr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en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consolidadas aumentar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am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7,4% 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prime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iro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trimestre de 2023, 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beneficiando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posicionamento premium d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Grupo. 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</w:t>
          </w:r>
          <w:r w:rsidR="00DD1182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onfirma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-se </w:t>
          </w:r>
          <w:r w:rsidR="00DD1182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tend</w:t>
          </w:r>
          <w:r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="00DD1182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 para</w:t>
          </w:r>
          <w:r w:rsidR="0046030D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2023</w:t>
          </w:r>
          <w:r w:rsidR="00DD1182" w:rsidRPr="00ED60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.</w:t>
          </w:r>
        </w:p>
        <w:p w14:paraId="32BD6898" w14:textId="77777777" w:rsidR="0046030D" w:rsidRPr="00ED6062" w:rsidRDefault="0046030D" w:rsidP="003F77A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024C4A3" w14:textId="4AE8B840" w:rsidR="003F77AC" w:rsidRPr="00ED6062" w:rsidRDefault="00ED6062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D6062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trimestre de 2023, os mercados d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 Europa 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América 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Norte 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 xml:space="preserve">foram caraterizados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por u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F527F" w:rsidRPr="00ED6062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 stocks, 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contexto de me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a das cade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>ias de abastecimento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ao contrário do que sucedeu no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trimestre de 2022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marcado p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la reconstitu</w:t>
          </w:r>
          <w:r w:rsidR="009C6539">
            <w:rPr>
              <w:rFonts w:ascii="Arial" w:hAnsi="Arial" w:cs="Arial"/>
              <w:sz w:val="20"/>
              <w:szCs w:val="20"/>
              <w:lang w:val="pt-PT"/>
            </w:rPr>
            <w:t xml:space="preserve">ição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F527F" w:rsidRPr="00ED6062">
            <w:rPr>
              <w:rFonts w:ascii="Arial" w:hAnsi="Arial" w:cs="Arial"/>
              <w:sz w:val="20"/>
              <w:szCs w:val="20"/>
              <w:lang w:val="pt-PT"/>
            </w:rPr>
            <w:t>os stocks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10014742" w14:textId="1C6828C3" w:rsidR="006A5DF5" w:rsidRPr="00ED6062" w:rsidRDefault="006A5DF5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175D49" w14:textId="555B7A02" w:rsidR="006A5DF5" w:rsidRPr="00ED6062" w:rsidRDefault="009C6539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6A5DF5" w:rsidRPr="00ED6062">
            <w:rPr>
              <w:rFonts w:ascii="Arial" w:hAnsi="Arial" w:cs="Arial"/>
              <w:lang w:val="pt-PT"/>
            </w:rPr>
            <w:t xml:space="preserve">ercados de </w:t>
          </w:r>
          <w:r w:rsidR="000F527F" w:rsidRPr="00ED6062">
            <w:rPr>
              <w:rFonts w:ascii="Arial" w:hAnsi="Arial" w:cs="Arial"/>
              <w:lang w:val="pt-PT"/>
            </w:rPr>
            <w:t>Turismo-C</w:t>
          </w:r>
          <w:r>
            <w:rPr>
              <w:rFonts w:ascii="Arial" w:hAnsi="Arial" w:cs="Arial"/>
              <w:lang w:val="pt-PT"/>
            </w:rPr>
            <w:t xml:space="preserve">omerciais ligeiros contraíram </w:t>
          </w:r>
          <w:r w:rsidR="006A5DF5" w:rsidRPr="00ED6062">
            <w:rPr>
              <w:rFonts w:ascii="Arial" w:hAnsi="Arial" w:cs="Arial"/>
              <w:lang w:val="pt-PT"/>
            </w:rPr>
            <w:t>3%, i</w:t>
          </w:r>
          <w:r w:rsidR="000F527F" w:rsidRPr="00ED6062">
            <w:rPr>
              <w:rFonts w:ascii="Arial" w:hAnsi="Arial" w:cs="Arial"/>
              <w:lang w:val="pt-PT"/>
            </w:rPr>
            <w:t>nfluenciados</w:t>
          </w:r>
          <w:r w:rsidR="006A5DF5" w:rsidRPr="00ED6062">
            <w:rPr>
              <w:rFonts w:ascii="Arial" w:hAnsi="Arial" w:cs="Arial"/>
              <w:lang w:val="pt-PT"/>
            </w:rPr>
            <w:t xml:space="preserve"> ​​p</w:t>
          </w:r>
          <w:r>
            <w:rPr>
              <w:rFonts w:ascii="Arial" w:hAnsi="Arial" w:cs="Arial"/>
              <w:lang w:val="pt-PT"/>
            </w:rPr>
            <w:t>e</w:t>
          </w:r>
          <w:r w:rsidR="006A5DF5" w:rsidRPr="00ED6062">
            <w:rPr>
              <w:rFonts w:ascii="Arial" w:hAnsi="Arial" w:cs="Arial"/>
              <w:lang w:val="pt-PT"/>
            </w:rPr>
            <w:t xml:space="preserve">la </w:t>
          </w:r>
          <w:r>
            <w:rPr>
              <w:rFonts w:ascii="Arial" w:hAnsi="Arial" w:cs="Arial"/>
              <w:lang w:val="pt-PT"/>
            </w:rPr>
            <w:t xml:space="preserve">procura </w:t>
          </w:r>
          <w:r w:rsidR="006A5DF5" w:rsidRPr="00ED6062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 xml:space="preserve">Substituição na </w:t>
          </w:r>
          <w:r w:rsidR="006A5DF5" w:rsidRPr="00ED6062">
            <w:rPr>
              <w:rFonts w:ascii="Arial" w:hAnsi="Arial" w:cs="Arial"/>
              <w:lang w:val="pt-PT"/>
            </w:rPr>
            <w:t xml:space="preserve">Europa </w:t>
          </w:r>
          <w:r>
            <w:rPr>
              <w:rFonts w:ascii="Arial" w:hAnsi="Arial" w:cs="Arial"/>
              <w:lang w:val="pt-PT"/>
            </w:rPr>
            <w:t xml:space="preserve">e na </w:t>
          </w:r>
          <w:r w:rsidR="006A5DF5" w:rsidRPr="00ED6062">
            <w:rPr>
              <w:rFonts w:ascii="Arial" w:hAnsi="Arial" w:cs="Arial"/>
              <w:lang w:val="pt-PT"/>
            </w:rPr>
            <w:t>América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 xml:space="preserve">Norte. </w:t>
          </w:r>
          <w:r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 xml:space="preserve">s mercados de </w:t>
          </w:r>
          <w:r w:rsidR="000F527F" w:rsidRPr="00ED6062">
            <w:rPr>
              <w:rFonts w:ascii="Arial" w:hAnsi="Arial" w:cs="Arial"/>
              <w:lang w:val="pt-PT"/>
            </w:rPr>
            <w:t>E</w:t>
          </w:r>
          <w:r w:rsidR="006A5DF5" w:rsidRPr="00ED6062">
            <w:rPr>
              <w:rFonts w:ascii="Arial" w:hAnsi="Arial" w:cs="Arial"/>
              <w:lang w:val="pt-PT"/>
            </w:rPr>
            <w:t>quip</w:t>
          </w:r>
          <w:r>
            <w:rPr>
              <w:rFonts w:ascii="Arial" w:hAnsi="Arial" w:cs="Arial"/>
              <w:lang w:val="pt-PT"/>
            </w:rPr>
            <w:t xml:space="preserve">amento de </w:t>
          </w:r>
          <w:r w:rsidR="000F527F" w:rsidRPr="00ED6062"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>rig</w:t>
          </w:r>
          <w:r>
            <w:rPr>
              <w:rFonts w:ascii="Arial" w:hAnsi="Arial" w:cs="Arial"/>
              <w:lang w:val="pt-PT"/>
            </w:rPr>
            <w:t xml:space="preserve">em </w:t>
          </w:r>
          <w:r w:rsidR="006A5DF5" w:rsidRPr="00ED6062">
            <w:rPr>
              <w:rFonts w:ascii="Arial" w:hAnsi="Arial" w:cs="Arial"/>
              <w:lang w:val="pt-PT"/>
            </w:rPr>
            <w:t>cre</w:t>
          </w:r>
          <w:r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>cer</w:t>
          </w:r>
          <w:r>
            <w:rPr>
              <w:rFonts w:ascii="Arial" w:hAnsi="Arial" w:cs="Arial"/>
              <w:lang w:val="pt-PT"/>
            </w:rPr>
            <w:t xml:space="preserve">am </w:t>
          </w:r>
          <w:r w:rsidR="006A5DF5" w:rsidRPr="00ED6062">
            <w:rPr>
              <w:rFonts w:ascii="Arial" w:hAnsi="Arial" w:cs="Arial"/>
              <w:lang w:val="pt-PT"/>
            </w:rPr>
            <w:t>lige</w:t>
          </w:r>
          <w:r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ramente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lang w:val="pt-PT"/>
            </w:rPr>
            <w:t>mant</w:t>
          </w:r>
          <w:r>
            <w:rPr>
              <w:rFonts w:ascii="Arial" w:hAnsi="Arial" w:cs="Arial"/>
              <w:lang w:val="pt-PT"/>
            </w:rPr>
            <w:t xml:space="preserve">endo-se </w:t>
          </w:r>
          <w:r w:rsidR="006A5DF5" w:rsidRPr="00ED6062">
            <w:rPr>
              <w:rFonts w:ascii="Arial" w:hAnsi="Arial" w:cs="Arial"/>
              <w:lang w:val="pt-PT"/>
            </w:rPr>
            <w:t>mu</w:t>
          </w:r>
          <w:r>
            <w:rPr>
              <w:rFonts w:ascii="Arial" w:hAnsi="Arial" w:cs="Arial"/>
              <w:lang w:val="pt-PT"/>
            </w:rPr>
            <w:t xml:space="preserve">ito abaixo </w:t>
          </w:r>
          <w:r w:rsidR="006A5DF5" w:rsidRPr="00ED6062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os níveis </w:t>
          </w:r>
          <w:r w:rsidR="006A5DF5" w:rsidRPr="00ED6062">
            <w:rPr>
              <w:rFonts w:ascii="Arial" w:hAnsi="Arial" w:cs="Arial"/>
              <w:lang w:val="pt-PT"/>
            </w:rPr>
            <w:t>de 2019.</w:t>
          </w:r>
        </w:p>
        <w:p w14:paraId="7D43EA76" w14:textId="53D99F5A" w:rsidR="006A5DF5" w:rsidRPr="00ED6062" w:rsidRDefault="009C6539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Me</w:t>
          </w:r>
          <w:r w:rsidR="006A5DF5" w:rsidRPr="00ED6062">
            <w:rPr>
              <w:rFonts w:ascii="Arial" w:hAnsi="Arial" w:cs="Arial"/>
              <w:lang w:val="pt-PT"/>
            </w:rPr>
            <w:t>rcados de cami</w:t>
          </w:r>
          <w:r>
            <w:rPr>
              <w:rFonts w:ascii="Arial" w:hAnsi="Arial" w:cs="Arial"/>
              <w:lang w:val="pt-PT"/>
            </w:rPr>
            <w:t>ão</w:t>
          </w:r>
          <w:r w:rsidR="006A5DF5" w:rsidRPr="00ED6062">
            <w:rPr>
              <w:rFonts w:ascii="Arial" w:hAnsi="Arial" w:cs="Arial"/>
              <w:lang w:val="pt-PT"/>
            </w:rPr>
            <w:t xml:space="preserve">, exceto China, </w:t>
          </w:r>
          <w:r>
            <w:rPr>
              <w:rFonts w:ascii="Arial" w:hAnsi="Arial" w:cs="Arial"/>
              <w:lang w:val="pt-PT"/>
            </w:rPr>
            <w:t xml:space="preserve">caíram </w:t>
          </w:r>
          <w:r w:rsidR="006A5DF5" w:rsidRPr="00ED6062">
            <w:rPr>
              <w:rFonts w:ascii="Arial" w:hAnsi="Arial" w:cs="Arial"/>
              <w:lang w:val="pt-PT"/>
            </w:rPr>
            <w:t xml:space="preserve">2%, </w:t>
          </w:r>
          <w:r>
            <w:rPr>
              <w:rFonts w:ascii="Arial" w:hAnsi="Arial" w:cs="Arial"/>
              <w:lang w:val="pt-PT"/>
            </w:rPr>
            <w:t xml:space="preserve">dado </w:t>
          </w:r>
          <w:r w:rsidR="006A5DF5" w:rsidRPr="00ED6062">
            <w:rPr>
              <w:rFonts w:ascii="Arial" w:hAnsi="Arial" w:cs="Arial"/>
              <w:lang w:val="pt-PT"/>
            </w:rPr>
            <w:t>que as sólidas ven</w:t>
          </w:r>
          <w:r>
            <w:rPr>
              <w:rFonts w:ascii="Arial" w:hAnsi="Arial" w:cs="Arial"/>
              <w:lang w:val="pt-PT"/>
            </w:rPr>
            <w:t>d</w:t>
          </w:r>
          <w:r w:rsidR="006A5DF5" w:rsidRPr="00ED6062">
            <w:rPr>
              <w:rFonts w:ascii="Arial" w:hAnsi="Arial" w:cs="Arial"/>
              <w:lang w:val="pt-PT"/>
            </w:rPr>
            <w:t xml:space="preserve">as de </w:t>
          </w:r>
          <w:r w:rsidR="00DE2D38" w:rsidRPr="00ED6062">
            <w:rPr>
              <w:rFonts w:ascii="Arial" w:hAnsi="Arial" w:cs="Arial"/>
              <w:lang w:val="pt-PT"/>
            </w:rPr>
            <w:t>E</w:t>
          </w:r>
          <w:r w:rsidR="006A5DF5" w:rsidRPr="00ED6062">
            <w:rPr>
              <w:rFonts w:ascii="Arial" w:hAnsi="Arial" w:cs="Arial"/>
              <w:lang w:val="pt-PT"/>
            </w:rPr>
            <w:t>quip</w:t>
          </w:r>
          <w:r>
            <w:rPr>
              <w:rFonts w:ascii="Arial" w:hAnsi="Arial" w:cs="Arial"/>
              <w:lang w:val="pt-PT"/>
            </w:rPr>
            <w:t xml:space="preserve">amento de </w:t>
          </w:r>
          <w:r w:rsidR="00DE2D38" w:rsidRPr="00ED6062"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>rig</w:t>
          </w:r>
          <w:r>
            <w:rPr>
              <w:rFonts w:ascii="Arial" w:hAnsi="Arial" w:cs="Arial"/>
              <w:lang w:val="pt-PT"/>
            </w:rPr>
            <w:t xml:space="preserve">em foram mais do </w:t>
          </w:r>
          <w:r w:rsidR="006A5DF5" w:rsidRPr="00ED6062">
            <w:rPr>
              <w:rFonts w:ascii="Arial" w:hAnsi="Arial" w:cs="Arial"/>
              <w:lang w:val="pt-PT"/>
            </w:rPr>
            <w:t xml:space="preserve">que compensadas por </w:t>
          </w:r>
          <w:r>
            <w:rPr>
              <w:rFonts w:ascii="Arial" w:hAnsi="Arial" w:cs="Arial"/>
              <w:lang w:val="pt-PT"/>
            </w:rPr>
            <w:t>uma menor procura de Substituição</w:t>
          </w:r>
          <w:r w:rsidR="006A5DF5" w:rsidRPr="00ED6062">
            <w:rPr>
              <w:rFonts w:ascii="Arial" w:hAnsi="Arial" w:cs="Arial"/>
              <w:lang w:val="pt-PT"/>
            </w:rPr>
            <w:t xml:space="preserve">, particularmente </w:t>
          </w:r>
          <w:r>
            <w:rPr>
              <w:rFonts w:ascii="Arial" w:hAnsi="Arial" w:cs="Arial"/>
              <w:lang w:val="pt-PT"/>
            </w:rPr>
            <w:t xml:space="preserve">na </w:t>
          </w:r>
          <w:r w:rsidR="006A5DF5" w:rsidRPr="00ED6062">
            <w:rPr>
              <w:rFonts w:ascii="Arial" w:hAnsi="Arial" w:cs="Arial"/>
              <w:lang w:val="pt-PT"/>
            </w:rPr>
            <w:t xml:space="preserve">Europa </w:t>
          </w:r>
          <w:r>
            <w:rPr>
              <w:rFonts w:ascii="Arial" w:hAnsi="Arial" w:cs="Arial"/>
              <w:lang w:val="pt-PT"/>
            </w:rPr>
            <w:t xml:space="preserve">E na </w:t>
          </w:r>
          <w:r w:rsidR="006A5DF5" w:rsidRPr="00ED6062">
            <w:rPr>
              <w:rFonts w:ascii="Arial" w:hAnsi="Arial" w:cs="Arial"/>
              <w:lang w:val="pt-PT"/>
            </w:rPr>
            <w:t>América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>Norte</w:t>
          </w:r>
          <w:r w:rsidR="00314886" w:rsidRPr="00ED6062">
            <w:rPr>
              <w:rFonts w:ascii="Arial" w:hAnsi="Arial" w:cs="Arial"/>
              <w:lang w:val="pt-PT"/>
            </w:rPr>
            <w:t>.</w:t>
          </w:r>
        </w:p>
        <w:p w14:paraId="21934E85" w14:textId="6C2585EA" w:rsidR="006A5DF5" w:rsidRPr="00ED6062" w:rsidRDefault="009C6539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6A5DF5" w:rsidRPr="00ED6062">
            <w:rPr>
              <w:rFonts w:ascii="Arial" w:hAnsi="Arial" w:cs="Arial"/>
              <w:lang w:val="pt-PT"/>
            </w:rPr>
            <w:t xml:space="preserve">ercados de </w:t>
          </w:r>
          <w:r w:rsidR="00314886" w:rsidRPr="00ED6062">
            <w:rPr>
              <w:rFonts w:ascii="Arial" w:hAnsi="Arial" w:cs="Arial"/>
              <w:lang w:val="pt-PT"/>
            </w:rPr>
            <w:t>E</w:t>
          </w:r>
          <w:r w:rsidR="006A5DF5" w:rsidRPr="00ED6062">
            <w:rPr>
              <w:rFonts w:ascii="Arial" w:hAnsi="Arial" w:cs="Arial"/>
              <w:lang w:val="pt-PT"/>
            </w:rPr>
            <w:t>specialidades mant</w:t>
          </w:r>
          <w:r>
            <w:rPr>
              <w:rFonts w:ascii="Arial" w:hAnsi="Arial" w:cs="Arial"/>
              <w:lang w:val="pt-PT"/>
            </w:rPr>
            <w:t xml:space="preserve">iveram-se </w:t>
          </w:r>
          <w:r w:rsidR="006A5DF5" w:rsidRPr="00ED6062">
            <w:rPr>
              <w:rFonts w:ascii="Arial" w:hAnsi="Arial" w:cs="Arial"/>
              <w:lang w:val="pt-PT"/>
            </w:rPr>
            <w:t xml:space="preserve">sólidos, particularmente </w:t>
          </w:r>
          <w:r>
            <w:rPr>
              <w:rFonts w:ascii="Arial" w:hAnsi="Arial" w:cs="Arial"/>
              <w:lang w:val="pt-PT"/>
            </w:rPr>
            <w:t>n</w:t>
          </w:r>
          <w:r w:rsidR="006A5DF5" w:rsidRPr="00ED6062">
            <w:rPr>
              <w:rFonts w:ascii="Arial" w:hAnsi="Arial" w:cs="Arial"/>
              <w:lang w:val="pt-PT"/>
            </w:rPr>
            <w:t>os segmentos de Miner</w:t>
          </w:r>
          <w:r>
            <w:rPr>
              <w:rFonts w:ascii="Arial" w:hAnsi="Arial" w:cs="Arial"/>
              <w:lang w:val="pt-PT"/>
            </w:rPr>
            <w:t>ação e Avião</w:t>
          </w:r>
          <w:r w:rsidR="006A5DF5" w:rsidRPr="00ED6062">
            <w:rPr>
              <w:rFonts w:ascii="Arial" w:hAnsi="Arial" w:cs="Arial"/>
              <w:lang w:val="pt-PT"/>
            </w:rPr>
            <w:t>; segmentos de Constru</w:t>
          </w:r>
          <w:r>
            <w:rPr>
              <w:rFonts w:ascii="Arial" w:hAnsi="Arial" w:cs="Arial"/>
              <w:lang w:val="pt-PT"/>
            </w:rPr>
            <w:t xml:space="preserve">ção e </w:t>
          </w:r>
          <w:r w:rsidR="006A5DF5" w:rsidRPr="00ED6062">
            <w:rPr>
              <w:rFonts w:ascii="Arial" w:hAnsi="Arial" w:cs="Arial"/>
              <w:lang w:val="pt-PT"/>
            </w:rPr>
            <w:t>Veículos de d</w:t>
          </w:r>
          <w:r>
            <w:rPr>
              <w:rFonts w:ascii="Arial" w:hAnsi="Arial" w:cs="Arial"/>
              <w:lang w:val="pt-PT"/>
            </w:rPr>
            <w:t>ua</w:t>
          </w:r>
          <w:r w:rsidR="006A5DF5" w:rsidRPr="00ED6062">
            <w:rPr>
              <w:rFonts w:ascii="Arial" w:hAnsi="Arial" w:cs="Arial"/>
              <w:lang w:val="pt-PT"/>
            </w:rPr>
            <w:t>s r</w:t>
          </w:r>
          <w:r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>das f</w:t>
          </w:r>
          <w:r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>r</w:t>
          </w:r>
          <w:r>
            <w:rPr>
              <w:rFonts w:ascii="Arial" w:hAnsi="Arial" w:cs="Arial"/>
              <w:lang w:val="pt-PT"/>
            </w:rPr>
            <w:t xml:space="preserve">am </w:t>
          </w:r>
          <w:r w:rsidR="006A5DF5" w:rsidRPr="00ED6062">
            <w:rPr>
              <w:rFonts w:ascii="Arial" w:hAnsi="Arial" w:cs="Arial"/>
              <w:lang w:val="pt-PT"/>
            </w:rPr>
            <w:t xml:space="preserve">menos </w:t>
          </w:r>
          <w:r>
            <w:rPr>
              <w:rFonts w:ascii="Arial" w:hAnsi="Arial" w:cs="Arial"/>
              <w:lang w:val="pt-PT"/>
            </w:rPr>
            <w:t>dinâmicos</w:t>
          </w:r>
          <w:r w:rsidR="006A5DF5" w:rsidRPr="00ED6062">
            <w:rPr>
              <w:rFonts w:ascii="Arial" w:hAnsi="Arial" w:cs="Arial"/>
              <w:lang w:val="pt-PT"/>
            </w:rPr>
            <w:t>.</w:t>
          </w:r>
        </w:p>
        <w:p w14:paraId="599729E0" w14:textId="24CAF599" w:rsidR="006A5DF5" w:rsidRPr="00ED6062" w:rsidRDefault="009C6539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6A5DF5" w:rsidRPr="00ED6062">
            <w:rPr>
              <w:rFonts w:ascii="Arial" w:hAnsi="Arial" w:cs="Arial"/>
              <w:lang w:val="pt-PT"/>
            </w:rPr>
            <w:t xml:space="preserve">ercados </w:t>
          </w:r>
          <w:r w:rsidR="00C44284" w:rsidRPr="00ED6062">
            <w:rPr>
              <w:rFonts w:ascii="Arial" w:hAnsi="Arial" w:cs="Arial"/>
              <w:lang w:val="pt-PT"/>
            </w:rPr>
            <w:t xml:space="preserve">de </w:t>
          </w:r>
          <w:r w:rsidR="008D7DEE" w:rsidRPr="00ED6062">
            <w:rPr>
              <w:rFonts w:ascii="Arial" w:hAnsi="Arial" w:cs="Arial"/>
              <w:lang w:val="pt-PT"/>
            </w:rPr>
            <w:t xml:space="preserve">atividades distintas </w:t>
          </w:r>
          <w:r>
            <w:rPr>
              <w:rFonts w:ascii="Arial" w:hAnsi="Arial" w:cs="Arial"/>
              <w:lang w:val="pt-PT"/>
            </w:rPr>
            <w:t>d</w:t>
          </w:r>
          <w:r w:rsidR="008D7DEE" w:rsidRPr="00ED6062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p</w:t>
          </w:r>
          <w:r w:rsidR="008D7DEE" w:rsidRPr="00ED6062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6A5DF5" w:rsidRPr="00ED6062">
            <w:rPr>
              <w:rFonts w:ascii="Arial" w:hAnsi="Arial" w:cs="Arial"/>
              <w:lang w:val="pt-PT"/>
            </w:rPr>
            <w:t>continuar</w:t>
          </w:r>
          <w:r>
            <w:rPr>
              <w:rFonts w:ascii="Arial" w:hAnsi="Arial" w:cs="Arial"/>
              <w:lang w:val="pt-PT"/>
            </w:rPr>
            <w:t xml:space="preserve">am a </w:t>
          </w:r>
          <w:r w:rsidR="006A5DF5" w:rsidRPr="00ED6062">
            <w:rPr>
              <w:rFonts w:ascii="Arial" w:hAnsi="Arial" w:cs="Arial"/>
              <w:lang w:val="pt-PT"/>
            </w:rPr>
            <w:t>cre</w:t>
          </w:r>
          <w:r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 xml:space="preserve">er em </w:t>
          </w:r>
          <w:r w:rsidR="006A5DF5" w:rsidRPr="00ED6062">
            <w:rPr>
              <w:rFonts w:ascii="Arial" w:hAnsi="Arial" w:cs="Arial"/>
              <w:lang w:val="pt-PT"/>
            </w:rPr>
            <w:t xml:space="preserve">segmentos como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6A5DF5" w:rsidRPr="00ED6062">
            <w:rPr>
              <w:rFonts w:ascii="Arial" w:hAnsi="Arial" w:cs="Arial"/>
              <w:lang w:val="pt-PT"/>
            </w:rPr>
            <w:t>ind</w:t>
          </w:r>
          <w:r>
            <w:rPr>
              <w:rFonts w:ascii="Arial" w:hAnsi="Arial" w:cs="Arial"/>
              <w:lang w:val="pt-PT"/>
            </w:rPr>
            <w:t>ú</w:t>
          </w:r>
          <w:r w:rsidR="006A5DF5" w:rsidRPr="00ED6062">
            <w:rPr>
              <w:rFonts w:ascii="Arial" w:hAnsi="Arial" w:cs="Arial"/>
              <w:lang w:val="pt-PT"/>
            </w:rPr>
            <w:t xml:space="preserve">stria geral, 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6A5DF5" w:rsidRPr="00ED6062">
            <w:rPr>
              <w:rFonts w:ascii="Arial" w:hAnsi="Arial" w:cs="Arial"/>
              <w:lang w:val="pt-PT"/>
            </w:rPr>
            <w:t>miner</w:t>
          </w:r>
          <w:r>
            <w:rPr>
              <w:rFonts w:ascii="Arial" w:hAnsi="Arial" w:cs="Arial"/>
              <w:lang w:val="pt-PT"/>
            </w:rPr>
            <w:t>ação</w:t>
          </w:r>
          <w:r w:rsidR="006A5DF5" w:rsidRPr="00ED6062">
            <w:rPr>
              <w:rFonts w:ascii="Arial" w:hAnsi="Arial" w:cs="Arial"/>
              <w:lang w:val="pt-PT"/>
            </w:rPr>
            <w:t xml:space="preserve">, a </w:t>
          </w:r>
          <w:r>
            <w:rPr>
              <w:rFonts w:ascii="Arial" w:hAnsi="Arial" w:cs="Arial"/>
              <w:lang w:val="pt-PT"/>
            </w:rPr>
            <w:t xml:space="preserve">energia e </w:t>
          </w:r>
          <w:r w:rsidR="006A5DF5" w:rsidRPr="00ED6062">
            <w:rPr>
              <w:rFonts w:ascii="Arial" w:hAnsi="Arial" w:cs="Arial"/>
              <w:lang w:val="pt-PT"/>
            </w:rPr>
            <w:t>os servi</w:t>
          </w:r>
          <w:r>
            <w:rPr>
              <w:rFonts w:ascii="Arial" w:hAnsi="Arial" w:cs="Arial"/>
              <w:lang w:val="pt-PT"/>
            </w:rPr>
            <w:t>ç</w:t>
          </w:r>
          <w:r w:rsidR="006A5DF5" w:rsidRPr="00ED6062">
            <w:rPr>
              <w:rFonts w:ascii="Arial" w:hAnsi="Arial" w:cs="Arial"/>
              <w:lang w:val="pt-PT"/>
            </w:rPr>
            <w:t>os de f</w:t>
          </w:r>
          <w:r>
            <w:rPr>
              <w:rFonts w:ascii="Arial" w:hAnsi="Arial" w:cs="Arial"/>
              <w:lang w:val="pt-PT"/>
            </w:rPr>
            <w:t>r</w:t>
          </w:r>
          <w:r w:rsidR="006A5DF5" w:rsidRPr="00ED6062">
            <w:rPr>
              <w:rFonts w:ascii="Arial" w:hAnsi="Arial" w:cs="Arial"/>
              <w:lang w:val="pt-PT"/>
            </w:rPr>
            <w:t>o</w:t>
          </w:r>
          <w:r w:rsidR="00C44284" w:rsidRPr="00ED6062">
            <w:rPr>
              <w:rFonts w:ascii="Arial" w:hAnsi="Arial" w:cs="Arial"/>
              <w:lang w:val="pt-PT"/>
            </w:rPr>
            <w:t>tas</w:t>
          </w:r>
          <w:r w:rsidR="006A5DF5" w:rsidRPr="00ED6062">
            <w:rPr>
              <w:rFonts w:ascii="Arial" w:hAnsi="Arial" w:cs="Arial"/>
              <w:lang w:val="pt-PT"/>
            </w:rPr>
            <w:t>.</w:t>
          </w:r>
        </w:p>
        <w:p w14:paraId="172E4EF1" w14:textId="77777777" w:rsidR="006A5DF5" w:rsidRPr="00ED6062" w:rsidRDefault="006A5DF5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403B5A" w14:textId="6412A687" w:rsidR="003F77AC" w:rsidRPr="00ED6062" w:rsidRDefault="009C6539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as trimestra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s consolidadas aumentar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7,4%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até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7000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hõe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s de euros,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beneficiando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posicionamento premium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Grupo. Este cre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cimento refle</w:t>
          </w:r>
          <w:r w:rsidR="004212B4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 xml:space="preserve">impacto </w:t>
          </w:r>
          <w:r>
            <w:rPr>
              <w:rFonts w:ascii="Arial" w:hAnsi="Arial" w:cs="Arial"/>
              <w:sz w:val="20"/>
              <w:szCs w:val="20"/>
              <w:lang w:val="pt-PT"/>
            </w:rPr>
            <w:t>líquido de</w:t>
          </w:r>
          <w:r w:rsidR="006A5DF5" w:rsidRPr="00ED6062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669741D9" w14:textId="7B31D052" w:rsidR="006A5DF5" w:rsidRPr="00ED6062" w:rsidRDefault="006A5DF5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C61AEA" w14:textId="6F97056D" w:rsidR="006A5DF5" w:rsidRPr="00ED6062" w:rsidRDefault="009C6539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uma </w:t>
          </w:r>
          <w:r w:rsidR="006A5DF5" w:rsidRPr="00ED6062">
            <w:rPr>
              <w:rFonts w:ascii="Arial" w:hAnsi="Arial" w:cs="Arial"/>
              <w:lang w:val="pt-PT"/>
            </w:rPr>
            <w:t>diminu</w:t>
          </w:r>
          <w:r>
            <w:rPr>
              <w:rFonts w:ascii="Arial" w:hAnsi="Arial" w:cs="Arial"/>
              <w:lang w:val="pt-PT"/>
            </w:rPr>
            <w:t xml:space="preserve">ição </w:t>
          </w:r>
          <w:r w:rsidR="006A5DF5" w:rsidRPr="00ED6062">
            <w:rPr>
              <w:rFonts w:ascii="Arial" w:hAnsi="Arial" w:cs="Arial"/>
              <w:lang w:val="pt-PT"/>
            </w:rPr>
            <w:t xml:space="preserve">de 6,6% </w:t>
          </w:r>
          <w:r>
            <w:rPr>
              <w:rFonts w:ascii="Arial" w:hAnsi="Arial" w:cs="Arial"/>
              <w:lang w:val="pt-PT"/>
            </w:rPr>
            <w:t>n</w:t>
          </w:r>
          <w:r w:rsidR="006A5DF5" w:rsidRPr="00ED6062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volumes</w:t>
          </w:r>
          <w:r w:rsidR="006A5DF5" w:rsidRPr="00ED6062">
            <w:rPr>
              <w:rFonts w:ascii="Arial" w:hAnsi="Arial" w:cs="Arial"/>
              <w:lang w:val="pt-PT"/>
            </w:rPr>
            <w:t>, principalmente de</w:t>
          </w:r>
          <w:r>
            <w:rPr>
              <w:rFonts w:ascii="Arial" w:hAnsi="Arial" w:cs="Arial"/>
              <w:lang w:val="pt-PT"/>
            </w:rPr>
            <w:t>v</w:t>
          </w:r>
          <w:r w:rsidR="006A5DF5" w:rsidRPr="00ED6062">
            <w:rPr>
              <w:rFonts w:ascii="Arial" w:hAnsi="Arial" w:cs="Arial"/>
              <w:lang w:val="pt-PT"/>
            </w:rPr>
            <w:t>ido a u</w:t>
          </w:r>
          <w:r>
            <w:rPr>
              <w:rFonts w:ascii="Arial" w:hAnsi="Arial" w:cs="Arial"/>
              <w:lang w:val="pt-PT"/>
            </w:rPr>
            <w:t xml:space="preserve">ma </w:t>
          </w:r>
          <w:r w:rsidR="006A5DF5" w:rsidRPr="00ED6062">
            <w:rPr>
              <w:rFonts w:ascii="Arial" w:hAnsi="Arial" w:cs="Arial"/>
              <w:lang w:val="pt-PT"/>
            </w:rPr>
            <w:t>diminu</w:t>
          </w:r>
          <w:r>
            <w:rPr>
              <w:rFonts w:ascii="Arial" w:hAnsi="Arial" w:cs="Arial"/>
              <w:lang w:val="pt-PT"/>
            </w:rPr>
            <w:t xml:space="preserve">ição na procura </w:t>
          </w:r>
          <w:r w:rsidR="006A5DF5" w:rsidRPr="00ED6062">
            <w:rPr>
              <w:rFonts w:ascii="Arial" w:hAnsi="Arial" w:cs="Arial"/>
              <w:lang w:val="pt-PT"/>
            </w:rPr>
            <w:t>de ven</w:t>
          </w:r>
          <w:r>
            <w:rPr>
              <w:rFonts w:ascii="Arial" w:hAnsi="Arial" w:cs="Arial"/>
              <w:lang w:val="pt-PT"/>
            </w:rPr>
            <w:t>d</w:t>
          </w:r>
          <w:r w:rsidR="006A5DF5" w:rsidRPr="00ED6062">
            <w:rPr>
              <w:rFonts w:ascii="Arial" w:hAnsi="Arial" w:cs="Arial"/>
              <w:lang w:val="pt-PT"/>
            </w:rPr>
            <w:t>a nos mercados de turismo</w:t>
          </w:r>
          <w:r w:rsidR="00BB5E2C" w:rsidRPr="00ED6062">
            <w:rPr>
              <w:rFonts w:ascii="Arial" w:hAnsi="Arial" w:cs="Arial"/>
              <w:lang w:val="pt-PT"/>
            </w:rPr>
            <w:t>-</w:t>
          </w:r>
          <w:r>
            <w:rPr>
              <w:rFonts w:ascii="Arial" w:hAnsi="Arial" w:cs="Arial"/>
              <w:lang w:val="pt-PT"/>
            </w:rPr>
            <w:t xml:space="preserve">comerciais ligeiros e de </w:t>
          </w:r>
          <w:r w:rsidR="006A5DF5" w:rsidRPr="00ED6062">
            <w:rPr>
              <w:rFonts w:ascii="Arial" w:hAnsi="Arial" w:cs="Arial"/>
              <w:lang w:val="pt-PT"/>
            </w:rPr>
            <w:t>cami</w:t>
          </w:r>
          <w:r>
            <w:rPr>
              <w:rFonts w:ascii="Arial" w:hAnsi="Arial" w:cs="Arial"/>
              <w:lang w:val="pt-PT"/>
            </w:rPr>
            <w:t>õ</w:t>
          </w:r>
          <w:r w:rsidR="006A5DF5" w:rsidRPr="00ED6062">
            <w:rPr>
              <w:rFonts w:ascii="Arial" w:hAnsi="Arial" w:cs="Arial"/>
              <w:lang w:val="pt-PT"/>
            </w:rPr>
            <w:t>es</w:t>
          </w:r>
          <w:r w:rsidR="00BB5E2C" w:rsidRPr="00ED6062">
            <w:rPr>
              <w:rFonts w:ascii="Arial" w:hAnsi="Arial" w:cs="Arial"/>
              <w:lang w:val="pt-PT"/>
            </w:rPr>
            <w:t>.</w:t>
          </w:r>
          <w:r w:rsidR="006A5DF5" w:rsidRPr="00ED6062">
            <w:rPr>
              <w:rFonts w:ascii="Arial" w:hAnsi="Arial" w:cs="Arial"/>
              <w:lang w:val="pt-PT"/>
            </w:rPr>
            <w:t xml:space="preserve"> 25% desta diminu</w:t>
          </w:r>
          <w:r>
            <w:rPr>
              <w:rFonts w:ascii="Arial" w:hAnsi="Arial" w:cs="Arial"/>
              <w:lang w:val="pt-PT"/>
            </w:rPr>
            <w:t xml:space="preserve">ição </w:t>
          </w:r>
          <w:r w:rsidR="006A5DF5" w:rsidRPr="00ED6062">
            <w:rPr>
              <w:rFonts w:ascii="Arial" w:hAnsi="Arial" w:cs="Arial"/>
              <w:lang w:val="pt-PT"/>
            </w:rPr>
            <w:t>está relacionada co</w:t>
          </w:r>
          <w:r>
            <w:rPr>
              <w:rFonts w:ascii="Arial" w:hAnsi="Arial" w:cs="Arial"/>
              <w:lang w:val="pt-PT"/>
            </w:rPr>
            <w:t xml:space="preserve">m a </w:t>
          </w:r>
          <w:r w:rsidR="006A5DF5" w:rsidRPr="00ED6062">
            <w:rPr>
              <w:rFonts w:ascii="Arial" w:hAnsi="Arial" w:cs="Arial"/>
              <w:lang w:val="pt-PT"/>
            </w:rPr>
            <w:t>Europa de</w:t>
          </w:r>
          <w:r>
            <w:rPr>
              <w:rFonts w:ascii="Arial" w:hAnsi="Arial" w:cs="Arial"/>
              <w:lang w:val="pt-PT"/>
            </w:rPr>
            <w:t xml:space="preserve"> Le</w:t>
          </w:r>
          <w:r w:rsidR="006A5DF5" w:rsidRPr="00ED6062">
            <w:rPr>
              <w:rFonts w:ascii="Arial" w:hAnsi="Arial" w:cs="Arial"/>
              <w:lang w:val="pt-PT"/>
            </w:rPr>
            <w:t>ste;</w:t>
          </w:r>
        </w:p>
        <w:p w14:paraId="72037139" w14:textId="1C10E509" w:rsidR="006A5DF5" w:rsidRPr="00ED6062" w:rsidRDefault="003F77AC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 w:rsidRPr="00ED6062">
            <w:rPr>
              <w:rFonts w:ascii="Arial" w:hAnsi="Arial" w:cs="Arial"/>
              <w:lang w:val="pt-PT"/>
            </w:rPr>
            <w:t>u</w:t>
          </w:r>
          <w:r w:rsidR="009C6539">
            <w:rPr>
              <w:rFonts w:ascii="Arial" w:hAnsi="Arial" w:cs="Arial"/>
              <w:lang w:val="pt-PT"/>
            </w:rPr>
            <w:t xml:space="preserve">m </w:t>
          </w:r>
          <w:r w:rsidR="006A5DF5" w:rsidRPr="00ED6062">
            <w:rPr>
              <w:rFonts w:ascii="Arial" w:hAnsi="Arial" w:cs="Arial"/>
              <w:lang w:val="pt-PT"/>
            </w:rPr>
            <w:t>efe</w:t>
          </w:r>
          <w:r w:rsidR="009C6539"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 xml:space="preserve">to </w:t>
          </w:r>
          <w:proofErr w:type="spellStart"/>
          <w:r w:rsidR="006A5DF5" w:rsidRPr="00ED6062">
            <w:rPr>
              <w:rFonts w:ascii="Arial" w:hAnsi="Arial" w:cs="Arial"/>
              <w:lang w:val="pt-PT"/>
            </w:rPr>
            <w:t>mix</w:t>
          </w:r>
          <w:proofErr w:type="spellEnd"/>
          <w:r w:rsidR="00BB5E2C" w:rsidRPr="00ED6062">
            <w:rPr>
              <w:rFonts w:ascii="Arial" w:hAnsi="Arial" w:cs="Arial"/>
              <w:lang w:val="pt-PT"/>
            </w:rPr>
            <w:t>-pre</w:t>
          </w:r>
          <w:r w:rsidR="009C6539">
            <w:rPr>
              <w:rFonts w:ascii="Arial" w:hAnsi="Arial" w:cs="Arial"/>
              <w:lang w:val="pt-PT"/>
            </w:rPr>
            <w:t>ç</w:t>
          </w:r>
          <w:r w:rsidR="00BB5E2C" w:rsidRPr="00ED6062">
            <w:rPr>
              <w:rFonts w:ascii="Arial" w:hAnsi="Arial" w:cs="Arial"/>
              <w:lang w:val="pt-PT"/>
            </w:rPr>
            <w:t>o</w:t>
          </w:r>
          <w:r w:rsidR="006A5DF5" w:rsidRPr="00ED6062">
            <w:rPr>
              <w:rFonts w:ascii="Arial" w:hAnsi="Arial" w:cs="Arial"/>
              <w:lang w:val="pt-PT"/>
            </w:rPr>
            <w:t xml:space="preserve"> positivo de</w:t>
          </w:r>
          <w:r w:rsidR="009C6539">
            <w:rPr>
              <w:rFonts w:ascii="Arial" w:hAnsi="Arial" w:cs="Arial"/>
              <w:lang w:val="pt-PT"/>
            </w:rPr>
            <w:t xml:space="preserve"> </w:t>
          </w:r>
          <w:r w:rsidR="006A5DF5" w:rsidRPr="00ED6062">
            <w:rPr>
              <w:rFonts w:ascii="Arial" w:hAnsi="Arial" w:cs="Arial"/>
              <w:lang w:val="pt-PT"/>
            </w:rPr>
            <w:t>12,3% refle</w:t>
          </w:r>
          <w:r w:rsidR="009C6539">
            <w:rPr>
              <w:rFonts w:ascii="Arial" w:hAnsi="Arial" w:cs="Arial"/>
              <w:lang w:val="pt-PT"/>
            </w:rPr>
            <w:t>ti</w:t>
          </w:r>
          <w:r w:rsidR="006A5DF5" w:rsidRPr="00ED6062">
            <w:rPr>
              <w:rFonts w:ascii="Arial" w:hAnsi="Arial" w:cs="Arial"/>
              <w:lang w:val="pt-PT"/>
            </w:rPr>
            <w:t xml:space="preserve">ndo a </w:t>
          </w:r>
          <w:r w:rsidR="009C6539">
            <w:rPr>
              <w:rFonts w:ascii="Arial" w:hAnsi="Arial" w:cs="Arial"/>
              <w:lang w:val="pt-PT"/>
            </w:rPr>
            <w:t>qu</w:t>
          </w:r>
          <w:r w:rsidR="006A5DF5" w:rsidRPr="00ED6062">
            <w:rPr>
              <w:rFonts w:ascii="Arial" w:hAnsi="Arial" w:cs="Arial"/>
              <w:lang w:val="pt-PT"/>
            </w:rPr>
            <w:t>alidad</w:t>
          </w:r>
          <w:r w:rsidR="009C6539">
            <w:rPr>
              <w:rFonts w:ascii="Arial" w:hAnsi="Arial" w:cs="Arial"/>
              <w:lang w:val="pt-PT"/>
            </w:rPr>
            <w:t>e</w:t>
          </w:r>
          <w:r w:rsidR="006A5DF5" w:rsidRPr="00ED6062">
            <w:rPr>
              <w:rFonts w:ascii="Arial" w:hAnsi="Arial" w:cs="Arial"/>
              <w:lang w:val="pt-PT"/>
            </w:rPr>
            <w:t xml:space="preserve"> </w:t>
          </w:r>
          <w:r w:rsidR="009C6539">
            <w:rPr>
              <w:rFonts w:ascii="Arial" w:hAnsi="Arial" w:cs="Arial"/>
              <w:lang w:val="pt-PT"/>
            </w:rPr>
            <w:t>e o desempenho do</w:t>
          </w:r>
          <w:r w:rsidR="006A5DF5" w:rsidRPr="00ED6062">
            <w:rPr>
              <w:rFonts w:ascii="Arial" w:hAnsi="Arial" w:cs="Arial"/>
              <w:lang w:val="pt-PT"/>
            </w:rPr>
            <w:t>s produtos d</w:t>
          </w:r>
          <w:r w:rsidR="009C6539"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 xml:space="preserve">Grupo. </w:t>
          </w:r>
          <w:r w:rsidR="004212B4"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>cre</w:t>
          </w:r>
          <w:r w:rsidR="004212B4"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>cimento nos segmentos de alto valor</w:t>
          </w:r>
          <w:r w:rsidR="004212B4">
            <w:rPr>
              <w:rFonts w:ascii="Arial" w:hAnsi="Arial" w:cs="Arial"/>
              <w:lang w:val="pt-PT"/>
            </w:rPr>
            <w:t xml:space="preserve">, e o </w:t>
          </w:r>
          <w:r w:rsidR="006A5DF5" w:rsidRPr="00ED6062">
            <w:rPr>
              <w:rFonts w:ascii="Arial" w:hAnsi="Arial" w:cs="Arial"/>
              <w:lang w:val="pt-PT"/>
            </w:rPr>
            <w:t>dinamismo das ven</w:t>
          </w:r>
          <w:r w:rsidR="004212B4">
            <w:rPr>
              <w:rFonts w:ascii="Arial" w:hAnsi="Arial" w:cs="Arial"/>
              <w:lang w:val="pt-PT"/>
            </w:rPr>
            <w:t>d</w:t>
          </w:r>
          <w:r w:rsidR="006A5DF5" w:rsidRPr="00ED6062">
            <w:rPr>
              <w:rFonts w:ascii="Arial" w:hAnsi="Arial" w:cs="Arial"/>
              <w:lang w:val="pt-PT"/>
            </w:rPr>
            <w:t xml:space="preserve">as </w:t>
          </w:r>
          <w:r w:rsidR="004212B4">
            <w:rPr>
              <w:rFonts w:ascii="Arial" w:hAnsi="Arial" w:cs="Arial"/>
              <w:lang w:val="pt-PT"/>
            </w:rPr>
            <w:t xml:space="preserve">no </w:t>
          </w:r>
          <w:r w:rsidR="006A5DF5" w:rsidRPr="00ED6062">
            <w:rPr>
              <w:rFonts w:ascii="Arial" w:hAnsi="Arial" w:cs="Arial"/>
              <w:lang w:val="pt-PT"/>
            </w:rPr>
            <w:t>sector mine</w:t>
          </w:r>
          <w:r w:rsidR="004212B4"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ro</w:t>
          </w:r>
          <w:r w:rsidR="004212B4">
            <w:rPr>
              <w:rFonts w:ascii="Arial" w:hAnsi="Arial" w:cs="Arial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lang w:val="pt-PT"/>
            </w:rPr>
            <w:t>compensar</w:t>
          </w:r>
          <w:r w:rsidR="004212B4">
            <w:rPr>
              <w:rFonts w:ascii="Arial" w:hAnsi="Arial" w:cs="Arial"/>
              <w:lang w:val="pt-PT"/>
            </w:rPr>
            <w:t xml:space="preserve">am </w:t>
          </w:r>
          <w:r w:rsidR="004F619A" w:rsidRPr="00ED6062">
            <w:rPr>
              <w:rFonts w:ascii="Arial" w:hAnsi="Arial" w:cs="Arial"/>
              <w:lang w:val="pt-PT"/>
            </w:rPr>
            <w:t xml:space="preserve">largamente </w:t>
          </w:r>
          <w:r w:rsidR="004212B4"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>efe</w:t>
          </w:r>
          <w:r w:rsidR="004212B4"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to desfavor</w:t>
          </w:r>
          <w:r w:rsidR="004212B4">
            <w:rPr>
              <w:rFonts w:ascii="Arial" w:hAnsi="Arial" w:cs="Arial"/>
              <w:lang w:val="pt-PT"/>
            </w:rPr>
            <w:t xml:space="preserve">ável do </w:t>
          </w:r>
          <w:proofErr w:type="spellStart"/>
          <w:r w:rsidR="006A5DF5" w:rsidRPr="00ED6062">
            <w:rPr>
              <w:rFonts w:ascii="Arial" w:hAnsi="Arial" w:cs="Arial"/>
              <w:lang w:val="pt-PT"/>
            </w:rPr>
            <w:t>mix</w:t>
          </w:r>
          <w:proofErr w:type="spellEnd"/>
          <w:r w:rsidR="006A5DF5" w:rsidRPr="00ED6062">
            <w:rPr>
              <w:rFonts w:ascii="Arial" w:hAnsi="Arial" w:cs="Arial"/>
              <w:lang w:val="pt-PT"/>
            </w:rPr>
            <w:t xml:space="preserve"> Equip</w:t>
          </w:r>
          <w:r w:rsidR="004212B4">
            <w:rPr>
              <w:rFonts w:ascii="Arial" w:hAnsi="Arial" w:cs="Arial"/>
              <w:lang w:val="pt-PT"/>
            </w:rPr>
            <w:t>amento</w:t>
          </w:r>
          <w:r w:rsidR="006A5DF5" w:rsidRPr="00ED6062">
            <w:rPr>
              <w:rFonts w:ascii="Arial" w:hAnsi="Arial" w:cs="Arial"/>
              <w:lang w:val="pt-PT"/>
            </w:rPr>
            <w:t xml:space="preserve"> </w:t>
          </w:r>
          <w:r w:rsidR="004212B4">
            <w:rPr>
              <w:rFonts w:ascii="Arial" w:hAnsi="Arial" w:cs="Arial"/>
              <w:lang w:val="pt-PT"/>
            </w:rPr>
            <w:t xml:space="preserve">de </w:t>
          </w:r>
          <w:r w:rsidR="006A5DF5" w:rsidRPr="00ED6062">
            <w:rPr>
              <w:rFonts w:ascii="Arial" w:hAnsi="Arial" w:cs="Arial"/>
              <w:lang w:val="pt-PT"/>
            </w:rPr>
            <w:t>Orig</w:t>
          </w:r>
          <w:r w:rsidR="004212B4">
            <w:rPr>
              <w:rFonts w:ascii="Arial" w:hAnsi="Arial" w:cs="Arial"/>
              <w:lang w:val="pt-PT"/>
            </w:rPr>
            <w:t>em</w:t>
          </w:r>
          <w:r w:rsidR="006A5DF5" w:rsidRPr="00ED6062">
            <w:rPr>
              <w:rFonts w:ascii="Arial" w:hAnsi="Arial" w:cs="Arial"/>
              <w:lang w:val="pt-PT"/>
            </w:rPr>
            <w:t>/</w:t>
          </w:r>
          <w:r w:rsidR="004212B4">
            <w:rPr>
              <w:rFonts w:ascii="Arial" w:hAnsi="Arial" w:cs="Arial"/>
              <w:lang w:val="pt-PT"/>
            </w:rPr>
            <w:t>Substituição</w:t>
          </w:r>
          <w:r w:rsidR="006A5DF5" w:rsidRPr="00ED6062">
            <w:rPr>
              <w:rFonts w:ascii="Arial" w:hAnsi="Arial" w:cs="Arial"/>
              <w:lang w:val="pt-PT"/>
            </w:rPr>
            <w:t>;</w:t>
          </w:r>
        </w:p>
        <w:p w14:paraId="091B9F55" w14:textId="4D3AA5D3" w:rsidR="006A5DF5" w:rsidRPr="00ED6062" w:rsidRDefault="004212B4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um </w:t>
          </w:r>
          <w:r w:rsidR="003F77AC" w:rsidRPr="00ED6062">
            <w:rPr>
              <w:rFonts w:ascii="Arial" w:hAnsi="Arial" w:cs="Arial"/>
              <w:lang w:val="pt-PT"/>
            </w:rPr>
            <w:t>c</w:t>
          </w:r>
          <w:r w:rsidR="006A5DF5" w:rsidRPr="00ED6062">
            <w:rPr>
              <w:rFonts w:ascii="Arial" w:hAnsi="Arial" w:cs="Arial"/>
              <w:lang w:val="pt-PT"/>
            </w:rPr>
            <w:t>re</w:t>
          </w:r>
          <w:r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>cimento de</w:t>
          </w:r>
          <w:r>
            <w:rPr>
              <w:rFonts w:ascii="Arial" w:hAnsi="Arial" w:cs="Arial"/>
              <w:lang w:val="pt-PT"/>
            </w:rPr>
            <w:t xml:space="preserve"> </w:t>
          </w:r>
          <w:r w:rsidR="006A5DF5" w:rsidRPr="00ED6062">
            <w:rPr>
              <w:rFonts w:ascii="Arial" w:hAnsi="Arial" w:cs="Arial"/>
              <w:lang w:val="pt-PT"/>
            </w:rPr>
            <w:t>15%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6A5DF5" w:rsidRPr="00ED6062">
            <w:rPr>
              <w:rFonts w:ascii="Arial" w:hAnsi="Arial" w:cs="Arial"/>
              <w:lang w:val="pt-PT"/>
            </w:rPr>
            <w:t xml:space="preserve">atividades distintas </w:t>
          </w:r>
          <w:r>
            <w:rPr>
              <w:rFonts w:ascii="Arial" w:hAnsi="Arial" w:cs="Arial"/>
              <w:lang w:val="pt-PT"/>
            </w:rPr>
            <w:t>d</w:t>
          </w:r>
          <w:r w:rsidR="006A5DF5" w:rsidRPr="00ED6062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p</w:t>
          </w:r>
          <w:r w:rsidR="006A5DF5" w:rsidRPr="00ED6062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>, tanto para Materia</w:t>
          </w:r>
          <w:r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s de Alta Tecnolog</w:t>
          </w:r>
          <w:r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lang w:val="pt-PT"/>
            </w:rPr>
            <w:t>como para Servi</w:t>
          </w:r>
          <w:r>
            <w:rPr>
              <w:rFonts w:ascii="Arial" w:hAnsi="Arial" w:cs="Arial"/>
              <w:lang w:val="pt-PT"/>
            </w:rPr>
            <w:t>ç</w:t>
          </w:r>
          <w:r w:rsidR="006A5DF5" w:rsidRPr="00ED6062">
            <w:rPr>
              <w:rFonts w:ascii="Arial" w:hAnsi="Arial" w:cs="Arial"/>
              <w:lang w:val="pt-PT"/>
            </w:rPr>
            <w:t>os de F</w:t>
          </w:r>
          <w:r>
            <w:rPr>
              <w:rFonts w:ascii="Arial" w:hAnsi="Arial" w:cs="Arial"/>
              <w:lang w:val="pt-PT"/>
            </w:rPr>
            <w:t>r</w:t>
          </w:r>
          <w:r w:rsidR="006A5DF5" w:rsidRPr="00ED6062">
            <w:rPr>
              <w:rFonts w:ascii="Arial" w:hAnsi="Arial" w:cs="Arial"/>
              <w:lang w:val="pt-PT"/>
            </w:rPr>
            <w:t>otas;</w:t>
          </w:r>
        </w:p>
        <w:p w14:paraId="03BC2AAB" w14:textId="4252AA2D" w:rsidR="006A5DF5" w:rsidRPr="00ED6062" w:rsidRDefault="003F77AC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 w:rsidRPr="00ED6062">
            <w:rPr>
              <w:rFonts w:ascii="Arial" w:hAnsi="Arial" w:cs="Arial"/>
              <w:lang w:val="pt-PT"/>
            </w:rPr>
            <w:t>u</w:t>
          </w:r>
          <w:r w:rsidR="004212B4">
            <w:rPr>
              <w:rFonts w:ascii="Arial" w:hAnsi="Arial" w:cs="Arial"/>
              <w:lang w:val="pt-PT"/>
            </w:rPr>
            <w:t xml:space="preserve">m </w:t>
          </w:r>
          <w:r w:rsidR="006A5DF5" w:rsidRPr="00ED6062">
            <w:rPr>
              <w:rFonts w:ascii="Arial" w:hAnsi="Arial" w:cs="Arial"/>
              <w:lang w:val="pt-PT"/>
            </w:rPr>
            <w:t>efe</w:t>
          </w:r>
          <w:r w:rsidR="004212B4"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 xml:space="preserve">to </w:t>
          </w:r>
          <w:r w:rsidR="008D7DEE" w:rsidRPr="00ED6062">
            <w:rPr>
              <w:rFonts w:ascii="Arial" w:hAnsi="Arial" w:cs="Arial"/>
              <w:lang w:val="pt-PT"/>
            </w:rPr>
            <w:t>ta</w:t>
          </w:r>
          <w:r w:rsidR="004212B4">
            <w:rPr>
              <w:rFonts w:ascii="Arial" w:hAnsi="Arial" w:cs="Arial"/>
              <w:lang w:val="pt-PT"/>
            </w:rPr>
            <w:t>x</w:t>
          </w:r>
          <w:r w:rsidR="008D7DEE" w:rsidRPr="00ED6062">
            <w:rPr>
              <w:rFonts w:ascii="Arial" w:hAnsi="Arial" w:cs="Arial"/>
              <w:lang w:val="pt-PT"/>
            </w:rPr>
            <w:t>a de c</w:t>
          </w:r>
          <w:r w:rsidR="004212B4">
            <w:rPr>
              <w:rFonts w:ascii="Arial" w:hAnsi="Arial" w:cs="Arial"/>
              <w:lang w:val="pt-PT"/>
            </w:rPr>
            <w:t>â</w:t>
          </w:r>
          <w:r w:rsidR="008D7DEE" w:rsidRPr="00ED6062">
            <w:rPr>
              <w:rFonts w:ascii="Arial" w:hAnsi="Arial" w:cs="Arial"/>
              <w:lang w:val="pt-PT"/>
            </w:rPr>
            <w:t>mbio</w:t>
          </w:r>
          <w:r w:rsidR="006A5DF5" w:rsidRPr="00ED6062">
            <w:rPr>
              <w:rFonts w:ascii="Arial" w:hAnsi="Arial" w:cs="Arial"/>
              <w:lang w:val="pt-PT"/>
            </w:rPr>
            <w:t xml:space="preserve"> favor</w:t>
          </w:r>
          <w:r w:rsidR="004212B4">
            <w:rPr>
              <w:rFonts w:ascii="Arial" w:hAnsi="Arial" w:cs="Arial"/>
              <w:lang w:val="pt-PT"/>
            </w:rPr>
            <w:t xml:space="preserve">ável de </w:t>
          </w:r>
          <w:r w:rsidR="006A5DF5" w:rsidRPr="00ED6062">
            <w:rPr>
              <w:rFonts w:ascii="Arial" w:hAnsi="Arial" w:cs="Arial"/>
              <w:lang w:val="pt-PT"/>
            </w:rPr>
            <w:t>0,8%, refle</w:t>
          </w:r>
          <w:r w:rsidR="004212B4">
            <w:rPr>
              <w:rFonts w:ascii="Arial" w:hAnsi="Arial" w:cs="Arial"/>
              <w:lang w:val="pt-PT"/>
            </w:rPr>
            <w:t>ti</w:t>
          </w:r>
          <w:r w:rsidR="006A5DF5" w:rsidRPr="00ED6062">
            <w:rPr>
              <w:rFonts w:ascii="Arial" w:hAnsi="Arial" w:cs="Arial"/>
              <w:lang w:val="pt-PT"/>
            </w:rPr>
            <w:t>ndo</w:t>
          </w:r>
          <w:r w:rsidR="004212B4">
            <w:rPr>
              <w:rFonts w:ascii="Arial" w:hAnsi="Arial" w:cs="Arial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lang w:val="pt-PT"/>
            </w:rPr>
            <w:t>principalmente</w:t>
          </w:r>
          <w:r w:rsidR="004212B4">
            <w:rPr>
              <w:rFonts w:ascii="Arial" w:hAnsi="Arial" w:cs="Arial"/>
              <w:lang w:val="pt-PT"/>
            </w:rPr>
            <w:t xml:space="preserve">, </w:t>
          </w:r>
          <w:r w:rsidR="006A5DF5" w:rsidRPr="00ED6062">
            <w:rPr>
              <w:rFonts w:ascii="Arial" w:hAnsi="Arial" w:cs="Arial"/>
              <w:lang w:val="pt-PT"/>
            </w:rPr>
            <w:t>a varia</w:t>
          </w:r>
          <w:r w:rsidR="004212B4">
            <w:rPr>
              <w:rFonts w:ascii="Arial" w:hAnsi="Arial" w:cs="Arial"/>
              <w:lang w:val="pt-PT"/>
            </w:rPr>
            <w:t xml:space="preserve">ção da taxa </w:t>
          </w:r>
          <w:proofErr w:type="spellStart"/>
          <w:r w:rsidR="006A5DF5" w:rsidRPr="00ED6062">
            <w:rPr>
              <w:rFonts w:ascii="Arial" w:hAnsi="Arial" w:cs="Arial"/>
              <w:lang w:val="pt-PT"/>
            </w:rPr>
            <w:t>euro-dólar</w:t>
          </w:r>
          <w:proofErr w:type="spellEnd"/>
          <w:r w:rsidR="006A5DF5" w:rsidRPr="00ED6062">
            <w:rPr>
              <w:rFonts w:ascii="Arial" w:hAnsi="Arial" w:cs="Arial"/>
              <w:lang w:val="pt-PT"/>
            </w:rPr>
            <w:t>.</w:t>
          </w:r>
        </w:p>
        <w:p w14:paraId="7F6912C3" w14:textId="77777777" w:rsidR="008D7DEE" w:rsidRPr="00ED6062" w:rsidRDefault="008D7DEE" w:rsidP="003F77AC">
          <w:pPr>
            <w:pStyle w:val="Prrafodelista"/>
            <w:jc w:val="both"/>
            <w:rPr>
              <w:rFonts w:ascii="Arial" w:hAnsi="Arial" w:cs="Arial"/>
              <w:lang w:val="pt-PT"/>
            </w:rPr>
          </w:pPr>
        </w:p>
        <w:p w14:paraId="7CA51C76" w14:textId="16627DE8" w:rsidR="003F77AC" w:rsidRPr="00ED6062" w:rsidRDefault="006A5DF5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D6062">
            <w:rPr>
              <w:rFonts w:ascii="Arial" w:hAnsi="Arial" w:cs="Arial"/>
              <w:sz w:val="20"/>
              <w:szCs w:val="20"/>
              <w:lang w:val="pt-PT"/>
            </w:rPr>
            <w:t>Orienta</w:t>
          </w:r>
          <w:r w:rsidR="004212B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>anual</w:t>
          </w:r>
          <w:r w:rsidR="003F77AC" w:rsidRPr="00ED6062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56801301" w14:textId="2BD703C5" w:rsidR="006A5DF5" w:rsidRPr="00ED6062" w:rsidRDefault="006A5DF5" w:rsidP="003F77AC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65FCDC" w14:textId="66D4FD85" w:rsidR="006A5DF5" w:rsidRPr="00ED6062" w:rsidRDefault="004212B4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O </w:t>
          </w:r>
          <w:r w:rsidR="006A5DF5" w:rsidRPr="00ED6062">
            <w:rPr>
              <w:rFonts w:ascii="Arial" w:hAnsi="Arial" w:cs="Arial"/>
              <w:lang w:val="pt-PT"/>
            </w:rPr>
            <w:t xml:space="preserve">Grupo confirma </w:t>
          </w:r>
          <w:r>
            <w:rPr>
              <w:rFonts w:ascii="Arial" w:hAnsi="Arial" w:cs="Arial"/>
              <w:lang w:val="pt-PT"/>
            </w:rPr>
            <w:t xml:space="preserve">as </w:t>
          </w:r>
          <w:r w:rsidR="006A5DF5" w:rsidRPr="00ED6062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a</w:t>
          </w:r>
          <w:r w:rsidR="008D7DEE" w:rsidRPr="00ED6062">
            <w:rPr>
              <w:rFonts w:ascii="Arial" w:hAnsi="Arial" w:cs="Arial"/>
              <w:lang w:val="pt-PT"/>
            </w:rPr>
            <w:t>s</w:t>
          </w:r>
          <w:r w:rsidR="006A5DF5" w:rsidRPr="00ED6062">
            <w:rPr>
              <w:rFonts w:ascii="Arial" w:hAnsi="Arial" w:cs="Arial"/>
              <w:lang w:val="pt-PT"/>
            </w:rPr>
            <w:t xml:space="preserve"> previs</w:t>
          </w:r>
          <w:r>
            <w:rPr>
              <w:rFonts w:ascii="Arial" w:hAnsi="Arial" w:cs="Arial"/>
              <w:lang w:val="pt-PT"/>
            </w:rPr>
            <w:t>õ</w:t>
          </w:r>
          <w:r w:rsidR="008D7DEE" w:rsidRPr="00ED6062">
            <w:rPr>
              <w:rFonts w:ascii="Arial" w:hAnsi="Arial" w:cs="Arial"/>
              <w:lang w:val="pt-PT"/>
            </w:rPr>
            <w:t>es</w:t>
          </w:r>
          <w:r w:rsidR="006A5DF5" w:rsidRPr="00ED6062">
            <w:rPr>
              <w:rFonts w:ascii="Arial" w:hAnsi="Arial" w:cs="Arial"/>
              <w:lang w:val="pt-PT"/>
            </w:rPr>
            <w:t xml:space="preserve">, </w:t>
          </w:r>
          <w:r w:rsidR="00257752" w:rsidRPr="00ED6062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6A5DF5" w:rsidRPr="00ED6062">
            <w:rPr>
              <w:rFonts w:ascii="Arial" w:hAnsi="Arial" w:cs="Arial"/>
              <w:lang w:val="pt-PT"/>
            </w:rPr>
            <w:t xml:space="preserve">mercados situados </w:t>
          </w:r>
          <w:r>
            <w:rPr>
              <w:rFonts w:ascii="Arial" w:hAnsi="Arial" w:cs="Arial"/>
              <w:lang w:val="pt-PT"/>
            </w:rPr>
            <w:t>n</w:t>
          </w:r>
          <w:r w:rsidR="006A5DF5" w:rsidRPr="00ED6062">
            <w:rPr>
              <w:rFonts w:ascii="Arial" w:hAnsi="Arial" w:cs="Arial"/>
              <w:lang w:val="pt-PT"/>
            </w:rPr>
            <w:t xml:space="preserve">a parte </w:t>
          </w:r>
          <w:r>
            <w:rPr>
              <w:rFonts w:ascii="Arial" w:hAnsi="Arial" w:cs="Arial"/>
              <w:lang w:val="pt-PT"/>
            </w:rPr>
            <w:t xml:space="preserve">inferior </w:t>
          </w:r>
          <w:r w:rsidR="006A5DF5" w:rsidRPr="00ED6062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>as gamas iniciais</w:t>
          </w:r>
          <w:r w:rsidR="006A5DF5" w:rsidRPr="00ED6062">
            <w:rPr>
              <w:rFonts w:ascii="Arial" w:hAnsi="Arial" w:cs="Arial"/>
              <w:lang w:val="pt-PT"/>
            </w:rPr>
            <w:t>.</w:t>
          </w:r>
          <w:r w:rsidR="006B6BB5" w:rsidRPr="00ED6062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Continua a ser </w:t>
          </w:r>
          <w:r w:rsidR="006B6BB5" w:rsidRPr="00ED6062">
            <w:rPr>
              <w:rFonts w:ascii="Arial" w:hAnsi="Arial" w:cs="Arial"/>
              <w:lang w:val="pt-PT"/>
            </w:rPr>
            <w:t>espera</w:t>
          </w:r>
          <w:r>
            <w:rPr>
              <w:rFonts w:ascii="Arial" w:hAnsi="Arial" w:cs="Arial"/>
              <w:lang w:val="pt-PT"/>
            </w:rPr>
            <w:t xml:space="preserve">da uma </w:t>
          </w:r>
          <w:r w:rsidR="00031A36" w:rsidRPr="00ED6062">
            <w:rPr>
              <w:rFonts w:ascii="Arial" w:hAnsi="Arial" w:cs="Arial"/>
              <w:lang w:val="pt-PT"/>
            </w:rPr>
            <w:t>evolu</w:t>
          </w:r>
          <w:r>
            <w:rPr>
              <w:rFonts w:ascii="Arial" w:hAnsi="Arial" w:cs="Arial"/>
              <w:lang w:val="pt-PT"/>
            </w:rPr>
            <w:t>ção d</w:t>
          </w:r>
          <w:r w:rsidR="00031A36" w:rsidRPr="00ED6062">
            <w:rPr>
              <w:rFonts w:ascii="Arial" w:hAnsi="Arial" w:cs="Arial"/>
              <w:lang w:val="pt-PT"/>
            </w:rPr>
            <w:t>as</w:t>
          </w:r>
          <w:r w:rsidR="006A5DF5" w:rsidRPr="00ED6062">
            <w:rPr>
              <w:rFonts w:ascii="Arial" w:hAnsi="Arial" w:cs="Arial"/>
              <w:lang w:val="pt-PT"/>
            </w:rPr>
            <w:t xml:space="preserve"> ven</w:t>
          </w:r>
          <w:r>
            <w:rPr>
              <w:rFonts w:ascii="Arial" w:hAnsi="Arial" w:cs="Arial"/>
              <w:lang w:val="pt-PT"/>
            </w:rPr>
            <w:t>d</w:t>
          </w:r>
          <w:r w:rsidR="006A5DF5" w:rsidRPr="00ED6062">
            <w:rPr>
              <w:rFonts w:ascii="Arial" w:hAnsi="Arial" w:cs="Arial"/>
              <w:lang w:val="pt-PT"/>
            </w:rPr>
            <w:t>as anua</w:t>
          </w:r>
          <w:r>
            <w:rPr>
              <w:rFonts w:ascii="Arial" w:hAnsi="Arial" w:cs="Arial"/>
              <w:lang w:val="pt-PT"/>
            </w:rPr>
            <w:t>i</w:t>
          </w:r>
          <w:r w:rsidR="006A5DF5" w:rsidRPr="00ED6062">
            <w:rPr>
              <w:rFonts w:ascii="Arial" w:hAnsi="Arial" w:cs="Arial"/>
              <w:lang w:val="pt-PT"/>
            </w:rPr>
            <w:t>s</w:t>
          </w:r>
          <w:r w:rsidR="00031A36" w:rsidRPr="00ED6062">
            <w:rPr>
              <w:rFonts w:ascii="Arial" w:hAnsi="Arial" w:cs="Arial"/>
              <w:lang w:val="pt-PT"/>
            </w:rPr>
            <w:t xml:space="preserve"> de</w:t>
          </w:r>
          <w:r w:rsidR="006A5DF5" w:rsidRPr="00ED6062">
            <w:rPr>
              <w:rFonts w:ascii="Arial" w:hAnsi="Arial" w:cs="Arial"/>
              <w:lang w:val="pt-PT"/>
            </w:rPr>
            <w:t xml:space="preserve"> en</w:t>
          </w:r>
          <w:r w:rsidR="006B6BB5" w:rsidRPr="00ED6062">
            <w:rPr>
              <w:rFonts w:ascii="Arial" w:hAnsi="Arial" w:cs="Arial"/>
              <w:lang w:val="pt-PT"/>
            </w:rPr>
            <w:t xml:space="preserve">tre </w:t>
          </w:r>
          <w:r w:rsidR="006A5DF5" w:rsidRPr="00ED6062">
            <w:rPr>
              <w:rFonts w:ascii="Arial" w:hAnsi="Arial" w:cs="Arial"/>
              <w:lang w:val="pt-PT"/>
            </w:rPr>
            <w:t xml:space="preserve">-4% 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6A5DF5" w:rsidRPr="00ED6062">
            <w:rPr>
              <w:rFonts w:ascii="Arial" w:hAnsi="Arial" w:cs="Arial"/>
              <w:lang w:val="pt-PT"/>
            </w:rPr>
            <w:t>0%</w:t>
          </w:r>
          <w:r w:rsidR="003F77AC" w:rsidRPr="00ED6062">
            <w:rPr>
              <w:rFonts w:ascii="Arial" w:hAnsi="Arial" w:cs="Arial"/>
              <w:lang w:val="pt-PT"/>
            </w:rPr>
            <w:t>.</w:t>
          </w:r>
        </w:p>
        <w:p w14:paraId="4DB49B0A" w14:textId="65F5218E" w:rsidR="001D334B" w:rsidRPr="00ED6062" w:rsidRDefault="004212B4" w:rsidP="003F77AC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C</w:t>
          </w:r>
          <w:r w:rsidR="006A5DF5" w:rsidRPr="00ED6062">
            <w:rPr>
              <w:rFonts w:ascii="Arial" w:hAnsi="Arial" w:cs="Arial"/>
              <w:lang w:val="pt-PT"/>
            </w:rPr>
            <w:t>onfirma</w:t>
          </w:r>
          <w:r>
            <w:rPr>
              <w:rFonts w:ascii="Arial" w:hAnsi="Arial" w:cs="Arial"/>
              <w:lang w:val="pt-PT"/>
            </w:rPr>
            <w:t>-se a</w:t>
          </w:r>
          <w:r w:rsidR="006A5DF5" w:rsidRPr="00ED6062">
            <w:rPr>
              <w:rFonts w:ascii="Arial" w:hAnsi="Arial" w:cs="Arial"/>
              <w:lang w:val="pt-PT"/>
            </w:rPr>
            <w:t xml:space="preserve"> previs</w:t>
          </w:r>
          <w:r>
            <w:rPr>
              <w:rFonts w:ascii="Arial" w:hAnsi="Arial" w:cs="Arial"/>
              <w:lang w:val="pt-PT"/>
            </w:rPr>
            <w:t xml:space="preserve">ão </w:t>
          </w:r>
          <w:r w:rsidR="006A5DF5" w:rsidRPr="00ED6062">
            <w:rPr>
              <w:rFonts w:ascii="Arial" w:hAnsi="Arial" w:cs="Arial"/>
              <w:lang w:val="pt-PT"/>
            </w:rPr>
            <w:t xml:space="preserve">para 2023: </w:t>
          </w:r>
          <w:r>
            <w:rPr>
              <w:rFonts w:ascii="Arial" w:hAnsi="Arial" w:cs="Arial"/>
              <w:lang w:val="pt-PT"/>
            </w:rPr>
            <w:t xml:space="preserve">resultado </w:t>
          </w:r>
          <w:r w:rsidR="006A5DF5" w:rsidRPr="00ED6062">
            <w:rPr>
              <w:rFonts w:ascii="Arial" w:hAnsi="Arial" w:cs="Arial"/>
              <w:lang w:val="pt-PT"/>
            </w:rPr>
            <w:t>opera</w:t>
          </w:r>
          <w:r>
            <w:rPr>
              <w:rFonts w:ascii="Arial" w:hAnsi="Arial" w:cs="Arial"/>
              <w:lang w:val="pt-PT"/>
            </w:rPr>
            <w:t xml:space="preserve">cional </w:t>
          </w:r>
          <w:r w:rsidR="006A5DF5" w:rsidRPr="00ED6062">
            <w:rPr>
              <w:rFonts w:ascii="Arial" w:hAnsi="Arial" w:cs="Arial"/>
              <w:lang w:val="pt-PT"/>
            </w:rPr>
            <w:t>d</w:t>
          </w:r>
          <w:r w:rsidR="00031A36" w:rsidRPr="00ED6062">
            <w:rPr>
              <w:rFonts w:ascii="Arial" w:hAnsi="Arial" w:cs="Arial"/>
              <w:lang w:val="pt-PT"/>
            </w:rPr>
            <w:t>os sectores</w:t>
          </w:r>
          <w:r w:rsidR="006A5DF5" w:rsidRPr="00ED6062">
            <w:rPr>
              <w:rFonts w:ascii="Arial" w:hAnsi="Arial" w:cs="Arial"/>
              <w:lang w:val="pt-PT"/>
            </w:rPr>
            <w:t xml:space="preserve"> superior a 3200 mil</w:t>
          </w:r>
          <w:r>
            <w:rPr>
              <w:rFonts w:ascii="Arial" w:hAnsi="Arial" w:cs="Arial"/>
              <w:lang w:val="pt-PT"/>
            </w:rPr>
            <w:t xml:space="preserve">hões </w:t>
          </w:r>
          <w:r w:rsidR="006A5DF5" w:rsidRPr="00ED6062">
            <w:rPr>
              <w:rFonts w:ascii="Arial" w:hAnsi="Arial" w:cs="Arial"/>
              <w:lang w:val="pt-PT"/>
            </w:rPr>
            <w:t xml:space="preserve">de euros a </w:t>
          </w:r>
          <w:r>
            <w:rPr>
              <w:rFonts w:ascii="Arial" w:hAnsi="Arial" w:cs="Arial"/>
              <w:lang w:val="pt-PT"/>
            </w:rPr>
            <w:t xml:space="preserve">taxas </w:t>
          </w:r>
          <w:r w:rsidR="006A5DF5" w:rsidRPr="00ED6062">
            <w:rPr>
              <w:rFonts w:ascii="Arial" w:hAnsi="Arial" w:cs="Arial"/>
              <w:lang w:val="pt-PT"/>
            </w:rPr>
            <w:t>de c</w:t>
          </w:r>
          <w:r>
            <w:rPr>
              <w:rFonts w:ascii="Arial" w:hAnsi="Arial" w:cs="Arial"/>
              <w:lang w:val="pt-PT"/>
            </w:rPr>
            <w:t>â</w:t>
          </w:r>
          <w:r w:rsidR="006A5DF5" w:rsidRPr="00ED6062">
            <w:rPr>
              <w:rFonts w:ascii="Arial" w:hAnsi="Arial" w:cs="Arial"/>
              <w:lang w:val="pt-PT"/>
            </w:rPr>
            <w:t>mbio constantes</w:t>
          </w:r>
          <w:r>
            <w:rPr>
              <w:rFonts w:ascii="Arial" w:hAnsi="Arial" w:cs="Arial"/>
              <w:lang w:val="pt-PT"/>
            </w:rPr>
            <w:t>, e</w:t>
          </w:r>
          <w:r w:rsidR="00031A36" w:rsidRPr="00ED6062">
            <w:rPr>
              <w:rFonts w:ascii="Arial" w:hAnsi="Arial" w:cs="Arial"/>
              <w:lang w:val="pt-PT"/>
            </w:rPr>
            <w:t xml:space="preserve"> </w:t>
          </w:r>
          <w:r w:rsidR="00031A36" w:rsidRPr="00ED6062">
            <w:rPr>
              <w:rFonts w:ascii="Arial" w:hAnsi="Arial" w:cs="Arial"/>
              <w:i/>
              <w:iCs/>
              <w:lang w:val="pt-PT"/>
            </w:rPr>
            <w:t xml:space="preserve">cash </w:t>
          </w:r>
          <w:proofErr w:type="spellStart"/>
          <w:r w:rsidR="00031A36" w:rsidRPr="00ED6062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="006A5DF5" w:rsidRPr="00ED6062">
            <w:rPr>
              <w:rFonts w:ascii="Arial" w:hAnsi="Arial" w:cs="Arial"/>
              <w:lang w:val="pt-PT"/>
            </w:rPr>
            <w:t xml:space="preserve"> li</w:t>
          </w:r>
          <w:r>
            <w:rPr>
              <w:rFonts w:ascii="Arial" w:hAnsi="Arial" w:cs="Arial"/>
              <w:lang w:val="pt-PT"/>
            </w:rPr>
            <w:t>v</w:t>
          </w:r>
          <w:r w:rsidR="006A5DF5" w:rsidRPr="00ED6062">
            <w:rPr>
              <w:rFonts w:ascii="Arial" w:hAnsi="Arial" w:cs="Arial"/>
              <w:lang w:val="pt-PT"/>
            </w:rPr>
            <w:t>re antes de aquisi</w:t>
          </w:r>
          <w:r>
            <w:rPr>
              <w:rFonts w:ascii="Arial" w:hAnsi="Arial" w:cs="Arial"/>
              <w:lang w:val="pt-PT"/>
            </w:rPr>
            <w:t xml:space="preserve">ções </w:t>
          </w:r>
          <w:r w:rsidR="006A5DF5" w:rsidRPr="00ED6062">
            <w:rPr>
              <w:rFonts w:ascii="Arial" w:hAnsi="Arial" w:cs="Arial"/>
              <w:lang w:val="pt-PT"/>
            </w:rPr>
            <w:t>superior a 1600 mil</w:t>
          </w:r>
          <w:r>
            <w:rPr>
              <w:rFonts w:ascii="Arial" w:hAnsi="Arial" w:cs="Arial"/>
              <w:lang w:val="pt-PT"/>
            </w:rPr>
            <w:t>hõe</w:t>
          </w:r>
          <w:r w:rsidR="006A5DF5" w:rsidRPr="00ED6062">
            <w:rPr>
              <w:rFonts w:ascii="Arial" w:hAnsi="Arial" w:cs="Arial"/>
              <w:lang w:val="pt-PT"/>
            </w:rPr>
            <w:t>s de euros.</w:t>
          </w:r>
        </w:p>
        <w:p w14:paraId="05A24231" w14:textId="24ACA8D9" w:rsidR="006A5DF5" w:rsidRPr="00ED6062" w:rsidRDefault="001D334B" w:rsidP="001D334B">
          <w:pPr>
            <w:pStyle w:val="Prrafodelista"/>
            <w:jc w:val="both"/>
            <w:rPr>
              <w:rFonts w:ascii="Arial" w:hAnsi="Arial" w:cs="Arial"/>
              <w:lang w:val="pt-PT"/>
            </w:rPr>
          </w:pPr>
          <w:r w:rsidRPr="00ED6062">
            <w:rPr>
              <w:rFonts w:ascii="Arial" w:hAnsi="Arial" w:cs="Arial"/>
              <w:lang w:val="pt-PT"/>
            </w:rPr>
            <w:br/>
          </w:r>
          <w:r w:rsidRPr="00ED6062">
            <w:rPr>
              <w:rFonts w:ascii="Arial" w:hAnsi="Arial" w:cs="Arial"/>
              <w:lang w:val="pt-PT"/>
            </w:rPr>
            <w:br/>
          </w:r>
          <w:r w:rsidRPr="00ED6062">
            <w:rPr>
              <w:rFonts w:ascii="Arial" w:hAnsi="Arial" w:cs="Arial"/>
              <w:lang w:val="pt-PT"/>
            </w:rPr>
            <w:br/>
          </w:r>
        </w:p>
        <w:p w14:paraId="5C5D709F" w14:textId="5F7D376F" w:rsidR="006D74D1" w:rsidRDefault="006D74D1" w:rsidP="003F77A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</w:p>
        <w:p w14:paraId="61C49356" w14:textId="4D55274D" w:rsidR="00D6188A" w:rsidRDefault="00D6188A" w:rsidP="003F77A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</w:p>
        <w:p w14:paraId="56D1A5BD" w14:textId="77777777" w:rsidR="00D6188A" w:rsidRPr="00ED6062" w:rsidRDefault="00D6188A" w:rsidP="003F77A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</w:p>
        <w:p w14:paraId="042DAAF4" w14:textId="77777777" w:rsidR="003F77AC" w:rsidRPr="00ED6062" w:rsidRDefault="003F77AC" w:rsidP="003F77A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</w:p>
        <w:p w14:paraId="18B7F4D1" w14:textId="49931A9A" w:rsidR="002E7F2B" w:rsidRPr="00ED6062" w:rsidRDefault="002E7F2B" w:rsidP="003F77AC">
          <w:pPr>
            <w:spacing w:line="276" w:lineRule="auto"/>
            <w:jc w:val="both"/>
            <w:rPr>
              <w:rFonts w:ascii="Arial" w:hAnsi="Arial" w:cs="Arial"/>
              <w:b/>
              <w:bCs/>
              <w:lang w:val="pt-PT"/>
            </w:rPr>
          </w:pPr>
          <w:r w:rsidRPr="00ED6062">
            <w:rPr>
              <w:rFonts w:ascii="Arial" w:hAnsi="Arial" w:cs="Arial"/>
              <w:b/>
              <w:bCs/>
              <w:lang w:val="pt-PT"/>
            </w:rPr>
            <w:t>Ven</w:t>
          </w:r>
          <w:r w:rsidR="002963C3">
            <w:rPr>
              <w:rFonts w:ascii="Arial" w:hAnsi="Arial" w:cs="Arial"/>
              <w:b/>
              <w:bCs/>
              <w:lang w:val="pt-PT"/>
            </w:rPr>
            <w:t>d</w:t>
          </w:r>
          <w:r w:rsidRPr="00ED6062">
            <w:rPr>
              <w:rFonts w:ascii="Arial" w:hAnsi="Arial" w:cs="Arial"/>
              <w:b/>
              <w:bCs/>
              <w:lang w:val="pt-PT"/>
            </w:rPr>
            <w:t>as Michelin</w:t>
          </w:r>
          <w:r w:rsidR="00EB1EF8" w:rsidRPr="00ED6062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4212B4">
            <w:rPr>
              <w:rFonts w:ascii="Arial" w:hAnsi="Arial" w:cs="Arial"/>
              <w:b/>
              <w:bCs/>
              <w:lang w:val="pt-PT"/>
            </w:rPr>
            <w:t>janeiro</w:t>
          </w:r>
          <w:r w:rsidR="00EB1EF8" w:rsidRPr="00ED6062">
            <w:rPr>
              <w:rFonts w:ascii="Arial" w:hAnsi="Arial" w:cs="Arial"/>
              <w:b/>
              <w:bCs/>
              <w:lang w:val="pt-PT"/>
            </w:rPr>
            <w:t>-</w:t>
          </w:r>
          <w:r w:rsidR="006A6195" w:rsidRPr="00ED6062">
            <w:rPr>
              <w:rFonts w:ascii="Arial" w:hAnsi="Arial" w:cs="Arial"/>
              <w:b/>
              <w:bCs/>
              <w:lang w:val="pt-PT"/>
            </w:rPr>
            <w:t>mar</w:t>
          </w:r>
          <w:r w:rsidR="002963C3">
            <w:rPr>
              <w:rFonts w:ascii="Arial" w:hAnsi="Arial" w:cs="Arial"/>
              <w:b/>
              <w:bCs/>
              <w:lang w:val="pt-PT"/>
            </w:rPr>
            <w:t>ç</w:t>
          </w:r>
          <w:r w:rsidR="006A6195" w:rsidRPr="00ED6062">
            <w:rPr>
              <w:rFonts w:ascii="Arial" w:hAnsi="Arial" w:cs="Arial"/>
              <w:b/>
              <w:bCs/>
              <w:lang w:val="pt-PT"/>
            </w:rPr>
            <w:t>o</w:t>
          </w:r>
          <w:r w:rsidR="00EB1EF8" w:rsidRPr="00ED6062"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4212B4">
            <w:rPr>
              <w:rFonts w:ascii="Arial" w:hAnsi="Arial" w:cs="Arial"/>
              <w:b/>
              <w:bCs/>
              <w:lang w:val="pt-PT"/>
            </w:rPr>
            <w:t xml:space="preserve">de </w:t>
          </w:r>
          <w:r w:rsidR="00EB1EF8" w:rsidRPr="00ED6062">
            <w:rPr>
              <w:rFonts w:ascii="Arial" w:hAnsi="Arial" w:cs="Arial"/>
              <w:b/>
              <w:bCs/>
              <w:lang w:val="pt-PT"/>
            </w:rPr>
            <w:t>202</w:t>
          </w:r>
          <w:r w:rsidR="00031A36" w:rsidRPr="00ED6062">
            <w:rPr>
              <w:rFonts w:ascii="Arial" w:hAnsi="Arial" w:cs="Arial"/>
              <w:b/>
              <w:bCs/>
              <w:lang w:val="pt-PT"/>
            </w:rPr>
            <w:t>3</w:t>
          </w:r>
        </w:p>
        <w:p w14:paraId="3CC70543" w14:textId="260615AE" w:rsidR="000E224A" w:rsidRPr="00ED6062" w:rsidRDefault="001D334B" w:rsidP="001D334B">
          <w:pPr>
            <w:spacing w:line="276" w:lineRule="auto"/>
            <w:jc w:val="both"/>
            <w:rPr>
              <w:rFonts w:ascii="Verdana" w:eastAsia="Times New Roman" w:hAnsi="Verdana" w:cs="Arial"/>
              <w:smallCaps/>
              <w:sz w:val="20"/>
              <w:szCs w:val="20"/>
              <w:lang w:val="pt-PT"/>
            </w:rPr>
          </w:pPr>
          <w:r w:rsidRPr="00ED6062">
            <w:rPr>
              <w:rFonts w:ascii="Arial" w:hAnsi="Arial" w:cs="Arial"/>
              <w:sz w:val="20"/>
              <w:szCs w:val="20"/>
              <w:lang w:val="pt-PT"/>
            </w:rPr>
            <w:t>VARIA</w:t>
          </w:r>
          <w:r w:rsidR="004212B4">
            <w:rPr>
              <w:rFonts w:ascii="Arial" w:hAnsi="Arial" w:cs="Arial"/>
              <w:sz w:val="20"/>
              <w:szCs w:val="20"/>
              <w:lang w:val="pt-PT"/>
            </w:rPr>
            <w:t xml:space="preserve">ÇÂO 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4212B4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Pr="00ED6062">
            <w:rPr>
              <w:rFonts w:ascii="Arial" w:hAnsi="Arial" w:cs="Arial"/>
              <w:sz w:val="20"/>
              <w:szCs w:val="20"/>
              <w:lang w:val="pt-PT"/>
            </w:rPr>
            <w:t>TRIMESTRE 2023</w:t>
          </w:r>
          <w:r w:rsidR="000E224A" w:rsidRPr="00ED6062">
            <w:rPr>
              <w:rFonts w:ascii="Verdana" w:eastAsia="Times New Roman" w:hAnsi="Verdana" w:cs="Arial"/>
              <w:smallCaps/>
              <w:sz w:val="20"/>
              <w:szCs w:val="20"/>
              <w:lang w:val="pt-PT"/>
            </w:rPr>
            <w:t xml:space="preserve"> / </w:t>
          </w:r>
          <w:r w:rsidRPr="00ED6062">
            <w:rPr>
              <w:rFonts w:ascii="Verdana" w:eastAsia="Times New Roman" w:hAnsi="Verdana" w:cs="Arial"/>
              <w:smallCaps/>
              <w:sz w:val="20"/>
              <w:szCs w:val="20"/>
              <w:lang w:val="pt-PT"/>
            </w:rPr>
            <w:t>PRIME</w:t>
          </w:r>
          <w:r w:rsidR="004212B4">
            <w:rPr>
              <w:rFonts w:ascii="Verdana" w:eastAsia="Times New Roman" w:hAnsi="Verdana" w:cs="Arial"/>
              <w:smallCaps/>
              <w:sz w:val="20"/>
              <w:szCs w:val="20"/>
              <w:lang w:val="pt-PT"/>
            </w:rPr>
            <w:t xml:space="preserve">IRO </w:t>
          </w:r>
          <w:r w:rsidRPr="00ED6062">
            <w:rPr>
              <w:rFonts w:ascii="Verdana" w:eastAsia="Times New Roman" w:hAnsi="Verdana" w:cs="Arial"/>
              <w:smallCaps/>
              <w:sz w:val="20"/>
              <w:szCs w:val="20"/>
              <w:lang w:val="pt-PT"/>
            </w:rPr>
            <w:t>TRIMESTRE 2022</w:t>
          </w:r>
        </w:p>
        <w:p w14:paraId="3A21AD50" w14:textId="77777777" w:rsidR="000E224A" w:rsidRPr="00ED6062" w:rsidRDefault="000E224A" w:rsidP="003F77AC">
          <w:pPr>
            <w:spacing w:line="276" w:lineRule="auto"/>
            <w:ind w:right="-188"/>
            <w:jc w:val="both"/>
            <w:rPr>
              <w:rFonts w:ascii="Verdana" w:eastAsia="Times New Roman" w:hAnsi="Verdana" w:cs="Arial"/>
              <w:smallCaps/>
              <w:sz w:val="22"/>
              <w:szCs w:val="22"/>
              <w:lang w:val="pt-PT"/>
            </w:rPr>
          </w:pPr>
        </w:p>
        <w:p w14:paraId="289B8EDF" w14:textId="77777777" w:rsidR="000E224A" w:rsidRPr="00ED6062" w:rsidRDefault="000E224A" w:rsidP="003F77AC">
          <w:pPr>
            <w:spacing w:line="276" w:lineRule="auto"/>
            <w:ind w:right="-188"/>
            <w:jc w:val="both"/>
            <w:rPr>
              <w:rFonts w:ascii="Verdana" w:eastAsia="Times New Roman" w:hAnsi="Verdana" w:cs="Arial"/>
              <w:smallCaps/>
              <w:sz w:val="22"/>
              <w:szCs w:val="22"/>
              <w:lang w:val="pt-PT"/>
            </w:rPr>
          </w:pPr>
        </w:p>
        <w:tbl>
          <w:tblPr>
            <w:tblW w:w="5094" w:type="pct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318"/>
            <w:gridCol w:w="2300"/>
            <w:gridCol w:w="2568"/>
          </w:tblGrid>
          <w:tr w:rsidR="000E224A" w:rsidRPr="00ED6062" w14:paraId="70FED035" w14:textId="77777777" w:rsidTr="00DD0D8C">
            <w:trPr>
              <w:trHeight w:val="427"/>
            </w:trPr>
            <w:tc>
              <w:tcPr>
                <w:tcW w:w="2350" w:type="pct"/>
                <w:shd w:val="clear" w:color="auto" w:fill="E7E6E6" w:themeFill="background2"/>
                <w:vAlign w:val="center"/>
              </w:tcPr>
              <w:p w14:paraId="3902A4F6" w14:textId="2AC805A1" w:rsidR="000E224A" w:rsidRPr="00ED6062" w:rsidRDefault="001D334B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(E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m</w:t>
                </w:r>
                <w:r w:rsidR="000E224A"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 mil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hõ</w:t>
                </w:r>
                <w:r w:rsidR="000E224A"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es 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de </w:t>
                </w:r>
                <w:r w:rsidR="000E224A"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€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)</w:t>
                </w:r>
              </w:p>
            </w:tc>
            <w:tc>
              <w:tcPr>
                <w:tcW w:w="2650" w:type="pct"/>
                <w:gridSpan w:val="2"/>
                <w:shd w:val="clear" w:color="auto" w:fill="E7E6E6" w:themeFill="background2"/>
                <w:vAlign w:val="center"/>
              </w:tcPr>
              <w:p w14:paraId="357F5579" w14:textId="77777777" w:rsidR="000E224A" w:rsidRPr="00ED6062" w:rsidRDefault="000E224A" w:rsidP="003F77AC">
                <w:pPr>
                  <w:spacing w:line="276" w:lineRule="auto"/>
                  <w:ind w:right="-188"/>
                  <w:jc w:val="both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T1 2023</w:t>
                </w:r>
              </w:p>
            </w:tc>
          </w:tr>
          <w:tr w:rsidR="000E224A" w:rsidRPr="00ED6062" w14:paraId="09BC0957" w14:textId="77777777" w:rsidTr="00DD0D8C">
            <w:trPr>
              <w:trHeight w:val="454"/>
            </w:trPr>
            <w:tc>
              <w:tcPr>
                <w:tcW w:w="2350" w:type="pct"/>
                <w:vAlign w:val="center"/>
              </w:tcPr>
              <w:p w14:paraId="7A866581" w14:textId="6D4821E6" w:rsidR="000E224A" w:rsidRPr="00ED6062" w:rsidRDefault="000E224A" w:rsidP="003F77AC">
                <w:pPr>
                  <w:spacing w:line="276" w:lineRule="auto"/>
                  <w:ind w:left="142" w:right="-188"/>
                  <w:jc w:val="both"/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>Ven</w:t>
                </w:r>
                <w:r w:rsidR="004212B4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>d</w:t>
                </w:r>
                <w:r w:rsidRPr="00ED6062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>as</w:t>
                </w:r>
              </w:p>
            </w:tc>
            <w:tc>
              <w:tcPr>
                <w:tcW w:w="2650" w:type="pct"/>
                <w:gridSpan w:val="2"/>
                <w:vAlign w:val="center"/>
              </w:tcPr>
              <w:p w14:paraId="10F10791" w14:textId="03496B78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  <w:t>6961</w:t>
                </w:r>
              </w:p>
            </w:tc>
          </w:tr>
          <w:tr w:rsidR="000E224A" w:rsidRPr="00ED6062" w14:paraId="2C1F203E" w14:textId="77777777" w:rsidTr="00DD0D8C">
            <w:trPr>
              <w:trHeight w:val="454"/>
            </w:trPr>
            <w:tc>
              <w:tcPr>
                <w:tcW w:w="2350" w:type="pct"/>
                <w:vAlign w:val="center"/>
              </w:tcPr>
              <w:p w14:paraId="0DBF02E9" w14:textId="3DA44D2F" w:rsidR="000E224A" w:rsidRPr="00ED6062" w:rsidRDefault="000E224A" w:rsidP="003F77AC">
                <w:pPr>
                  <w:spacing w:line="276" w:lineRule="auto"/>
                  <w:ind w:left="142" w:right="-188"/>
                  <w:jc w:val="both"/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>Varia</w:t>
                </w:r>
                <w:r w:rsidR="004212B4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 xml:space="preserve">ção </w:t>
                </w:r>
                <w:r w:rsidRPr="00ED6062">
                  <w:rPr>
                    <w:rFonts w:ascii="Verdana" w:hAnsi="Verdana" w:cs="Helvetica"/>
                    <w:b/>
                    <w:sz w:val="18"/>
                    <w:szCs w:val="18"/>
                    <w:lang w:val="pt-PT"/>
                  </w:rPr>
                  <w:t>total</w:t>
                </w:r>
              </w:p>
            </w:tc>
            <w:tc>
              <w:tcPr>
                <w:tcW w:w="1252" w:type="pct"/>
                <w:vAlign w:val="center"/>
              </w:tcPr>
              <w:p w14:paraId="73DF4FE0" w14:textId="34A6767D" w:rsidR="000E224A" w:rsidRPr="00ED6062" w:rsidRDefault="000E224A" w:rsidP="001D334B">
                <w:pPr>
                  <w:spacing w:line="276" w:lineRule="auto"/>
                  <w:ind w:right="-69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  <w:t>+480</w:t>
                </w:r>
              </w:p>
            </w:tc>
            <w:tc>
              <w:tcPr>
                <w:tcW w:w="1398" w:type="pct"/>
                <w:vAlign w:val="center"/>
              </w:tcPr>
              <w:p w14:paraId="59083D28" w14:textId="711C73EC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pt-PT"/>
                  </w:rPr>
                  <w:t>+7,4 %</w:t>
                </w:r>
              </w:p>
            </w:tc>
          </w:tr>
          <w:tr w:rsidR="000E224A" w:rsidRPr="00ED6062" w14:paraId="0D6C4249" w14:textId="77777777" w:rsidTr="00DD0D8C">
            <w:trPr>
              <w:trHeight w:val="454"/>
            </w:trPr>
            <w:tc>
              <w:tcPr>
                <w:tcW w:w="2350" w:type="pct"/>
                <w:vAlign w:val="center"/>
              </w:tcPr>
              <w:p w14:paraId="4124B5E7" w14:textId="03345FF7" w:rsidR="000E224A" w:rsidRPr="00ED6062" w:rsidRDefault="00823976" w:rsidP="003F77AC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Vol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u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mes 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de p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neu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s</w:t>
                </w:r>
                <w:r w:rsidR="000E224A"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*</w:t>
                </w:r>
              </w:p>
            </w:tc>
            <w:tc>
              <w:tcPr>
                <w:tcW w:w="1252" w:type="pct"/>
                <w:vAlign w:val="center"/>
              </w:tcPr>
              <w:p w14:paraId="38632E6B" w14:textId="51794705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-429</w:t>
                </w:r>
              </w:p>
            </w:tc>
            <w:tc>
              <w:tcPr>
                <w:tcW w:w="1398" w:type="pct"/>
                <w:vAlign w:val="center"/>
              </w:tcPr>
              <w:p w14:paraId="4FF88DFF" w14:textId="6B980EC1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-6,6 %</w:t>
                </w:r>
              </w:p>
            </w:tc>
          </w:tr>
          <w:tr w:rsidR="000E224A" w:rsidRPr="00ED6062" w14:paraId="073B9DE1" w14:textId="77777777" w:rsidTr="00DD0D8C">
            <w:trPr>
              <w:trHeight w:val="454"/>
            </w:trPr>
            <w:tc>
              <w:tcPr>
                <w:tcW w:w="2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7AB69" w14:textId="1E09025C" w:rsidR="000E224A" w:rsidRPr="00ED6062" w:rsidRDefault="000E224A" w:rsidP="003F77AC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proofErr w:type="spellStart"/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Mix</w:t>
                </w:r>
                <w:proofErr w:type="spellEnd"/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-pre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ço p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n</w:t>
                </w:r>
                <w:r w:rsidR="00823976"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eu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s</w:t>
                </w:r>
              </w:p>
            </w:tc>
            <w:tc>
              <w:tcPr>
                <w:tcW w:w="1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79A29" w14:textId="394CC6F4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+797</w:t>
                </w:r>
              </w:p>
            </w:tc>
            <w:tc>
              <w:tcPr>
                <w:tcW w:w="13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1E785" w14:textId="437B0337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+12,3 %</w:t>
                </w:r>
              </w:p>
            </w:tc>
          </w:tr>
          <w:tr w:rsidR="000E224A" w:rsidRPr="00ED6062" w14:paraId="6BB7BD8F" w14:textId="77777777" w:rsidTr="00DD0D8C">
            <w:trPr>
              <w:trHeight w:val="454"/>
            </w:trPr>
            <w:tc>
              <w:tcPr>
                <w:tcW w:w="2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247BEF" w14:textId="137CDF91" w:rsidR="000E224A" w:rsidRPr="00ED6062" w:rsidRDefault="00823976" w:rsidP="003F77AC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Atividades distintas dos 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p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neu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s</w:t>
                </w:r>
              </w:p>
            </w:tc>
            <w:tc>
              <w:tcPr>
                <w:tcW w:w="1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B34655" w14:textId="680C41FF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+46</w:t>
                </w:r>
              </w:p>
            </w:tc>
            <w:tc>
              <w:tcPr>
                <w:tcW w:w="13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E01CB" w14:textId="61372D9E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+0,7 %</w:t>
                </w:r>
              </w:p>
            </w:tc>
          </w:tr>
          <w:tr w:rsidR="000E224A" w:rsidRPr="00ED6062" w14:paraId="652C1317" w14:textId="77777777" w:rsidTr="00DD0D8C">
            <w:trPr>
              <w:trHeight w:val="454"/>
            </w:trPr>
            <w:tc>
              <w:tcPr>
                <w:tcW w:w="2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EFF7B0" w14:textId="22363FE0" w:rsidR="000E224A" w:rsidRPr="00ED6062" w:rsidRDefault="00823976" w:rsidP="003F77AC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Varia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 xml:space="preserve">ção 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da ta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x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a de c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â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mbio</w:t>
                </w:r>
              </w:p>
            </w:tc>
            <w:tc>
              <w:tcPr>
                <w:tcW w:w="1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FDBB3B" w14:textId="5D10C96D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+54</w:t>
                </w:r>
              </w:p>
            </w:tc>
            <w:tc>
              <w:tcPr>
                <w:tcW w:w="13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04AB4B" w14:textId="1CDE0208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+0,8 %</w:t>
                </w:r>
              </w:p>
            </w:tc>
          </w:tr>
          <w:tr w:rsidR="000E224A" w:rsidRPr="00ED6062" w14:paraId="07F76BC6" w14:textId="77777777" w:rsidTr="00DD0D8C">
            <w:trPr>
              <w:trHeight w:val="454"/>
            </w:trPr>
            <w:tc>
              <w:tcPr>
                <w:tcW w:w="23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E5580F" w14:textId="2CD238BB" w:rsidR="000E224A" w:rsidRPr="00ED6062" w:rsidRDefault="00823976" w:rsidP="003F77AC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Diferen</w:t>
                </w:r>
                <w:r w:rsidR="004212B4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ç</w:t>
                </w:r>
                <w:r w:rsidRPr="00ED6062">
                  <w:rPr>
                    <w:rFonts w:ascii="Verdana" w:hAnsi="Verdana" w:cs="Helvetica"/>
                    <w:bCs/>
                    <w:sz w:val="18"/>
                    <w:szCs w:val="18"/>
                    <w:lang w:val="pt-PT"/>
                  </w:rPr>
                  <w:t>a de perímetro</w:t>
                </w:r>
              </w:p>
            </w:tc>
            <w:tc>
              <w:tcPr>
                <w:tcW w:w="1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702E37" w14:textId="1DF1B746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+12</w:t>
                </w:r>
              </w:p>
            </w:tc>
            <w:tc>
              <w:tcPr>
                <w:tcW w:w="13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A9A3A2" w14:textId="0C00BB82" w:rsidR="000E224A" w:rsidRPr="00ED6062" w:rsidRDefault="000E224A" w:rsidP="001D334B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</w:pPr>
                <w:r w:rsidRPr="00ED6062">
                  <w:rPr>
                    <w:rFonts w:ascii="Verdana" w:hAnsi="Verdana" w:cs="Helvetica"/>
                    <w:sz w:val="18"/>
                    <w:szCs w:val="18"/>
                    <w:lang w:val="pt-PT"/>
                  </w:rPr>
                  <w:t>+0,2 %</w:t>
                </w:r>
              </w:p>
            </w:tc>
          </w:tr>
        </w:tbl>
        <w:p w14:paraId="7E3C27B0" w14:textId="76D4823C" w:rsidR="002F618D" w:rsidRPr="00ED6062" w:rsidRDefault="002F618D" w:rsidP="003F77AC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A947073" w14:textId="334A7DB8" w:rsidR="002E7F2B" w:rsidRPr="00ED6062" w:rsidRDefault="00695F8B" w:rsidP="003F77AC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ED606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*E</w:t>
          </w:r>
          <w:r w:rsidR="004212B4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</w:t>
          </w:r>
          <w:r w:rsidRPr="00ED6062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 toneladas</w:t>
          </w:r>
        </w:p>
        <w:p w14:paraId="45C75DE4" w14:textId="0C69D982" w:rsidR="002E7F2B" w:rsidRPr="00ED6062" w:rsidRDefault="002E7F2B" w:rsidP="003F77AC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608B9895" w14:textId="77777777" w:rsidR="00A17D20" w:rsidRPr="00ED6062" w:rsidRDefault="00A17D20" w:rsidP="003F77AC">
          <w:pPr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</w:p>
        <w:p w14:paraId="47977671" w14:textId="77777777" w:rsidR="003F77AC" w:rsidRPr="00ED6062" w:rsidRDefault="00000000" w:rsidP="003F77AC">
          <w:pPr>
            <w:jc w:val="both"/>
            <w:rPr>
              <w:rFonts w:ascii="Arial" w:hAnsi="Arial" w:cs="Arial"/>
              <w:lang w:val="pt-PT"/>
            </w:rPr>
          </w:pPr>
        </w:p>
      </w:sdtContent>
    </w:sdt>
    <w:p w14:paraId="7CACE318" w14:textId="7C0BE05B" w:rsidR="003F77AC" w:rsidRPr="00ED6062" w:rsidRDefault="002963C3" w:rsidP="003F77A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3F77AC" w:rsidRPr="00ED6062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6EAAF672" w14:textId="77777777" w:rsidR="002963C3" w:rsidRPr="009C49D3" w:rsidRDefault="002963C3" w:rsidP="002963C3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FBD6921" w14:textId="77777777" w:rsidR="002963C3" w:rsidRPr="003D6C6D" w:rsidRDefault="002963C3" w:rsidP="002963C3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076D841" w14:textId="77777777" w:rsidR="002963C3" w:rsidRPr="003D6C6D" w:rsidRDefault="002963C3" w:rsidP="002963C3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A52F11B" w14:textId="77777777" w:rsidR="002963C3" w:rsidRPr="003D6C6D" w:rsidRDefault="002963C3" w:rsidP="002963C3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499ACD3C" w14:textId="77777777" w:rsidR="002963C3" w:rsidRPr="003D6C6D" w:rsidRDefault="002963C3" w:rsidP="002963C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2C046BF" w14:textId="77777777" w:rsidR="002963C3" w:rsidRPr="003D6C6D" w:rsidRDefault="002963C3" w:rsidP="002963C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6DFF5" w14:textId="77777777" w:rsidR="002963C3" w:rsidRPr="003D6C6D" w:rsidRDefault="002963C3" w:rsidP="002963C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6AA9A49" w14:textId="77777777" w:rsidR="002963C3" w:rsidRPr="003D6C6D" w:rsidRDefault="002963C3" w:rsidP="002963C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9EDCC05" w14:textId="77777777" w:rsidR="002963C3" w:rsidRPr="003D6C6D" w:rsidRDefault="002963C3" w:rsidP="002963C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2B8AC10" w14:textId="77777777" w:rsidR="002963C3" w:rsidRPr="003D6C6D" w:rsidRDefault="002963C3" w:rsidP="002963C3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1ADD043" w14:textId="77777777" w:rsidR="002963C3" w:rsidRPr="003D6C6D" w:rsidRDefault="002963C3" w:rsidP="002963C3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541B43C6" w14:textId="77777777" w:rsidR="002963C3" w:rsidRPr="003D6C6D" w:rsidRDefault="00000000" w:rsidP="002963C3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2963C3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3503EDEE" w14:textId="77777777" w:rsidR="002963C3" w:rsidRPr="003D6C6D" w:rsidRDefault="002963C3" w:rsidP="002963C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689B3F1" wp14:editId="1BC91911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3C3" w:rsidRPr="003D6C6D" w14:paraId="095D3209" w14:textId="77777777" w:rsidTr="00BF6A64">
        <w:tc>
          <w:tcPr>
            <w:tcW w:w="9016" w:type="dxa"/>
          </w:tcPr>
          <w:p w14:paraId="72CB859F" w14:textId="77777777" w:rsidR="002963C3" w:rsidRDefault="00000000" w:rsidP="00BF6A64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2963C3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04D20D84" w14:textId="77777777" w:rsidR="002963C3" w:rsidRPr="003D6C6D" w:rsidRDefault="002963C3" w:rsidP="00BF6A6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2963C3" w:rsidRPr="003D6C6D" w14:paraId="7AFCB0BD" w14:textId="77777777" w:rsidTr="00BF6A64">
        <w:tc>
          <w:tcPr>
            <w:tcW w:w="9016" w:type="dxa"/>
          </w:tcPr>
          <w:p w14:paraId="575535C5" w14:textId="77777777" w:rsidR="002963C3" w:rsidRPr="003D6C6D" w:rsidRDefault="002963C3" w:rsidP="00BF6A6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CD3660A" wp14:editId="24FE3E57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8AA45A1" wp14:editId="473E09E7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20EC9A5" wp14:editId="7C5A99E7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B152B42" w14:textId="77777777" w:rsidR="002963C3" w:rsidRPr="003D6C6D" w:rsidRDefault="002963C3" w:rsidP="002963C3">
      <w:pPr>
        <w:jc w:val="center"/>
        <w:rPr>
          <w:rFonts w:ascii="Arial" w:hAnsi="Arial" w:cs="Arial"/>
          <w:lang w:val="es-ES"/>
        </w:rPr>
      </w:pPr>
    </w:p>
    <w:p w14:paraId="062972B3" w14:textId="77777777" w:rsidR="002963C3" w:rsidRPr="003D6C6D" w:rsidRDefault="002963C3" w:rsidP="002963C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7F21E9D5" w14:textId="77777777" w:rsidR="002963C3" w:rsidRPr="003D6C6D" w:rsidRDefault="002963C3" w:rsidP="002963C3">
      <w:pPr>
        <w:jc w:val="center"/>
        <w:rPr>
          <w:rFonts w:ascii="Arial" w:hAnsi="Arial" w:cs="Arial"/>
          <w:lang w:val="es-ES"/>
        </w:rPr>
      </w:pPr>
    </w:p>
    <w:p w14:paraId="5314820B" w14:textId="77777777" w:rsidR="002963C3" w:rsidRPr="003D6C6D" w:rsidRDefault="002963C3" w:rsidP="002963C3">
      <w:pPr>
        <w:jc w:val="center"/>
        <w:rPr>
          <w:rFonts w:ascii="Arial" w:hAnsi="Arial" w:cs="Arial"/>
          <w:lang w:val="pt-PT"/>
        </w:rPr>
      </w:pPr>
    </w:p>
    <w:p w14:paraId="54CDCEF7" w14:textId="77777777" w:rsidR="002963C3" w:rsidRPr="003D6C6D" w:rsidRDefault="002963C3" w:rsidP="002963C3">
      <w:pPr>
        <w:jc w:val="center"/>
        <w:rPr>
          <w:rFonts w:ascii="Arial" w:hAnsi="Arial" w:cs="Arial"/>
          <w:lang w:val="es-ES"/>
        </w:rPr>
      </w:pPr>
    </w:p>
    <w:p w14:paraId="648342B4" w14:textId="3DF0FE94" w:rsidR="003C3FC0" w:rsidRPr="00ED6062" w:rsidRDefault="003C3FC0" w:rsidP="002963C3">
      <w:pPr>
        <w:jc w:val="both"/>
        <w:rPr>
          <w:rFonts w:ascii="Arial" w:hAnsi="Arial" w:cs="Arial"/>
          <w:lang w:val="pt-PT"/>
        </w:rPr>
      </w:pPr>
    </w:p>
    <w:sectPr w:rsidR="003C3FC0" w:rsidRPr="00ED6062" w:rsidSect="00E36D8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148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9552" w14:textId="77777777" w:rsidR="004D5836" w:rsidRDefault="004D5836" w:rsidP="00F24D98">
      <w:r>
        <w:separator/>
      </w:r>
    </w:p>
  </w:endnote>
  <w:endnote w:type="continuationSeparator" w:id="0">
    <w:p w14:paraId="3B2FC10F" w14:textId="77777777" w:rsidR="004D5836" w:rsidRDefault="004D583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9FD3" w14:textId="77777777" w:rsidR="004D5836" w:rsidRDefault="004D5836" w:rsidP="00F24D98">
      <w:r>
        <w:separator/>
      </w:r>
    </w:p>
  </w:footnote>
  <w:footnote w:type="continuationSeparator" w:id="0">
    <w:p w14:paraId="3C77CC67" w14:textId="77777777" w:rsidR="004D5836" w:rsidRDefault="004D583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283534BC" w:rsidR="00B36FEE" w:rsidRDefault="008C6732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0553610" wp14:editId="4C13C1E2">
          <wp:simplePos x="0" y="0"/>
          <wp:positionH relativeFrom="column">
            <wp:posOffset>1642683</wp:posOffset>
          </wp:positionH>
          <wp:positionV relativeFrom="paragraph">
            <wp:posOffset>158379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59944558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6F04" w14:textId="77777777" w:rsidR="002963C3" w:rsidRDefault="002963C3" w:rsidP="002963C3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225B49C" wp14:editId="0B8E9B71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EDFE90" wp14:editId="5D4BC336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0B3AD8" w14:textId="77777777" w:rsidR="002963C3" w:rsidRPr="00AC0E74" w:rsidRDefault="002963C3" w:rsidP="002963C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EDF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420B3AD8" w14:textId="77777777" w:rsidR="002963C3" w:rsidRPr="00AC0E74" w:rsidRDefault="002963C3" w:rsidP="002963C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8CD3D9" wp14:editId="3BA7EE85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DD509B" w14:textId="77777777" w:rsidR="002963C3" w:rsidRPr="006F25F9" w:rsidRDefault="002963C3" w:rsidP="002963C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C6A1683" w14:textId="77777777" w:rsidR="002963C3" w:rsidRPr="00BE269E" w:rsidRDefault="002963C3" w:rsidP="002963C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E8CD3D9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43DD509B" w14:textId="77777777" w:rsidR="002963C3" w:rsidRPr="006F25F9" w:rsidRDefault="002963C3" w:rsidP="002963C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C6A1683" w14:textId="77777777" w:rsidR="002963C3" w:rsidRPr="00BE269E" w:rsidRDefault="002963C3" w:rsidP="002963C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476311E" wp14:editId="35472CB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2B05721" w:rsidR="001963B1" w:rsidRPr="002963C3" w:rsidRDefault="001963B1" w:rsidP="002963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3EB"/>
    <w:multiLevelType w:val="hybridMultilevel"/>
    <w:tmpl w:val="AC4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21FE"/>
    <w:multiLevelType w:val="hybridMultilevel"/>
    <w:tmpl w:val="A998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34342"/>
    <w:multiLevelType w:val="hybridMultilevel"/>
    <w:tmpl w:val="F1B67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2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28DD"/>
    <w:multiLevelType w:val="hybridMultilevel"/>
    <w:tmpl w:val="ABC2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4110">
    <w:abstractNumId w:val="5"/>
  </w:num>
  <w:num w:numId="2" w16cid:durableId="866526530">
    <w:abstractNumId w:val="4"/>
  </w:num>
  <w:num w:numId="3" w16cid:durableId="702751976">
    <w:abstractNumId w:val="9"/>
  </w:num>
  <w:num w:numId="4" w16cid:durableId="1886215824">
    <w:abstractNumId w:val="11"/>
  </w:num>
  <w:num w:numId="5" w16cid:durableId="959340889">
    <w:abstractNumId w:val="15"/>
  </w:num>
  <w:num w:numId="6" w16cid:durableId="1677806614">
    <w:abstractNumId w:val="1"/>
  </w:num>
  <w:num w:numId="7" w16cid:durableId="608124413">
    <w:abstractNumId w:val="6"/>
  </w:num>
  <w:num w:numId="8" w16cid:durableId="560751171">
    <w:abstractNumId w:val="7"/>
  </w:num>
  <w:num w:numId="9" w16cid:durableId="701396144">
    <w:abstractNumId w:val="12"/>
  </w:num>
  <w:num w:numId="10" w16cid:durableId="274944100">
    <w:abstractNumId w:val="2"/>
  </w:num>
  <w:num w:numId="11" w16cid:durableId="749084852">
    <w:abstractNumId w:val="3"/>
  </w:num>
  <w:num w:numId="12" w16cid:durableId="1429816305">
    <w:abstractNumId w:val="13"/>
  </w:num>
  <w:num w:numId="13" w16cid:durableId="539323100">
    <w:abstractNumId w:val="0"/>
  </w:num>
  <w:num w:numId="14" w16cid:durableId="1388916607">
    <w:abstractNumId w:val="14"/>
  </w:num>
  <w:num w:numId="15" w16cid:durableId="1400637796">
    <w:abstractNumId w:val="10"/>
  </w:num>
  <w:num w:numId="16" w16cid:durableId="64782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BD6"/>
    <w:rsid w:val="00012C61"/>
    <w:rsid w:val="00031A36"/>
    <w:rsid w:val="00042D9F"/>
    <w:rsid w:val="00071B7E"/>
    <w:rsid w:val="000778DE"/>
    <w:rsid w:val="000854CC"/>
    <w:rsid w:val="000A5386"/>
    <w:rsid w:val="000B0D77"/>
    <w:rsid w:val="000B3F91"/>
    <w:rsid w:val="000E00B4"/>
    <w:rsid w:val="000E097F"/>
    <w:rsid w:val="000E224A"/>
    <w:rsid w:val="000F527F"/>
    <w:rsid w:val="00112957"/>
    <w:rsid w:val="001162A2"/>
    <w:rsid w:val="00116A1A"/>
    <w:rsid w:val="00140656"/>
    <w:rsid w:val="00154400"/>
    <w:rsid w:val="00170CB5"/>
    <w:rsid w:val="001712BA"/>
    <w:rsid w:val="00172652"/>
    <w:rsid w:val="00186CCB"/>
    <w:rsid w:val="001963B1"/>
    <w:rsid w:val="001D13BF"/>
    <w:rsid w:val="001D334B"/>
    <w:rsid w:val="001D57AF"/>
    <w:rsid w:val="001E520E"/>
    <w:rsid w:val="0021595A"/>
    <w:rsid w:val="00255789"/>
    <w:rsid w:val="00257752"/>
    <w:rsid w:val="00262F8B"/>
    <w:rsid w:val="00274DC8"/>
    <w:rsid w:val="002963C3"/>
    <w:rsid w:val="002E7F2B"/>
    <w:rsid w:val="002F618D"/>
    <w:rsid w:val="00314886"/>
    <w:rsid w:val="00387E23"/>
    <w:rsid w:val="003930CA"/>
    <w:rsid w:val="00395651"/>
    <w:rsid w:val="003C09EE"/>
    <w:rsid w:val="003C3FC0"/>
    <w:rsid w:val="003C419D"/>
    <w:rsid w:val="003F197B"/>
    <w:rsid w:val="003F77AC"/>
    <w:rsid w:val="00414F37"/>
    <w:rsid w:val="004212B4"/>
    <w:rsid w:val="0042207B"/>
    <w:rsid w:val="00422E33"/>
    <w:rsid w:val="00422FAA"/>
    <w:rsid w:val="004237CD"/>
    <w:rsid w:val="0044379B"/>
    <w:rsid w:val="004448C2"/>
    <w:rsid w:val="0045418F"/>
    <w:rsid w:val="0046030D"/>
    <w:rsid w:val="00471963"/>
    <w:rsid w:val="00484CB9"/>
    <w:rsid w:val="00493386"/>
    <w:rsid w:val="004A7A65"/>
    <w:rsid w:val="004C6A8C"/>
    <w:rsid w:val="004D5836"/>
    <w:rsid w:val="004D7C63"/>
    <w:rsid w:val="004E3294"/>
    <w:rsid w:val="004E4143"/>
    <w:rsid w:val="004F619A"/>
    <w:rsid w:val="00511304"/>
    <w:rsid w:val="005121D5"/>
    <w:rsid w:val="00523432"/>
    <w:rsid w:val="0052344F"/>
    <w:rsid w:val="00523D3C"/>
    <w:rsid w:val="00572127"/>
    <w:rsid w:val="00594F5C"/>
    <w:rsid w:val="005B00AE"/>
    <w:rsid w:val="00603CB3"/>
    <w:rsid w:val="006438A5"/>
    <w:rsid w:val="006836BA"/>
    <w:rsid w:val="006920B7"/>
    <w:rsid w:val="00695F8B"/>
    <w:rsid w:val="006A5DF5"/>
    <w:rsid w:val="006A6195"/>
    <w:rsid w:val="006B6BB5"/>
    <w:rsid w:val="006C3818"/>
    <w:rsid w:val="006C44F0"/>
    <w:rsid w:val="006D398C"/>
    <w:rsid w:val="006D68DB"/>
    <w:rsid w:val="006D74D1"/>
    <w:rsid w:val="00717E49"/>
    <w:rsid w:val="0072071C"/>
    <w:rsid w:val="00743520"/>
    <w:rsid w:val="00757264"/>
    <w:rsid w:val="00761618"/>
    <w:rsid w:val="00766F86"/>
    <w:rsid w:val="0079576B"/>
    <w:rsid w:val="007B6803"/>
    <w:rsid w:val="007F37A6"/>
    <w:rsid w:val="00816BB1"/>
    <w:rsid w:val="00823976"/>
    <w:rsid w:val="00825FE8"/>
    <w:rsid w:val="00832D78"/>
    <w:rsid w:val="00834943"/>
    <w:rsid w:val="0083779A"/>
    <w:rsid w:val="0085450A"/>
    <w:rsid w:val="0086101C"/>
    <w:rsid w:val="008805C0"/>
    <w:rsid w:val="00895E83"/>
    <w:rsid w:val="008B072F"/>
    <w:rsid w:val="008C6732"/>
    <w:rsid w:val="008D321A"/>
    <w:rsid w:val="008D7DEE"/>
    <w:rsid w:val="008F5893"/>
    <w:rsid w:val="0093532F"/>
    <w:rsid w:val="009455D7"/>
    <w:rsid w:val="00947800"/>
    <w:rsid w:val="009969D4"/>
    <w:rsid w:val="009C6539"/>
    <w:rsid w:val="009C760B"/>
    <w:rsid w:val="00A05352"/>
    <w:rsid w:val="00A133C9"/>
    <w:rsid w:val="00A17D20"/>
    <w:rsid w:val="00A21C5F"/>
    <w:rsid w:val="00A6279B"/>
    <w:rsid w:val="00A72ECA"/>
    <w:rsid w:val="00A75B5C"/>
    <w:rsid w:val="00AB5624"/>
    <w:rsid w:val="00AC0E74"/>
    <w:rsid w:val="00AF4624"/>
    <w:rsid w:val="00B05B19"/>
    <w:rsid w:val="00B1367A"/>
    <w:rsid w:val="00B13DD6"/>
    <w:rsid w:val="00B24C3D"/>
    <w:rsid w:val="00B3179E"/>
    <w:rsid w:val="00B32BCE"/>
    <w:rsid w:val="00B36FEE"/>
    <w:rsid w:val="00B4380D"/>
    <w:rsid w:val="00B45C21"/>
    <w:rsid w:val="00B83473"/>
    <w:rsid w:val="00B97B28"/>
    <w:rsid w:val="00BB5E2C"/>
    <w:rsid w:val="00BC2889"/>
    <w:rsid w:val="00BD00AA"/>
    <w:rsid w:val="00BE269E"/>
    <w:rsid w:val="00C13082"/>
    <w:rsid w:val="00C16B21"/>
    <w:rsid w:val="00C30BB4"/>
    <w:rsid w:val="00C44284"/>
    <w:rsid w:val="00C53F0C"/>
    <w:rsid w:val="00C81551"/>
    <w:rsid w:val="00CA483E"/>
    <w:rsid w:val="00CC4893"/>
    <w:rsid w:val="00CC6BAF"/>
    <w:rsid w:val="00CD1012"/>
    <w:rsid w:val="00CE5ADF"/>
    <w:rsid w:val="00CE5E82"/>
    <w:rsid w:val="00D226AF"/>
    <w:rsid w:val="00D26D15"/>
    <w:rsid w:val="00D55011"/>
    <w:rsid w:val="00D6188A"/>
    <w:rsid w:val="00D729F5"/>
    <w:rsid w:val="00D9116F"/>
    <w:rsid w:val="00DB7FA5"/>
    <w:rsid w:val="00DD1182"/>
    <w:rsid w:val="00DE0B5B"/>
    <w:rsid w:val="00DE2D38"/>
    <w:rsid w:val="00E20B62"/>
    <w:rsid w:val="00E319D4"/>
    <w:rsid w:val="00E31B0C"/>
    <w:rsid w:val="00E36D80"/>
    <w:rsid w:val="00E46580"/>
    <w:rsid w:val="00E903CA"/>
    <w:rsid w:val="00E926C4"/>
    <w:rsid w:val="00EA512D"/>
    <w:rsid w:val="00EA6745"/>
    <w:rsid w:val="00EB1EF8"/>
    <w:rsid w:val="00ED5957"/>
    <w:rsid w:val="00ED6062"/>
    <w:rsid w:val="00ED7136"/>
    <w:rsid w:val="00F1127B"/>
    <w:rsid w:val="00F24D98"/>
    <w:rsid w:val="00F54E4E"/>
    <w:rsid w:val="00F6785B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2023-04-26T17:42:00Z</dcterms:created>
  <dcterms:modified xsi:type="dcterms:W3CDTF">2023-04-26T19:28:00Z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2022-04-26T15:51:16Z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4234e660-905c-438d-8979-9d441806085e</vt:lpwstr>
  </property>
  <property fmtid="{D5CDD505-2E9C-101B-9397-08002B2CF9AE}" pid="8" name="MSIP_Label_09e9a456-2778-4ca9-be06-1190b1e1118a_ContentBits">
    <vt:lpwstr>0</vt:lpwstr>
  </property>
</Properties>
</file>