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  <w:lang w:val="es-ES_tradnl"/>
        </w:rPr>
        <w:id w:val="1987273284"/>
        <w:docPartObj>
          <w:docPartGallery w:val="Cover Pages"/>
          <w:docPartUnique/>
        </w:docPartObj>
      </w:sdtPr>
      <w:sdtContent>
        <w:p w14:paraId="67C2F74A" w14:textId="5701107E" w:rsidR="009730EA" w:rsidRPr="009C47D4" w:rsidRDefault="00C60B72" w:rsidP="00C60B72">
          <w:pPr>
            <w:tabs>
              <w:tab w:val="left" w:pos="3891"/>
            </w:tabs>
            <w:ind w:right="-46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ab/>
          </w:r>
        </w:p>
        <w:p w14:paraId="34E6477B" w14:textId="755FBC03" w:rsidR="009730EA" w:rsidRPr="002E5E37" w:rsidRDefault="000F1E2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es-ES_tradnl"/>
            </w:rPr>
          </w:pPr>
          <w:r w:rsidRPr="0081608D">
            <w:rPr>
              <w:noProof/>
              <w:color w:val="3B3838" w:themeColor="background2" w:themeShade="40"/>
            </w:rPr>
            <w:drawing>
              <wp:anchor distT="0" distB="0" distL="114300" distR="114300" simplePos="0" relativeHeight="251659264" behindDoc="0" locked="0" layoutInCell="1" allowOverlap="1" wp14:anchorId="5AA1CD55" wp14:editId="010BB442">
                <wp:simplePos x="0" y="0"/>
                <wp:positionH relativeFrom="margin">
                  <wp:posOffset>3371850</wp:posOffset>
                </wp:positionH>
                <wp:positionV relativeFrom="margin">
                  <wp:posOffset>224790</wp:posOffset>
                </wp:positionV>
                <wp:extent cx="2126615" cy="1134745"/>
                <wp:effectExtent l="0" t="0" r="0" b="0"/>
                <wp:wrapSquare wrapText="bothSides"/>
                <wp:docPr id="2" name="image03.jpg" descr="Macintosh HD:Users:Jaslyn:Desktop:Jaslyn:MStar:Logos:RPWA Masterbrand Logo_Crisp Burgund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Macintosh HD:Users:Jaslyn:Desktop:Jaslyn:MStar:Logos:RPWA Masterbrand Logo_Crisp Burgundy.jpg"/>
                        <pic:cNvPicPr preferRelativeResize="0"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615" cy="1134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087427" w14:textId="3A0010EF" w:rsidR="009730EA" w:rsidRPr="002E5E37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6075BE4" w14:textId="755A098D" w:rsidR="009730EA" w:rsidRPr="002E5E37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5BEFA2E" w14:textId="11BEA090" w:rsidR="009730EA" w:rsidRPr="002E5E37" w:rsidRDefault="009730EA" w:rsidP="009C47D4">
          <w:pPr>
            <w:ind w:right="-46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5F276E64" w14:textId="49E1C56D" w:rsidR="002E5E37" w:rsidRDefault="002E5E37" w:rsidP="002E5E37">
          <w:pPr>
            <w:ind w:right="-46"/>
            <w:rPr>
              <w:rFonts w:ascii="Arial" w:hAnsi="Arial" w:cs="Arial"/>
              <w:b/>
              <w:bCs/>
              <w:color w:val="FF0000"/>
              <w:sz w:val="20"/>
              <w:szCs w:val="20"/>
              <w:u w:val="single"/>
              <w:lang w:val="es-ES_tradnl"/>
            </w:rPr>
          </w:pPr>
        </w:p>
        <w:p w14:paraId="1686B157" w14:textId="77777777" w:rsidR="000F1E2A" w:rsidRDefault="000F1E2A" w:rsidP="002E5E37">
          <w:pPr>
            <w:ind w:right="-46"/>
            <w:jc w:val="right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4615F3F" w14:textId="77777777" w:rsidR="000F1E2A" w:rsidRDefault="000F1E2A" w:rsidP="002E5E37">
          <w:pPr>
            <w:ind w:right="-46"/>
            <w:jc w:val="right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B2C6CC1" w14:textId="77777777" w:rsidR="000F1E2A" w:rsidRDefault="000F1E2A" w:rsidP="002E5E37">
          <w:pPr>
            <w:ind w:right="-46"/>
            <w:jc w:val="right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82F1ACB" w14:textId="77777777" w:rsidR="000F1E2A" w:rsidRDefault="000F1E2A" w:rsidP="002E5E37">
          <w:pPr>
            <w:ind w:right="-46"/>
            <w:jc w:val="right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B5014D1" w14:textId="77777777" w:rsidR="000F1E2A" w:rsidRDefault="000F1E2A" w:rsidP="002E5E37">
          <w:pPr>
            <w:ind w:right="-46"/>
            <w:jc w:val="right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4B480F6" w14:textId="77777777" w:rsidR="000F1E2A" w:rsidRDefault="000F1E2A" w:rsidP="002E5E37">
          <w:pPr>
            <w:ind w:right="-46"/>
            <w:jc w:val="right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5B28583" w14:textId="55CC8464" w:rsidR="00D24541" w:rsidRPr="002E5E37" w:rsidRDefault="009C47D4" w:rsidP="002E5E37">
          <w:pPr>
            <w:ind w:right="-46"/>
            <w:jc w:val="right"/>
            <w:rPr>
              <w:rFonts w:ascii="Arial" w:hAnsi="Arial" w:cs="Arial"/>
              <w:sz w:val="20"/>
              <w:szCs w:val="20"/>
              <w:lang w:val="es-ES_tradnl"/>
            </w:rPr>
          </w:pPr>
          <w:r w:rsidRPr="003A2915">
            <w:rPr>
              <w:rFonts w:ascii="Arial" w:hAnsi="Arial" w:cs="Arial"/>
              <w:sz w:val="20"/>
              <w:szCs w:val="20"/>
              <w:lang w:val="es-ES_tradnl"/>
            </w:rPr>
            <w:t xml:space="preserve">Madrid, </w:t>
          </w:r>
          <w:r w:rsidR="00C60B72">
            <w:rPr>
              <w:rFonts w:ascii="Arial" w:hAnsi="Arial" w:cs="Arial"/>
              <w:sz w:val="20"/>
              <w:szCs w:val="20"/>
              <w:lang w:val="es-ES_tradnl"/>
            </w:rPr>
            <w:t>2</w:t>
          </w:r>
          <w:r w:rsidR="00454488">
            <w:rPr>
              <w:rFonts w:ascii="Arial" w:hAnsi="Arial" w:cs="Arial"/>
              <w:sz w:val="20"/>
              <w:szCs w:val="20"/>
              <w:lang w:val="es-ES_tradnl"/>
            </w:rPr>
            <w:t>8</w:t>
          </w:r>
          <w:r w:rsidR="00C60B72">
            <w:rPr>
              <w:rFonts w:ascii="Arial" w:hAnsi="Arial" w:cs="Arial"/>
              <w:sz w:val="20"/>
              <w:szCs w:val="20"/>
              <w:lang w:val="es-ES_tradnl"/>
            </w:rPr>
            <w:t xml:space="preserve"> de abril</w:t>
          </w:r>
          <w:r w:rsidRPr="003A2915">
            <w:rPr>
              <w:rFonts w:ascii="Arial" w:hAnsi="Arial" w:cs="Arial"/>
              <w:sz w:val="20"/>
              <w:szCs w:val="20"/>
              <w:lang w:val="es-ES_tradnl"/>
            </w:rPr>
            <w:t>, 202</w:t>
          </w:r>
          <w:r w:rsidR="00C60B72">
            <w:rPr>
              <w:rFonts w:ascii="Arial" w:hAnsi="Arial" w:cs="Arial"/>
              <w:sz w:val="20"/>
              <w:szCs w:val="20"/>
              <w:lang w:val="es-ES_tradnl"/>
            </w:rPr>
            <w:t>3</w:t>
          </w:r>
        </w:p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-1056926528"/>
            <w:docPartObj>
              <w:docPartGallery w:val="Cover Pages"/>
              <w:docPartUnique/>
            </w:docPartObj>
          </w:sdtPr>
          <w:sdtContent>
            <w:p w14:paraId="478A7C78" w14:textId="0E098F6E" w:rsidR="009203BF" w:rsidRPr="002E5E37" w:rsidRDefault="009203BF" w:rsidP="009C47D4">
              <w:pPr>
                <w:spacing w:line="360" w:lineRule="auto"/>
                <w:ind w:right="-46"/>
                <w:jc w:val="center"/>
                <w:rPr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</w:pPr>
            </w:p>
            <w:p w14:paraId="605954D6" w14:textId="0987EC46" w:rsidR="009C47D4" w:rsidRPr="002E5E37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</w:pPr>
            </w:p>
            <w:p w14:paraId="160537F6" w14:textId="77777777" w:rsidR="0075590E" w:rsidRDefault="003E2EE3" w:rsidP="009C47D4">
              <w:pPr>
                <w:ind w:right="-46"/>
                <w:jc w:val="center"/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</w:pPr>
              <w:r w:rsidRPr="008641D2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t xml:space="preserve">Robert Parker </w:t>
              </w:r>
              <w:r w:rsidR="00966E41" w:rsidRPr="008641D2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t xml:space="preserve">Wine Advocate </w:t>
              </w:r>
              <w:r w:rsidR="008641D2" w:rsidRPr="008641D2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t xml:space="preserve">publica su análisis de </w:t>
              </w:r>
              <w:r w:rsidR="00C17A4E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t xml:space="preserve">los </w:t>
              </w:r>
            </w:p>
            <w:p w14:paraId="238AB452" w14:textId="4A96CB61" w:rsidR="009C47D4" w:rsidRPr="008641D2" w:rsidRDefault="00C17A4E" w:rsidP="009C47D4">
              <w:pPr>
                <w:ind w:right="-46"/>
                <w:jc w:val="center"/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t xml:space="preserve"> </w:t>
              </w:r>
              <w:r w:rsidR="008641D2" w:rsidRPr="008641D2">
                <w:rPr>
                  <w:rFonts w:ascii="Arial" w:hAnsi="Arial" w:cs="Arial"/>
                  <w:b/>
                  <w:i/>
                  <w:iCs/>
                  <w:sz w:val="28"/>
                  <w:szCs w:val="28"/>
                  <w:lang w:val="es-ES"/>
                </w:rPr>
                <w:t>Primeurs</w:t>
              </w:r>
              <w:r w:rsidR="008641D2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t xml:space="preserve"> de Burdeos 2023</w:t>
              </w:r>
            </w:p>
            <w:p w14:paraId="1B346FA7" w14:textId="3C150BF3" w:rsidR="009C47D4" w:rsidRPr="008641D2" w:rsidRDefault="009C47D4" w:rsidP="009C47D4">
              <w:pPr>
                <w:ind w:right="-46"/>
                <w:jc w:val="center"/>
                <w:rPr>
                  <w:rStyle w:val="normaltextrun"/>
                  <w:rFonts w:ascii="Arial" w:eastAsiaTheme="majorEastAsia" w:hAnsi="Arial" w:cs="Arial"/>
                  <w:b/>
                  <w:bCs/>
                  <w:sz w:val="22"/>
                  <w:szCs w:val="22"/>
                  <w:lang w:val="es-ES"/>
                </w:rPr>
              </w:pPr>
            </w:p>
            <w:p w14:paraId="0C5B9A10" w14:textId="15B7E020" w:rsidR="009C47D4" w:rsidRPr="008641D2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"/>
                </w:rPr>
              </w:pPr>
            </w:p>
            <w:p w14:paraId="55D124D0" w14:textId="1F745E38" w:rsidR="003E2EE3" w:rsidRPr="009A43CE" w:rsidRDefault="003E2EE3" w:rsidP="003E2EE3">
              <w:pPr>
                <w:pStyle w:val="Prrafodelista"/>
                <w:numPr>
                  <w:ilvl w:val="0"/>
                  <w:numId w:val="1"/>
                </w:numPr>
                <w:jc w:val="both"/>
                <w:rPr>
                  <w:rFonts w:ascii="Arial" w:eastAsia="Calibri" w:hAnsi="Arial" w:cs="Arial"/>
                  <w:lang w:val="es-ES"/>
                </w:rPr>
              </w:pPr>
              <w:r w:rsidRPr="003E2EE3">
                <w:rPr>
                  <w:rFonts w:ascii="Arial" w:eastAsia="Calibri" w:hAnsi="Arial" w:cs="Arial"/>
                  <w:lang w:val="es-ES" w:eastAsia="en-US"/>
                </w:rPr>
                <w:t xml:space="preserve">Los expertos de Robert Parker Wine Advocate han </w:t>
              </w:r>
              <w:r w:rsidR="008641D2">
                <w:rPr>
                  <w:rFonts w:ascii="Arial" w:eastAsia="Calibri" w:hAnsi="Arial" w:cs="Arial"/>
                  <w:lang w:val="es-ES" w:eastAsia="en-US"/>
                </w:rPr>
                <w:t xml:space="preserve">publicado su </w:t>
              </w:r>
              <w:r w:rsidR="000F1E2A">
                <w:rPr>
                  <w:rFonts w:ascii="Arial" w:eastAsia="Calibri" w:hAnsi="Arial" w:cs="Arial"/>
                  <w:lang w:val="es-ES" w:eastAsia="en-US"/>
                </w:rPr>
                <w:t>análisis</w:t>
              </w:r>
              <w:r w:rsidR="008641D2">
                <w:rPr>
                  <w:rFonts w:ascii="Arial" w:eastAsia="Calibri" w:hAnsi="Arial" w:cs="Arial"/>
                  <w:lang w:val="es-ES" w:eastAsia="en-US"/>
                </w:rPr>
                <w:t xml:space="preserve"> sobre la cata de </w:t>
              </w:r>
              <w:r w:rsidR="0075590E">
                <w:rPr>
                  <w:rFonts w:ascii="Arial" w:eastAsia="Calibri" w:hAnsi="Arial" w:cs="Arial"/>
                  <w:lang w:val="es-ES" w:eastAsia="en-US"/>
                </w:rPr>
                <w:t xml:space="preserve">los </w:t>
              </w:r>
              <w:r w:rsidR="002A7EA8">
                <w:rPr>
                  <w:rFonts w:ascii="Arial" w:eastAsia="Calibri" w:hAnsi="Arial" w:cs="Arial"/>
                  <w:lang w:val="es-ES" w:eastAsia="en-US"/>
                </w:rPr>
                <w:t xml:space="preserve">vinos </w:t>
              </w:r>
              <w:r w:rsidR="008641D2" w:rsidRPr="008641D2">
                <w:rPr>
                  <w:rFonts w:ascii="Arial" w:eastAsia="Calibri" w:hAnsi="Arial" w:cs="Arial"/>
                  <w:i/>
                  <w:iCs/>
                  <w:lang w:val="es-ES" w:eastAsia="en-US"/>
                </w:rPr>
                <w:t>Primeurs</w:t>
              </w:r>
              <w:r w:rsidR="008641D2">
                <w:rPr>
                  <w:rFonts w:ascii="Arial" w:eastAsia="Calibri" w:hAnsi="Arial" w:cs="Arial"/>
                  <w:lang w:val="es-ES" w:eastAsia="en-US"/>
                </w:rPr>
                <w:t xml:space="preserve"> de Burdeos</w:t>
              </w:r>
            </w:p>
            <w:p w14:paraId="0AA091D6" w14:textId="06549AF3" w:rsidR="003E2EE3" w:rsidRPr="008641D2" w:rsidRDefault="008641D2" w:rsidP="009C47D4">
              <w:pPr>
                <w:pStyle w:val="Prrafodelista"/>
                <w:numPr>
                  <w:ilvl w:val="0"/>
                  <w:numId w:val="1"/>
                </w:numPr>
                <w:spacing w:line="276" w:lineRule="auto"/>
                <w:ind w:right="-46"/>
                <w:jc w:val="both"/>
                <w:rPr>
                  <w:rFonts w:ascii="Arial" w:hAnsi="Arial" w:cs="Arial"/>
                  <w:lang w:val="es-ES_tradnl"/>
                </w:rPr>
              </w:pPr>
              <w:r w:rsidRPr="008641D2">
                <w:rPr>
                  <w:rFonts w:ascii="Arial" w:eastAsia="Calibri" w:hAnsi="Arial" w:cs="Arial"/>
                  <w:lang w:val="es-ES" w:eastAsia="en-US"/>
                </w:rPr>
                <w:t>Estos</w:t>
              </w:r>
              <w:r w:rsidR="001B75CE">
                <w:rPr>
                  <w:rFonts w:ascii="Arial" w:eastAsia="Calibri" w:hAnsi="Arial" w:cs="Arial"/>
                  <w:lang w:val="es-ES" w:eastAsia="en-US"/>
                </w:rPr>
                <w:t xml:space="preserve"> </w:t>
              </w:r>
              <w:r w:rsidRPr="008641D2">
                <w:rPr>
                  <w:rFonts w:ascii="Arial" w:eastAsia="Calibri" w:hAnsi="Arial" w:cs="Arial"/>
                  <w:i/>
                  <w:iCs/>
                  <w:lang w:val="es-ES" w:eastAsia="en-US"/>
                </w:rPr>
                <w:t>Primeurs</w:t>
              </w:r>
              <w:r w:rsidRPr="008641D2">
                <w:rPr>
                  <w:rFonts w:ascii="Arial" w:eastAsia="Calibri" w:hAnsi="Arial" w:cs="Arial"/>
                  <w:lang w:val="es-ES" w:eastAsia="en-US"/>
                </w:rPr>
                <w:t xml:space="preserve"> </w:t>
              </w:r>
              <w:r w:rsidR="00C17A4E">
                <w:rPr>
                  <w:rFonts w:ascii="Arial" w:eastAsia="Calibri" w:hAnsi="Arial" w:cs="Arial"/>
                  <w:lang w:val="es-ES" w:eastAsia="en-US"/>
                </w:rPr>
                <w:t>se caracterizan</w:t>
              </w:r>
              <w:r>
                <w:rPr>
                  <w:rFonts w:ascii="Arial" w:eastAsia="Calibri" w:hAnsi="Arial" w:cs="Arial"/>
                  <w:lang w:val="es-ES" w:eastAsia="en-US"/>
                </w:rPr>
                <w:t xml:space="preserve"> por l</w:t>
              </w:r>
              <w:r w:rsidR="00C17A4E">
                <w:rPr>
                  <w:rFonts w:ascii="Arial" w:eastAsia="Calibri" w:hAnsi="Arial" w:cs="Arial"/>
                  <w:lang w:val="es-ES" w:eastAsia="en-US"/>
                </w:rPr>
                <w:t>o</w:t>
              </w:r>
              <w:r>
                <w:rPr>
                  <w:rFonts w:ascii="Arial" w:eastAsia="Calibri" w:hAnsi="Arial" w:cs="Arial"/>
                  <w:lang w:val="es-ES" w:eastAsia="en-US"/>
                </w:rPr>
                <w:t>s profund</w:t>
              </w:r>
              <w:r w:rsidR="002A7EA8">
                <w:rPr>
                  <w:rFonts w:ascii="Arial" w:eastAsia="Calibri" w:hAnsi="Arial" w:cs="Arial"/>
                  <w:lang w:val="es-ES" w:eastAsia="en-US"/>
                </w:rPr>
                <w:t>o</w:t>
              </w:r>
              <w:r>
                <w:rPr>
                  <w:rFonts w:ascii="Arial" w:eastAsia="Calibri" w:hAnsi="Arial" w:cs="Arial"/>
                  <w:lang w:val="es-ES" w:eastAsia="en-US"/>
                </w:rPr>
                <w:t xml:space="preserve">s </w:t>
              </w:r>
              <w:r w:rsidR="00C17A4E">
                <w:rPr>
                  <w:rFonts w:ascii="Arial" w:eastAsia="Calibri" w:hAnsi="Arial" w:cs="Arial"/>
                  <w:lang w:val="es-ES" w:eastAsia="en-US"/>
                </w:rPr>
                <w:t xml:space="preserve">cambios en la viticultura y </w:t>
              </w:r>
              <w:r>
                <w:rPr>
                  <w:rFonts w:ascii="Arial" w:eastAsia="Calibri" w:hAnsi="Arial" w:cs="Arial"/>
                  <w:lang w:val="es-ES" w:eastAsia="en-US"/>
                </w:rPr>
                <w:t xml:space="preserve">por el impacto acelerado del cambio climático, </w:t>
              </w:r>
              <w:r w:rsidR="000F1E2A">
                <w:rPr>
                  <w:rFonts w:ascii="Arial" w:eastAsia="Calibri" w:hAnsi="Arial" w:cs="Arial"/>
                  <w:lang w:val="es-ES" w:eastAsia="en-US"/>
                </w:rPr>
                <w:t xml:space="preserve">que están provocando </w:t>
              </w:r>
              <w:r>
                <w:rPr>
                  <w:rFonts w:ascii="Arial" w:eastAsia="Calibri" w:hAnsi="Arial" w:cs="Arial"/>
                  <w:lang w:val="es-ES" w:eastAsia="en-US"/>
                </w:rPr>
                <w:t xml:space="preserve">una revolución en la región </w:t>
              </w:r>
            </w:p>
            <w:p w14:paraId="796B2EAB" w14:textId="273F8AE6" w:rsidR="008641D2" w:rsidRPr="008641D2" w:rsidRDefault="008641D2" w:rsidP="009C47D4">
              <w:pPr>
                <w:pStyle w:val="Prrafodelista"/>
                <w:numPr>
                  <w:ilvl w:val="0"/>
                  <w:numId w:val="1"/>
                </w:numPr>
                <w:spacing w:line="276" w:lineRule="auto"/>
                <w:ind w:right="-46"/>
                <w:jc w:val="both"/>
                <w:rPr>
                  <w:rFonts w:ascii="Arial" w:hAnsi="Arial" w:cs="Arial"/>
                  <w:lang w:val="es-ES_tradnl"/>
                </w:rPr>
              </w:pPr>
              <w:r>
                <w:rPr>
                  <w:rFonts w:ascii="Arial" w:hAnsi="Arial" w:cs="Arial"/>
                  <w:lang w:val="es-ES_tradnl"/>
                </w:rPr>
                <w:t xml:space="preserve">Los dos inspectores </w:t>
              </w:r>
              <w:r w:rsidR="0075590E">
                <w:rPr>
                  <w:rFonts w:ascii="Arial" w:hAnsi="Arial" w:cs="Arial"/>
                  <w:lang w:val="es-ES_tradnl"/>
                </w:rPr>
                <w:t>implicados</w:t>
              </w:r>
              <w:r w:rsidR="001B75CE">
                <w:rPr>
                  <w:rFonts w:ascii="Arial" w:hAnsi="Arial" w:cs="Arial"/>
                  <w:lang w:val="es-ES_tradnl"/>
                </w:rPr>
                <w:t xml:space="preserve"> específicamente </w:t>
              </w:r>
              <w:r w:rsidR="0075590E">
                <w:rPr>
                  <w:rFonts w:ascii="Arial" w:hAnsi="Arial" w:cs="Arial"/>
                  <w:lang w:val="es-ES_tradnl"/>
                </w:rPr>
                <w:t>en</w:t>
              </w:r>
              <w:r w:rsidR="001B75CE">
                <w:rPr>
                  <w:rFonts w:ascii="Arial" w:hAnsi="Arial" w:cs="Arial"/>
                  <w:lang w:val="es-ES_tradnl"/>
                </w:rPr>
                <w:t xml:space="preserve"> </w:t>
              </w:r>
              <w:r w:rsidR="000F1E2A">
                <w:rPr>
                  <w:rFonts w:ascii="Arial" w:hAnsi="Arial" w:cs="Arial"/>
                  <w:lang w:val="es-ES_tradnl"/>
                </w:rPr>
                <w:t>este acontecimiento</w:t>
              </w:r>
              <w:r w:rsidR="001B75CE">
                <w:rPr>
                  <w:rFonts w:ascii="Arial" w:hAnsi="Arial" w:cs="Arial"/>
                  <w:lang w:val="es-ES_tradnl"/>
                </w:rPr>
                <w:t xml:space="preserve"> destacan el nacimiento de un nuevo estilo </w:t>
              </w:r>
              <w:r w:rsidR="000F1E2A">
                <w:rPr>
                  <w:rFonts w:ascii="Arial" w:hAnsi="Arial" w:cs="Arial"/>
                  <w:lang w:val="es-ES_tradnl"/>
                </w:rPr>
                <w:t>propio de la región</w:t>
              </w:r>
              <w:r w:rsidR="001B75CE">
                <w:rPr>
                  <w:rFonts w:ascii="Arial" w:hAnsi="Arial" w:cs="Arial"/>
                  <w:lang w:val="es-ES_tradnl"/>
                </w:rPr>
                <w:t>: un “clasicismo contemporáneo”</w:t>
              </w:r>
            </w:p>
            <w:p w14:paraId="74F5B375" w14:textId="77777777" w:rsidR="003E2EE3" w:rsidRPr="002E5E37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032DAE1E" w14:textId="18178ED9" w:rsidR="00966E41" w:rsidRPr="00966E41" w:rsidRDefault="00966E41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Esta semana, del 24 al 27 de abril, se celebraron las catas de los </w:t>
              </w:r>
              <w:r w:rsidRPr="002A7EA8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Primeurs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de Burdeos, un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>evento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esperado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tanto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por la prensa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como por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los profesionales del vino, durante el cual los vinicultores tuvieron la oportunidad de presentar 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>un avance de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su añada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de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2022.</w:t>
              </w:r>
              <w:r w:rsidR="001B75C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Desde los años 70, la región bordelesa, sus fincas y </w:t>
              </w:r>
              <w:r w:rsidR="0075590E" w:rsidRPr="0075590E">
                <w:rPr>
                  <w:rFonts w:ascii="Arial" w:hAnsi="Arial" w:cs="Arial"/>
                  <w:sz w:val="20"/>
                  <w:szCs w:val="20"/>
                  <w:lang w:val="es-ES_tradnl"/>
                </w:rPr>
                <w:t>châteaux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>revelan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durante esta semana sus vinos, para lanzar las ventas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de </w:t>
              </w:r>
              <w:r w:rsidR="00C17A4E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Primeurs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y 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>promocionar la región y sus productores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.</w:t>
              </w:r>
            </w:p>
            <w:p w14:paraId="0A7D71BE" w14:textId="77777777" w:rsidR="00966E41" w:rsidRPr="00966E41" w:rsidRDefault="00966E41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09814C63" w14:textId="40ECAFEF" w:rsidR="00966E41" w:rsidRPr="00966E41" w:rsidRDefault="000F1E2A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>Tras finalizar las catas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</w:t>
              </w: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los equipos 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de Robert Parker Wine Advocate </w:t>
              </w: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>publicaron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en su página web su análisis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completo 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de estos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vinos </w:t>
              </w:r>
              <w:r w:rsidR="00966E41" w:rsidRPr="002A7EA8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Primeurs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para acompañar a los suscriptores en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>el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descubrimiento de esta </w:t>
              </w:r>
              <w:r w:rsidR="0075590E">
                <w:rPr>
                  <w:rFonts w:ascii="Arial" w:hAnsi="Arial" w:cs="Arial"/>
                  <w:sz w:val="20"/>
                  <w:szCs w:val="20"/>
                  <w:lang w:val="es-ES_tradnl"/>
                </w:rPr>
                <w:t>añada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2022, que </w:t>
              </w: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ya se perfila con una 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identidad</w:t>
              </w: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muy marcada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.</w:t>
              </w:r>
            </w:p>
            <w:p w14:paraId="405C2B93" w14:textId="77777777" w:rsidR="00966E41" w:rsidRPr="00966E41" w:rsidRDefault="00966E41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2B008B23" w14:textId="53263293" w:rsidR="00966E41" w:rsidRPr="00966E41" w:rsidRDefault="00C17A4E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“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Este año, y por primera vez desde la creación de Robert Parker Wine Advocate, hemos movilizado a dos de nuestros </w:t>
              </w:r>
              <w:r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inspectores </w:t>
              </w:r>
              <w:r w:rsidR="000F1E2A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en este maratón anual de catas, con el fin de ser especialmente reactivos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. La fascinante revolución que </w:t>
              </w:r>
              <w:r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está experimentando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 la región de Burdeos merece este </w:t>
              </w:r>
              <w:r w:rsidR="000F1E2A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mayor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 compromiso de nuestro equipo, que </w:t>
              </w:r>
              <w:r w:rsidR="000F1E2A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ha querido poner 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su experiencia a</w:t>
              </w:r>
              <w:r w:rsidR="000F1E2A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l servicio de los suscriptores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. Como siempre, nuestras catas se realizan de forma independiente, </w:t>
              </w:r>
              <w:r w:rsidR="000F1E2A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con el objetivo de elaborar un análisis 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pertinente, riguros</w:t>
              </w:r>
              <w:r w:rsidR="000F1E2A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o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 y fiable de </w:t>
              </w:r>
              <w:r w:rsidR="000F1E2A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los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 vinos que </w:t>
              </w:r>
              <w:r w:rsidR="000F1E2A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están a punto de salir al mercado”</w:t>
              </w:r>
              <w:r w:rsidR="00966E41"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,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explica Micka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>ë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l Moiroud, </w:t>
              </w: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>D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irector </w:t>
              </w: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>G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eneral de Robert Parker Wine Advocate.</w:t>
              </w:r>
            </w:p>
            <w:p w14:paraId="09B90587" w14:textId="77777777" w:rsidR="00966E41" w:rsidRPr="00966E41" w:rsidRDefault="00966E41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1A15CA9C" w14:textId="6699E60D" w:rsidR="00966E41" w:rsidRPr="00966E41" w:rsidRDefault="00966E41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Para estas catas de los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vinos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r w:rsidRPr="00C17A4E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Primeurs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2023, Robert Parker Wine Advocate refuerza su 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>enfoque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movilizando a dos 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>críticos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especialistas en 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>la región bordelesa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, William Kelley y Yohan Castaing. Estos expertos, especialmente sensibles a</w:t>
              </w:r>
              <w:r w:rsidR="0075590E">
                <w:rPr>
                  <w:rFonts w:ascii="Arial" w:hAnsi="Arial" w:cs="Arial"/>
                  <w:sz w:val="20"/>
                  <w:szCs w:val="20"/>
                  <w:lang w:val="es-ES_tradnl"/>
                </w:rPr>
                <w:t>l enfoque de base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, visitan l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>as bodegas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con regularidad a lo largo de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todo e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l año</w:t>
              </w:r>
              <w:r w:rsidR="002A7EA8">
                <w:rPr>
                  <w:rFonts w:ascii="Arial" w:hAnsi="Arial" w:cs="Arial"/>
                  <w:sz w:val="20"/>
                  <w:szCs w:val="20"/>
                  <w:lang w:val="es-ES_tradnl"/>
                </w:rPr>
                <w:t>,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para seguir su desarrollo y evolución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lo más cerca posible.</w:t>
              </w:r>
            </w:p>
            <w:p w14:paraId="510A8FD9" w14:textId="77777777" w:rsidR="00966E41" w:rsidRPr="00966E41" w:rsidRDefault="00966E41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1D3D551F" w14:textId="5174ABD6" w:rsidR="00966E41" w:rsidRPr="00966E41" w:rsidRDefault="00966E41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A pesar de las 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>difíciles condiciones de explotación,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la región de Burdeos es más 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>atractiva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que nunca, </w:t>
              </w:r>
              <w:r w:rsidR="000F1E2A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gracias al compromiso de los viticultores, 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cuyas producciones no han perdido nada de su calidad, sobre todo </w:t>
              </w:r>
              <w:r w:rsidR="0075590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debido 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a las innovaciones agrícolas. Las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dificultades 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t>a las que se enfrentan los productores se dejan sentir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en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>el número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de botellas producidas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que es reducida,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y por </w:t>
              </w:r>
              <w:r w:rsidR="00C17A4E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lo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tanto en su precio, que 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es 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lastRenderedPageBreak/>
                <w:t xml:space="preserve">bastante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elevado. 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Este año promete ser la ocasión perfecta para descubrir 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el 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t>“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Otro Burdeos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t>”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, las fincas menos conocidas que los críticos de Robert Parker Wine Advocate se esmeran tanto en buscar y destacar durante todo el año</w:t>
              </w:r>
              <w:r w:rsidR="00D05906">
                <w:rPr>
                  <w:rFonts w:ascii="Arial" w:hAnsi="Arial" w:cs="Arial"/>
                  <w:sz w:val="20"/>
                  <w:szCs w:val="20"/>
                  <w:lang w:val="es-ES_tradnl"/>
                </w:rPr>
                <w:t>, como Mangot o Clos Manou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.</w:t>
              </w:r>
            </w:p>
            <w:p w14:paraId="54F73F35" w14:textId="77777777" w:rsidR="00966E41" w:rsidRPr="00966E41" w:rsidRDefault="00966E41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2862E6F0" w14:textId="543DA4A0" w:rsidR="00966E41" w:rsidRDefault="00D05906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Coautores del artículo 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>publicado en la página web de Robert Parker Wine Advocate, William Kelley y Yohan Casting subrayan l</w:t>
              </w:r>
              <w:r w:rsidR="00EF06C6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as características </w:t>
              </w:r>
              <w:r w:rsidR="00966E41"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que hacen </w:t>
              </w:r>
              <w:r w:rsidR="00EF06C6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que </w:t>
              </w: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>esta añada 2022 d</w:t>
              </w:r>
              <w:r w:rsidR="0075590E">
                <w:rPr>
                  <w:rFonts w:ascii="Arial" w:hAnsi="Arial" w:cs="Arial"/>
                  <w:sz w:val="20"/>
                  <w:szCs w:val="20"/>
                  <w:lang w:val="es-ES_tradnl"/>
                </w:rPr>
                <w:t>e</w:t>
              </w:r>
              <w:r w:rsidR="00EF06C6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Burdeos 2022 sea única</w:t>
              </w:r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: </w:t>
              </w:r>
              <w:r w:rsidR="00EF06C6" w:rsidRPr="00EF06C6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“</w:t>
              </w:r>
              <w:r w:rsidR="00966E41" w:rsidRPr="00EF06C6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Las mejores fincas han producido vinos que exhiben una energía y una frescura que muchos habrían </w:t>
              </w:r>
              <w:r w:rsidR="002A7EA8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considerado</w:t>
              </w:r>
              <w:r w:rsidR="00966E41" w:rsidRPr="00EF06C6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 imposibles </w:t>
              </w:r>
              <w:r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de encontrar, </w:t>
              </w:r>
              <w:r w:rsidR="00966E41" w:rsidRPr="00EF06C6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dadas las condiciones</w:t>
              </w:r>
              <w:r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 climáticas</w:t>
              </w:r>
              <w:r w:rsidR="00966E41" w:rsidRPr="00EF06C6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 xml:space="preserve">. Puros, precisos y expresivos, sin exceso de madurez, estos vinos ilustran perfectamente el nuevo </w:t>
              </w:r>
              <w:r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estilo de Burdeos, que podría definirse como clasicismo contemporáneo”.</w:t>
              </w:r>
            </w:p>
            <w:p w14:paraId="1CCEFB4F" w14:textId="77777777" w:rsidR="002A7EA8" w:rsidRPr="00966E41" w:rsidRDefault="002A7EA8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75424925" w14:textId="1E489624" w:rsidR="00966E41" w:rsidRDefault="00966E41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El artículo completo de William Kelley y Yohan Castaing sobre las catas </w:t>
              </w:r>
              <w:r w:rsidRPr="0046613F">
                <w:rPr>
                  <w:rFonts w:ascii="Arial" w:hAnsi="Arial" w:cs="Arial"/>
                  <w:i/>
                  <w:iCs/>
                  <w:sz w:val="20"/>
                  <w:szCs w:val="20"/>
                  <w:lang w:val="es-ES_tradnl"/>
                </w:rPr>
                <w:t>Primeurs</w:t>
              </w:r>
              <w:r w:rsidRPr="00966E41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de Burdeos 2023 está disponible para suscriptores en la página web de Robert Parker Wine Advocate.</w:t>
              </w:r>
            </w:p>
            <w:p w14:paraId="61B4B6EC" w14:textId="166DDA6D" w:rsidR="002A7EA8" w:rsidRDefault="00D05906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60288" behindDoc="0" locked="0" layoutInCell="1" allowOverlap="1" wp14:anchorId="5B579D7E" wp14:editId="2F01844F">
                    <wp:simplePos x="0" y="0"/>
                    <wp:positionH relativeFrom="column">
                      <wp:posOffset>2334638</wp:posOffset>
                    </wp:positionH>
                    <wp:positionV relativeFrom="paragraph">
                      <wp:posOffset>143266</wp:posOffset>
                    </wp:positionV>
                    <wp:extent cx="937260" cy="937260"/>
                    <wp:effectExtent l="0" t="0" r="2540" b="2540"/>
                    <wp:wrapSquare wrapText="bothSides"/>
                    <wp:docPr id="8" name="Imag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7260" cy="937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2347DF11" w14:textId="601DB2BF" w:rsidR="00D05906" w:rsidRDefault="00D05906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5882222C" w14:textId="14EB000E" w:rsidR="00D05906" w:rsidRDefault="00D05906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46822A35" w14:textId="0A9A132A" w:rsidR="00D05906" w:rsidRDefault="00D05906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53DDF8EA" w14:textId="77777777" w:rsidR="00D05906" w:rsidRDefault="00D05906" w:rsidP="00966E41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2B1C9E24" w14:textId="77777777" w:rsidR="002A7EA8" w:rsidRDefault="002A7EA8" w:rsidP="002A7EA8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16"/>
                  <w:szCs w:val="16"/>
                  <w:u w:val="single"/>
                  <w:lang w:val="es-ES"/>
                </w:rPr>
              </w:pPr>
            </w:p>
            <w:p w14:paraId="023F5BC1" w14:textId="77777777" w:rsidR="002A7EA8" w:rsidRDefault="002A7EA8" w:rsidP="002A7EA8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16"/>
                  <w:szCs w:val="16"/>
                  <w:u w:val="single"/>
                  <w:lang w:val="es-ES"/>
                </w:rPr>
              </w:pPr>
            </w:p>
            <w:p w14:paraId="154B2E39" w14:textId="77777777" w:rsidR="002A7EA8" w:rsidRDefault="002A7EA8" w:rsidP="002A7EA8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16"/>
                  <w:szCs w:val="16"/>
                  <w:u w:val="single"/>
                  <w:lang w:val="es-ES"/>
                </w:rPr>
              </w:pPr>
            </w:p>
            <w:p w14:paraId="2262FFB6" w14:textId="77777777" w:rsidR="00D05906" w:rsidRDefault="00D05906" w:rsidP="002A7EA8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16"/>
                  <w:szCs w:val="16"/>
                  <w:lang w:val="es-ES"/>
                </w:rPr>
              </w:pPr>
            </w:p>
            <w:p w14:paraId="49E468D7" w14:textId="0F614A10" w:rsidR="002A7EA8" w:rsidRPr="00B2243E" w:rsidRDefault="002A7EA8" w:rsidP="002A7EA8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16"/>
                  <w:szCs w:val="16"/>
                  <w:lang w:val="es-ES"/>
                </w:rPr>
              </w:pPr>
              <w:r w:rsidRPr="00B2243E">
                <w:rPr>
                  <w:rFonts w:ascii="Arial" w:hAnsi="Arial" w:cs="Arial"/>
                  <w:b/>
                  <w:sz w:val="16"/>
                  <w:szCs w:val="16"/>
                  <w:lang w:val="es-ES"/>
                </w:rPr>
                <w:t>Acerca de Robert Parker Wine Advocate</w:t>
              </w:r>
            </w:p>
            <w:p w14:paraId="7D685E05" w14:textId="662BBF35" w:rsidR="002A7EA8" w:rsidRPr="009C47D4" w:rsidRDefault="002A7EA8" w:rsidP="00B2243E">
              <w:pPr>
                <w:ind w:right="-45"/>
                <w:jc w:val="both"/>
                <w:rPr>
                  <w:rFonts w:ascii="Arial" w:hAnsi="Arial" w:cs="Arial"/>
                  <w:sz w:val="16"/>
                  <w:szCs w:val="16"/>
                  <w:lang w:val="es-ES_tradnl"/>
                </w:rPr>
              </w:pPr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>Robert Parker Wine Advocate es la primera website independiente para asesoramiento de vino del mundo, con una base de datos de más de 450.000 notas de cata, puntuaciones e informes de críticos profesionales de todo el mundo. Durante más de 40 años, Robert Parker Wine Advocate (parte del grupo MICHELIN de compañías) ha sido el líder global y guía independiente de consumidores de buenos vinos, con su sistema de valoración de 100 puntos y una profunda información sobre regiones vinícolas importantes.</w:t>
              </w:r>
              <w:r w:rsidR="00B2243E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Dirigida desde 2022 por Joe Czerwinski, Robert Parker Wine Advocate comprende un equipo global de 10 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>inspectores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de vinos experimentados que se comprometen a destacar los mejores vinos del mundo, arrojando luz sobre los magníficos 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>terruños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y su diversidad, así como 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los 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excepcionales artesanos y 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>sus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eternas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>tradiciones</w:t>
              </w:r>
              <w:r w:rsidR="00B2243E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(</w:t>
              </w:r>
              <w:hyperlink r:id="rId10" w:history="1">
                <w:r w:rsidR="00B2243E" w:rsidRPr="00250C07">
                  <w:rPr>
                    <w:rStyle w:val="Hipervnculo"/>
                    <w:rFonts w:ascii="Arial" w:hAnsi="Arial" w:cs="Arial"/>
                    <w:sz w:val="16"/>
                    <w:szCs w:val="16"/>
                    <w:lang w:val="es-ES_tradnl"/>
                  </w:rPr>
                  <w:t>www.RobertParker.com</w:t>
                </w:r>
              </w:hyperlink>
              <w:r w:rsidR="00B2243E">
                <w:rPr>
                  <w:rFonts w:ascii="Arial" w:hAnsi="Arial" w:cs="Arial"/>
                  <w:sz w:val="16"/>
                  <w:szCs w:val="16"/>
                  <w:lang w:val="es-ES_tradnl"/>
                </w:rPr>
                <w:t>).</w:t>
              </w:r>
            </w:p>
            <w:p w14:paraId="27EBE0C7" w14:textId="77777777" w:rsidR="002A7EA8" w:rsidRPr="009C47D4" w:rsidRDefault="002A7EA8" w:rsidP="002A7EA8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1F1AE89E" w14:textId="77777777" w:rsidR="002A7EA8" w:rsidRPr="009C47D4" w:rsidRDefault="002A7EA8" w:rsidP="002A7EA8">
              <w:pPr>
                <w:ind w:right="-46"/>
                <w:jc w:val="both"/>
                <w:rPr>
                  <w:rFonts w:ascii="Arial" w:hAnsi="Arial" w:cs="Arial"/>
                  <w:iCs/>
                  <w:sz w:val="16"/>
                  <w:szCs w:val="16"/>
                  <w:lang w:val="es-ES_tradnl"/>
                </w:rPr>
              </w:pPr>
            </w:p>
            <w:p w14:paraId="15EBB1A2" w14:textId="77777777" w:rsidR="00B2243E" w:rsidRPr="004C6D0A" w:rsidRDefault="00B2243E" w:rsidP="00B2243E">
              <w:pPr>
                <w:jc w:val="both"/>
                <w:rPr>
                  <w:rFonts w:ascii="Arial" w:hAnsi="Arial" w:cs="Arial"/>
                  <w:b/>
                  <w:bCs/>
                  <w:iCs/>
                  <w:sz w:val="16"/>
                  <w:szCs w:val="16"/>
                  <w:lang w:val="es-ES"/>
                </w:rPr>
              </w:pPr>
              <w:r>
                <w:rPr>
                  <w:rFonts w:ascii="Arial" w:hAnsi="Arial" w:cs="Arial"/>
                  <w:b/>
                  <w:bCs/>
                  <w:iCs/>
                  <w:sz w:val="16"/>
                  <w:szCs w:val="16"/>
                  <w:lang w:val="es-ES"/>
                </w:rPr>
                <w:t>Acerca de Michelin</w:t>
              </w:r>
            </w:p>
            <w:p w14:paraId="0E0A4036" w14:textId="77777777" w:rsidR="00B2243E" w:rsidRPr="009A43CE" w:rsidRDefault="00B2243E" w:rsidP="00B2243E">
              <w:pPr>
                <w:jc w:val="both"/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</w:pPr>
              <w:r w:rsidRPr="009A43CE"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        </w:r>
              <w:r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>5</w:t>
              </w:r>
              <w:r w:rsidRPr="009A43CE"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 xml:space="preserve"> países, emplea a 1</w:t>
              </w:r>
              <w:r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>32</w:t>
              </w:r>
              <w:r w:rsidRPr="009A43CE"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>.</w:t>
              </w:r>
              <w:r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>000</w:t>
              </w:r>
              <w:r w:rsidRPr="009A43CE"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 xml:space="preserve"> personas y dispone de </w:t>
              </w:r>
              <w:r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>67</w:t>
              </w:r>
              <w:r w:rsidRPr="009A43CE"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 xml:space="preserve"> centros de producción que en 202</w:t>
              </w:r>
              <w:r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>2</w:t>
              </w:r>
              <w:r w:rsidRPr="009A43CE"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 xml:space="preserve"> han fabricado </w:t>
              </w:r>
              <w:r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>alrededor de 200</w:t>
              </w:r>
              <w:r w:rsidRPr="009A43CE"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 xml:space="preserve"> millones de neumáticos (</w:t>
              </w:r>
              <w:hyperlink r:id="rId11" w:history="1">
                <w:r w:rsidRPr="009A43CE">
                  <w:rPr>
                    <w:rStyle w:val="Hipervnculo"/>
                    <w:rFonts w:ascii="Arial" w:hAnsi="Arial" w:cs="Arial"/>
                    <w:iCs/>
                    <w:sz w:val="16"/>
                    <w:szCs w:val="16"/>
                    <w:lang w:val="es-ES"/>
                  </w:rPr>
                  <w:t>www.michelin.es</w:t>
                </w:r>
              </w:hyperlink>
              <w:r w:rsidRPr="009A43CE">
                <w:rPr>
                  <w:rFonts w:ascii="Arial" w:hAnsi="Arial" w:cs="Arial"/>
                  <w:iCs/>
                  <w:sz w:val="16"/>
                  <w:szCs w:val="16"/>
                  <w:lang w:val="es-ES"/>
                </w:rPr>
                <w:t>).</w:t>
              </w:r>
            </w:p>
            <w:p w14:paraId="0FE88828" w14:textId="77777777" w:rsidR="002A7EA8" w:rsidRPr="00B2243E" w:rsidRDefault="002A7EA8" w:rsidP="002A7EA8">
              <w:pPr>
                <w:ind w:right="-46"/>
                <w:jc w:val="both"/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</w:pPr>
            </w:p>
            <w:p w14:paraId="66BC1F8D" w14:textId="77777777" w:rsidR="002A7EA8" w:rsidRPr="009C47D4" w:rsidRDefault="002A7EA8" w:rsidP="002A7EA8">
              <w:pPr>
                <w:ind w:right="-46"/>
                <w:jc w:val="both"/>
                <w:rPr>
                  <w:rFonts w:ascii="Arial" w:hAnsi="Arial" w:cs="Arial"/>
                  <w:sz w:val="16"/>
                  <w:szCs w:val="16"/>
                  <w:lang w:val="es-ES_tradnl"/>
                </w:rPr>
              </w:pPr>
            </w:p>
            <w:p w14:paraId="30910E5B" w14:textId="37533BF5" w:rsidR="002A7EA8" w:rsidRPr="009C47D4" w:rsidRDefault="002A7EA8" w:rsidP="00B2243E">
              <w:pPr>
                <w:tabs>
                  <w:tab w:val="left" w:pos="2192"/>
                </w:tabs>
                <w:ind w:right="-46"/>
                <w:jc w:val="both"/>
                <w:rPr>
                  <w:rFonts w:ascii="Arial" w:hAnsi="Arial" w:cs="Arial"/>
                  <w:lang w:val="es-ES_tradnl"/>
                </w:rPr>
              </w:pPr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ab/>
              </w:r>
            </w:p>
            <w:p w14:paraId="47E07CA5" w14:textId="77777777" w:rsidR="002A7EA8" w:rsidRPr="009C47D4" w:rsidRDefault="002A7EA8" w:rsidP="002A7EA8">
              <w:pPr>
                <w:ind w:right="-46"/>
                <w:rPr>
                  <w:rFonts w:ascii="Arial" w:hAnsi="Arial" w:cs="Arial"/>
                  <w:lang w:val="es-ES_tradnl"/>
                </w:rPr>
              </w:pPr>
            </w:p>
            <w:p w14:paraId="0A1A99A4" w14:textId="77777777" w:rsidR="002A7EA8" w:rsidRPr="009C47D4" w:rsidRDefault="002A7EA8" w:rsidP="002A7EA8">
              <w:pPr>
                <w:ind w:right="-46"/>
                <w:rPr>
                  <w:rFonts w:ascii="Arial" w:hAnsi="Arial" w:cs="Arial"/>
                  <w:lang w:val="es-ES_tradnl"/>
                </w:rPr>
              </w:pPr>
            </w:p>
            <w:p w14:paraId="3984D7EF" w14:textId="77777777" w:rsidR="002A7EA8" w:rsidRPr="009C47D4" w:rsidRDefault="002A7EA8" w:rsidP="002A7EA8">
              <w:pPr>
                <w:ind w:right="-46"/>
                <w:rPr>
                  <w:rFonts w:ascii="Arial" w:hAnsi="Arial" w:cs="Arial"/>
                  <w:lang w:val="es-ES_tradnl"/>
                </w:rPr>
              </w:pPr>
            </w:p>
            <w:p w14:paraId="385CBDDF" w14:textId="77777777" w:rsidR="002A7EA8" w:rsidRDefault="002A7EA8" w:rsidP="002A7EA8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</w:pPr>
            </w:p>
            <w:p w14:paraId="58ECE9E1" w14:textId="77777777" w:rsidR="002A7EA8" w:rsidRPr="00215EB6" w:rsidRDefault="002A7EA8" w:rsidP="002A7EA8">
              <w:pPr>
                <w:spacing w:line="276" w:lineRule="auto"/>
                <w:ind w:right="1394" w:firstLine="851"/>
                <w:jc w:val="center"/>
                <w:rPr>
                  <w:rFonts w:ascii="Arial" w:hAnsi="Arial" w:cs="Arial"/>
                  <w:sz w:val="28"/>
                  <w:szCs w:val="28"/>
                  <w:lang w:val="es-ES"/>
                </w:rPr>
              </w:pPr>
              <w:r w:rsidRPr="00215EB6">
                <w:rPr>
                  <w:rFonts w:ascii="Arial" w:hAnsi="Arial" w:cs="Arial"/>
                  <w:sz w:val="28"/>
                  <w:szCs w:val="28"/>
                  <w:lang w:val="es-ES"/>
                </w:rPr>
                <w:t xml:space="preserve">DEPARTAMENTO DE COMUNICACIÓN </w:t>
              </w:r>
              <w:r>
                <w:rPr>
                  <w:rFonts w:ascii="Arial" w:hAnsi="Arial" w:cs="Arial"/>
                  <w:sz w:val="28"/>
                  <w:szCs w:val="28"/>
                  <w:lang w:val="es-ES"/>
                </w:rPr>
                <w:t>MICHELIN</w:t>
              </w:r>
            </w:p>
            <w:p w14:paraId="13D53CB9" w14:textId="2676AF7B" w:rsidR="002A7EA8" w:rsidRDefault="00000000" w:rsidP="002A7EA8">
              <w:pPr>
                <w:spacing w:line="276" w:lineRule="auto"/>
                <w:ind w:right="1394" w:firstLine="851"/>
                <w:jc w:val="center"/>
                <w:rPr>
                  <w:rFonts w:ascii="Arial" w:hAnsi="Arial" w:cs="Arial"/>
                  <w:sz w:val="28"/>
                  <w:szCs w:val="28"/>
                  <w:lang w:val="es-ES"/>
                </w:rPr>
              </w:pPr>
              <w:hyperlink r:id="rId12" w:history="1">
                <w:r w:rsidR="00B2243E" w:rsidRPr="00250C07">
                  <w:rPr>
                    <w:rStyle w:val="Hipervnculo"/>
                    <w:rFonts w:ascii="Arial" w:hAnsi="Arial" w:cs="Arial"/>
                    <w:sz w:val="28"/>
                    <w:szCs w:val="28"/>
                    <w:lang w:val="es-ES"/>
                  </w:rPr>
                  <w:t>comunicacion-ib@michelin.com</w:t>
                </w:r>
              </w:hyperlink>
            </w:p>
            <w:p w14:paraId="768752D4" w14:textId="77777777" w:rsidR="002A7EA8" w:rsidRPr="00215EB6" w:rsidRDefault="002A7EA8" w:rsidP="002A7EA8">
              <w:pPr>
                <w:ind w:right="1394" w:firstLine="851"/>
                <w:jc w:val="center"/>
                <w:rPr>
                  <w:rFonts w:ascii="Arial" w:hAnsi="Arial" w:cs="Arial"/>
                  <w:lang w:val="es-ES"/>
                </w:rPr>
              </w:pPr>
              <w:r w:rsidRPr="00215EB6">
                <w:rPr>
                  <w:rFonts w:ascii="Arial" w:hAnsi="Arial" w:cs="Arial"/>
                  <w:noProof/>
                  <w:sz w:val="36"/>
                  <w:szCs w:val="36"/>
                  <w:lang w:val="es-ES_tradnl" w:eastAsia="es-ES_tradnl"/>
                </w:rPr>
                <w:drawing>
                  <wp:inline distT="0" distB="0" distL="0" distR="0" wp14:anchorId="287A1A15" wp14:editId="6F4758F7">
                    <wp:extent cx="1612265" cy="177730"/>
                    <wp:effectExtent l="0" t="0" r="635" b="635"/>
                    <wp:docPr id="7" name="Imag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3" r:link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648" t="44151" r="38831" b="49475"/>
                            <a:stretch/>
                          </pic:blipFill>
                          <pic:spPr bwMode="auto">
                            <a:xfrm>
                              <a:off x="0" y="0"/>
                              <a:ext cx="1613213" cy="177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  <w:tbl>
              <w:tblPr>
                <w:tblStyle w:val="Tablaconcuadrcul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16"/>
              </w:tblGrid>
              <w:tr w:rsidR="002A7EA8" w:rsidRPr="00215EB6" w14:paraId="366345A8" w14:textId="77777777" w:rsidTr="004B5047">
                <w:tc>
                  <w:tcPr>
                    <w:tcW w:w="9016" w:type="dxa"/>
                  </w:tcPr>
                  <w:p w14:paraId="4081961D" w14:textId="77777777" w:rsidR="002A7EA8" w:rsidRDefault="00000000" w:rsidP="004B5047">
                    <w:pPr>
                      <w:ind w:right="1394" w:firstLine="851"/>
                      <w:jc w:val="center"/>
                      <w:rPr>
                        <w:rStyle w:val="Hipervnculo"/>
                        <w:rFonts w:ascii="Arial" w:hAnsi="Arial" w:cs="Arial"/>
                        <w:lang w:val="es-ES"/>
                      </w:rPr>
                    </w:pPr>
                    <w:hyperlink r:id="rId15" w:history="1">
                      <w:r w:rsidR="002A7EA8" w:rsidRPr="00215EB6">
                        <w:rPr>
                          <w:rStyle w:val="Hipervnculo"/>
                          <w:rFonts w:ascii="Arial" w:hAnsi="Arial" w:cs="Arial"/>
                          <w:lang w:val="es-ES"/>
                        </w:rPr>
                        <w:t>www.michelin.es</w:t>
                      </w:r>
                    </w:hyperlink>
                  </w:p>
                  <w:p w14:paraId="46689D31" w14:textId="77777777" w:rsidR="002A7EA8" w:rsidRPr="00DC728D" w:rsidRDefault="002A7EA8" w:rsidP="004B5047">
                    <w:pPr>
                      <w:ind w:right="-19" w:firstLine="851"/>
                      <w:jc w:val="center"/>
                      <w:rPr>
                        <w:rFonts w:ascii="Arial" w:hAnsi="Arial" w:cs="Arial"/>
                        <w:color w:val="08519D"/>
                        <w:sz w:val="36"/>
                        <w:lang w:val="es-ES"/>
                      </w:rPr>
                    </w:pPr>
                  </w:p>
                </w:tc>
              </w:tr>
              <w:tr w:rsidR="002A7EA8" w:rsidRPr="00215EB6" w14:paraId="12D37992" w14:textId="77777777" w:rsidTr="004B5047">
                <w:tc>
                  <w:tcPr>
                    <w:tcW w:w="9016" w:type="dxa"/>
                  </w:tcPr>
                  <w:p w14:paraId="1974043E" w14:textId="54619FAD" w:rsidR="002A7EA8" w:rsidRPr="00215EB6" w:rsidRDefault="002A7EA8" w:rsidP="004B5047">
                    <w:pPr>
                      <w:ind w:right="-24"/>
                      <w:jc w:val="center"/>
                      <w:rPr>
                        <w:rFonts w:ascii="Arial" w:hAnsi="Arial" w:cs="Arial"/>
                        <w:color w:val="08519D"/>
                        <w:lang w:val="es-ES"/>
                      </w:rPr>
                    </w:pPr>
                    <w:r>
                      <w:rPr>
                        <w:noProof/>
                        <w:color w:val="000000"/>
                        <w:lang w:val="es-ES_tradnl" w:eastAsia="es-ES_tradnl"/>
                      </w:rPr>
                      <w:drawing>
                        <wp:inline distT="0" distB="0" distL="0" distR="0" wp14:anchorId="1F2CE48F" wp14:editId="1848F9EC">
                          <wp:extent cx="152400" cy="123825"/>
                          <wp:effectExtent l="0" t="0" r="0" b="0"/>
                          <wp:docPr id="100005" name="Imagen 1000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005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0" cy="123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7" w:history="1"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@MichelinN</w:t>
                      </w:r>
                      <w:r w:rsidR="00B2243E"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ews</w:t>
                      </w:r>
                    </w:hyperlink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noProof/>
                        <w:color w:val="000000"/>
                        <w:lang w:val="es-ES_tradnl" w:eastAsia="es-ES_tradnl"/>
                      </w:rPr>
                      <w:drawing>
                        <wp:inline distT="0" distB="0" distL="0" distR="0" wp14:anchorId="42A8A083" wp14:editId="5A2289E5">
                          <wp:extent cx="161925" cy="161925"/>
                          <wp:effectExtent l="0" t="0" r="9525" b="9525"/>
                          <wp:docPr id="100007" name="Imagen 1000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007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25" cy="161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</w:t>
                    </w:r>
                    <w:hyperlink r:id="rId19" w:history="1"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@Michelinespana</w:t>
                      </w:r>
                    </w:hyperlink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noProof/>
                        <w:color w:val="000000"/>
                        <w:lang w:val="es-ES_tradnl" w:eastAsia="es-ES_tradnl"/>
                      </w:rPr>
                      <w:drawing>
                        <wp:inline distT="0" distB="0" distL="0" distR="0" wp14:anchorId="7A10FAE4" wp14:editId="787601D3">
                          <wp:extent cx="161925" cy="161925"/>
                          <wp:effectExtent l="0" t="0" r="9525" b="9525"/>
                          <wp:docPr id="100009" name="Imagen 1000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009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25" cy="161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</w:t>
                    </w:r>
                    <w:hyperlink r:id="rId21" w:history="1"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@Michelinespana</w:t>
                      </w:r>
                    </w:hyperlink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noProof/>
                        <w:color w:val="000000"/>
                        <w:lang w:val="es-ES_tradnl" w:eastAsia="es-ES_tradnl"/>
                      </w:rPr>
                      <w:drawing>
                        <wp:inline distT="0" distB="0" distL="0" distR="0" wp14:anchorId="6230E560" wp14:editId="08DC791B">
                          <wp:extent cx="171450" cy="171450"/>
                          <wp:effectExtent l="0" t="0" r="0" b="0"/>
                          <wp:docPr id="100011" name="Imagen 1000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011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</w:t>
                    </w:r>
                    <w:hyperlink r:id="rId23" w:history="1"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@Michelin</w:t>
                      </w:r>
                    </w:hyperlink>
                  </w:p>
                </w:tc>
              </w:tr>
            </w:tbl>
            <w:p w14:paraId="55EB8E9C" w14:textId="77777777" w:rsidR="002A7EA8" w:rsidRPr="00215EB6" w:rsidRDefault="002A7EA8" w:rsidP="002A7EA8">
              <w:pPr>
                <w:ind w:right="1394" w:firstLine="851"/>
                <w:jc w:val="center"/>
                <w:rPr>
                  <w:rFonts w:ascii="Arial" w:hAnsi="Arial" w:cs="Arial"/>
                  <w:lang w:val="es-ES"/>
                </w:rPr>
              </w:pPr>
            </w:p>
            <w:p w14:paraId="108A4923" w14:textId="144762E6" w:rsidR="002A7EA8" w:rsidRPr="00966E41" w:rsidRDefault="00B2243E" w:rsidP="002A7EA8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>
                <w:rPr>
                  <w:rFonts w:ascii="Arial" w:hAnsi="Arial" w:cs="Arial"/>
                  <w:lang w:val="es-ES"/>
                </w:rPr>
                <w:t xml:space="preserve">                 </w:t>
              </w:r>
              <w:r w:rsidR="002A7EA8">
                <w:rPr>
                  <w:rFonts w:ascii="Arial" w:hAnsi="Arial" w:cs="Arial"/>
                  <w:lang w:val="es-ES"/>
                </w:rPr>
                <w:t>Ronda de Poniente</w:t>
              </w:r>
              <w:r w:rsidR="002A7EA8" w:rsidRPr="00895E83">
                <w:rPr>
                  <w:rFonts w:ascii="Arial" w:hAnsi="Arial" w:cs="Arial"/>
                  <w:lang w:val="es-ES"/>
                </w:rPr>
                <w:t xml:space="preserve">, </w:t>
              </w:r>
              <w:r w:rsidR="002A7EA8">
                <w:rPr>
                  <w:rFonts w:ascii="Arial" w:hAnsi="Arial" w:cs="Arial"/>
                  <w:lang w:val="es-ES"/>
                </w:rPr>
                <w:t>6</w:t>
              </w:r>
              <w:r w:rsidR="002A7EA8" w:rsidRPr="00895E83">
                <w:rPr>
                  <w:rFonts w:ascii="Arial" w:hAnsi="Arial" w:cs="Arial"/>
                  <w:lang w:val="es-ES"/>
                </w:rPr>
                <w:t xml:space="preserve"> </w:t>
              </w:r>
              <w:r w:rsidR="002A7EA8" w:rsidRPr="00215EB6">
                <w:rPr>
                  <w:rFonts w:ascii="Arial" w:hAnsi="Arial" w:cs="Arial"/>
                  <w:lang w:val="es-ES"/>
                </w:rPr>
                <w:t>– 28760 Tres Cantos – Madrid. ESPAÑA</w:t>
              </w:r>
            </w:p>
            <w:p w14:paraId="28265682" w14:textId="7DE86A8C" w:rsidR="00773388" w:rsidRPr="009C47D4" w:rsidRDefault="00000000" w:rsidP="00DD5AE5">
              <w:pPr>
                <w:spacing w:line="276" w:lineRule="auto"/>
                <w:ind w:right="-46"/>
                <w:jc w:val="center"/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</w:pPr>
            </w:p>
          </w:sdtContent>
        </w:sdt>
      </w:sdtContent>
    </w:sdt>
    <w:sectPr w:rsidR="00773388" w:rsidRPr="009C47D4" w:rsidSect="00966E41">
      <w:headerReference w:type="default" r:id="rId24"/>
      <w:headerReference w:type="first" r:id="rId25"/>
      <w:pgSz w:w="11906" w:h="16838"/>
      <w:pgMar w:top="1504" w:right="1440" w:bottom="1520" w:left="1440" w:header="170" w:footer="680" w:gutter="0"/>
      <w:pgBorders w:offsetFrom="page">
        <w:top w:val="single" w:sz="48" w:space="0" w:color="009983"/>
        <w:left w:val="single" w:sz="48" w:space="0" w:color="009983"/>
        <w:bottom w:val="single" w:sz="48" w:space="0" w:color="009983"/>
        <w:right w:val="single" w:sz="48" w:space="0" w:color="009983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3B45" w14:textId="77777777" w:rsidR="0042761E" w:rsidRDefault="0042761E" w:rsidP="00F24D98">
      <w:r>
        <w:separator/>
      </w:r>
    </w:p>
  </w:endnote>
  <w:endnote w:type="continuationSeparator" w:id="0">
    <w:p w14:paraId="1F51275F" w14:textId="77777777" w:rsidR="0042761E" w:rsidRDefault="0042761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A9AD" w14:textId="77777777" w:rsidR="0042761E" w:rsidRDefault="0042761E" w:rsidP="00F24D98">
      <w:r>
        <w:separator/>
      </w:r>
    </w:p>
  </w:footnote>
  <w:footnote w:type="continuationSeparator" w:id="0">
    <w:p w14:paraId="0E4F61AF" w14:textId="77777777" w:rsidR="0042761E" w:rsidRDefault="0042761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7A68231" w:rsidR="00C53F0C" w:rsidRPr="00C53F0C" w:rsidRDefault="00966E41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3600" behindDoc="0" locked="0" layoutInCell="1" allowOverlap="1" wp14:anchorId="375DF116" wp14:editId="5F7B40BB">
          <wp:simplePos x="0" y="0"/>
          <wp:positionH relativeFrom="column">
            <wp:posOffset>1484630</wp:posOffset>
          </wp:positionH>
          <wp:positionV relativeFrom="paragraph">
            <wp:posOffset>66621</wp:posOffset>
          </wp:positionV>
          <wp:extent cx="2755900" cy="748665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D2C">
      <w:rPr>
        <w:rFonts w:ascii="Michelin Unit Titling" w:hAnsi="Michelin Unit Titling"/>
        <w:color w:val="404040" w:themeColor="text1" w:themeTint="BF"/>
      </w:rPr>
      <w:tab/>
    </w:r>
    <w:r w:rsidR="00967D2C">
      <w:rPr>
        <w:rFonts w:ascii="Michelin Unit Titling" w:hAnsi="Michelin Unit Titling"/>
        <w:color w:val="404040" w:themeColor="text1" w:themeTint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5F93FBD8" w:rsidR="001963B1" w:rsidRDefault="00C60B72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71552" behindDoc="0" locked="0" layoutInCell="1" allowOverlap="1" wp14:anchorId="4CDCF5EE" wp14:editId="6BD92D3C">
          <wp:simplePos x="0" y="0"/>
          <wp:positionH relativeFrom="column">
            <wp:posOffset>1698625</wp:posOffset>
          </wp:positionH>
          <wp:positionV relativeFrom="paragraph">
            <wp:posOffset>106045</wp:posOffset>
          </wp:positionV>
          <wp:extent cx="2035810" cy="600075"/>
          <wp:effectExtent l="0" t="0" r="0" b="0"/>
          <wp:wrapSquare wrapText="bothSides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4A8">
      <w:rPr>
        <w:rFonts w:ascii="Arial" w:hAnsi="Arial" w:cs="Arial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07AE16" wp14:editId="2326D2BE">
              <wp:simplePos x="0" y="0"/>
              <wp:positionH relativeFrom="column">
                <wp:posOffset>-428625</wp:posOffset>
              </wp:positionH>
              <wp:positionV relativeFrom="paragraph">
                <wp:posOffset>1586865</wp:posOffset>
              </wp:positionV>
              <wp:extent cx="909320" cy="66675"/>
              <wp:effectExtent l="0" t="0" r="5080" b="9525"/>
              <wp:wrapNone/>
              <wp:docPr id="13" name="Paralelogram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9320" cy="66675"/>
                      </a:xfrm>
                      <a:prstGeom prst="parallelogram">
                        <a:avLst/>
                      </a:prstGeom>
                      <a:solidFill>
                        <a:srgbClr val="0099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C74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13" o:spid="_x0000_s1026" type="#_x0000_t7" style="position:absolute;margin-left:-33.75pt;margin-top:124.95pt;width:71.6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" adj="396" fillcolor="#009983" stroked="f" strokeweight="1pt"/>
          </w:pict>
        </mc:Fallback>
      </mc:AlternateContent>
    </w:r>
    <w:r w:rsidR="008B73E3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28457A21">
              <wp:simplePos x="0" y="0"/>
              <wp:positionH relativeFrom="page">
                <wp:posOffset>190500</wp:posOffset>
              </wp:positionH>
              <wp:positionV relativeFrom="paragraph">
                <wp:posOffset>1332230</wp:posOffset>
              </wp:positionV>
              <wp:extent cx="1600200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276146B8" w:rsidR="008B73E3" w:rsidRPr="00AC0E74" w:rsidRDefault="008B73E3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EXP</w:t>
                          </w:r>
                          <w:r w:rsidR="00885E5B">
                            <w:rPr>
                              <w:rFonts w:ascii="Michelin Unit Titling" w:hAnsi="Michelin Unit Titling"/>
                              <w:color w:val="575757"/>
                            </w:rPr>
                            <w:t>E</w:t>
                          </w: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RIENCES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pt;margin-top:104.9pt;width:12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" fillcolor="white [3201]" stroked="f" strokeweight=".5pt">
              <v:textbox>
                <w:txbxContent>
                  <w:p w14:paraId="7DF7C83A" w14:textId="276146B8" w:rsidR="008B73E3" w:rsidRPr="00AC0E74" w:rsidRDefault="008B73E3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EXP</w:t>
                    </w:r>
                    <w:r w:rsidR="00885E5B">
                      <w:rPr>
                        <w:rFonts w:ascii="Michelin Unit Titling" w:hAnsi="Michelin Unit Titling"/>
                        <w:color w:val="575757"/>
                      </w:rPr>
                      <w:t>E</w:t>
                    </w:r>
                    <w:r>
                      <w:rPr>
                        <w:rFonts w:ascii="Michelin Unit Titling" w:hAnsi="Michelin Unit Titling"/>
                        <w:color w:val="575757"/>
                      </w:rPr>
                      <w:t>RIENCES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E5E37"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68480" behindDoc="1" locked="0" layoutInCell="0" allowOverlap="1" wp14:anchorId="6CC829C8" wp14:editId="55F7C103">
              <wp:simplePos x="0" y="0"/>
              <wp:positionH relativeFrom="page">
                <wp:posOffset>2207895</wp:posOffset>
              </wp:positionH>
              <wp:positionV relativeFrom="paragraph">
                <wp:posOffset>681355</wp:posOffset>
              </wp:positionV>
              <wp:extent cx="2973070" cy="393065"/>
              <wp:effectExtent l="0" t="0" r="0" b="698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3070" cy="393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8EEB04" w14:textId="77777777" w:rsidR="002E5E37" w:rsidRDefault="002E5E37" w:rsidP="002E5E37">
                          <w:pPr>
                            <w:pStyle w:val="Contenidodelmarco"/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C829C8" id="Text Box 4" o:spid="_x0000_s1027" style="position:absolute;left:0;text-align:left;margin-left:173.85pt;margin-top:53.65pt;width:234.1pt;height:30.9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" o:allowincell="f" fillcolor="white [3201]" stroked="f" strokeweight=".5pt">
              <v:textbox>
                <w:txbxContent>
                  <w:p w14:paraId="728EEB04" w14:textId="77777777" w:rsidR="002E5E37" w:rsidRDefault="002E5E37" w:rsidP="002E5E37">
                    <w:pPr>
                      <w:pStyle w:val="Contenidodelmarco"/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1230"/>
    <w:multiLevelType w:val="hybridMultilevel"/>
    <w:tmpl w:val="D82831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1241">
    <w:abstractNumId w:val="1"/>
  </w:num>
  <w:num w:numId="2" w16cid:durableId="106201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04E59"/>
    <w:rsid w:val="000232A2"/>
    <w:rsid w:val="00035BD0"/>
    <w:rsid w:val="00041EED"/>
    <w:rsid w:val="0006333E"/>
    <w:rsid w:val="00085029"/>
    <w:rsid w:val="00087673"/>
    <w:rsid w:val="000B3F91"/>
    <w:rsid w:val="000F1E2A"/>
    <w:rsid w:val="00112957"/>
    <w:rsid w:val="00116A1A"/>
    <w:rsid w:val="00133C30"/>
    <w:rsid w:val="001963B1"/>
    <w:rsid w:val="001B0535"/>
    <w:rsid w:val="001B75CE"/>
    <w:rsid w:val="0021595A"/>
    <w:rsid w:val="002462FF"/>
    <w:rsid w:val="00262F8B"/>
    <w:rsid w:val="00274DC8"/>
    <w:rsid w:val="0027531F"/>
    <w:rsid w:val="00287676"/>
    <w:rsid w:val="00296512"/>
    <w:rsid w:val="002A7EA8"/>
    <w:rsid w:val="002E44BA"/>
    <w:rsid w:val="002E5E37"/>
    <w:rsid w:val="0030690B"/>
    <w:rsid w:val="00307C0A"/>
    <w:rsid w:val="00351D1D"/>
    <w:rsid w:val="00383FFE"/>
    <w:rsid w:val="00387E23"/>
    <w:rsid w:val="003A2915"/>
    <w:rsid w:val="003E2EE3"/>
    <w:rsid w:val="00401D23"/>
    <w:rsid w:val="0041774C"/>
    <w:rsid w:val="004237CD"/>
    <w:rsid w:val="0042761E"/>
    <w:rsid w:val="00433BE4"/>
    <w:rsid w:val="004365DD"/>
    <w:rsid w:val="00437169"/>
    <w:rsid w:val="00454406"/>
    <w:rsid w:val="00454488"/>
    <w:rsid w:val="0046613F"/>
    <w:rsid w:val="00471963"/>
    <w:rsid w:val="00473C39"/>
    <w:rsid w:val="00493386"/>
    <w:rsid w:val="0049612A"/>
    <w:rsid w:val="004A7A65"/>
    <w:rsid w:val="004C6A8C"/>
    <w:rsid w:val="004E3294"/>
    <w:rsid w:val="004E4724"/>
    <w:rsid w:val="00505743"/>
    <w:rsid w:val="005444A8"/>
    <w:rsid w:val="005F1622"/>
    <w:rsid w:val="00620BBB"/>
    <w:rsid w:val="006C44F0"/>
    <w:rsid w:val="0071099F"/>
    <w:rsid w:val="00723C54"/>
    <w:rsid w:val="007441E6"/>
    <w:rsid w:val="0075590E"/>
    <w:rsid w:val="0076144B"/>
    <w:rsid w:val="00773388"/>
    <w:rsid w:val="00785BD9"/>
    <w:rsid w:val="007A535E"/>
    <w:rsid w:val="007E4C36"/>
    <w:rsid w:val="00842044"/>
    <w:rsid w:val="00851406"/>
    <w:rsid w:val="0085450A"/>
    <w:rsid w:val="008641D2"/>
    <w:rsid w:val="00877B40"/>
    <w:rsid w:val="00885E5B"/>
    <w:rsid w:val="008940B1"/>
    <w:rsid w:val="008A29FA"/>
    <w:rsid w:val="008A6711"/>
    <w:rsid w:val="008A7EFA"/>
    <w:rsid w:val="008B73E3"/>
    <w:rsid w:val="008E62F4"/>
    <w:rsid w:val="008F640F"/>
    <w:rsid w:val="009203BF"/>
    <w:rsid w:val="0093532F"/>
    <w:rsid w:val="00966E41"/>
    <w:rsid w:val="00967D2C"/>
    <w:rsid w:val="009730EA"/>
    <w:rsid w:val="009C47D4"/>
    <w:rsid w:val="009C760F"/>
    <w:rsid w:val="00A35FCE"/>
    <w:rsid w:val="00A97737"/>
    <w:rsid w:val="00AB0946"/>
    <w:rsid w:val="00AB47DE"/>
    <w:rsid w:val="00AC0E74"/>
    <w:rsid w:val="00AC129F"/>
    <w:rsid w:val="00B2243E"/>
    <w:rsid w:val="00B47D99"/>
    <w:rsid w:val="00B54E4E"/>
    <w:rsid w:val="00B6530A"/>
    <w:rsid w:val="00B76BDF"/>
    <w:rsid w:val="00B97B28"/>
    <w:rsid w:val="00BB1209"/>
    <w:rsid w:val="00C000CC"/>
    <w:rsid w:val="00C17A4E"/>
    <w:rsid w:val="00C3086F"/>
    <w:rsid w:val="00C53F0C"/>
    <w:rsid w:val="00C60B72"/>
    <w:rsid w:val="00C61287"/>
    <w:rsid w:val="00C763EE"/>
    <w:rsid w:val="00C76700"/>
    <w:rsid w:val="00CD2047"/>
    <w:rsid w:val="00CF0663"/>
    <w:rsid w:val="00D05906"/>
    <w:rsid w:val="00D24541"/>
    <w:rsid w:val="00D67EFC"/>
    <w:rsid w:val="00D92EFF"/>
    <w:rsid w:val="00DA3F73"/>
    <w:rsid w:val="00DA4489"/>
    <w:rsid w:val="00DA5ED4"/>
    <w:rsid w:val="00DB7FA5"/>
    <w:rsid w:val="00DC728D"/>
    <w:rsid w:val="00DD5AE5"/>
    <w:rsid w:val="00DD5C33"/>
    <w:rsid w:val="00E20873"/>
    <w:rsid w:val="00E45485"/>
    <w:rsid w:val="00E51391"/>
    <w:rsid w:val="00E605AC"/>
    <w:rsid w:val="00E73CD0"/>
    <w:rsid w:val="00E8035E"/>
    <w:rsid w:val="00E87011"/>
    <w:rsid w:val="00EA58B1"/>
    <w:rsid w:val="00EE006A"/>
    <w:rsid w:val="00EE0667"/>
    <w:rsid w:val="00EF06C6"/>
    <w:rsid w:val="00F24D98"/>
    <w:rsid w:val="00F435A2"/>
    <w:rsid w:val="00F6785B"/>
    <w:rsid w:val="00F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128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C47D4"/>
  </w:style>
  <w:style w:type="character" w:customStyle="1" w:styleId="EnlacedeInternet">
    <w:name w:val="Enlace de Internet"/>
    <w:basedOn w:val="Fuentedeprrafopredeter"/>
    <w:uiPriority w:val="99"/>
    <w:unhideWhenUsed/>
    <w:rsid w:val="002E5E37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2E5E37"/>
    <w:pPr>
      <w:suppressAutoHyphens/>
    </w:pPr>
  </w:style>
  <w:style w:type="paragraph" w:styleId="Prrafodelista">
    <w:name w:val="List Paragraph"/>
    <w:basedOn w:val="Normal"/>
    <w:uiPriority w:val="34"/>
    <w:qFormat/>
    <w:rsid w:val="003E2EE3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96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michelinespana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-ib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23" Type="http://schemas.openxmlformats.org/officeDocument/2006/relationships/hyperlink" Target="https://www.linkedin.com/company/michelin/" TargetMode="External"/><Relationship Id="rId10" Type="http://schemas.openxmlformats.org/officeDocument/2006/relationships/hyperlink" Target="http://www.RobertParker.com" TargetMode="External"/><Relationship Id="rId19" Type="http://schemas.openxmlformats.org/officeDocument/2006/relationships/hyperlink" Target="https://www.facebook.com/michelinespan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i_kl7q6gpk1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C0B16-72B1-437B-8F85-8834553A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919</Words>
  <Characters>5060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63</cp:revision>
  <dcterms:created xsi:type="dcterms:W3CDTF">2021-02-23T08:05:00Z</dcterms:created>
  <dcterms:modified xsi:type="dcterms:W3CDTF">2023-04-28T08:51:00Z</dcterms:modified>
</cp:coreProperties>
</file>