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4C29F63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351D9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351D9" w:rsidRPr="003351D9">
        <w:rPr>
          <w:rFonts w:ascii="Arial" w:hAnsi="Arial" w:cs="Arial"/>
          <w:sz w:val="20"/>
          <w:szCs w:val="20"/>
          <w:lang w:val="es-ES"/>
        </w:rPr>
        <w:t>8</w:t>
      </w:r>
      <w:r w:rsidR="00BE269E" w:rsidRPr="003351D9">
        <w:rPr>
          <w:rFonts w:ascii="Arial" w:hAnsi="Arial" w:cs="Arial"/>
          <w:sz w:val="20"/>
          <w:szCs w:val="20"/>
          <w:lang w:val="es-ES"/>
        </w:rPr>
        <w:t xml:space="preserve"> de </w:t>
      </w:r>
      <w:r w:rsidR="00696EEF" w:rsidRPr="003351D9">
        <w:rPr>
          <w:rFonts w:ascii="Arial" w:hAnsi="Arial" w:cs="Arial"/>
          <w:sz w:val="20"/>
          <w:szCs w:val="20"/>
          <w:lang w:val="es-ES"/>
        </w:rPr>
        <w:t>mayo</w:t>
      </w:r>
      <w:r w:rsidR="006D398C" w:rsidRPr="003351D9">
        <w:rPr>
          <w:rFonts w:ascii="Arial" w:hAnsi="Arial" w:cs="Arial"/>
          <w:sz w:val="20"/>
          <w:szCs w:val="20"/>
          <w:lang w:val="es-ES"/>
        </w:rPr>
        <w:t>, 202</w:t>
      </w:r>
      <w:r w:rsidR="000924E3" w:rsidRPr="003351D9">
        <w:rPr>
          <w:rFonts w:ascii="Arial" w:hAnsi="Arial" w:cs="Arial"/>
          <w:sz w:val="20"/>
          <w:szCs w:val="20"/>
          <w:lang w:val="es-ES"/>
        </w:rPr>
        <w:t>3</w:t>
      </w:r>
      <w:bookmarkStart w:id="0" w:name="_GoBack"/>
      <w:bookmarkEnd w:id="0"/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758E2F9F" w14:textId="77777777" w:rsidR="00696EEF" w:rsidRDefault="00696EEF" w:rsidP="00696EEF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696EEF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lanza el “Club Michelin 3xplorer”, una colección </w:t>
          </w:r>
        </w:p>
        <w:p w14:paraId="6AD3B006" w14:textId="5C09B505" w:rsidR="006D398C" w:rsidRPr="00696EEF" w:rsidRDefault="00696EEF" w:rsidP="00696EEF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696EEF">
            <w:rPr>
              <w:rFonts w:ascii="Arial" w:hAnsi="Arial" w:cs="Arial"/>
              <w:b/>
              <w:sz w:val="28"/>
              <w:szCs w:val="28"/>
              <w:lang w:val="es-ES"/>
            </w:rPr>
            <w:t>exclu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siva de NFT</w:t>
          </w:r>
        </w:p>
        <w:p w14:paraId="5614BB42" w14:textId="77777777" w:rsidR="006D398C" w:rsidRPr="00696EE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96EE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00860E68" w:rsidR="00BE269E" w:rsidRPr="009A43CE" w:rsidRDefault="00696EE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Colección NFT de 5.000 piezas únicas que representa</w:t>
          </w:r>
          <w:r w:rsidR="001F0E0B">
            <w:rPr>
              <w:rFonts w:ascii="Arial" w:eastAsia="Calibri" w:hAnsi="Arial" w:cs="Arial"/>
              <w:lang w:val="es-ES" w:eastAsia="en-US"/>
            </w:rPr>
            <w:t>n</w:t>
          </w:r>
          <w:r>
            <w:rPr>
              <w:rFonts w:ascii="Arial" w:eastAsia="Calibri" w:hAnsi="Arial" w:cs="Arial"/>
              <w:lang w:val="es-ES" w:eastAsia="en-US"/>
            </w:rPr>
            <w:t xml:space="preserve"> al muñeco Michelin y dan acceso a experiencias exclusivas con la marca</w:t>
          </w:r>
        </w:p>
        <w:p w14:paraId="3C065D45" w14:textId="49C41203" w:rsidR="006D398C" w:rsidRPr="009A43CE" w:rsidRDefault="00696EE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Una prueba más del dinamismo de Michelin, que continúa explorando nuevas áreas junto a sus clientes</w:t>
          </w:r>
        </w:p>
        <w:p w14:paraId="380422CF" w14:textId="6A3DE9C2" w:rsidR="006D398C" w:rsidRPr="00696EEF" w:rsidRDefault="00696EE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Las experiencias pueden consultarse en la cuenta de Twitter del Club Michelin 3xplorer: </w:t>
          </w:r>
          <w:hyperlink r:id="rId8" w:history="1">
            <w:r w:rsidRPr="00DE128F">
              <w:rPr>
                <w:rStyle w:val="Hipervnculo"/>
                <w:rFonts w:ascii="Arial" w:hAnsi="Arial" w:cs="Arial"/>
                <w:lang w:val="es-ES"/>
              </w:rPr>
              <w:t>https://twitter.com/Michelin3xplore</w:t>
            </w:r>
          </w:hyperlink>
        </w:p>
        <w:p w14:paraId="45E2CCFF" w14:textId="77777777" w:rsidR="00696EEF" w:rsidRPr="009A43CE" w:rsidRDefault="00696EEF" w:rsidP="00696EEF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</w:p>
        <w:p w14:paraId="2097D154" w14:textId="77777777" w:rsidR="00BE269E" w:rsidRPr="009A43CE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047A8D25" w14:textId="5FA91657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Apasionada por la innovación, Michelin anuncia su entrada en Web3 con el lanzamiento del Club Michelin 3xplorer, una comunidad 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 xml:space="preserve">vinculada a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>una colección exclusiva de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 xml:space="preserve"> NTF de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>5.000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 xml:space="preserve"> unidades abierta a todo el mundo, que otorgará un acceso privilegiado a los titulares de tarjetas de socio NFT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>Esta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iniciativa refleja 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 xml:space="preserve">el deseo de la marca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>de seguir explorando nuevos horizontes, conquistar nuevas fronteras y embarcarse en nuevas aventuras junto a sus clientes.</w:t>
          </w:r>
        </w:p>
        <w:p w14:paraId="11C39D5B" w14:textId="77777777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6920AC" w14:textId="363A02FA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Los miembros del Club Michelin 3xplorer 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 xml:space="preserve">serán propietarios de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una obra digital única que representa al 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>muñeco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Michelin. También </w:t>
          </w:r>
          <w:r w:rsidR="001F0E0B">
            <w:rPr>
              <w:rFonts w:ascii="Arial" w:hAnsi="Arial" w:cs="Arial"/>
              <w:sz w:val="20"/>
              <w:szCs w:val="20"/>
              <w:lang w:val="es-ES"/>
            </w:rPr>
            <w:t xml:space="preserve">tendrán la oportunidad de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acceder a experiencias exclusivas, como la gala de revelación de la famosa selección de la Guía MICHELIN 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 xml:space="preserve">a la que asisten </w:t>
          </w:r>
          <w:r w:rsidR="00C941C2">
            <w:rPr>
              <w:rFonts w:ascii="Arial" w:hAnsi="Arial" w:cs="Arial"/>
              <w:sz w:val="20"/>
              <w:szCs w:val="20"/>
              <w:lang w:val="es-ES"/>
            </w:rPr>
            <w:t xml:space="preserve">los mejores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chefs, el centenario de las 24 Horas de Le </w:t>
          </w:r>
          <w:proofErr w:type="spellStart"/>
          <w:r w:rsidRPr="008B78AE"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 xml:space="preserve">y las carreras de MotoGP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>junto al equipo MICHELIN Motorsport, y descubrir Michelin como nunca antes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>, ya sea por sorteo o a través de la participación en retos comunitarios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491745B8" w14:textId="77777777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CDA7884" w14:textId="0B2484CC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78AE">
            <w:rPr>
              <w:rFonts w:ascii="Arial" w:hAnsi="Arial" w:cs="Arial"/>
              <w:sz w:val="20"/>
              <w:szCs w:val="20"/>
              <w:lang w:val="es-ES"/>
            </w:rPr>
            <w:t>Esta colección NFT es la primera fase de la estrategia Web3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 xml:space="preserve"> de Michelin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 xml:space="preserve">y demuestra el compromiso de la marca de 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crear nuevas experiencias para sus clientes, consolidando al mismo tiempo 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>la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relación con su comunidad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 xml:space="preserve"> de seguidores.</w:t>
          </w:r>
        </w:p>
        <w:p w14:paraId="044E1D2C" w14:textId="77777777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34C471C" w14:textId="1C70F694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Para este proyecto, Michelin 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>ha trabajado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con socios de referencia, como </w:t>
          </w:r>
          <w:proofErr w:type="spellStart"/>
          <w:r w:rsidRPr="008B78AE">
            <w:rPr>
              <w:rFonts w:ascii="Arial" w:hAnsi="Arial" w:cs="Arial"/>
              <w:sz w:val="20"/>
              <w:szCs w:val="20"/>
              <w:lang w:val="es-ES"/>
            </w:rPr>
            <w:t>getbulldog.xyz</w:t>
          </w:r>
          <w:proofErr w:type="spellEnd"/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, una </w:t>
          </w:r>
          <w:proofErr w:type="spellStart"/>
          <w:r w:rsidRPr="008B78AE">
            <w:rPr>
              <w:rFonts w:ascii="Arial" w:hAnsi="Arial" w:cs="Arial"/>
              <w:sz w:val="20"/>
              <w:szCs w:val="20"/>
              <w:lang w:val="es-ES"/>
            </w:rPr>
            <w:t>startup</w:t>
          </w:r>
          <w:proofErr w:type="spellEnd"/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especializada en Web3 y NFT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8B78AE">
            <w:rPr>
              <w:rFonts w:ascii="Arial" w:hAnsi="Arial" w:cs="Arial"/>
              <w:sz w:val="20"/>
              <w:szCs w:val="20"/>
              <w:lang w:val="es-ES"/>
            </w:rPr>
            <w:t>Goeland</w:t>
          </w:r>
          <w:proofErr w:type="spellEnd"/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Studio, una agencia de creación digital especializada en realidad virtual y aumentada</w:t>
          </w:r>
          <w:r w:rsidR="00004D91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proofErr w:type="spellStart"/>
          <w:r w:rsidRPr="008B78AE">
            <w:rPr>
              <w:rFonts w:ascii="Arial" w:hAnsi="Arial" w:cs="Arial"/>
              <w:sz w:val="20"/>
              <w:szCs w:val="20"/>
              <w:lang w:val="es-ES"/>
            </w:rPr>
            <w:t>Exclusible</w:t>
          </w:r>
          <w:proofErr w:type="spellEnd"/>
          <w:r w:rsidRPr="008B78AE">
            <w:rPr>
              <w:rFonts w:ascii="Arial" w:hAnsi="Arial" w:cs="Arial"/>
              <w:sz w:val="20"/>
              <w:szCs w:val="20"/>
              <w:lang w:val="es-ES"/>
            </w:rPr>
            <w:t>, especializada en el diseño de experiencias Web3 y metaverso. Juntos han creado una colección única de NFT que refleja la excelencia y la innovación asociadas a la marca Michelin.</w:t>
          </w:r>
        </w:p>
        <w:p w14:paraId="6050CB79" w14:textId="77777777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F8B3B0" w14:textId="4708E417" w:rsidR="008B78AE" w:rsidRPr="008B78AE" w:rsidRDefault="00004D91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Jean-François </w:t>
          </w:r>
          <w:proofErr w:type="spellStart"/>
          <w:r w:rsidRPr="008B78AE">
            <w:rPr>
              <w:rFonts w:ascii="Arial" w:hAnsi="Arial" w:cs="Arial"/>
              <w:sz w:val="20"/>
              <w:szCs w:val="20"/>
              <w:lang w:val="es-ES"/>
            </w:rPr>
            <w:t>Laforge</w:t>
          </w:r>
          <w:proofErr w:type="spellEnd"/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>d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irector de Marcas y Comunicación Comercial del </w:t>
          </w:r>
          <w:r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8B78AE">
            <w:rPr>
              <w:rFonts w:ascii="Arial" w:hAnsi="Arial" w:cs="Arial"/>
              <w:sz w:val="20"/>
              <w:szCs w:val="20"/>
              <w:lang w:val="es-ES"/>
            </w:rPr>
            <w:t>rupo Michelin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declara: </w:t>
          </w:r>
          <w:r w:rsidRPr="00004D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8B78AE" w:rsidRPr="00004D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Desde hace más de 130 años, MICHELIN facilita la movilidad, para todos y en todas partes. Web3 es el lugar perfecto para reunir a los amigos del Hombre Michelin, que son</w:t>
          </w:r>
          <w:r w:rsidRPr="00004D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8B78AE" w:rsidRPr="00004D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también entusiastas de la innovación</w:t>
          </w:r>
          <w:r w:rsidRPr="00004D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23AF300B" w14:textId="4D1E3544" w:rsidR="008B78AE" w:rsidRP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78AE"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</w:p>
        <w:p w14:paraId="592D344C" w14:textId="363C3083" w:rsidR="006C3818" w:rsidRPr="003351D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7595042" w14:textId="77777777" w:rsidR="00004D91" w:rsidRPr="003351D9" w:rsidRDefault="00004D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E1DD075" w14:textId="18D2DB31" w:rsidR="006C3818" w:rsidRPr="003351D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48342B4" w14:textId="77777777" w:rsidR="003C3FC0" w:rsidRPr="009A43CE" w:rsidRDefault="00542081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542081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3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451D" w14:textId="77777777" w:rsidR="00542081" w:rsidRDefault="00542081" w:rsidP="00F24D98">
      <w:r>
        <w:separator/>
      </w:r>
    </w:p>
  </w:endnote>
  <w:endnote w:type="continuationSeparator" w:id="0">
    <w:p w14:paraId="2E1F6739" w14:textId="77777777" w:rsidR="00542081" w:rsidRDefault="0054208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mbria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20431" w14:textId="77777777" w:rsidR="00542081" w:rsidRDefault="00542081" w:rsidP="00F24D98">
      <w:r>
        <w:separator/>
      </w:r>
    </w:p>
  </w:footnote>
  <w:footnote w:type="continuationSeparator" w:id="0">
    <w:p w14:paraId="090BB696" w14:textId="77777777" w:rsidR="00542081" w:rsidRDefault="0054208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4D91"/>
    <w:rsid w:val="000924E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0E0B"/>
    <w:rsid w:val="00201053"/>
    <w:rsid w:val="0021595A"/>
    <w:rsid w:val="00220220"/>
    <w:rsid w:val="00262F8B"/>
    <w:rsid w:val="00267994"/>
    <w:rsid w:val="00274DC8"/>
    <w:rsid w:val="003351D9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42081"/>
    <w:rsid w:val="00572127"/>
    <w:rsid w:val="00580FF0"/>
    <w:rsid w:val="00594F5C"/>
    <w:rsid w:val="005B00AE"/>
    <w:rsid w:val="005E08B3"/>
    <w:rsid w:val="005E1047"/>
    <w:rsid w:val="00610145"/>
    <w:rsid w:val="00613A00"/>
    <w:rsid w:val="00621821"/>
    <w:rsid w:val="00664307"/>
    <w:rsid w:val="006920B7"/>
    <w:rsid w:val="00696EEF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B072F"/>
    <w:rsid w:val="008B78AE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07898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941C2"/>
    <w:rsid w:val="00CA4996"/>
    <w:rsid w:val="00CC6BAF"/>
    <w:rsid w:val="00CE5E82"/>
    <w:rsid w:val="00D01366"/>
    <w:rsid w:val="00D26D15"/>
    <w:rsid w:val="00D55011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chelin3xplore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C86A8-A171-4B44-8B8E-9D7AF0F7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42</cp:revision>
  <dcterms:created xsi:type="dcterms:W3CDTF">2021-03-01T16:33:00Z</dcterms:created>
  <dcterms:modified xsi:type="dcterms:W3CDTF">2023-05-08T13:33:00Z</dcterms:modified>
</cp:coreProperties>
</file>