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C72EB1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C72EB1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C72EB1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C72EB1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C72EB1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C72EB1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C9A0EBC" w:rsidR="006D398C" w:rsidRPr="00C72EB1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C72EB1">
        <w:rPr>
          <w:rFonts w:ascii="Arial" w:hAnsi="Arial" w:cs="Arial"/>
          <w:sz w:val="20"/>
          <w:szCs w:val="20"/>
          <w:lang w:val="pt-PT"/>
        </w:rPr>
        <w:t xml:space="preserve">   </w:t>
      </w:r>
      <w:r w:rsidR="00C72EB1" w:rsidRPr="00C72EB1">
        <w:rPr>
          <w:rFonts w:ascii="Arial" w:hAnsi="Arial" w:cs="Arial"/>
          <w:sz w:val="20"/>
          <w:szCs w:val="20"/>
          <w:lang w:val="pt-PT"/>
        </w:rPr>
        <w:t>Lisboa</w:t>
      </w:r>
      <w:r w:rsidR="00BE269E" w:rsidRPr="00C72EB1">
        <w:rPr>
          <w:rFonts w:ascii="Arial" w:hAnsi="Arial" w:cs="Arial"/>
          <w:sz w:val="20"/>
          <w:szCs w:val="20"/>
          <w:lang w:val="pt-PT"/>
        </w:rPr>
        <w:t xml:space="preserve">, </w:t>
      </w:r>
      <w:r w:rsidR="00683588" w:rsidRPr="00C72EB1">
        <w:rPr>
          <w:rFonts w:ascii="Arial" w:hAnsi="Arial" w:cs="Arial"/>
          <w:sz w:val="20"/>
          <w:szCs w:val="20"/>
          <w:lang w:val="pt-PT"/>
        </w:rPr>
        <w:t>16</w:t>
      </w:r>
      <w:r w:rsidR="00BE269E" w:rsidRPr="00C72EB1">
        <w:rPr>
          <w:rFonts w:ascii="Arial" w:hAnsi="Arial" w:cs="Arial"/>
          <w:sz w:val="20"/>
          <w:szCs w:val="20"/>
          <w:lang w:val="pt-PT"/>
        </w:rPr>
        <w:t xml:space="preserve"> de </w:t>
      </w:r>
      <w:r w:rsidR="00683588" w:rsidRPr="00C72EB1">
        <w:rPr>
          <w:rFonts w:ascii="Arial" w:hAnsi="Arial" w:cs="Arial"/>
          <w:sz w:val="20"/>
          <w:szCs w:val="20"/>
          <w:lang w:val="pt-PT"/>
        </w:rPr>
        <w:t>ma</w:t>
      </w:r>
      <w:r w:rsidR="00C72EB1" w:rsidRPr="00C72EB1">
        <w:rPr>
          <w:rFonts w:ascii="Arial" w:hAnsi="Arial" w:cs="Arial"/>
          <w:sz w:val="20"/>
          <w:szCs w:val="20"/>
          <w:lang w:val="pt-PT"/>
        </w:rPr>
        <w:t xml:space="preserve">io de </w:t>
      </w:r>
      <w:r w:rsidR="006D398C" w:rsidRPr="00C72EB1">
        <w:rPr>
          <w:rFonts w:ascii="Arial" w:hAnsi="Arial" w:cs="Arial"/>
          <w:sz w:val="20"/>
          <w:szCs w:val="20"/>
          <w:lang w:val="pt-PT"/>
        </w:rPr>
        <w:t>202</w:t>
      </w:r>
      <w:r w:rsidR="00842005" w:rsidRPr="00C72EB1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C72EB1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C72EB1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377A0C3E" w:rsidR="006D398C" w:rsidRPr="00C72EB1" w:rsidRDefault="00683588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proofErr w:type="spellStart"/>
          <w:r w:rsidRPr="00C72EB1">
            <w:rPr>
              <w:rFonts w:ascii="Arial" w:hAnsi="Arial" w:cs="Arial"/>
              <w:b/>
              <w:sz w:val="28"/>
              <w:szCs w:val="28"/>
              <w:lang w:val="pt-PT"/>
            </w:rPr>
            <w:t>Stellantis</w:t>
          </w:r>
          <w:proofErr w:type="spellEnd"/>
          <w:r w:rsidRPr="00C72EB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adqui</w:t>
          </w:r>
          <w:r w:rsidR="007A6CA1" w:rsidRPr="00C72EB1">
            <w:rPr>
              <w:rFonts w:ascii="Arial" w:hAnsi="Arial" w:cs="Arial"/>
              <w:b/>
              <w:sz w:val="28"/>
              <w:szCs w:val="28"/>
              <w:lang w:val="pt-PT"/>
            </w:rPr>
            <w:t>re</w:t>
          </w:r>
          <w:r w:rsidRPr="00C72EB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participa</w:t>
          </w:r>
          <w:r w:rsidR="0083752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  <w:r w:rsidR="00C72EB1" w:rsidRPr="00C72EB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em </w:t>
          </w:r>
          <w:r w:rsidRPr="00C72EB1">
            <w:rPr>
              <w:rFonts w:ascii="Arial" w:hAnsi="Arial" w:cs="Arial"/>
              <w:b/>
              <w:sz w:val="28"/>
              <w:szCs w:val="28"/>
              <w:lang w:val="pt-PT"/>
            </w:rPr>
            <w:t>partes igua</w:t>
          </w:r>
          <w:r w:rsidR="0083752C">
            <w:rPr>
              <w:rFonts w:ascii="Arial" w:hAnsi="Arial" w:cs="Arial"/>
              <w:b/>
              <w:sz w:val="28"/>
              <w:szCs w:val="28"/>
              <w:lang w:val="pt-PT"/>
            </w:rPr>
            <w:t>i</w:t>
          </w:r>
          <w:r w:rsidRPr="00C72EB1">
            <w:rPr>
              <w:rFonts w:ascii="Arial" w:hAnsi="Arial" w:cs="Arial"/>
              <w:b/>
              <w:sz w:val="28"/>
              <w:szCs w:val="28"/>
              <w:lang w:val="pt-PT"/>
            </w:rPr>
            <w:t>s co</w:t>
          </w:r>
          <w:r w:rsidR="00C72EB1" w:rsidRPr="00C72EB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 a </w:t>
          </w:r>
          <w:proofErr w:type="spellStart"/>
          <w:r w:rsidRPr="00C72EB1">
            <w:rPr>
              <w:rFonts w:ascii="Arial" w:hAnsi="Arial" w:cs="Arial"/>
              <w:b/>
              <w:sz w:val="28"/>
              <w:szCs w:val="28"/>
              <w:lang w:val="pt-PT"/>
            </w:rPr>
            <w:t>Faurecia</w:t>
          </w:r>
          <w:proofErr w:type="spellEnd"/>
          <w:r w:rsidR="00C72EB1" w:rsidRPr="00C72EB1">
            <w:rPr>
              <w:rFonts w:ascii="Arial" w:hAnsi="Arial" w:cs="Arial"/>
              <w:b/>
              <w:sz w:val="28"/>
              <w:szCs w:val="28"/>
              <w:lang w:val="pt-PT"/>
            </w:rPr>
            <w:br/>
            <w:t>e a</w:t>
          </w:r>
          <w:r w:rsidRPr="00C72EB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Michelin </w:t>
          </w:r>
          <w:r w:rsidR="00C72EB1" w:rsidRPr="00C72EB1">
            <w:rPr>
              <w:rFonts w:ascii="Arial" w:hAnsi="Arial" w:cs="Arial"/>
              <w:b/>
              <w:sz w:val="28"/>
              <w:szCs w:val="28"/>
              <w:lang w:val="pt-PT"/>
            </w:rPr>
            <w:t>na</w:t>
          </w:r>
          <w:r w:rsidRPr="00C72EB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proofErr w:type="spellStart"/>
          <w:r w:rsidRPr="00C72EB1">
            <w:rPr>
              <w:rFonts w:ascii="Arial" w:hAnsi="Arial" w:cs="Arial"/>
              <w:b/>
              <w:sz w:val="28"/>
              <w:szCs w:val="28"/>
              <w:lang w:val="pt-PT"/>
            </w:rPr>
            <w:t>Symbio</w:t>
          </w:r>
          <w:proofErr w:type="spellEnd"/>
          <w:r w:rsidRPr="00C72EB1">
            <w:rPr>
              <w:rFonts w:ascii="Arial" w:hAnsi="Arial" w:cs="Arial"/>
              <w:b/>
              <w:sz w:val="28"/>
              <w:szCs w:val="28"/>
              <w:lang w:val="pt-PT"/>
            </w:rPr>
            <w:t>, líder e</w:t>
          </w:r>
          <w:r w:rsidR="00C72EB1" w:rsidRPr="00C72EB1">
            <w:rPr>
              <w:rFonts w:ascii="Arial" w:hAnsi="Arial" w:cs="Arial"/>
              <w:b/>
              <w:sz w:val="28"/>
              <w:szCs w:val="28"/>
              <w:lang w:val="pt-PT"/>
            </w:rPr>
            <w:t>m</w:t>
          </w:r>
          <w:r w:rsidRPr="00C72EB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mo</w:t>
          </w:r>
          <w:r w:rsidR="00C72EB1" w:rsidRPr="00C72EB1">
            <w:rPr>
              <w:rFonts w:ascii="Arial" w:hAnsi="Arial" w:cs="Arial"/>
              <w:b/>
              <w:sz w:val="28"/>
              <w:szCs w:val="28"/>
              <w:lang w:val="pt-PT"/>
            </w:rPr>
            <w:t>b</w:t>
          </w:r>
          <w:r w:rsidRPr="00C72EB1">
            <w:rPr>
              <w:rFonts w:ascii="Arial" w:hAnsi="Arial" w:cs="Arial"/>
              <w:b/>
              <w:sz w:val="28"/>
              <w:szCs w:val="28"/>
              <w:lang w:val="pt-PT"/>
            </w:rPr>
            <w:t>ilidad</w:t>
          </w:r>
          <w:r w:rsidR="00C72EB1" w:rsidRPr="00C72EB1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C72EB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bas</w:t>
          </w:r>
          <w:r w:rsidR="00C72EB1" w:rsidRPr="00C72EB1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C72EB1">
            <w:rPr>
              <w:rFonts w:ascii="Arial" w:hAnsi="Arial" w:cs="Arial"/>
              <w:b/>
              <w:sz w:val="28"/>
              <w:szCs w:val="28"/>
              <w:lang w:val="pt-PT"/>
            </w:rPr>
            <w:t>ada</w:t>
          </w:r>
          <w:r w:rsidR="00C72EB1" w:rsidRPr="00C72EB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no </w:t>
          </w:r>
          <w:r w:rsidRPr="00C72EB1">
            <w:rPr>
              <w:rFonts w:ascii="Arial" w:hAnsi="Arial" w:cs="Arial"/>
              <w:b/>
              <w:sz w:val="28"/>
              <w:szCs w:val="28"/>
              <w:lang w:val="pt-PT"/>
            </w:rPr>
            <w:t>hidr</w:t>
          </w:r>
          <w:r w:rsidR="00C72EB1" w:rsidRPr="00C72EB1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C72EB1">
            <w:rPr>
              <w:rFonts w:ascii="Arial" w:hAnsi="Arial" w:cs="Arial"/>
              <w:b/>
              <w:sz w:val="28"/>
              <w:szCs w:val="28"/>
              <w:lang w:val="pt-PT"/>
            </w:rPr>
            <w:t>g</w:t>
          </w:r>
          <w:r w:rsidR="00C72EB1" w:rsidRPr="00C72EB1">
            <w:rPr>
              <w:rFonts w:ascii="Arial" w:hAnsi="Arial" w:cs="Arial"/>
              <w:b/>
              <w:sz w:val="28"/>
              <w:szCs w:val="28"/>
              <w:lang w:val="pt-PT"/>
            </w:rPr>
            <w:t>é</w:t>
          </w:r>
          <w:r w:rsidRPr="00C72EB1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C72EB1" w:rsidRPr="00C72EB1">
            <w:rPr>
              <w:rFonts w:ascii="Arial" w:hAnsi="Arial" w:cs="Arial"/>
              <w:b/>
              <w:sz w:val="28"/>
              <w:szCs w:val="28"/>
              <w:lang w:val="pt-PT"/>
            </w:rPr>
            <w:t>i</w:t>
          </w:r>
          <w:r w:rsidRPr="00C72EB1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</w:p>
        <w:p w14:paraId="5614BB42" w14:textId="274536E7" w:rsidR="006D398C" w:rsidRPr="00C72EB1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1DE4946E" w14:textId="77777777" w:rsidR="00AB5624" w:rsidRPr="00C72EB1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2483CB2" w14:textId="44B038A1" w:rsidR="00683588" w:rsidRPr="00C72EB1" w:rsidRDefault="0083752C" w:rsidP="0068358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Faurecia</w:t>
          </w:r>
          <w:proofErr w:type="spellEnd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, pertencente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grupo FORVIA,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a </w:t>
          </w:r>
          <w:proofErr w:type="spellStart"/>
          <w:r w:rsidR="007A6CA1" w:rsidRPr="00C72EB1">
            <w:rPr>
              <w:rFonts w:ascii="Arial" w:hAnsi="Arial" w:cs="Arial"/>
              <w:sz w:val="20"/>
              <w:szCs w:val="20"/>
              <w:lang w:val="pt-PT"/>
            </w:rPr>
            <w:t>Stellantis</w:t>
          </w:r>
          <w:proofErr w:type="spellEnd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anuncia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a assinatura de um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ac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rdo vincula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tivo </w:t>
          </w:r>
          <w:r w:rsidR="007A6CA1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que permitirá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proofErr w:type="spellStart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Stellantis</w:t>
          </w:r>
          <w:proofErr w:type="spellEnd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adqui</w:t>
          </w:r>
          <w:r w:rsidR="007A6CA1" w:rsidRPr="00C72EB1">
            <w:rPr>
              <w:rFonts w:ascii="Arial" w:hAnsi="Arial" w:cs="Arial"/>
              <w:sz w:val="20"/>
              <w:szCs w:val="20"/>
              <w:lang w:val="pt-PT"/>
            </w:rPr>
            <w:t>rir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33,3%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A6CA1" w:rsidRPr="00C72EB1">
            <w:rPr>
              <w:rFonts w:ascii="Arial" w:hAnsi="Arial" w:cs="Arial"/>
              <w:sz w:val="20"/>
              <w:szCs w:val="20"/>
              <w:lang w:val="pt-PT"/>
            </w:rPr>
            <w:t>y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mb</w:t>
          </w:r>
          <w:r w:rsidR="007A6CA1" w:rsidRPr="00C72EB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o</w:t>
          </w:r>
          <w:proofErr w:type="spellEnd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, líder </w:t>
          </w:r>
          <w:r>
            <w:rPr>
              <w:rFonts w:ascii="Arial" w:hAnsi="Arial" w:cs="Arial"/>
              <w:sz w:val="20"/>
              <w:szCs w:val="20"/>
              <w:lang w:val="pt-PT"/>
            </w:rPr>
            <w:t>em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proofErr w:type="spellStart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hidrógen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o</w:t>
          </w:r>
          <w:proofErr w:type="spellEnd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>
            <w:rPr>
              <w:rFonts w:ascii="Arial" w:hAnsi="Arial" w:cs="Arial"/>
              <w:sz w:val="20"/>
              <w:szCs w:val="20"/>
              <w:lang w:val="pt-PT"/>
            </w:rPr>
            <w:t>m z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ero emis</w:t>
          </w:r>
          <w:r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es.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Faurecia</w:t>
          </w:r>
          <w:proofErr w:type="spellEnd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e a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proofErr w:type="spellStart"/>
          <w:r>
            <w:rPr>
              <w:rFonts w:ascii="Arial" w:hAnsi="Arial" w:cs="Arial"/>
              <w:sz w:val="20"/>
              <w:szCs w:val="20"/>
              <w:lang w:val="pt-PT"/>
            </w:rPr>
            <w:t>continuaráo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 a ser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acionistas,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cada qual com uma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participa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de 33,3%.</w:t>
          </w:r>
          <w:r w:rsidR="00D221A7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Este an</w:t>
          </w:r>
          <w:r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ncio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representa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importante avanço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para a descarboniza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sector da 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e,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reflete a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experi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ncia tecnológica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Symbio</w:t>
          </w:r>
          <w:proofErr w:type="spellEnd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inova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de pil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as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combustível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hidrogéni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o.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A6CA1" w:rsidRPr="00C72EB1">
            <w:rPr>
              <w:rFonts w:ascii="Arial" w:hAnsi="Arial" w:cs="Arial"/>
              <w:sz w:val="20"/>
              <w:szCs w:val="20"/>
              <w:lang w:val="pt-PT"/>
            </w:rPr>
            <w:t>incorpora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Stellantis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, enquanto </w:t>
          </w:r>
          <w:r w:rsidR="007A6CA1" w:rsidRPr="00C72EB1">
            <w:rPr>
              <w:rFonts w:ascii="Arial" w:hAnsi="Arial" w:cs="Arial"/>
              <w:sz w:val="20"/>
              <w:szCs w:val="20"/>
              <w:lang w:val="pt-PT"/>
            </w:rPr>
            <w:t>acionista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A6CA1" w:rsidRPr="00C72EB1">
            <w:rPr>
              <w:rFonts w:ascii="Arial" w:hAnsi="Arial" w:cs="Arial"/>
              <w:sz w:val="20"/>
              <w:szCs w:val="20"/>
              <w:lang w:val="pt-PT"/>
            </w:rPr>
            <w:t>impuls</w:t>
          </w:r>
          <w:r>
            <w:rPr>
              <w:rFonts w:ascii="Arial" w:hAnsi="Arial" w:cs="Arial"/>
              <w:sz w:val="20"/>
              <w:szCs w:val="20"/>
              <w:lang w:val="pt-PT"/>
            </w:rPr>
            <w:t>ion</w:t>
          </w:r>
          <w:r w:rsidR="007A6CA1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ará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desenvolvimento </w:t>
          </w:r>
          <w:r w:rsidR="007A6CA1" w:rsidRPr="00C72EB1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7A6CA1" w:rsidRPr="00C72EB1">
            <w:rPr>
              <w:rFonts w:ascii="Arial" w:hAnsi="Arial" w:cs="Arial"/>
              <w:sz w:val="20"/>
              <w:szCs w:val="20"/>
              <w:lang w:val="pt-PT"/>
            </w:rPr>
            <w:t>Symbio</w:t>
          </w:r>
          <w:proofErr w:type="spellEnd"/>
          <w:r w:rsidR="007A6CA1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Europa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nos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Estados Unidos.</w:t>
          </w:r>
        </w:p>
        <w:p w14:paraId="584D5D4B" w14:textId="77777777" w:rsidR="00683588" w:rsidRPr="00C72EB1" w:rsidRDefault="00683588" w:rsidP="0068358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B00DDFD" w14:textId="0B1D5323" w:rsidR="00683588" w:rsidRPr="00C72EB1" w:rsidRDefault="007A6CA1" w:rsidP="0068358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aquisi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u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participa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igualitária na </w:t>
          </w:r>
          <w:proofErr w:type="spellStart"/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Symbio</w:t>
          </w:r>
          <w:proofErr w:type="spellEnd"/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fortalecerá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nossa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posi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lidera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nça no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campo dos veículos 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hidrogéni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e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apo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ará 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nossa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produ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furgões a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pil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de 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combustível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Fran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além 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complementar 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na perfeição a nossa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cr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cente cart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ei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ra de modelos elétricos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bater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ia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, declar</w:t>
          </w:r>
          <w:r w:rsidR="0083752C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Carlos Tavares, </w:t>
          </w:r>
          <w:r w:rsidR="0083752C">
            <w:rPr>
              <w:rFonts w:ascii="Arial" w:hAnsi="Arial" w:cs="Arial"/>
              <w:sz w:val="20"/>
              <w:szCs w:val="20"/>
              <w:lang w:val="pt-PT"/>
            </w:rPr>
            <w:t xml:space="preserve">CEO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83752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Stellantis</w:t>
          </w:r>
          <w:proofErr w:type="spellEnd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À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medida que 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fazemos avançar o nosso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plan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‘</w:t>
          </w:r>
          <w:proofErr w:type="spellStart"/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Dare</w:t>
          </w:r>
          <w:proofErr w:type="spellEnd"/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Forward</w:t>
          </w:r>
          <w:proofErr w:type="spellEnd"/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2030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’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estando no caminho 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alcan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ar 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neutr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alidade carbónica em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2038, estamos 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levar em 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considera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todas as solu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çõ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 tecnológicas a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nosso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alcance para 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combat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aquecimento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global. 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este sentido,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pil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de 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combustível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hidrogéni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são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sencia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a </w:t>
          </w:r>
          <w:proofErr w:type="spellStart"/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Symbio</w:t>
          </w:r>
          <w:proofErr w:type="spellEnd"/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tornar-se-á num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importante 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ator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nest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combate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proteger as gera</w:t>
          </w:r>
          <w:r w:rsidR="0083752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futuras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Pr="00C72EB1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B510149" w14:textId="77777777" w:rsidR="00683588" w:rsidRPr="00C72EB1" w:rsidRDefault="00683588" w:rsidP="0068358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DAB2735" w14:textId="69E5297F" w:rsidR="00683588" w:rsidRPr="00C72EB1" w:rsidRDefault="0083752C" w:rsidP="0068358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Symbio</w:t>
          </w:r>
          <w:proofErr w:type="spellEnd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prev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ê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ir 50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000 pil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as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combustível por ano até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2025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A6CA1" w:rsidRPr="00C72EB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través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giga</w:t>
          </w:r>
          <w:r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f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ábrica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de última gera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de Saint-</w:t>
          </w:r>
          <w:proofErr w:type="spellStart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Fons</w:t>
          </w:r>
          <w:proofErr w:type="spellEnd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, cu</w:t>
          </w:r>
          <w:r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221A7" w:rsidRPr="00C72EB1">
            <w:rPr>
              <w:rFonts w:ascii="Arial" w:hAnsi="Arial" w:cs="Arial"/>
              <w:sz w:val="20"/>
              <w:szCs w:val="20"/>
              <w:lang w:val="pt-PT"/>
            </w:rPr>
            <w:t>entrada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D221A7" w:rsidRPr="00C72EB1">
            <w:rPr>
              <w:rFonts w:ascii="Arial" w:hAnsi="Arial" w:cs="Arial"/>
              <w:sz w:val="20"/>
              <w:szCs w:val="20"/>
              <w:lang w:val="pt-PT"/>
            </w:rPr>
            <w:t>funcionamento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está prevista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segundo semestre de 2023.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2022,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Symbio</w:t>
          </w:r>
          <w:proofErr w:type="spellEnd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anunci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 xml:space="preserve">a implementação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u pr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>oje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to </w:t>
          </w:r>
          <w:proofErr w:type="spellStart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HyMotive</w:t>
          </w:r>
          <w:proofErr w:type="spellEnd"/>
          <w:r w:rsidR="00B615B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A6CA1" w:rsidRPr="00C72EB1">
            <w:rPr>
              <w:rFonts w:ascii="Arial" w:hAnsi="Arial" w:cs="Arial"/>
              <w:sz w:val="20"/>
              <w:szCs w:val="20"/>
              <w:lang w:val="pt-PT"/>
            </w:rPr>
            <w:t>destinado a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acelerar 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industrializa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 xml:space="preserve">ção, e o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de inova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disruptivas, 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que permitirá 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empresa alcan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ar una capacidad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de produ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anual total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Fran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de 100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000 sistemas para 2028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la cr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de 1000 p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stos de traba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país.</w:t>
          </w:r>
        </w:p>
        <w:p w14:paraId="3A0C065A" w14:textId="77777777" w:rsidR="00683588" w:rsidRPr="00C72EB1" w:rsidRDefault="00683588" w:rsidP="0068358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A5C8C53" w14:textId="091D56C4" w:rsidR="00683588" w:rsidRPr="00C72EB1" w:rsidRDefault="00D221A7" w:rsidP="0068358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Estamos encantados co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esta transa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que refor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ará as capacidades atua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is da </w:t>
          </w:r>
          <w:proofErr w:type="spellStart"/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Symbio</w:t>
          </w:r>
          <w:proofErr w:type="spellEnd"/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e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ará u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impulso adicional 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à nossa joint-venture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proofErr w:type="spellStart"/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Symbio</w:t>
          </w:r>
          <w:proofErr w:type="spellEnd"/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está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ora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perfe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tamente equipada para des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envolver, e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refor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ar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a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su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lidera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nça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ra de Europa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à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medida que ind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ú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stria automóv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 acelera 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estratégias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emis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sões z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ero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 xml:space="preserve">afirmou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Patrick Koller, 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 xml:space="preserve">CEO 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proofErr w:type="spellStart"/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Faurecia</w:t>
          </w:r>
          <w:proofErr w:type="spellEnd"/>
          <w:r w:rsidR="00B615BB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Ben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é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fico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todas as partes, este ac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rdo permite 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à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FORVIA confirmar 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 estatu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to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líder mundial e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mo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limpa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B803FFE" w14:textId="77777777" w:rsidR="00683588" w:rsidRPr="00C72EB1" w:rsidRDefault="00683588" w:rsidP="0068358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223C639" w14:textId="0CAE15B2" w:rsidR="00683588" w:rsidRPr="00C72EB1" w:rsidRDefault="00D221A7" w:rsidP="0068358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72EB1">
            <w:rPr>
              <w:rFonts w:ascii="Arial" w:hAnsi="Arial" w:cs="Arial"/>
              <w:sz w:val="20"/>
              <w:szCs w:val="20"/>
              <w:lang w:val="pt-PT"/>
            </w:rPr>
            <w:t>Por s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C72EB1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>turno</w:t>
          </w:r>
          <w:r w:rsidRPr="00C72EB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proofErr w:type="spellStart"/>
          <w:r w:rsidRPr="00C72EB1">
            <w:rPr>
              <w:rFonts w:ascii="Arial" w:hAnsi="Arial" w:cs="Arial"/>
              <w:sz w:val="20"/>
              <w:szCs w:val="20"/>
              <w:lang w:val="pt-PT"/>
            </w:rPr>
            <w:t>Florent</w:t>
          </w:r>
          <w:proofErr w:type="spellEnd"/>
          <w:r w:rsidRPr="00C72EB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C72EB1">
            <w:rPr>
              <w:rFonts w:ascii="Arial" w:hAnsi="Arial" w:cs="Arial"/>
              <w:sz w:val="20"/>
              <w:szCs w:val="20"/>
              <w:lang w:val="pt-PT"/>
            </w:rPr>
            <w:t>Menegaux</w:t>
          </w:r>
          <w:proofErr w:type="spellEnd"/>
          <w:r w:rsidRPr="00C72EB1">
            <w:rPr>
              <w:rFonts w:ascii="Arial" w:hAnsi="Arial" w:cs="Arial"/>
              <w:sz w:val="20"/>
              <w:szCs w:val="20"/>
              <w:lang w:val="pt-PT"/>
            </w:rPr>
            <w:t>, presidente d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C72EB1">
            <w:rPr>
              <w:rFonts w:ascii="Arial" w:hAnsi="Arial" w:cs="Arial"/>
              <w:sz w:val="20"/>
              <w:szCs w:val="20"/>
              <w:lang w:val="pt-PT"/>
            </w:rPr>
            <w:t>grupo Michelin, declar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Pr="00C72EB1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entrada d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Stellantis</w:t>
          </w:r>
          <w:proofErr w:type="spellEnd"/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no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capital d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Symbio</w:t>
          </w:r>
          <w:proofErr w:type="spellEnd"/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um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enorme acelerador d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desenvolvimento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nossa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filial conjunta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Este ac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rdo 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també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dem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on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stra 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importância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da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tecnologia 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da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pil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de 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combustível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hidrogéni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para 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ê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xito da el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trifica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do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setor da mo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e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particular para 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utilização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prof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is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sional. 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proofErr w:type="spellStart"/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Stellantis</w:t>
          </w:r>
          <w:proofErr w:type="spellEnd"/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já um parceiro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ele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ição, e,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partir de a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ora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será u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ator c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ave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junt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amente connosco, no 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futuro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Por último, esta transa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ref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orça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convi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cção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 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tem há muito,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hidrogénio 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será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proofErr w:type="spellEnd"/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solu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 inevitáveis </w:t>
          </w:r>
          <w:r w:rsidR="00683588"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a descarboniza</w:t>
          </w:r>
          <w:r w:rsidR="00B615B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Pr="00C72EB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683588" w:rsidRPr="00C72EB1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1782F1C" w14:textId="77777777" w:rsidR="00683588" w:rsidRPr="00C72EB1" w:rsidRDefault="00683588" w:rsidP="0068358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FA2F289" w14:textId="51B52AD3" w:rsidR="00683588" w:rsidRPr="00C72EB1" w:rsidRDefault="00683588" w:rsidP="0068358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72EB1">
            <w:rPr>
              <w:rFonts w:ascii="Arial" w:hAnsi="Arial" w:cs="Arial"/>
              <w:sz w:val="20"/>
              <w:szCs w:val="20"/>
              <w:lang w:val="pt-PT"/>
            </w:rPr>
            <w:t>Suje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C72EB1">
            <w:rPr>
              <w:rFonts w:ascii="Arial" w:hAnsi="Arial" w:cs="Arial"/>
              <w:sz w:val="20"/>
              <w:szCs w:val="20"/>
              <w:lang w:val="pt-PT"/>
            </w:rPr>
            <w:t xml:space="preserve">ta 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 xml:space="preserve">às habituais aprovações </w:t>
          </w:r>
          <w:r w:rsidRPr="00C72EB1">
            <w:rPr>
              <w:rFonts w:ascii="Arial" w:hAnsi="Arial" w:cs="Arial"/>
              <w:sz w:val="20"/>
              <w:szCs w:val="20"/>
              <w:lang w:val="pt-PT"/>
            </w:rPr>
            <w:t>reg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C72EB1">
            <w:rPr>
              <w:rFonts w:ascii="Arial" w:hAnsi="Arial" w:cs="Arial"/>
              <w:sz w:val="20"/>
              <w:szCs w:val="20"/>
              <w:lang w:val="pt-PT"/>
            </w:rPr>
            <w:t>lamentarias, espera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 xml:space="preserve">-se </w:t>
          </w:r>
          <w:r w:rsidRPr="00C72EB1">
            <w:rPr>
              <w:rFonts w:ascii="Arial" w:hAnsi="Arial" w:cs="Arial"/>
              <w:sz w:val="20"/>
              <w:szCs w:val="20"/>
              <w:lang w:val="pt-PT"/>
            </w:rPr>
            <w:t>que a transa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 xml:space="preserve">ção esteja encerrada no </w:t>
          </w:r>
          <w:r w:rsidRPr="00C72EB1">
            <w:rPr>
              <w:rFonts w:ascii="Arial" w:hAnsi="Arial" w:cs="Arial"/>
              <w:sz w:val="20"/>
              <w:szCs w:val="20"/>
              <w:lang w:val="pt-PT"/>
            </w:rPr>
            <w:t>terce</w:t>
          </w:r>
          <w:r w:rsidR="00B615BB">
            <w:rPr>
              <w:rFonts w:ascii="Arial" w:hAnsi="Arial" w:cs="Arial"/>
              <w:sz w:val="20"/>
              <w:szCs w:val="20"/>
              <w:lang w:val="pt-PT"/>
            </w:rPr>
            <w:t xml:space="preserve">iro </w:t>
          </w:r>
          <w:r w:rsidRPr="00C72EB1">
            <w:rPr>
              <w:rFonts w:ascii="Arial" w:hAnsi="Arial" w:cs="Arial"/>
              <w:sz w:val="20"/>
              <w:szCs w:val="20"/>
              <w:lang w:val="pt-PT"/>
            </w:rPr>
            <w:t>trimestre de 2023.</w:t>
          </w:r>
        </w:p>
        <w:p w14:paraId="0845981D" w14:textId="77777777" w:rsidR="00422E33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45BF55B" w14:textId="77777777" w:rsidR="005A1ECF" w:rsidRDefault="005A1ECF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9AFFBBE" w14:textId="77777777" w:rsidR="005A1ECF" w:rsidRPr="00C72EB1" w:rsidRDefault="005A1ECF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075645C" w14:textId="6870E22C" w:rsidR="00D221A7" w:rsidRPr="00C72EB1" w:rsidRDefault="00B615BB" w:rsidP="00D221A7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lastRenderedPageBreak/>
            <w:t>Sobre a</w:t>
          </w:r>
          <w:r w:rsidR="00D221A7" w:rsidRPr="00C72EB1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 xml:space="preserve"> </w:t>
          </w:r>
          <w:proofErr w:type="spellStart"/>
          <w:r w:rsidR="00D221A7" w:rsidRPr="00C72EB1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>Symbio</w:t>
          </w:r>
          <w:proofErr w:type="spellEnd"/>
          <w:r w:rsidR="00D221A7" w:rsidRPr="00C72EB1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 xml:space="preserve">  </w:t>
          </w:r>
        </w:p>
        <w:p w14:paraId="42980FD6" w14:textId="6A7ABF3D" w:rsidR="00D221A7" w:rsidRPr="00C72EB1" w:rsidRDefault="00B615BB" w:rsidP="00D221A7">
          <w:pPr>
            <w:jc w:val="both"/>
            <w:rPr>
              <w:rFonts w:ascii="Arial" w:hAnsi="Arial" w:cs="Arial"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proofErr w:type="spellStart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Symbio</w:t>
          </w:r>
          <w:proofErr w:type="spellEnd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,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uma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joint-venture da </w:t>
          </w:r>
          <w:proofErr w:type="spellStart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Faurecia</w:t>
          </w:r>
          <w:proofErr w:type="spellEnd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 da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Michelin,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é um parceiro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inovador líder para os pione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ros da mo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b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ilidad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, co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mais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de 30 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n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os de experi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ê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ncia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e mais de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6 mil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hõ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es de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qu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ilómetros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per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corridos. Refer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ê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ncia mundial e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sistemas de pil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h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de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combustível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hidrogéni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proofErr w:type="spellStart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Symbio</w:t>
          </w:r>
          <w:proofErr w:type="spellEnd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combina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lidera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nça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industrial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e a excelência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m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inova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ção,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co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a agilidad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empresarial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,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para of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recer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solu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çõ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es de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mo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b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ilidad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em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emis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sõ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es.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Seja em estrada,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o</w:t>
          </w:r>
          <w:r w:rsidR="00BB705D">
            <w:rPr>
              <w:rFonts w:ascii="Arial" w:hAnsi="Arial" w:cs="Arial"/>
              <w:iCs/>
              <w:sz w:val="16"/>
              <w:szCs w:val="16"/>
              <w:lang w:val="pt-PT"/>
            </w:rPr>
            <w:t>u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f</w:t>
          </w:r>
          <w:r w:rsidR="00BB705D">
            <w:rPr>
              <w:rFonts w:ascii="Arial" w:hAnsi="Arial" w:cs="Arial"/>
              <w:iCs/>
              <w:sz w:val="16"/>
              <w:szCs w:val="16"/>
              <w:lang w:val="pt-PT"/>
            </w:rPr>
            <w:t>o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ra d</w:t>
          </w:r>
          <w:r w:rsidR="00BB705D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la, </w:t>
          </w:r>
          <w:r w:rsidR="00BB705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su</w:t>
          </w:r>
          <w:r w:rsidR="00BB705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ampla gama de sistemas compactos de pil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h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de 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combustível </w:t>
          </w:r>
          <w:proofErr w:type="spellStart"/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StackPack</w:t>
          </w:r>
          <w:proofErr w:type="spellEnd"/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satisfa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z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todos os requisitos de pot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ê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ncia, durabilidad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 e autonomia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de v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ículos comercia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s lige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ros, auto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carros e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cami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õ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es, equip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ament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os logísticos o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u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v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ículos de pa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sa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gei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ros. 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proofErr w:type="spellStart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Symbio</w:t>
          </w:r>
          <w:proofErr w:type="spellEnd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é parceira da </w:t>
          </w:r>
          <w:proofErr w:type="spellStart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Stellantis</w:t>
          </w:r>
          <w:proofErr w:type="spellEnd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na implementação do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prime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iro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programa mundial de veículos comercia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s lige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ros impuls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ion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ados p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elo hidrogénio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. 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proofErr w:type="spellStart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Symbio</w:t>
          </w:r>
          <w:proofErr w:type="spellEnd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c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o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nta co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mais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de 700 emp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r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ga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dos comprometidos co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a constru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ção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de u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futuro positivo, a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j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udando 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os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s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us clientes a acelerar 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implementação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de u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m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a mo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b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ilidad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limpa que respe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te 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meio ambiente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sem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comprometer 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a performance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. 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gama H2Motive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,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d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a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proofErr w:type="spellStart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Symbio</w:t>
          </w:r>
          <w:proofErr w:type="spellEnd"/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c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o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bre todas as nece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sidades de pot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ê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ncia 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durabilidad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através de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sistemas </w:t>
          </w:r>
          <w:proofErr w:type="spellStart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monopil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ha</w:t>
          </w:r>
          <w:proofErr w:type="spellEnd"/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e </w:t>
          </w:r>
          <w:proofErr w:type="spellStart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multipil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h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a</w:t>
          </w:r>
          <w:proofErr w:type="spellEnd"/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concedidos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co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os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diversos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sistemas a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sociados de gest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ão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da 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energia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, unidades de control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o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eletrónico, refrigera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>ção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circuitos de ar e 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hidrogénio,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que gera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e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controla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C71E9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energia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elétrica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(</w:t>
          </w:r>
          <w:hyperlink r:id="rId8" w:history="1">
            <w:r w:rsidR="00456DDE" w:rsidRPr="00C72EB1">
              <w:rPr>
                <w:rStyle w:val="Hyperlink"/>
                <w:rFonts w:ascii="Arial" w:hAnsi="Arial" w:cs="Arial"/>
                <w:iCs/>
                <w:sz w:val="16"/>
                <w:szCs w:val="16"/>
                <w:lang w:val="pt-PT"/>
              </w:rPr>
              <w:t>www.symbio.one</w:t>
            </w:r>
          </w:hyperlink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).</w:t>
          </w:r>
        </w:p>
        <w:p w14:paraId="65948345" w14:textId="77777777" w:rsidR="00456DDE" w:rsidRPr="00C72EB1" w:rsidRDefault="00456DDE" w:rsidP="00D221A7">
          <w:pPr>
            <w:jc w:val="both"/>
            <w:rPr>
              <w:rFonts w:ascii="Arial" w:hAnsi="Arial" w:cs="Arial"/>
              <w:iCs/>
              <w:sz w:val="16"/>
              <w:szCs w:val="16"/>
              <w:lang w:val="pt-PT"/>
            </w:rPr>
          </w:pPr>
        </w:p>
        <w:p w14:paraId="5EA46C97" w14:textId="77777777" w:rsidR="00D221A7" w:rsidRPr="00C72EB1" w:rsidRDefault="00D221A7" w:rsidP="00D221A7">
          <w:pPr>
            <w:jc w:val="both"/>
            <w:rPr>
              <w:rFonts w:ascii="Arial" w:hAnsi="Arial" w:cs="Arial"/>
              <w:iCs/>
              <w:sz w:val="16"/>
              <w:szCs w:val="16"/>
              <w:lang w:val="pt-PT"/>
            </w:rPr>
          </w:pPr>
        </w:p>
        <w:p w14:paraId="64E6D39D" w14:textId="65B5DC63" w:rsidR="00D221A7" w:rsidRPr="00C72EB1" w:rsidRDefault="00C71E9E" w:rsidP="00D221A7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>Sobre a</w:t>
          </w:r>
          <w:r w:rsidR="00D221A7" w:rsidRPr="00C72EB1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 xml:space="preserve"> </w:t>
          </w:r>
          <w:proofErr w:type="spellStart"/>
          <w:r w:rsidR="00D221A7" w:rsidRPr="00C72EB1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>Stellantis</w:t>
          </w:r>
          <w:proofErr w:type="spellEnd"/>
        </w:p>
        <w:p w14:paraId="06512A6C" w14:textId="47154EF3" w:rsidR="00D221A7" w:rsidRPr="00C72EB1" w:rsidRDefault="00C71E9E" w:rsidP="00D221A7">
          <w:pPr>
            <w:jc w:val="both"/>
            <w:rPr>
              <w:rFonts w:ascii="Arial" w:hAnsi="Arial" w:cs="Arial"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proofErr w:type="spellStart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Stellantis</w:t>
          </w:r>
          <w:proofErr w:type="spellEnd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N.V. (NYSE: STLA / </w:t>
          </w:r>
          <w:proofErr w:type="spellStart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Euronext</w:t>
          </w:r>
          <w:proofErr w:type="spellEnd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proofErr w:type="spellStart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Milán</w:t>
          </w:r>
          <w:proofErr w:type="spellEnd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: STLAM / </w:t>
          </w:r>
          <w:proofErr w:type="spellStart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Euronext</w:t>
          </w:r>
          <w:proofErr w:type="spellEnd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proofErr w:type="spellStart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París</w:t>
          </w:r>
          <w:proofErr w:type="spellEnd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: STLAP)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é um d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os principa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s fabricantes de automóv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eis, e um dos principais fornecedores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de servi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ços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de mo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b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ilidad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e, do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mundo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.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As nossas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marcas históricas 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emblemáticas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encarn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am a paixão dos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us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visionários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fundadores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, e d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os clientes de </w:t>
          </w:r>
          <w:proofErr w:type="gramStart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ho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je em dia</w:t>
          </w:r>
          <w:proofErr w:type="gramEnd"/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nos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us produtos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servi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ç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os inovadores, inclu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ndo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proofErr w:type="spellStart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Abarth</w:t>
          </w:r>
          <w:proofErr w:type="spellEnd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Alfa Romeo,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Chrysler,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proofErr w:type="spellStart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Citroën</w:t>
          </w:r>
          <w:proofErr w:type="spellEnd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Dodge,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DS </w:t>
          </w:r>
          <w:proofErr w:type="spellStart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Automobiles</w:t>
          </w:r>
          <w:proofErr w:type="spellEnd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Fiat,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Jeep®,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Lancia,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Maserati,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Opel,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Peugeot,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proofErr w:type="spellStart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Ram</w:t>
          </w:r>
          <w:proofErr w:type="spellEnd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proofErr w:type="spellStart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Vauxhall</w:t>
          </w:r>
          <w:proofErr w:type="spellEnd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Free2move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 a </w:t>
          </w:r>
          <w:proofErr w:type="spellStart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Leasys</w:t>
          </w:r>
          <w:proofErr w:type="spellEnd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. Impuls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ion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ados p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ela nossa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diversidad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estamos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dar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forma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à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mo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b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ilidad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do amanhã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.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 nosso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objetivo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é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convert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r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mo-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nos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na maior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empresa de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tecnologia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de mo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b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ilidad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sustentável, em termos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qu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alidad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e,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não de dimensão, </w:t>
          </w:r>
          <w:proofErr w:type="gramStart"/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ao mesmo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tempo que</w:t>
          </w:r>
          <w:proofErr w:type="gramEnd"/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cr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amos valor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acrescentado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para todas as partes intere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sadas, as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sim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como para as comunidades e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que opera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mos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. Para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mais 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informa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ção</w:t>
          </w:r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visite </w:t>
          </w:r>
          <w:hyperlink r:id="rId9" w:history="1">
            <w:r w:rsidR="00456DDE" w:rsidRPr="00C72EB1">
              <w:rPr>
                <w:rStyle w:val="Hyperlink"/>
                <w:rFonts w:ascii="Arial" w:hAnsi="Arial" w:cs="Arial"/>
                <w:iCs/>
                <w:sz w:val="16"/>
                <w:szCs w:val="16"/>
                <w:lang w:val="pt-PT"/>
              </w:rPr>
              <w:t>www.stellantis.com</w:t>
            </w:r>
          </w:hyperlink>
          <w:r w:rsidR="00D221A7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.</w:t>
          </w:r>
        </w:p>
        <w:p w14:paraId="12A71CEB" w14:textId="77777777" w:rsidR="00456DDE" w:rsidRPr="00C72EB1" w:rsidRDefault="00456DDE" w:rsidP="00D221A7">
          <w:pPr>
            <w:jc w:val="both"/>
            <w:rPr>
              <w:rFonts w:ascii="Arial" w:hAnsi="Arial" w:cs="Arial"/>
              <w:iCs/>
              <w:sz w:val="16"/>
              <w:szCs w:val="16"/>
              <w:lang w:val="pt-PT"/>
            </w:rPr>
          </w:pPr>
        </w:p>
        <w:p w14:paraId="5BC19D0C" w14:textId="77777777" w:rsidR="00456DDE" w:rsidRPr="00C72EB1" w:rsidRDefault="00456DDE" w:rsidP="00456DDE">
          <w:pPr>
            <w:jc w:val="both"/>
            <w:rPr>
              <w:rFonts w:ascii="Arial" w:hAnsi="Arial" w:cs="Arial"/>
              <w:iCs/>
              <w:sz w:val="16"/>
              <w:szCs w:val="16"/>
              <w:lang w:val="pt-PT"/>
            </w:rPr>
          </w:pPr>
        </w:p>
        <w:p w14:paraId="2DB2BC77" w14:textId="2EA9AF66" w:rsidR="00456DDE" w:rsidRPr="00C72EB1" w:rsidRDefault="00C71E9E" w:rsidP="00456DDE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 xml:space="preserve">Sobre a </w:t>
          </w:r>
          <w:r w:rsidR="00456DDE" w:rsidRPr="00C72EB1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 xml:space="preserve">FORVIA </w:t>
          </w:r>
          <w:proofErr w:type="spellStart"/>
          <w:r w:rsidR="00456DDE" w:rsidRPr="00C72EB1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>Faurecia</w:t>
          </w:r>
          <w:proofErr w:type="spellEnd"/>
        </w:p>
        <w:p w14:paraId="17AA446F" w14:textId="0F453B1B" w:rsidR="00456DDE" w:rsidRPr="00C72EB1" w:rsidRDefault="00C71E9E" w:rsidP="00456DDE">
          <w:pPr>
            <w:jc w:val="both"/>
            <w:rPr>
              <w:rFonts w:ascii="Arial" w:hAnsi="Arial" w:cs="Arial"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FORVIA reúne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as tecnologias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complementar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es e 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as forças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industria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s d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>a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proofErr w:type="spellStart"/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Faurecia</w:t>
          </w:r>
          <w:proofErr w:type="spellEnd"/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 da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HELLA. Co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mais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de 290 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fábricas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industria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s, 76 centros de I+D 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157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000 emp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>r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>g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ados, inclui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>n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do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mais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de 15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000 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engenheiros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de I+D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>,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e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mais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de 40 países, 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FORVIA of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rece u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ma abordagem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únic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>a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>abrangente a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os 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desafios do sector automóvel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de ho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>je e de amanhã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. </w:t>
          </w:r>
          <w:proofErr w:type="spellStart"/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Co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>m</w:t>
          </w:r>
          <w:proofErr w:type="spellEnd"/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seis grupos de neg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>ó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cio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e uma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carte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ra de prop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>r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iedad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intelectual de 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mais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de 14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000 patentes, 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FORVIA aspira a 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tornar-se no parceiro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de inova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ção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e integra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ção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preferido dos fabricantes de automóv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eis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de todo 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mundo. 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ambi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>ção da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FORVIA 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é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ser u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agente de 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mudança,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centrado 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no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futuro 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 na 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transforma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>ção d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a mo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>b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ilidad</w:t>
          </w:r>
          <w:r w:rsidR="005A1ECF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(</w:t>
          </w:r>
          <w:hyperlink r:id="rId10" w:history="1">
            <w:r w:rsidR="00456DDE" w:rsidRPr="00C72EB1">
              <w:rPr>
                <w:rStyle w:val="Hyperlink"/>
                <w:rFonts w:ascii="Arial" w:hAnsi="Arial" w:cs="Arial"/>
                <w:iCs/>
                <w:sz w:val="16"/>
                <w:szCs w:val="16"/>
                <w:lang w:val="pt-PT"/>
              </w:rPr>
              <w:t>www.forvia.com</w:t>
            </w:r>
          </w:hyperlink>
          <w:r w:rsidR="00456DDE" w:rsidRPr="00C72EB1">
            <w:rPr>
              <w:rFonts w:ascii="Arial" w:hAnsi="Arial" w:cs="Arial"/>
              <w:iCs/>
              <w:sz w:val="16"/>
              <w:szCs w:val="16"/>
              <w:lang w:val="pt-PT"/>
            </w:rPr>
            <w:t>).</w:t>
          </w:r>
        </w:p>
        <w:p w14:paraId="4BE97A51" w14:textId="19D29286" w:rsidR="00456DDE" w:rsidRPr="00C72EB1" w:rsidRDefault="00000000" w:rsidP="00D221A7">
          <w:pPr>
            <w:jc w:val="both"/>
            <w:rPr>
              <w:rFonts w:ascii="Arial" w:hAnsi="Arial" w:cs="Arial"/>
              <w:iCs/>
              <w:sz w:val="16"/>
              <w:szCs w:val="16"/>
              <w:lang w:val="pt-PT"/>
            </w:rPr>
          </w:pPr>
        </w:p>
      </w:sdtContent>
    </w:sdt>
    <w:p w14:paraId="7EBB8F56" w14:textId="77777777" w:rsidR="00456DDE" w:rsidRPr="00C72EB1" w:rsidRDefault="00456DDE" w:rsidP="00082115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1C6FCC37" w14:textId="77777777" w:rsidR="005A1ECF" w:rsidRPr="00C57F6C" w:rsidRDefault="005A1ECF" w:rsidP="005A1ECF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07FA0C1C" w14:textId="77777777" w:rsidR="005A1ECF" w:rsidRPr="009C49D3" w:rsidRDefault="005A1ECF" w:rsidP="005A1ECF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5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1</w:t>
      </w:r>
      <w:r>
        <w:rPr>
          <w:rFonts w:ascii="Arial" w:hAnsi="Arial" w:cs="Arial"/>
          <w:iCs/>
          <w:sz w:val="16"/>
          <w:szCs w:val="16"/>
          <w:lang w:val="pt-PT"/>
        </w:rPr>
        <w:t>32.000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que, em 202</w:t>
      </w:r>
      <w:r>
        <w:rPr>
          <w:rFonts w:ascii="Arial" w:hAnsi="Arial" w:cs="Arial"/>
          <w:iCs/>
          <w:sz w:val="16"/>
          <w:szCs w:val="16"/>
          <w:lang w:val="pt-PT"/>
        </w:rPr>
        <w:t>2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, fabricaram </w:t>
      </w:r>
      <w:r>
        <w:rPr>
          <w:rFonts w:ascii="Arial" w:hAnsi="Arial" w:cs="Arial"/>
          <w:iCs/>
          <w:sz w:val="16"/>
          <w:szCs w:val="16"/>
          <w:lang w:val="pt-PT"/>
        </w:rPr>
        <w:t xml:space="preserve">cerca de </w:t>
      </w:r>
      <w:r w:rsidRPr="009C49D3">
        <w:rPr>
          <w:rFonts w:ascii="Arial" w:hAnsi="Arial" w:cs="Arial"/>
          <w:iCs/>
          <w:sz w:val="16"/>
          <w:szCs w:val="16"/>
          <w:lang w:val="pt-PT"/>
        </w:rPr>
        <w:t>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11" w:history="1">
        <w:r w:rsidRPr="009C49D3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1EAF5582" w14:textId="77777777" w:rsidR="005A1ECF" w:rsidRPr="003D6C6D" w:rsidRDefault="005A1ECF" w:rsidP="005A1ECF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3D6C6D">
        <w:rPr>
          <w:rFonts w:ascii="Arial" w:hAnsi="Arial" w:cs="Arial"/>
          <w:sz w:val="16"/>
          <w:szCs w:val="16"/>
          <w:lang w:val="es-ES"/>
        </w:rPr>
        <w:tab/>
      </w:r>
    </w:p>
    <w:p w14:paraId="47700CB4" w14:textId="77777777" w:rsidR="005A1ECF" w:rsidRPr="003D6C6D" w:rsidRDefault="005A1ECF" w:rsidP="005A1EC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0A4433D" w14:textId="77777777" w:rsidR="005A1ECF" w:rsidRPr="003D6C6D" w:rsidRDefault="005A1ECF" w:rsidP="005A1EC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8B43994" w14:textId="77777777" w:rsidR="005A1ECF" w:rsidRPr="003D6C6D" w:rsidRDefault="005A1ECF" w:rsidP="005A1EC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511A202" w14:textId="77777777" w:rsidR="005A1ECF" w:rsidRPr="003D6C6D" w:rsidRDefault="005A1ECF" w:rsidP="005A1EC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080E5E4" w14:textId="77777777" w:rsidR="005A1ECF" w:rsidRPr="003D6C6D" w:rsidRDefault="005A1ECF" w:rsidP="005A1EC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C003A63" w14:textId="77777777" w:rsidR="005A1ECF" w:rsidRPr="003D6C6D" w:rsidRDefault="005A1ECF" w:rsidP="005A1EC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FCCCAA6" w14:textId="77777777" w:rsidR="005A1ECF" w:rsidRPr="003D6C6D" w:rsidRDefault="005A1ECF" w:rsidP="005A1ECF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3D6C6D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3E86FE3F" w14:textId="77777777" w:rsidR="005A1ECF" w:rsidRPr="003D6C6D" w:rsidRDefault="005A1ECF" w:rsidP="005A1EC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D6C6D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5BD49CB7" w14:textId="77777777" w:rsidR="005A1ECF" w:rsidRPr="003D6C6D" w:rsidRDefault="005A1ECF" w:rsidP="005A1EC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12" w:history="1">
        <w:r w:rsidRPr="003D6C6D">
          <w:rPr>
            <w:rStyle w:val="Hyperlink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068CEC8E" w14:textId="77777777" w:rsidR="005A1ECF" w:rsidRPr="003D6C6D" w:rsidRDefault="005A1ECF" w:rsidP="005A1ECF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0AB4BF00" wp14:editId="531019C6">
            <wp:extent cx="1612265" cy="177730"/>
            <wp:effectExtent l="0" t="0" r="635" b="635"/>
            <wp:docPr id="1" name="Image 75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A 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A1ECF" w:rsidRPr="003D6C6D" w14:paraId="27DFE797" w14:textId="77777777" w:rsidTr="00335552">
        <w:tc>
          <w:tcPr>
            <w:tcW w:w="9016" w:type="dxa"/>
          </w:tcPr>
          <w:p w14:paraId="675BAF6B" w14:textId="77777777" w:rsidR="005A1ECF" w:rsidRDefault="005A1ECF" w:rsidP="00335552">
            <w:pPr>
              <w:jc w:val="center"/>
              <w:rPr>
                <w:rFonts w:ascii="Arial" w:hAnsi="Arial" w:cs="Arial"/>
                <w:lang w:val="es-ES"/>
              </w:rPr>
            </w:pPr>
            <w:hyperlink r:id="rId15" w:history="1">
              <w:r w:rsidRPr="00CD3732">
                <w:rPr>
                  <w:rStyle w:val="Hyperlink"/>
                  <w:rFonts w:ascii="Arial" w:hAnsi="Arial" w:cs="Arial"/>
                  <w:lang w:val="es-ES"/>
                </w:rPr>
                <w:t>www.michelin.pt</w:t>
              </w:r>
            </w:hyperlink>
          </w:p>
          <w:p w14:paraId="43657FAD" w14:textId="77777777" w:rsidR="005A1ECF" w:rsidRPr="003D6C6D" w:rsidRDefault="005A1ECF" w:rsidP="00335552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5A1ECF" w:rsidRPr="003D6C6D" w14:paraId="2EC66320" w14:textId="77777777" w:rsidTr="00335552">
        <w:tc>
          <w:tcPr>
            <w:tcW w:w="9016" w:type="dxa"/>
          </w:tcPr>
          <w:p w14:paraId="53C45A3B" w14:textId="77777777" w:rsidR="005A1ECF" w:rsidRPr="003D6C6D" w:rsidRDefault="005A1ECF" w:rsidP="00335552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BB9924E" wp14:editId="092E77DB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6B8C4E7" wp14:editId="0966C28A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4641DBD5" wp14:editId="679B60F4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0BD5865D" w14:textId="77777777" w:rsidR="005A1ECF" w:rsidRPr="003D6C6D" w:rsidRDefault="005A1ECF" w:rsidP="005A1ECF">
      <w:pPr>
        <w:jc w:val="center"/>
        <w:rPr>
          <w:rFonts w:ascii="Arial" w:hAnsi="Arial" w:cs="Arial"/>
          <w:lang w:val="es-ES"/>
        </w:rPr>
      </w:pPr>
    </w:p>
    <w:p w14:paraId="1990590E" w14:textId="77777777" w:rsidR="005A1ECF" w:rsidRPr="003D6C6D" w:rsidRDefault="005A1ECF" w:rsidP="005A1ECF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lang w:val="es-ES"/>
        </w:rPr>
        <w:t xml:space="preserve">Ronda de Poniente, 6 – 28760 Tres Cantos – </w:t>
      </w:r>
      <w:r w:rsidRPr="003D6C6D">
        <w:rPr>
          <w:rFonts w:ascii="Arial" w:hAnsi="Arial" w:cs="Arial"/>
          <w:lang w:val="pt-PT"/>
        </w:rPr>
        <w:t>Madrid. ESPANHA</w:t>
      </w:r>
    </w:p>
    <w:p w14:paraId="51B53B90" w14:textId="77777777" w:rsidR="005A1ECF" w:rsidRPr="003D6C6D" w:rsidRDefault="005A1ECF" w:rsidP="005A1ECF">
      <w:pPr>
        <w:jc w:val="center"/>
        <w:rPr>
          <w:rFonts w:ascii="Arial" w:hAnsi="Arial" w:cs="Arial"/>
          <w:lang w:val="es-ES"/>
        </w:rPr>
      </w:pPr>
    </w:p>
    <w:p w14:paraId="30BAD61C" w14:textId="77777777" w:rsidR="005A1ECF" w:rsidRPr="003D6C6D" w:rsidRDefault="005A1ECF" w:rsidP="005A1ECF">
      <w:pPr>
        <w:jc w:val="center"/>
        <w:rPr>
          <w:rFonts w:ascii="Arial" w:hAnsi="Arial" w:cs="Arial"/>
          <w:lang w:val="pt-PT"/>
        </w:rPr>
      </w:pPr>
    </w:p>
    <w:p w14:paraId="35E7F4EF" w14:textId="11559CDF" w:rsidR="00387E23" w:rsidRPr="00C72EB1" w:rsidRDefault="00387E23" w:rsidP="005A1ECF">
      <w:pPr>
        <w:jc w:val="both"/>
        <w:rPr>
          <w:rFonts w:ascii="Arial" w:hAnsi="Arial" w:cs="Arial"/>
          <w:lang w:val="pt-PT"/>
        </w:rPr>
      </w:pPr>
    </w:p>
    <w:sectPr w:rsidR="00387E23" w:rsidRPr="00C72EB1" w:rsidSect="00D221A7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-1770" w:right="1440" w:bottom="841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B081" w14:textId="77777777" w:rsidR="00F064F1" w:rsidRDefault="00F064F1" w:rsidP="00F24D98">
      <w:r>
        <w:separator/>
      </w:r>
    </w:p>
  </w:endnote>
  <w:endnote w:type="continuationSeparator" w:id="0">
    <w:p w14:paraId="490E3F24" w14:textId="77777777" w:rsidR="00F064F1" w:rsidRDefault="00F064F1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197A" w14:textId="77777777" w:rsidR="00F064F1" w:rsidRDefault="00F064F1" w:rsidP="00F24D98">
      <w:r>
        <w:separator/>
      </w:r>
    </w:p>
  </w:footnote>
  <w:footnote w:type="continuationSeparator" w:id="0">
    <w:p w14:paraId="626335F6" w14:textId="77777777" w:rsidR="00F064F1" w:rsidRDefault="00F064F1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DE62" w14:textId="77777777" w:rsidR="005A1ECF" w:rsidRDefault="005A1ECF" w:rsidP="005A1ECF">
    <w:pPr>
      <w:pStyle w:val="Header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23B44ADE" wp14:editId="56A8E463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A picture containing graphics, graphic design, carto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picture containing graphics, graphic design, carto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84E9D95" wp14:editId="6B001B04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1FB32A" w14:textId="77777777" w:rsidR="005A1ECF" w:rsidRPr="00AC0E74" w:rsidRDefault="005A1ECF" w:rsidP="005A1EC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E9D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791FB32A" w14:textId="77777777" w:rsidR="005A1ECF" w:rsidRPr="00AC0E74" w:rsidRDefault="005A1ECF" w:rsidP="005A1ECF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196A00" wp14:editId="30048474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294413" w14:textId="77777777" w:rsidR="005A1ECF" w:rsidRPr="006F25F9" w:rsidRDefault="005A1ECF" w:rsidP="005A1EC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5A256371" w14:textId="77777777" w:rsidR="005A1ECF" w:rsidRPr="00BE269E" w:rsidRDefault="005A1ECF" w:rsidP="005A1EC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196A00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50294413" w14:textId="77777777" w:rsidR="005A1ECF" w:rsidRPr="006F25F9" w:rsidRDefault="005A1ECF" w:rsidP="005A1ECF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5A256371" w14:textId="77777777" w:rsidR="005A1ECF" w:rsidRPr="00BE269E" w:rsidRDefault="005A1ECF" w:rsidP="005A1ECF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385A12C2" wp14:editId="728E744A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picture containing text, logo, font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picture containing text, logo, font, whit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25E263E9" w:rsidR="001963B1" w:rsidRPr="005A1ECF" w:rsidRDefault="001963B1" w:rsidP="005A1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67344">
    <w:abstractNumId w:val="1"/>
  </w:num>
  <w:num w:numId="2" w16cid:durableId="543907402">
    <w:abstractNumId w:val="0"/>
  </w:num>
  <w:num w:numId="3" w16cid:durableId="629554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778DE"/>
    <w:rsid w:val="00082115"/>
    <w:rsid w:val="000A5386"/>
    <w:rsid w:val="000B3F91"/>
    <w:rsid w:val="000C09D6"/>
    <w:rsid w:val="00112957"/>
    <w:rsid w:val="001162A2"/>
    <w:rsid w:val="00116A1A"/>
    <w:rsid w:val="00154400"/>
    <w:rsid w:val="00170CB5"/>
    <w:rsid w:val="001712BA"/>
    <w:rsid w:val="00186CCB"/>
    <w:rsid w:val="001963B1"/>
    <w:rsid w:val="001A0040"/>
    <w:rsid w:val="001A4103"/>
    <w:rsid w:val="001D57AF"/>
    <w:rsid w:val="001E520E"/>
    <w:rsid w:val="0021595A"/>
    <w:rsid w:val="002462B9"/>
    <w:rsid w:val="00262F8B"/>
    <w:rsid w:val="00274DC8"/>
    <w:rsid w:val="00387E23"/>
    <w:rsid w:val="003930CA"/>
    <w:rsid w:val="00395651"/>
    <w:rsid w:val="003C3FC0"/>
    <w:rsid w:val="003C419D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56DDE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72127"/>
    <w:rsid w:val="00594F5C"/>
    <w:rsid w:val="005A1ECF"/>
    <w:rsid w:val="005B00AE"/>
    <w:rsid w:val="00683588"/>
    <w:rsid w:val="006920B7"/>
    <w:rsid w:val="006C3818"/>
    <w:rsid w:val="006C44F0"/>
    <w:rsid w:val="006C7776"/>
    <w:rsid w:val="006D398C"/>
    <w:rsid w:val="006D4CB8"/>
    <w:rsid w:val="00707806"/>
    <w:rsid w:val="007A6CA1"/>
    <w:rsid w:val="007E51AC"/>
    <w:rsid w:val="007F37A6"/>
    <w:rsid w:val="00802F0B"/>
    <w:rsid w:val="00816BB1"/>
    <w:rsid w:val="00834943"/>
    <w:rsid w:val="0083752C"/>
    <w:rsid w:val="0083779A"/>
    <w:rsid w:val="00842005"/>
    <w:rsid w:val="0085450A"/>
    <w:rsid w:val="00877AE5"/>
    <w:rsid w:val="008B072F"/>
    <w:rsid w:val="008F5893"/>
    <w:rsid w:val="0093532F"/>
    <w:rsid w:val="00970158"/>
    <w:rsid w:val="009969D4"/>
    <w:rsid w:val="00A010E6"/>
    <w:rsid w:val="00A05352"/>
    <w:rsid w:val="00A133C9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615BB"/>
    <w:rsid w:val="00B97B28"/>
    <w:rsid w:val="00BB705D"/>
    <w:rsid w:val="00BC2889"/>
    <w:rsid w:val="00BE269E"/>
    <w:rsid w:val="00C53F0C"/>
    <w:rsid w:val="00C71E9E"/>
    <w:rsid w:val="00C72EB1"/>
    <w:rsid w:val="00CC6BAF"/>
    <w:rsid w:val="00CE4C0D"/>
    <w:rsid w:val="00CE5E82"/>
    <w:rsid w:val="00D12A56"/>
    <w:rsid w:val="00D221A7"/>
    <w:rsid w:val="00D26D15"/>
    <w:rsid w:val="00D55011"/>
    <w:rsid w:val="00D729F5"/>
    <w:rsid w:val="00D9116F"/>
    <w:rsid w:val="00DB7FA5"/>
    <w:rsid w:val="00DE0B5B"/>
    <w:rsid w:val="00E46580"/>
    <w:rsid w:val="00E926C4"/>
    <w:rsid w:val="00EA512D"/>
    <w:rsid w:val="00ED5957"/>
    <w:rsid w:val="00ED7136"/>
    <w:rsid w:val="00F064F1"/>
    <w:rsid w:val="00F1127B"/>
    <w:rsid w:val="00F23D2E"/>
    <w:rsid w:val="00F24D98"/>
    <w:rsid w:val="00F54E4E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bio.one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michelin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ugo.ureta-alonso@michelin.com" TargetMode="External"/><Relationship Id="rId17" Type="http://schemas.openxmlformats.org/officeDocument/2006/relationships/hyperlink" Target="https://twitter.com/MichelinNew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pt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michelin.pt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orvia.com" TargetMode="External"/><Relationship Id="rId19" Type="http://schemas.openxmlformats.org/officeDocument/2006/relationships/hyperlink" Target="https://www.facebook.com/michelinportug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llantis.com" TargetMode="External"/><Relationship Id="rId14" Type="http://schemas.openxmlformats.org/officeDocument/2006/relationships/image" Target="cid:ii_kl7q6gpk1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1182</Words>
  <Characters>6743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3</cp:revision>
  <dcterms:created xsi:type="dcterms:W3CDTF">2023-05-16T12:50:00Z</dcterms:created>
  <dcterms:modified xsi:type="dcterms:W3CDTF">2023-05-16T13:36:00Z</dcterms:modified>
</cp:coreProperties>
</file>