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A4D19" w:rsidRDefault="00395651" w:rsidP="00395651">
      <w:pPr>
        <w:rPr>
          <w:rFonts w:ascii="Arial" w:hAnsi="Arial" w:cs="Arial"/>
          <w:sz w:val="20"/>
          <w:szCs w:val="20"/>
          <w:lang w:val="es-ES_tradnl"/>
        </w:rPr>
      </w:pPr>
      <w:r w:rsidRPr="006A4D19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</w:t>
      </w:r>
      <w:r w:rsidR="00422E33" w:rsidRPr="006A4D19">
        <w:rPr>
          <w:rFonts w:ascii="Arial" w:hAnsi="Arial" w:cs="Arial"/>
          <w:sz w:val="20"/>
          <w:szCs w:val="20"/>
          <w:lang w:val="es-ES_tradnl"/>
        </w:rPr>
        <w:t xml:space="preserve">                </w:t>
      </w:r>
      <w:r w:rsidRPr="006A4D19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14:paraId="2F46475E" w14:textId="77777777" w:rsidR="00B36FEE" w:rsidRPr="006A4D19" w:rsidRDefault="00B36FEE" w:rsidP="00395651">
      <w:pPr>
        <w:rPr>
          <w:rFonts w:ascii="Arial" w:hAnsi="Arial" w:cs="Arial"/>
          <w:sz w:val="20"/>
          <w:szCs w:val="20"/>
          <w:lang w:val="es-ES_tradnl"/>
        </w:rPr>
      </w:pPr>
    </w:p>
    <w:p w14:paraId="74DBC59E" w14:textId="77777777" w:rsidR="00B36FEE" w:rsidRPr="006A4D19" w:rsidRDefault="00B36FEE" w:rsidP="00395651">
      <w:pPr>
        <w:rPr>
          <w:rFonts w:ascii="Arial" w:hAnsi="Arial" w:cs="Arial"/>
          <w:sz w:val="20"/>
          <w:szCs w:val="20"/>
          <w:lang w:val="es-ES_tradnl"/>
        </w:rPr>
      </w:pPr>
    </w:p>
    <w:p w14:paraId="62CD8697" w14:textId="77777777" w:rsidR="00B36FEE" w:rsidRPr="006A4D19" w:rsidRDefault="00B36FEE" w:rsidP="00395651">
      <w:pPr>
        <w:rPr>
          <w:rFonts w:ascii="Arial" w:hAnsi="Arial" w:cs="Arial"/>
          <w:sz w:val="20"/>
          <w:szCs w:val="20"/>
          <w:lang w:val="es-ES_tradnl"/>
        </w:rPr>
      </w:pPr>
    </w:p>
    <w:p w14:paraId="73920A83" w14:textId="77777777" w:rsidR="00B36FEE" w:rsidRPr="006A4D19" w:rsidRDefault="00B36FEE" w:rsidP="00395651">
      <w:pPr>
        <w:rPr>
          <w:rFonts w:ascii="Arial" w:hAnsi="Arial" w:cs="Arial"/>
          <w:sz w:val="20"/>
          <w:szCs w:val="20"/>
          <w:lang w:val="es-ES_tradnl"/>
        </w:rPr>
      </w:pPr>
    </w:p>
    <w:p w14:paraId="139D66BB" w14:textId="3D43D7F9" w:rsidR="006D398C" w:rsidRPr="006A4D19" w:rsidRDefault="00B36FEE" w:rsidP="00B36FEE">
      <w:pPr>
        <w:ind w:left="5760"/>
        <w:rPr>
          <w:rFonts w:ascii="Arial" w:hAnsi="Arial" w:cs="Arial"/>
          <w:sz w:val="20"/>
          <w:szCs w:val="20"/>
          <w:lang w:val="es-ES_tradnl"/>
        </w:rPr>
      </w:pPr>
      <w:r w:rsidRPr="006A4D19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BE269E" w:rsidRPr="006A4D19">
        <w:rPr>
          <w:rFonts w:ascii="Arial" w:hAnsi="Arial" w:cs="Arial"/>
          <w:sz w:val="20"/>
          <w:szCs w:val="20"/>
          <w:lang w:val="es-ES_tradnl"/>
        </w:rPr>
        <w:t xml:space="preserve">Madrid, </w:t>
      </w:r>
      <w:r w:rsidR="006A4D19" w:rsidRPr="006A4D19">
        <w:rPr>
          <w:rFonts w:ascii="Arial" w:hAnsi="Arial" w:cs="Arial"/>
          <w:sz w:val="20"/>
          <w:szCs w:val="20"/>
          <w:lang w:val="es-ES_tradnl"/>
        </w:rPr>
        <w:t>26</w:t>
      </w:r>
      <w:r w:rsidR="00BE269E" w:rsidRPr="006A4D19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6A4D19" w:rsidRPr="006A4D19">
        <w:rPr>
          <w:rFonts w:ascii="Arial" w:hAnsi="Arial" w:cs="Arial"/>
          <w:sz w:val="20"/>
          <w:szCs w:val="20"/>
          <w:lang w:val="es-ES_tradnl"/>
        </w:rPr>
        <w:t>julio</w:t>
      </w:r>
      <w:r w:rsidR="006D398C" w:rsidRPr="006A4D19">
        <w:rPr>
          <w:rFonts w:ascii="Arial" w:hAnsi="Arial" w:cs="Arial"/>
          <w:sz w:val="20"/>
          <w:szCs w:val="20"/>
          <w:lang w:val="es-ES_tradnl"/>
        </w:rPr>
        <w:t>, 202</w:t>
      </w:r>
      <w:r w:rsidR="00842005" w:rsidRPr="006A4D19">
        <w:rPr>
          <w:rFonts w:ascii="Arial" w:hAnsi="Arial" w:cs="Arial"/>
          <w:sz w:val="20"/>
          <w:szCs w:val="20"/>
          <w:lang w:val="es-ES_tradnl"/>
        </w:rPr>
        <w:t>3</w:t>
      </w:r>
    </w:p>
    <w:sdt>
      <w:sdtPr>
        <w:rPr>
          <w:rFonts w:ascii="Arial" w:hAnsi="Arial" w:cs="Arial"/>
          <w:lang w:val="es-ES_tradnl"/>
        </w:rPr>
        <w:id w:val="1987273284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75083583" w14:textId="77777777" w:rsidR="006D398C" w:rsidRPr="006A4D19" w:rsidRDefault="006D398C" w:rsidP="006D398C">
          <w:pPr>
            <w:jc w:val="center"/>
            <w:rPr>
              <w:rFonts w:ascii="Arial" w:hAnsi="Arial" w:cs="Arial"/>
              <w:lang w:val="es-ES_tradnl"/>
            </w:rPr>
          </w:pPr>
        </w:p>
        <w:p w14:paraId="362A30DC" w14:textId="77777777" w:rsidR="006A4D19" w:rsidRPr="006A4D19" w:rsidRDefault="006A4D1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32D180A" w14:textId="7F806FC6" w:rsidR="006A4D19" w:rsidRPr="006A4D19" w:rsidRDefault="006A4D19" w:rsidP="00B04ACE">
          <w:pPr>
            <w:ind w:right="-46"/>
            <w:jc w:val="center"/>
            <w:rPr>
              <w:rFonts w:ascii="Helvetica" w:hAnsi="Helvetica" w:cs="Helvetica"/>
              <w:b/>
              <w:bCs/>
              <w:sz w:val="28"/>
              <w:szCs w:val="28"/>
              <w:lang w:val="es-ES_tradnl"/>
            </w:rPr>
          </w:pPr>
          <w:r>
            <w:rPr>
              <w:rFonts w:ascii="Helvetica" w:hAnsi="Helvetica" w:cs="Helvetica"/>
              <w:b/>
              <w:bCs/>
              <w:sz w:val="28"/>
              <w:szCs w:val="28"/>
              <w:lang w:val="es-ES_tradnl"/>
            </w:rPr>
            <w:t>Información financiera del grupo Michelin a 30 de junio de 2023</w:t>
          </w:r>
        </w:p>
        <w:p w14:paraId="340009C1" w14:textId="77777777" w:rsidR="006A4D19" w:rsidRPr="006A4D19" w:rsidRDefault="006A4D19" w:rsidP="00B04ACE">
          <w:pPr>
            <w:ind w:left="-142" w:right="-46"/>
            <w:rPr>
              <w:rFonts w:ascii="Verdana" w:eastAsia="Times New Roman" w:hAnsi="Verdana" w:cs="Times New Roman"/>
              <w:b/>
              <w:sz w:val="18"/>
              <w:szCs w:val="16"/>
              <w:highlight w:val="yellow"/>
              <w:lang w:val="es-ES_tradnl"/>
            </w:rPr>
          </w:pPr>
        </w:p>
        <w:p w14:paraId="3563C475" w14:textId="77777777" w:rsidR="006A4D19" w:rsidRDefault="006A4D19" w:rsidP="00B04ACE">
          <w:pPr>
            <w:ind w:right="-46"/>
            <w:contextualSpacing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bookmarkStart w:id="0" w:name="_Hlk94281294"/>
        </w:p>
        <w:p w14:paraId="00830DF4" w14:textId="55A1A5D5" w:rsidR="006A4D19" w:rsidRPr="006A4D19" w:rsidRDefault="006A4D19" w:rsidP="00B04ACE">
          <w:pPr>
            <w:ind w:right="-46"/>
            <w:contextualSpacing/>
            <w:jc w:val="center"/>
            <w:rPr>
              <w:rFonts w:ascii="Arial" w:hAnsi="Arial" w:cs="Arial"/>
              <w:b/>
              <w:bCs/>
              <w:sz w:val="22"/>
              <w:szCs w:val="22"/>
              <w:lang w:val="es-ES_tradnl"/>
            </w:rPr>
          </w:pPr>
          <w:r w:rsidRPr="006A4D19">
            <w:rPr>
              <w:rFonts w:ascii="Arial" w:hAnsi="Arial" w:cs="Arial"/>
              <w:b/>
              <w:bCs/>
              <w:sz w:val="22"/>
              <w:szCs w:val="22"/>
              <w:lang w:val="es-ES_tradnl"/>
            </w:rPr>
            <w:t xml:space="preserve">Michelin registró </w:t>
          </w:r>
          <w:r w:rsidRPr="006A4D19">
            <w:rPr>
              <w:rFonts w:ascii="Arial" w:eastAsia="Times New Roman" w:hAnsi="Arial" w:cs="Arial"/>
              <w:b/>
              <w:bCs/>
              <w:sz w:val="22"/>
              <w:szCs w:val="22"/>
              <w:lang w:val="es-ES_tradnl"/>
            </w:rPr>
            <w:t xml:space="preserve">un crecimiento en sus ventas de un 5,9% en los primeros seis meses de 2023 y un aumento del 11,4% en su resultado operacional, </w:t>
          </w:r>
          <w:r w:rsidRPr="006A4D19">
            <w:rPr>
              <w:rFonts w:ascii="Arial" w:hAnsi="Arial" w:cs="Arial"/>
              <w:b/>
              <w:bCs/>
              <w:sz w:val="22"/>
              <w:szCs w:val="22"/>
              <w:lang w:val="es-ES_tradnl"/>
            </w:rPr>
            <w:t xml:space="preserve">en un contexto de mercados desfavorables. El </w:t>
          </w:r>
          <w:r w:rsidRPr="006A4D19">
            <w:rPr>
              <w:rFonts w:ascii="Arial" w:hAnsi="Arial" w:cs="Arial"/>
              <w:b/>
              <w:bCs/>
              <w:i/>
              <w:iCs/>
              <w:sz w:val="22"/>
              <w:szCs w:val="22"/>
              <w:lang w:val="es-ES_tradnl"/>
            </w:rPr>
            <w:t xml:space="preserve">cash </w:t>
          </w:r>
          <w:proofErr w:type="spellStart"/>
          <w:r w:rsidRPr="006A4D19">
            <w:rPr>
              <w:rFonts w:ascii="Arial" w:hAnsi="Arial" w:cs="Arial"/>
              <w:b/>
              <w:bCs/>
              <w:i/>
              <w:iCs/>
              <w:sz w:val="22"/>
              <w:szCs w:val="22"/>
              <w:lang w:val="es-ES_tradnl"/>
            </w:rPr>
            <w:t>flow</w:t>
          </w:r>
          <w:proofErr w:type="spellEnd"/>
          <w:r w:rsidRPr="006A4D19">
            <w:rPr>
              <w:rFonts w:ascii="Arial" w:hAnsi="Arial" w:cs="Arial"/>
              <w:b/>
              <w:bCs/>
              <w:sz w:val="22"/>
              <w:szCs w:val="22"/>
              <w:lang w:val="es-ES_tradnl"/>
            </w:rPr>
            <w:t xml:space="preserve"> libre </w:t>
          </w:r>
          <w:r w:rsidRPr="006A4D19">
            <w:rPr>
              <w:rFonts w:ascii="Arial" w:eastAsia="Times New Roman" w:hAnsi="Arial" w:cs="Arial"/>
              <w:b/>
              <w:bCs/>
              <w:sz w:val="22"/>
              <w:szCs w:val="22"/>
              <w:lang w:val="es-ES_tradnl"/>
            </w:rPr>
            <w:t>antes de las adquisiciones fue de 922</w:t>
          </w:r>
          <w:r w:rsidRPr="006A4D19">
            <w:rPr>
              <w:rFonts w:ascii="Arial" w:hAnsi="Arial" w:cs="Arial"/>
              <w:b/>
              <w:bCs/>
              <w:sz w:val="22"/>
              <w:szCs w:val="22"/>
              <w:lang w:val="es-ES_tradnl"/>
            </w:rPr>
            <w:t> </w:t>
          </w:r>
          <w:r w:rsidRPr="006A4D19">
            <w:rPr>
              <w:rFonts w:ascii="Arial" w:eastAsia="Times New Roman" w:hAnsi="Arial" w:cs="Arial"/>
              <w:b/>
              <w:bCs/>
              <w:sz w:val="22"/>
              <w:szCs w:val="22"/>
              <w:lang w:val="es-ES_tradnl"/>
            </w:rPr>
            <w:t xml:space="preserve">millones de euros. </w:t>
          </w:r>
          <w:r w:rsidRPr="006A4D19">
            <w:rPr>
              <w:rFonts w:ascii="Arial" w:hAnsi="Arial" w:cs="Arial"/>
              <w:b/>
              <w:bCs/>
              <w:sz w:val="22"/>
              <w:szCs w:val="22"/>
              <w:lang w:val="es-ES_tradnl"/>
            </w:rPr>
            <w:t>La previsión anual se revisa al alza.</w:t>
          </w:r>
        </w:p>
        <w:p w14:paraId="3EBAFF24" w14:textId="77777777" w:rsidR="006A4D19" w:rsidRPr="006A4D19" w:rsidRDefault="006A4D19" w:rsidP="00B04ACE">
          <w:pPr>
            <w:spacing w:after="60"/>
            <w:ind w:left="-426" w:right="-46"/>
            <w:rPr>
              <w:rFonts w:ascii="Verdana" w:hAnsi="Verdana"/>
              <w:sz w:val="18"/>
              <w:szCs w:val="28"/>
              <w:lang w:val="es-ES_tradnl"/>
            </w:rPr>
          </w:pPr>
        </w:p>
        <w:p w14:paraId="26DAD615" w14:textId="61B55801" w:rsidR="006A4D19" w:rsidRPr="006A4D19" w:rsidRDefault="006A4D19" w:rsidP="00B04ACE">
          <w:pPr>
            <w:spacing w:after="60"/>
            <w:ind w:left="-426" w:right="-46"/>
            <w:jc w:val="both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6A4D19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Las ventas aumentaron un 5,9% hasta los 14.100 millones de euros, impulsadas por una política de precios dinámica y un rápido crecimiento en las ventas de productos distintos a los neumáticos:</w:t>
          </w:r>
        </w:p>
        <w:p w14:paraId="3453A5F1" w14:textId="77777777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b/>
              <w:bCs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>Los mercados de neumáticos se mantuvieron estables para los turismos y a la baja para los camiones, impulsados por las ventas para Equipos Originales, pero frenados por la importante reducción de existencias en la distribución y en las flotas B2B.</w:t>
          </w:r>
        </w:p>
        <w:p w14:paraId="0811DEE1" w14:textId="04FE14D4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>Los volúmenes de ventas de neumáticos cayeron un 3,7%, reflejando las tendencias del mercado y la prioridad dada por el Grupo a los segmentos de mayor valor añadido.</w:t>
          </w:r>
        </w:p>
        <w:p w14:paraId="30A0066D" w14:textId="2271C32A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iCs/>
              <w:lang w:val="es-ES_tradnl"/>
            </w:rPr>
            <w:t xml:space="preserve">El efecto </w:t>
          </w:r>
          <w:proofErr w:type="spellStart"/>
          <w:r w:rsidRPr="006A4D19">
            <w:rPr>
              <w:rFonts w:ascii="Arial" w:hAnsi="Arial" w:cs="Arial"/>
              <w:iCs/>
              <w:lang w:val="es-ES_tradnl"/>
            </w:rPr>
            <w:t>mix</w:t>
          </w:r>
          <w:proofErr w:type="spellEnd"/>
          <w:r w:rsidRPr="006A4D19">
            <w:rPr>
              <w:rFonts w:ascii="Arial" w:hAnsi="Arial" w:cs="Arial"/>
              <w:iCs/>
              <w:lang w:val="es-ES_tradnl"/>
            </w:rPr>
            <w:t xml:space="preserve">-precio asciende al 9,4%, poniendo en valor la oferta del Grupo y un efecto </w:t>
          </w:r>
          <w:proofErr w:type="spellStart"/>
          <w:r w:rsidRPr="006A4D19">
            <w:rPr>
              <w:rFonts w:ascii="Arial" w:hAnsi="Arial" w:cs="Arial"/>
              <w:iCs/>
              <w:lang w:val="es-ES_tradnl"/>
            </w:rPr>
            <w:t>mix</w:t>
          </w:r>
          <w:proofErr w:type="spellEnd"/>
          <w:r w:rsidRPr="006A4D19">
            <w:rPr>
              <w:rFonts w:ascii="Arial" w:hAnsi="Arial" w:cs="Arial"/>
              <w:iCs/>
              <w:lang w:val="es-ES_tradnl"/>
            </w:rPr>
            <w:t xml:space="preserve"> positivo a pesar del impacto desfavorable de las ventas de Equipo</w:t>
          </w:r>
          <w:r w:rsidRPr="006A4D19">
            <w:rPr>
              <w:rFonts w:ascii="Arial" w:hAnsi="Arial" w:cs="Arial"/>
              <w:lang w:val="es-ES_tradnl"/>
            </w:rPr>
            <w:t xml:space="preserve"> Original vs Reposición.</w:t>
          </w:r>
        </w:p>
        <w:p w14:paraId="06234F47" w14:textId="0158D3F0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>Las ventas de productos distintos a los neumáticos aumentaron un 17% a tipos de cambio constantes, lo que supuso una contribución duradera al crecimiento del Grupo.</w:t>
          </w:r>
        </w:p>
        <w:p w14:paraId="13A51BCE" w14:textId="47C76213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8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>El efecto cambio fue negativo en un -1,0% debido a la caída de la mayoría de las divisas frente al euro.</w:t>
          </w:r>
        </w:p>
        <w:p w14:paraId="40286C7A" w14:textId="77777777" w:rsidR="006A4D19" w:rsidRPr="006A4D19" w:rsidRDefault="006A4D19" w:rsidP="00B04ACE">
          <w:pPr>
            <w:spacing w:after="60"/>
            <w:ind w:left="-426" w:right="-46"/>
            <w:jc w:val="both"/>
            <w:rPr>
              <w:rFonts w:ascii="Arial" w:eastAsia="Times New Roman" w:hAnsi="Arial" w:cs="Arial"/>
              <w:sz w:val="20"/>
              <w:szCs w:val="20"/>
              <w:lang w:val="es-ES_tradnl"/>
            </w:rPr>
          </w:pPr>
        </w:p>
        <w:p w14:paraId="69D65876" w14:textId="470A3C1C" w:rsidR="006A4D19" w:rsidRPr="006A4D19" w:rsidRDefault="006A4D19" w:rsidP="00B04ACE">
          <w:pPr>
            <w:tabs>
              <w:tab w:val="num" w:pos="-284"/>
            </w:tabs>
            <w:spacing w:after="60"/>
            <w:ind w:left="-425" w:right="-46"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es-ES_tradnl"/>
            </w:rPr>
          </w:pPr>
          <w:r w:rsidRPr="006A4D19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El resultado operacional de los sectores aumentó un 11,4% hasta los 1.700 millones de euros, ya que el crecimiento en los segmentos de alto valor añadido compensó la inflación de costes y los menores volúmenes de ventas:</w:t>
          </w:r>
        </w:p>
        <w:p w14:paraId="5F0CA665" w14:textId="77777777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5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>Los segmentos Turismo y Especialidades reforzaron sus resultados.</w:t>
          </w:r>
        </w:p>
        <w:p w14:paraId="03585061" w14:textId="77777777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5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 xml:space="preserve">El segmento de Camión se enfrentó a un </w:t>
          </w:r>
          <w:proofErr w:type="spellStart"/>
          <w:r w:rsidRPr="006A4D19">
            <w:rPr>
              <w:rFonts w:ascii="Arial" w:hAnsi="Arial" w:cs="Arial"/>
              <w:lang w:val="es-ES_tradnl"/>
            </w:rPr>
            <w:t>mix</w:t>
          </w:r>
          <w:proofErr w:type="spellEnd"/>
          <w:r w:rsidRPr="006A4D19">
            <w:rPr>
              <w:rFonts w:ascii="Arial" w:hAnsi="Arial" w:cs="Arial"/>
              <w:lang w:val="es-ES_tradnl"/>
            </w:rPr>
            <w:t xml:space="preserve"> Equipo Original/Reemplazo desfavorable y bajos volúmenes, lo que pesó fuertemente en la utilización de la capacidad de producción y la absorción de los costes fijos.</w:t>
          </w:r>
        </w:p>
        <w:p w14:paraId="6E104AFD" w14:textId="77777777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5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>Importante efecto precio-</w:t>
          </w:r>
          <w:proofErr w:type="spellStart"/>
          <w:r w:rsidRPr="006A4D19">
            <w:rPr>
              <w:rFonts w:ascii="Arial" w:hAnsi="Arial" w:cs="Arial"/>
              <w:lang w:val="es-ES_tradnl"/>
            </w:rPr>
            <w:t>mix</w:t>
          </w:r>
          <w:proofErr w:type="spellEnd"/>
          <w:r w:rsidRPr="006A4D19">
            <w:rPr>
              <w:rFonts w:ascii="Arial" w:hAnsi="Arial" w:cs="Arial"/>
              <w:lang w:val="es-ES_tradnl"/>
            </w:rPr>
            <w:t xml:space="preserve">, debido al continuo enriquecimiento del </w:t>
          </w:r>
          <w:proofErr w:type="spellStart"/>
          <w:r w:rsidRPr="006A4D19">
            <w:rPr>
              <w:rFonts w:ascii="Arial" w:hAnsi="Arial" w:cs="Arial"/>
              <w:lang w:val="es-ES_tradnl"/>
            </w:rPr>
            <w:t>mix</w:t>
          </w:r>
          <w:proofErr w:type="spellEnd"/>
          <w:r w:rsidRPr="006A4D19">
            <w:rPr>
              <w:rFonts w:ascii="Arial" w:hAnsi="Arial" w:cs="Arial"/>
              <w:lang w:val="es-ES_tradnl"/>
            </w:rPr>
            <w:t xml:space="preserve"> de productos, la política de precios y el impacto diferido de las cláusulas de indexación.</w:t>
          </w:r>
        </w:p>
        <w:p w14:paraId="0219BD22" w14:textId="6EB0CEDE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  <w:tab w:val="num" w:pos="1134"/>
            </w:tabs>
            <w:spacing w:after="60"/>
            <w:ind w:left="142" w:right="-46" w:hanging="215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>El margen operacional de Especialidades aumentó hasta el 18,3%, gracias al dinamismo de los segmentos de Minería, Avión y Materiales de Alta Tecnología.</w:t>
          </w:r>
        </w:p>
        <w:p w14:paraId="30796026" w14:textId="77777777" w:rsidR="006A4D19" w:rsidRPr="006A4D19" w:rsidRDefault="006A4D19" w:rsidP="00B04ACE">
          <w:pPr>
            <w:tabs>
              <w:tab w:val="num" w:pos="1134"/>
            </w:tabs>
            <w:spacing w:after="60"/>
            <w:ind w:right="-46"/>
            <w:jc w:val="both"/>
            <w:rPr>
              <w:rFonts w:ascii="Arial" w:eastAsia="Times New Roman" w:hAnsi="Arial" w:cs="Arial"/>
              <w:sz w:val="20"/>
              <w:szCs w:val="20"/>
              <w:lang w:val="es-ES_tradnl"/>
            </w:rPr>
          </w:pPr>
        </w:p>
        <w:p w14:paraId="3B6A5E62" w14:textId="0FFD0C8B" w:rsidR="006A4D19" w:rsidRPr="006A4D19" w:rsidRDefault="006A4D19" w:rsidP="00B04ACE">
          <w:pPr>
            <w:spacing w:after="60"/>
            <w:ind w:left="-426" w:right="-46"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es-ES_tradnl"/>
            </w:rPr>
          </w:pPr>
          <w:r w:rsidRPr="006A4D19">
            <w:rPr>
              <w:rFonts w:ascii="Arial" w:hAnsi="Arial" w:cs="Arial"/>
              <w:b/>
              <w:bCs/>
              <w:i/>
              <w:sz w:val="20"/>
              <w:szCs w:val="20"/>
              <w:lang w:val="es-ES_tradnl"/>
            </w:rPr>
            <w:t xml:space="preserve">Cash </w:t>
          </w:r>
          <w:proofErr w:type="spellStart"/>
          <w:r w:rsidRPr="006A4D19">
            <w:rPr>
              <w:rFonts w:ascii="Arial" w:hAnsi="Arial" w:cs="Arial"/>
              <w:b/>
              <w:bCs/>
              <w:i/>
              <w:sz w:val="20"/>
              <w:szCs w:val="20"/>
              <w:lang w:val="es-ES_tradnl"/>
            </w:rPr>
            <w:t>flow</w:t>
          </w:r>
          <w:proofErr w:type="spellEnd"/>
          <w:r w:rsidRPr="006A4D19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 xml:space="preserve"> libre antes de adquisiciones de 922 millones de euros</w:t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,</w:t>
          </w:r>
          <w:r w:rsidRPr="006A4D19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 xml:space="preserve"> resultado de una gestión rigurosa:</w:t>
          </w:r>
        </w:p>
        <w:p w14:paraId="7AB3B881" w14:textId="79D6E791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</w:tabs>
            <w:spacing w:after="60"/>
            <w:ind w:right="-46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>EBITDA de 2.600 millones de euros, lo que representa el 18,8% de la facturación.</w:t>
          </w:r>
        </w:p>
        <w:p w14:paraId="5BBA2413" w14:textId="77777777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</w:tabs>
            <w:spacing w:after="60"/>
            <w:ind w:right="-46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 xml:space="preserve">La necesidad de fondo de maniobra se ha beneficiado de una estricta gestión de los </w:t>
          </w:r>
          <w:r w:rsidRPr="006A4D19">
            <w:rPr>
              <w:rFonts w:ascii="Arial" w:hAnsi="Arial" w:cs="Arial"/>
              <w:i/>
              <w:iCs/>
              <w:lang w:val="es-ES_tradnl"/>
            </w:rPr>
            <w:t>stocks</w:t>
          </w:r>
          <w:r w:rsidRPr="006A4D19">
            <w:rPr>
              <w:rFonts w:ascii="Arial" w:hAnsi="Arial" w:cs="Arial"/>
              <w:lang w:val="es-ES_tradnl"/>
            </w:rPr>
            <w:t xml:space="preserve"> y una recuperación de la tesorería a partir del cuarto trimestre de 2022.</w:t>
          </w:r>
        </w:p>
        <w:p w14:paraId="0F06C672" w14:textId="77777777" w:rsidR="006A4D19" w:rsidRPr="006A4D19" w:rsidRDefault="006A4D19" w:rsidP="00B04ACE">
          <w:pPr>
            <w:pStyle w:val="Prrafodelista"/>
            <w:numPr>
              <w:ilvl w:val="0"/>
              <w:numId w:val="4"/>
            </w:numPr>
            <w:tabs>
              <w:tab w:val="clear" w:pos="360"/>
            </w:tabs>
            <w:spacing w:after="60"/>
            <w:ind w:right="-46"/>
            <w:contextualSpacing w:val="0"/>
            <w:jc w:val="both"/>
            <w:rPr>
              <w:rFonts w:ascii="Arial" w:hAnsi="Arial" w:cs="Arial"/>
              <w:lang w:val="es-ES_tradnl"/>
            </w:rPr>
          </w:pPr>
          <w:r w:rsidRPr="006A4D19">
            <w:rPr>
              <w:rFonts w:ascii="Arial" w:hAnsi="Arial" w:cs="Arial"/>
              <w:lang w:val="es-ES_tradnl"/>
            </w:rPr>
            <w:t xml:space="preserve">Generación de caja positiva por TBC de 256 millones de euros ligada en parte a la venta de su red </w:t>
          </w:r>
          <w:r w:rsidRPr="006A4D19">
            <w:rPr>
              <w:rFonts w:ascii="Arial" w:hAnsi="Arial" w:cs="Arial"/>
              <w:iCs/>
              <w:lang w:val="es-ES_tradnl"/>
            </w:rPr>
            <w:t xml:space="preserve">de </w:t>
          </w:r>
          <w:proofErr w:type="spellStart"/>
          <w:r w:rsidRPr="006A4D19">
            <w:rPr>
              <w:rFonts w:ascii="Arial" w:hAnsi="Arial" w:cs="Arial"/>
              <w:i/>
              <w:lang w:val="es-ES_tradnl"/>
            </w:rPr>
            <w:t>Retail</w:t>
          </w:r>
          <w:proofErr w:type="spellEnd"/>
          <w:r w:rsidRPr="006A4D19">
            <w:rPr>
              <w:rFonts w:ascii="Arial" w:hAnsi="Arial" w:cs="Arial"/>
              <w:lang w:val="es-ES_tradnl"/>
            </w:rPr>
            <w:t>.</w:t>
          </w:r>
        </w:p>
        <w:p w14:paraId="11F7B937" w14:textId="77777777" w:rsidR="006A4D19" w:rsidRPr="006A4D19" w:rsidRDefault="006A4D19" w:rsidP="00B04ACE">
          <w:pPr>
            <w:spacing w:after="60"/>
            <w:ind w:left="-73"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789367D" w14:textId="639153F6" w:rsidR="006A4D19" w:rsidRPr="006A4D19" w:rsidRDefault="006A4D19" w:rsidP="00B04ACE">
          <w:pPr>
            <w:spacing w:after="120" w:line="276" w:lineRule="auto"/>
            <w:ind w:left="-426" w:right="-46"/>
            <w:jc w:val="both"/>
            <w:rPr>
              <w:rFonts w:ascii="Arial" w:hAnsi="Arial" w:cs="Arial"/>
              <w:i/>
              <w:sz w:val="20"/>
              <w:szCs w:val="20"/>
              <w:lang w:val="es-ES_tradnl"/>
            </w:rPr>
          </w:pPr>
          <w:bookmarkStart w:id="1" w:name="_Hlk62734760"/>
          <w:r w:rsidRPr="006A4D19">
            <w:rPr>
              <w:rFonts w:ascii="Arial" w:hAnsi="Arial" w:cs="Arial"/>
              <w:sz w:val="20"/>
              <w:szCs w:val="20"/>
              <w:lang w:val="es-ES_tradnl"/>
            </w:rPr>
            <w:t>Florent Menegaux,</w:t>
          </w:r>
          <w:r w:rsidR="00B04ACE">
            <w:rPr>
              <w:rFonts w:ascii="Arial" w:hAnsi="Arial" w:cs="Arial"/>
              <w:sz w:val="20"/>
              <w:szCs w:val="20"/>
              <w:lang w:val="es-ES_tradnl"/>
            </w:rPr>
            <w:t xml:space="preserve"> p</w:t>
          </w:r>
          <w:r w:rsidRPr="006A4D19">
            <w:rPr>
              <w:rFonts w:ascii="Arial" w:hAnsi="Arial" w:cs="Arial"/>
              <w:sz w:val="20"/>
              <w:szCs w:val="20"/>
              <w:lang w:val="es-ES_tradnl"/>
            </w:rPr>
            <w:t>residente</w:t>
          </w:r>
          <w:r w:rsidR="00B04ACE">
            <w:rPr>
              <w:rFonts w:ascii="Arial" w:hAnsi="Arial" w:cs="Arial"/>
              <w:sz w:val="20"/>
              <w:szCs w:val="20"/>
              <w:lang w:val="es-ES_tradnl"/>
            </w:rPr>
            <w:t xml:space="preserve"> del grupo Michelin,</w:t>
          </w:r>
          <w:r w:rsidRPr="006A4D19">
            <w:rPr>
              <w:rFonts w:ascii="Arial" w:hAnsi="Arial" w:cs="Arial"/>
              <w:sz w:val="20"/>
              <w:szCs w:val="20"/>
              <w:lang w:val="es-ES_tradnl"/>
            </w:rPr>
            <w:t xml:space="preserve"> ha declarado: </w:t>
          </w:r>
          <w:bookmarkEnd w:id="1"/>
          <w:r w:rsidR="00B04ACE"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“</w:t>
          </w:r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Los resultados del Grupo fueron buenos en la primera mitad del año, en un contexto de transformación acelerada del mercado al que nos estamos adaptando constantemente. Michelin tiene muchas fortalezas</w:t>
          </w:r>
          <w:r w:rsid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,</w:t>
          </w:r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con ofertas de productos y servicios de calidad que, combinados con precios y </w:t>
          </w:r>
          <w:proofErr w:type="spellStart"/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mix</w:t>
          </w:r>
          <w:proofErr w:type="spellEnd"/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adecuados, nos permiten concentrarnos en los segmentos de </w:t>
          </w:r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lastRenderedPageBreak/>
            <w:t xml:space="preserve">mercado que generan más valor. Me gustaría felicitar a nuestros equipos por su agilidad y los resultados obtenidos en un entorno aún difícil en los segmentos Camión y </w:t>
          </w:r>
          <w:proofErr w:type="spellStart"/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Beyond</w:t>
          </w:r>
          <w:proofErr w:type="spellEnd"/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</w:t>
          </w:r>
          <w:proofErr w:type="spellStart"/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The</w:t>
          </w:r>
          <w:proofErr w:type="spellEnd"/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 Road. En Materiales de Alta Tecnología, el despliegue de nuestra estrategia se está acelerando con la adquisición anunciada de Flex Composite </w:t>
          </w:r>
          <w:proofErr w:type="spellStart"/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Group</w:t>
          </w:r>
          <w:proofErr w:type="spellEnd"/>
          <w:r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.</w:t>
          </w:r>
          <w:r w:rsidR="00B04ACE" w:rsidRPr="00B04ACE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”</w:t>
          </w:r>
        </w:p>
        <w:p w14:paraId="0B0FA458" w14:textId="77777777" w:rsidR="006A4D19" w:rsidRPr="006A4D19" w:rsidRDefault="006A4D19" w:rsidP="00B04ACE">
          <w:pPr>
            <w:tabs>
              <w:tab w:val="left" w:pos="284"/>
            </w:tabs>
            <w:spacing w:after="120" w:line="276" w:lineRule="auto"/>
            <w:ind w:left="-426" w:right="-46"/>
            <w:jc w:val="both"/>
            <w:rPr>
              <w:rFonts w:ascii="Arial" w:eastAsia="Times New Roman" w:hAnsi="Arial" w:cs="Arial"/>
              <w:b/>
              <w:bCs/>
              <w:sz w:val="20"/>
              <w:szCs w:val="20"/>
              <w:lang w:val="es-ES_tradnl"/>
            </w:rPr>
          </w:pPr>
          <w:r w:rsidRPr="006A4D19">
            <w:rPr>
              <w:rFonts w:ascii="Arial" w:hAnsi="Arial" w:cs="Arial"/>
              <w:b/>
              <w:bCs/>
              <w:iCs/>
              <w:sz w:val="20"/>
              <w:szCs w:val="20"/>
              <w:lang w:val="es-ES_tradnl"/>
            </w:rPr>
            <w:t>Previsión anual</w:t>
          </w:r>
          <w:r w:rsidRPr="006A4D19">
            <w:rPr>
              <w:rFonts w:ascii="Arial" w:hAnsi="Arial" w:cs="Arial"/>
              <w:b/>
              <w:bCs/>
              <w:i/>
              <w:sz w:val="20"/>
              <w:szCs w:val="20"/>
              <w:lang w:val="es-ES_tradnl"/>
            </w:rPr>
            <w:t xml:space="preserve"> </w:t>
          </w:r>
          <w:r w:rsidRPr="006A4D19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revisada al alza</w:t>
          </w:r>
        </w:p>
        <w:p w14:paraId="17061E0D" w14:textId="77777777" w:rsidR="006A4D19" w:rsidRDefault="006A4D19" w:rsidP="00B04ACE">
          <w:pPr>
            <w:spacing w:after="120" w:line="276" w:lineRule="auto"/>
            <w:ind w:left="-426"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6A4D19">
            <w:rPr>
              <w:rFonts w:ascii="Arial" w:hAnsi="Arial" w:cs="Arial"/>
              <w:sz w:val="20"/>
              <w:szCs w:val="20"/>
              <w:lang w:val="es-ES_tradnl"/>
            </w:rPr>
            <w:t xml:space="preserve">A pesar de un escenario de mercado menos favorable, las previsiones del Grupo para 2023 se han revisado al alza con un resultado operacional a tipos de cambio constantes superior a 3.400 millones de euros (frente a los 3.200 millones de euros anteriores) y un </w:t>
          </w:r>
          <w:r w:rsidRPr="006A4D1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 xml:space="preserve">cash </w:t>
          </w:r>
          <w:proofErr w:type="spellStart"/>
          <w:r w:rsidRPr="006A4D19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flow</w:t>
          </w:r>
          <w:proofErr w:type="spellEnd"/>
          <w:r w:rsidRPr="006A4D19">
            <w:rPr>
              <w:rFonts w:ascii="Arial" w:hAnsi="Arial" w:cs="Arial"/>
              <w:sz w:val="20"/>
              <w:szCs w:val="20"/>
              <w:lang w:val="es-ES_tradnl"/>
            </w:rPr>
            <w:t xml:space="preserve"> libre antes de adquisiciones de más de 2.000 millones de euros (frente a los 1.600 millones anteriores</w:t>
          </w:r>
          <w:sdt>
            <w:sdtPr>
              <w:rPr>
                <w:rFonts w:ascii="Arial" w:hAnsi="Arial" w:cs="Arial"/>
                <w:sz w:val="20"/>
                <w:szCs w:val="20"/>
                <w:lang w:val="es-ES_tradnl"/>
              </w:rPr>
              <w:id w:val="-1863354103"/>
              <w:docPartObj>
                <w:docPartGallery w:val="Cover Pages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  <w:id w:val="-1495642793"/>
                  <w:docPartObj>
                    <w:docPartGallery w:val="Cover Pages"/>
                    <w:docPartUnique/>
                  </w:docPartObj>
                </w:sdtPr>
                <w:sdtContent>
                  <w:r w:rsidRPr="006A4D1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).</w:t>
                  </w:r>
                </w:sdtContent>
              </w:sdt>
            </w:sdtContent>
          </w:sdt>
          <w:bookmarkEnd w:id="0"/>
        </w:p>
        <w:p w14:paraId="72206F46" w14:textId="586CA771" w:rsidR="006A4D19" w:rsidRPr="00B04ACE" w:rsidRDefault="006A4D19" w:rsidP="00B04ACE">
          <w:pPr>
            <w:spacing w:after="60"/>
            <w:ind w:left="-426" w:right="-46"/>
            <w:jc w:val="both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br/>
          </w:r>
          <w:r w:rsidRPr="00B04ACE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CIFRAS CLAVE</w:t>
          </w:r>
          <w:r w:rsidRPr="00B04ACE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es-ES_tradnl"/>
            </w:rPr>
            <w:t>1</w:t>
          </w:r>
        </w:p>
        <w:p w14:paraId="519B5A98" w14:textId="77777777" w:rsidR="006A4D19" w:rsidRPr="00B04ACE" w:rsidRDefault="006A4D19" w:rsidP="00B04ACE">
          <w:pPr>
            <w:autoSpaceDE w:val="0"/>
            <w:autoSpaceDN w:val="0"/>
            <w:adjustRightInd w:val="0"/>
            <w:spacing w:after="120" w:line="276" w:lineRule="auto"/>
            <w:ind w:left="-426" w:right="-46"/>
            <w:jc w:val="both"/>
            <w:rPr>
              <w:rFonts w:ascii="Arial" w:eastAsia="Times New Roman" w:hAnsi="Arial" w:cs="Arial"/>
              <w:sz w:val="18"/>
              <w:szCs w:val="18"/>
              <w:highlight w:val="yellow"/>
              <w:lang w:val="es-ES_tradnl"/>
            </w:rPr>
          </w:pPr>
        </w:p>
        <w:tbl>
          <w:tblPr>
            <w:tblW w:w="8485" w:type="dxa"/>
            <w:tblInd w:w="-2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971"/>
            <w:gridCol w:w="1757"/>
            <w:gridCol w:w="1757"/>
          </w:tblGrid>
          <w:tr w:rsidR="006A4D19" w:rsidRPr="00B04ACE" w14:paraId="092FCA0D" w14:textId="77777777" w:rsidTr="006A4D19">
            <w:trPr>
              <w:trHeight w:val="575"/>
            </w:trPr>
            <w:tc>
              <w:tcPr>
                <w:tcW w:w="4971" w:type="dxa"/>
                <w:shd w:val="clear" w:color="auto" w:fill="E6E6E6"/>
                <w:vAlign w:val="center"/>
              </w:tcPr>
              <w:p w14:paraId="4FEF6770" w14:textId="77777777" w:rsidR="006A4D19" w:rsidRPr="00B04ACE" w:rsidRDefault="006A4D19" w:rsidP="00B04ACE">
                <w:pPr>
                  <w:tabs>
                    <w:tab w:val="left" w:pos="360"/>
                  </w:tabs>
                  <w:spacing w:line="276" w:lineRule="auto"/>
                  <w:ind w:right="-46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ES_tradnl"/>
                  </w:rPr>
                  <w:br w:type="page"/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(en millones de euros)</w:t>
                </w:r>
              </w:p>
            </w:tc>
            <w:tc>
              <w:tcPr>
                <w:tcW w:w="1757" w:type="dxa"/>
                <w:shd w:val="clear" w:color="auto" w:fill="E6E6E6"/>
              </w:tcPr>
              <w:p w14:paraId="2E6014F2" w14:textId="77777777" w:rsidR="006A4D19" w:rsidRPr="00B04ACE" w:rsidRDefault="006A4D19" w:rsidP="00B04ACE">
                <w:pPr>
                  <w:tabs>
                    <w:tab w:val="left" w:pos="360"/>
                  </w:tabs>
                  <w:spacing w:line="276" w:lineRule="auto"/>
                  <w:ind w:right="-46"/>
                  <w:jc w:val="right"/>
                  <w:rPr>
                    <w:rFonts w:ascii="Arial" w:eastAsia="Times New Roman" w:hAnsi="Arial" w:cs="Arial"/>
                    <w:b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sz w:val="18"/>
                    <w:szCs w:val="18"/>
                    <w:lang w:val="es-ES_tradnl"/>
                  </w:rPr>
                  <w:t>1</w:t>
                </w:r>
                <w:r w:rsidRPr="00B04ACE">
                  <w:rPr>
                    <w:rFonts w:ascii="Arial" w:eastAsia="Times New Roman" w:hAnsi="Arial" w:cs="Arial"/>
                    <w:b/>
                    <w:sz w:val="18"/>
                    <w:szCs w:val="18"/>
                    <w:vertAlign w:val="superscript"/>
                    <w:lang w:val="es-ES_tradnl"/>
                  </w:rPr>
                  <w:t xml:space="preserve">er </w:t>
                </w:r>
                <w:r w:rsidRPr="00B04ACE">
                  <w:rPr>
                    <w:rFonts w:ascii="Arial" w:eastAsia="Times New Roman" w:hAnsi="Arial" w:cs="Arial"/>
                    <w:b/>
                    <w:sz w:val="18"/>
                    <w:szCs w:val="18"/>
                    <w:lang w:val="es-ES_tradnl"/>
                  </w:rPr>
                  <w:t>semestre 2023</w:t>
                </w:r>
              </w:p>
            </w:tc>
            <w:tc>
              <w:tcPr>
                <w:tcW w:w="1757" w:type="dxa"/>
                <w:shd w:val="clear" w:color="auto" w:fill="E6E6E6"/>
              </w:tcPr>
              <w:p w14:paraId="371058EA" w14:textId="77777777" w:rsidR="006A4D19" w:rsidRPr="00B04ACE" w:rsidRDefault="006A4D19" w:rsidP="00B04ACE">
                <w:pPr>
                  <w:tabs>
                    <w:tab w:val="left" w:pos="360"/>
                  </w:tabs>
                  <w:spacing w:line="276" w:lineRule="auto"/>
                  <w:ind w:right="-46"/>
                  <w:jc w:val="right"/>
                  <w:rPr>
                    <w:rFonts w:ascii="Arial" w:eastAsia="Times New Roman" w:hAnsi="Arial" w:cs="Arial"/>
                    <w:b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sz w:val="18"/>
                    <w:szCs w:val="18"/>
                    <w:lang w:val="es-ES_tradnl"/>
                  </w:rPr>
                  <w:t>1</w:t>
                </w:r>
                <w:r w:rsidRPr="00B04ACE">
                  <w:rPr>
                    <w:rFonts w:ascii="Arial" w:eastAsia="Times New Roman" w:hAnsi="Arial" w:cs="Arial"/>
                    <w:b/>
                    <w:sz w:val="18"/>
                    <w:szCs w:val="18"/>
                    <w:vertAlign w:val="superscript"/>
                    <w:lang w:val="es-ES_tradnl"/>
                  </w:rPr>
                  <w:t xml:space="preserve">er </w:t>
                </w:r>
                <w:r w:rsidRPr="00B04ACE">
                  <w:rPr>
                    <w:rFonts w:ascii="Arial" w:eastAsia="Times New Roman" w:hAnsi="Arial" w:cs="Arial"/>
                    <w:b/>
                    <w:sz w:val="18"/>
                    <w:szCs w:val="18"/>
                    <w:lang w:val="es-ES_tradnl"/>
                  </w:rPr>
                  <w:t>semestre 2022</w:t>
                </w:r>
              </w:p>
            </w:tc>
          </w:tr>
          <w:tr w:rsidR="006A4D19" w:rsidRPr="00B04ACE" w14:paraId="725B59B8" w14:textId="77777777" w:rsidTr="00B04ACE">
            <w:trPr>
              <w:trHeight w:val="230"/>
            </w:trPr>
            <w:tc>
              <w:tcPr>
                <w:tcW w:w="4971" w:type="dxa"/>
                <w:vAlign w:val="center"/>
              </w:tcPr>
              <w:p w14:paraId="0966FB50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Ventas</w:t>
                </w:r>
              </w:p>
            </w:tc>
            <w:tc>
              <w:tcPr>
                <w:tcW w:w="1757" w:type="dxa"/>
                <w:vAlign w:val="center"/>
              </w:tcPr>
              <w:p w14:paraId="4EC3F471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14.079</w:t>
                </w:r>
              </w:p>
            </w:tc>
            <w:tc>
              <w:tcPr>
                <w:tcW w:w="1757" w:type="dxa"/>
                <w:vAlign w:val="center"/>
              </w:tcPr>
              <w:p w14:paraId="4E857EB9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13.289</w:t>
                </w:r>
              </w:p>
            </w:tc>
          </w:tr>
          <w:tr w:rsidR="006A4D19" w:rsidRPr="00B04ACE" w14:paraId="2F29D1B5" w14:textId="77777777" w:rsidTr="00B04ACE">
            <w:trPr>
              <w:trHeight w:val="22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8DD1DE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Resultado operacional de los sectores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B90C64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1.704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D0A89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1.530</w:t>
                </w:r>
              </w:p>
            </w:tc>
          </w:tr>
          <w:tr w:rsidR="006A4D19" w:rsidRPr="00B04ACE" w14:paraId="6A9B757B" w14:textId="77777777" w:rsidTr="00B04ACE">
            <w:trPr>
              <w:trHeight w:val="238"/>
            </w:trPr>
            <w:tc>
              <w:tcPr>
                <w:tcW w:w="4971" w:type="dxa"/>
                <w:vAlign w:val="center"/>
              </w:tcPr>
              <w:p w14:paraId="725EDF79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Margen operacional de los sectores</w:t>
                </w:r>
              </w:p>
            </w:tc>
            <w:tc>
              <w:tcPr>
                <w:tcW w:w="1757" w:type="dxa"/>
                <w:vAlign w:val="center"/>
              </w:tcPr>
              <w:p w14:paraId="3CB02A2E" w14:textId="594EE2ED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12,1%</w:t>
                </w:r>
              </w:p>
            </w:tc>
            <w:tc>
              <w:tcPr>
                <w:tcW w:w="1757" w:type="dxa"/>
                <w:vAlign w:val="center"/>
              </w:tcPr>
              <w:p w14:paraId="4D4EFF0D" w14:textId="44BF0F2D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11,5%</w:t>
                </w:r>
              </w:p>
            </w:tc>
          </w:tr>
          <w:tr w:rsidR="006A4D19" w:rsidRPr="00B04ACE" w14:paraId="78BFC968" w14:textId="77777777" w:rsidTr="00B04ACE">
            <w:trPr>
              <w:trHeight w:val="242"/>
            </w:trPr>
            <w:tc>
              <w:tcPr>
                <w:tcW w:w="4971" w:type="dxa"/>
                <w:vAlign w:val="center"/>
              </w:tcPr>
              <w:p w14:paraId="68F6CEC4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 xml:space="preserve">Turismo </w:t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es-ES_tradnl"/>
                  </w:rPr>
                  <w:t>(2)</w:t>
                </w:r>
              </w:p>
            </w:tc>
            <w:tc>
              <w:tcPr>
                <w:tcW w:w="1757" w:type="dxa"/>
                <w:vAlign w:val="center"/>
              </w:tcPr>
              <w:p w14:paraId="5F67224C" w14:textId="426480C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12,3%</w:t>
                </w:r>
              </w:p>
            </w:tc>
            <w:tc>
              <w:tcPr>
                <w:tcW w:w="1757" w:type="dxa"/>
                <w:vAlign w:val="center"/>
              </w:tcPr>
              <w:p w14:paraId="129BA96F" w14:textId="70B61526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11,9%</w:t>
                </w:r>
              </w:p>
            </w:tc>
          </w:tr>
          <w:tr w:rsidR="006A4D19" w:rsidRPr="00B04ACE" w14:paraId="4BF1A1C7" w14:textId="77777777" w:rsidTr="00B04ACE">
            <w:trPr>
              <w:trHeight w:val="246"/>
            </w:trPr>
            <w:tc>
              <w:tcPr>
                <w:tcW w:w="4971" w:type="dxa"/>
                <w:vAlign w:val="center"/>
              </w:tcPr>
              <w:p w14:paraId="709EA2EC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trike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 xml:space="preserve">Camión </w:t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es-ES_tradnl"/>
                  </w:rPr>
                  <w:t>(2)</w:t>
                </w:r>
              </w:p>
            </w:tc>
            <w:tc>
              <w:tcPr>
                <w:tcW w:w="1757" w:type="dxa"/>
                <w:vAlign w:val="center"/>
              </w:tcPr>
              <w:p w14:paraId="10DD3997" w14:textId="24AD349A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5,0%</w:t>
                </w:r>
              </w:p>
            </w:tc>
            <w:tc>
              <w:tcPr>
                <w:tcW w:w="1757" w:type="dxa"/>
                <w:vAlign w:val="center"/>
              </w:tcPr>
              <w:p w14:paraId="11F70118" w14:textId="145650E9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9,1%</w:t>
                </w:r>
              </w:p>
            </w:tc>
          </w:tr>
          <w:tr w:rsidR="006A4D19" w:rsidRPr="00B04ACE" w14:paraId="3ABF4510" w14:textId="77777777" w:rsidTr="00B04ACE">
            <w:trPr>
              <w:trHeight w:val="25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D821A4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 xml:space="preserve">Actividades de Especialidades </w:t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es-ES_tradnl"/>
                  </w:rPr>
                  <w:t>(2)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8F5BF4" w14:textId="23C7B769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18,3%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C79581" w14:textId="4E6AC918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13,5%</w:t>
                </w:r>
              </w:p>
            </w:tc>
          </w:tr>
          <w:tr w:rsidR="006A4D19" w:rsidRPr="00B04ACE" w14:paraId="12DE5642" w14:textId="77777777" w:rsidTr="00B04ACE">
            <w:trPr>
              <w:trHeight w:val="268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C9506D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Otros ingresos y gastos de explotación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1F48BB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-90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35ED53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-273</w:t>
                </w:r>
              </w:p>
            </w:tc>
          </w:tr>
          <w:tr w:rsidR="006A4D19" w:rsidRPr="00B04ACE" w14:paraId="49AB2D48" w14:textId="77777777" w:rsidTr="00B04ACE">
            <w:trPr>
              <w:trHeight w:val="273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9FD1ED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Resultado operacional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457AE3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1.614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8582A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1.257</w:t>
                </w:r>
              </w:p>
            </w:tc>
          </w:tr>
          <w:tr w:rsidR="006A4D19" w:rsidRPr="00B04ACE" w14:paraId="3D11D6D0" w14:textId="77777777" w:rsidTr="00B04ACE">
            <w:trPr>
              <w:trHeight w:val="276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F4FDD2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Resultado neto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BA32E3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1.220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F00E2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843</w:t>
                </w:r>
              </w:p>
            </w:tc>
          </w:tr>
          <w:tr w:rsidR="006A4D19" w:rsidRPr="00B04ACE" w14:paraId="564AED59" w14:textId="77777777" w:rsidTr="00B04ACE">
            <w:trPr>
              <w:trHeight w:val="125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6AB4F0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Resultado neto por acción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C510D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1,70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E2EED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1,18</w:t>
                </w:r>
              </w:p>
            </w:tc>
          </w:tr>
          <w:tr w:rsidR="006A4D19" w:rsidRPr="00B04ACE" w14:paraId="6913E29A" w14:textId="77777777" w:rsidTr="00B04ACE">
            <w:trPr>
              <w:trHeight w:val="27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05277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EBITDA de los sectores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E85E9F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2.643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2C6DD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2.439</w:t>
                </w:r>
              </w:p>
            </w:tc>
          </w:tr>
          <w:tr w:rsidR="006A4D19" w:rsidRPr="00B04ACE" w14:paraId="07A2847C" w14:textId="77777777" w:rsidTr="00B04ACE">
            <w:trPr>
              <w:trHeight w:val="275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E91160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Inversiones excluyendo adquisiciones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4C6B24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772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B700B3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709</w:t>
                </w:r>
              </w:p>
            </w:tc>
          </w:tr>
          <w:tr w:rsidR="006A4D19" w:rsidRPr="00B04ACE" w14:paraId="5503D7C5" w14:textId="77777777" w:rsidTr="00B04ACE">
            <w:trPr>
              <w:trHeight w:val="278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C13808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Deuda neta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F459E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4.626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E6ACC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4.852</w:t>
                </w:r>
              </w:p>
            </w:tc>
          </w:tr>
          <w:tr w:rsidR="006A4D19" w:rsidRPr="00B04ACE" w14:paraId="732D51DC" w14:textId="77777777" w:rsidTr="00B04ACE">
            <w:trPr>
              <w:trHeight w:val="269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97B3C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Ratio de endeudamiento neto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795808" w14:textId="3FD40B3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26,6%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2FD54" w14:textId="71B17E60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29,9%</w:t>
                </w:r>
              </w:p>
            </w:tc>
          </w:tr>
          <w:tr w:rsidR="006A4D19" w:rsidRPr="00B04ACE" w14:paraId="0DE691E0" w14:textId="77777777" w:rsidTr="00B04ACE">
            <w:trPr>
              <w:trHeight w:val="272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AA56AA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 xml:space="preserve">Compromiso neto por beneficios a los empleados </w:t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es-ES_tradnl"/>
                  </w:rPr>
                  <w:t>(3)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CB8769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2.290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67DD8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2.267</w:t>
                </w:r>
              </w:p>
            </w:tc>
          </w:tr>
          <w:tr w:rsidR="006A4D19" w:rsidRPr="00B04ACE" w14:paraId="28777B2F" w14:textId="77777777" w:rsidTr="00B04ACE">
            <w:trPr>
              <w:trHeight w:val="277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770003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i/>
                    <w:sz w:val="18"/>
                    <w:szCs w:val="18"/>
                    <w:lang w:val="es-ES_tradnl"/>
                  </w:rPr>
                  <w:t xml:space="preserve">Cash </w:t>
                </w:r>
                <w:proofErr w:type="spellStart"/>
                <w:r w:rsidRPr="00B04ACE">
                  <w:rPr>
                    <w:rFonts w:ascii="Arial" w:eastAsia="Times New Roman" w:hAnsi="Arial" w:cs="Arial"/>
                    <w:bCs/>
                    <w:i/>
                    <w:sz w:val="18"/>
                    <w:szCs w:val="18"/>
                    <w:lang w:val="es-ES_tradnl"/>
                  </w:rPr>
                  <w:t>flow</w:t>
                </w:r>
                <w:proofErr w:type="spellEnd"/>
                <w:r w:rsidRPr="00B04ACE">
                  <w:rPr>
                    <w:rFonts w:ascii="Arial" w:eastAsia="Times New Roman" w:hAnsi="Arial" w:cs="Arial"/>
                    <w:bCs/>
                    <w:i/>
                    <w:sz w:val="18"/>
                    <w:szCs w:val="18"/>
                    <w:lang w:val="es-ES_tradnl"/>
                  </w:rPr>
                  <w:t xml:space="preserve"> </w:t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 xml:space="preserve">libre </w:t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es-ES_tradnl"/>
                  </w:rPr>
                  <w:t>(4)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8516D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770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68905F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-964</w:t>
                </w:r>
              </w:p>
            </w:tc>
          </w:tr>
          <w:tr w:rsidR="006A4D19" w:rsidRPr="00B04ACE" w14:paraId="4EE6F4C1" w14:textId="77777777" w:rsidTr="00B04ACE">
            <w:trPr>
              <w:trHeight w:val="28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BD786B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i/>
                    <w:iCs/>
                    <w:sz w:val="18"/>
                    <w:szCs w:val="18"/>
                    <w:lang w:val="es-ES_tradnl"/>
                  </w:rPr>
                  <w:t xml:space="preserve">Cash </w:t>
                </w:r>
                <w:proofErr w:type="spellStart"/>
                <w:r w:rsidRPr="00B04ACE">
                  <w:rPr>
                    <w:rFonts w:ascii="Arial" w:eastAsia="Times New Roman" w:hAnsi="Arial" w:cs="Arial"/>
                    <w:bCs/>
                    <w:i/>
                    <w:iCs/>
                    <w:sz w:val="18"/>
                    <w:szCs w:val="18"/>
                    <w:lang w:val="es-ES_tradnl"/>
                  </w:rPr>
                  <w:t>flow</w:t>
                </w:r>
                <w:proofErr w:type="spellEnd"/>
                <w:r w:rsidRPr="00B04ACE">
                  <w:rPr>
                    <w:rFonts w:ascii="Arial" w:eastAsia="Times New Roman" w:hAnsi="Arial" w:cs="Arial"/>
                    <w:bCs/>
                    <w:i/>
                    <w:iCs/>
                    <w:sz w:val="18"/>
                    <w:szCs w:val="18"/>
                    <w:lang w:val="es-ES_tradnl"/>
                  </w:rPr>
                  <w:t xml:space="preserve"> libre </w:t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>antes de adquisiciones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C15925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922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85A3BB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-1.014</w:t>
                </w:r>
              </w:p>
            </w:tc>
          </w:tr>
          <w:tr w:rsidR="006A4D19" w:rsidRPr="00B04ACE" w14:paraId="0FA99ED3" w14:textId="77777777" w:rsidTr="00B04ACE">
            <w:trPr>
              <w:trHeight w:val="270"/>
            </w:trPr>
            <w:tc>
              <w:tcPr>
                <w:tcW w:w="4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487652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lang w:val="es-ES_tradnl"/>
                  </w:rPr>
                  <w:t xml:space="preserve">Efectivo inscrito </w:t>
                </w:r>
                <w:r w:rsidRPr="00B04ACE">
                  <w:rPr>
                    <w:rFonts w:ascii="Arial" w:eastAsia="Times New Roman" w:hAnsi="Arial" w:cs="Arial"/>
                    <w:bCs/>
                    <w:sz w:val="18"/>
                    <w:szCs w:val="18"/>
                    <w:vertAlign w:val="superscript"/>
                    <w:lang w:val="es-ES_tradnl"/>
                  </w:rPr>
                  <w:t>(5)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EFD1FA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s-ES_tradnl"/>
                  </w:rPr>
                  <w:t>132.300</w:t>
                </w:r>
              </w:p>
            </w:tc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7216A" w14:textId="77777777" w:rsidR="006A4D19" w:rsidRPr="00B04ACE" w:rsidRDefault="006A4D19" w:rsidP="00B04ACE">
                <w:pPr>
                  <w:tabs>
                    <w:tab w:val="left" w:pos="360"/>
                  </w:tabs>
                  <w:spacing w:before="60"/>
                  <w:ind w:right="-46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</w:pPr>
                <w:r w:rsidRPr="00B04ACE">
                  <w:rPr>
                    <w:rFonts w:ascii="Arial" w:eastAsia="Times New Roman" w:hAnsi="Arial" w:cs="Arial"/>
                    <w:sz w:val="18"/>
                    <w:szCs w:val="18"/>
                    <w:lang w:val="es-ES_tradnl"/>
                  </w:rPr>
                  <w:t>127.400</w:t>
                </w:r>
              </w:p>
            </w:tc>
          </w:tr>
        </w:tbl>
        <w:p w14:paraId="793ECAC8" w14:textId="77777777" w:rsidR="006A4D19" w:rsidRPr="00B04ACE" w:rsidRDefault="006A4D19" w:rsidP="00B04ACE">
          <w:pPr>
            <w:autoSpaceDE w:val="0"/>
            <w:autoSpaceDN w:val="0"/>
            <w:adjustRightInd w:val="0"/>
            <w:spacing w:line="276" w:lineRule="auto"/>
            <w:ind w:left="-284" w:right="-46"/>
            <w:jc w:val="both"/>
            <w:rPr>
              <w:rFonts w:ascii="Arial" w:hAnsi="Arial" w:cs="Arial"/>
              <w:b/>
              <w:sz w:val="18"/>
              <w:szCs w:val="18"/>
              <w:lang w:val="es-ES_tradnl"/>
            </w:rPr>
          </w:pPr>
        </w:p>
        <w:p w14:paraId="78F65B74" w14:textId="77777777" w:rsidR="006A4D19" w:rsidRPr="00ED0EAD" w:rsidRDefault="006A4D19" w:rsidP="00ED0EAD">
          <w:pPr>
            <w:autoSpaceDE w:val="0"/>
            <w:autoSpaceDN w:val="0"/>
            <w:adjustRightInd w:val="0"/>
            <w:spacing w:before="60" w:after="60"/>
            <w:ind w:left="-284" w:right="-46"/>
            <w:jc w:val="both"/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</w:pPr>
          <w:r w:rsidRPr="00ED0EAD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es-ES_tradnl"/>
            </w:rPr>
            <w:t>(1)</w:t>
          </w:r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</w:t>
          </w:r>
          <w:r w:rsidRPr="00ED0EAD">
            <w:rPr>
              <w:rFonts w:ascii="Arial" w:eastAsia="Times New Roman" w:hAnsi="Arial" w:cs="Arial"/>
              <w:i/>
              <w:iCs/>
              <w:sz w:val="16"/>
              <w:szCs w:val="16"/>
              <w:lang w:val="es-ES_tradnl"/>
            </w:rPr>
            <w:t>El Consejo de Vigilancia revisó los estados financieros consolidados presentados por los Administradores en su reunión del 25 de julio de 2023.</w:t>
          </w:r>
        </w:p>
        <w:p w14:paraId="1E1F7AA3" w14:textId="77777777" w:rsidR="006A4D19" w:rsidRPr="00ED0EAD" w:rsidRDefault="006A4D19" w:rsidP="00ED0EAD">
          <w:pPr>
            <w:autoSpaceDE w:val="0"/>
            <w:autoSpaceDN w:val="0"/>
            <w:adjustRightInd w:val="0"/>
            <w:spacing w:before="60" w:after="60"/>
            <w:ind w:left="-284" w:right="-46"/>
            <w:jc w:val="both"/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</w:pPr>
          <w:r w:rsidRPr="00ED0EAD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es-ES_tradnl"/>
            </w:rPr>
            <w:t>(2)</w:t>
          </w:r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</w:t>
          </w:r>
          <w:r w:rsidRPr="00ED0EAD">
            <w:rPr>
              <w:rFonts w:ascii="Arial" w:eastAsia="Times New Roman" w:hAnsi="Arial" w:cs="Arial"/>
              <w:i/>
              <w:iCs/>
              <w:sz w:val="16"/>
              <w:szCs w:val="16"/>
              <w:lang w:val="es-ES_tradnl"/>
            </w:rPr>
            <w:t>Y distribución asociada</w:t>
          </w:r>
        </w:p>
        <w:p w14:paraId="38B07EAE" w14:textId="77777777" w:rsidR="006A4D19" w:rsidRPr="00ED0EAD" w:rsidRDefault="006A4D19" w:rsidP="00ED0EAD">
          <w:pPr>
            <w:pStyle w:val="Prrafodelista"/>
            <w:autoSpaceDE w:val="0"/>
            <w:autoSpaceDN w:val="0"/>
            <w:adjustRightInd w:val="0"/>
            <w:spacing w:before="60" w:after="60"/>
            <w:ind w:left="-284" w:right="-46"/>
            <w:contextualSpacing w:val="0"/>
            <w:jc w:val="both"/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</w:pPr>
          <w:r w:rsidRPr="00ED0EAD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es-ES_tradnl"/>
            </w:rPr>
            <w:t>(3)</w:t>
          </w:r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Ver Nota 15 de los Estados Financieros Intermedios Resumidos Consolidados.</w:t>
          </w:r>
        </w:p>
        <w:p w14:paraId="65F8AD47" w14:textId="77777777" w:rsidR="006A4D19" w:rsidRPr="00ED0EAD" w:rsidRDefault="006A4D19" w:rsidP="00ED0EAD">
          <w:pPr>
            <w:pStyle w:val="Prrafodelista"/>
            <w:autoSpaceDE w:val="0"/>
            <w:autoSpaceDN w:val="0"/>
            <w:adjustRightInd w:val="0"/>
            <w:spacing w:before="60" w:after="60"/>
            <w:ind w:left="-284" w:right="-46"/>
            <w:contextualSpacing w:val="0"/>
            <w:jc w:val="both"/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</w:pPr>
          <w:r w:rsidRPr="00ED0EAD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es-ES_tradnl"/>
            </w:rPr>
            <w:t>(4)</w:t>
          </w:r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Cash </w:t>
          </w:r>
          <w:proofErr w:type="spellStart"/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>flow</w:t>
          </w:r>
          <w:proofErr w:type="spellEnd"/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libre: Flujo de caja de las actividades de explotación menos flujo de caja de las actividades de inversión </w:t>
          </w:r>
          <w:proofErr w:type="spellStart"/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>reexpresado</w:t>
          </w:r>
          <w:proofErr w:type="spellEnd"/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por el flujo de caja neto de los activos financieros de gestión de caja y garantía de préstamo.</w:t>
          </w:r>
        </w:p>
        <w:p w14:paraId="101C755B" w14:textId="77777777" w:rsidR="006A4D19" w:rsidRPr="00ED0EAD" w:rsidRDefault="006A4D19" w:rsidP="00ED0EAD">
          <w:pPr>
            <w:pStyle w:val="Prrafodelista"/>
            <w:autoSpaceDE w:val="0"/>
            <w:autoSpaceDN w:val="0"/>
            <w:adjustRightInd w:val="0"/>
            <w:spacing w:before="60" w:after="60"/>
            <w:ind w:left="-284" w:right="-46"/>
            <w:contextualSpacing w:val="0"/>
            <w:jc w:val="both"/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</w:pPr>
          <w:r w:rsidRPr="00ED0EAD">
            <w:rPr>
              <w:rFonts w:ascii="Arial" w:hAnsi="Arial" w:cs="Arial"/>
              <w:i/>
              <w:iCs/>
              <w:sz w:val="16"/>
              <w:szCs w:val="16"/>
              <w:vertAlign w:val="superscript"/>
              <w:lang w:val="es-ES_tradnl"/>
            </w:rPr>
            <w:t xml:space="preserve">(5) </w:t>
          </w:r>
          <w:r w:rsidRPr="00ED0EAD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>Datos redondeados a la centena más cercana.</w:t>
          </w:r>
        </w:p>
        <w:p w14:paraId="435C3369" w14:textId="77777777" w:rsidR="006A4D19" w:rsidRPr="006A4D19" w:rsidRDefault="006A4D19" w:rsidP="00ED0EAD">
          <w:pPr>
            <w:spacing w:line="276" w:lineRule="auto"/>
            <w:ind w:left="-284"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A923EB8" w14:textId="177CEC64" w:rsidR="006C3818" w:rsidRPr="006A4D19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E85801C" w14:textId="52908C76" w:rsidR="006C3818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B695DE6" w14:textId="77777777" w:rsidR="00ED0EAD" w:rsidRPr="006A4D19" w:rsidRDefault="00ED0EAD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E695FFD" w14:textId="596C668F" w:rsidR="006C3818" w:rsidRPr="006A4D19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EA76A78" w14:textId="67AC545C" w:rsidR="006C3818" w:rsidRPr="006A4D19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92D344C" w14:textId="363C3083" w:rsidR="006C3818" w:rsidRPr="006A4D19" w:rsidRDefault="006C3818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B1DFBB4" w14:textId="77777777" w:rsidR="00416DE4" w:rsidRPr="006A4D19" w:rsidRDefault="00416DE4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B526B8C" w14:textId="77777777" w:rsidR="00416DE4" w:rsidRPr="006A4D19" w:rsidRDefault="00416DE4" w:rsidP="00B04ACE">
          <w:pPr>
            <w:spacing w:line="276" w:lineRule="auto"/>
            <w:ind w:right="-46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48342B4" w14:textId="484E34F5" w:rsidR="003C3FC0" w:rsidRPr="006A4D19" w:rsidRDefault="00000000" w:rsidP="00B04ACE">
          <w:pPr>
            <w:spacing w:line="276" w:lineRule="auto"/>
            <w:ind w:right="-46"/>
            <w:jc w:val="both"/>
            <w:rPr>
              <w:rFonts w:ascii="Arial" w:hAnsi="Arial" w:cs="Arial"/>
              <w:lang w:val="es-ES_tradnl"/>
            </w:rPr>
          </w:pPr>
        </w:p>
      </w:sdtContent>
    </w:sdt>
    <w:p w14:paraId="0C4D8941" w14:textId="77777777" w:rsidR="00082115" w:rsidRPr="006A4D19" w:rsidRDefault="00082115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es-ES_tradnl"/>
        </w:rPr>
      </w:pPr>
      <w:r w:rsidRPr="006A4D19">
        <w:rPr>
          <w:rFonts w:ascii="Arial" w:hAnsi="Arial" w:cs="Arial"/>
          <w:b/>
          <w:bCs/>
          <w:iCs/>
          <w:sz w:val="16"/>
          <w:szCs w:val="16"/>
          <w:lang w:val="es-ES_tradnl"/>
        </w:rPr>
        <w:t>Acerca de Michelin</w:t>
      </w:r>
    </w:p>
    <w:p w14:paraId="1597344B" w14:textId="77777777" w:rsidR="00082115" w:rsidRPr="006A4D19" w:rsidRDefault="00082115" w:rsidP="00082115">
      <w:pPr>
        <w:jc w:val="both"/>
        <w:rPr>
          <w:rFonts w:ascii="Arial" w:hAnsi="Arial" w:cs="Arial"/>
          <w:iCs/>
          <w:sz w:val="16"/>
          <w:szCs w:val="16"/>
          <w:lang w:val="es-ES_tradnl"/>
        </w:rPr>
      </w:pPr>
      <w:r w:rsidRPr="006A4D19">
        <w:rPr>
          <w:rFonts w:ascii="Arial" w:hAnsi="Arial" w:cs="Arial"/>
          <w:iCs/>
          <w:sz w:val="16"/>
          <w:szCs w:val="16"/>
          <w:lang w:val="es-ES_tradnl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175 países, emplea a 132.000 personas y dispone de 67 centros de producción que en 2022 han fabricado alrededor de 200 millones de neumáticos (</w:t>
      </w:r>
      <w:hyperlink r:id="rId8" w:history="1">
        <w:r w:rsidRPr="006A4D19">
          <w:rPr>
            <w:rStyle w:val="Hipervnculo"/>
            <w:rFonts w:ascii="Arial" w:hAnsi="Arial" w:cs="Arial"/>
            <w:iCs/>
            <w:sz w:val="16"/>
            <w:szCs w:val="16"/>
            <w:lang w:val="es-ES_tradnl"/>
          </w:rPr>
          <w:t>www.michelin.es</w:t>
        </w:r>
      </w:hyperlink>
      <w:r w:rsidRPr="006A4D19">
        <w:rPr>
          <w:rFonts w:ascii="Arial" w:hAnsi="Arial" w:cs="Arial"/>
          <w:iCs/>
          <w:sz w:val="16"/>
          <w:szCs w:val="16"/>
          <w:lang w:val="es-ES_tradnl"/>
        </w:rPr>
        <w:t>).</w:t>
      </w:r>
    </w:p>
    <w:p w14:paraId="04E2782E" w14:textId="77777777" w:rsidR="00416DE4" w:rsidRPr="006A4D19" w:rsidRDefault="00416DE4" w:rsidP="00CC6BAF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AF1FA51" w14:textId="5F5F6A64" w:rsidR="00816BB1" w:rsidRPr="006A4D19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6A4D19">
        <w:rPr>
          <w:rFonts w:ascii="Arial" w:hAnsi="Arial" w:cs="Arial"/>
          <w:sz w:val="16"/>
          <w:szCs w:val="16"/>
          <w:lang w:val="es-ES_tradnl"/>
        </w:rPr>
        <w:tab/>
      </w:r>
    </w:p>
    <w:p w14:paraId="226DB142" w14:textId="6535FD7A" w:rsidR="0052344F" w:rsidRPr="006A4D1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34A1C9E" w14:textId="2D38B76F" w:rsidR="0052344F" w:rsidRPr="006A4D1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E1F596" w14:textId="3E977AA5" w:rsidR="0052344F" w:rsidRPr="006A4D1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95BD20" w14:textId="5285720E" w:rsidR="0052344F" w:rsidRPr="006A4D1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4755F9F" w14:textId="05E23D1E" w:rsidR="0052344F" w:rsidRPr="006A4D19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7747D55" w14:textId="4C20ED27" w:rsidR="00CC6BAF" w:rsidRPr="006A4D19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_tradnl"/>
        </w:rPr>
      </w:pPr>
      <w:r w:rsidRPr="006A4D19">
        <w:rPr>
          <w:rFonts w:ascii="Arial" w:hAnsi="Arial" w:cs="Arial"/>
          <w:sz w:val="28"/>
          <w:szCs w:val="28"/>
          <w:lang w:val="es-ES_tradnl"/>
        </w:rPr>
        <w:t>DEPARTAMENTO DE COMUNICACIÓN CO</w:t>
      </w:r>
      <w:r w:rsidR="00422E33" w:rsidRPr="006A4D19">
        <w:rPr>
          <w:rFonts w:ascii="Arial" w:hAnsi="Arial" w:cs="Arial"/>
          <w:sz w:val="28"/>
          <w:szCs w:val="28"/>
          <w:lang w:val="es-ES_tradnl"/>
        </w:rPr>
        <w:t>RPORATIVA</w:t>
      </w:r>
    </w:p>
    <w:p w14:paraId="6AF8E33E" w14:textId="0865A4E4" w:rsidR="00CC6BAF" w:rsidRPr="006A4D19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6A4D19">
        <w:rPr>
          <w:rFonts w:ascii="Arial" w:hAnsi="Arial" w:cs="Arial"/>
          <w:b/>
          <w:bCs/>
          <w:sz w:val="28"/>
          <w:szCs w:val="28"/>
          <w:lang w:val="es-ES_tradnl"/>
        </w:rPr>
        <w:t>+3</w:t>
      </w:r>
      <w:r w:rsidR="003C3FC0" w:rsidRPr="006A4D19">
        <w:rPr>
          <w:rFonts w:ascii="Arial" w:hAnsi="Arial" w:cs="Arial"/>
          <w:b/>
          <w:bCs/>
          <w:sz w:val="28"/>
          <w:szCs w:val="28"/>
          <w:lang w:val="es-ES_tradnl"/>
        </w:rPr>
        <w:t>4</w:t>
      </w:r>
      <w:r w:rsidRPr="006A4D19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3C3FC0" w:rsidRPr="006A4D19">
        <w:rPr>
          <w:rFonts w:ascii="Arial" w:hAnsi="Arial" w:cs="Arial"/>
          <w:b/>
          <w:bCs/>
          <w:sz w:val="28"/>
          <w:szCs w:val="28"/>
          <w:lang w:val="es-ES_tradnl"/>
        </w:rPr>
        <w:t>6</w:t>
      </w:r>
      <w:r w:rsidR="00422E33" w:rsidRPr="006A4D19">
        <w:rPr>
          <w:rFonts w:ascii="Arial" w:hAnsi="Arial" w:cs="Arial"/>
          <w:b/>
          <w:bCs/>
          <w:sz w:val="28"/>
          <w:szCs w:val="28"/>
          <w:lang w:val="es-ES_tradnl"/>
        </w:rPr>
        <w:t>2</w:t>
      </w:r>
      <w:r w:rsidR="003C3FC0" w:rsidRPr="006A4D19">
        <w:rPr>
          <w:rFonts w:ascii="Arial" w:hAnsi="Arial" w:cs="Arial"/>
          <w:b/>
          <w:bCs/>
          <w:sz w:val="28"/>
          <w:szCs w:val="28"/>
          <w:lang w:val="es-ES_tradnl"/>
        </w:rPr>
        <w:t xml:space="preserve">9 </w:t>
      </w:r>
      <w:r w:rsidR="00422E33" w:rsidRPr="006A4D19">
        <w:rPr>
          <w:rFonts w:ascii="Arial" w:hAnsi="Arial" w:cs="Arial"/>
          <w:b/>
          <w:bCs/>
          <w:sz w:val="28"/>
          <w:szCs w:val="28"/>
          <w:lang w:val="es-ES_tradnl"/>
        </w:rPr>
        <w:t>865</w:t>
      </w:r>
      <w:r w:rsidR="003C3FC0" w:rsidRPr="006A4D19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422E33" w:rsidRPr="006A4D19">
        <w:rPr>
          <w:rFonts w:ascii="Arial" w:hAnsi="Arial" w:cs="Arial"/>
          <w:b/>
          <w:bCs/>
          <w:sz w:val="28"/>
          <w:szCs w:val="28"/>
          <w:lang w:val="es-ES_tradnl"/>
        </w:rPr>
        <w:t>612</w:t>
      </w:r>
    </w:p>
    <w:p w14:paraId="59E2FE0A" w14:textId="04F71A23" w:rsidR="00CC6BAF" w:rsidRPr="006A4D19" w:rsidRDefault="0000000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_tradnl"/>
        </w:rPr>
      </w:pPr>
      <w:hyperlink r:id="rId9" w:history="1">
        <w:r w:rsidR="006C7776" w:rsidRPr="006A4D19">
          <w:rPr>
            <w:rStyle w:val="Hipervnculo"/>
            <w:rFonts w:ascii="Arial" w:hAnsi="Arial" w:cs="Arial"/>
            <w:sz w:val="28"/>
            <w:szCs w:val="28"/>
            <w:lang w:val="es-ES_tradnl"/>
          </w:rPr>
          <w:t>hugo.ureta-alonso@michelin.com</w:t>
        </w:r>
      </w:hyperlink>
    </w:p>
    <w:p w14:paraId="7438ACE2" w14:textId="63548FC3" w:rsidR="00CC6BAF" w:rsidRPr="006A4D19" w:rsidRDefault="00CC6BAF" w:rsidP="00CC6BAF">
      <w:pPr>
        <w:jc w:val="center"/>
        <w:rPr>
          <w:rFonts w:ascii="Arial" w:hAnsi="Arial" w:cs="Arial"/>
          <w:lang w:val="es-ES_tradnl"/>
        </w:rPr>
      </w:pPr>
      <w:r w:rsidRPr="006A4D19">
        <w:rPr>
          <w:rFonts w:ascii="Arial" w:hAnsi="Arial" w:cs="Arial"/>
          <w:noProof/>
          <w:sz w:val="36"/>
          <w:szCs w:val="36"/>
          <w:lang w:val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A4D19" w14:paraId="0DF1306C" w14:textId="77777777" w:rsidTr="00CC6BAF">
        <w:tc>
          <w:tcPr>
            <w:tcW w:w="9016" w:type="dxa"/>
          </w:tcPr>
          <w:p w14:paraId="22D61BD2" w14:textId="77777777" w:rsidR="00CC6BAF" w:rsidRPr="006A4D19" w:rsidRDefault="00000000" w:rsidP="00CC6BAF">
            <w:pPr>
              <w:jc w:val="center"/>
              <w:rPr>
                <w:rStyle w:val="Hipervnculo"/>
                <w:rFonts w:ascii="Arial" w:hAnsi="Arial" w:cs="Arial"/>
                <w:lang w:val="es-ES_tradnl"/>
              </w:rPr>
            </w:pPr>
            <w:hyperlink r:id="rId12" w:history="1">
              <w:r w:rsidR="003C3FC0" w:rsidRPr="006A4D19">
                <w:rPr>
                  <w:rStyle w:val="Hipervnculo"/>
                  <w:rFonts w:ascii="Arial" w:hAnsi="Arial" w:cs="Arial"/>
                  <w:lang w:val="es-ES_tradnl"/>
                </w:rPr>
                <w:t>www.michelin.es</w:t>
              </w:r>
            </w:hyperlink>
          </w:p>
          <w:p w14:paraId="64CFAB72" w14:textId="23F90233" w:rsidR="00802F0B" w:rsidRPr="006A4D19" w:rsidRDefault="00802F0B" w:rsidP="00CC6BAF">
            <w:pPr>
              <w:jc w:val="center"/>
              <w:rPr>
                <w:rFonts w:ascii="Arial" w:hAnsi="Arial" w:cs="Arial"/>
                <w:color w:val="08519D"/>
                <w:lang w:val="es-ES_tradnl"/>
              </w:rPr>
            </w:pPr>
          </w:p>
        </w:tc>
      </w:tr>
      <w:tr w:rsidR="00CC6BAF" w:rsidRPr="006A4D19" w14:paraId="148A590E" w14:textId="77777777" w:rsidTr="00CC6BAF">
        <w:tc>
          <w:tcPr>
            <w:tcW w:w="9016" w:type="dxa"/>
          </w:tcPr>
          <w:p w14:paraId="78DB6A4F" w14:textId="540DC490" w:rsidR="00CC6BAF" w:rsidRPr="006A4D19" w:rsidRDefault="00802F0B" w:rsidP="00CC6BAF">
            <w:pPr>
              <w:jc w:val="center"/>
              <w:rPr>
                <w:rFonts w:ascii="Arial" w:hAnsi="Arial" w:cs="Arial"/>
                <w:color w:val="08519D"/>
                <w:lang w:val="es-ES_tradnl"/>
              </w:rPr>
            </w:pPr>
            <w:r w:rsidRPr="006A4D19">
              <w:rPr>
                <w:lang w:val="es-ES_tradnl"/>
              </w:rPr>
              <w:t xml:space="preserve">   </w:t>
            </w:r>
            <w:r w:rsidRPr="006A4D19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6A4D1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_tradnl"/>
                </w:rPr>
                <w:t>@MichelinNews</w:t>
              </w:r>
            </w:hyperlink>
            <w:r w:rsidRPr="006A4D19">
              <w:rPr>
                <w:rFonts w:ascii="Arial" w:eastAsia="Arial" w:hAnsi="Arial" w:cs="Arial"/>
                <w:color w:val="08519D"/>
                <w:sz w:val="20"/>
                <w:szCs w:val="20"/>
                <w:lang w:val="es-ES_tradnl"/>
              </w:rPr>
              <w:t xml:space="preserve">  </w:t>
            </w:r>
            <w:r w:rsidRPr="006A4D19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4E22AC" wp14:editId="0A3C99FC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4D19">
              <w:rPr>
                <w:rFonts w:ascii="Arial" w:eastAsia="Arial" w:hAnsi="Arial" w:cs="Arial"/>
                <w:color w:val="08519D"/>
                <w:sz w:val="20"/>
                <w:szCs w:val="20"/>
                <w:lang w:val="es-ES_tradnl"/>
              </w:rPr>
              <w:t xml:space="preserve"> </w:t>
            </w:r>
            <w:hyperlink r:id="rId16" w:history="1">
              <w:r w:rsidRPr="006A4D1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_tradnl"/>
                </w:rPr>
                <w:t>@Michelinespana</w:t>
              </w:r>
            </w:hyperlink>
            <w:r w:rsidRPr="006A4D19">
              <w:rPr>
                <w:rFonts w:ascii="Arial" w:eastAsia="Arial" w:hAnsi="Arial" w:cs="Arial"/>
                <w:color w:val="08519D"/>
                <w:sz w:val="20"/>
                <w:szCs w:val="20"/>
                <w:lang w:val="es-ES_tradnl"/>
              </w:rPr>
              <w:t xml:space="preserve">  </w:t>
            </w:r>
            <w:r w:rsidRPr="006A4D19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ECDD374" wp14:editId="1557C85C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4D19">
              <w:rPr>
                <w:rFonts w:ascii="Arial" w:eastAsia="Arial" w:hAnsi="Arial" w:cs="Arial"/>
                <w:color w:val="08519D"/>
                <w:sz w:val="20"/>
                <w:szCs w:val="20"/>
                <w:lang w:val="es-ES_tradnl"/>
              </w:rPr>
              <w:t xml:space="preserve"> </w:t>
            </w:r>
            <w:hyperlink r:id="rId18" w:history="1">
              <w:r w:rsidRPr="006A4D1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_tradnl"/>
                </w:rPr>
                <w:t>@Michelinespana</w:t>
              </w:r>
            </w:hyperlink>
            <w:r w:rsidRPr="006A4D19">
              <w:rPr>
                <w:rFonts w:ascii="Arial" w:eastAsia="Arial" w:hAnsi="Arial" w:cs="Arial"/>
                <w:color w:val="08519D"/>
                <w:sz w:val="20"/>
                <w:szCs w:val="20"/>
                <w:lang w:val="es-ES_tradnl"/>
              </w:rPr>
              <w:t xml:space="preserve">  </w:t>
            </w:r>
            <w:r w:rsidRPr="006A4D19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6B9334" wp14:editId="5023FF27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4D19">
              <w:rPr>
                <w:rFonts w:ascii="Arial" w:eastAsia="Arial" w:hAnsi="Arial" w:cs="Arial"/>
                <w:color w:val="08519D"/>
                <w:sz w:val="20"/>
                <w:szCs w:val="20"/>
                <w:lang w:val="es-ES_tradnl"/>
              </w:rPr>
              <w:t xml:space="preserve"> </w:t>
            </w:r>
            <w:hyperlink r:id="rId20" w:history="1">
              <w:r w:rsidRPr="006A4D19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_tradnl"/>
                </w:rPr>
                <w:t>@Michelin</w:t>
              </w:r>
            </w:hyperlink>
          </w:p>
        </w:tc>
      </w:tr>
    </w:tbl>
    <w:p w14:paraId="7C41D2FE" w14:textId="77777777" w:rsidR="00CC6BAF" w:rsidRPr="006A4D19" w:rsidRDefault="00CC6BAF" w:rsidP="00CC6BAF">
      <w:pPr>
        <w:jc w:val="center"/>
        <w:rPr>
          <w:rFonts w:ascii="Arial" w:hAnsi="Arial" w:cs="Arial"/>
          <w:lang w:val="es-ES_tradnl"/>
        </w:rPr>
      </w:pPr>
    </w:p>
    <w:p w14:paraId="35E7F4EF" w14:textId="7E5A4CD2" w:rsidR="00387E23" w:rsidRPr="006A4D19" w:rsidRDefault="006C7776" w:rsidP="00CC6BAF">
      <w:pPr>
        <w:jc w:val="center"/>
        <w:rPr>
          <w:rFonts w:ascii="Arial" w:hAnsi="Arial" w:cs="Arial"/>
          <w:lang w:val="es-ES_tradnl"/>
        </w:rPr>
      </w:pPr>
      <w:r w:rsidRPr="006A4D19">
        <w:rPr>
          <w:rFonts w:ascii="Arial" w:hAnsi="Arial" w:cs="Arial"/>
          <w:lang w:val="es-ES_tradnl"/>
        </w:rPr>
        <w:t xml:space="preserve">Ronda de Poniente, 6 </w:t>
      </w:r>
      <w:r w:rsidR="003C3FC0" w:rsidRPr="006A4D19">
        <w:rPr>
          <w:rFonts w:ascii="Arial" w:hAnsi="Arial" w:cs="Arial"/>
          <w:lang w:val="es-ES_tradnl"/>
        </w:rPr>
        <w:t>– 28760 Tres Cantos – Madrid. ESPAÑA</w:t>
      </w:r>
    </w:p>
    <w:sectPr w:rsidR="00387E23" w:rsidRPr="006A4D19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FFAD" w14:textId="77777777" w:rsidR="0065727B" w:rsidRDefault="0065727B" w:rsidP="00F24D98">
      <w:r>
        <w:separator/>
      </w:r>
    </w:p>
  </w:endnote>
  <w:endnote w:type="continuationSeparator" w:id="0">
    <w:p w14:paraId="76B9D50E" w14:textId="77777777" w:rsidR="0065727B" w:rsidRDefault="0065727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C098" w14:textId="77777777" w:rsidR="0065727B" w:rsidRDefault="0065727B" w:rsidP="00F24D98">
      <w:r>
        <w:separator/>
      </w:r>
    </w:p>
  </w:footnote>
  <w:footnote w:type="continuationSeparator" w:id="0">
    <w:p w14:paraId="3B958706" w14:textId="77777777" w:rsidR="0065727B" w:rsidRDefault="0065727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281848849" name="Imagen 281848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20368116" name="Imagen 20368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621023129" name="Imagen 621023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4A89"/>
    <w:multiLevelType w:val="hybridMultilevel"/>
    <w:tmpl w:val="7A4E5EC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4472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2"/>
  </w:num>
  <w:num w:numId="2" w16cid:durableId="543907402">
    <w:abstractNumId w:val="1"/>
  </w:num>
  <w:num w:numId="3" w16cid:durableId="629554644">
    <w:abstractNumId w:val="3"/>
  </w:num>
  <w:num w:numId="4" w16cid:durableId="74745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82115"/>
    <w:rsid w:val="00087726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5727B"/>
    <w:rsid w:val="006920B7"/>
    <w:rsid w:val="006A4D19"/>
    <w:rsid w:val="006C3818"/>
    <w:rsid w:val="006C44F0"/>
    <w:rsid w:val="006C7776"/>
    <w:rsid w:val="006D398C"/>
    <w:rsid w:val="006D4CB8"/>
    <w:rsid w:val="00707806"/>
    <w:rsid w:val="007E51AC"/>
    <w:rsid w:val="007F37A6"/>
    <w:rsid w:val="00802F0B"/>
    <w:rsid w:val="00816BB1"/>
    <w:rsid w:val="00834943"/>
    <w:rsid w:val="0083779A"/>
    <w:rsid w:val="00842005"/>
    <w:rsid w:val="0085450A"/>
    <w:rsid w:val="00877AE5"/>
    <w:rsid w:val="008B072F"/>
    <w:rsid w:val="008F3690"/>
    <w:rsid w:val="008F5893"/>
    <w:rsid w:val="0093532F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B04ACE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E46580"/>
    <w:rsid w:val="00E926C4"/>
    <w:rsid w:val="00EA512D"/>
    <w:rsid w:val="00ED0EAD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aliases w:val="Puces Niveau 1,Paragraphe de liste1"/>
    <w:basedOn w:val="Normal"/>
    <w:link w:val="PrrafodelistaCar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PrrafodelistaCar">
    <w:name w:val="Párrafo de lista Car"/>
    <w:aliases w:val="Puces Niveau 1 Car,Paragraphe de liste1 Car"/>
    <w:basedOn w:val="Fuentedeprrafopredeter"/>
    <w:link w:val="Prrafodelista"/>
    <w:uiPriority w:val="34"/>
    <w:rsid w:val="006A4D19"/>
    <w:rPr>
      <w:rFonts w:ascii="Utopia" w:eastAsia="Times New Roman" w:hAnsi="Utopi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1020</Words>
  <Characters>5615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33</cp:revision>
  <dcterms:created xsi:type="dcterms:W3CDTF">2021-03-01T16:33:00Z</dcterms:created>
  <dcterms:modified xsi:type="dcterms:W3CDTF">2023-07-26T17:21:00Z</dcterms:modified>
</cp:coreProperties>
</file>