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7B4EBA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7B4EBA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7B4EBA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7B4EBA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7B4EBA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7B4EBA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7B4EBA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7B4EBA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63436CCD" w:rsidR="006D398C" w:rsidRPr="007B4EBA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7B4EBA">
        <w:rPr>
          <w:rFonts w:ascii="Arial" w:hAnsi="Arial" w:cs="Arial"/>
          <w:sz w:val="20"/>
          <w:szCs w:val="20"/>
          <w:lang w:val="pt-PT"/>
        </w:rPr>
        <w:t xml:space="preserve">   </w:t>
      </w:r>
      <w:r w:rsidR="009B2E8B" w:rsidRPr="007B4EBA">
        <w:rPr>
          <w:rFonts w:ascii="Arial" w:hAnsi="Arial" w:cs="Arial"/>
          <w:sz w:val="20"/>
          <w:szCs w:val="20"/>
          <w:lang w:val="pt-PT"/>
        </w:rPr>
        <w:t>Lisboa</w:t>
      </w:r>
      <w:r w:rsidR="00BE269E" w:rsidRPr="007B4EBA">
        <w:rPr>
          <w:rFonts w:ascii="Arial" w:hAnsi="Arial" w:cs="Arial"/>
          <w:sz w:val="20"/>
          <w:szCs w:val="20"/>
          <w:lang w:val="pt-PT"/>
        </w:rPr>
        <w:t xml:space="preserve">, </w:t>
      </w:r>
      <w:r w:rsidR="006A4D19" w:rsidRPr="007B4EBA">
        <w:rPr>
          <w:rFonts w:ascii="Arial" w:hAnsi="Arial" w:cs="Arial"/>
          <w:sz w:val="20"/>
          <w:szCs w:val="20"/>
          <w:lang w:val="pt-PT"/>
        </w:rPr>
        <w:t>2</w:t>
      </w:r>
      <w:r w:rsidR="00953AFA">
        <w:rPr>
          <w:rFonts w:ascii="Arial" w:hAnsi="Arial" w:cs="Arial"/>
          <w:sz w:val="20"/>
          <w:szCs w:val="20"/>
          <w:lang w:val="pt-PT"/>
        </w:rPr>
        <w:t>7</w:t>
      </w:r>
      <w:r w:rsidR="00BE269E" w:rsidRPr="007B4EBA">
        <w:rPr>
          <w:rFonts w:ascii="Arial" w:hAnsi="Arial" w:cs="Arial"/>
          <w:sz w:val="20"/>
          <w:szCs w:val="20"/>
          <w:lang w:val="pt-PT"/>
        </w:rPr>
        <w:t xml:space="preserve"> de </w:t>
      </w:r>
      <w:r w:rsidR="006A4D19" w:rsidRPr="007B4EBA">
        <w:rPr>
          <w:rFonts w:ascii="Arial" w:hAnsi="Arial" w:cs="Arial"/>
          <w:sz w:val="20"/>
          <w:szCs w:val="20"/>
          <w:lang w:val="pt-PT"/>
        </w:rPr>
        <w:t>jul</w:t>
      </w:r>
      <w:r w:rsidR="009B2E8B" w:rsidRPr="007B4EBA">
        <w:rPr>
          <w:rFonts w:ascii="Arial" w:hAnsi="Arial" w:cs="Arial"/>
          <w:sz w:val="20"/>
          <w:szCs w:val="20"/>
          <w:lang w:val="pt-PT"/>
        </w:rPr>
        <w:t xml:space="preserve">ho de </w:t>
      </w:r>
      <w:r w:rsidR="006D398C" w:rsidRPr="007B4EBA">
        <w:rPr>
          <w:rFonts w:ascii="Arial" w:hAnsi="Arial" w:cs="Arial"/>
          <w:sz w:val="20"/>
          <w:szCs w:val="20"/>
          <w:lang w:val="pt-PT"/>
        </w:rPr>
        <w:t>202</w:t>
      </w:r>
      <w:r w:rsidR="00842005" w:rsidRPr="007B4EBA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14:paraId="75083583" w14:textId="77777777" w:rsidR="006D398C" w:rsidRPr="007B4EBA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362A30DC" w14:textId="77777777" w:rsidR="006A4D19" w:rsidRPr="007B4EBA" w:rsidRDefault="006A4D19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32D180A" w14:textId="5E7E7FD9" w:rsidR="006A4D19" w:rsidRPr="007B4EBA" w:rsidRDefault="006A4D19" w:rsidP="00B04ACE">
          <w:pPr>
            <w:ind w:right="-46"/>
            <w:jc w:val="center"/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</w:pPr>
          <w:r w:rsidRPr="007B4EBA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>Informa</w:t>
          </w:r>
          <w:r w:rsidR="009B2E8B" w:rsidRPr="007B4EBA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 xml:space="preserve">ção </w:t>
          </w:r>
          <w:r w:rsidRPr="007B4EBA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>financ</w:t>
          </w:r>
          <w:r w:rsidR="009B2E8B" w:rsidRPr="007B4EBA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>ei</w:t>
          </w:r>
          <w:r w:rsidRPr="007B4EBA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>ra d</w:t>
          </w:r>
          <w:r w:rsidR="009B2E8B" w:rsidRPr="007B4EBA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 xml:space="preserve">o </w:t>
          </w:r>
          <w:r w:rsidRPr="007B4EBA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>grupo Michelin a 30 de jun</w:t>
          </w:r>
          <w:r w:rsidR="009B2E8B" w:rsidRPr="007B4EBA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>h</w:t>
          </w:r>
          <w:r w:rsidRPr="007B4EBA">
            <w:rPr>
              <w:rFonts w:ascii="Helvetica" w:hAnsi="Helvetica" w:cs="Helvetica"/>
              <w:b/>
              <w:bCs/>
              <w:sz w:val="28"/>
              <w:szCs w:val="28"/>
              <w:lang w:val="pt-PT"/>
            </w:rPr>
            <w:t>o de 2023</w:t>
          </w:r>
        </w:p>
        <w:p w14:paraId="340009C1" w14:textId="77777777" w:rsidR="006A4D19" w:rsidRPr="007B4EBA" w:rsidRDefault="006A4D19" w:rsidP="00B04ACE">
          <w:pPr>
            <w:ind w:left="-142" w:right="-46"/>
            <w:rPr>
              <w:rFonts w:ascii="Verdana" w:eastAsia="Times New Roman" w:hAnsi="Verdana" w:cs="Times New Roman"/>
              <w:b/>
              <w:sz w:val="18"/>
              <w:szCs w:val="16"/>
              <w:highlight w:val="yellow"/>
              <w:lang w:val="pt-PT"/>
            </w:rPr>
          </w:pPr>
        </w:p>
        <w:p w14:paraId="3563C475" w14:textId="77777777" w:rsidR="006A4D19" w:rsidRPr="007B4EBA" w:rsidRDefault="006A4D19" w:rsidP="00B04ACE">
          <w:pPr>
            <w:ind w:right="-46"/>
            <w:contextualSpacing/>
            <w:jc w:val="center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bookmarkStart w:id="0" w:name="_Hlk94281294"/>
        </w:p>
        <w:p w14:paraId="00830DF4" w14:textId="72AD01D9" w:rsidR="006A4D19" w:rsidRPr="007B4EBA" w:rsidRDefault="006A4D19" w:rsidP="00B04ACE">
          <w:pPr>
            <w:ind w:right="-46"/>
            <w:contextualSpacing/>
            <w:jc w:val="center"/>
            <w:rPr>
              <w:rFonts w:ascii="Arial" w:hAnsi="Arial" w:cs="Arial"/>
              <w:b/>
              <w:bCs/>
              <w:sz w:val="22"/>
              <w:szCs w:val="22"/>
              <w:lang w:val="pt-PT"/>
            </w:rPr>
          </w:pPr>
          <w:r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Michelin regist</w:t>
          </w:r>
          <w:r w:rsidR="009B2E8B"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ou </w:t>
          </w:r>
          <w:r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u</w:t>
          </w:r>
          <w:r w:rsidR="009B2E8B"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 xml:space="preserve">m </w:t>
          </w:r>
          <w:r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cre</w:t>
          </w:r>
          <w:r w:rsidR="009B2E8B"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s</w:t>
          </w:r>
          <w:r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 xml:space="preserve">cimento </w:t>
          </w:r>
          <w:r w:rsidR="009B2E8B"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 xml:space="preserve">das </w:t>
          </w:r>
          <w:r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su</w:t>
          </w:r>
          <w:r w:rsidR="009B2E8B"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a</w:t>
          </w:r>
          <w:r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s ven</w:t>
          </w:r>
          <w:r w:rsidR="009B2E8B"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d</w:t>
          </w:r>
          <w:r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as de 5,9% nos prime</w:t>
          </w:r>
          <w:r w:rsidR="009B2E8B"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i</w:t>
          </w:r>
          <w:r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ros seis meses de 2023</w:t>
          </w:r>
          <w:r w:rsidR="009B2E8B"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 xml:space="preserve">, e um </w:t>
          </w:r>
          <w:r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aumento de</w:t>
          </w:r>
          <w:r w:rsidR="009B2E8B"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 xml:space="preserve"> </w:t>
          </w:r>
          <w:r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 xml:space="preserve">11,4% </w:t>
          </w:r>
          <w:r w:rsidR="009B2E8B"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 xml:space="preserve">do </w:t>
          </w:r>
          <w:r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s</w:t>
          </w:r>
          <w:r w:rsidR="009B2E8B"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e</w:t>
          </w:r>
          <w:r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 xml:space="preserve">u resultado operacional, </w:t>
          </w:r>
          <w:r w:rsidR="009B2E8B"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num </w:t>
          </w:r>
          <w:r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contexto de mercados desfavor</w:t>
          </w:r>
          <w:r w:rsidR="009B2E8B"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áveis</w:t>
          </w:r>
          <w:r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. </w:t>
          </w:r>
          <w:r w:rsidR="009B2E8B"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O </w:t>
          </w:r>
          <w:r w:rsidRPr="007B4EBA"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PT"/>
            </w:rPr>
            <w:t xml:space="preserve">cash </w:t>
          </w:r>
          <w:proofErr w:type="spellStart"/>
          <w:r w:rsidRPr="007B4EBA"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PT"/>
            </w:rPr>
            <w:t>flow</w:t>
          </w:r>
          <w:proofErr w:type="spellEnd"/>
          <w:r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 li</w:t>
          </w:r>
          <w:r w:rsidR="009B2E8B"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v</w:t>
          </w:r>
          <w:r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re </w:t>
          </w:r>
          <w:r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antes de aquisi</w:t>
          </w:r>
          <w:r w:rsidR="009B2E8B"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 xml:space="preserve">ções </w:t>
          </w:r>
          <w:r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f</w:t>
          </w:r>
          <w:r w:rsidR="009B2E8B"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 xml:space="preserve">oi </w:t>
          </w:r>
          <w:r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de 922</w:t>
          </w:r>
          <w:r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 </w:t>
          </w:r>
          <w:r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mil</w:t>
          </w:r>
          <w:r w:rsidR="009B2E8B"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>hõ</w:t>
          </w:r>
          <w:r w:rsidRPr="007B4EBA">
            <w:rPr>
              <w:rFonts w:ascii="Arial" w:eastAsia="Times New Roman" w:hAnsi="Arial" w:cs="Arial"/>
              <w:b/>
              <w:bCs/>
              <w:sz w:val="22"/>
              <w:szCs w:val="22"/>
              <w:lang w:val="pt-PT"/>
            </w:rPr>
            <w:t xml:space="preserve">es de euros. </w:t>
          </w:r>
          <w:r w:rsidR="009B2E8B"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A </w:t>
          </w:r>
          <w:r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previs</w:t>
          </w:r>
          <w:r w:rsidR="009B2E8B"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ão </w:t>
          </w:r>
          <w:r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anual </w:t>
          </w:r>
          <w:r w:rsidR="009B2E8B"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é </w:t>
          </w:r>
          <w:r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revis</w:t>
          </w:r>
          <w:r w:rsidR="009B2E8B"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t</w:t>
          </w:r>
          <w:r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a </w:t>
          </w:r>
          <w:r w:rsidR="009B2E8B"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em </w:t>
          </w:r>
          <w:r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al</w:t>
          </w:r>
          <w:r w:rsidR="009B2E8B"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ta</w:t>
          </w:r>
          <w:r w:rsidRPr="007B4EBA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.</w:t>
          </w:r>
        </w:p>
        <w:p w14:paraId="3EBAFF24" w14:textId="77777777" w:rsidR="006A4D19" w:rsidRPr="007B4EBA" w:rsidRDefault="006A4D19" w:rsidP="00B04ACE">
          <w:pPr>
            <w:spacing w:after="60"/>
            <w:ind w:left="-426" w:right="-46"/>
            <w:rPr>
              <w:rFonts w:ascii="Verdana" w:hAnsi="Verdana"/>
              <w:sz w:val="18"/>
              <w:szCs w:val="28"/>
              <w:lang w:val="pt-PT"/>
            </w:rPr>
          </w:pPr>
        </w:p>
        <w:p w14:paraId="26DAD615" w14:textId="3258E6E9" w:rsidR="006A4D19" w:rsidRPr="007B4EBA" w:rsidRDefault="007B4EBA" w:rsidP="00B04ACE">
          <w:pPr>
            <w:spacing w:after="60"/>
            <w:ind w:left="-426" w:right="-46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V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en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as aumentar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am 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5,9%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para 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14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100 mil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hõe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 de euros, impuls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ion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adas por u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ma 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política de pre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os din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â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mica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e por um 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rápido cre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cimento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as ven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as de produtos distintos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:</w:t>
          </w:r>
        </w:p>
        <w:p w14:paraId="3453A5F1" w14:textId="0127DA81" w:rsidR="006A4D19" w:rsidRPr="007B4EBA" w:rsidRDefault="007B4EBA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8"/>
            <w:contextualSpacing w:val="0"/>
            <w:jc w:val="both"/>
            <w:rPr>
              <w:rFonts w:ascii="Arial" w:hAnsi="Arial" w:cs="Arial"/>
              <w:b/>
              <w:bCs/>
              <w:lang w:val="pt-PT"/>
            </w:rPr>
          </w:pPr>
          <w:r>
            <w:rPr>
              <w:rFonts w:ascii="Arial" w:hAnsi="Arial" w:cs="Arial"/>
              <w:lang w:val="pt-PT"/>
            </w:rPr>
            <w:t>M</w:t>
          </w:r>
          <w:r w:rsidR="006A4D19" w:rsidRPr="007B4EBA">
            <w:rPr>
              <w:rFonts w:ascii="Arial" w:hAnsi="Arial" w:cs="Arial"/>
              <w:lang w:val="pt-PT"/>
            </w:rPr>
            <w:t xml:space="preserve">ercados de </w:t>
          </w:r>
          <w:r>
            <w:rPr>
              <w:rFonts w:ascii="Arial" w:hAnsi="Arial" w:cs="Arial"/>
              <w:lang w:val="pt-PT"/>
            </w:rPr>
            <w:t>p</w:t>
          </w:r>
          <w:r w:rsidR="006A4D19" w:rsidRPr="007B4EBA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 xml:space="preserve">s </w:t>
          </w:r>
          <w:r w:rsidR="006A4D19" w:rsidRPr="007B4EBA">
            <w:rPr>
              <w:rFonts w:ascii="Arial" w:hAnsi="Arial" w:cs="Arial"/>
              <w:lang w:val="pt-PT"/>
            </w:rPr>
            <w:t>mant</w:t>
          </w:r>
          <w:r>
            <w:rPr>
              <w:rFonts w:ascii="Arial" w:hAnsi="Arial" w:cs="Arial"/>
              <w:lang w:val="pt-PT"/>
            </w:rPr>
            <w:t xml:space="preserve">iveram-se estáveis </w:t>
          </w:r>
          <w:r w:rsidR="006A4D19" w:rsidRPr="007B4EBA">
            <w:rPr>
              <w:rFonts w:ascii="Arial" w:hAnsi="Arial" w:cs="Arial"/>
              <w:lang w:val="pt-PT"/>
            </w:rPr>
            <w:t>para os turismos</w:t>
          </w:r>
          <w:r>
            <w:rPr>
              <w:rFonts w:ascii="Arial" w:hAnsi="Arial" w:cs="Arial"/>
              <w:lang w:val="pt-PT"/>
            </w:rPr>
            <w:t xml:space="preserve">, e em </w:t>
          </w:r>
          <w:r w:rsidR="006A4D19" w:rsidRPr="007B4EBA">
            <w:rPr>
              <w:rFonts w:ascii="Arial" w:hAnsi="Arial" w:cs="Arial"/>
              <w:lang w:val="pt-PT"/>
            </w:rPr>
            <w:t>ba</w:t>
          </w:r>
          <w:r>
            <w:rPr>
              <w:rFonts w:ascii="Arial" w:hAnsi="Arial" w:cs="Arial"/>
              <w:lang w:val="pt-PT"/>
            </w:rPr>
            <w:t>ix</w:t>
          </w:r>
          <w:r w:rsidR="006A4D19" w:rsidRPr="007B4EBA">
            <w:rPr>
              <w:rFonts w:ascii="Arial" w:hAnsi="Arial" w:cs="Arial"/>
              <w:lang w:val="pt-PT"/>
            </w:rPr>
            <w:t>a para os cami</w:t>
          </w:r>
          <w:r>
            <w:rPr>
              <w:rFonts w:ascii="Arial" w:hAnsi="Arial" w:cs="Arial"/>
              <w:lang w:val="pt-PT"/>
            </w:rPr>
            <w:t>õ</w:t>
          </w:r>
          <w:r w:rsidR="006A4D19" w:rsidRPr="007B4EBA">
            <w:rPr>
              <w:rFonts w:ascii="Arial" w:hAnsi="Arial" w:cs="Arial"/>
              <w:lang w:val="pt-PT"/>
            </w:rPr>
            <w:t>es, impuls</w:t>
          </w:r>
          <w:r>
            <w:rPr>
              <w:rFonts w:ascii="Arial" w:hAnsi="Arial" w:cs="Arial"/>
              <w:lang w:val="pt-PT"/>
            </w:rPr>
            <w:t>ion</w:t>
          </w:r>
          <w:r w:rsidR="006A4D19" w:rsidRPr="007B4EBA">
            <w:rPr>
              <w:rFonts w:ascii="Arial" w:hAnsi="Arial" w:cs="Arial"/>
              <w:lang w:val="pt-PT"/>
            </w:rPr>
            <w:t>ados p</w:t>
          </w:r>
          <w:r>
            <w:rPr>
              <w:rFonts w:ascii="Arial" w:hAnsi="Arial" w:cs="Arial"/>
              <w:lang w:val="pt-PT"/>
            </w:rPr>
            <w:t>e</w:t>
          </w:r>
          <w:r w:rsidR="006A4D19" w:rsidRPr="007B4EBA">
            <w:rPr>
              <w:rFonts w:ascii="Arial" w:hAnsi="Arial" w:cs="Arial"/>
              <w:lang w:val="pt-PT"/>
            </w:rPr>
            <w:t>las ven</w:t>
          </w:r>
          <w:r>
            <w:rPr>
              <w:rFonts w:ascii="Arial" w:hAnsi="Arial" w:cs="Arial"/>
              <w:lang w:val="pt-PT"/>
            </w:rPr>
            <w:t>d</w:t>
          </w:r>
          <w:r w:rsidR="006A4D19" w:rsidRPr="007B4EBA">
            <w:rPr>
              <w:rFonts w:ascii="Arial" w:hAnsi="Arial" w:cs="Arial"/>
              <w:lang w:val="pt-PT"/>
            </w:rPr>
            <w:t>as para Equip</w:t>
          </w:r>
          <w:r>
            <w:rPr>
              <w:rFonts w:ascii="Arial" w:hAnsi="Arial" w:cs="Arial"/>
              <w:lang w:val="pt-PT"/>
            </w:rPr>
            <w:t>amento de Origem</w:t>
          </w:r>
          <w:r w:rsidR="006A4D19" w:rsidRPr="007B4EBA">
            <w:rPr>
              <w:rFonts w:ascii="Arial" w:hAnsi="Arial" w:cs="Arial"/>
              <w:lang w:val="pt-PT"/>
            </w:rPr>
            <w:t xml:space="preserve">, </w:t>
          </w:r>
          <w:r>
            <w:rPr>
              <w:rFonts w:ascii="Arial" w:hAnsi="Arial" w:cs="Arial"/>
              <w:lang w:val="pt-PT"/>
            </w:rPr>
            <w:t xml:space="preserve">mas travados </w:t>
          </w:r>
          <w:r w:rsidR="006A4D19" w:rsidRPr="007B4EBA">
            <w:rPr>
              <w:rFonts w:ascii="Arial" w:hAnsi="Arial" w:cs="Arial"/>
              <w:lang w:val="pt-PT"/>
            </w:rPr>
            <w:t>p</w:t>
          </w:r>
          <w:r>
            <w:rPr>
              <w:rFonts w:ascii="Arial" w:hAnsi="Arial" w:cs="Arial"/>
              <w:lang w:val="pt-PT"/>
            </w:rPr>
            <w:t>e</w:t>
          </w:r>
          <w:r w:rsidR="006A4D19" w:rsidRPr="007B4EBA">
            <w:rPr>
              <w:rFonts w:ascii="Arial" w:hAnsi="Arial" w:cs="Arial"/>
              <w:lang w:val="pt-PT"/>
            </w:rPr>
            <w:t>la importante redu</w:t>
          </w:r>
          <w:r>
            <w:rPr>
              <w:rFonts w:ascii="Arial" w:hAnsi="Arial" w:cs="Arial"/>
              <w:lang w:val="pt-PT"/>
            </w:rPr>
            <w:t xml:space="preserve">ção </w:t>
          </w:r>
          <w:r w:rsidR="006A4D19" w:rsidRPr="007B4EBA">
            <w:rPr>
              <w:rFonts w:ascii="Arial" w:hAnsi="Arial" w:cs="Arial"/>
              <w:lang w:val="pt-PT"/>
            </w:rPr>
            <w:t xml:space="preserve">de </w:t>
          </w:r>
          <w:r>
            <w:rPr>
              <w:rFonts w:ascii="Arial" w:hAnsi="Arial" w:cs="Arial"/>
              <w:lang w:val="pt-PT"/>
            </w:rPr>
            <w:t>existências n</w:t>
          </w:r>
          <w:r w:rsidR="006A4D19" w:rsidRPr="007B4EBA">
            <w:rPr>
              <w:rFonts w:ascii="Arial" w:hAnsi="Arial" w:cs="Arial"/>
              <w:lang w:val="pt-PT"/>
            </w:rPr>
            <w:t xml:space="preserve">a </w:t>
          </w:r>
          <w:r>
            <w:rPr>
              <w:rFonts w:ascii="Arial" w:hAnsi="Arial" w:cs="Arial"/>
              <w:lang w:val="pt-PT"/>
            </w:rPr>
            <w:t>distribuição e n</w:t>
          </w:r>
          <w:r w:rsidR="006A4D19" w:rsidRPr="007B4EBA">
            <w:rPr>
              <w:rFonts w:ascii="Arial" w:hAnsi="Arial" w:cs="Arial"/>
              <w:lang w:val="pt-PT"/>
            </w:rPr>
            <w:t>as f</w:t>
          </w:r>
          <w:r>
            <w:rPr>
              <w:rFonts w:ascii="Arial" w:hAnsi="Arial" w:cs="Arial"/>
              <w:lang w:val="pt-PT"/>
            </w:rPr>
            <w:t>r</w:t>
          </w:r>
          <w:r w:rsidR="006A4D19" w:rsidRPr="007B4EBA">
            <w:rPr>
              <w:rFonts w:ascii="Arial" w:hAnsi="Arial" w:cs="Arial"/>
              <w:lang w:val="pt-PT"/>
            </w:rPr>
            <w:t>otas B2B</w:t>
          </w:r>
        </w:p>
        <w:p w14:paraId="0811DEE1" w14:textId="39C77B66" w:rsidR="006A4D19" w:rsidRPr="007B4EBA" w:rsidRDefault="007B4EBA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8"/>
            <w:contextualSpacing w:val="0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V</w:t>
          </w:r>
          <w:r w:rsidR="006A4D19" w:rsidRPr="007B4EBA">
            <w:rPr>
              <w:rFonts w:ascii="Arial" w:hAnsi="Arial" w:cs="Arial"/>
              <w:lang w:val="pt-PT"/>
            </w:rPr>
            <w:t>ol</w:t>
          </w:r>
          <w:r>
            <w:rPr>
              <w:rFonts w:ascii="Arial" w:hAnsi="Arial" w:cs="Arial"/>
              <w:lang w:val="pt-PT"/>
            </w:rPr>
            <w:t>u</w:t>
          </w:r>
          <w:r w:rsidR="006A4D19" w:rsidRPr="007B4EBA">
            <w:rPr>
              <w:rFonts w:ascii="Arial" w:hAnsi="Arial" w:cs="Arial"/>
              <w:lang w:val="pt-PT"/>
            </w:rPr>
            <w:t>mes de ven</w:t>
          </w:r>
          <w:r>
            <w:rPr>
              <w:rFonts w:ascii="Arial" w:hAnsi="Arial" w:cs="Arial"/>
              <w:lang w:val="pt-PT"/>
            </w:rPr>
            <w:t>d</w:t>
          </w:r>
          <w:r w:rsidR="006A4D19" w:rsidRPr="007B4EBA">
            <w:rPr>
              <w:rFonts w:ascii="Arial" w:hAnsi="Arial" w:cs="Arial"/>
              <w:lang w:val="pt-PT"/>
            </w:rPr>
            <w:t xml:space="preserve">as de </w:t>
          </w:r>
          <w:r>
            <w:rPr>
              <w:rFonts w:ascii="Arial" w:hAnsi="Arial" w:cs="Arial"/>
              <w:lang w:val="pt-PT"/>
            </w:rPr>
            <w:t>p</w:t>
          </w:r>
          <w:r w:rsidR="006A4D19" w:rsidRPr="007B4EBA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 xml:space="preserve">s caíram </w:t>
          </w:r>
          <w:r w:rsidR="006A4D19" w:rsidRPr="007B4EBA">
            <w:rPr>
              <w:rFonts w:ascii="Arial" w:hAnsi="Arial" w:cs="Arial"/>
              <w:lang w:val="pt-PT"/>
            </w:rPr>
            <w:t>3,7%, refle</w:t>
          </w:r>
          <w:r>
            <w:rPr>
              <w:rFonts w:ascii="Arial" w:hAnsi="Arial" w:cs="Arial"/>
              <w:lang w:val="pt-PT"/>
            </w:rPr>
            <w:t>ti</w:t>
          </w:r>
          <w:r w:rsidR="006A4D19" w:rsidRPr="007B4EBA">
            <w:rPr>
              <w:rFonts w:ascii="Arial" w:hAnsi="Arial" w:cs="Arial"/>
              <w:lang w:val="pt-PT"/>
            </w:rPr>
            <w:t xml:space="preserve">ndo as </w:t>
          </w:r>
          <w:r>
            <w:rPr>
              <w:rFonts w:ascii="Arial" w:hAnsi="Arial" w:cs="Arial"/>
              <w:lang w:val="pt-PT"/>
            </w:rPr>
            <w:t xml:space="preserve">tendências </w:t>
          </w:r>
          <w:r w:rsidR="006A4D19" w:rsidRPr="007B4EBA">
            <w:rPr>
              <w:rFonts w:ascii="Arial" w:hAnsi="Arial" w:cs="Arial"/>
              <w:lang w:val="pt-PT"/>
            </w:rPr>
            <w:t>d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6A4D19" w:rsidRPr="007B4EBA">
            <w:rPr>
              <w:rFonts w:ascii="Arial" w:hAnsi="Arial" w:cs="Arial"/>
              <w:lang w:val="pt-PT"/>
            </w:rPr>
            <w:t>mercado</w:t>
          </w:r>
          <w:r>
            <w:rPr>
              <w:rFonts w:ascii="Arial" w:hAnsi="Arial" w:cs="Arial"/>
              <w:lang w:val="pt-PT"/>
            </w:rPr>
            <w:t xml:space="preserve">, e </w:t>
          </w:r>
          <w:r w:rsidR="006A4D19" w:rsidRPr="007B4EBA">
            <w:rPr>
              <w:rFonts w:ascii="Arial" w:hAnsi="Arial" w:cs="Arial"/>
              <w:lang w:val="pt-PT"/>
            </w:rPr>
            <w:t>a prioridad</w:t>
          </w:r>
          <w:r>
            <w:rPr>
              <w:rFonts w:ascii="Arial" w:hAnsi="Arial" w:cs="Arial"/>
              <w:lang w:val="pt-PT"/>
            </w:rPr>
            <w:t>e</w:t>
          </w:r>
          <w:r w:rsidR="006A4D19" w:rsidRPr="007B4EBA">
            <w:rPr>
              <w:rFonts w:ascii="Arial" w:hAnsi="Arial" w:cs="Arial"/>
              <w:lang w:val="pt-PT"/>
            </w:rPr>
            <w:t xml:space="preserve"> dada p</w:t>
          </w:r>
          <w:r>
            <w:rPr>
              <w:rFonts w:ascii="Arial" w:hAnsi="Arial" w:cs="Arial"/>
              <w:lang w:val="pt-PT"/>
            </w:rPr>
            <w:t xml:space="preserve">elo </w:t>
          </w:r>
          <w:r w:rsidR="006A4D19" w:rsidRPr="007B4EBA">
            <w:rPr>
              <w:rFonts w:ascii="Arial" w:hAnsi="Arial" w:cs="Arial"/>
              <w:lang w:val="pt-PT"/>
            </w:rPr>
            <w:t>Grupo aos segmentos de ma</w:t>
          </w:r>
          <w:r>
            <w:rPr>
              <w:rFonts w:ascii="Arial" w:hAnsi="Arial" w:cs="Arial"/>
              <w:lang w:val="pt-PT"/>
            </w:rPr>
            <w:t>i</w:t>
          </w:r>
          <w:r w:rsidR="006A4D19" w:rsidRPr="007B4EBA">
            <w:rPr>
              <w:rFonts w:ascii="Arial" w:hAnsi="Arial" w:cs="Arial"/>
              <w:lang w:val="pt-PT"/>
            </w:rPr>
            <w:t>or valor a</w:t>
          </w:r>
          <w:r>
            <w:rPr>
              <w:rFonts w:ascii="Arial" w:hAnsi="Arial" w:cs="Arial"/>
              <w:lang w:val="pt-PT"/>
            </w:rPr>
            <w:t>crescentado</w:t>
          </w:r>
        </w:p>
        <w:p w14:paraId="30A0066D" w14:textId="215A4473" w:rsidR="006A4D19" w:rsidRPr="007B4EBA" w:rsidRDefault="007B4EBA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8"/>
            <w:contextualSpacing w:val="0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iCs/>
              <w:lang w:val="pt-PT"/>
            </w:rPr>
            <w:t>E</w:t>
          </w:r>
          <w:r w:rsidR="006A4D19" w:rsidRPr="007B4EBA">
            <w:rPr>
              <w:rFonts w:ascii="Arial" w:hAnsi="Arial" w:cs="Arial"/>
              <w:iCs/>
              <w:lang w:val="pt-PT"/>
            </w:rPr>
            <w:t>fe</w:t>
          </w:r>
          <w:r>
            <w:rPr>
              <w:rFonts w:ascii="Arial" w:hAnsi="Arial" w:cs="Arial"/>
              <w:iCs/>
              <w:lang w:val="pt-PT"/>
            </w:rPr>
            <w:t>i</w:t>
          </w:r>
          <w:r w:rsidR="006A4D19" w:rsidRPr="007B4EBA">
            <w:rPr>
              <w:rFonts w:ascii="Arial" w:hAnsi="Arial" w:cs="Arial"/>
              <w:iCs/>
              <w:lang w:val="pt-PT"/>
            </w:rPr>
            <w:t xml:space="preserve">to </w:t>
          </w:r>
          <w:proofErr w:type="spellStart"/>
          <w:r w:rsidR="006A4D19" w:rsidRPr="007B4EBA">
            <w:rPr>
              <w:rFonts w:ascii="Arial" w:hAnsi="Arial" w:cs="Arial"/>
              <w:iCs/>
              <w:lang w:val="pt-PT"/>
            </w:rPr>
            <w:t>mix</w:t>
          </w:r>
          <w:proofErr w:type="spellEnd"/>
          <w:r w:rsidR="006A4D19" w:rsidRPr="007B4EBA">
            <w:rPr>
              <w:rFonts w:ascii="Arial" w:hAnsi="Arial" w:cs="Arial"/>
              <w:iCs/>
              <w:lang w:val="pt-PT"/>
            </w:rPr>
            <w:t>-pre</w:t>
          </w:r>
          <w:r>
            <w:rPr>
              <w:rFonts w:ascii="Arial" w:hAnsi="Arial" w:cs="Arial"/>
              <w:iCs/>
              <w:lang w:val="pt-PT"/>
            </w:rPr>
            <w:t>ç</w:t>
          </w:r>
          <w:r w:rsidR="006A4D19" w:rsidRPr="007B4EBA">
            <w:rPr>
              <w:rFonts w:ascii="Arial" w:hAnsi="Arial" w:cs="Arial"/>
              <w:iCs/>
              <w:lang w:val="pt-PT"/>
            </w:rPr>
            <w:t>o ascende a</w:t>
          </w:r>
          <w:r>
            <w:rPr>
              <w:rFonts w:ascii="Arial" w:hAnsi="Arial" w:cs="Arial"/>
              <w:iCs/>
              <w:lang w:val="pt-PT"/>
            </w:rPr>
            <w:t xml:space="preserve"> </w:t>
          </w:r>
          <w:r w:rsidR="006A4D19" w:rsidRPr="007B4EBA">
            <w:rPr>
              <w:rFonts w:ascii="Arial" w:hAnsi="Arial" w:cs="Arial"/>
              <w:iCs/>
              <w:lang w:val="pt-PT"/>
            </w:rPr>
            <w:t xml:space="preserve">9,4%, </w:t>
          </w:r>
          <w:r>
            <w:rPr>
              <w:rFonts w:ascii="Arial" w:hAnsi="Arial" w:cs="Arial"/>
              <w:iCs/>
              <w:lang w:val="pt-PT"/>
            </w:rPr>
            <w:t xml:space="preserve">testemunho do </w:t>
          </w:r>
          <w:r w:rsidR="006A4D19" w:rsidRPr="007B4EBA">
            <w:rPr>
              <w:rFonts w:ascii="Arial" w:hAnsi="Arial" w:cs="Arial"/>
              <w:iCs/>
              <w:lang w:val="pt-PT"/>
            </w:rPr>
            <w:t xml:space="preserve">valor </w:t>
          </w:r>
          <w:r>
            <w:rPr>
              <w:rFonts w:ascii="Arial" w:hAnsi="Arial" w:cs="Arial"/>
              <w:iCs/>
              <w:lang w:val="pt-PT"/>
            </w:rPr>
            <w:t>d</w:t>
          </w:r>
          <w:r w:rsidR="006A4D19" w:rsidRPr="007B4EBA">
            <w:rPr>
              <w:rFonts w:ascii="Arial" w:hAnsi="Arial" w:cs="Arial"/>
              <w:iCs/>
              <w:lang w:val="pt-PT"/>
            </w:rPr>
            <w:t>a oferta d</w:t>
          </w:r>
          <w:r>
            <w:rPr>
              <w:rFonts w:ascii="Arial" w:hAnsi="Arial" w:cs="Arial"/>
              <w:iCs/>
              <w:lang w:val="pt-PT"/>
            </w:rPr>
            <w:t xml:space="preserve">o </w:t>
          </w:r>
          <w:r w:rsidR="006A4D19" w:rsidRPr="007B4EBA">
            <w:rPr>
              <w:rFonts w:ascii="Arial" w:hAnsi="Arial" w:cs="Arial"/>
              <w:iCs/>
              <w:lang w:val="pt-PT"/>
            </w:rPr>
            <w:t>Grupo</w:t>
          </w:r>
          <w:r>
            <w:rPr>
              <w:rFonts w:ascii="Arial" w:hAnsi="Arial" w:cs="Arial"/>
              <w:iCs/>
              <w:lang w:val="pt-PT"/>
            </w:rPr>
            <w:t xml:space="preserve">, e de um </w:t>
          </w:r>
          <w:r w:rsidR="006A4D19" w:rsidRPr="007B4EBA">
            <w:rPr>
              <w:rFonts w:ascii="Arial" w:hAnsi="Arial" w:cs="Arial"/>
              <w:iCs/>
              <w:lang w:val="pt-PT"/>
            </w:rPr>
            <w:t>efe</w:t>
          </w:r>
          <w:r>
            <w:rPr>
              <w:rFonts w:ascii="Arial" w:hAnsi="Arial" w:cs="Arial"/>
              <w:iCs/>
              <w:lang w:val="pt-PT"/>
            </w:rPr>
            <w:t>i</w:t>
          </w:r>
          <w:r w:rsidR="006A4D19" w:rsidRPr="007B4EBA">
            <w:rPr>
              <w:rFonts w:ascii="Arial" w:hAnsi="Arial" w:cs="Arial"/>
              <w:iCs/>
              <w:lang w:val="pt-PT"/>
            </w:rPr>
            <w:t xml:space="preserve">to </w:t>
          </w:r>
          <w:proofErr w:type="spellStart"/>
          <w:r w:rsidR="006A4D19" w:rsidRPr="007B4EBA">
            <w:rPr>
              <w:rFonts w:ascii="Arial" w:hAnsi="Arial" w:cs="Arial"/>
              <w:iCs/>
              <w:lang w:val="pt-PT"/>
            </w:rPr>
            <w:t>mix</w:t>
          </w:r>
          <w:proofErr w:type="spellEnd"/>
          <w:r w:rsidR="006A4D19" w:rsidRPr="007B4EBA">
            <w:rPr>
              <w:rFonts w:ascii="Arial" w:hAnsi="Arial" w:cs="Arial"/>
              <w:iCs/>
              <w:lang w:val="pt-PT"/>
            </w:rPr>
            <w:t xml:space="preserve"> positivo</w:t>
          </w:r>
          <w:r>
            <w:rPr>
              <w:rFonts w:ascii="Arial" w:hAnsi="Arial" w:cs="Arial"/>
              <w:iCs/>
              <w:lang w:val="pt-PT"/>
            </w:rPr>
            <w:t>,</w:t>
          </w:r>
          <w:r w:rsidR="006A4D19" w:rsidRPr="007B4EBA">
            <w:rPr>
              <w:rFonts w:ascii="Arial" w:hAnsi="Arial" w:cs="Arial"/>
              <w:iCs/>
              <w:lang w:val="pt-PT"/>
            </w:rPr>
            <w:t xml:space="preserve"> apesar d</w:t>
          </w:r>
          <w:r>
            <w:rPr>
              <w:rFonts w:ascii="Arial" w:hAnsi="Arial" w:cs="Arial"/>
              <w:iCs/>
              <w:lang w:val="pt-PT"/>
            </w:rPr>
            <w:t xml:space="preserve">o </w:t>
          </w:r>
          <w:r w:rsidR="006A4D19" w:rsidRPr="007B4EBA">
            <w:rPr>
              <w:rFonts w:ascii="Arial" w:hAnsi="Arial" w:cs="Arial"/>
              <w:iCs/>
              <w:lang w:val="pt-PT"/>
            </w:rPr>
            <w:t xml:space="preserve">impacto </w:t>
          </w:r>
          <w:r>
            <w:rPr>
              <w:rFonts w:ascii="Arial" w:hAnsi="Arial" w:cs="Arial"/>
              <w:iCs/>
              <w:lang w:val="pt-PT"/>
            </w:rPr>
            <w:t>desfavorável d</w:t>
          </w:r>
          <w:r w:rsidR="006A4D19" w:rsidRPr="007B4EBA">
            <w:rPr>
              <w:rFonts w:ascii="Arial" w:hAnsi="Arial" w:cs="Arial"/>
              <w:iCs/>
              <w:lang w:val="pt-PT"/>
            </w:rPr>
            <w:t>as ven</w:t>
          </w:r>
          <w:r>
            <w:rPr>
              <w:rFonts w:ascii="Arial" w:hAnsi="Arial" w:cs="Arial"/>
              <w:iCs/>
              <w:lang w:val="pt-PT"/>
            </w:rPr>
            <w:t>d</w:t>
          </w:r>
          <w:r w:rsidR="006A4D19" w:rsidRPr="007B4EBA">
            <w:rPr>
              <w:rFonts w:ascii="Arial" w:hAnsi="Arial" w:cs="Arial"/>
              <w:iCs/>
              <w:lang w:val="pt-PT"/>
            </w:rPr>
            <w:t>as de Equipo</w:t>
          </w:r>
          <w:r w:rsidR="006A4D19" w:rsidRPr="007B4EBA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de </w:t>
          </w:r>
          <w:r w:rsidR="006A4D19" w:rsidRPr="007B4EBA">
            <w:rPr>
              <w:rFonts w:ascii="Arial" w:hAnsi="Arial" w:cs="Arial"/>
              <w:lang w:val="pt-PT"/>
            </w:rPr>
            <w:t>Orig</w:t>
          </w:r>
          <w:r>
            <w:rPr>
              <w:rFonts w:ascii="Arial" w:hAnsi="Arial" w:cs="Arial"/>
              <w:lang w:val="pt-PT"/>
            </w:rPr>
            <w:t xml:space="preserve">em </w:t>
          </w:r>
          <w:proofErr w:type="spellStart"/>
          <w:r w:rsidR="006A4D19" w:rsidRPr="007B4EBA">
            <w:rPr>
              <w:rFonts w:ascii="Arial" w:hAnsi="Arial" w:cs="Arial"/>
              <w:lang w:val="pt-PT"/>
            </w:rPr>
            <w:t>vs</w:t>
          </w:r>
          <w:proofErr w:type="spellEnd"/>
          <w:r w:rsidR="006A4D19" w:rsidRPr="007B4EBA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>Substituição</w:t>
          </w:r>
        </w:p>
        <w:p w14:paraId="06234F47" w14:textId="1440C52E" w:rsidR="006A4D19" w:rsidRPr="007B4EBA" w:rsidRDefault="007B4EBA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8"/>
            <w:contextualSpacing w:val="0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V</w:t>
          </w:r>
          <w:r w:rsidR="006A4D19" w:rsidRPr="007B4EBA">
            <w:rPr>
              <w:rFonts w:ascii="Arial" w:hAnsi="Arial" w:cs="Arial"/>
              <w:lang w:val="pt-PT"/>
            </w:rPr>
            <w:t>en</w:t>
          </w:r>
          <w:r>
            <w:rPr>
              <w:rFonts w:ascii="Arial" w:hAnsi="Arial" w:cs="Arial"/>
              <w:lang w:val="pt-PT"/>
            </w:rPr>
            <w:t>d</w:t>
          </w:r>
          <w:r w:rsidR="006A4D19" w:rsidRPr="007B4EBA">
            <w:rPr>
              <w:rFonts w:ascii="Arial" w:hAnsi="Arial" w:cs="Arial"/>
              <w:lang w:val="pt-PT"/>
            </w:rPr>
            <w:t xml:space="preserve">as de produtos distintos </w:t>
          </w:r>
          <w:r>
            <w:rPr>
              <w:rFonts w:ascii="Arial" w:hAnsi="Arial" w:cs="Arial"/>
              <w:lang w:val="pt-PT"/>
            </w:rPr>
            <w:t>d</w:t>
          </w:r>
          <w:r w:rsidR="006A4D19" w:rsidRPr="007B4EBA">
            <w:rPr>
              <w:rFonts w:ascii="Arial" w:hAnsi="Arial" w:cs="Arial"/>
              <w:lang w:val="pt-PT"/>
            </w:rPr>
            <w:t xml:space="preserve">os </w:t>
          </w:r>
          <w:r>
            <w:rPr>
              <w:rFonts w:ascii="Arial" w:hAnsi="Arial" w:cs="Arial"/>
              <w:lang w:val="pt-PT"/>
            </w:rPr>
            <w:t xml:space="preserve">pneus </w:t>
          </w:r>
          <w:r w:rsidR="006A4D19" w:rsidRPr="007B4EBA">
            <w:rPr>
              <w:rFonts w:ascii="Arial" w:hAnsi="Arial" w:cs="Arial"/>
              <w:lang w:val="pt-PT"/>
            </w:rPr>
            <w:t>aumentar</w:t>
          </w:r>
          <w:r>
            <w:rPr>
              <w:rFonts w:ascii="Arial" w:hAnsi="Arial" w:cs="Arial"/>
              <w:lang w:val="pt-PT"/>
            </w:rPr>
            <w:t xml:space="preserve">am </w:t>
          </w:r>
          <w:r w:rsidR="006A4D19" w:rsidRPr="007B4EBA">
            <w:rPr>
              <w:rFonts w:ascii="Arial" w:hAnsi="Arial" w:cs="Arial"/>
              <w:lang w:val="pt-PT"/>
            </w:rPr>
            <w:t>17% a t</w:t>
          </w:r>
          <w:r>
            <w:rPr>
              <w:rFonts w:ascii="Arial" w:hAnsi="Arial" w:cs="Arial"/>
              <w:lang w:val="pt-PT"/>
            </w:rPr>
            <w:t xml:space="preserve">axas </w:t>
          </w:r>
          <w:r w:rsidR="006A4D19" w:rsidRPr="007B4EBA">
            <w:rPr>
              <w:rFonts w:ascii="Arial" w:hAnsi="Arial" w:cs="Arial"/>
              <w:lang w:val="pt-PT"/>
            </w:rPr>
            <w:t>de c</w:t>
          </w:r>
          <w:r>
            <w:rPr>
              <w:rFonts w:ascii="Arial" w:hAnsi="Arial" w:cs="Arial"/>
              <w:lang w:val="pt-PT"/>
            </w:rPr>
            <w:t>â</w:t>
          </w:r>
          <w:r w:rsidR="006A4D19" w:rsidRPr="007B4EBA">
            <w:rPr>
              <w:rFonts w:ascii="Arial" w:hAnsi="Arial" w:cs="Arial"/>
              <w:lang w:val="pt-PT"/>
            </w:rPr>
            <w:t xml:space="preserve">mbio constantes, </w:t>
          </w:r>
          <w:r>
            <w:rPr>
              <w:rFonts w:ascii="Arial" w:hAnsi="Arial" w:cs="Arial"/>
              <w:lang w:val="pt-PT"/>
            </w:rPr>
            <w:t xml:space="preserve">contribuindo de forma </w:t>
          </w:r>
          <w:r w:rsidR="006A4D19" w:rsidRPr="007B4EBA">
            <w:rPr>
              <w:rFonts w:ascii="Arial" w:hAnsi="Arial" w:cs="Arial"/>
              <w:lang w:val="pt-PT"/>
            </w:rPr>
            <w:t>durad</w:t>
          </w:r>
          <w:r>
            <w:rPr>
              <w:rFonts w:ascii="Arial" w:hAnsi="Arial" w:cs="Arial"/>
              <w:lang w:val="pt-PT"/>
            </w:rPr>
            <w:t>ou</w:t>
          </w:r>
          <w:r w:rsidR="006A4D19" w:rsidRPr="007B4EBA">
            <w:rPr>
              <w:rFonts w:ascii="Arial" w:hAnsi="Arial" w:cs="Arial"/>
              <w:lang w:val="pt-PT"/>
            </w:rPr>
            <w:t xml:space="preserve">ra </w:t>
          </w:r>
          <w:r>
            <w:rPr>
              <w:rFonts w:ascii="Arial" w:hAnsi="Arial" w:cs="Arial"/>
              <w:lang w:val="pt-PT"/>
            </w:rPr>
            <w:t xml:space="preserve">para o </w:t>
          </w:r>
          <w:r w:rsidR="006A4D19" w:rsidRPr="007B4EBA">
            <w:rPr>
              <w:rFonts w:ascii="Arial" w:hAnsi="Arial" w:cs="Arial"/>
              <w:lang w:val="pt-PT"/>
            </w:rPr>
            <w:t>cre</w:t>
          </w:r>
          <w:r>
            <w:rPr>
              <w:rFonts w:ascii="Arial" w:hAnsi="Arial" w:cs="Arial"/>
              <w:lang w:val="pt-PT"/>
            </w:rPr>
            <w:t>s</w:t>
          </w:r>
          <w:r w:rsidR="006A4D19" w:rsidRPr="007B4EBA">
            <w:rPr>
              <w:rFonts w:ascii="Arial" w:hAnsi="Arial" w:cs="Arial"/>
              <w:lang w:val="pt-PT"/>
            </w:rPr>
            <w:t>cimento d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6A4D19" w:rsidRPr="007B4EBA">
            <w:rPr>
              <w:rFonts w:ascii="Arial" w:hAnsi="Arial" w:cs="Arial"/>
              <w:lang w:val="pt-PT"/>
            </w:rPr>
            <w:t>Grupo</w:t>
          </w:r>
        </w:p>
        <w:p w14:paraId="13A51BCE" w14:textId="7B0F47C2" w:rsidR="006A4D19" w:rsidRPr="007B4EBA" w:rsidRDefault="007B4EBA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8"/>
            <w:contextualSpacing w:val="0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E</w:t>
          </w:r>
          <w:r w:rsidR="006A4D19" w:rsidRPr="007B4EBA">
            <w:rPr>
              <w:rFonts w:ascii="Arial" w:hAnsi="Arial" w:cs="Arial"/>
              <w:lang w:val="pt-PT"/>
            </w:rPr>
            <w:t>fe</w:t>
          </w:r>
          <w:r>
            <w:rPr>
              <w:rFonts w:ascii="Arial" w:hAnsi="Arial" w:cs="Arial"/>
              <w:lang w:val="pt-PT"/>
            </w:rPr>
            <w:t>i</w:t>
          </w:r>
          <w:r w:rsidR="006A4D19" w:rsidRPr="007B4EBA">
            <w:rPr>
              <w:rFonts w:ascii="Arial" w:hAnsi="Arial" w:cs="Arial"/>
              <w:lang w:val="pt-PT"/>
            </w:rPr>
            <w:t>to cambi</w:t>
          </w:r>
          <w:r>
            <w:rPr>
              <w:rFonts w:ascii="Arial" w:hAnsi="Arial" w:cs="Arial"/>
              <w:lang w:val="pt-PT"/>
            </w:rPr>
            <w:t xml:space="preserve">al </w:t>
          </w:r>
          <w:r w:rsidR="006A4D19" w:rsidRPr="007B4EBA">
            <w:rPr>
              <w:rFonts w:ascii="Arial" w:hAnsi="Arial" w:cs="Arial"/>
              <w:lang w:val="pt-PT"/>
            </w:rPr>
            <w:t>f</w:t>
          </w:r>
          <w:r>
            <w:rPr>
              <w:rFonts w:ascii="Arial" w:hAnsi="Arial" w:cs="Arial"/>
              <w:lang w:val="pt-PT"/>
            </w:rPr>
            <w:t xml:space="preserve">oi </w:t>
          </w:r>
          <w:r w:rsidR="006A4D19" w:rsidRPr="007B4EBA">
            <w:rPr>
              <w:rFonts w:ascii="Arial" w:hAnsi="Arial" w:cs="Arial"/>
              <w:lang w:val="pt-PT"/>
            </w:rPr>
            <w:t>negativo e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6A4D19" w:rsidRPr="007B4EBA">
            <w:rPr>
              <w:rFonts w:ascii="Arial" w:hAnsi="Arial" w:cs="Arial"/>
              <w:lang w:val="pt-PT"/>
            </w:rPr>
            <w:t>-1,0%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6A4D19" w:rsidRPr="007B4EBA">
            <w:rPr>
              <w:rFonts w:ascii="Arial" w:hAnsi="Arial" w:cs="Arial"/>
              <w:lang w:val="pt-PT"/>
            </w:rPr>
            <w:t>de</w:t>
          </w:r>
          <w:r>
            <w:rPr>
              <w:rFonts w:ascii="Arial" w:hAnsi="Arial" w:cs="Arial"/>
              <w:lang w:val="pt-PT"/>
            </w:rPr>
            <w:t>v</w:t>
          </w:r>
          <w:r w:rsidR="006A4D19" w:rsidRPr="007B4EBA">
            <w:rPr>
              <w:rFonts w:ascii="Arial" w:hAnsi="Arial" w:cs="Arial"/>
              <w:lang w:val="pt-PT"/>
            </w:rPr>
            <w:t xml:space="preserve">ido </w:t>
          </w:r>
          <w:r>
            <w:rPr>
              <w:rFonts w:ascii="Arial" w:hAnsi="Arial" w:cs="Arial"/>
              <w:lang w:val="pt-PT"/>
            </w:rPr>
            <w:t>à desvalorização d</w:t>
          </w:r>
          <w:r w:rsidR="006A4D19" w:rsidRPr="007B4EBA">
            <w:rPr>
              <w:rFonts w:ascii="Arial" w:hAnsi="Arial" w:cs="Arial"/>
              <w:lang w:val="pt-PT"/>
            </w:rPr>
            <w:t xml:space="preserve">a </w:t>
          </w:r>
          <w:r>
            <w:rPr>
              <w:rFonts w:ascii="Arial" w:hAnsi="Arial" w:cs="Arial"/>
              <w:lang w:val="pt-PT"/>
            </w:rPr>
            <w:t xml:space="preserve">maioria </w:t>
          </w:r>
          <w:r w:rsidR="006A4D19" w:rsidRPr="007B4EBA">
            <w:rPr>
              <w:rFonts w:ascii="Arial" w:hAnsi="Arial" w:cs="Arial"/>
              <w:lang w:val="pt-PT"/>
            </w:rPr>
            <w:t>das divisas f</w:t>
          </w:r>
          <w:r>
            <w:rPr>
              <w:rFonts w:ascii="Arial" w:hAnsi="Arial" w:cs="Arial"/>
              <w:lang w:val="pt-PT"/>
            </w:rPr>
            <w:t xml:space="preserve">ace ao </w:t>
          </w:r>
          <w:r w:rsidR="006A4D19" w:rsidRPr="007B4EBA">
            <w:rPr>
              <w:rFonts w:ascii="Arial" w:hAnsi="Arial" w:cs="Arial"/>
              <w:lang w:val="pt-PT"/>
            </w:rPr>
            <w:t>euro</w:t>
          </w:r>
        </w:p>
        <w:p w14:paraId="40286C7A" w14:textId="77777777" w:rsidR="006A4D19" w:rsidRPr="007B4EBA" w:rsidRDefault="006A4D19" w:rsidP="00B04ACE">
          <w:pPr>
            <w:spacing w:after="60"/>
            <w:ind w:left="-426" w:right="-46"/>
            <w:jc w:val="both"/>
            <w:rPr>
              <w:rFonts w:ascii="Arial" w:eastAsia="Times New Roman" w:hAnsi="Arial" w:cs="Arial"/>
              <w:sz w:val="20"/>
              <w:szCs w:val="20"/>
              <w:lang w:val="pt-PT"/>
            </w:rPr>
          </w:pPr>
        </w:p>
        <w:p w14:paraId="69D65876" w14:textId="12D97AF8" w:rsidR="006A4D19" w:rsidRPr="007B4EBA" w:rsidRDefault="007B4EBA" w:rsidP="00B04ACE">
          <w:pPr>
            <w:tabs>
              <w:tab w:val="num" w:pos="-284"/>
            </w:tabs>
            <w:spacing w:after="60"/>
            <w:ind w:left="-425" w:right="-46"/>
            <w:jc w:val="both"/>
            <w:rPr>
              <w:rFonts w:ascii="Arial" w:eastAsia="Times New Roman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esultado operacional dos sectores aument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ou 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11,4%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para 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1700 mil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hõ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es de euros,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dado 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cre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cimento nos segmentos de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elevado 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valor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acrescentado </w:t>
          </w:r>
          <w:r w:rsidR="00867D7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permitiu 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compens</w:t>
          </w:r>
          <w:r w:rsidR="00867D7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ar 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infla</w:t>
          </w:r>
          <w:r w:rsidR="00867D7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c</w:t>
          </w:r>
          <w:r w:rsidR="00867D7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st</w:t>
          </w:r>
          <w:r w:rsidR="00867D7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="00867D7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 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os menores </w:t>
          </w:r>
          <w:r w:rsidR="00867D7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volumes 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ven</w:t>
          </w:r>
          <w:r w:rsidR="00867D7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</w:t>
          </w:r>
          <w:r w:rsidR="006A4D19"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as:</w:t>
          </w:r>
        </w:p>
        <w:p w14:paraId="5F0CA665" w14:textId="41F745FF" w:rsidR="006A4D19" w:rsidRPr="007B4EBA" w:rsidRDefault="00867D72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5"/>
            <w:contextualSpacing w:val="0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S</w:t>
          </w:r>
          <w:r w:rsidR="006A4D19" w:rsidRPr="007B4EBA">
            <w:rPr>
              <w:rFonts w:ascii="Arial" w:hAnsi="Arial" w:cs="Arial"/>
              <w:lang w:val="pt-PT"/>
            </w:rPr>
            <w:t xml:space="preserve">egmentos Turismo </w:t>
          </w:r>
          <w:r>
            <w:rPr>
              <w:rFonts w:ascii="Arial" w:hAnsi="Arial" w:cs="Arial"/>
              <w:lang w:val="pt-PT"/>
            </w:rPr>
            <w:t>e</w:t>
          </w:r>
          <w:r w:rsidR="006A4D19" w:rsidRPr="007B4EBA">
            <w:rPr>
              <w:rFonts w:ascii="Arial" w:hAnsi="Arial" w:cs="Arial"/>
              <w:lang w:val="pt-PT"/>
            </w:rPr>
            <w:t xml:space="preserve"> Especialidades refor</w:t>
          </w:r>
          <w:r>
            <w:rPr>
              <w:rFonts w:ascii="Arial" w:hAnsi="Arial" w:cs="Arial"/>
              <w:lang w:val="pt-PT"/>
            </w:rPr>
            <w:t xml:space="preserve">çaram os </w:t>
          </w:r>
          <w:r w:rsidR="006A4D19" w:rsidRPr="007B4EBA">
            <w:rPr>
              <w:rFonts w:ascii="Arial" w:hAnsi="Arial" w:cs="Arial"/>
              <w:lang w:val="pt-PT"/>
            </w:rPr>
            <w:t>s</w:t>
          </w:r>
          <w:r>
            <w:rPr>
              <w:rFonts w:ascii="Arial" w:hAnsi="Arial" w:cs="Arial"/>
              <w:lang w:val="pt-PT"/>
            </w:rPr>
            <w:t>e</w:t>
          </w:r>
          <w:r w:rsidR="006A4D19" w:rsidRPr="007B4EBA">
            <w:rPr>
              <w:rFonts w:ascii="Arial" w:hAnsi="Arial" w:cs="Arial"/>
              <w:lang w:val="pt-PT"/>
            </w:rPr>
            <w:t>us resultados</w:t>
          </w:r>
        </w:p>
        <w:p w14:paraId="03585061" w14:textId="1B1E447B" w:rsidR="006A4D19" w:rsidRPr="007B4EBA" w:rsidRDefault="00867D72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5"/>
            <w:contextualSpacing w:val="0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S</w:t>
          </w:r>
          <w:r w:rsidR="006A4D19" w:rsidRPr="007B4EBA">
            <w:rPr>
              <w:rFonts w:ascii="Arial" w:hAnsi="Arial" w:cs="Arial"/>
              <w:lang w:val="pt-PT"/>
            </w:rPr>
            <w:t>egmento de Cami</w:t>
          </w:r>
          <w:r>
            <w:rPr>
              <w:rFonts w:ascii="Arial" w:hAnsi="Arial" w:cs="Arial"/>
              <w:lang w:val="pt-PT"/>
            </w:rPr>
            <w:t xml:space="preserve">ão </w:t>
          </w:r>
          <w:r w:rsidR="006A4D19" w:rsidRPr="007B4EBA">
            <w:rPr>
              <w:rFonts w:ascii="Arial" w:hAnsi="Arial" w:cs="Arial"/>
              <w:lang w:val="pt-PT"/>
            </w:rPr>
            <w:t>enfrent</w:t>
          </w:r>
          <w:r>
            <w:rPr>
              <w:rFonts w:ascii="Arial" w:hAnsi="Arial" w:cs="Arial"/>
              <w:lang w:val="pt-PT"/>
            </w:rPr>
            <w:t xml:space="preserve">ou um </w:t>
          </w:r>
          <w:proofErr w:type="spellStart"/>
          <w:r w:rsidR="006A4D19" w:rsidRPr="007B4EBA">
            <w:rPr>
              <w:rFonts w:ascii="Arial" w:hAnsi="Arial" w:cs="Arial"/>
              <w:lang w:val="pt-PT"/>
            </w:rPr>
            <w:t>mix</w:t>
          </w:r>
          <w:proofErr w:type="spellEnd"/>
          <w:r w:rsidR="006A4D19" w:rsidRPr="007B4EBA">
            <w:rPr>
              <w:rFonts w:ascii="Arial" w:hAnsi="Arial" w:cs="Arial"/>
              <w:lang w:val="pt-PT"/>
            </w:rPr>
            <w:t xml:space="preserve"> Equip</w:t>
          </w:r>
          <w:r>
            <w:rPr>
              <w:rFonts w:ascii="Arial" w:hAnsi="Arial" w:cs="Arial"/>
              <w:lang w:val="pt-PT"/>
            </w:rPr>
            <w:t xml:space="preserve">amento de </w:t>
          </w:r>
          <w:r w:rsidR="006A4D19" w:rsidRPr="007B4EBA">
            <w:rPr>
              <w:rFonts w:ascii="Arial" w:hAnsi="Arial" w:cs="Arial"/>
              <w:lang w:val="pt-PT"/>
            </w:rPr>
            <w:t>Orig</w:t>
          </w:r>
          <w:r>
            <w:rPr>
              <w:rFonts w:ascii="Arial" w:hAnsi="Arial" w:cs="Arial"/>
              <w:lang w:val="pt-PT"/>
            </w:rPr>
            <w:t>em</w:t>
          </w:r>
          <w:r w:rsidR="006A4D19" w:rsidRPr="007B4EBA">
            <w:rPr>
              <w:rFonts w:ascii="Arial" w:hAnsi="Arial" w:cs="Arial"/>
              <w:lang w:val="pt-PT"/>
            </w:rPr>
            <w:t>/</w:t>
          </w:r>
          <w:r>
            <w:rPr>
              <w:rFonts w:ascii="Arial" w:hAnsi="Arial" w:cs="Arial"/>
              <w:lang w:val="pt-PT"/>
            </w:rPr>
            <w:t xml:space="preserve">Substituição </w:t>
          </w:r>
          <w:r w:rsidR="006A4D19" w:rsidRPr="007B4EBA">
            <w:rPr>
              <w:rFonts w:ascii="Arial" w:hAnsi="Arial" w:cs="Arial"/>
              <w:lang w:val="pt-PT"/>
            </w:rPr>
            <w:t>desfavor</w:t>
          </w:r>
          <w:r>
            <w:rPr>
              <w:rFonts w:ascii="Arial" w:hAnsi="Arial" w:cs="Arial"/>
              <w:lang w:val="pt-PT"/>
            </w:rPr>
            <w:t>ável, e</w:t>
          </w:r>
          <w:r w:rsidR="006A4D19" w:rsidRPr="007B4EBA">
            <w:rPr>
              <w:rFonts w:ascii="Arial" w:hAnsi="Arial" w:cs="Arial"/>
              <w:lang w:val="pt-PT"/>
            </w:rPr>
            <w:t xml:space="preserve"> ba</w:t>
          </w:r>
          <w:r>
            <w:rPr>
              <w:rFonts w:ascii="Arial" w:hAnsi="Arial" w:cs="Arial"/>
              <w:lang w:val="pt-PT"/>
            </w:rPr>
            <w:t>ix</w:t>
          </w:r>
          <w:r w:rsidR="006A4D19" w:rsidRPr="007B4EBA">
            <w:rPr>
              <w:rFonts w:ascii="Arial" w:hAnsi="Arial" w:cs="Arial"/>
              <w:lang w:val="pt-PT"/>
            </w:rPr>
            <w:t xml:space="preserve">os </w:t>
          </w:r>
          <w:r>
            <w:rPr>
              <w:rFonts w:ascii="Arial" w:hAnsi="Arial" w:cs="Arial"/>
              <w:lang w:val="pt-PT"/>
            </w:rPr>
            <w:t>volumes</w:t>
          </w:r>
          <w:r w:rsidR="006A4D19" w:rsidRPr="007B4EBA">
            <w:rPr>
              <w:rFonts w:ascii="Arial" w:hAnsi="Arial" w:cs="Arial"/>
              <w:lang w:val="pt-PT"/>
            </w:rPr>
            <w:t>, o que pes</w:t>
          </w:r>
          <w:r>
            <w:rPr>
              <w:rFonts w:ascii="Arial" w:hAnsi="Arial" w:cs="Arial"/>
              <w:lang w:val="pt-PT"/>
            </w:rPr>
            <w:t xml:space="preserve">ou </w:t>
          </w:r>
          <w:r w:rsidR="006A4D19" w:rsidRPr="007B4EBA">
            <w:rPr>
              <w:rFonts w:ascii="Arial" w:hAnsi="Arial" w:cs="Arial"/>
              <w:lang w:val="pt-PT"/>
            </w:rPr>
            <w:t>f</w:t>
          </w:r>
          <w:r>
            <w:rPr>
              <w:rFonts w:ascii="Arial" w:hAnsi="Arial" w:cs="Arial"/>
              <w:lang w:val="pt-PT"/>
            </w:rPr>
            <w:t>o</w:t>
          </w:r>
          <w:r w:rsidR="006A4D19" w:rsidRPr="007B4EBA">
            <w:rPr>
              <w:rFonts w:ascii="Arial" w:hAnsi="Arial" w:cs="Arial"/>
              <w:lang w:val="pt-PT"/>
            </w:rPr>
            <w:t xml:space="preserve">rtemente </w:t>
          </w:r>
          <w:r>
            <w:rPr>
              <w:rFonts w:ascii="Arial" w:hAnsi="Arial" w:cs="Arial"/>
              <w:lang w:val="pt-PT"/>
            </w:rPr>
            <w:t>n</w:t>
          </w:r>
          <w:r w:rsidR="006A4D19" w:rsidRPr="007B4EBA">
            <w:rPr>
              <w:rFonts w:ascii="Arial" w:hAnsi="Arial" w:cs="Arial"/>
              <w:lang w:val="pt-PT"/>
            </w:rPr>
            <w:t>a utiliza</w:t>
          </w:r>
          <w:r>
            <w:rPr>
              <w:rFonts w:ascii="Arial" w:hAnsi="Arial" w:cs="Arial"/>
              <w:lang w:val="pt-PT"/>
            </w:rPr>
            <w:t>ção d</w:t>
          </w:r>
          <w:r w:rsidR="006A4D19" w:rsidRPr="007B4EBA">
            <w:rPr>
              <w:rFonts w:ascii="Arial" w:hAnsi="Arial" w:cs="Arial"/>
              <w:lang w:val="pt-PT"/>
            </w:rPr>
            <w:t>a capacidad</w:t>
          </w:r>
          <w:r>
            <w:rPr>
              <w:rFonts w:ascii="Arial" w:hAnsi="Arial" w:cs="Arial"/>
              <w:lang w:val="pt-PT"/>
            </w:rPr>
            <w:t>e</w:t>
          </w:r>
          <w:r w:rsidR="006A4D19" w:rsidRPr="007B4EBA">
            <w:rPr>
              <w:rFonts w:ascii="Arial" w:hAnsi="Arial" w:cs="Arial"/>
              <w:lang w:val="pt-PT"/>
            </w:rPr>
            <w:t xml:space="preserve"> de produ</w:t>
          </w:r>
          <w:r>
            <w:rPr>
              <w:rFonts w:ascii="Arial" w:hAnsi="Arial" w:cs="Arial"/>
              <w:lang w:val="pt-PT"/>
            </w:rPr>
            <w:t>ção, e n</w:t>
          </w:r>
          <w:r w:rsidR="006A4D19" w:rsidRPr="007B4EBA">
            <w:rPr>
              <w:rFonts w:ascii="Arial" w:hAnsi="Arial" w:cs="Arial"/>
              <w:lang w:val="pt-PT"/>
            </w:rPr>
            <w:t>a absor</w:t>
          </w:r>
          <w:r>
            <w:rPr>
              <w:rFonts w:ascii="Arial" w:hAnsi="Arial" w:cs="Arial"/>
              <w:lang w:val="pt-PT"/>
            </w:rPr>
            <w:t>ção d</w:t>
          </w:r>
          <w:r w:rsidR="006A4D19" w:rsidRPr="007B4EBA">
            <w:rPr>
              <w:rFonts w:ascii="Arial" w:hAnsi="Arial" w:cs="Arial"/>
              <w:lang w:val="pt-PT"/>
            </w:rPr>
            <w:t>os c</w:t>
          </w:r>
          <w:r>
            <w:rPr>
              <w:rFonts w:ascii="Arial" w:hAnsi="Arial" w:cs="Arial"/>
              <w:lang w:val="pt-PT"/>
            </w:rPr>
            <w:t>u</w:t>
          </w:r>
          <w:r w:rsidR="006A4D19" w:rsidRPr="007B4EBA">
            <w:rPr>
              <w:rFonts w:ascii="Arial" w:hAnsi="Arial" w:cs="Arial"/>
              <w:lang w:val="pt-PT"/>
            </w:rPr>
            <w:t>st</w:t>
          </w:r>
          <w:r>
            <w:rPr>
              <w:rFonts w:ascii="Arial" w:hAnsi="Arial" w:cs="Arial"/>
              <w:lang w:val="pt-PT"/>
            </w:rPr>
            <w:t>o</w:t>
          </w:r>
          <w:r w:rsidR="006A4D19" w:rsidRPr="007B4EBA">
            <w:rPr>
              <w:rFonts w:ascii="Arial" w:hAnsi="Arial" w:cs="Arial"/>
              <w:lang w:val="pt-PT"/>
            </w:rPr>
            <w:t>s fi</w:t>
          </w:r>
          <w:r>
            <w:rPr>
              <w:rFonts w:ascii="Arial" w:hAnsi="Arial" w:cs="Arial"/>
              <w:lang w:val="pt-PT"/>
            </w:rPr>
            <w:t>x</w:t>
          </w:r>
          <w:r w:rsidR="006A4D19" w:rsidRPr="007B4EBA">
            <w:rPr>
              <w:rFonts w:ascii="Arial" w:hAnsi="Arial" w:cs="Arial"/>
              <w:lang w:val="pt-PT"/>
            </w:rPr>
            <w:t>os</w:t>
          </w:r>
        </w:p>
        <w:p w14:paraId="6E104AFD" w14:textId="7F699E2B" w:rsidR="006A4D19" w:rsidRPr="007B4EBA" w:rsidRDefault="006A4D19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5"/>
            <w:contextualSpacing w:val="0"/>
            <w:jc w:val="both"/>
            <w:rPr>
              <w:rFonts w:ascii="Arial" w:hAnsi="Arial" w:cs="Arial"/>
              <w:lang w:val="pt-PT"/>
            </w:rPr>
          </w:pPr>
          <w:r w:rsidRPr="007B4EBA">
            <w:rPr>
              <w:rFonts w:ascii="Arial" w:hAnsi="Arial" w:cs="Arial"/>
              <w:lang w:val="pt-PT"/>
            </w:rPr>
            <w:t>Importante efe</w:t>
          </w:r>
          <w:r w:rsidR="00867D72">
            <w:rPr>
              <w:rFonts w:ascii="Arial" w:hAnsi="Arial" w:cs="Arial"/>
              <w:lang w:val="pt-PT"/>
            </w:rPr>
            <w:t>i</w:t>
          </w:r>
          <w:r w:rsidRPr="007B4EBA">
            <w:rPr>
              <w:rFonts w:ascii="Arial" w:hAnsi="Arial" w:cs="Arial"/>
              <w:lang w:val="pt-PT"/>
            </w:rPr>
            <w:t>to pre</w:t>
          </w:r>
          <w:r w:rsidR="00867D72">
            <w:rPr>
              <w:rFonts w:ascii="Arial" w:hAnsi="Arial" w:cs="Arial"/>
              <w:lang w:val="pt-PT"/>
            </w:rPr>
            <w:t>ç</w:t>
          </w:r>
          <w:r w:rsidRPr="007B4EBA">
            <w:rPr>
              <w:rFonts w:ascii="Arial" w:hAnsi="Arial" w:cs="Arial"/>
              <w:lang w:val="pt-PT"/>
            </w:rPr>
            <w:t>o-</w:t>
          </w:r>
          <w:proofErr w:type="spellStart"/>
          <w:r w:rsidRPr="007B4EBA">
            <w:rPr>
              <w:rFonts w:ascii="Arial" w:hAnsi="Arial" w:cs="Arial"/>
              <w:lang w:val="pt-PT"/>
            </w:rPr>
            <w:t>mix</w:t>
          </w:r>
          <w:proofErr w:type="spellEnd"/>
          <w:r w:rsidRPr="007B4EBA">
            <w:rPr>
              <w:rFonts w:ascii="Arial" w:hAnsi="Arial" w:cs="Arial"/>
              <w:lang w:val="pt-PT"/>
            </w:rPr>
            <w:t>, de</w:t>
          </w:r>
          <w:r w:rsidR="00867D72">
            <w:rPr>
              <w:rFonts w:ascii="Arial" w:hAnsi="Arial" w:cs="Arial"/>
              <w:lang w:val="pt-PT"/>
            </w:rPr>
            <w:t>v</w:t>
          </w:r>
          <w:r w:rsidRPr="007B4EBA">
            <w:rPr>
              <w:rFonts w:ascii="Arial" w:hAnsi="Arial" w:cs="Arial"/>
              <w:lang w:val="pt-PT"/>
            </w:rPr>
            <w:t>ido a</w:t>
          </w:r>
          <w:r w:rsidR="00867D72">
            <w:rPr>
              <w:rFonts w:ascii="Arial" w:hAnsi="Arial" w:cs="Arial"/>
              <w:lang w:val="pt-PT"/>
            </w:rPr>
            <w:t xml:space="preserve">o </w:t>
          </w:r>
          <w:r w:rsidRPr="007B4EBA">
            <w:rPr>
              <w:rFonts w:ascii="Arial" w:hAnsi="Arial" w:cs="Arial"/>
              <w:lang w:val="pt-PT"/>
            </w:rPr>
            <w:t xml:space="preserve">enriquecimento </w:t>
          </w:r>
          <w:r w:rsidR="00867D72">
            <w:rPr>
              <w:rFonts w:ascii="Arial" w:hAnsi="Arial" w:cs="Arial"/>
              <w:lang w:val="pt-PT"/>
            </w:rPr>
            <w:t xml:space="preserve">contínuo </w:t>
          </w:r>
          <w:r w:rsidRPr="007B4EBA">
            <w:rPr>
              <w:rFonts w:ascii="Arial" w:hAnsi="Arial" w:cs="Arial"/>
              <w:lang w:val="pt-PT"/>
            </w:rPr>
            <w:t>d</w:t>
          </w:r>
          <w:r w:rsidR="00867D72">
            <w:rPr>
              <w:rFonts w:ascii="Arial" w:hAnsi="Arial" w:cs="Arial"/>
              <w:lang w:val="pt-PT"/>
            </w:rPr>
            <w:t xml:space="preserve">o </w:t>
          </w:r>
          <w:proofErr w:type="spellStart"/>
          <w:r w:rsidRPr="007B4EBA">
            <w:rPr>
              <w:rFonts w:ascii="Arial" w:hAnsi="Arial" w:cs="Arial"/>
              <w:lang w:val="pt-PT"/>
            </w:rPr>
            <w:t>mix</w:t>
          </w:r>
          <w:proofErr w:type="spellEnd"/>
          <w:r w:rsidRPr="007B4EBA">
            <w:rPr>
              <w:rFonts w:ascii="Arial" w:hAnsi="Arial" w:cs="Arial"/>
              <w:lang w:val="pt-PT"/>
            </w:rPr>
            <w:t xml:space="preserve"> de produtos, </w:t>
          </w:r>
          <w:r w:rsidR="00867D72">
            <w:rPr>
              <w:rFonts w:ascii="Arial" w:hAnsi="Arial" w:cs="Arial"/>
              <w:lang w:val="pt-PT"/>
            </w:rPr>
            <w:t xml:space="preserve">à </w:t>
          </w:r>
          <w:r w:rsidRPr="007B4EBA">
            <w:rPr>
              <w:rFonts w:ascii="Arial" w:hAnsi="Arial" w:cs="Arial"/>
              <w:lang w:val="pt-PT"/>
            </w:rPr>
            <w:t>política de pre</w:t>
          </w:r>
          <w:r w:rsidR="00867D72">
            <w:rPr>
              <w:rFonts w:ascii="Arial" w:hAnsi="Arial" w:cs="Arial"/>
              <w:lang w:val="pt-PT"/>
            </w:rPr>
            <w:t>ç</w:t>
          </w:r>
          <w:r w:rsidRPr="007B4EBA">
            <w:rPr>
              <w:rFonts w:ascii="Arial" w:hAnsi="Arial" w:cs="Arial"/>
              <w:lang w:val="pt-PT"/>
            </w:rPr>
            <w:t>os</w:t>
          </w:r>
          <w:r w:rsidR="00867D72">
            <w:rPr>
              <w:rFonts w:ascii="Arial" w:hAnsi="Arial" w:cs="Arial"/>
              <w:lang w:val="pt-PT"/>
            </w:rPr>
            <w:t xml:space="preserve">, e ao </w:t>
          </w:r>
          <w:r w:rsidRPr="007B4EBA">
            <w:rPr>
              <w:rFonts w:ascii="Arial" w:hAnsi="Arial" w:cs="Arial"/>
              <w:lang w:val="pt-PT"/>
            </w:rPr>
            <w:t>impacto diferido das cláusulas de indexa</w:t>
          </w:r>
          <w:r w:rsidR="00867D72">
            <w:rPr>
              <w:rFonts w:ascii="Arial" w:hAnsi="Arial" w:cs="Arial"/>
              <w:lang w:val="pt-PT"/>
            </w:rPr>
            <w:t>ção</w:t>
          </w:r>
        </w:p>
        <w:p w14:paraId="0219BD22" w14:textId="7BC9B427" w:rsidR="006A4D19" w:rsidRPr="007B4EBA" w:rsidRDefault="00867D72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5"/>
            <w:contextualSpacing w:val="0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M</w:t>
          </w:r>
          <w:r w:rsidR="006A4D19" w:rsidRPr="007B4EBA">
            <w:rPr>
              <w:rFonts w:ascii="Arial" w:hAnsi="Arial" w:cs="Arial"/>
              <w:lang w:val="pt-PT"/>
            </w:rPr>
            <w:t>arge</w:t>
          </w:r>
          <w:r>
            <w:rPr>
              <w:rFonts w:ascii="Arial" w:hAnsi="Arial" w:cs="Arial"/>
              <w:lang w:val="pt-PT"/>
            </w:rPr>
            <w:t>m</w:t>
          </w:r>
          <w:r w:rsidR="006A4D19" w:rsidRPr="007B4EBA">
            <w:rPr>
              <w:rFonts w:ascii="Arial" w:hAnsi="Arial" w:cs="Arial"/>
              <w:lang w:val="pt-PT"/>
            </w:rPr>
            <w:t xml:space="preserve"> operacional de Especialidades aument</w:t>
          </w:r>
          <w:r>
            <w:rPr>
              <w:rFonts w:ascii="Arial" w:hAnsi="Arial" w:cs="Arial"/>
              <w:lang w:val="pt-PT"/>
            </w:rPr>
            <w:t xml:space="preserve">ou para </w:t>
          </w:r>
          <w:r w:rsidR="006A4D19" w:rsidRPr="007B4EBA">
            <w:rPr>
              <w:rFonts w:ascii="Arial" w:hAnsi="Arial" w:cs="Arial"/>
              <w:lang w:val="pt-PT"/>
            </w:rPr>
            <w:t>18,3%, gra</w:t>
          </w:r>
          <w:r>
            <w:rPr>
              <w:rFonts w:ascii="Arial" w:hAnsi="Arial" w:cs="Arial"/>
              <w:lang w:val="pt-PT"/>
            </w:rPr>
            <w:t>ç</w:t>
          </w:r>
          <w:r w:rsidR="006A4D19" w:rsidRPr="007B4EBA">
            <w:rPr>
              <w:rFonts w:ascii="Arial" w:hAnsi="Arial" w:cs="Arial"/>
              <w:lang w:val="pt-PT"/>
            </w:rPr>
            <w:t>as a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6A4D19" w:rsidRPr="007B4EBA">
            <w:rPr>
              <w:rFonts w:ascii="Arial" w:hAnsi="Arial" w:cs="Arial"/>
              <w:lang w:val="pt-PT"/>
            </w:rPr>
            <w:t>dinamismo dos segmentos de Miner</w:t>
          </w:r>
          <w:r>
            <w:rPr>
              <w:rFonts w:ascii="Arial" w:hAnsi="Arial" w:cs="Arial"/>
              <w:lang w:val="pt-PT"/>
            </w:rPr>
            <w:t>ação</w:t>
          </w:r>
          <w:r w:rsidR="006A4D19" w:rsidRPr="007B4EBA">
            <w:rPr>
              <w:rFonts w:ascii="Arial" w:hAnsi="Arial" w:cs="Arial"/>
              <w:lang w:val="pt-PT"/>
            </w:rPr>
            <w:t>, Avi</w:t>
          </w:r>
          <w:r>
            <w:rPr>
              <w:rFonts w:ascii="Arial" w:hAnsi="Arial" w:cs="Arial"/>
              <w:lang w:val="pt-PT"/>
            </w:rPr>
            <w:t>ão e</w:t>
          </w:r>
          <w:r w:rsidR="006A4D19" w:rsidRPr="007B4EBA">
            <w:rPr>
              <w:rFonts w:ascii="Arial" w:hAnsi="Arial" w:cs="Arial"/>
              <w:lang w:val="pt-PT"/>
            </w:rPr>
            <w:t xml:space="preserve"> Materia</w:t>
          </w:r>
          <w:r>
            <w:rPr>
              <w:rFonts w:ascii="Arial" w:hAnsi="Arial" w:cs="Arial"/>
              <w:lang w:val="pt-PT"/>
            </w:rPr>
            <w:t>i</w:t>
          </w:r>
          <w:r w:rsidR="006A4D19" w:rsidRPr="007B4EBA">
            <w:rPr>
              <w:rFonts w:ascii="Arial" w:hAnsi="Arial" w:cs="Arial"/>
              <w:lang w:val="pt-PT"/>
            </w:rPr>
            <w:t>s de Alta Tecnolog</w:t>
          </w:r>
          <w:r>
            <w:rPr>
              <w:rFonts w:ascii="Arial" w:hAnsi="Arial" w:cs="Arial"/>
              <w:lang w:val="pt-PT"/>
            </w:rPr>
            <w:t>ia</w:t>
          </w:r>
        </w:p>
        <w:p w14:paraId="30796026" w14:textId="77777777" w:rsidR="006A4D19" w:rsidRPr="007B4EBA" w:rsidRDefault="006A4D19" w:rsidP="00B04ACE">
          <w:pPr>
            <w:tabs>
              <w:tab w:val="num" w:pos="1134"/>
            </w:tabs>
            <w:spacing w:after="60"/>
            <w:ind w:right="-46"/>
            <w:jc w:val="both"/>
            <w:rPr>
              <w:rFonts w:ascii="Arial" w:eastAsia="Times New Roman" w:hAnsi="Arial" w:cs="Arial"/>
              <w:sz w:val="20"/>
              <w:szCs w:val="20"/>
              <w:lang w:val="pt-PT"/>
            </w:rPr>
          </w:pPr>
        </w:p>
        <w:p w14:paraId="3B6A5E62" w14:textId="33D87C20" w:rsidR="006A4D19" w:rsidRPr="007B4EBA" w:rsidRDefault="006A4D19" w:rsidP="00B04ACE">
          <w:pPr>
            <w:spacing w:after="60"/>
            <w:ind w:left="-426" w:right="-46"/>
            <w:jc w:val="both"/>
            <w:rPr>
              <w:rFonts w:ascii="Arial" w:eastAsia="Times New Roman" w:hAnsi="Arial" w:cs="Arial"/>
              <w:b/>
              <w:bCs/>
              <w:sz w:val="20"/>
              <w:szCs w:val="20"/>
              <w:lang w:val="pt-PT"/>
            </w:rPr>
          </w:pPr>
          <w:r w:rsidRPr="007B4EBA">
            <w:rPr>
              <w:rFonts w:ascii="Arial" w:hAnsi="Arial" w:cs="Arial"/>
              <w:b/>
              <w:bCs/>
              <w:i/>
              <w:sz w:val="20"/>
              <w:szCs w:val="20"/>
              <w:lang w:val="pt-PT"/>
            </w:rPr>
            <w:t xml:space="preserve">Cash </w:t>
          </w:r>
          <w:proofErr w:type="spellStart"/>
          <w:r w:rsidRPr="007B4EBA">
            <w:rPr>
              <w:rFonts w:ascii="Arial" w:hAnsi="Arial" w:cs="Arial"/>
              <w:b/>
              <w:bCs/>
              <w:i/>
              <w:sz w:val="20"/>
              <w:szCs w:val="20"/>
              <w:lang w:val="pt-PT"/>
            </w:rPr>
            <w:t>flow</w:t>
          </w:r>
          <w:proofErr w:type="spellEnd"/>
          <w:r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li</w:t>
          </w:r>
          <w:r w:rsidR="00867D7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v</w:t>
          </w:r>
          <w:r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 antes de aquisi</w:t>
          </w:r>
          <w:r w:rsidR="00867D7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çõ</w:t>
          </w:r>
          <w:r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es de 922 mil</w:t>
          </w:r>
          <w:r w:rsidR="00867D7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hõe</w:t>
          </w:r>
          <w:r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 de euros, resultado de u</w:t>
          </w:r>
          <w:r w:rsidR="00867D7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ma </w:t>
          </w:r>
          <w:r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gest</w:t>
          </w:r>
          <w:r w:rsidR="00867D7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ão </w:t>
          </w:r>
          <w:r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rig</w:t>
          </w:r>
          <w:r w:rsidR="00867D7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rosa:</w:t>
          </w:r>
        </w:p>
        <w:p w14:paraId="7AB3B881" w14:textId="75B3EFC0" w:rsidR="006A4D19" w:rsidRPr="007B4EBA" w:rsidRDefault="006A4D19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</w:tabs>
            <w:spacing w:after="60"/>
            <w:ind w:right="-46"/>
            <w:contextualSpacing w:val="0"/>
            <w:jc w:val="both"/>
            <w:rPr>
              <w:rFonts w:ascii="Arial" w:hAnsi="Arial" w:cs="Arial"/>
              <w:lang w:val="pt-PT"/>
            </w:rPr>
          </w:pPr>
          <w:r w:rsidRPr="007B4EBA">
            <w:rPr>
              <w:rFonts w:ascii="Arial" w:hAnsi="Arial" w:cs="Arial"/>
              <w:lang w:val="pt-PT"/>
            </w:rPr>
            <w:t>EBITDA de 2600 mil</w:t>
          </w:r>
          <w:r w:rsidR="00867D72">
            <w:rPr>
              <w:rFonts w:ascii="Arial" w:hAnsi="Arial" w:cs="Arial"/>
              <w:lang w:val="pt-PT"/>
            </w:rPr>
            <w:t>hõ</w:t>
          </w:r>
          <w:r w:rsidRPr="007B4EBA">
            <w:rPr>
              <w:rFonts w:ascii="Arial" w:hAnsi="Arial" w:cs="Arial"/>
              <w:lang w:val="pt-PT"/>
            </w:rPr>
            <w:t>es de euros, representa</w:t>
          </w:r>
          <w:r w:rsidR="00867D72">
            <w:rPr>
              <w:rFonts w:ascii="Arial" w:hAnsi="Arial" w:cs="Arial"/>
              <w:lang w:val="pt-PT"/>
            </w:rPr>
            <w:t xml:space="preserve">ndo </w:t>
          </w:r>
          <w:r w:rsidRPr="007B4EBA">
            <w:rPr>
              <w:rFonts w:ascii="Arial" w:hAnsi="Arial" w:cs="Arial"/>
              <w:lang w:val="pt-PT"/>
            </w:rPr>
            <w:t>18,8% d</w:t>
          </w:r>
          <w:r w:rsidR="00867D72">
            <w:rPr>
              <w:rFonts w:ascii="Arial" w:hAnsi="Arial" w:cs="Arial"/>
              <w:lang w:val="pt-PT"/>
            </w:rPr>
            <w:t>o volume de negócios</w:t>
          </w:r>
        </w:p>
        <w:p w14:paraId="5BBA2413" w14:textId="4EA4535E" w:rsidR="006A4D19" w:rsidRPr="007B4EBA" w:rsidRDefault="00867D72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</w:tabs>
            <w:spacing w:after="60"/>
            <w:ind w:right="-46"/>
            <w:contextualSpacing w:val="0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N</w:t>
          </w:r>
          <w:r w:rsidR="006A4D19" w:rsidRPr="007B4EBA">
            <w:rPr>
              <w:rFonts w:ascii="Arial" w:hAnsi="Arial" w:cs="Arial"/>
              <w:lang w:val="pt-PT"/>
            </w:rPr>
            <w:t>ece</w:t>
          </w:r>
          <w:r>
            <w:rPr>
              <w:rFonts w:ascii="Arial" w:hAnsi="Arial" w:cs="Arial"/>
              <w:lang w:val="pt-PT"/>
            </w:rPr>
            <w:t>s</w:t>
          </w:r>
          <w:r w:rsidR="006A4D19" w:rsidRPr="007B4EBA">
            <w:rPr>
              <w:rFonts w:ascii="Arial" w:hAnsi="Arial" w:cs="Arial"/>
              <w:lang w:val="pt-PT"/>
            </w:rPr>
            <w:t>sidad</w:t>
          </w:r>
          <w:r>
            <w:rPr>
              <w:rFonts w:ascii="Arial" w:hAnsi="Arial" w:cs="Arial"/>
              <w:lang w:val="pt-PT"/>
            </w:rPr>
            <w:t>e</w:t>
          </w:r>
          <w:r w:rsidR="006A4D19" w:rsidRPr="007B4EBA">
            <w:rPr>
              <w:rFonts w:ascii="Arial" w:hAnsi="Arial" w:cs="Arial"/>
              <w:lang w:val="pt-PT"/>
            </w:rPr>
            <w:t xml:space="preserve"> de f</w:t>
          </w:r>
          <w:r>
            <w:rPr>
              <w:rFonts w:ascii="Arial" w:hAnsi="Arial" w:cs="Arial"/>
              <w:lang w:val="pt-PT"/>
            </w:rPr>
            <w:t>u</w:t>
          </w:r>
          <w:r w:rsidR="006A4D19" w:rsidRPr="007B4EBA">
            <w:rPr>
              <w:rFonts w:ascii="Arial" w:hAnsi="Arial" w:cs="Arial"/>
              <w:lang w:val="pt-PT"/>
            </w:rPr>
            <w:t>ndo de man</w:t>
          </w:r>
          <w:r>
            <w:rPr>
              <w:rFonts w:ascii="Arial" w:hAnsi="Arial" w:cs="Arial"/>
              <w:lang w:val="pt-PT"/>
            </w:rPr>
            <w:t xml:space="preserve">eio </w:t>
          </w:r>
          <w:r w:rsidR="006A4D19" w:rsidRPr="007B4EBA">
            <w:rPr>
              <w:rFonts w:ascii="Arial" w:hAnsi="Arial" w:cs="Arial"/>
              <w:lang w:val="pt-PT"/>
            </w:rPr>
            <w:t>benefici</w:t>
          </w:r>
          <w:r>
            <w:rPr>
              <w:rFonts w:ascii="Arial" w:hAnsi="Arial" w:cs="Arial"/>
              <w:lang w:val="pt-PT"/>
            </w:rPr>
            <w:t xml:space="preserve">ou </w:t>
          </w:r>
          <w:r w:rsidR="006A4D19" w:rsidRPr="007B4EBA">
            <w:rPr>
              <w:rFonts w:ascii="Arial" w:hAnsi="Arial" w:cs="Arial"/>
              <w:lang w:val="pt-PT"/>
            </w:rPr>
            <w:t>de u</w:t>
          </w:r>
          <w:r>
            <w:rPr>
              <w:rFonts w:ascii="Arial" w:hAnsi="Arial" w:cs="Arial"/>
              <w:lang w:val="pt-PT"/>
            </w:rPr>
            <w:t xml:space="preserve">ma </w:t>
          </w:r>
          <w:r w:rsidR="006A4D19" w:rsidRPr="007B4EBA">
            <w:rPr>
              <w:rFonts w:ascii="Arial" w:hAnsi="Arial" w:cs="Arial"/>
              <w:lang w:val="pt-PT"/>
            </w:rPr>
            <w:t>gest</w:t>
          </w:r>
          <w:r>
            <w:rPr>
              <w:rFonts w:ascii="Arial" w:hAnsi="Arial" w:cs="Arial"/>
              <w:lang w:val="pt-PT"/>
            </w:rPr>
            <w:t xml:space="preserve">ão </w:t>
          </w:r>
          <w:r w:rsidRPr="007B4EBA">
            <w:rPr>
              <w:rFonts w:ascii="Arial" w:hAnsi="Arial" w:cs="Arial"/>
              <w:lang w:val="pt-PT"/>
            </w:rPr>
            <w:t xml:space="preserve">estrita </w:t>
          </w:r>
          <w:r>
            <w:rPr>
              <w:rFonts w:ascii="Arial" w:hAnsi="Arial" w:cs="Arial"/>
              <w:lang w:val="pt-PT"/>
            </w:rPr>
            <w:t>d</w:t>
          </w:r>
          <w:r w:rsidR="006A4D19" w:rsidRPr="007B4EBA">
            <w:rPr>
              <w:rFonts w:ascii="Arial" w:hAnsi="Arial" w:cs="Arial"/>
              <w:lang w:val="pt-PT"/>
            </w:rPr>
            <w:t xml:space="preserve">os </w:t>
          </w:r>
          <w:r w:rsidR="006A4D19" w:rsidRPr="007B4EBA">
            <w:rPr>
              <w:rFonts w:ascii="Arial" w:hAnsi="Arial" w:cs="Arial"/>
              <w:i/>
              <w:iCs/>
              <w:lang w:val="pt-PT"/>
            </w:rPr>
            <w:t>stocks</w:t>
          </w:r>
          <w:r>
            <w:rPr>
              <w:rFonts w:ascii="Arial" w:hAnsi="Arial" w:cs="Arial"/>
              <w:lang w:val="pt-PT"/>
            </w:rPr>
            <w:t xml:space="preserve">, e de uma </w:t>
          </w:r>
          <w:r w:rsidR="006A4D19" w:rsidRPr="007B4EBA">
            <w:rPr>
              <w:rFonts w:ascii="Arial" w:hAnsi="Arial" w:cs="Arial"/>
              <w:lang w:val="pt-PT"/>
            </w:rPr>
            <w:t>recupera</w:t>
          </w:r>
          <w:r>
            <w:rPr>
              <w:rFonts w:ascii="Arial" w:hAnsi="Arial" w:cs="Arial"/>
              <w:lang w:val="pt-PT"/>
            </w:rPr>
            <w:t xml:space="preserve">ção da tesouraria </w:t>
          </w:r>
          <w:r w:rsidR="006A4D19" w:rsidRPr="007B4EBA">
            <w:rPr>
              <w:rFonts w:ascii="Arial" w:hAnsi="Arial" w:cs="Arial"/>
              <w:lang w:val="pt-PT"/>
            </w:rPr>
            <w:t>a partir d</w:t>
          </w:r>
          <w:r>
            <w:rPr>
              <w:rFonts w:ascii="Arial" w:hAnsi="Arial" w:cs="Arial"/>
              <w:lang w:val="pt-PT"/>
            </w:rPr>
            <w:t>o q</w:t>
          </w:r>
          <w:r w:rsidR="006A4D19" w:rsidRPr="007B4EBA">
            <w:rPr>
              <w:rFonts w:ascii="Arial" w:hAnsi="Arial" w:cs="Arial"/>
              <w:lang w:val="pt-PT"/>
            </w:rPr>
            <w:t>uarto trimestre de 2022</w:t>
          </w:r>
        </w:p>
        <w:p w14:paraId="0F06C672" w14:textId="48DB4C22" w:rsidR="006A4D19" w:rsidRPr="007B4EBA" w:rsidRDefault="006A4D19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</w:tabs>
            <w:spacing w:after="60"/>
            <w:ind w:right="-46"/>
            <w:contextualSpacing w:val="0"/>
            <w:jc w:val="both"/>
            <w:rPr>
              <w:rFonts w:ascii="Arial" w:hAnsi="Arial" w:cs="Arial"/>
              <w:lang w:val="pt-PT"/>
            </w:rPr>
          </w:pPr>
          <w:r w:rsidRPr="007B4EBA">
            <w:rPr>
              <w:rFonts w:ascii="Arial" w:hAnsi="Arial" w:cs="Arial"/>
              <w:lang w:val="pt-PT"/>
            </w:rPr>
            <w:t>Gera</w:t>
          </w:r>
          <w:r w:rsidR="00867D72">
            <w:rPr>
              <w:rFonts w:ascii="Arial" w:hAnsi="Arial" w:cs="Arial"/>
              <w:lang w:val="pt-PT"/>
            </w:rPr>
            <w:t xml:space="preserve">ção </w:t>
          </w:r>
          <w:r w:rsidRPr="007B4EBA">
            <w:rPr>
              <w:rFonts w:ascii="Arial" w:hAnsi="Arial" w:cs="Arial"/>
              <w:lang w:val="pt-PT"/>
            </w:rPr>
            <w:t>de ca</w:t>
          </w:r>
          <w:r w:rsidR="00867D72">
            <w:rPr>
              <w:rFonts w:ascii="Arial" w:hAnsi="Arial" w:cs="Arial"/>
              <w:lang w:val="pt-PT"/>
            </w:rPr>
            <w:t>ix</w:t>
          </w:r>
          <w:r w:rsidRPr="007B4EBA">
            <w:rPr>
              <w:rFonts w:ascii="Arial" w:hAnsi="Arial" w:cs="Arial"/>
              <w:lang w:val="pt-PT"/>
            </w:rPr>
            <w:t xml:space="preserve">a positiva </w:t>
          </w:r>
          <w:r w:rsidR="00867D72">
            <w:rPr>
              <w:rFonts w:ascii="Arial" w:hAnsi="Arial" w:cs="Arial"/>
              <w:lang w:val="pt-PT"/>
            </w:rPr>
            <w:t>da</w:t>
          </w:r>
          <w:r w:rsidRPr="007B4EBA">
            <w:rPr>
              <w:rFonts w:ascii="Arial" w:hAnsi="Arial" w:cs="Arial"/>
              <w:lang w:val="pt-PT"/>
            </w:rPr>
            <w:t xml:space="preserve"> TBC de 256 mil</w:t>
          </w:r>
          <w:r w:rsidR="00867D72">
            <w:rPr>
              <w:rFonts w:ascii="Arial" w:hAnsi="Arial" w:cs="Arial"/>
              <w:lang w:val="pt-PT"/>
            </w:rPr>
            <w:t xml:space="preserve">hões </w:t>
          </w:r>
          <w:r w:rsidRPr="007B4EBA">
            <w:rPr>
              <w:rFonts w:ascii="Arial" w:hAnsi="Arial" w:cs="Arial"/>
              <w:lang w:val="pt-PT"/>
            </w:rPr>
            <w:t>de euros</w:t>
          </w:r>
          <w:r w:rsidR="00867D72">
            <w:rPr>
              <w:rFonts w:ascii="Arial" w:hAnsi="Arial" w:cs="Arial"/>
              <w:lang w:val="pt-PT"/>
            </w:rPr>
            <w:t xml:space="preserve">, devida, em </w:t>
          </w:r>
          <w:r w:rsidRPr="007B4EBA">
            <w:rPr>
              <w:rFonts w:ascii="Arial" w:hAnsi="Arial" w:cs="Arial"/>
              <w:lang w:val="pt-PT"/>
            </w:rPr>
            <w:t>parte</w:t>
          </w:r>
          <w:r w:rsidR="00867D72">
            <w:rPr>
              <w:rFonts w:ascii="Arial" w:hAnsi="Arial" w:cs="Arial"/>
              <w:lang w:val="pt-PT"/>
            </w:rPr>
            <w:t xml:space="preserve">, à </w:t>
          </w:r>
          <w:r w:rsidRPr="007B4EBA">
            <w:rPr>
              <w:rFonts w:ascii="Arial" w:hAnsi="Arial" w:cs="Arial"/>
              <w:lang w:val="pt-PT"/>
            </w:rPr>
            <w:t>ven</w:t>
          </w:r>
          <w:r w:rsidR="00867D72">
            <w:rPr>
              <w:rFonts w:ascii="Arial" w:hAnsi="Arial" w:cs="Arial"/>
              <w:lang w:val="pt-PT"/>
            </w:rPr>
            <w:t>d</w:t>
          </w:r>
          <w:r w:rsidRPr="007B4EBA">
            <w:rPr>
              <w:rFonts w:ascii="Arial" w:hAnsi="Arial" w:cs="Arial"/>
              <w:lang w:val="pt-PT"/>
            </w:rPr>
            <w:t>a d</w:t>
          </w:r>
          <w:r w:rsidR="00867D72">
            <w:rPr>
              <w:rFonts w:ascii="Arial" w:hAnsi="Arial" w:cs="Arial"/>
              <w:lang w:val="pt-PT"/>
            </w:rPr>
            <w:t>a</w:t>
          </w:r>
          <w:r w:rsidRPr="007B4EBA">
            <w:rPr>
              <w:rFonts w:ascii="Arial" w:hAnsi="Arial" w:cs="Arial"/>
              <w:lang w:val="pt-PT"/>
            </w:rPr>
            <w:t xml:space="preserve"> su</w:t>
          </w:r>
          <w:r w:rsidR="00867D72">
            <w:rPr>
              <w:rFonts w:ascii="Arial" w:hAnsi="Arial" w:cs="Arial"/>
              <w:lang w:val="pt-PT"/>
            </w:rPr>
            <w:t>a</w:t>
          </w:r>
          <w:r w:rsidRPr="007B4EBA">
            <w:rPr>
              <w:rFonts w:ascii="Arial" w:hAnsi="Arial" w:cs="Arial"/>
              <w:lang w:val="pt-PT"/>
            </w:rPr>
            <w:t xml:space="preserve"> red</w:t>
          </w:r>
          <w:r w:rsidR="00867D72">
            <w:rPr>
              <w:rFonts w:ascii="Arial" w:hAnsi="Arial" w:cs="Arial"/>
              <w:lang w:val="pt-PT"/>
            </w:rPr>
            <w:t>e</w:t>
          </w:r>
          <w:r w:rsidRPr="007B4EBA">
            <w:rPr>
              <w:rFonts w:ascii="Arial" w:hAnsi="Arial" w:cs="Arial"/>
              <w:lang w:val="pt-PT"/>
            </w:rPr>
            <w:t xml:space="preserve"> </w:t>
          </w:r>
          <w:r w:rsidRPr="007B4EBA">
            <w:rPr>
              <w:rFonts w:ascii="Arial" w:hAnsi="Arial" w:cs="Arial"/>
              <w:iCs/>
              <w:lang w:val="pt-PT"/>
            </w:rPr>
            <w:t xml:space="preserve">de </w:t>
          </w:r>
          <w:proofErr w:type="spellStart"/>
          <w:r w:rsidRPr="007B4EBA">
            <w:rPr>
              <w:rFonts w:ascii="Arial" w:hAnsi="Arial" w:cs="Arial"/>
              <w:i/>
              <w:lang w:val="pt-PT"/>
            </w:rPr>
            <w:t>Retail</w:t>
          </w:r>
          <w:proofErr w:type="spellEnd"/>
          <w:r w:rsidRPr="007B4EBA">
            <w:rPr>
              <w:rFonts w:ascii="Arial" w:hAnsi="Arial" w:cs="Arial"/>
              <w:lang w:val="pt-PT"/>
            </w:rPr>
            <w:t>.</w:t>
          </w:r>
        </w:p>
        <w:p w14:paraId="11F7B937" w14:textId="77777777" w:rsidR="006A4D19" w:rsidRPr="007B4EBA" w:rsidRDefault="006A4D19" w:rsidP="00B04ACE">
          <w:pPr>
            <w:spacing w:after="60"/>
            <w:ind w:left="-73" w:right="-4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789367D" w14:textId="14C5275B" w:rsidR="006A4D19" w:rsidRPr="007B4EBA" w:rsidRDefault="006A4D19" w:rsidP="00B04ACE">
          <w:pPr>
            <w:spacing w:after="120" w:line="276" w:lineRule="auto"/>
            <w:ind w:left="-426" w:right="-46"/>
            <w:jc w:val="both"/>
            <w:rPr>
              <w:rFonts w:ascii="Arial" w:hAnsi="Arial" w:cs="Arial"/>
              <w:i/>
              <w:sz w:val="20"/>
              <w:szCs w:val="20"/>
              <w:lang w:val="pt-PT"/>
            </w:rPr>
          </w:pPr>
          <w:bookmarkStart w:id="1" w:name="_Hlk62734760"/>
          <w:r w:rsidRPr="007B4EBA">
            <w:rPr>
              <w:rFonts w:ascii="Arial" w:hAnsi="Arial" w:cs="Arial"/>
              <w:sz w:val="20"/>
              <w:szCs w:val="20"/>
              <w:lang w:val="pt-PT"/>
            </w:rPr>
            <w:t>Florent Menegaux,</w:t>
          </w:r>
          <w:r w:rsidR="00B04ACE" w:rsidRPr="007B4EBA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>residente</w:t>
          </w:r>
          <w:r w:rsidR="00B04ACE" w:rsidRPr="007B4EBA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867D7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04ACE" w:rsidRPr="007B4EBA">
            <w:rPr>
              <w:rFonts w:ascii="Arial" w:hAnsi="Arial" w:cs="Arial"/>
              <w:sz w:val="20"/>
              <w:szCs w:val="20"/>
              <w:lang w:val="pt-PT"/>
            </w:rPr>
            <w:t>grupo Michelin,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 xml:space="preserve"> declar</w:t>
          </w:r>
          <w:r w:rsidR="00867D72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bookmarkEnd w:id="1"/>
          <w:r w:rsidR="00B04ACE"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resultados d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Grupo </w:t>
          </w:r>
          <w:proofErr w:type="spellStart"/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ram</w:t>
          </w:r>
          <w:proofErr w:type="spellEnd"/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bons na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prime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ra m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tad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o, 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num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contexto de transforma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acelerada d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mercado a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nos estamos 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adapta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constantemente. 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possui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itos pontes ativos</w:t>
          </w:r>
          <w:r w:rsidR="00B04ACE"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co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ofertas de produtos 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servi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de 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alidad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e,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que, combinados co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mix</w:t>
          </w:r>
          <w:proofErr w:type="spellEnd"/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ade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uados, permite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m-nos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concentrar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mo-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nos nos segmentos de mercado que ge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mai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valor. 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Go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star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felicitar 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nossas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equip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p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ela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agilidad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e, e pel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resultados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lastRenderedPageBreak/>
            <w:t xml:space="preserve">obtidos 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num ambiente ainda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difícil 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segmentos Cami</w:t>
          </w:r>
          <w:r w:rsidR="00867D7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e </w:t>
          </w:r>
          <w:proofErr w:type="spellStart"/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Beyond</w:t>
          </w:r>
          <w:proofErr w:type="spellEnd"/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The</w:t>
          </w:r>
          <w:proofErr w:type="spellEnd"/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Road</w:t>
          </w:r>
          <w:proofErr w:type="spellEnd"/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E</w:t>
          </w:r>
          <w:r w:rsidR="008D53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Materia</w:t>
          </w:r>
          <w:r w:rsidR="008D53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de Alta Tecnolog</w:t>
          </w:r>
          <w:r w:rsidR="008D53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a, </w:t>
          </w:r>
          <w:r w:rsidR="008D53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implementação da nossa estratégia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está </w:t>
          </w:r>
          <w:r w:rsidR="008D53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acelera</w:t>
          </w:r>
          <w:r w:rsidR="008D53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 com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proofErr w:type="spellStart"/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aquisición</w:t>
          </w:r>
          <w:proofErr w:type="spellEnd"/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anunciada d</w:t>
          </w:r>
          <w:r w:rsidR="008D53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Flex</w:t>
          </w:r>
          <w:proofErr w:type="spellEnd"/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Composite</w:t>
          </w:r>
          <w:proofErr w:type="spellEnd"/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Group</w:t>
          </w:r>
          <w:proofErr w:type="spellEnd"/>
          <w:r w:rsidR="00B04ACE"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8D534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</w:t>
          </w:r>
        </w:p>
        <w:p w14:paraId="0B0FA458" w14:textId="2E387C8D" w:rsidR="006A4D19" w:rsidRPr="007B4EBA" w:rsidRDefault="006A4D19" w:rsidP="00B04ACE">
          <w:pPr>
            <w:tabs>
              <w:tab w:val="left" w:pos="284"/>
            </w:tabs>
            <w:spacing w:after="120" w:line="276" w:lineRule="auto"/>
            <w:ind w:left="-426" w:right="-46"/>
            <w:jc w:val="both"/>
            <w:rPr>
              <w:rFonts w:ascii="Arial" w:eastAsia="Times New Roman" w:hAnsi="Arial" w:cs="Arial"/>
              <w:b/>
              <w:bCs/>
              <w:sz w:val="20"/>
              <w:szCs w:val="20"/>
              <w:lang w:val="pt-PT"/>
            </w:rPr>
          </w:pPr>
          <w:r w:rsidRPr="007B4EBA">
            <w:rPr>
              <w:rFonts w:ascii="Arial" w:hAnsi="Arial" w:cs="Arial"/>
              <w:b/>
              <w:bCs/>
              <w:iCs/>
              <w:sz w:val="20"/>
              <w:szCs w:val="20"/>
              <w:lang w:val="pt-PT"/>
            </w:rPr>
            <w:t>Previs</w:t>
          </w:r>
          <w:r w:rsidR="008D5341">
            <w:rPr>
              <w:rFonts w:ascii="Arial" w:hAnsi="Arial" w:cs="Arial"/>
              <w:b/>
              <w:bCs/>
              <w:iCs/>
              <w:sz w:val="20"/>
              <w:szCs w:val="20"/>
              <w:lang w:val="pt-PT"/>
            </w:rPr>
            <w:t xml:space="preserve">ão </w:t>
          </w:r>
          <w:r w:rsidRPr="007B4EBA">
            <w:rPr>
              <w:rFonts w:ascii="Arial" w:hAnsi="Arial" w:cs="Arial"/>
              <w:b/>
              <w:bCs/>
              <w:iCs/>
              <w:sz w:val="20"/>
              <w:szCs w:val="20"/>
              <w:lang w:val="pt-PT"/>
            </w:rPr>
            <w:t>anual</w:t>
          </w:r>
          <w:r w:rsidRPr="007B4EBA">
            <w:rPr>
              <w:rFonts w:ascii="Arial" w:hAnsi="Arial" w:cs="Arial"/>
              <w:b/>
              <w:bCs/>
              <w:i/>
              <w:sz w:val="20"/>
              <w:szCs w:val="20"/>
              <w:lang w:val="pt-PT"/>
            </w:rPr>
            <w:t xml:space="preserve"> </w:t>
          </w:r>
          <w:r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revis</w:t>
          </w:r>
          <w:r w:rsidR="008D534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ta em </w:t>
          </w:r>
          <w:r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al</w:t>
          </w:r>
          <w:r w:rsidR="008D534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</w:t>
          </w:r>
          <w:r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</w:p>
        <w:p w14:paraId="17061E0D" w14:textId="52A2817F" w:rsidR="006A4D19" w:rsidRPr="007B4EBA" w:rsidRDefault="006A4D19" w:rsidP="00B04ACE">
          <w:pPr>
            <w:spacing w:after="120" w:line="276" w:lineRule="auto"/>
            <w:ind w:left="-426" w:right="-4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B4EBA">
            <w:rPr>
              <w:rFonts w:ascii="Arial" w:hAnsi="Arial" w:cs="Arial"/>
              <w:sz w:val="20"/>
              <w:szCs w:val="20"/>
              <w:lang w:val="pt-PT"/>
            </w:rPr>
            <w:t>Apesar de u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 xml:space="preserve">m panorama 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 xml:space="preserve">de mercado menos 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>favorável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>, as previs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>es d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 xml:space="preserve">Grupo para 2023 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 xml:space="preserve">foram 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>revis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 xml:space="preserve">tas em alta, com 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 xml:space="preserve"> resultado operacional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>a t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 xml:space="preserve">axas 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>de c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>mbio constantes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>superior a 3400 mil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>es de euros (f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 xml:space="preserve">ace 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 xml:space="preserve">s 3200 </w:t>
          </w:r>
          <w:r w:rsidR="008D5341" w:rsidRPr="007B4EBA">
            <w:rPr>
              <w:rFonts w:ascii="Arial" w:hAnsi="Arial" w:cs="Arial"/>
              <w:sz w:val="20"/>
              <w:szCs w:val="20"/>
              <w:lang w:val="pt-PT"/>
            </w:rPr>
            <w:t>mil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8D5341" w:rsidRPr="007B4EBA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>de euros anteriores)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 xml:space="preserve">, e um </w:t>
          </w:r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cash </w:t>
          </w:r>
          <w:proofErr w:type="spellStart"/>
          <w:r w:rsidRPr="007B4E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flow</w:t>
          </w:r>
          <w:proofErr w:type="spellEnd"/>
          <w:r w:rsidRPr="007B4EBA">
            <w:rPr>
              <w:rFonts w:ascii="Arial" w:hAnsi="Arial" w:cs="Arial"/>
              <w:sz w:val="20"/>
              <w:szCs w:val="20"/>
              <w:lang w:val="pt-PT"/>
            </w:rPr>
            <w:t xml:space="preserve"> li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>re antes de aquisi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 xml:space="preserve">es de 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 xml:space="preserve">de 2000 </w:t>
          </w:r>
          <w:r w:rsidR="008D5341" w:rsidRPr="007B4EBA">
            <w:rPr>
              <w:rFonts w:ascii="Arial" w:hAnsi="Arial" w:cs="Arial"/>
              <w:sz w:val="20"/>
              <w:szCs w:val="20"/>
              <w:lang w:val="pt-PT"/>
            </w:rPr>
            <w:t>mil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8D5341" w:rsidRPr="007B4EBA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>de euros (f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>ace a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 xml:space="preserve">os 1600 </w:t>
          </w:r>
          <w:r w:rsidR="008D5341" w:rsidRPr="007B4EBA">
            <w:rPr>
              <w:rFonts w:ascii="Arial" w:hAnsi="Arial" w:cs="Arial"/>
              <w:sz w:val="20"/>
              <w:szCs w:val="20"/>
              <w:lang w:val="pt-PT"/>
            </w:rPr>
            <w:t>mil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8D5341" w:rsidRPr="007B4EBA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8D5341">
            <w:rPr>
              <w:rFonts w:ascii="Arial" w:hAnsi="Arial" w:cs="Arial"/>
              <w:sz w:val="20"/>
              <w:szCs w:val="20"/>
              <w:lang w:val="pt-PT"/>
            </w:rPr>
            <w:t xml:space="preserve">de euros </w:t>
          </w:r>
          <w:r w:rsidRPr="007B4EBA">
            <w:rPr>
              <w:rFonts w:ascii="Arial" w:hAnsi="Arial" w:cs="Arial"/>
              <w:sz w:val="20"/>
              <w:szCs w:val="20"/>
              <w:lang w:val="pt-PT"/>
            </w:rPr>
            <w:t>anteriores</w:t>
          </w:r>
          <w:sdt>
            <w:sdtPr>
              <w:rPr>
                <w:rFonts w:ascii="Arial" w:hAnsi="Arial" w:cs="Arial"/>
                <w:sz w:val="20"/>
                <w:szCs w:val="20"/>
                <w:lang w:val="pt-PT"/>
              </w:rPr>
              <w:id w:val="-1863354103"/>
              <w:docPartObj>
                <w:docPartGallery w:val="Cover Pages"/>
                <w:docPartUnique/>
              </w:docPartObj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pt-PT"/>
                  </w:rPr>
                  <w:id w:val="-1495642793"/>
                  <w:docPartObj>
                    <w:docPartGallery w:val="Cover Pages"/>
                    <w:docPartUnique/>
                  </w:docPartObj>
                </w:sdtPr>
                <w:sdtContent>
                  <w:r w:rsidRPr="007B4EBA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).</w:t>
                  </w:r>
                </w:sdtContent>
              </w:sdt>
            </w:sdtContent>
          </w:sdt>
          <w:bookmarkEnd w:id="0"/>
        </w:p>
        <w:p w14:paraId="72206F46" w14:textId="54C2D483" w:rsidR="006A4D19" w:rsidRPr="007B4EBA" w:rsidRDefault="006A4D19" w:rsidP="00B04ACE">
          <w:pPr>
            <w:spacing w:after="60"/>
            <w:ind w:left="-426" w:right="-46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7B4EBA">
            <w:rPr>
              <w:rFonts w:ascii="Arial" w:hAnsi="Arial" w:cs="Arial"/>
              <w:sz w:val="20"/>
              <w:szCs w:val="20"/>
              <w:lang w:val="pt-PT"/>
            </w:rPr>
            <w:br/>
          </w:r>
          <w:r w:rsidR="008D534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NÚMEROS</w:t>
          </w:r>
          <w:r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C</w:t>
          </w:r>
          <w:r w:rsidR="008D534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</w:t>
          </w:r>
          <w:r w:rsidRPr="007B4EB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AVE</w:t>
          </w:r>
          <w:r w:rsidRPr="007B4EBA">
            <w:rPr>
              <w:rFonts w:ascii="Arial" w:hAnsi="Arial" w:cs="Arial"/>
              <w:b/>
              <w:bCs/>
              <w:sz w:val="20"/>
              <w:szCs w:val="20"/>
              <w:vertAlign w:val="superscript"/>
              <w:lang w:val="pt-PT"/>
            </w:rPr>
            <w:t>1</w:t>
          </w:r>
        </w:p>
        <w:p w14:paraId="519B5A98" w14:textId="77777777" w:rsidR="006A4D19" w:rsidRPr="007B4EBA" w:rsidRDefault="006A4D19" w:rsidP="00B04ACE">
          <w:pPr>
            <w:autoSpaceDE w:val="0"/>
            <w:autoSpaceDN w:val="0"/>
            <w:adjustRightInd w:val="0"/>
            <w:spacing w:after="120" w:line="276" w:lineRule="auto"/>
            <w:ind w:left="-426" w:right="-46"/>
            <w:jc w:val="both"/>
            <w:rPr>
              <w:rFonts w:ascii="Arial" w:eastAsia="Times New Roman" w:hAnsi="Arial" w:cs="Arial"/>
              <w:sz w:val="18"/>
              <w:szCs w:val="18"/>
              <w:highlight w:val="yellow"/>
              <w:lang w:val="pt-PT"/>
            </w:rPr>
          </w:pPr>
        </w:p>
        <w:tbl>
          <w:tblPr>
            <w:tblW w:w="8485" w:type="dxa"/>
            <w:tblInd w:w="-28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971"/>
            <w:gridCol w:w="1757"/>
            <w:gridCol w:w="1757"/>
          </w:tblGrid>
          <w:tr w:rsidR="006A4D19" w:rsidRPr="007B4EBA" w14:paraId="092FCA0D" w14:textId="77777777" w:rsidTr="006A4D19">
            <w:trPr>
              <w:trHeight w:val="575"/>
            </w:trPr>
            <w:tc>
              <w:tcPr>
                <w:tcW w:w="4971" w:type="dxa"/>
                <w:shd w:val="clear" w:color="auto" w:fill="E6E6E6"/>
                <w:vAlign w:val="center"/>
              </w:tcPr>
              <w:p w14:paraId="4FEF6770" w14:textId="4D9D743F" w:rsidR="006A4D19" w:rsidRPr="007B4EBA" w:rsidRDefault="006A4D19" w:rsidP="00B04ACE">
                <w:pPr>
                  <w:tabs>
                    <w:tab w:val="left" w:pos="360"/>
                  </w:tabs>
                  <w:spacing w:line="276" w:lineRule="auto"/>
                  <w:ind w:right="-46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pt-PT"/>
                  </w:rPr>
                  <w:br w:type="page"/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(e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m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 mil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hõ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es de euros)</w:t>
                </w:r>
              </w:p>
            </w:tc>
            <w:tc>
              <w:tcPr>
                <w:tcW w:w="1757" w:type="dxa"/>
                <w:shd w:val="clear" w:color="auto" w:fill="E6E6E6"/>
              </w:tcPr>
              <w:p w14:paraId="2E6014F2" w14:textId="65DF1018" w:rsidR="006A4D19" w:rsidRPr="007B4EBA" w:rsidRDefault="006A4D19" w:rsidP="00B04ACE">
                <w:pPr>
                  <w:tabs>
                    <w:tab w:val="left" w:pos="360"/>
                  </w:tabs>
                  <w:spacing w:line="276" w:lineRule="auto"/>
                  <w:ind w:right="-46"/>
                  <w:jc w:val="right"/>
                  <w:rPr>
                    <w:rFonts w:ascii="Arial" w:eastAsia="Times New Roman" w:hAnsi="Arial" w:cs="Arial"/>
                    <w:b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sz w:val="18"/>
                    <w:szCs w:val="18"/>
                    <w:lang w:val="pt-PT"/>
                  </w:rPr>
                  <w:t>1</w:t>
                </w:r>
                <w:r w:rsidR="008D5341">
                  <w:rPr>
                    <w:rFonts w:ascii="Arial" w:eastAsia="Times New Roman" w:hAnsi="Arial" w:cs="Arial"/>
                    <w:b/>
                    <w:sz w:val="18"/>
                    <w:szCs w:val="18"/>
                    <w:lang w:val="pt-PT"/>
                  </w:rPr>
                  <w:t>º</w:t>
                </w:r>
                <w:r w:rsidRPr="007B4EBA">
                  <w:rPr>
                    <w:rFonts w:ascii="Arial" w:eastAsia="Times New Roman" w:hAnsi="Arial" w:cs="Arial"/>
                    <w:b/>
                    <w:sz w:val="18"/>
                    <w:szCs w:val="18"/>
                    <w:vertAlign w:val="superscript"/>
                    <w:lang w:val="pt-PT"/>
                  </w:rPr>
                  <w:t xml:space="preserve"> </w:t>
                </w:r>
                <w:r w:rsidRPr="007B4EBA">
                  <w:rPr>
                    <w:rFonts w:ascii="Arial" w:eastAsia="Times New Roman" w:hAnsi="Arial" w:cs="Arial"/>
                    <w:b/>
                    <w:sz w:val="18"/>
                    <w:szCs w:val="18"/>
                    <w:lang w:val="pt-PT"/>
                  </w:rPr>
                  <w:t>semestre 2023</w:t>
                </w:r>
              </w:p>
            </w:tc>
            <w:tc>
              <w:tcPr>
                <w:tcW w:w="1757" w:type="dxa"/>
                <w:shd w:val="clear" w:color="auto" w:fill="E6E6E6"/>
              </w:tcPr>
              <w:p w14:paraId="371058EA" w14:textId="36BA41C2" w:rsidR="006A4D19" w:rsidRPr="007B4EBA" w:rsidRDefault="006A4D19" w:rsidP="00B04ACE">
                <w:pPr>
                  <w:tabs>
                    <w:tab w:val="left" w:pos="360"/>
                  </w:tabs>
                  <w:spacing w:line="276" w:lineRule="auto"/>
                  <w:ind w:right="-46"/>
                  <w:jc w:val="right"/>
                  <w:rPr>
                    <w:rFonts w:ascii="Arial" w:eastAsia="Times New Roman" w:hAnsi="Arial" w:cs="Arial"/>
                    <w:b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sz w:val="18"/>
                    <w:szCs w:val="18"/>
                    <w:lang w:val="pt-PT"/>
                  </w:rPr>
                  <w:t>1</w:t>
                </w:r>
                <w:r w:rsidR="008D5341">
                  <w:rPr>
                    <w:rFonts w:ascii="Arial" w:eastAsia="Times New Roman" w:hAnsi="Arial" w:cs="Arial"/>
                    <w:b/>
                    <w:sz w:val="18"/>
                    <w:szCs w:val="18"/>
                    <w:vertAlign w:val="superscript"/>
                    <w:lang w:val="pt-PT"/>
                  </w:rPr>
                  <w:t xml:space="preserve">º </w:t>
                </w:r>
                <w:r w:rsidRPr="007B4EBA">
                  <w:rPr>
                    <w:rFonts w:ascii="Arial" w:eastAsia="Times New Roman" w:hAnsi="Arial" w:cs="Arial"/>
                    <w:b/>
                    <w:sz w:val="18"/>
                    <w:szCs w:val="18"/>
                    <w:lang w:val="pt-PT"/>
                  </w:rPr>
                  <w:t>semestre 2022</w:t>
                </w:r>
              </w:p>
            </w:tc>
          </w:tr>
          <w:tr w:rsidR="006A4D19" w:rsidRPr="007B4EBA" w14:paraId="725B59B8" w14:textId="77777777" w:rsidTr="00B04ACE">
            <w:trPr>
              <w:trHeight w:val="230"/>
            </w:trPr>
            <w:tc>
              <w:tcPr>
                <w:tcW w:w="4971" w:type="dxa"/>
                <w:vAlign w:val="center"/>
              </w:tcPr>
              <w:p w14:paraId="0966FB50" w14:textId="2CEEAA94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Ven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d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as</w:t>
                </w:r>
              </w:p>
            </w:tc>
            <w:tc>
              <w:tcPr>
                <w:tcW w:w="1757" w:type="dxa"/>
                <w:vAlign w:val="center"/>
              </w:tcPr>
              <w:p w14:paraId="4EC3F471" w14:textId="4F37CCD5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14</w:t>
                </w:r>
                <w:r w:rsidR="008D5341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 xml:space="preserve"> </w:t>
                </w: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079</w:t>
                </w:r>
              </w:p>
            </w:tc>
            <w:tc>
              <w:tcPr>
                <w:tcW w:w="1757" w:type="dxa"/>
                <w:vAlign w:val="center"/>
              </w:tcPr>
              <w:p w14:paraId="4E857EB9" w14:textId="7E35CDF4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13</w:t>
                </w:r>
                <w:r w:rsidR="008D5341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 xml:space="preserve"> </w:t>
                </w: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289</w:t>
                </w:r>
              </w:p>
            </w:tc>
          </w:tr>
          <w:tr w:rsidR="006A4D19" w:rsidRPr="007B4EBA" w14:paraId="2F29D1B5" w14:textId="77777777" w:rsidTr="00B04ACE">
            <w:trPr>
              <w:trHeight w:val="220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8DD1DE" w14:textId="5B12CD5A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Resultado operacional dos sectores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B90C64" w14:textId="7777777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1.704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1D0A89" w14:textId="1998C711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1</w:t>
                </w:r>
                <w:r w:rsidR="008D5341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 xml:space="preserve"> </w:t>
                </w: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530</w:t>
                </w:r>
              </w:p>
            </w:tc>
          </w:tr>
          <w:tr w:rsidR="006A4D19" w:rsidRPr="007B4EBA" w14:paraId="6A9B757B" w14:textId="77777777" w:rsidTr="00B04ACE">
            <w:trPr>
              <w:trHeight w:val="238"/>
            </w:trPr>
            <w:tc>
              <w:tcPr>
                <w:tcW w:w="4971" w:type="dxa"/>
                <w:vAlign w:val="center"/>
              </w:tcPr>
              <w:p w14:paraId="725EDF79" w14:textId="3275974C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Marge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m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 operacional de los sectores</w:t>
                </w:r>
              </w:p>
            </w:tc>
            <w:tc>
              <w:tcPr>
                <w:tcW w:w="1757" w:type="dxa"/>
                <w:vAlign w:val="center"/>
              </w:tcPr>
              <w:p w14:paraId="3CB02A2E" w14:textId="594EE2ED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12,1%</w:t>
                </w:r>
              </w:p>
            </w:tc>
            <w:tc>
              <w:tcPr>
                <w:tcW w:w="1757" w:type="dxa"/>
                <w:vAlign w:val="center"/>
              </w:tcPr>
              <w:p w14:paraId="4D4EFF0D" w14:textId="44BF0F2D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11,5%</w:t>
                </w:r>
              </w:p>
            </w:tc>
          </w:tr>
          <w:tr w:rsidR="006A4D19" w:rsidRPr="007B4EBA" w14:paraId="78BFC968" w14:textId="77777777" w:rsidTr="00B04ACE">
            <w:trPr>
              <w:trHeight w:val="242"/>
            </w:trPr>
            <w:tc>
              <w:tcPr>
                <w:tcW w:w="4971" w:type="dxa"/>
                <w:vAlign w:val="center"/>
              </w:tcPr>
              <w:p w14:paraId="68F6CEC4" w14:textId="7777777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Turismo 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vertAlign w:val="superscript"/>
                    <w:lang w:val="pt-PT"/>
                  </w:rPr>
                  <w:t>(2)</w:t>
                </w:r>
              </w:p>
            </w:tc>
            <w:tc>
              <w:tcPr>
                <w:tcW w:w="1757" w:type="dxa"/>
                <w:vAlign w:val="center"/>
              </w:tcPr>
              <w:p w14:paraId="5F67224C" w14:textId="426480C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12,3%</w:t>
                </w:r>
              </w:p>
            </w:tc>
            <w:tc>
              <w:tcPr>
                <w:tcW w:w="1757" w:type="dxa"/>
                <w:vAlign w:val="center"/>
              </w:tcPr>
              <w:p w14:paraId="129BA96F" w14:textId="70B61526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11,9%</w:t>
                </w:r>
              </w:p>
            </w:tc>
          </w:tr>
          <w:tr w:rsidR="006A4D19" w:rsidRPr="007B4EBA" w14:paraId="4BF1A1C7" w14:textId="77777777" w:rsidTr="00B04ACE">
            <w:trPr>
              <w:trHeight w:val="246"/>
            </w:trPr>
            <w:tc>
              <w:tcPr>
                <w:tcW w:w="4971" w:type="dxa"/>
                <w:vAlign w:val="center"/>
              </w:tcPr>
              <w:p w14:paraId="709EA2EC" w14:textId="70C5BA8E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trike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Cami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ão 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vertAlign w:val="superscript"/>
                    <w:lang w:val="pt-PT"/>
                  </w:rPr>
                  <w:t>(2)</w:t>
                </w:r>
              </w:p>
            </w:tc>
            <w:tc>
              <w:tcPr>
                <w:tcW w:w="1757" w:type="dxa"/>
                <w:vAlign w:val="center"/>
              </w:tcPr>
              <w:p w14:paraId="10DD3997" w14:textId="24AD349A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5,0%</w:t>
                </w:r>
              </w:p>
            </w:tc>
            <w:tc>
              <w:tcPr>
                <w:tcW w:w="1757" w:type="dxa"/>
                <w:vAlign w:val="center"/>
              </w:tcPr>
              <w:p w14:paraId="11F70118" w14:textId="145650E9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9,1%</w:t>
                </w:r>
              </w:p>
            </w:tc>
          </w:tr>
          <w:tr w:rsidR="006A4D19" w:rsidRPr="007B4EBA" w14:paraId="3ABF4510" w14:textId="77777777" w:rsidTr="00B04ACE">
            <w:trPr>
              <w:trHeight w:val="250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D821A4" w14:textId="6C92BBF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Atividades de Especialidades 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vertAlign w:val="superscript"/>
                    <w:lang w:val="pt-PT"/>
                  </w:rPr>
                  <w:t>(2)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8F5BF4" w14:textId="23C7B769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18,3%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C79581" w14:textId="4E6AC918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13,5%</w:t>
                </w:r>
              </w:p>
            </w:tc>
          </w:tr>
          <w:tr w:rsidR="006A4D19" w:rsidRPr="007B4EBA" w14:paraId="12DE5642" w14:textId="77777777" w:rsidTr="00B04ACE">
            <w:trPr>
              <w:trHeight w:val="268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C9506D" w14:textId="6B44CCD8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O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u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tr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a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s 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receitas e custos 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de explo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r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a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ção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1F48BB" w14:textId="7777777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-90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35ED53" w14:textId="7777777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-273</w:t>
                </w:r>
              </w:p>
            </w:tc>
          </w:tr>
          <w:tr w:rsidR="006A4D19" w:rsidRPr="007B4EBA" w14:paraId="49AB2D48" w14:textId="77777777" w:rsidTr="00B04ACE">
            <w:trPr>
              <w:trHeight w:val="273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9FD1ED" w14:textId="7777777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Resultado operacional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457AE3" w14:textId="38B2BEBD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1614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88582A" w14:textId="15198A81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1257</w:t>
                </w:r>
              </w:p>
            </w:tc>
          </w:tr>
          <w:tr w:rsidR="006A4D19" w:rsidRPr="007B4EBA" w14:paraId="3D11D6D0" w14:textId="77777777" w:rsidTr="00B04ACE">
            <w:trPr>
              <w:trHeight w:val="276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F4FDD2" w14:textId="2E2524B6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Resultado 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líquido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BA32E3" w14:textId="7F77F9B0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1220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3F00E2" w14:textId="7777777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843</w:t>
                </w:r>
              </w:p>
            </w:tc>
          </w:tr>
          <w:tr w:rsidR="006A4D19" w:rsidRPr="007B4EBA" w14:paraId="564AED59" w14:textId="77777777" w:rsidTr="00B04ACE">
            <w:trPr>
              <w:trHeight w:val="125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6AB4F0" w14:textId="163A90CA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Resultado 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líquido</w:t>
                </w:r>
                <w:r w:rsidR="008D5341"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 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por a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ção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AC510D" w14:textId="7777777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1,70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AE2EED" w14:textId="7777777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1,18</w:t>
                </w:r>
              </w:p>
            </w:tc>
          </w:tr>
          <w:tr w:rsidR="006A4D19" w:rsidRPr="007B4EBA" w14:paraId="6913E29A" w14:textId="77777777" w:rsidTr="00B04ACE">
            <w:trPr>
              <w:trHeight w:val="270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805277" w14:textId="090D8990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EBITDA dos sectores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E85E9F" w14:textId="287DDC45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2643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82C6DD" w14:textId="0FE33A9A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2439</w:t>
                </w:r>
              </w:p>
            </w:tc>
          </w:tr>
          <w:tr w:rsidR="006A4D19" w:rsidRPr="007B4EBA" w14:paraId="07A2847C" w14:textId="77777777" w:rsidTr="00B04ACE">
            <w:trPr>
              <w:trHeight w:val="275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E91160" w14:textId="006B7416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Inves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timentos 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exclu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i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ndo aquisi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çõ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es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4C6B24" w14:textId="7777777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772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B700B3" w14:textId="7777777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709</w:t>
                </w:r>
              </w:p>
            </w:tc>
          </w:tr>
          <w:tr w:rsidR="006A4D19" w:rsidRPr="007B4EBA" w14:paraId="5503D7C5" w14:textId="77777777" w:rsidTr="00B04ACE">
            <w:trPr>
              <w:trHeight w:val="278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C13808" w14:textId="7ECEC14A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D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ívida social líquida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8F459E" w14:textId="7F9F975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4626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6E6ACC" w14:textId="1B4BE13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4852</w:t>
                </w:r>
              </w:p>
            </w:tc>
          </w:tr>
          <w:tr w:rsidR="006A4D19" w:rsidRPr="007B4EBA" w14:paraId="732D51DC" w14:textId="77777777" w:rsidTr="00B04ACE">
            <w:trPr>
              <w:trHeight w:val="269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797B3C" w14:textId="79022696" w:rsidR="006A4D19" w:rsidRPr="007B4EBA" w:rsidRDefault="008D5341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</w:pPr>
                <w:r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Percentagem </w:t>
                </w:r>
                <w:r w:rsidR="006A4D19"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de end</w:t>
                </w:r>
                <w:r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ivi</w:t>
                </w:r>
                <w:r w:rsidR="006A4D19"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damento </w:t>
                </w:r>
                <w:r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líquido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795808" w14:textId="3FD40B3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26,6%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32FD54" w14:textId="71B17E60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29,9%</w:t>
                </w:r>
              </w:p>
            </w:tc>
          </w:tr>
          <w:tr w:rsidR="006A4D19" w:rsidRPr="007B4EBA" w14:paraId="0DE691E0" w14:textId="77777777" w:rsidTr="00B04ACE">
            <w:trPr>
              <w:trHeight w:val="272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AA56AA" w14:textId="7B58F86F" w:rsidR="006A4D19" w:rsidRPr="007B4EBA" w:rsidRDefault="008D5341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</w:pPr>
                <w:r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Obrigação</w:t>
                </w:r>
                <w:r w:rsidR="006A4D19"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líquida </w:t>
                </w:r>
                <w:r w:rsidR="006A4D19"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por </w:t>
                </w:r>
                <w:r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benefícios </w:t>
                </w:r>
                <w:r w:rsidR="006A4D19"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aos </w:t>
                </w:r>
                <w:r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funcionári</w:t>
                </w:r>
                <w:r w:rsidR="006A4D19"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os </w:t>
                </w:r>
                <w:r w:rsidR="006A4D19"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vertAlign w:val="superscript"/>
                    <w:lang w:val="pt-PT"/>
                  </w:rPr>
                  <w:t>(3)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CB8769" w14:textId="7C6D13DA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2290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167DD8" w14:textId="490BC875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2267</w:t>
                </w:r>
              </w:p>
            </w:tc>
          </w:tr>
          <w:tr w:rsidR="006A4D19" w:rsidRPr="007B4EBA" w14:paraId="28777B2F" w14:textId="77777777" w:rsidTr="00B04ACE">
            <w:trPr>
              <w:trHeight w:val="277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770003" w14:textId="2C12FB5D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Cs/>
                    <w:i/>
                    <w:sz w:val="18"/>
                    <w:szCs w:val="18"/>
                    <w:lang w:val="pt-PT"/>
                  </w:rPr>
                  <w:t xml:space="preserve">Cash </w:t>
                </w:r>
                <w:proofErr w:type="spellStart"/>
                <w:r w:rsidRPr="007B4EBA">
                  <w:rPr>
                    <w:rFonts w:ascii="Arial" w:eastAsia="Times New Roman" w:hAnsi="Arial" w:cs="Arial"/>
                    <w:bCs/>
                    <w:i/>
                    <w:sz w:val="18"/>
                    <w:szCs w:val="18"/>
                    <w:lang w:val="pt-PT"/>
                  </w:rPr>
                  <w:t>flow</w:t>
                </w:r>
                <w:proofErr w:type="spellEnd"/>
                <w:r w:rsidRPr="007B4EBA">
                  <w:rPr>
                    <w:rFonts w:ascii="Arial" w:eastAsia="Times New Roman" w:hAnsi="Arial" w:cs="Arial"/>
                    <w:bCs/>
                    <w:i/>
                    <w:sz w:val="18"/>
                    <w:szCs w:val="18"/>
                    <w:lang w:val="pt-PT"/>
                  </w:rPr>
                  <w:t xml:space="preserve"> 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li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v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re 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vertAlign w:val="superscript"/>
                    <w:lang w:val="pt-PT"/>
                  </w:rPr>
                  <w:t>(4)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48516D" w14:textId="7777777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770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68905F" w14:textId="7777777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-964</w:t>
                </w:r>
              </w:p>
            </w:tc>
          </w:tr>
          <w:tr w:rsidR="006A4D19" w:rsidRPr="007B4EBA" w14:paraId="4EE6F4C1" w14:textId="77777777" w:rsidTr="00B04ACE">
            <w:trPr>
              <w:trHeight w:val="280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BD786B" w14:textId="5810474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Cs/>
                    <w:i/>
                    <w:iCs/>
                    <w:sz w:val="18"/>
                    <w:szCs w:val="18"/>
                    <w:lang w:val="pt-PT"/>
                  </w:rPr>
                  <w:t xml:space="preserve">Cash </w:t>
                </w:r>
                <w:proofErr w:type="spellStart"/>
                <w:r w:rsidRPr="007B4EBA">
                  <w:rPr>
                    <w:rFonts w:ascii="Arial" w:eastAsia="Times New Roman" w:hAnsi="Arial" w:cs="Arial"/>
                    <w:bCs/>
                    <w:i/>
                    <w:iCs/>
                    <w:sz w:val="18"/>
                    <w:szCs w:val="18"/>
                    <w:lang w:val="pt-PT"/>
                  </w:rPr>
                  <w:t>flow</w:t>
                </w:r>
                <w:proofErr w:type="spellEnd"/>
                <w:r w:rsidRPr="007B4EBA">
                  <w:rPr>
                    <w:rFonts w:ascii="Arial" w:eastAsia="Times New Roman" w:hAnsi="Arial" w:cs="Arial"/>
                    <w:bCs/>
                    <w:i/>
                    <w:iCs/>
                    <w:sz w:val="18"/>
                    <w:szCs w:val="18"/>
                    <w:lang w:val="pt-PT"/>
                  </w:rPr>
                  <w:t xml:space="preserve"> li</w:t>
                </w:r>
                <w:r w:rsidR="008D5341">
                  <w:rPr>
                    <w:rFonts w:ascii="Arial" w:eastAsia="Times New Roman" w:hAnsi="Arial" w:cs="Arial"/>
                    <w:bCs/>
                    <w:i/>
                    <w:iCs/>
                    <w:sz w:val="18"/>
                    <w:szCs w:val="18"/>
                    <w:lang w:val="pt-PT"/>
                  </w:rPr>
                  <w:t>v</w:t>
                </w:r>
                <w:r w:rsidRPr="007B4EBA">
                  <w:rPr>
                    <w:rFonts w:ascii="Arial" w:eastAsia="Times New Roman" w:hAnsi="Arial" w:cs="Arial"/>
                    <w:bCs/>
                    <w:i/>
                    <w:iCs/>
                    <w:sz w:val="18"/>
                    <w:szCs w:val="18"/>
                    <w:lang w:val="pt-PT"/>
                  </w:rPr>
                  <w:t xml:space="preserve">re 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antes de aquisi</w:t>
                </w:r>
                <w:r w:rsidR="008D5341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çõ</w:t>
                </w:r>
                <w:r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es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C15925" w14:textId="7777777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922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85A3BB" w14:textId="77777777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-1.014</w:t>
                </w:r>
              </w:p>
            </w:tc>
          </w:tr>
          <w:tr w:rsidR="006A4D19" w:rsidRPr="007B4EBA" w14:paraId="0FA99ED3" w14:textId="77777777" w:rsidTr="00B04ACE">
            <w:trPr>
              <w:trHeight w:val="270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487652" w14:textId="28F66A6A" w:rsidR="006A4D19" w:rsidRPr="007B4EBA" w:rsidRDefault="008D5341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</w:pPr>
                <w:r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>Funcionários</w:t>
                </w:r>
                <w:r w:rsidR="006A4D19"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lang w:val="pt-PT"/>
                  </w:rPr>
                  <w:t xml:space="preserve"> </w:t>
                </w:r>
                <w:r w:rsidR="006A4D19" w:rsidRPr="007B4EBA">
                  <w:rPr>
                    <w:rFonts w:ascii="Arial" w:eastAsia="Times New Roman" w:hAnsi="Arial" w:cs="Arial"/>
                    <w:bCs/>
                    <w:sz w:val="18"/>
                    <w:szCs w:val="18"/>
                    <w:vertAlign w:val="superscript"/>
                    <w:lang w:val="pt-PT"/>
                  </w:rPr>
                  <w:t>(5)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EFD1FA" w14:textId="7332BC42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132</w:t>
                </w:r>
                <w:r w:rsidR="008D5341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 xml:space="preserve"> </w:t>
                </w:r>
                <w:r w:rsidRPr="007B4EBA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PT"/>
                  </w:rPr>
                  <w:t>300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57216A" w14:textId="3B896FCC" w:rsidR="006A4D19" w:rsidRPr="007B4EBA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</w:pP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127</w:t>
                </w:r>
                <w:r w:rsidR="008D5341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 xml:space="preserve"> </w:t>
                </w:r>
                <w:r w:rsidRPr="007B4EBA">
                  <w:rPr>
                    <w:rFonts w:ascii="Arial" w:eastAsia="Times New Roman" w:hAnsi="Arial" w:cs="Arial"/>
                    <w:sz w:val="18"/>
                    <w:szCs w:val="18"/>
                    <w:lang w:val="pt-PT"/>
                  </w:rPr>
                  <w:t>400</w:t>
                </w:r>
              </w:p>
            </w:tc>
          </w:tr>
        </w:tbl>
        <w:p w14:paraId="793ECAC8" w14:textId="77777777" w:rsidR="006A4D19" w:rsidRPr="007B4EBA" w:rsidRDefault="006A4D19" w:rsidP="00B04ACE">
          <w:pPr>
            <w:autoSpaceDE w:val="0"/>
            <w:autoSpaceDN w:val="0"/>
            <w:adjustRightInd w:val="0"/>
            <w:spacing w:line="276" w:lineRule="auto"/>
            <w:ind w:left="-284" w:right="-46"/>
            <w:jc w:val="both"/>
            <w:rPr>
              <w:rFonts w:ascii="Arial" w:hAnsi="Arial" w:cs="Arial"/>
              <w:b/>
              <w:sz w:val="18"/>
              <w:szCs w:val="18"/>
              <w:lang w:val="pt-PT"/>
            </w:rPr>
          </w:pPr>
        </w:p>
        <w:p w14:paraId="78F65B74" w14:textId="4EADFEAF" w:rsidR="006A4D19" w:rsidRPr="007B4EBA" w:rsidRDefault="006A4D19" w:rsidP="00ED0EAD">
          <w:pPr>
            <w:autoSpaceDE w:val="0"/>
            <w:autoSpaceDN w:val="0"/>
            <w:adjustRightInd w:val="0"/>
            <w:spacing w:before="60" w:after="60"/>
            <w:ind w:left="-284" w:right="-46"/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r w:rsidRPr="007B4EBA">
            <w:rPr>
              <w:rFonts w:ascii="Arial" w:hAnsi="Arial" w:cs="Arial"/>
              <w:i/>
              <w:iCs/>
              <w:sz w:val="16"/>
              <w:szCs w:val="16"/>
              <w:vertAlign w:val="superscript"/>
              <w:lang w:val="pt-PT"/>
            </w:rPr>
            <w:t>(1)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</w:t>
          </w:r>
          <w:r w:rsidR="008D5341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 xml:space="preserve">O </w:t>
          </w:r>
          <w:r w:rsidRPr="007B4EBA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>Conse</w:t>
          </w:r>
          <w:r w:rsidR="008D5341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>lh</w:t>
          </w:r>
          <w:r w:rsidRPr="007B4EBA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 xml:space="preserve">o de </w:t>
          </w:r>
          <w:r w:rsidR="008D5341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 xml:space="preserve">Supervisão </w:t>
          </w:r>
          <w:r w:rsidRPr="007B4EBA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>revi</w:t>
          </w:r>
          <w:r w:rsidR="008D5341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 xml:space="preserve">u as contas </w:t>
          </w:r>
          <w:r w:rsidRPr="007B4EBA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>consolidad</w:t>
          </w:r>
          <w:r w:rsidR="008D5341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>a</w:t>
          </w:r>
          <w:r w:rsidRPr="007B4EBA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 xml:space="preserve">s </w:t>
          </w:r>
          <w:r w:rsidR="008D5341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>a</w:t>
          </w:r>
          <w:r w:rsidRPr="007B4EBA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>presentad</w:t>
          </w:r>
          <w:r w:rsidR="008D5341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>a</w:t>
          </w:r>
          <w:r w:rsidRPr="007B4EBA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>s p</w:t>
          </w:r>
          <w:r w:rsidR="008D5341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>e</w:t>
          </w:r>
          <w:r w:rsidRPr="007B4EBA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 xml:space="preserve">los Administradores </w:t>
          </w:r>
          <w:r w:rsidR="008D5341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 xml:space="preserve">na </w:t>
          </w:r>
          <w:r w:rsidRPr="007B4EBA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>su</w:t>
          </w:r>
          <w:r w:rsidR="008D5341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>a</w:t>
          </w:r>
          <w:r w:rsidRPr="007B4EBA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 xml:space="preserve"> reuni</w:t>
          </w:r>
          <w:r w:rsidR="008D5341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 xml:space="preserve">ão </w:t>
          </w:r>
          <w:r w:rsidRPr="007B4EBA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 xml:space="preserve">de 25 de </w:t>
          </w:r>
          <w:proofErr w:type="spellStart"/>
          <w:r w:rsidRPr="007B4EBA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>julo</w:t>
          </w:r>
          <w:proofErr w:type="spellEnd"/>
          <w:r w:rsidRPr="007B4EBA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 xml:space="preserve"> de 2023</w:t>
          </w:r>
        </w:p>
        <w:p w14:paraId="1E1F7AA3" w14:textId="63A23727" w:rsidR="006A4D19" w:rsidRPr="007B4EBA" w:rsidRDefault="006A4D19" w:rsidP="00ED0EAD">
          <w:pPr>
            <w:autoSpaceDE w:val="0"/>
            <w:autoSpaceDN w:val="0"/>
            <w:adjustRightInd w:val="0"/>
            <w:spacing w:before="60" w:after="60"/>
            <w:ind w:left="-284" w:right="-46"/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r w:rsidRPr="007B4EBA">
            <w:rPr>
              <w:rFonts w:ascii="Arial" w:hAnsi="Arial" w:cs="Arial"/>
              <w:i/>
              <w:iCs/>
              <w:sz w:val="16"/>
              <w:szCs w:val="16"/>
              <w:vertAlign w:val="superscript"/>
              <w:lang w:val="pt-PT"/>
            </w:rPr>
            <w:t>(2)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</w:t>
          </w:r>
          <w:r w:rsidR="008D5341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>E</w:t>
          </w:r>
          <w:r w:rsidRPr="007B4EBA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 xml:space="preserve"> distribu</w:t>
          </w:r>
          <w:r w:rsidR="008D5341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 xml:space="preserve">ição </w:t>
          </w:r>
          <w:r w:rsidRPr="007B4EBA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>as</w:t>
          </w:r>
          <w:r w:rsidR="008D5341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>s</w:t>
          </w:r>
          <w:r w:rsidRPr="007B4EBA">
            <w:rPr>
              <w:rFonts w:ascii="Arial" w:eastAsia="Times New Roman" w:hAnsi="Arial" w:cs="Arial"/>
              <w:i/>
              <w:iCs/>
              <w:sz w:val="16"/>
              <w:szCs w:val="16"/>
              <w:lang w:val="pt-PT"/>
            </w:rPr>
            <w:t>ociada</w:t>
          </w:r>
        </w:p>
        <w:p w14:paraId="38B07EAE" w14:textId="1CD5B505" w:rsidR="006A4D19" w:rsidRPr="007B4EBA" w:rsidRDefault="006A4D19" w:rsidP="00ED0EAD">
          <w:pPr>
            <w:pStyle w:val="Prrafodelista"/>
            <w:autoSpaceDE w:val="0"/>
            <w:autoSpaceDN w:val="0"/>
            <w:adjustRightInd w:val="0"/>
            <w:spacing w:before="60" w:after="60"/>
            <w:ind w:left="-284" w:right="-46"/>
            <w:contextualSpacing w:val="0"/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r w:rsidRPr="007B4EBA">
            <w:rPr>
              <w:rFonts w:ascii="Arial" w:hAnsi="Arial" w:cs="Arial"/>
              <w:i/>
              <w:iCs/>
              <w:sz w:val="16"/>
              <w:szCs w:val="16"/>
              <w:vertAlign w:val="superscript"/>
              <w:lang w:val="pt-PT"/>
            </w:rPr>
            <w:t>(3)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Ver Nota 15 dos Estados Financ</w:t>
          </w:r>
          <w:r w:rsidR="008D534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ei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ros Interm</w:t>
          </w:r>
          <w:r w:rsidR="008D534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é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dios Resumidos Consolidados.</w:t>
          </w:r>
        </w:p>
        <w:p w14:paraId="65F8AD47" w14:textId="23ED8C29" w:rsidR="006A4D19" w:rsidRPr="007B4EBA" w:rsidRDefault="006A4D19" w:rsidP="00ED0EAD">
          <w:pPr>
            <w:pStyle w:val="Prrafodelista"/>
            <w:autoSpaceDE w:val="0"/>
            <w:autoSpaceDN w:val="0"/>
            <w:adjustRightInd w:val="0"/>
            <w:spacing w:before="60" w:after="60"/>
            <w:ind w:left="-284" w:right="-46"/>
            <w:contextualSpacing w:val="0"/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r w:rsidRPr="007B4EBA">
            <w:rPr>
              <w:rFonts w:ascii="Arial" w:hAnsi="Arial" w:cs="Arial"/>
              <w:i/>
              <w:iCs/>
              <w:sz w:val="16"/>
              <w:szCs w:val="16"/>
              <w:vertAlign w:val="superscript"/>
              <w:lang w:val="pt-PT"/>
            </w:rPr>
            <w:t>(4)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Cash </w:t>
          </w:r>
          <w:proofErr w:type="spellStart"/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flow</w:t>
          </w:r>
          <w:proofErr w:type="spellEnd"/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li</w:t>
          </w:r>
          <w:r w:rsidR="008D534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v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re: Flu</w:t>
          </w:r>
          <w:r w:rsidR="0050600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x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 de ca</w:t>
          </w:r>
          <w:r w:rsidR="0050600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ix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 das atividades de exp</w:t>
          </w:r>
          <w:r w:rsidR="0050600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l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</w:t>
          </w:r>
          <w:r w:rsidR="0050600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r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</w:t>
          </w:r>
          <w:r w:rsidR="0050600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ção 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menos flu</w:t>
          </w:r>
          <w:r w:rsidR="0050600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x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 de ca</w:t>
          </w:r>
          <w:r w:rsidR="0050600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ix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 d</w:t>
          </w:r>
          <w:r w:rsidR="0050600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s atividades de inv</w:t>
          </w:r>
          <w:r w:rsidR="0050600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estimento, ajustado pelo 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flu</w:t>
          </w:r>
          <w:r w:rsidR="0050600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x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o de c</w:t>
          </w:r>
          <w:r w:rsidR="0050600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aix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</w:t>
          </w:r>
          <w:r w:rsidR="0050600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líquido 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dos ativos financ</w:t>
          </w:r>
          <w:r w:rsidR="0050600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ei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ros de gest</w:t>
          </w:r>
          <w:r w:rsidR="0050600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ão de tesouraria e de garantia 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de </w:t>
          </w:r>
          <w:r w:rsidR="0050600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em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prést</w:t>
          </w:r>
          <w:r w:rsidR="0050600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i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mo</w:t>
          </w:r>
          <w:r w:rsidR="0050600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s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.</w:t>
          </w:r>
        </w:p>
        <w:p w14:paraId="101C755B" w14:textId="2070F49A" w:rsidR="006A4D19" w:rsidRPr="007B4EBA" w:rsidRDefault="006A4D19" w:rsidP="00ED0EAD">
          <w:pPr>
            <w:pStyle w:val="Prrafodelista"/>
            <w:autoSpaceDE w:val="0"/>
            <w:autoSpaceDN w:val="0"/>
            <w:adjustRightInd w:val="0"/>
            <w:spacing w:before="60" w:after="60"/>
            <w:ind w:left="-284" w:right="-46"/>
            <w:contextualSpacing w:val="0"/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r w:rsidRPr="007B4EBA">
            <w:rPr>
              <w:rFonts w:ascii="Arial" w:hAnsi="Arial" w:cs="Arial"/>
              <w:i/>
              <w:iCs/>
              <w:sz w:val="16"/>
              <w:szCs w:val="16"/>
              <w:vertAlign w:val="superscript"/>
              <w:lang w:val="pt-PT"/>
            </w:rPr>
            <w:t xml:space="preserve">(5) 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Da</w:t>
          </w:r>
          <w:r w:rsidR="008D534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d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os </w:t>
          </w:r>
          <w:r w:rsidR="008D534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ar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redondados </w:t>
          </w:r>
          <w:r w:rsidR="008D534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para a </w:t>
          </w:r>
          <w:r w:rsidRPr="007B4EBA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centena m</w:t>
          </w:r>
          <w:r w:rsidR="008D5341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ais próxima</w:t>
          </w:r>
        </w:p>
        <w:p w14:paraId="435C3369" w14:textId="77777777" w:rsidR="006A4D19" w:rsidRPr="007B4EBA" w:rsidRDefault="006A4D19" w:rsidP="00ED0EAD">
          <w:pPr>
            <w:spacing w:line="276" w:lineRule="auto"/>
            <w:ind w:left="-284" w:right="-4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A923EB8" w14:textId="177CEC64" w:rsidR="006C3818" w:rsidRPr="007B4EBA" w:rsidRDefault="006C3818" w:rsidP="00B04ACE">
          <w:pPr>
            <w:spacing w:line="276" w:lineRule="auto"/>
            <w:ind w:right="-4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E85801C" w14:textId="52908C76" w:rsidR="006C3818" w:rsidRPr="007B4EBA" w:rsidRDefault="006C3818" w:rsidP="00B04ACE">
          <w:pPr>
            <w:spacing w:line="276" w:lineRule="auto"/>
            <w:ind w:right="-4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B695DE6" w14:textId="77777777" w:rsidR="00ED0EAD" w:rsidRPr="007B4EBA" w:rsidRDefault="00ED0EAD" w:rsidP="00B04ACE">
          <w:pPr>
            <w:spacing w:line="276" w:lineRule="auto"/>
            <w:ind w:right="-4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E695FFD" w14:textId="596C668F" w:rsidR="006C3818" w:rsidRPr="007B4EBA" w:rsidRDefault="006C3818" w:rsidP="00B04ACE">
          <w:pPr>
            <w:spacing w:line="276" w:lineRule="auto"/>
            <w:ind w:right="-4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EA76A78" w14:textId="67AC545C" w:rsidR="006C3818" w:rsidRPr="007B4EBA" w:rsidRDefault="006C3818" w:rsidP="00B04ACE">
          <w:pPr>
            <w:spacing w:line="276" w:lineRule="auto"/>
            <w:ind w:right="-4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2D344C" w14:textId="363C3083" w:rsidR="006C3818" w:rsidRPr="007B4EBA" w:rsidRDefault="006C3818" w:rsidP="00B04ACE">
          <w:pPr>
            <w:spacing w:line="276" w:lineRule="auto"/>
            <w:ind w:right="-4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B1DFBB4" w14:textId="77777777" w:rsidR="00416DE4" w:rsidRDefault="00416DE4" w:rsidP="00B04ACE">
          <w:pPr>
            <w:spacing w:line="276" w:lineRule="auto"/>
            <w:ind w:right="-4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5FB8091" w14:textId="77777777" w:rsidR="00044069" w:rsidRPr="007B4EBA" w:rsidRDefault="00044069" w:rsidP="00B04ACE">
          <w:pPr>
            <w:spacing w:line="276" w:lineRule="auto"/>
            <w:ind w:right="-4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B526B8C" w14:textId="77777777" w:rsidR="00416DE4" w:rsidRPr="007B4EBA" w:rsidRDefault="00416DE4" w:rsidP="00B04ACE">
          <w:pPr>
            <w:spacing w:line="276" w:lineRule="auto"/>
            <w:ind w:right="-4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484E34F5" w:rsidR="003C3FC0" w:rsidRPr="007B4EBA" w:rsidRDefault="00000000" w:rsidP="00B04ACE">
          <w:pPr>
            <w:spacing w:line="276" w:lineRule="auto"/>
            <w:ind w:right="-46"/>
            <w:jc w:val="both"/>
            <w:rPr>
              <w:rFonts w:ascii="Arial" w:hAnsi="Arial" w:cs="Arial"/>
              <w:lang w:val="pt-PT"/>
            </w:rPr>
          </w:pPr>
        </w:p>
      </w:sdtContent>
    </w:sdt>
    <w:p w14:paraId="0A896059" w14:textId="77777777" w:rsidR="00506002" w:rsidRPr="00C57F6C" w:rsidRDefault="00506002" w:rsidP="00506002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5341DBCC" w14:textId="77777777" w:rsidR="00506002" w:rsidRPr="00517A53" w:rsidRDefault="00506002" w:rsidP="00506002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2099F40F" w14:textId="77777777" w:rsidR="00506002" w:rsidRPr="001C5F64" w:rsidRDefault="00506002" w:rsidP="0050600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D3499D9" w14:textId="77777777" w:rsidR="00506002" w:rsidRPr="003D6C6D" w:rsidRDefault="00506002" w:rsidP="0050600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5FEEEB9" w14:textId="77777777" w:rsidR="00506002" w:rsidRPr="003D6C6D" w:rsidRDefault="00506002" w:rsidP="0050600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01927B1" w14:textId="77777777" w:rsidR="00506002" w:rsidRPr="003D6C6D" w:rsidRDefault="00506002" w:rsidP="0050600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0148E22" w14:textId="77777777" w:rsidR="00506002" w:rsidRPr="003D6C6D" w:rsidRDefault="00506002" w:rsidP="0050600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F9DB093" w14:textId="77777777" w:rsidR="00506002" w:rsidRPr="003D6C6D" w:rsidRDefault="00506002" w:rsidP="0050600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F8BEBEB" w14:textId="77777777" w:rsidR="00506002" w:rsidRPr="003D6C6D" w:rsidRDefault="00506002" w:rsidP="00506002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75E65B27" w14:textId="77777777" w:rsidR="00506002" w:rsidRPr="003D6C6D" w:rsidRDefault="00506002" w:rsidP="00506002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D6C6D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2143DDA2" w14:textId="77777777" w:rsidR="00506002" w:rsidRPr="003D6C6D" w:rsidRDefault="00000000" w:rsidP="00506002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506002" w:rsidRPr="003D6C6D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439A4A12" w14:textId="77777777" w:rsidR="00506002" w:rsidRPr="003D6C6D" w:rsidRDefault="00506002" w:rsidP="00506002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17FCFAE5" wp14:editId="5F31E0DB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06002" w:rsidRPr="003D6C6D" w14:paraId="43DA5E7D" w14:textId="77777777" w:rsidTr="006B646A">
        <w:tc>
          <w:tcPr>
            <w:tcW w:w="9016" w:type="dxa"/>
          </w:tcPr>
          <w:p w14:paraId="1118738D" w14:textId="77777777" w:rsidR="00506002" w:rsidRDefault="00000000" w:rsidP="006B646A">
            <w:pPr>
              <w:jc w:val="center"/>
              <w:rPr>
                <w:rFonts w:ascii="Arial" w:hAnsi="Arial" w:cs="Arial"/>
                <w:lang w:val="es-ES"/>
              </w:rPr>
            </w:pPr>
            <w:hyperlink r:id="rId12" w:history="1">
              <w:r w:rsidR="00506002" w:rsidRPr="00CD3732">
                <w:rPr>
                  <w:rStyle w:val="Hipervnculo"/>
                  <w:rFonts w:ascii="Arial" w:hAnsi="Arial" w:cs="Arial"/>
                  <w:lang w:val="es-ES"/>
                </w:rPr>
                <w:t>www.michelin.pt</w:t>
              </w:r>
            </w:hyperlink>
          </w:p>
          <w:p w14:paraId="7215A7FC" w14:textId="77777777" w:rsidR="00506002" w:rsidRPr="003D6C6D" w:rsidRDefault="00506002" w:rsidP="006B646A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506002" w:rsidRPr="003D6C6D" w14:paraId="47AF3F17" w14:textId="77777777" w:rsidTr="006B646A">
        <w:tc>
          <w:tcPr>
            <w:tcW w:w="9016" w:type="dxa"/>
          </w:tcPr>
          <w:p w14:paraId="2B67C9A3" w14:textId="77777777" w:rsidR="00506002" w:rsidRPr="003D6C6D" w:rsidRDefault="00506002" w:rsidP="006B646A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78C1E35" wp14:editId="756F9943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557A084" wp14:editId="1DB5C77D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61B2D096" wp14:editId="23F903F4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29143D22" w14:textId="77777777" w:rsidR="00506002" w:rsidRPr="003D6C6D" w:rsidRDefault="00506002" w:rsidP="00506002">
      <w:pPr>
        <w:jc w:val="center"/>
        <w:rPr>
          <w:rFonts w:ascii="Arial" w:hAnsi="Arial" w:cs="Arial"/>
          <w:lang w:val="es-ES"/>
        </w:rPr>
      </w:pPr>
    </w:p>
    <w:p w14:paraId="35E7F4EF" w14:textId="15C4F146" w:rsidR="00387E23" w:rsidRPr="00506002" w:rsidRDefault="00506002" w:rsidP="00506002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lang w:val="es-ES"/>
        </w:rPr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sectPr w:rsidR="00387E23" w:rsidRPr="00506002" w:rsidSect="006C381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5D11" w14:textId="77777777" w:rsidR="00D56513" w:rsidRDefault="00D56513" w:rsidP="00F24D98">
      <w:r>
        <w:separator/>
      </w:r>
    </w:p>
  </w:endnote>
  <w:endnote w:type="continuationSeparator" w:id="0">
    <w:p w14:paraId="09B73ED9" w14:textId="77777777" w:rsidR="00D56513" w:rsidRDefault="00D56513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0D35" w14:textId="77777777" w:rsidR="00D56513" w:rsidRDefault="00D56513" w:rsidP="00F24D98">
      <w:r>
        <w:separator/>
      </w:r>
    </w:p>
  </w:footnote>
  <w:footnote w:type="continuationSeparator" w:id="0">
    <w:p w14:paraId="5EE36BE5" w14:textId="77777777" w:rsidR="00D56513" w:rsidRDefault="00D56513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281848849" name="Imagen 281848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1E0C" w14:textId="77777777" w:rsidR="00506002" w:rsidRDefault="00506002" w:rsidP="00506002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0E93A5C1" wp14:editId="514A8619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logo with a hand and a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logo with a hand and a blue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0754A2" wp14:editId="3B46A5BD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689120" w14:textId="77777777" w:rsidR="00506002" w:rsidRPr="00AC0E74" w:rsidRDefault="00506002" w:rsidP="0050600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754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49689120" w14:textId="77777777" w:rsidR="00506002" w:rsidRPr="00AC0E74" w:rsidRDefault="00506002" w:rsidP="00506002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512A2A" wp14:editId="64CB5350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9442E1" w14:textId="77777777" w:rsidR="00506002" w:rsidRPr="006F25F9" w:rsidRDefault="00506002" w:rsidP="0050600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1D68BCE" w14:textId="77777777" w:rsidR="00506002" w:rsidRPr="00BE269E" w:rsidRDefault="00506002" w:rsidP="0050600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512A2A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4B9442E1" w14:textId="77777777" w:rsidR="00506002" w:rsidRPr="006F25F9" w:rsidRDefault="00506002" w:rsidP="00506002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1D68BCE" w14:textId="77777777" w:rsidR="00506002" w:rsidRPr="00BE269E" w:rsidRDefault="00506002" w:rsidP="00506002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67481DE5" wp14:editId="54AFC15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33F14172" w:rsidR="001963B1" w:rsidRPr="00506002" w:rsidRDefault="001963B1" w:rsidP="005060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44A89"/>
    <w:multiLevelType w:val="hybridMultilevel"/>
    <w:tmpl w:val="7A4E5EC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52C6">
      <w:numFmt w:val="bullet"/>
      <w:lvlText w:val="-"/>
      <w:lvlJc w:val="left"/>
      <w:pPr>
        <w:ind w:left="4472" w:hanging="360"/>
      </w:pPr>
      <w:rPr>
        <w:rFonts w:ascii="Verdana" w:eastAsia="MS Mincho" w:hAnsi="Verdana" w:cs="Aria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67344">
    <w:abstractNumId w:val="2"/>
  </w:num>
  <w:num w:numId="2" w16cid:durableId="543907402">
    <w:abstractNumId w:val="1"/>
  </w:num>
  <w:num w:numId="3" w16cid:durableId="629554644">
    <w:abstractNumId w:val="3"/>
  </w:num>
  <w:num w:numId="4" w16cid:durableId="74745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076F0"/>
    <w:rsid w:val="00034081"/>
    <w:rsid w:val="00044069"/>
    <w:rsid w:val="000778DE"/>
    <w:rsid w:val="00082115"/>
    <w:rsid w:val="00087726"/>
    <w:rsid w:val="000A5386"/>
    <w:rsid w:val="000B3F91"/>
    <w:rsid w:val="000C09D6"/>
    <w:rsid w:val="00112957"/>
    <w:rsid w:val="001162A2"/>
    <w:rsid w:val="00116A1A"/>
    <w:rsid w:val="00154400"/>
    <w:rsid w:val="00170CB5"/>
    <w:rsid w:val="001712BA"/>
    <w:rsid w:val="00186CCB"/>
    <w:rsid w:val="00191AD1"/>
    <w:rsid w:val="001963B1"/>
    <w:rsid w:val="001A0040"/>
    <w:rsid w:val="001A4103"/>
    <w:rsid w:val="001D57AF"/>
    <w:rsid w:val="001E520E"/>
    <w:rsid w:val="0021595A"/>
    <w:rsid w:val="002462B9"/>
    <w:rsid w:val="00262F8B"/>
    <w:rsid w:val="00274DC8"/>
    <w:rsid w:val="00387E23"/>
    <w:rsid w:val="003930CA"/>
    <w:rsid w:val="00395651"/>
    <w:rsid w:val="003C3FC0"/>
    <w:rsid w:val="003C419D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06002"/>
    <w:rsid w:val="00511304"/>
    <w:rsid w:val="00523432"/>
    <w:rsid w:val="0052344F"/>
    <w:rsid w:val="00523D3C"/>
    <w:rsid w:val="00572127"/>
    <w:rsid w:val="00594F5C"/>
    <w:rsid w:val="005B00AE"/>
    <w:rsid w:val="0065727B"/>
    <w:rsid w:val="006920B7"/>
    <w:rsid w:val="006A4D19"/>
    <w:rsid w:val="006C3818"/>
    <w:rsid w:val="006C44F0"/>
    <w:rsid w:val="006C7776"/>
    <w:rsid w:val="006D398C"/>
    <w:rsid w:val="006D4CB8"/>
    <w:rsid w:val="00707806"/>
    <w:rsid w:val="007B4EBA"/>
    <w:rsid w:val="007E51AC"/>
    <w:rsid w:val="007F37A6"/>
    <w:rsid w:val="00802F0B"/>
    <w:rsid w:val="00816BB1"/>
    <w:rsid w:val="00834943"/>
    <w:rsid w:val="0083779A"/>
    <w:rsid w:val="00842005"/>
    <w:rsid w:val="0085450A"/>
    <w:rsid w:val="00867D72"/>
    <w:rsid w:val="00877AE5"/>
    <w:rsid w:val="008B072F"/>
    <w:rsid w:val="008D5341"/>
    <w:rsid w:val="008F3690"/>
    <w:rsid w:val="008F5893"/>
    <w:rsid w:val="0093532F"/>
    <w:rsid w:val="00953AFA"/>
    <w:rsid w:val="009969D4"/>
    <w:rsid w:val="009B2E8B"/>
    <w:rsid w:val="00A010E6"/>
    <w:rsid w:val="00A05352"/>
    <w:rsid w:val="00A133C9"/>
    <w:rsid w:val="00A6279B"/>
    <w:rsid w:val="00A72ECA"/>
    <w:rsid w:val="00A75B5C"/>
    <w:rsid w:val="00AB5624"/>
    <w:rsid w:val="00AC0E74"/>
    <w:rsid w:val="00B04ACE"/>
    <w:rsid w:val="00B05B19"/>
    <w:rsid w:val="00B13DD6"/>
    <w:rsid w:val="00B32BCE"/>
    <w:rsid w:val="00B361FB"/>
    <w:rsid w:val="00B36FEE"/>
    <w:rsid w:val="00B45C21"/>
    <w:rsid w:val="00B97B28"/>
    <w:rsid w:val="00BC2889"/>
    <w:rsid w:val="00BE269E"/>
    <w:rsid w:val="00C53F0C"/>
    <w:rsid w:val="00CC6BAF"/>
    <w:rsid w:val="00CE4C0D"/>
    <w:rsid w:val="00CE5E82"/>
    <w:rsid w:val="00D26D15"/>
    <w:rsid w:val="00D313A5"/>
    <w:rsid w:val="00D55011"/>
    <w:rsid w:val="00D56513"/>
    <w:rsid w:val="00D729F5"/>
    <w:rsid w:val="00D9116F"/>
    <w:rsid w:val="00DB7FA5"/>
    <w:rsid w:val="00DE0B5B"/>
    <w:rsid w:val="00E46580"/>
    <w:rsid w:val="00E926C4"/>
    <w:rsid w:val="00E9616C"/>
    <w:rsid w:val="00EA512D"/>
    <w:rsid w:val="00ED0EAD"/>
    <w:rsid w:val="00ED5957"/>
    <w:rsid w:val="00ED7136"/>
    <w:rsid w:val="00F1127B"/>
    <w:rsid w:val="00F23D2E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aliases w:val="Puces Niveau 1,Paragraphe de liste1"/>
    <w:basedOn w:val="Normal"/>
    <w:link w:val="PrrafodelistaCar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customStyle="1" w:styleId="PrrafodelistaCar">
    <w:name w:val="Párrafo de lista Car"/>
    <w:aliases w:val="Puces Niveau 1 Car,Paragraphe de liste1 Car"/>
    <w:basedOn w:val="Fuentedeprrafopredeter"/>
    <w:link w:val="Prrafodelista"/>
    <w:uiPriority w:val="34"/>
    <w:rsid w:val="006A4D19"/>
    <w:rPr>
      <w:rFonts w:ascii="Utopia" w:eastAsia="Times New Roman" w:hAnsi="Utopi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971</Words>
  <Characters>5342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6</cp:revision>
  <dcterms:created xsi:type="dcterms:W3CDTF">2023-07-26T20:10:00Z</dcterms:created>
  <dcterms:modified xsi:type="dcterms:W3CDTF">2023-07-27T05:54:00Z</dcterms:modified>
</cp:coreProperties>
</file>