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A4D19" w:rsidRDefault="00395651" w:rsidP="00395651">
      <w:pPr>
        <w:rPr>
          <w:rFonts w:ascii="Arial" w:hAnsi="Arial" w:cs="Arial"/>
          <w:sz w:val="20"/>
          <w:szCs w:val="20"/>
          <w:lang w:val="es-ES_tradnl"/>
        </w:rPr>
      </w:pPr>
      <w:r w:rsidRPr="006A4D19">
        <w:rPr>
          <w:rFonts w:ascii="Arial" w:hAnsi="Arial" w:cs="Arial"/>
          <w:sz w:val="20"/>
          <w:szCs w:val="20"/>
          <w:lang w:val="es-ES_tradnl"/>
        </w:rPr>
        <w:t xml:space="preserve">                                                                               </w:t>
      </w:r>
      <w:r w:rsidR="00422E33" w:rsidRPr="006A4D19">
        <w:rPr>
          <w:rFonts w:ascii="Arial" w:hAnsi="Arial" w:cs="Arial"/>
          <w:sz w:val="20"/>
          <w:szCs w:val="20"/>
          <w:lang w:val="es-ES_tradnl"/>
        </w:rPr>
        <w:t xml:space="preserve">                </w:t>
      </w:r>
      <w:r w:rsidRPr="006A4D19">
        <w:rPr>
          <w:rFonts w:ascii="Arial" w:hAnsi="Arial" w:cs="Arial"/>
          <w:sz w:val="20"/>
          <w:szCs w:val="20"/>
          <w:lang w:val="es-ES_tradnl"/>
        </w:rPr>
        <w:t xml:space="preserve">    </w:t>
      </w:r>
    </w:p>
    <w:p w14:paraId="2F46475E" w14:textId="77777777" w:rsidR="00B36FEE" w:rsidRPr="006A4D19" w:rsidRDefault="00B36FEE" w:rsidP="00395651">
      <w:pPr>
        <w:rPr>
          <w:rFonts w:ascii="Arial" w:hAnsi="Arial" w:cs="Arial"/>
          <w:sz w:val="20"/>
          <w:szCs w:val="20"/>
          <w:lang w:val="es-ES_tradnl"/>
        </w:rPr>
      </w:pPr>
    </w:p>
    <w:p w14:paraId="62CD8697" w14:textId="77777777" w:rsidR="00B36FEE" w:rsidRPr="006A4D19" w:rsidRDefault="00B36FEE" w:rsidP="00395651">
      <w:pPr>
        <w:rPr>
          <w:rFonts w:ascii="Arial" w:hAnsi="Arial" w:cs="Arial"/>
          <w:sz w:val="20"/>
          <w:szCs w:val="20"/>
          <w:lang w:val="es-ES_tradnl"/>
        </w:rPr>
      </w:pPr>
    </w:p>
    <w:p w14:paraId="73920A83" w14:textId="77777777" w:rsidR="00B36FEE" w:rsidRPr="006A4D19" w:rsidRDefault="00B36FEE" w:rsidP="00395651">
      <w:pPr>
        <w:rPr>
          <w:rFonts w:ascii="Arial" w:hAnsi="Arial" w:cs="Arial"/>
          <w:sz w:val="20"/>
          <w:szCs w:val="20"/>
          <w:lang w:val="es-ES_tradnl"/>
        </w:rPr>
      </w:pPr>
    </w:p>
    <w:p w14:paraId="139D66BB" w14:textId="298C799E" w:rsidR="006D398C" w:rsidRPr="006A4D19" w:rsidRDefault="00B36FEE" w:rsidP="00B36FEE">
      <w:pPr>
        <w:ind w:left="5760"/>
        <w:rPr>
          <w:rFonts w:ascii="Arial" w:hAnsi="Arial" w:cs="Arial"/>
          <w:sz w:val="20"/>
          <w:szCs w:val="20"/>
          <w:lang w:val="es-ES_tradnl"/>
        </w:rPr>
      </w:pPr>
      <w:r w:rsidRPr="006A4D19">
        <w:rPr>
          <w:rFonts w:ascii="Arial" w:hAnsi="Arial" w:cs="Arial"/>
          <w:sz w:val="20"/>
          <w:szCs w:val="20"/>
          <w:lang w:val="es-ES_tradnl"/>
        </w:rPr>
        <w:t xml:space="preserve">   </w:t>
      </w:r>
      <w:r w:rsidR="00BE269E" w:rsidRPr="006A4D19">
        <w:rPr>
          <w:rFonts w:ascii="Arial" w:hAnsi="Arial" w:cs="Arial"/>
          <w:sz w:val="20"/>
          <w:szCs w:val="20"/>
          <w:lang w:val="es-ES_tradnl"/>
        </w:rPr>
        <w:t xml:space="preserve">Madrid, </w:t>
      </w:r>
      <w:r w:rsidR="006A4D19" w:rsidRPr="006A4D19">
        <w:rPr>
          <w:rFonts w:ascii="Arial" w:hAnsi="Arial" w:cs="Arial"/>
          <w:sz w:val="20"/>
          <w:szCs w:val="20"/>
          <w:lang w:val="es-ES_tradnl"/>
        </w:rPr>
        <w:t>2</w:t>
      </w:r>
      <w:r w:rsidR="00987F40">
        <w:rPr>
          <w:rFonts w:ascii="Arial" w:hAnsi="Arial" w:cs="Arial"/>
          <w:sz w:val="20"/>
          <w:szCs w:val="20"/>
          <w:lang w:val="es-ES_tradnl"/>
        </w:rPr>
        <w:t>6</w:t>
      </w:r>
      <w:r w:rsidR="00BE269E" w:rsidRPr="006A4D19">
        <w:rPr>
          <w:rFonts w:ascii="Arial" w:hAnsi="Arial" w:cs="Arial"/>
          <w:sz w:val="20"/>
          <w:szCs w:val="20"/>
          <w:lang w:val="es-ES_tradnl"/>
        </w:rPr>
        <w:t xml:space="preserve"> de </w:t>
      </w:r>
      <w:r w:rsidR="00C216FC">
        <w:rPr>
          <w:rFonts w:ascii="Arial" w:hAnsi="Arial" w:cs="Arial"/>
          <w:sz w:val="20"/>
          <w:szCs w:val="20"/>
          <w:lang w:val="es-ES_tradnl"/>
        </w:rPr>
        <w:t>octubre</w:t>
      </w:r>
      <w:r w:rsidR="006D398C" w:rsidRPr="006A4D19">
        <w:rPr>
          <w:rFonts w:ascii="Arial" w:hAnsi="Arial" w:cs="Arial"/>
          <w:sz w:val="20"/>
          <w:szCs w:val="20"/>
          <w:lang w:val="es-ES_tradnl"/>
        </w:rPr>
        <w:t>, 202</w:t>
      </w:r>
      <w:r w:rsidR="00842005" w:rsidRPr="006A4D19">
        <w:rPr>
          <w:rFonts w:ascii="Arial" w:hAnsi="Arial" w:cs="Arial"/>
          <w:sz w:val="20"/>
          <w:szCs w:val="20"/>
          <w:lang w:val="es-ES_tradnl"/>
        </w:rPr>
        <w:t>3</w:t>
      </w:r>
    </w:p>
    <w:sdt>
      <w:sdtPr>
        <w:rPr>
          <w:rFonts w:ascii="Arial" w:hAnsi="Arial" w:cs="Arial"/>
          <w:lang w:val="es-ES_tradnl"/>
        </w:rPr>
        <w:id w:val="1987273284"/>
        <w:docPartObj>
          <w:docPartGallery w:val="Cover Pages"/>
          <w:docPartUnique/>
        </w:docPartObj>
      </w:sdtPr>
      <w:sdtEndPr>
        <w:rPr>
          <w:sz w:val="20"/>
          <w:szCs w:val="20"/>
        </w:rPr>
      </w:sdtEndPr>
      <w:sdtContent>
        <w:p w14:paraId="75083583" w14:textId="77777777" w:rsidR="006D398C" w:rsidRPr="006A4D19" w:rsidRDefault="006D398C" w:rsidP="006D398C">
          <w:pPr>
            <w:jc w:val="center"/>
            <w:rPr>
              <w:rFonts w:ascii="Arial" w:hAnsi="Arial" w:cs="Arial"/>
              <w:lang w:val="es-ES_tradnl"/>
            </w:rPr>
          </w:pPr>
        </w:p>
        <w:p w14:paraId="362A30DC" w14:textId="77777777" w:rsidR="006A4D19" w:rsidRPr="006A4D19" w:rsidRDefault="006A4D19" w:rsidP="003C3FC0">
          <w:pPr>
            <w:spacing w:line="276" w:lineRule="auto"/>
            <w:jc w:val="both"/>
            <w:rPr>
              <w:rFonts w:ascii="Arial" w:hAnsi="Arial" w:cs="Arial"/>
              <w:sz w:val="20"/>
              <w:szCs w:val="20"/>
              <w:lang w:val="es-ES_tradnl"/>
            </w:rPr>
          </w:pPr>
        </w:p>
        <w:p w14:paraId="3F7A885F" w14:textId="77777777" w:rsidR="00C216FC" w:rsidRDefault="006A4D19" w:rsidP="00B04ACE">
          <w:pPr>
            <w:ind w:right="-46"/>
            <w:jc w:val="center"/>
            <w:rPr>
              <w:rFonts w:ascii="Helvetica" w:hAnsi="Helvetica" w:cs="Helvetica"/>
              <w:b/>
              <w:bCs/>
              <w:sz w:val="28"/>
              <w:szCs w:val="28"/>
              <w:lang w:val="es-ES_tradnl"/>
            </w:rPr>
          </w:pPr>
          <w:r>
            <w:rPr>
              <w:rFonts w:ascii="Helvetica" w:hAnsi="Helvetica" w:cs="Helvetica"/>
              <w:b/>
              <w:bCs/>
              <w:sz w:val="28"/>
              <w:szCs w:val="28"/>
              <w:lang w:val="es-ES_tradnl"/>
            </w:rPr>
            <w:t xml:space="preserve">Información financiera del grupo Michelin </w:t>
          </w:r>
        </w:p>
        <w:p w14:paraId="432D180A" w14:textId="57465011" w:rsidR="006A4D19" w:rsidRPr="006A4D19" w:rsidRDefault="006A4D19" w:rsidP="00B04ACE">
          <w:pPr>
            <w:ind w:right="-46"/>
            <w:jc w:val="center"/>
            <w:rPr>
              <w:rFonts w:ascii="Helvetica" w:hAnsi="Helvetica" w:cs="Helvetica"/>
              <w:b/>
              <w:bCs/>
              <w:sz w:val="28"/>
              <w:szCs w:val="28"/>
              <w:lang w:val="es-ES_tradnl"/>
            </w:rPr>
          </w:pPr>
          <w:r>
            <w:rPr>
              <w:rFonts w:ascii="Helvetica" w:hAnsi="Helvetica" w:cs="Helvetica"/>
              <w:b/>
              <w:bCs/>
              <w:sz w:val="28"/>
              <w:szCs w:val="28"/>
              <w:lang w:val="es-ES_tradnl"/>
            </w:rPr>
            <w:t xml:space="preserve">a 30 de </w:t>
          </w:r>
          <w:r w:rsidR="00C216FC">
            <w:rPr>
              <w:rFonts w:ascii="Helvetica" w:hAnsi="Helvetica" w:cs="Helvetica"/>
              <w:b/>
              <w:bCs/>
              <w:sz w:val="28"/>
              <w:szCs w:val="28"/>
              <w:lang w:val="es-ES_tradnl"/>
            </w:rPr>
            <w:t>septiembre</w:t>
          </w:r>
          <w:r>
            <w:rPr>
              <w:rFonts w:ascii="Helvetica" w:hAnsi="Helvetica" w:cs="Helvetica"/>
              <w:b/>
              <w:bCs/>
              <w:sz w:val="28"/>
              <w:szCs w:val="28"/>
              <w:lang w:val="es-ES_tradnl"/>
            </w:rPr>
            <w:t xml:space="preserve"> de 2023</w:t>
          </w:r>
        </w:p>
        <w:p w14:paraId="340009C1" w14:textId="77777777" w:rsidR="006A4D19" w:rsidRPr="006A4D19" w:rsidRDefault="006A4D19" w:rsidP="00B04ACE">
          <w:pPr>
            <w:ind w:left="-142" w:right="-46"/>
            <w:rPr>
              <w:rFonts w:ascii="Verdana" w:eastAsia="Times New Roman" w:hAnsi="Verdana" w:cs="Times New Roman"/>
              <w:b/>
              <w:sz w:val="18"/>
              <w:szCs w:val="16"/>
              <w:highlight w:val="yellow"/>
              <w:lang w:val="es-ES_tradnl"/>
            </w:rPr>
          </w:pPr>
        </w:p>
        <w:p w14:paraId="3563C475" w14:textId="77777777" w:rsidR="006A4D19" w:rsidRDefault="006A4D19" w:rsidP="00B04ACE">
          <w:pPr>
            <w:ind w:right="-46"/>
            <w:contextualSpacing/>
            <w:jc w:val="center"/>
            <w:rPr>
              <w:rFonts w:ascii="Arial" w:hAnsi="Arial" w:cs="Arial"/>
              <w:b/>
              <w:bCs/>
              <w:sz w:val="20"/>
              <w:szCs w:val="20"/>
              <w:lang w:val="es-ES_tradnl"/>
            </w:rPr>
          </w:pPr>
          <w:bookmarkStart w:id="0" w:name="_Hlk94281294"/>
        </w:p>
        <w:p w14:paraId="00830DF4" w14:textId="02169481" w:rsidR="006A4D19" w:rsidRPr="006A4D19" w:rsidRDefault="00C216FC" w:rsidP="00B04ACE">
          <w:pPr>
            <w:ind w:right="-46"/>
            <w:contextualSpacing/>
            <w:jc w:val="center"/>
            <w:rPr>
              <w:rFonts w:ascii="Arial" w:hAnsi="Arial" w:cs="Arial"/>
              <w:b/>
              <w:bCs/>
              <w:sz w:val="22"/>
              <w:szCs w:val="22"/>
              <w:lang w:val="es-ES_tradnl"/>
            </w:rPr>
          </w:pPr>
          <w:r>
            <w:rPr>
              <w:rFonts w:ascii="Arial" w:hAnsi="Arial" w:cs="Arial"/>
              <w:b/>
              <w:bCs/>
              <w:sz w:val="22"/>
              <w:szCs w:val="22"/>
              <w:lang w:val="es-ES_tradnl"/>
            </w:rPr>
            <w:t>Las ventas en los primeros nueve meses de 2023 aume</w:t>
          </w:r>
          <w:r w:rsidR="00BC515C">
            <w:rPr>
              <w:rFonts w:ascii="Arial" w:hAnsi="Arial" w:cs="Arial"/>
              <w:b/>
              <w:bCs/>
              <w:sz w:val="22"/>
              <w:szCs w:val="22"/>
              <w:lang w:val="es-ES_tradnl"/>
            </w:rPr>
            <w:t>n</w:t>
          </w:r>
          <w:r>
            <w:rPr>
              <w:rFonts w:ascii="Arial" w:hAnsi="Arial" w:cs="Arial"/>
              <w:b/>
              <w:bCs/>
              <w:sz w:val="22"/>
              <w:szCs w:val="22"/>
              <w:lang w:val="es-ES_tradnl"/>
            </w:rPr>
            <w:t>taron un 2</w:t>
          </w:r>
          <w:r w:rsidR="00DE1863">
            <w:rPr>
              <w:rFonts w:ascii="Arial" w:hAnsi="Arial" w:cs="Arial"/>
              <w:b/>
              <w:bCs/>
              <w:sz w:val="22"/>
              <w:szCs w:val="22"/>
              <w:lang w:val="es-ES_tradnl"/>
            </w:rPr>
            <w:t xml:space="preserve"> </w:t>
          </w:r>
          <w:r>
            <w:rPr>
              <w:rFonts w:ascii="Arial" w:hAnsi="Arial" w:cs="Arial"/>
              <w:b/>
              <w:bCs/>
              <w:sz w:val="22"/>
              <w:szCs w:val="22"/>
              <w:lang w:val="es-ES_tradnl"/>
            </w:rPr>
            <w:t xml:space="preserve">% hasta los 21.200 millones de euros, a pesar de los bajos volúmenes del mercado y del efecto desfavorable de los tipos de cambio, gracias a la mejora del </w:t>
          </w:r>
          <w:r w:rsidR="00BC515C">
            <w:rPr>
              <w:rFonts w:ascii="Arial" w:hAnsi="Arial" w:cs="Arial"/>
              <w:b/>
              <w:bCs/>
              <w:sz w:val="22"/>
              <w:szCs w:val="22"/>
              <w:lang w:val="es-ES_tradnl"/>
            </w:rPr>
            <w:t xml:space="preserve">efecto del </w:t>
          </w:r>
          <w:proofErr w:type="spellStart"/>
          <w:r w:rsidRPr="00987F40">
            <w:rPr>
              <w:rFonts w:ascii="Arial" w:hAnsi="Arial" w:cs="Arial"/>
              <w:b/>
              <w:bCs/>
              <w:i/>
              <w:iCs/>
              <w:sz w:val="22"/>
              <w:szCs w:val="22"/>
              <w:lang w:val="es-ES_tradnl"/>
            </w:rPr>
            <w:t>mix</w:t>
          </w:r>
          <w:proofErr w:type="spellEnd"/>
          <w:r>
            <w:rPr>
              <w:rFonts w:ascii="Arial" w:hAnsi="Arial" w:cs="Arial"/>
              <w:b/>
              <w:bCs/>
              <w:sz w:val="22"/>
              <w:szCs w:val="22"/>
              <w:lang w:val="es-ES_tradnl"/>
            </w:rPr>
            <w:t xml:space="preserve">, </w:t>
          </w:r>
          <w:r w:rsidR="00300E1F">
            <w:rPr>
              <w:rFonts w:ascii="Arial" w:hAnsi="Arial" w:cs="Arial"/>
              <w:b/>
              <w:bCs/>
              <w:sz w:val="22"/>
              <w:szCs w:val="22"/>
              <w:lang w:val="es-ES_tradnl"/>
            </w:rPr>
            <w:t>a</w:t>
          </w:r>
          <w:r>
            <w:rPr>
              <w:rFonts w:ascii="Arial" w:hAnsi="Arial" w:cs="Arial"/>
              <w:b/>
              <w:bCs/>
              <w:sz w:val="22"/>
              <w:szCs w:val="22"/>
              <w:lang w:val="es-ES_tradnl"/>
            </w:rPr>
            <w:t xml:space="preserve"> las actividades no relacionadas con los neumáticos y </w:t>
          </w:r>
          <w:r w:rsidR="00300E1F">
            <w:rPr>
              <w:rFonts w:ascii="Arial" w:hAnsi="Arial" w:cs="Arial"/>
              <w:b/>
              <w:bCs/>
              <w:sz w:val="22"/>
              <w:szCs w:val="22"/>
              <w:lang w:val="es-ES_tradnl"/>
            </w:rPr>
            <w:t>a</w:t>
          </w:r>
          <w:r>
            <w:rPr>
              <w:rFonts w:ascii="Arial" w:hAnsi="Arial" w:cs="Arial"/>
              <w:b/>
              <w:bCs/>
              <w:sz w:val="22"/>
              <w:szCs w:val="22"/>
              <w:lang w:val="es-ES_tradnl"/>
            </w:rPr>
            <w:t>l liderazgo de marca</w:t>
          </w:r>
          <w:r>
            <w:rPr>
              <w:rFonts w:ascii="Arial" w:hAnsi="Arial" w:cs="Arial"/>
              <w:b/>
              <w:bCs/>
              <w:sz w:val="22"/>
              <w:szCs w:val="22"/>
              <w:lang w:val="es-ES_tradnl"/>
            </w:rPr>
            <w:br/>
          </w:r>
        </w:p>
        <w:p w14:paraId="3EBAFF24" w14:textId="77777777" w:rsidR="006A4D19" w:rsidRPr="006A4D19" w:rsidRDefault="006A4D19" w:rsidP="00B04ACE">
          <w:pPr>
            <w:spacing w:after="60"/>
            <w:ind w:left="-426" w:right="-46"/>
            <w:rPr>
              <w:rFonts w:ascii="Verdana" w:hAnsi="Verdana"/>
              <w:sz w:val="18"/>
              <w:szCs w:val="28"/>
              <w:lang w:val="es-ES_tradnl"/>
            </w:rPr>
          </w:pPr>
        </w:p>
        <w:p w14:paraId="5DBD5864" w14:textId="77777777" w:rsidR="00DE1863" w:rsidRPr="00AB446B" w:rsidRDefault="00DE1863" w:rsidP="00DE1863">
          <w:pPr>
            <w:spacing w:after="120" w:line="276" w:lineRule="auto"/>
            <w:jc w:val="both"/>
            <w:rPr>
              <w:sz w:val="20"/>
              <w:szCs w:val="20"/>
              <w:lang w:val="es-ES"/>
            </w:rPr>
          </w:pPr>
          <w:r w:rsidRPr="00AB446B">
            <w:rPr>
              <w:rFonts w:ascii="Arial" w:eastAsia="Arial" w:hAnsi="Arial" w:cs="Arial"/>
              <w:b/>
              <w:bCs/>
              <w:sz w:val="20"/>
              <w:szCs w:val="20"/>
              <w:lang w:val="es-ES"/>
            </w:rPr>
            <w:t>Durante los nueve primeros meses de 2023 los mercados de neumáticos en Europa y Norteamérica se caracterizaron por un descenso general de las existencias.</w:t>
          </w:r>
        </w:p>
        <w:p w14:paraId="43F4D49C" w14:textId="77777777" w:rsidR="00DE1863" w:rsidRPr="00AB446B" w:rsidRDefault="00DE1863" w:rsidP="00DE1863">
          <w:pPr>
            <w:numPr>
              <w:ilvl w:val="0"/>
              <w:numId w:val="7"/>
            </w:numPr>
            <w:pBdr>
              <w:left w:val="none" w:sz="0" w:space="3" w:color="auto"/>
            </w:pBdr>
            <w:spacing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Los mercados de Turismo-Camioneta se mantienen estables respecto a 2022, con una sólida demanda de equipo original (OE) en la mayoría de las regiones que compensó una demanda de los mercados de reposición (RT) ligeramente negativa, amortiguada por la reducción de existencias en Europa y América. La demanda de neumáticos para llantas de 18 pulgadas y superiores crece de forma sostenida. Los niveles de existencias están volviendo a la normalidad en la mayoría de las regiones, con la excepción de los neumáticos de invierno en Europa.</w:t>
          </w:r>
        </w:p>
        <w:p w14:paraId="228D4E2C" w14:textId="77777777" w:rsidR="00DE1863" w:rsidRPr="00AB446B" w:rsidRDefault="00DE1863" w:rsidP="00DE1863">
          <w:pPr>
            <w:numPr>
              <w:ilvl w:val="0"/>
              <w:numId w:val="7"/>
            </w:numPr>
            <w:pBdr>
              <w:left w:val="none" w:sz="0" w:space="3" w:color="auto"/>
            </w:pBdr>
            <w:spacing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Los mercados de neumáticos de Cami</w:t>
          </w:r>
          <w:r>
            <w:rPr>
              <w:rFonts w:ascii="Arial" w:eastAsia="Arial" w:hAnsi="Arial" w:cs="Arial"/>
              <w:sz w:val="20"/>
              <w:szCs w:val="20"/>
              <w:lang w:val="es-ES"/>
            </w:rPr>
            <w:t>ón</w:t>
          </w:r>
          <w:r w:rsidRPr="00AB446B">
            <w:rPr>
              <w:rFonts w:ascii="Arial" w:eastAsia="Arial" w:hAnsi="Arial" w:cs="Arial"/>
              <w:sz w:val="20"/>
              <w:szCs w:val="20"/>
              <w:lang w:val="es-ES"/>
            </w:rPr>
            <w:t xml:space="preserve"> -excluyendo China- cayeron un 5</w:t>
          </w:r>
          <w:r>
            <w:rPr>
              <w:rFonts w:ascii="Arial" w:eastAsia="Arial" w:hAnsi="Arial" w:cs="Arial"/>
              <w:sz w:val="20"/>
              <w:szCs w:val="20"/>
              <w:lang w:val="es-ES"/>
            </w:rPr>
            <w:t xml:space="preserve"> </w:t>
          </w:r>
          <w:r w:rsidRPr="00AB446B">
            <w:rPr>
              <w:rFonts w:ascii="Arial" w:eastAsia="Arial" w:hAnsi="Arial" w:cs="Arial"/>
              <w:sz w:val="20"/>
              <w:szCs w:val="20"/>
              <w:lang w:val="es-ES"/>
            </w:rPr>
            <w:t xml:space="preserve">%, debido a las reducciones significativas de las existencias en la distribución y en las flotas B2B. La demanda de OE se mantuvo al alza en Europa y Norteamérica. En el mercado de RT se espera finalizar con </w:t>
          </w:r>
          <w:r>
            <w:rPr>
              <w:rFonts w:ascii="Arial" w:eastAsia="Arial" w:hAnsi="Arial" w:cs="Arial"/>
              <w:sz w:val="20"/>
              <w:szCs w:val="20"/>
              <w:lang w:val="es-ES"/>
            </w:rPr>
            <w:t xml:space="preserve">reducción de existencias antes de </w:t>
          </w:r>
          <w:r w:rsidRPr="00AB446B">
            <w:rPr>
              <w:rFonts w:ascii="Arial" w:eastAsia="Arial" w:hAnsi="Arial" w:cs="Arial"/>
              <w:sz w:val="20"/>
              <w:szCs w:val="20"/>
              <w:lang w:val="es-ES"/>
            </w:rPr>
            <w:t>finales de año.</w:t>
          </w:r>
        </w:p>
        <w:p w14:paraId="21FCBE3C" w14:textId="77777777" w:rsidR="00DE1863" w:rsidRPr="00AB446B" w:rsidRDefault="00DE1863" w:rsidP="00DE1863">
          <w:pPr>
            <w:numPr>
              <w:ilvl w:val="0"/>
              <w:numId w:val="7"/>
            </w:numPr>
            <w:pBdr>
              <w:left w:val="none" w:sz="0" w:space="3" w:color="auto"/>
            </w:pBdr>
            <w:spacing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 xml:space="preserve">Los mercados de neumáticos de actividades de Especialidades se mantuvieron al alza en los segmentos de OE para Minería, </w:t>
          </w:r>
          <w:r>
            <w:rPr>
              <w:rFonts w:ascii="Arial" w:eastAsia="Arial" w:hAnsi="Arial" w:cs="Arial"/>
              <w:sz w:val="20"/>
              <w:szCs w:val="20"/>
              <w:lang w:val="es-ES"/>
            </w:rPr>
            <w:t>Avión</w:t>
          </w:r>
          <w:r w:rsidRPr="00AB446B">
            <w:rPr>
              <w:rFonts w:ascii="Arial" w:eastAsia="Arial" w:hAnsi="Arial" w:cs="Arial"/>
              <w:sz w:val="20"/>
              <w:szCs w:val="20"/>
              <w:lang w:val="es-ES"/>
            </w:rPr>
            <w:t xml:space="preserve"> y Agricultura, y con tendencia a la baja en los segmentos de construcción, recambios agrícolas y vehículos de dos ruedas.</w:t>
          </w:r>
        </w:p>
        <w:p w14:paraId="781ACBE0" w14:textId="77777777" w:rsidR="00DE1863" w:rsidRPr="00AB446B" w:rsidRDefault="00DE1863" w:rsidP="00DE1863">
          <w:pPr>
            <w:numPr>
              <w:ilvl w:val="0"/>
              <w:numId w:val="7"/>
            </w:numPr>
            <w:pBdr>
              <w:left w:val="none" w:sz="0" w:space="3" w:color="auto"/>
            </w:pBdr>
            <w:spacing w:after="120"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 xml:space="preserve">Los mercados de actividades no relacionadas con los neumáticos crecieron en la mayoría de los sectores (servicios </w:t>
          </w:r>
          <w:r>
            <w:rPr>
              <w:rFonts w:ascii="Arial" w:eastAsia="Arial" w:hAnsi="Arial" w:cs="Arial"/>
              <w:sz w:val="20"/>
              <w:szCs w:val="20"/>
              <w:lang w:val="es-ES"/>
            </w:rPr>
            <w:t>para</w:t>
          </w:r>
          <w:r w:rsidRPr="00AB446B">
            <w:rPr>
              <w:rFonts w:ascii="Arial" w:eastAsia="Arial" w:hAnsi="Arial" w:cs="Arial"/>
              <w:sz w:val="20"/>
              <w:szCs w:val="20"/>
              <w:lang w:val="es-ES"/>
            </w:rPr>
            <w:t xml:space="preserve"> flota</w:t>
          </w:r>
          <w:r>
            <w:rPr>
              <w:rFonts w:ascii="Arial" w:eastAsia="Arial" w:hAnsi="Arial" w:cs="Arial"/>
              <w:sz w:val="20"/>
              <w:szCs w:val="20"/>
              <w:lang w:val="es-ES"/>
            </w:rPr>
            <w:t>s</w:t>
          </w:r>
          <w:r w:rsidRPr="00AB446B">
            <w:rPr>
              <w:rFonts w:ascii="Arial" w:eastAsia="Arial" w:hAnsi="Arial" w:cs="Arial"/>
              <w:sz w:val="20"/>
              <w:szCs w:val="20"/>
              <w:lang w:val="es-ES"/>
            </w:rPr>
            <w:t>, minería, energía) y se mantuvieron estables en el sector industrial.</w:t>
          </w:r>
        </w:p>
        <w:p w14:paraId="370C468A" w14:textId="77777777" w:rsidR="00DE1863" w:rsidRPr="00AB446B" w:rsidRDefault="00DE1863" w:rsidP="00DE1863">
          <w:pPr>
            <w:spacing w:after="120" w:line="276" w:lineRule="auto"/>
            <w:jc w:val="both"/>
            <w:rPr>
              <w:sz w:val="20"/>
              <w:szCs w:val="20"/>
              <w:lang w:val="es-ES"/>
            </w:rPr>
          </w:pPr>
          <w:r w:rsidRPr="00AB446B">
            <w:rPr>
              <w:rFonts w:ascii="Arial" w:eastAsia="Arial" w:hAnsi="Arial" w:cs="Arial"/>
              <w:b/>
              <w:bCs/>
              <w:sz w:val="20"/>
              <w:szCs w:val="20"/>
              <w:lang w:val="es-ES"/>
            </w:rPr>
            <w:t>Las ventas en los nueve primeros meses aumentaron un 2,0</w:t>
          </w:r>
          <w:r>
            <w:rPr>
              <w:rFonts w:ascii="Arial" w:eastAsia="Arial" w:hAnsi="Arial" w:cs="Arial"/>
              <w:b/>
              <w:bCs/>
              <w:sz w:val="20"/>
              <w:szCs w:val="20"/>
              <w:lang w:val="es-ES"/>
            </w:rPr>
            <w:t xml:space="preserve"> </w:t>
          </w:r>
          <w:r w:rsidRPr="00AB446B">
            <w:rPr>
              <w:rFonts w:ascii="Arial" w:eastAsia="Arial" w:hAnsi="Arial" w:cs="Arial"/>
              <w:b/>
              <w:bCs/>
              <w:sz w:val="20"/>
              <w:szCs w:val="20"/>
              <w:lang w:val="es-ES"/>
            </w:rPr>
            <w:t xml:space="preserve">%, hasta 21.200 millones de euros, impulsadas por la mejora del efecto </w:t>
          </w:r>
          <w:proofErr w:type="spellStart"/>
          <w:r w:rsidRPr="00617717">
            <w:rPr>
              <w:rFonts w:ascii="Arial" w:eastAsia="Arial" w:hAnsi="Arial" w:cs="Arial"/>
              <w:b/>
              <w:bCs/>
              <w:i/>
              <w:iCs/>
              <w:sz w:val="20"/>
              <w:szCs w:val="20"/>
              <w:lang w:val="es-ES"/>
            </w:rPr>
            <w:t>mix</w:t>
          </w:r>
          <w:proofErr w:type="spellEnd"/>
          <w:r w:rsidRPr="00AB446B">
            <w:rPr>
              <w:rFonts w:ascii="Arial" w:eastAsia="Arial" w:hAnsi="Arial" w:cs="Arial"/>
              <w:b/>
              <w:bCs/>
              <w:sz w:val="20"/>
              <w:szCs w:val="20"/>
              <w:lang w:val="es-ES"/>
            </w:rPr>
            <w:t xml:space="preserve"> y por el negocio de las actividades no relacionadas con los neumáticos. Durante el tercer trimestre las ventas permanecen estables, excluyendo el impacto de los tipos de cambio</w:t>
          </w:r>
          <w:r w:rsidRPr="00AB446B">
            <w:rPr>
              <w:rFonts w:ascii="Arial" w:eastAsia="Arial" w:hAnsi="Arial" w:cs="Arial"/>
              <w:sz w:val="20"/>
              <w:szCs w:val="20"/>
              <w:lang w:val="es-ES"/>
            </w:rPr>
            <w:t>.</w:t>
          </w:r>
        </w:p>
        <w:p w14:paraId="6CFAE0D7" w14:textId="77777777" w:rsidR="00DE1863" w:rsidRPr="00AB446B" w:rsidRDefault="00DE1863" w:rsidP="00DE1863">
          <w:pPr>
            <w:numPr>
              <w:ilvl w:val="0"/>
              <w:numId w:val="8"/>
            </w:numPr>
            <w:pBdr>
              <w:left w:val="none" w:sz="0" w:space="3" w:color="auto"/>
            </w:pBdr>
            <w:spacing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Los volúmenes de ventas de neumáticos descendieron un 3,6</w:t>
          </w:r>
          <w:r>
            <w:rPr>
              <w:rFonts w:ascii="Arial" w:eastAsia="Arial" w:hAnsi="Arial" w:cs="Arial"/>
              <w:sz w:val="20"/>
              <w:szCs w:val="20"/>
              <w:lang w:val="es-ES"/>
            </w:rPr>
            <w:t xml:space="preserve"> </w:t>
          </w:r>
          <w:r w:rsidRPr="00AB446B">
            <w:rPr>
              <w:rFonts w:ascii="Arial" w:eastAsia="Arial" w:hAnsi="Arial" w:cs="Arial"/>
              <w:sz w:val="20"/>
              <w:szCs w:val="20"/>
              <w:lang w:val="es-ES"/>
            </w:rPr>
            <w:t>%, reflejando la reducción de existencias en el mercado y la prioridad dada por el Grupo a los segmentos de mayor valor añadido.</w:t>
          </w:r>
        </w:p>
        <w:p w14:paraId="6F908799" w14:textId="77777777" w:rsidR="00DE1863" w:rsidRPr="00AB446B" w:rsidRDefault="00DE1863" w:rsidP="00DE1863">
          <w:pPr>
            <w:numPr>
              <w:ilvl w:val="0"/>
              <w:numId w:val="8"/>
            </w:numPr>
            <w:pBdr>
              <w:left w:val="none" w:sz="0" w:space="3" w:color="auto"/>
            </w:pBdr>
            <w:spacing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 xml:space="preserve">Efecto </w:t>
          </w:r>
          <w:proofErr w:type="spellStart"/>
          <w:r w:rsidRPr="00AB446B">
            <w:rPr>
              <w:rFonts w:ascii="Arial" w:eastAsia="Arial" w:hAnsi="Arial" w:cs="Arial"/>
              <w:sz w:val="20"/>
              <w:szCs w:val="20"/>
              <w:lang w:val="es-ES"/>
            </w:rPr>
            <w:t>mix</w:t>
          </w:r>
          <w:proofErr w:type="spellEnd"/>
          <w:r w:rsidRPr="00AB446B">
            <w:rPr>
              <w:rFonts w:ascii="Arial" w:eastAsia="Arial" w:hAnsi="Arial" w:cs="Arial"/>
              <w:sz w:val="20"/>
              <w:szCs w:val="20"/>
              <w:lang w:val="es-ES"/>
            </w:rPr>
            <w:t xml:space="preserve">-precio de neumáticos de </w:t>
          </w:r>
          <w:r>
            <w:rPr>
              <w:rFonts w:ascii="Arial" w:eastAsia="Arial" w:hAnsi="Arial" w:cs="Arial"/>
              <w:sz w:val="20"/>
              <w:szCs w:val="20"/>
              <w:lang w:val="es-ES"/>
            </w:rPr>
            <w:t xml:space="preserve">un </w:t>
          </w:r>
          <w:r w:rsidRPr="00AB446B">
            <w:rPr>
              <w:rFonts w:ascii="Arial" w:eastAsia="Arial" w:hAnsi="Arial" w:cs="Arial"/>
              <w:sz w:val="20"/>
              <w:szCs w:val="20"/>
              <w:lang w:val="es-ES"/>
            </w:rPr>
            <w:t>6,2</w:t>
          </w:r>
          <w:r>
            <w:rPr>
              <w:rFonts w:ascii="Arial" w:eastAsia="Arial" w:hAnsi="Arial" w:cs="Arial"/>
              <w:sz w:val="20"/>
              <w:szCs w:val="20"/>
              <w:lang w:val="es-ES"/>
            </w:rPr>
            <w:t xml:space="preserve"> </w:t>
          </w:r>
          <w:r w:rsidRPr="00AB446B">
            <w:rPr>
              <w:rFonts w:ascii="Arial" w:eastAsia="Arial" w:hAnsi="Arial" w:cs="Arial"/>
              <w:sz w:val="20"/>
              <w:szCs w:val="20"/>
              <w:lang w:val="es-ES"/>
            </w:rPr>
            <w:t>%, que refleja el reconocimiento del valor de las soluciones Michelin y el impacto de las cláusulas de indexación de precios a partir de 2022.</w:t>
          </w:r>
        </w:p>
        <w:p w14:paraId="16AEDD37" w14:textId="77777777" w:rsidR="00DE1863" w:rsidRPr="00AB446B" w:rsidRDefault="00DE1863" w:rsidP="00DE1863">
          <w:pPr>
            <w:numPr>
              <w:ilvl w:val="0"/>
              <w:numId w:val="8"/>
            </w:numPr>
            <w:pBdr>
              <w:left w:val="none" w:sz="0" w:space="3" w:color="auto"/>
            </w:pBdr>
            <w:spacing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 xml:space="preserve">Efecto del </w:t>
          </w:r>
          <w:proofErr w:type="spellStart"/>
          <w:r w:rsidRPr="00AB446B">
            <w:rPr>
              <w:rFonts w:ascii="Arial" w:eastAsia="Arial" w:hAnsi="Arial" w:cs="Arial"/>
              <w:sz w:val="20"/>
              <w:szCs w:val="20"/>
              <w:lang w:val="es-ES"/>
            </w:rPr>
            <w:t>mix</w:t>
          </w:r>
          <w:proofErr w:type="spellEnd"/>
          <w:r w:rsidRPr="00AB446B">
            <w:rPr>
              <w:rFonts w:ascii="Arial" w:eastAsia="Arial" w:hAnsi="Arial" w:cs="Arial"/>
              <w:sz w:val="20"/>
              <w:szCs w:val="20"/>
              <w:lang w:val="es-ES"/>
            </w:rPr>
            <w:t xml:space="preserve"> de neumáticos de</w:t>
          </w:r>
          <w:r>
            <w:rPr>
              <w:rFonts w:ascii="Arial" w:eastAsia="Arial" w:hAnsi="Arial" w:cs="Arial"/>
              <w:sz w:val="20"/>
              <w:szCs w:val="20"/>
              <w:lang w:val="es-ES"/>
            </w:rPr>
            <w:t xml:space="preserve"> un</w:t>
          </w:r>
          <w:r w:rsidRPr="00AB446B">
            <w:rPr>
              <w:rFonts w:ascii="Arial" w:eastAsia="Arial" w:hAnsi="Arial" w:cs="Arial"/>
              <w:sz w:val="20"/>
              <w:szCs w:val="20"/>
              <w:lang w:val="es-ES"/>
            </w:rPr>
            <w:t xml:space="preserve"> 1</w:t>
          </w:r>
          <w:r>
            <w:rPr>
              <w:rFonts w:ascii="Arial" w:eastAsia="Arial" w:hAnsi="Arial" w:cs="Arial"/>
              <w:sz w:val="20"/>
              <w:szCs w:val="20"/>
              <w:lang w:val="es-ES"/>
            </w:rPr>
            <w:t xml:space="preserve"> </w:t>
          </w:r>
          <w:r w:rsidRPr="00AB446B">
            <w:rPr>
              <w:rFonts w:ascii="Arial" w:eastAsia="Arial" w:hAnsi="Arial" w:cs="Arial"/>
              <w:sz w:val="20"/>
              <w:szCs w:val="20"/>
              <w:lang w:val="es-ES"/>
            </w:rPr>
            <w:t>%, que refleja el crecimiento en el segmento de los neumáticos de Turismo para llanta de 18</w:t>
          </w:r>
          <w:r>
            <w:rPr>
              <w:rFonts w:ascii="Arial" w:eastAsia="Arial" w:hAnsi="Arial" w:cs="Arial"/>
              <w:sz w:val="20"/>
              <w:szCs w:val="20"/>
              <w:lang w:val="es-ES"/>
            </w:rPr>
            <w:t xml:space="preserve"> pulgadas </w:t>
          </w:r>
          <w:r w:rsidRPr="00AB446B">
            <w:rPr>
              <w:rFonts w:ascii="Arial" w:eastAsia="Arial" w:hAnsi="Arial" w:cs="Arial"/>
              <w:sz w:val="20"/>
              <w:szCs w:val="20"/>
              <w:lang w:val="es-ES"/>
            </w:rPr>
            <w:t xml:space="preserve">y superiores y una combinación geográfica favorable, compensada en parte por un efecto </w:t>
          </w:r>
          <w:proofErr w:type="spellStart"/>
          <w:r w:rsidRPr="00AB446B">
            <w:rPr>
              <w:rFonts w:ascii="Arial" w:eastAsia="Arial" w:hAnsi="Arial" w:cs="Arial"/>
              <w:sz w:val="20"/>
              <w:szCs w:val="20"/>
              <w:lang w:val="es-ES"/>
            </w:rPr>
            <w:t>mix</w:t>
          </w:r>
          <w:proofErr w:type="spellEnd"/>
          <w:r w:rsidRPr="00AB446B">
            <w:rPr>
              <w:rFonts w:ascii="Arial" w:eastAsia="Arial" w:hAnsi="Arial" w:cs="Arial"/>
              <w:sz w:val="20"/>
              <w:szCs w:val="20"/>
              <w:lang w:val="es-ES"/>
            </w:rPr>
            <w:t xml:space="preserve"> desfavorable de OE/RT en todos los segmentos.</w:t>
          </w:r>
        </w:p>
        <w:p w14:paraId="4D69385C" w14:textId="77777777" w:rsidR="00DE1863" w:rsidRPr="00AB446B" w:rsidRDefault="00DE1863" w:rsidP="00DE1863">
          <w:pPr>
            <w:numPr>
              <w:ilvl w:val="0"/>
              <w:numId w:val="8"/>
            </w:numPr>
            <w:pBdr>
              <w:left w:val="none" w:sz="0" w:space="3" w:color="auto"/>
            </w:pBdr>
            <w:spacing w:line="276" w:lineRule="auto"/>
            <w:ind w:left="426" w:hanging="284"/>
            <w:jc w:val="both"/>
            <w:rPr>
              <w:rFonts w:ascii="Times New Roman" w:eastAsia="Times New Roman" w:hAnsi="Times New Roman" w:cs="Times New Roman"/>
              <w:sz w:val="20"/>
              <w:szCs w:val="20"/>
              <w:lang w:val="es-ES"/>
            </w:rPr>
          </w:pPr>
          <w:r w:rsidRPr="00AB446B">
            <w:rPr>
              <w:rFonts w:ascii="Arial" w:eastAsia="Arial" w:hAnsi="Arial" w:cs="Arial"/>
              <w:sz w:val="20"/>
              <w:szCs w:val="20"/>
              <w:lang w:val="es-ES"/>
            </w:rPr>
            <w:t>Las ventas de productos distintos a los neumáticos aumentaron un 13</w:t>
          </w:r>
          <w:r>
            <w:rPr>
              <w:rFonts w:ascii="Arial" w:eastAsia="Arial" w:hAnsi="Arial" w:cs="Arial"/>
              <w:sz w:val="20"/>
              <w:szCs w:val="20"/>
              <w:lang w:val="es-ES"/>
            </w:rPr>
            <w:t xml:space="preserve"> </w:t>
          </w:r>
          <w:r w:rsidRPr="00AB446B">
            <w:rPr>
              <w:rFonts w:ascii="Arial" w:eastAsia="Arial" w:hAnsi="Arial" w:cs="Arial"/>
              <w:sz w:val="20"/>
              <w:szCs w:val="20"/>
              <w:lang w:val="es-ES"/>
            </w:rPr>
            <w:t>% a tipos de cambio constantes, contribuyendo al crecimiento del resultado neto consolidado del Grupo.</w:t>
          </w:r>
        </w:p>
        <w:p w14:paraId="24333ECD" w14:textId="77777777" w:rsidR="00DE1863" w:rsidRPr="003059AB" w:rsidRDefault="00DE1863" w:rsidP="003059AB">
          <w:pPr>
            <w:numPr>
              <w:ilvl w:val="0"/>
              <w:numId w:val="8"/>
            </w:numPr>
            <w:pBdr>
              <w:left w:val="none" w:sz="0" w:space="3" w:color="auto"/>
            </w:pBdr>
            <w:spacing w:after="120" w:line="276" w:lineRule="auto"/>
            <w:ind w:left="426" w:hanging="284"/>
            <w:jc w:val="both"/>
            <w:rPr>
              <w:rFonts w:ascii="Times New Roman" w:eastAsia="Times New Roman" w:hAnsi="Times New Roman" w:cs="Times New Roman"/>
              <w:sz w:val="20"/>
              <w:szCs w:val="20"/>
              <w:lang w:val="es-ES"/>
            </w:rPr>
          </w:pPr>
          <w:r w:rsidRPr="003059AB">
            <w:rPr>
              <w:rFonts w:ascii="Arial" w:eastAsia="Arial" w:hAnsi="Arial" w:cs="Arial"/>
              <w:sz w:val="20"/>
              <w:szCs w:val="20"/>
              <w:lang w:val="es-ES"/>
            </w:rPr>
            <w:t>El impacto desfavorable de los tipos de cambio fue del 2,6 %, incluyendo un -5,5 % en el tercer trimestre.</w:t>
          </w:r>
        </w:p>
        <w:p w14:paraId="5CFD0235" w14:textId="77777777" w:rsidR="00DE1863" w:rsidRPr="00AB446B" w:rsidRDefault="00DE1863" w:rsidP="00DE1863">
          <w:pPr>
            <w:spacing w:after="120" w:line="276" w:lineRule="auto"/>
            <w:jc w:val="both"/>
            <w:rPr>
              <w:rFonts w:ascii="Arial" w:eastAsia="Arial" w:hAnsi="Arial" w:cs="Arial"/>
              <w:sz w:val="20"/>
              <w:szCs w:val="20"/>
              <w:lang w:val="es-ES"/>
            </w:rPr>
          </w:pPr>
        </w:p>
        <w:p w14:paraId="714A8CE2" w14:textId="77777777" w:rsidR="00DE1863" w:rsidRPr="00AB446B" w:rsidRDefault="00DE1863" w:rsidP="00DE1863">
          <w:pPr>
            <w:spacing w:after="120" w:line="276" w:lineRule="auto"/>
            <w:jc w:val="both"/>
            <w:rPr>
              <w:sz w:val="20"/>
              <w:szCs w:val="20"/>
              <w:lang w:val="es-ES"/>
            </w:rPr>
          </w:pPr>
          <w:r w:rsidRPr="00AB446B">
            <w:rPr>
              <w:rFonts w:ascii="Arial" w:eastAsia="Arial" w:hAnsi="Arial" w:cs="Arial"/>
              <w:b/>
              <w:bCs/>
              <w:sz w:val="20"/>
              <w:szCs w:val="20"/>
              <w:lang w:val="es-ES"/>
            </w:rPr>
            <w:t>El crecimiento de las soluciones de compuestos poliméricos</w:t>
          </w:r>
          <w:r w:rsidRPr="00AB446B">
            <w:rPr>
              <w:rFonts w:ascii="Arial" w:eastAsia="Arial" w:hAnsi="Arial" w:cs="Arial"/>
              <w:sz w:val="20"/>
              <w:szCs w:val="20"/>
              <w:lang w:val="es-ES"/>
            </w:rPr>
            <w:t xml:space="preserve"> se aceleró con la adquisición de FCG a finales de septiembre, y contribuirá a las ventas del Grupo a partir del cuarto trimestre.</w:t>
          </w:r>
        </w:p>
        <w:p w14:paraId="540BADF1" w14:textId="77777777" w:rsidR="00DE1863" w:rsidRPr="00AB446B" w:rsidRDefault="00DE1863" w:rsidP="00DE1863">
          <w:pPr>
            <w:spacing w:after="120" w:line="276" w:lineRule="auto"/>
            <w:jc w:val="both"/>
            <w:rPr>
              <w:sz w:val="20"/>
              <w:szCs w:val="20"/>
              <w:lang w:val="es-ES"/>
            </w:rPr>
          </w:pPr>
          <w:r w:rsidRPr="00AB446B">
            <w:rPr>
              <w:rFonts w:ascii="Arial" w:eastAsia="Arial" w:hAnsi="Arial" w:cs="Arial"/>
              <w:sz w:val="20"/>
              <w:szCs w:val="20"/>
              <w:lang w:val="es-ES"/>
            </w:rPr>
            <w:t xml:space="preserve">Florent Menegaux, presidente de Michelin, declaró: </w:t>
          </w:r>
          <w:r w:rsidRPr="00AB446B">
            <w:rPr>
              <w:rFonts w:ascii="Arial" w:eastAsia="Arial" w:hAnsi="Arial" w:cs="Arial"/>
              <w:i/>
              <w:iCs/>
              <w:sz w:val="20"/>
              <w:szCs w:val="20"/>
              <w:lang w:val="es-ES"/>
            </w:rPr>
            <w:t>“Nuestro Grupo ha registrado unas ventas sólidas en un entorno de mercado complejo. Seguimos de cerca nuestras operaciones y nos adaptamos constantemente a los cambios del mercado. Esta agilidad y anticipación constantes demuestran una vez más la resistencia de nuestro Grupo y nuestra determinación para llevar a cabo con éxito nuestra estrategia ‘Michelin in Motion’”</w:t>
          </w:r>
          <w:r w:rsidRPr="00AB446B">
            <w:rPr>
              <w:rFonts w:ascii="Arial" w:eastAsia="Arial" w:hAnsi="Arial" w:cs="Arial"/>
              <w:sz w:val="20"/>
              <w:szCs w:val="20"/>
              <w:lang w:val="es-ES"/>
            </w:rPr>
            <w:t>.</w:t>
          </w:r>
        </w:p>
        <w:p w14:paraId="5F1CC97F" w14:textId="77777777" w:rsidR="00DE1863" w:rsidRPr="00AB446B" w:rsidRDefault="00DE1863" w:rsidP="00DE1863">
          <w:pPr>
            <w:spacing w:after="120" w:line="276" w:lineRule="auto"/>
            <w:jc w:val="both"/>
            <w:rPr>
              <w:sz w:val="20"/>
              <w:szCs w:val="20"/>
              <w:lang w:val="es-ES"/>
            </w:rPr>
          </w:pPr>
          <w:r w:rsidRPr="00AB446B">
            <w:rPr>
              <w:rFonts w:ascii="Arial" w:eastAsia="Arial" w:hAnsi="Arial" w:cs="Arial"/>
              <w:b/>
              <w:bCs/>
              <w:sz w:val="20"/>
              <w:szCs w:val="20"/>
              <w:lang w:val="es-ES"/>
            </w:rPr>
            <w:t>Previsión anual revisada al alza</w:t>
          </w:r>
        </w:p>
        <w:p w14:paraId="6E6AE9E5" w14:textId="77777777" w:rsidR="00DE1863" w:rsidRPr="00AB446B" w:rsidRDefault="00DE1863" w:rsidP="00DE1863">
          <w:pPr>
            <w:spacing w:after="120" w:line="276" w:lineRule="auto"/>
            <w:jc w:val="both"/>
            <w:rPr>
              <w:sz w:val="20"/>
              <w:szCs w:val="20"/>
              <w:lang w:val="es-ES"/>
            </w:rPr>
          </w:pPr>
          <w:r w:rsidRPr="00AB446B">
            <w:rPr>
              <w:rFonts w:ascii="Arial" w:eastAsia="Arial" w:hAnsi="Arial" w:cs="Arial"/>
              <w:sz w:val="20"/>
              <w:szCs w:val="20"/>
              <w:lang w:val="es-ES"/>
            </w:rPr>
            <w:t xml:space="preserve">Las previsiones del Grupo para 2023 se confirman para el resultado operacional a tipos de cambio constante (por encima de 3.400 millones de euros) y se revisan al alza para el </w:t>
          </w:r>
          <w:r w:rsidRPr="00AB446B">
            <w:rPr>
              <w:rFonts w:ascii="Arial" w:eastAsia="Arial" w:hAnsi="Arial" w:cs="Arial"/>
              <w:i/>
              <w:iCs/>
              <w:sz w:val="20"/>
              <w:szCs w:val="20"/>
              <w:lang w:val="es-ES"/>
            </w:rPr>
            <w:t xml:space="preserve">cash </w:t>
          </w:r>
          <w:proofErr w:type="spellStart"/>
          <w:r w:rsidRPr="00AB446B">
            <w:rPr>
              <w:rFonts w:ascii="Arial" w:eastAsia="Arial" w:hAnsi="Arial" w:cs="Arial"/>
              <w:i/>
              <w:iCs/>
              <w:sz w:val="20"/>
              <w:szCs w:val="20"/>
              <w:lang w:val="es-ES"/>
            </w:rPr>
            <w:t>flow</w:t>
          </w:r>
          <w:proofErr w:type="spellEnd"/>
          <w:r w:rsidRPr="00AB446B">
            <w:rPr>
              <w:rFonts w:ascii="Arial" w:eastAsia="Arial" w:hAnsi="Arial" w:cs="Arial"/>
              <w:sz w:val="20"/>
              <w:szCs w:val="20"/>
              <w:lang w:val="es-ES"/>
            </w:rPr>
            <w:t xml:space="preserve"> libre estructural</w:t>
          </w:r>
          <w:r w:rsidRPr="00AB446B">
            <w:rPr>
              <w:rFonts w:ascii="Arial" w:eastAsia="Arial" w:hAnsi="Arial" w:cs="Arial"/>
              <w:sz w:val="20"/>
              <w:szCs w:val="20"/>
              <w:vertAlign w:val="superscript"/>
              <w:lang w:val="es-ES"/>
            </w:rPr>
            <w:t>1</w:t>
          </w:r>
          <w:r w:rsidRPr="00AB446B">
            <w:rPr>
              <w:rFonts w:ascii="Arial" w:eastAsia="Arial" w:hAnsi="Arial" w:cs="Arial"/>
              <w:sz w:val="20"/>
              <w:szCs w:val="20"/>
              <w:lang w:val="es-ES"/>
            </w:rPr>
            <w:t>, que se cifra en más de 2.300 millones de euros (frente a los 2.000 millones de euros anteriores).</w:t>
          </w:r>
        </w:p>
        <w:p w14:paraId="169BF174" w14:textId="77777777" w:rsidR="00DE1863" w:rsidRPr="00AB446B" w:rsidRDefault="00DE1863" w:rsidP="00DE1863">
          <w:pPr>
            <w:spacing w:after="60"/>
            <w:jc w:val="both"/>
            <w:rPr>
              <w:rFonts w:ascii="Arial" w:eastAsia="Arial" w:hAnsi="Arial" w:cs="Arial"/>
              <w:sz w:val="20"/>
              <w:szCs w:val="20"/>
              <w:lang w:val="es-ES"/>
            </w:rPr>
          </w:pPr>
        </w:p>
        <w:p w14:paraId="778A9AF8" w14:textId="77777777" w:rsidR="00DE1863" w:rsidRPr="00AB446B" w:rsidRDefault="00DE1863" w:rsidP="00DE1863">
          <w:pPr>
            <w:jc w:val="both"/>
            <w:rPr>
              <w:sz w:val="22"/>
              <w:szCs w:val="22"/>
              <w:lang w:val="es-ES"/>
            </w:rPr>
          </w:pPr>
          <w:r w:rsidRPr="00AB446B">
            <w:rPr>
              <w:rFonts w:ascii="Arial" w:eastAsia="Arial" w:hAnsi="Arial" w:cs="Arial"/>
              <w:b/>
              <w:bCs/>
              <w:sz w:val="22"/>
              <w:szCs w:val="22"/>
              <w:lang w:val="es-ES"/>
            </w:rPr>
            <w:t>Evolución de las ventas a 30 de septiembre de 2023</w:t>
          </w:r>
        </w:p>
        <w:p w14:paraId="1B682644" w14:textId="77777777" w:rsidR="00DE1863" w:rsidRPr="00AB446B" w:rsidRDefault="00DE1863" w:rsidP="00DE1863">
          <w:pPr>
            <w:ind w:firstLine="284"/>
            <w:jc w:val="both"/>
            <w:rPr>
              <w:rFonts w:ascii="Arial" w:eastAsia="Arial" w:hAnsi="Arial" w:cs="Arial"/>
              <w:sz w:val="22"/>
              <w:szCs w:val="22"/>
              <w:lang w:val="es-ES"/>
            </w:rPr>
          </w:pPr>
        </w:p>
        <w:p w14:paraId="0590B016" w14:textId="77777777" w:rsidR="00DE1863" w:rsidRPr="00AB446B" w:rsidRDefault="00DE1863" w:rsidP="00DE1863">
          <w:pPr>
            <w:jc w:val="both"/>
            <w:rPr>
              <w:rFonts w:ascii="Arial" w:eastAsia="Arial" w:hAnsi="Arial" w:cs="Arial"/>
              <w:sz w:val="22"/>
              <w:szCs w:val="22"/>
              <w:lang w:val="es-ES"/>
            </w:rPr>
          </w:pPr>
        </w:p>
        <w:tbl>
          <w:tblPr>
            <w:tblpPr w:leftFromText="141" w:rightFromText="141" w:vertAnchor="text" w:tblpY="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964"/>
            <w:gridCol w:w="1673"/>
            <w:gridCol w:w="1701"/>
            <w:gridCol w:w="1701"/>
          </w:tblGrid>
          <w:tr w:rsidR="00DE1863" w:rsidRPr="000E142E" w14:paraId="35141355" w14:textId="77777777" w:rsidTr="0025023A">
            <w:trPr>
              <w:trHeight w:val="699"/>
            </w:trPr>
            <w:tc>
              <w:tcPr>
                <w:tcW w:w="3964" w:type="dxa"/>
                <w:tcBorders>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1ABFE402" w14:textId="77777777" w:rsidR="00DE1863" w:rsidRDefault="00DE1863" w:rsidP="0025023A">
                <w:pPr>
                  <w:jc w:val="center"/>
                  <w:rPr>
                    <w:color w:val="000000"/>
                    <w:sz w:val="20"/>
                    <w:szCs w:val="20"/>
                  </w:rPr>
                </w:pPr>
                <w:r>
                  <w:rPr>
                    <w:rFonts w:ascii="Arial" w:eastAsia="Arial" w:hAnsi="Arial" w:cs="Arial"/>
                    <w:b/>
                    <w:bCs/>
                    <w:color w:val="000000"/>
                    <w:sz w:val="20"/>
                    <w:szCs w:val="20"/>
                  </w:rPr>
                  <w:t>Ventas</w:t>
                </w:r>
                <w:r>
                  <w:rPr>
                    <w:rFonts w:ascii="Arial" w:eastAsia="Arial" w:hAnsi="Arial" w:cs="Arial"/>
                    <w:color w:val="000000"/>
                    <w:sz w:val="20"/>
                    <w:szCs w:val="20"/>
                  </w:rPr>
                  <w:t xml:space="preserve"> </w:t>
                </w:r>
                <w:r>
                  <w:rPr>
                    <w:rFonts w:ascii="Arial" w:eastAsia="Arial" w:hAnsi="Arial" w:cs="Arial"/>
                    <w:color w:val="000000"/>
                    <w:sz w:val="20"/>
                    <w:szCs w:val="20"/>
                  </w:rPr>
                  <w:br/>
                </w:r>
                <w:r>
                  <w:rPr>
                    <w:rFonts w:ascii="Arial" w:eastAsia="Arial" w:hAnsi="Arial" w:cs="Arial"/>
                    <w:color w:val="000000"/>
                    <w:sz w:val="18"/>
                    <w:szCs w:val="18"/>
                  </w:rPr>
                  <w:t xml:space="preserve">(en </w:t>
                </w:r>
                <w:proofErr w:type="spellStart"/>
                <w:r>
                  <w:rPr>
                    <w:rFonts w:ascii="Arial" w:eastAsia="Arial" w:hAnsi="Arial" w:cs="Arial"/>
                    <w:color w:val="000000"/>
                    <w:sz w:val="18"/>
                    <w:szCs w:val="18"/>
                  </w:rPr>
                  <w:t>millones</w:t>
                </w:r>
                <w:proofErr w:type="spellEnd"/>
                <w:r>
                  <w:rPr>
                    <w:rFonts w:ascii="Arial" w:eastAsia="Arial" w:hAnsi="Arial" w:cs="Arial"/>
                    <w:color w:val="000000"/>
                    <w:sz w:val="18"/>
                    <w:szCs w:val="18"/>
                  </w:rPr>
                  <w:t xml:space="preserve"> de €)</w:t>
                </w:r>
              </w:p>
            </w:tc>
            <w:tc>
              <w:tcPr>
                <w:tcW w:w="1673" w:type="dxa"/>
                <w:tcBorders>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4E9AD40D" w14:textId="77777777" w:rsidR="00DE1863" w:rsidRDefault="00DE1863" w:rsidP="0025023A">
                <w:pPr>
                  <w:jc w:val="center"/>
                  <w:rPr>
                    <w:color w:val="000000"/>
                    <w:sz w:val="20"/>
                    <w:szCs w:val="20"/>
                  </w:rPr>
                </w:pPr>
                <w:proofErr w:type="spellStart"/>
                <w:r>
                  <w:rPr>
                    <w:rFonts w:ascii="Arial" w:eastAsia="Arial" w:hAnsi="Arial" w:cs="Arial"/>
                    <w:b/>
                    <w:bCs/>
                    <w:color w:val="000000"/>
                    <w:sz w:val="20"/>
                    <w:szCs w:val="20"/>
                  </w:rPr>
                  <w:t>Nueve</w:t>
                </w:r>
                <w:proofErr w:type="spellEnd"/>
                <w:r>
                  <w:rPr>
                    <w:rFonts w:ascii="Arial" w:eastAsia="Arial" w:hAnsi="Arial" w:cs="Arial"/>
                    <w:b/>
                    <w:bCs/>
                    <w:color w:val="000000"/>
                    <w:sz w:val="20"/>
                    <w:szCs w:val="20"/>
                  </w:rPr>
                  <w:t xml:space="preserve"> </w:t>
                </w:r>
                <w:proofErr w:type="spellStart"/>
                <w:r>
                  <w:rPr>
                    <w:rFonts w:ascii="Arial" w:eastAsia="Arial" w:hAnsi="Arial" w:cs="Arial"/>
                    <w:b/>
                    <w:bCs/>
                    <w:color w:val="000000"/>
                    <w:sz w:val="20"/>
                    <w:szCs w:val="20"/>
                  </w:rPr>
                  <w:t>meses</w:t>
                </w:r>
                <w:proofErr w:type="spellEnd"/>
                <w:r>
                  <w:rPr>
                    <w:rFonts w:ascii="Arial" w:eastAsia="Arial" w:hAnsi="Arial" w:cs="Arial"/>
                    <w:b/>
                    <w:bCs/>
                    <w:color w:val="000000"/>
                    <w:sz w:val="20"/>
                    <w:szCs w:val="20"/>
                  </w:rPr>
                  <w:br/>
                  <w:t>2023</w:t>
                </w:r>
              </w:p>
              <w:p w14:paraId="24C5E0D3" w14:textId="77777777" w:rsidR="00DE1863" w:rsidRDefault="00DE1863" w:rsidP="0025023A">
                <w:pPr>
                  <w:jc w:val="center"/>
                  <w:rPr>
                    <w:rFonts w:ascii="Arial" w:eastAsia="Arial" w:hAnsi="Arial" w:cs="Arial"/>
                    <w:b/>
                    <w:bCs/>
                    <w:color w:val="000000"/>
                    <w:sz w:val="20"/>
                    <w:szCs w:val="20"/>
                  </w:rPr>
                </w:pPr>
              </w:p>
            </w:tc>
            <w:tc>
              <w:tcPr>
                <w:tcW w:w="1701"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564EB9EB" w14:textId="77777777" w:rsidR="00DE1863" w:rsidRDefault="00DE1863" w:rsidP="0025023A">
                <w:pPr>
                  <w:jc w:val="center"/>
                  <w:rPr>
                    <w:color w:val="000000"/>
                    <w:sz w:val="20"/>
                    <w:szCs w:val="20"/>
                  </w:rPr>
                </w:pPr>
                <w:proofErr w:type="spellStart"/>
                <w:r>
                  <w:rPr>
                    <w:rFonts w:ascii="Arial" w:eastAsia="Arial" w:hAnsi="Arial" w:cs="Arial"/>
                    <w:b/>
                    <w:bCs/>
                    <w:color w:val="000000"/>
                    <w:sz w:val="20"/>
                    <w:szCs w:val="20"/>
                  </w:rPr>
                  <w:t>Nueve</w:t>
                </w:r>
                <w:proofErr w:type="spellEnd"/>
                <w:r>
                  <w:rPr>
                    <w:rFonts w:ascii="Arial" w:eastAsia="Arial" w:hAnsi="Arial" w:cs="Arial"/>
                    <w:b/>
                    <w:bCs/>
                    <w:color w:val="000000"/>
                    <w:sz w:val="20"/>
                    <w:szCs w:val="20"/>
                  </w:rPr>
                  <w:t xml:space="preserve"> </w:t>
                </w:r>
                <w:proofErr w:type="spellStart"/>
                <w:r>
                  <w:rPr>
                    <w:rFonts w:ascii="Arial" w:eastAsia="Arial" w:hAnsi="Arial" w:cs="Arial"/>
                    <w:b/>
                    <w:bCs/>
                    <w:color w:val="000000"/>
                    <w:sz w:val="20"/>
                    <w:szCs w:val="20"/>
                  </w:rPr>
                  <w:t>meses</w:t>
                </w:r>
                <w:proofErr w:type="spellEnd"/>
                <w:r>
                  <w:rPr>
                    <w:rFonts w:ascii="Arial" w:eastAsia="Arial" w:hAnsi="Arial" w:cs="Arial"/>
                    <w:b/>
                    <w:bCs/>
                    <w:color w:val="000000"/>
                    <w:sz w:val="20"/>
                    <w:szCs w:val="20"/>
                  </w:rPr>
                  <w:t xml:space="preserve"> 2022</w:t>
                </w:r>
              </w:p>
            </w:tc>
            <w:tc>
              <w:tcPr>
                <w:tcW w:w="1701" w:type="dxa"/>
                <w:tcBorders>
                  <w:left w:val="single" w:sz="4" w:space="0" w:color="000000"/>
                  <w:bottom w:val="single" w:sz="4" w:space="0" w:color="000000"/>
                </w:tcBorders>
                <w:shd w:val="clear" w:color="auto" w:fill="F3F3F3"/>
                <w:tcMar>
                  <w:top w:w="0" w:type="dxa"/>
                  <w:left w:w="108" w:type="dxa"/>
                  <w:bottom w:w="0" w:type="dxa"/>
                  <w:right w:w="108" w:type="dxa"/>
                </w:tcMar>
                <w:vAlign w:val="center"/>
                <w:hideMark/>
              </w:tcPr>
              <w:p w14:paraId="253F6036" w14:textId="77777777" w:rsidR="00DE1863" w:rsidRPr="00AB446B" w:rsidRDefault="00DE1863" w:rsidP="0025023A">
                <w:pPr>
                  <w:jc w:val="center"/>
                  <w:rPr>
                    <w:color w:val="000000"/>
                    <w:sz w:val="20"/>
                    <w:szCs w:val="20"/>
                    <w:lang w:val="es-ES"/>
                  </w:rPr>
                </w:pPr>
                <w:r w:rsidRPr="00AB446B">
                  <w:rPr>
                    <w:rFonts w:ascii="Arial" w:eastAsia="Arial" w:hAnsi="Arial" w:cs="Arial"/>
                    <w:b/>
                    <w:bCs/>
                    <w:color w:val="000000"/>
                    <w:sz w:val="20"/>
                    <w:szCs w:val="20"/>
                    <w:lang w:val="es-ES"/>
                  </w:rPr>
                  <w:t>% Variación</w:t>
                </w:r>
              </w:p>
              <w:p w14:paraId="0B5ACA6B" w14:textId="77777777" w:rsidR="00DE1863" w:rsidRPr="00AB446B" w:rsidRDefault="00DE1863" w:rsidP="0025023A">
                <w:pPr>
                  <w:jc w:val="center"/>
                  <w:rPr>
                    <w:color w:val="000000"/>
                    <w:sz w:val="13"/>
                    <w:szCs w:val="13"/>
                    <w:lang w:val="es-ES"/>
                  </w:rPr>
                </w:pPr>
                <w:r w:rsidRPr="00AB446B">
                  <w:rPr>
                    <w:rFonts w:ascii="Arial" w:eastAsia="Arial" w:hAnsi="Arial" w:cs="Arial"/>
                    <w:color w:val="000000"/>
                    <w:sz w:val="13"/>
                    <w:szCs w:val="13"/>
                    <w:lang w:val="es-ES"/>
                  </w:rPr>
                  <w:t>(a los tipos de cambio actuales)</w:t>
                </w:r>
              </w:p>
            </w:tc>
          </w:tr>
          <w:tr w:rsidR="00DE1863" w14:paraId="6E0DDE05" w14:textId="77777777" w:rsidTr="0025023A">
            <w:trPr>
              <w:trHeight w:val="332"/>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68103" w14:textId="0C5DA7CB" w:rsidR="00DE1863" w:rsidRPr="003059AB" w:rsidRDefault="003059AB" w:rsidP="0025023A">
                <w:pPr>
                  <w:rPr>
                    <w:rFonts w:ascii="Arial" w:hAnsi="Arial" w:cs="Arial"/>
                    <w:color w:val="000000"/>
                    <w:sz w:val="20"/>
                    <w:szCs w:val="20"/>
                  </w:rPr>
                </w:pPr>
                <w:proofErr w:type="spellStart"/>
                <w:r>
                  <w:rPr>
                    <w:rFonts w:ascii="Arial" w:eastAsia="Arial" w:hAnsi="Arial" w:cs="Arial"/>
                    <w:smallCaps/>
                    <w:color w:val="000000"/>
                    <w:sz w:val="20"/>
                    <w:szCs w:val="20"/>
                  </w:rPr>
                  <w:t>tu</w:t>
                </w:r>
                <w:r w:rsidRPr="003059AB">
                  <w:rPr>
                    <w:rFonts w:ascii="Arial" w:eastAsia="Arial" w:hAnsi="Arial" w:cs="Arial"/>
                    <w:smallCaps/>
                    <w:color w:val="000000"/>
                    <w:sz w:val="20"/>
                    <w:szCs w:val="20"/>
                  </w:rPr>
                  <w:t>rismo</w:t>
                </w:r>
                <w:proofErr w:type="spellEnd"/>
                <w:r w:rsidRPr="003059AB">
                  <w:rPr>
                    <w:rFonts w:ascii="Arial" w:eastAsia="Arial" w:hAnsi="Arial" w:cs="Arial"/>
                    <w:smallCaps/>
                    <w:color w:val="000000"/>
                    <w:sz w:val="20"/>
                    <w:szCs w:val="20"/>
                  </w:rPr>
                  <w:t xml:space="preserve"> </w:t>
                </w:r>
                <w:proofErr w:type="gramStart"/>
                <w:r w:rsidRPr="003059AB">
                  <w:rPr>
                    <w:rFonts w:ascii="Arial" w:eastAsia="Arial" w:hAnsi="Arial" w:cs="Arial"/>
                    <w:smallCaps/>
                    <w:color w:val="000000"/>
                    <w:sz w:val="20"/>
                    <w:szCs w:val="20"/>
                  </w:rPr>
                  <w:t xml:space="preserve">y </w:t>
                </w:r>
                <w:r w:rsidRPr="00AB446B">
                  <w:rPr>
                    <w:rFonts w:ascii="Arial" w:eastAsia="Arial" w:hAnsi="Arial" w:cs="Arial"/>
                    <w:smallCaps/>
                    <w:color w:val="000000"/>
                    <w:sz w:val="20"/>
                    <w:szCs w:val="20"/>
                    <w:lang w:val="es-ES"/>
                  </w:rPr>
                  <w:t xml:space="preserve"> </w:t>
                </w:r>
                <w:r w:rsidRPr="00AB446B">
                  <w:rPr>
                    <w:rFonts w:ascii="Arial" w:eastAsia="Arial" w:hAnsi="Arial" w:cs="Arial"/>
                    <w:smallCaps/>
                    <w:color w:val="000000"/>
                    <w:sz w:val="20"/>
                    <w:szCs w:val="20"/>
                    <w:lang w:val="es-ES"/>
                  </w:rPr>
                  <w:t>distribución</w:t>
                </w:r>
                <w:proofErr w:type="gramEnd"/>
                <w:r w:rsidRPr="00AB446B">
                  <w:rPr>
                    <w:rFonts w:ascii="Arial" w:eastAsia="Arial" w:hAnsi="Arial" w:cs="Arial"/>
                    <w:smallCaps/>
                    <w:color w:val="000000"/>
                    <w:sz w:val="20"/>
                    <w:szCs w:val="20"/>
                    <w:lang w:val="es-ES"/>
                  </w:rPr>
                  <w:t xml:space="preserve"> </w:t>
                </w:r>
                <w:proofErr w:type="spellStart"/>
                <w:r w:rsidRPr="003059AB">
                  <w:rPr>
                    <w:rFonts w:ascii="Arial" w:eastAsia="Arial" w:hAnsi="Arial" w:cs="Arial"/>
                    <w:smallCaps/>
                    <w:color w:val="000000"/>
                    <w:sz w:val="20"/>
                    <w:szCs w:val="20"/>
                  </w:rPr>
                  <w:t>asociada</w:t>
                </w:r>
                <w:proofErr w:type="spell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0047D3" w14:textId="77777777" w:rsidR="00DE1863" w:rsidRDefault="00DE1863" w:rsidP="0025023A">
                <w:pPr>
                  <w:jc w:val="right"/>
                  <w:rPr>
                    <w:color w:val="000000"/>
                    <w:sz w:val="20"/>
                    <w:szCs w:val="20"/>
                  </w:rPr>
                </w:pPr>
                <w:r>
                  <w:rPr>
                    <w:rFonts w:ascii="Arial" w:eastAsia="Arial" w:hAnsi="Arial" w:cs="Arial"/>
                    <w:b/>
                    <w:bCs/>
                    <w:color w:val="000000"/>
                    <w:sz w:val="20"/>
                    <w:szCs w:val="20"/>
                  </w:rPr>
                  <w:t>10.611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D04D88" w14:textId="77777777" w:rsidR="00DE1863" w:rsidRDefault="00DE1863" w:rsidP="0025023A">
                <w:pPr>
                  <w:jc w:val="right"/>
                  <w:rPr>
                    <w:color w:val="000000"/>
                    <w:sz w:val="20"/>
                    <w:szCs w:val="20"/>
                  </w:rPr>
                </w:pPr>
                <w:r>
                  <w:rPr>
                    <w:rFonts w:ascii="Arial" w:eastAsia="Arial" w:hAnsi="Arial" w:cs="Arial"/>
                    <w:b/>
                    <w:bCs/>
                    <w:color w:val="000000"/>
                    <w:sz w:val="20"/>
                    <w:szCs w:val="20"/>
                  </w:rPr>
                  <w:t>10.238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0F3B3932" w14:textId="77777777" w:rsidR="00DE1863" w:rsidRDefault="00DE1863" w:rsidP="0025023A">
                <w:pPr>
                  <w:jc w:val="right"/>
                  <w:rPr>
                    <w:color w:val="000000"/>
                    <w:sz w:val="20"/>
                    <w:szCs w:val="20"/>
                  </w:rPr>
                </w:pPr>
                <w:r>
                  <w:rPr>
                    <w:rFonts w:ascii="Arial" w:eastAsia="Arial" w:hAnsi="Arial" w:cs="Arial"/>
                    <w:color w:val="000000"/>
                    <w:sz w:val="20"/>
                    <w:szCs w:val="20"/>
                  </w:rPr>
                  <w:t>+3,6 %</w:t>
                </w:r>
              </w:p>
            </w:tc>
          </w:tr>
          <w:tr w:rsidR="00DE1863" w14:paraId="5A6F2CCB" w14:textId="77777777" w:rsidTr="0025023A">
            <w:trPr>
              <w:trHeight w:val="281"/>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0B6220" w14:textId="3F51A487" w:rsidR="00DE1863" w:rsidRDefault="003059AB" w:rsidP="0025023A">
                <w:pPr>
                  <w:rPr>
                    <w:color w:val="000000"/>
                    <w:sz w:val="20"/>
                    <w:szCs w:val="20"/>
                  </w:rPr>
                </w:pPr>
                <w:r>
                  <w:rPr>
                    <w:rFonts w:ascii="Arial" w:eastAsia="Arial" w:hAnsi="Arial" w:cs="Arial"/>
                    <w:smallCaps/>
                    <w:color w:val="000000"/>
                    <w:sz w:val="20"/>
                    <w:szCs w:val="20"/>
                    <w:lang w:val="es-ES"/>
                  </w:rPr>
                  <w:t>cam</w:t>
                </w:r>
                <w:r w:rsidRPr="00AB446B">
                  <w:rPr>
                    <w:rFonts w:ascii="Arial" w:eastAsia="Arial" w:hAnsi="Arial" w:cs="Arial"/>
                    <w:smallCaps/>
                    <w:color w:val="000000"/>
                    <w:sz w:val="20"/>
                    <w:szCs w:val="20"/>
                    <w:lang w:val="es-ES"/>
                  </w:rPr>
                  <w:t xml:space="preserve">ión </w:t>
                </w:r>
                <w:r w:rsidR="00DE1863">
                  <w:rPr>
                    <w:rFonts w:ascii="Arial" w:eastAsia="Arial" w:hAnsi="Arial" w:cs="Arial"/>
                    <w:smallCaps/>
                    <w:color w:val="000000"/>
                    <w:sz w:val="20"/>
                    <w:szCs w:val="20"/>
                  </w:rPr>
                  <w:t xml:space="preserve">y </w:t>
                </w:r>
                <w:r w:rsidRPr="00AB446B">
                  <w:rPr>
                    <w:rFonts w:ascii="Arial" w:eastAsia="Arial" w:hAnsi="Arial" w:cs="Arial"/>
                    <w:smallCaps/>
                    <w:color w:val="000000"/>
                    <w:sz w:val="20"/>
                    <w:szCs w:val="20"/>
                    <w:lang w:val="es-ES"/>
                  </w:rPr>
                  <w:t xml:space="preserve"> </w:t>
                </w:r>
                <w:r w:rsidRPr="00AB446B">
                  <w:rPr>
                    <w:rFonts w:ascii="Arial" w:eastAsia="Arial" w:hAnsi="Arial" w:cs="Arial"/>
                    <w:smallCaps/>
                    <w:color w:val="000000"/>
                    <w:sz w:val="20"/>
                    <w:szCs w:val="20"/>
                    <w:lang w:val="es-ES"/>
                  </w:rPr>
                  <w:t xml:space="preserve">distribución </w:t>
                </w:r>
                <w:proofErr w:type="spellStart"/>
                <w:r w:rsidR="00DE1863">
                  <w:rPr>
                    <w:rFonts w:ascii="Arial" w:eastAsia="Arial" w:hAnsi="Arial" w:cs="Arial"/>
                    <w:smallCaps/>
                    <w:color w:val="000000"/>
                    <w:sz w:val="20"/>
                    <w:szCs w:val="20"/>
                  </w:rPr>
                  <w:t>asociada</w:t>
                </w:r>
                <w:proofErr w:type="spell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0264A" w14:textId="77777777" w:rsidR="00DE1863" w:rsidRDefault="00DE1863" w:rsidP="0025023A">
                <w:pPr>
                  <w:jc w:val="right"/>
                  <w:rPr>
                    <w:color w:val="000000"/>
                    <w:sz w:val="20"/>
                    <w:szCs w:val="20"/>
                  </w:rPr>
                </w:pPr>
                <w:r>
                  <w:rPr>
                    <w:rFonts w:ascii="Arial" w:eastAsia="Arial" w:hAnsi="Arial" w:cs="Arial"/>
                    <w:b/>
                    <w:bCs/>
                    <w:color w:val="000000"/>
                    <w:sz w:val="20"/>
                    <w:szCs w:val="20"/>
                  </w:rPr>
                  <w:t>5.173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9B55C" w14:textId="77777777" w:rsidR="00DE1863" w:rsidRDefault="00DE1863" w:rsidP="0025023A">
                <w:pPr>
                  <w:jc w:val="right"/>
                  <w:rPr>
                    <w:color w:val="000000"/>
                    <w:sz w:val="20"/>
                    <w:szCs w:val="20"/>
                  </w:rPr>
                </w:pPr>
                <w:r>
                  <w:rPr>
                    <w:rFonts w:ascii="Arial" w:eastAsia="Arial" w:hAnsi="Arial" w:cs="Arial"/>
                    <w:b/>
                    <w:bCs/>
                    <w:color w:val="000000"/>
                    <w:sz w:val="20"/>
                    <w:szCs w:val="20"/>
                  </w:rPr>
                  <w:t>5.403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0BFF410C" w14:textId="77777777" w:rsidR="00DE1863" w:rsidRDefault="00DE1863" w:rsidP="0025023A">
                <w:pPr>
                  <w:jc w:val="right"/>
                  <w:rPr>
                    <w:color w:val="000000"/>
                    <w:sz w:val="20"/>
                    <w:szCs w:val="20"/>
                  </w:rPr>
                </w:pPr>
                <w:r>
                  <w:rPr>
                    <w:rFonts w:ascii="Arial" w:eastAsia="Arial" w:hAnsi="Arial" w:cs="Arial"/>
                    <w:color w:val="000000"/>
                    <w:sz w:val="20"/>
                    <w:szCs w:val="20"/>
                  </w:rPr>
                  <w:t>-4,3 %</w:t>
                </w:r>
              </w:p>
            </w:tc>
          </w:tr>
          <w:tr w:rsidR="00DE1863" w14:paraId="387D4E20" w14:textId="77777777" w:rsidTr="0025023A">
            <w:trPr>
              <w:trHeight w:val="423"/>
            </w:trPr>
            <w:tc>
              <w:tcPr>
                <w:tcW w:w="396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1653DD" w14:textId="77777777" w:rsidR="00DE1863" w:rsidRPr="00AB446B" w:rsidRDefault="00DE1863" w:rsidP="0025023A">
                <w:pPr>
                  <w:rPr>
                    <w:color w:val="000000"/>
                    <w:sz w:val="20"/>
                    <w:szCs w:val="20"/>
                    <w:lang w:val="es-ES"/>
                  </w:rPr>
                </w:pPr>
                <w:r w:rsidRPr="00AB446B">
                  <w:rPr>
                    <w:rFonts w:ascii="Arial" w:eastAsia="Arial" w:hAnsi="Arial" w:cs="Arial"/>
                    <w:smallCaps/>
                    <w:color w:val="000000"/>
                    <w:sz w:val="20"/>
                    <w:szCs w:val="20"/>
                    <w:lang w:val="es-ES"/>
                  </w:rPr>
                  <w:t>actividades de especialidades y distribución asociada</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C499C" w14:textId="77777777" w:rsidR="00DE1863" w:rsidRDefault="00DE1863" w:rsidP="0025023A">
                <w:pPr>
                  <w:jc w:val="right"/>
                  <w:rPr>
                    <w:color w:val="000000"/>
                    <w:sz w:val="20"/>
                    <w:szCs w:val="20"/>
                  </w:rPr>
                </w:pPr>
                <w:r>
                  <w:rPr>
                    <w:rFonts w:ascii="Arial" w:eastAsia="Arial" w:hAnsi="Arial" w:cs="Arial"/>
                    <w:b/>
                    <w:bCs/>
                    <w:color w:val="000000"/>
                    <w:sz w:val="20"/>
                    <w:szCs w:val="20"/>
                  </w:rPr>
                  <w:t>5.368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C0B71E" w14:textId="77777777" w:rsidR="00DE1863" w:rsidRDefault="00DE1863" w:rsidP="0025023A">
                <w:pPr>
                  <w:jc w:val="right"/>
                  <w:rPr>
                    <w:color w:val="000000"/>
                    <w:sz w:val="20"/>
                    <w:szCs w:val="20"/>
                  </w:rPr>
                </w:pPr>
                <w:r>
                  <w:rPr>
                    <w:rFonts w:ascii="Arial" w:eastAsia="Arial" w:hAnsi="Arial" w:cs="Arial"/>
                    <w:b/>
                    <w:bCs/>
                    <w:color w:val="000000"/>
                    <w:sz w:val="20"/>
                    <w:szCs w:val="20"/>
                  </w:rPr>
                  <w:t>5.091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433DE4BF" w14:textId="77777777" w:rsidR="00DE1863" w:rsidRDefault="00DE1863" w:rsidP="0025023A">
                <w:pPr>
                  <w:jc w:val="right"/>
                  <w:rPr>
                    <w:color w:val="000000"/>
                    <w:sz w:val="20"/>
                    <w:szCs w:val="20"/>
                  </w:rPr>
                </w:pPr>
                <w:r>
                  <w:rPr>
                    <w:rFonts w:ascii="Arial" w:eastAsia="Arial" w:hAnsi="Arial" w:cs="Arial"/>
                    <w:color w:val="000000"/>
                    <w:sz w:val="20"/>
                    <w:szCs w:val="20"/>
                  </w:rPr>
                  <w:t>+5,4 %</w:t>
                </w:r>
              </w:p>
            </w:tc>
          </w:tr>
          <w:tr w:rsidR="00DE1863" w14:paraId="4A4A2E94" w14:textId="77777777" w:rsidTr="0025023A">
            <w:trPr>
              <w:trHeight w:val="362"/>
            </w:trPr>
            <w:tc>
              <w:tcPr>
                <w:tcW w:w="3964" w:type="dxa"/>
                <w:tcBorders>
                  <w:top w:val="single" w:sz="4" w:space="0" w:color="000000"/>
                  <w:right w:val="single" w:sz="4" w:space="0" w:color="000000"/>
                </w:tcBorders>
                <w:tcMar>
                  <w:top w:w="0" w:type="dxa"/>
                  <w:left w:w="108" w:type="dxa"/>
                  <w:bottom w:w="0" w:type="dxa"/>
                  <w:right w:w="108" w:type="dxa"/>
                </w:tcMar>
                <w:vAlign w:val="center"/>
                <w:hideMark/>
              </w:tcPr>
              <w:p w14:paraId="3A2AFA31" w14:textId="77777777" w:rsidR="00DE1863" w:rsidRDefault="00DE1863" w:rsidP="0025023A">
                <w:pPr>
                  <w:rPr>
                    <w:color w:val="000000"/>
                    <w:sz w:val="20"/>
                    <w:szCs w:val="20"/>
                  </w:rPr>
                </w:pPr>
                <w:r>
                  <w:rPr>
                    <w:rFonts w:ascii="Arial" w:eastAsia="Arial" w:hAnsi="Arial" w:cs="Arial"/>
                    <w:smallCaps/>
                    <w:color w:val="000000"/>
                    <w:sz w:val="20"/>
                    <w:szCs w:val="20"/>
                  </w:rPr>
                  <w:t xml:space="preserve">total </w:t>
                </w:r>
                <w:proofErr w:type="spellStart"/>
                <w:r>
                  <w:rPr>
                    <w:rFonts w:ascii="Arial" w:eastAsia="Arial" w:hAnsi="Arial" w:cs="Arial"/>
                    <w:smallCaps/>
                    <w:color w:val="000000"/>
                    <w:sz w:val="20"/>
                    <w:szCs w:val="20"/>
                  </w:rPr>
                  <w:t>grupo</w:t>
                </w:r>
                <w:proofErr w:type="spellEnd"/>
              </w:p>
            </w:tc>
            <w:tc>
              <w:tcPr>
                <w:tcW w:w="1673"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DCCF81A" w14:textId="77777777" w:rsidR="00DE1863" w:rsidRDefault="00DE1863" w:rsidP="0025023A">
                <w:pPr>
                  <w:jc w:val="right"/>
                  <w:rPr>
                    <w:color w:val="000000"/>
                    <w:sz w:val="20"/>
                    <w:szCs w:val="20"/>
                  </w:rPr>
                </w:pPr>
                <w:r>
                  <w:rPr>
                    <w:rFonts w:ascii="Arial" w:eastAsia="Arial" w:hAnsi="Arial" w:cs="Arial"/>
                    <w:b/>
                    <w:bCs/>
                    <w:color w:val="000000"/>
                    <w:sz w:val="20"/>
                    <w:szCs w:val="20"/>
                  </w:rPr>
                  <w:t>21.152</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B56D02A" w14:textId="77777777" w:rsidR="00DE1863" w:rsidRDefault="00DE1863" w:rsidP="0025023A">
                <w:pPr>
                  <w:jc w:val="right"/>
                  <w:rPr>
                    <w:color w:val="000000"/>
                    <w:sz w:val="20"/>
                    <w:szCs w:val="20"/>
                  </w:rPr>
                </w:pPr>
                <w:r>
                  <w:rPr>
                    <w:rFonts w:ascii="Arial" w:eastAsia="Arial" w:hAnsi="Arial" w:cs="Arial"/>
                    <w:b/>
                    <w:bCs/>
                    <w:color w:val="000000"/>
                    <w:sz w:val="20"/>
                    <w:szCs w:val="20"/>
                  </w:rPr>
                  <w:t>20.732</w:t>
                </w:r>
              </w:p>
            </w:tc>
            <w:tc>
              <w:tcPr>
                <w:tcW w:w="1701" w:type="dxa"/>
                <w:tcBorders>
                  <w:top w:val="single" w:sz="4" w:space="0" w:color="000000"/>
                  <w:left w:val="single" w:sz="4" w:space="0" w:color="000000"/>
                </w:tcBorders>
                <w:tcMar>
                  <w:top w:w="0" w:type="dxa"/>
                  <w:left w:w="108" w:type="dxa"/>
                  <w:bottom w:w="0" w:type="dxa"/>
                  <w:right w:w="108" w:type="dxa"/>
                </w:tcMar>
                <w:vAlign w:val="center"/>
                <w:hideMark/>
              </w:tcPr>
              <w:p w14:paraId="2C7CC97B" w14:textId="77777777" w:rsidR="00DE1863" w:rsidRDefault="00DE1863" w:rsidP="0025023A">
                <w:pPr>
                  <w:jc w:val="right"/>
                  <w:rPr>
                    <w:color w:val="000000"/>
                    <w:sz w:val="20"/>
                    <w:szCs w:val="20"/>
                  </w:rPr>
                </w:pPr>
                <w:r>
                  <w:rPr>
                    <w:rFonts w:ascii="Arial" w:eastAsia="Arial" w:hAnsi="Arial" w:cs="Arial"/>
                    <w:b/>
                    <w:bCs/>
                    <w:color w:val="000000"/>
                    <w:sz w:val="20"/>
                    <w:szCs w:val="20"/>
                  </w:rPr>
                  <w:t>+2,0 %</w:t>
                </w:r>
              </w:p>
            </w:tc>
          </w:tr>
        </w:tbl>
        <w:p w14:paraId="1AE9B4C4" w14:textId="7DDFC91B" w:rsidR="00DE1863" w:rsidRPr="00AB446B" w:rsidRDefault="00DE1863" w:rsidP="00DE1863">
          <w:pPr>
            <w:rPr>
              <w:sz w:val="16"/>
              <w:szCs w:val="16"/>
              <w:lang w:val="es-ES"/>
            </w:rPr>
          </w:pPr>
          <w:r w:rsidRPr="00AB446B">
            <w:rPr>
              <w:rFonts w:ascii="Arial" w:eastAsia="Arial" w:hAnsi="Arial" w:cs="Arial"/>
              <w:i/>
              <w:iCs/>
              <w:sz w:val="14"/>
              <w:szCs w:val="14"/>
              <w:vertAlign w:val="superscript"/>
              <w:lang w:val="es-ES"/>
            </w:rPr>
            <w:t>1</w:t>
          </w:r>
          <w:r w:rsidRPr="00AB446B">
            <w:rPr>
              <w:rFonts w:ascii="Arial" w:eastAsia="Arial" w:hAnsi="Arial" w:cs="Arial"/>
              <w:i/>
              <w:iCs/>
              <w:sz w:val="14"/>
              <w:szCs w:val="14"/>
              <w:lang w:val="es-ES"/>
            </w:rPr>
            <w:t xml:space="preserve"> </w:t>
          </w:r>
          <w:r w:rsidRPr="00AB446B">
            <w:rPr>
              <w:rFonts w:ascii="Arial" w:eastAsia="Arial" w:hAnsi="Arial" w:cs="Arial"/>
              <w:i/>
              <w:iCs/>
              <w:sz w:val="16"/>
              <w:szCs w:val="16"/>
              <w:lang w:val="es-ES"/>
            </w:rPr>
            <w:t xml:space="preserve">Flujo de caja libre estructural: flujo de caja libre antes de las adquisiciones, ajustado por el efecto de las variaciones de los precios de las materias primas en las cuentas por cobrar, las cuentas por pagar y las existencias. </w:t>
          </w:r>
        </w:p>
        <w:p w14:paraId="3859E533" w14:textId="77777777" w:rsidR="00DE1863" w:rsidRDefault="00DE1863" w:rsidP="00BC515C">
          <w:pPr>
            <w:spacing w:after="120" w:line="276" w:lineRule="auto"/>
            <w:jc w:val="both"/>
            <w:rPr>
              <w:rFonts w:ascii="Arial" w:eastAsia="Times New Roman" w:hAnsi="Arial" w:cs="Arial"/>
              <w:b/>
              <w:bCs/>
              <w:sz w:val="20"/>
              <w:szCs w:val="20"/>
              <w:lang w:val="es-ES"/>
            </w:rPr>
          </w:pPr>
        </w:p>
        <w:bookmarkEnd w:id="0"/>
        <w:p w14:paraId="26C4F332" w14:textId="77777777" w:rsidR="003059AB" w:rsidRDefault="003059AB" w:rsidP="00B04ACE">
          <w:pPr>
            <w:spacing w:line="276" w:lineRule="auto"/>
            <w:ind w:right="-46"/>
            <w:jc w:val="both"/>
            <w:rPr>
              <w:rFonts w:ascii="Arial" w:hAnsi="Arial" w:cs="Arial"/>
              <w:lang w:val="es-ES_tradnl"/>
            </w:rPr>
          </w:pPr>
        </w:p>
        <w:p w14:paraId="648342B4" w14:textId="05BFB665" w:rsidR="003C3FC0" w:rsidRPr="006A4D19" w:rsidRDefault="00000000" w:rsidP="00B04ACE">
          <w:pPr>
            <w:spacing w:line="276" w:lineRule="auto"/>
            <w:ind w:right="-46"/>
            <w:jc w:val="both"/>
            <w:rPr>
              <w:rFonts w:ascii="Arial" w:hAnsi="Arial" w:cs="Arial"/>
              <w:lang w:val="es-ES_tradnl"/>
            </w:rPr>
          </w:pPr>
        </w:p>
      </w:sdtContent>
    </w:sdt>
    <w:p w14:paraId="0C4D8941" w14:textId="77777777" w:rsidR="00082115" w:rsidRPr="006A4D19" w:rsidRDefault="00082115" w:rsidP="00082115">
      <w:pPr>
        <w:jc w:val="both"/>
        <w:rPr>
          <w:rFonts w:ascii="Arial" w:hAnsi="Arial" w:cs="Arial"/>
          <w:b/>
          <w:bCs/>
          <w:iCs/>
          <w:sz w:val="16"/>
          <w:szCs w:val="16"/>
          <w:lang w:val="es-ES_tradnl"/>
        </w:rPr>
      </w:pPr>
      <w:r w:rsidRPr="006A4D19">
        <w:rPr>
          <w:rFonts w:ascii="Arial" w:hAnsi="Arial" w:cs="Arial"/>
          <w:b/>
          <w:bCs/>
          <w:iCs/>
          <w:sz w:val="16"/>
          <w:szCs w:val="16"/>
          <w:lang w:val="es-ES_tradnl"/>
        </w:rPr>
        <w:t>Acerca de Michelin</w:t>
      </w:r>
    </w:p>
    <w:p w14:paraId="1597344B" w14:textId="77777777" w:rsidR="00082115" w:rsidRPr="006A4D19" w:rsidRDefault="00082115" w:rsidP="00082115">
      <w:pPr>
        <w:jc w:val="both"/>
        <w:rPr>
          <w:rFonts w:ascii="Arial" w:hAnsi="Arial" w:cs="Arial"/>
          <w:iCs/>
          <w:sz w:val="16"/>
          <w:szCs w:val="16"/>
          <w:lang w:val="es-ES_tradnl"/>
        </w:rPr>
      </w:pPr>
      <w:r w:rsidRPr="006A4D19">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8" w:history="1">
        <w:r w:rsidRPr="006A4D19">
          <w:rPr>
            <w:rStyle w:val="Hipervnculo"/>
            <w:rFonts w:ascii="Arial" w:hAnsi="Arial" w:cs="Arial"/>
            <w:iCs/>
            <w:sz w:val="16"/>
            <w:szCs w:val="16"/>
            <w:lang w:val="es-ES_tradnl"/>
          </w:rPr>
          <w:t>www.michelin.es</w:t>
        </w:r>
      </w:hyperlink>
      <w:r w:rsidRPr="006A4D19">
        <w:rPr>
          <w:rFonts w:ascii="Arial" w:hAnsi="Arial" w:cs="Arial"/>
          <w:iCs/>
          <w:sz w:val="16"/>
          <w:szCs w:val="16"/>
          <w:lang w:val="es-ES_tradnl"/>
        </w:rPr>
        <w:t>).</w:t>
      </w:r>
    </w:p>
    <w:p w14:paraId="6B8FA7CC" w14:textId="41F3C501" w:rsidR="003E0838" w:rsidRPr="006A4D19" w:rsidRDefault="00DE1863" w:rsidP="00CC6BAF">
      <w:pPr>
        <w:jc w:val="both"/>
        <w:rPr>
          <w:rFonts w:ascii="Arial" w:hAnsi="Arial" w:cs="Arial"/>
          <w:sz w:val="20"/>
          <w:szCs w:val="20"/>
          <w:lang w:val="es-ES_tradnl"/>
        </w:rPr>
      </w:pPr>
      <w:r>
        <w:rPr>
          <w:rFonts w:ascii="Arial" w:hAnsi="Arial" w:cs="Arial"/>
          <w:sz w:val="20"/>
          <w:szCs w:val="20"/>
          <w:lang w:val="es-ES_tradnl"/>
        </w:rPr>
        <w:br/>
      </w:r>
    </w:p>
    <w:p w14:paraId="64755F9F" w14:textId="05E23D1E" w:rsidR="0052344F" w:rsidRPr="006A4D19" w:rsidRDefault="0052344F" w:rsidP="00CC6BAF">
      <w:pPr>
        <w:jc w:val="both"/>
        <w:rPr>
          <w:rFonts w:ascii="Arial" w:hAnsi="Arial" w:cs="Arial"/>
          <w:sz w:val="20"/>
          <w:szCs w:val="20"/>
          <w:lang w:val="es-ES_tradnl"/>
        </w:rPr>
      </w:pPr>
    </w:p>
    <w:p w14:paraId="0C9C31CE" w14:textId="77777777" w:rsidR="00F9750C" w:rsidRPr="00833986" w:rsidRDefault="00F9750C" w:rsidP="00F9750C">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5F2F6B00" w14:textId="77777777" w:rsidR="00F9750C" w:rsidRPr="00833986" w:rsidRDefault="00F9750C" w:rsidP="00F9750C">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3928BD8F" w14:textId="77777777" w:rsidR="00F9750C" w:rsidRPr="00833986" w:rsidRDefault="00000000" w:rsidP="00F9750C">
      <w:pPr>
        <w:spacing w:line="276" w:lineRule="auto"/>
        <w:jc w:val="center"/>
        <w:rPr>
          <w:rFonts w:ascii="Arial" w:hAnsi="Arial" w:cs="Arial"/>
          <w:color w:val="0000FF"/>
          <w:sz w:val="20"/>
          <w:szCs w:val="20"/>
          <w:u w:val="single"/>
          <w:lang w:val="es-ES"/>
        </w:rPr>
      </w:pPr>
      <w:hyperlink r:id="rId9" w:tgtFrame="_blank" w:history="1">
        <w:r w:rsidR="00F9750C" w:rsidRPr="00833986">
          <w:rPr>
            <w:rStyle w:val="Hipervnculo"/>
            <w:rFonts w:ascii="Arial" w:hAnsi="Arial" w:cs="Arial"/>
            <w:sz w:val="20"/>
            <w:szCs w:val="20"/>
            <w:lang w:val="es-ES"/>
          </w:rPr>
          <w:t>jose.saura-vinssac@michelin.com</w:t>
        </w:r>
      </w:hyperlink>
    </w:p>
    <w:p w14:paraId="6AFCF9A1" w14:textId="77777777" w:rsidR="00F9750C" w:rsidRDefault="00F9750C" w:rsidP="00F9750C">
      <w:pPr>
        <w:jc w:val="center"/>
        <w:rPr>
          <w:rFonts w:ascii="Arial" w:hAnsi="Arial" w:cs="Arial"/>
          <w:sz w:val="20"/>
          <w:szCs w:val="20"/>
          <w:lang w:val="es-ES"/>
        </w:rPr>
      </w:pPr>
    </w:p>
    <w:p w14:paraId="060177CC" w14:textId="77777777" w:rsidR="00F9750C" w:rsidRPr="00833986" w:rsidRDefault="00F9750C" w:rsidP="00F9750C">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6C083140" wp14:editId="11565F36">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750C" w:rsidRPr="00833986" w14:paraId="3A196F28" w14:textId="77777777" w:rsidTr="009D6B5A">
        <w:tc>
          <w:tcPr>
            <w:tcW w:w="9016" w:type="dxa"/>
          </w:tcPr>
          <w:p w14:paraId="015D8C94" w14:textId="77777777" w:rsidR="00F9750C" w:rsidRPr="00833986" w:rsidRDefault="00000000" w:rsidP="009D6B5A">
            <w:pPr>
              <w:jc w:val="center"/>
              <w:rPr>
                <w:rStyle w:val="Hipervnculo"/>
                <w:rFonts w:ascii="Arial" w:hAnsi="Arial" w:cs="Arial"/>
                <w:sz w:val="20"/>
                <w:szCs w:val="20"/>
                <w:lang w:val="es-ES"/>
              </w:rPr>
            </w:pPr>
            <w:hyperlink r:id="rId12" w:history="1">
              <w:r w:rsidR="00F9750C" w:rsidRPr="00FA4C66">
                <w:rPr>
                  <w:rStyle w:val="Hipervnculo"/>
                  <w:rFonts w:ascii="Arial" w:hAnsi="Arial" w:cs="Arial"/>
                  <w:sz w:val="20"/>
                  <w:szCs w:val="20"/>
                  <w:lang w:val="es-ES"/>
                </w:rPr>
                <w:t>www.michelin.es</w:t>
              </w:r>
            </w:hyperlink>
          </w:p>
          <w:p w14:paraId="7CE6B778" w14:textId="77777777" w:rsidR="00F9750C" w:rsidRPr="00833986" w:rsidRDefault="00F9750C" w:rsidP="009D6B5A">
            <w:pPr>
              <w:jc w:val="center"/>
              <w:rPr>
                <w:rFonts w:ascii="Arial" w:hAnsi="Arial" w:cs="Arial"/>
                <w:color w:val="08519D"/>
                <w:sz w:val="20"/>
                <w:szCs w:val="20"/>
                <w:lang w:val="es-ES"/>
              </w:rPr>
            </w:pPr>
          </w:p>
        </w:tc>
      </w:tr>
      <w:tr w:rsidR="00F9750C" w:rsidRPr="00833986" w14:paraId="706ACA26" w14:textId="77777777" w:rsidTr="009D6B5A">
        <w:tc>
          <w:tcPr>
            <w:tcW w:w="9016" w:type="dxa"/>
          </w:tcPr>
          <w:p w14:paraId="7CCA1A95" w14:textId="77777777" w:rsidR="00F9750C" w:rsidRPr="00833986" w:rsidRDefault="00F9750C" w:rsidP="009D6B5A">
            <w:pPr>
              <w:jc w:val="center"/>
              <w:rPr>
                <w:rFonts w:ascii="Arial" w:hAnsi="Arial" w:cs="Arial"/>
                <w:color w:val="08519D"/>
                <w:sz w:val="20"/>
                <w:szCs w:val="20"/>
                <w:lang w:val="es-ES"/>
              </w:rPr>
            </w:pPr>
            <w:r w:rsidRPr="00833986">
              <w:rPr>
                <w:sz w:val="20"/>
                <w:szCs w:val="20"/>
              </w:rPr>
              <w:t xml:space="preserve">   </w:t>
            </w:r>
            <w:r w:rsidRPr="00833986">
              <w:rPr>
                <w:noProof/>
                <w:color w:val="000000"/>
                <w:sz w:val="20"/>
                <w:szCs w:val="20"/>
                <w:lang w:val="es-ES_tradnl" w:eastAsia="es-ES_tradnl"/>
              </w:rPr>
              <w:drawing>
                <wp:inline distT="0" distB="0" distL="0" distR="0" wp14:anchorId="398F50F1" wp14:editId="4A20FB7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833986">
                <w:rPr>
                  <w:rFonts w:ascii="Arial" w:eastAsia="Arial" w:hAnsi="Arial" w:cs="Arial"/>
                  <w:color w:val="0000FF"/>
                  <w:sz w:val="20"/>
                  <w:szCs w:val="20"/>
                  <w:u w:val="single" w:color="0000FF"/>
                </w:rPr>
                <w:t>@MichelinNews</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6E5C4D8F" wp14:editId="38E5D034">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833986">
              <w:rPr>
                <w:rFonts w:ascii="Arial" w:eastAsia="Arial" w:hAnsi="Arial" w:cs="Arial"/>
                <w:color w:val="08519D"/>
                <w:sz w:val="20"/>
                <w:szCs w:val="20"/>
              </w:rPr>
              <w:t xml:space="preserve"> </w:t>
            </w:r>
            <w:hyperlink r:id="rId16"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519EB076" wp14:editId="4FE48F69">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833986">
              <w:rPr>
                <w:rFonts w:ascii="Arial" w:eastAsia="Arial" w:hAnsi="Arial" w:cs="Arial"/>
                <w:color w:val="08519D"/>
                <w:sz w:val="20"/>
                <w:szCs w:val="20"/>
              </w:rPr>
              <w:t xml:space="preserve"> </w:t>
            </w:r>
            <w:hyperlink r:id="rId18"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0E5E823E" wp14:editId="1CC7D291">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833986">
              <w:rPr>
                <w:rFonts w:ascii="Arial" w:eastAsia="Arial" w:hAnsi="Arial" w:cs="Arial"/>
                <w:color w:val="08519D"/>
                <w:sz w:val="20"/>
                <w:szCs w:val="20"/>
              </w:rPr>
              <w:t xml:space="preserve"> </w:t>
            </w:r>
            <w:hyperlink r:id="rId20" w:history="1">
              <w:r w:rsidRPr="00833986">
                <w:rPr>
                  <w:rFonts w:ascii="Arial" w:eastAsia="Arial" w:hAnsi="Arial" w:cs="Arial"/>
                  <w:color w:val="0000FF"/>
                  <w:sz w:val="20"/>
                  <w:szCs w:val="20"/>
                  <w:u w:val="single" w:color="0000FF"/>
                </w:rPr>
                <w:t>@Michelin</w:t>
              </w:r>
            </w:hyperlink>
          </w:p>
        </w:tc>
      </w:tr>
    </w:tbl>
    <w:p w14:paraId="4BDA161B" w14:textId="77777777" w:rsidR="00F9750C" w:rsidRPr="00833986" w:rsidRDefault="00F9750C" w:rsidP="00F9750C">
      <w:pPr>
        <w:jc w:val="center"/>
        <w:rPr>
          <w:rFonts w:ascii="Arial" w:hAnsi="Arial" w:cs="Arial"/>
          <w:sz w:val="20"/>
          <w:szCs w:val="20"/>
          <w:lang w:val="es-ES"/>
        </w:rPr>
      </w:pPr>
    </w:p>
    <w:p w14:paraId="35E7F4EF" w14:textId="2B5760F3" w:rsidR="00387E23" w:rsidRPr="00F9750C" w:rsidRDefault="00F9750C" w:rsidP="00D34A40">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sectPr w:rsidR="00387E23" w:rsidRPr="00F9750C"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E5AC" w14:textId="77777777" w:rsidR="000C5FAB" w:rsidRDefault="000C5FAB" w:rsidP="00F24D98">
      <w:r>
        <w:separator/>
      </w:r>
    </w:p>
  </w:endnote>
  <w:endnote w:type="continuationSeparator" w:id="0">
    <w:p w14:paraId="1D23D4A5" w14:textId="77777777" w:rsidR="000C5FAB" w:rsidRDefault="000C5FA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A5EC" w14:textId="77777777" w:rsidR="000C5FAB" w:rsidRDefault="000C5FAB" w:rsidP="00F24D98">
      <w:r>
        <w:separator/>
      </w:r>
    </w:p>
  </w:footnote>
  <w:footnote w:type="continuationSeparator" w:id="0">
    <w:p w14:paraId="681FD139" w14:textId="77777777" w:rsidR="000C5FAB" w:rsidRDefault="000C5FAB"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1908405101" name="Imagen 190840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1292629258" name="Imagen 1292629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748083651" name="Imagen 74808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9CCE7A2">
      <w:start w:val="1"/>
      <w:numFmt w:val="bullet"/>
      <w:lvlText w:val="o"/>
      <w:lvlJc w:val="left"/>
      <w:pPr>
        <w:ind w:left="720" w:hanging="360"/>
      </w:pPr>
      <w:rPr>
        <w:rFonts w:ascii="Courier New" w:hAnsi="Courier New"/>
        <w:b w:val="0"/>
        <w:bCs w:val="0"/>
      </w:rPr>
    </w:lvl>
    <w:lvl w:ilvl="1" w:tplc="C482361C">
      <w:start w:val="1"/>
      <w:numFmt w:val="bullet"/>
      <w:lvlText w:val="o"/>
      <w:lvlJc w:val="left"/>
      <w:pPr>
        <w:tabs>
          <w:tab w:val="num" w:pos="1440"/>
        </w:tabs>
        <w:ind w:left="1440" w:hanging="360"/>
      </w:pPr>
      <w:rPr>
        <w:rFonts w:ascii="Courier New" w:hAnsi="Courier New"/>
      </w:rPr>
    </w:lvl>
    <w:lvl w:ilvl="2" w:tplc="30D4870A">
      <w:start w:val="1"/>
      <w:numFmt w:val="bullet"/>
      <w:lvlText w:val=""/>
      <w:lvlJc w:val="left"/>
      <w:pPr>
        <w:tabs>
          <w:tab w:val="num" w:pos="2160"/>
        </w:tabs>
        <w:ind w:left="2160" w:hanging="360"/>
      </w:pPr>
      <w:rPr>
        <w:rFonts w:ascii="Wingdings" w:hAnsi="Wingdings"/>
      </w:rPr>
    </w:lvl>
    <w:lvl w:ilvl="3" w:tplc="EFC60938">
      <w:start w:val="1"/>
      <w:numFmt w:val="bullet"/>
      <w:lvlText w:val=""/>
      <w:lvlJc w:val="left"/>
      <w:pPr>
        <w:tabs>
          <w:tab w:val="num" w:pos="2880"/>
        </w:tabs>
        <w:ind w:left="2880" w:hanging="360"/>
      </w:pPr>
      <w:rPr>
        <w:rFonts w:ascii="Symbol" w:hAnsi="Symbol"/>
      </w:rPr>
    </w:lvl>
    <w:lvl w:ilvl="4" w:tplc="FC4CA368">
      <w:start w:val="1"/>
      <w:numFmt w:val="bullet"/>
      <w:lvlText w:val="o"/>
      <w:lvlJc w:val="left"/>
      <w:pPr>
        <w:tabs>
          <w:tab w:val="num" w:pos="3600"/>
        </w:tabs>
        <w:ind w:left="3600" w:hanging="360"/>
      </w:pPr>
      <w:rPr>
        <w:rFonts w:ascii="Courier New" w:hAnsi="Courier New"/>
      </w:rPr>
    </w:lvl>
    <w:lvl w:ilvl="5" w:tplc="5DC01D82">
      <w:start w:val="1"/>
      <w:numFmt w:val="bullet"/>
      <w:lvlText w:val=""/>
      <w:lvlJc w:val="left"/>
      <w:pPr>
        <w:tabs>
          <w:tab w:val="num" w:pos="4320"/>
        </w:tabs>
        <w:ind w:left="4320" w:hanging="360"/>
      </w:pPr>
      <w:rPr>
        <w:rFonts w:ascii="Wingdings" w:hAnsi="Wingdings"/>
      </w:rPr>
    </w:lvl>
    <w:lvl w:ilvl="6" w:tplc="65D29260">
      <w:start w:val="1"/>
      <w:numFmt w:val="bullet"/>
      <w:lvlText w:val=""/>
      <w:lvlJc w:val="left"/>
      <w:pPr>
        <w:tabs>
          <w:tab w:val="num" w:pos="5040"/>
        </w:tabs>
        <w:ind w:left="5040" w:hanging="360"/>
      </w:pPr>
      <w:rPr>
        <w:rFonts w:ascii="Symbol" w:hAnsi="Symbol"/>
      </w:rPr>
    </w:lvl>
    <w:lvl w:ilvl="7" w:tplc="D1007806">
      <w:start w:val="1"/>
      <w:numFmt w:val="bullet"/>
      <w:lvlText w:val="o"/>
      <w:lvlJc w:val="left"/>
      <w:pPr>
        <w:tabs>
          <w:tab w:val="num" w:pos="5760"/>
        </w:tabs>
        <w:ind w:left="5760" w:hanging="360"/>
      </w:pPr>
      <w:rPr>
        <w:rFonts w:ascii="Courier New" w:hAnsi="Courier New"/>
      </w:rPr>
    </w:lvl>
    <w:lvl w:ilvl="8" w:tplc="1CECFE5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67A9656">
      <w:start w:val="1"/>
      <w:numFmt w:val="bullet"/>
      <w:lvlText w:val="o"/>
      <w:lvlJc w:val="left"/>
      <w:pPr>
        <w:ind w:left="720" w:hanging="360"/>
      </w:pPr>
      <w:rPr>
        <w:rFonts w:ascii="Courier New" w:hAnsi="Courier New"/>
        <w:b w:val="0"/>
        <w:bCs w:val="0"/>
      </w:rPr>
    </w:lvl>
    <w:lvl w:ilvl="1" w:tplc="EDB00A62">
      <w:start w:val="1"/>
      <w:numFmt w:val="bullet"/>
      <w:lvlText w:val="o"/>
      <w:lvlJc w:val="left"/>
      <w:pPr>
        <w:tabs>
          <w:tab w:val="num" w:pos="1440"/>
        </w:tabs>
        <w:ind w:left="1440" w:hanging="360"/>
      </w:pPr>
      <w:rPr>
        <w:rFonts w:ascii="Courier New" w:hAnsi="Courier New"/>
      </w:rPr>
    </w:lvl>
    <w:lvl w:ilvl="2" w:tplc="A3265B08">
      <w:start w:val="1"/>
      <w:numFmt w:val="bullet"/>
      <w:lvlText w:val=""/>
      <w:lvlJc w:val="left"/>
      <w:pPr>
        <w:tabs>
          <w:tab w:val="num" w:pos="2160"/>
        </w:tabs>
        <w:ind w:left="2160" w:hanging="360"/>
      </w:pPr>
      <w:rPr>
        <w:rFonts w:ascii="Wingdings" w:hAnsi="Wingdings"/>
      </w:rPr>
    </w:lvl>
    <w:lvl w:ilvl="3" w:tplc="B858B37C">
      <w:start w:val="1"/>
      <w:numFmt w:val="bullet"/>
      <w:lvlText w:val=""/>
      <w:lvlJc w:val="left"/>
      <w:pPr>
        <w:tabs>
          <w:tab w:val="num" w:pos="2880"/>
        </w:tabs>
        <w:ind w:left="2880" w:hanging="360"/>
      </w:pPr>
      <w:rPr>
        <w:rFonts w:ascii="Symbol" w:hAnsi="Symbol"/>
      </w:rPr>
    </w:lvl>
    <w:lvl w:ilvl="4" w:tplc="2A602930">
      <w:start w:val="1"/>
      <w:numFmt w:val="bullet"/>
      <w:lvlText w:val="o"/>
      <w:lvlJc w:val="left"/>
      <w:pPr>
        <w:tabs>
          <w:tab w:val="num" w:pos="3600"/>
        </w:tabs>
        <w:ind w:left="3600" w:hanging="360"/>
      </w:pPr>
      <w:rPr>
        <w:rFonts w:ascii="Courier New" w:hAnsi="Courier New"/>
      </w:rPr>
    </w:lvl>
    <w:lvl w:ilvl="5" w:tplc="815871EE">
      <w:start w:val="1"/>
      <w:numFmt w:val="bullet"/>
      <w:lvlText w:val=""/>
      <w:lvlJc w:val="left"/>
      <w:pPr>
        <w:tabs>
          <w:tab w:val="num" w:pos="4320"/>
        </w:tabs>
        <w:ind w:left="4320" w:hanging="360"/>
      </w:pPr>
      <w:rPr>
        <w:rFonts w:ascii="Wingdings" w:hAnsi="Wingdings"/>
      </w:rPr>
    </w:lvl>
    <w:lvl w:ilvl="6" w:tplc="2B6C308C">
      <w:start w:val="1"/>
      <w:numFmt w:val="bullet"/>
      <w:lvlText w:val=""/>
      <w:lvlJc w:val="left"/>
      <w:pPr>
        <w:tabs>
          <w:tab w:val="num" w:pos="5040"/>
        </w:tabs>
        <w:ind w:left="5040" w:hanging="360"/>
      </w:pPr>
      <w:rPr>
        <w:rFonts w:ascii="Symbol" w:hAnsi="Symbol"/>
      </w:rPr>
    </w:lvl>
    <w:lvl w:ilvl="7" w:tplc="FC0ACA64">
      <w:start w:val="1"/>
      <w:numFmt w:val="bullet"/>
      <w:lvlText w:val="o"/>
      <w:lvlJc w:val="left"/>
      <w:pPr>
        <w:tabs>
          <w:tab w:val="num" w:pos="5760"/>
        </w:tabs>
        <w:ind w:left="5760" w:hanging="360"/>
      </w:pPr>
      <w:rPr>
        <w:rFonts w:ascii="Courier New" w:hAnsi="Courier New"/>
      </w:rPr>
    </w:lvl>
    <w:lvl w:ilvl="8" w:tplc="11E04578">
      <w:start w:val="1"/>
      <w:numFmt w:val="bullet"/>
      <w:lvlText w:val=""/>
      <w:lvlJc w:val="left"/>
      <w:pPr>
        <w:tabs>
          <w:tab w:val="num" w:pos="6480"/>
        </w:tabs>
        <w:ind w:left="6480" w:hanging="360"/>
      </w:pPr>
      <w:rPr>
        <w:rFonts w:ascii="Wingdings" w:hAnsi="Wingdings"/>
      </w:rPr>
    </w:lvl>
  </w:abstractNum>
  <w:abstractNum w:abstractNumId="2" w15:restartNumberingAfterBreak="0">
    <w:nsid w:val="33544A89"/>
    <w:multiLevelType w:val="hybridMultilevel"/>
    <w:tmpl w:val="7A4E5ECA"/>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825A52C6">
      <w:numFmt w:val="bullet"/>
      <w:lvlText w:val="-"/>
      <w:lvlJc w:val="left"/>
      <w:pPr>
        <w:ind w:left="4472" w:hanging="360"/>
      </w:pPr>
      <w:rPr>
        <w:rFonts w:ascii="Verdana" w:eastAsia="MS Mincho" w:hAnsi="Verdana" w:cs="Aria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A55217"/>
    <w:multiLevelType w:val="hybridMultilevel"/>
    <w:tmpl w:val="F738C35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758433B"/>
    <w:multiLevelType w:val="hybridMultilevel"/>
    <w:tmpl w:val="FC66762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29267344">
    <w:abstractNumId w:val="4"/>
  </w:num>
  <w:num w:numId="2" w16cid:durableId="543907402">
    <w:abstractNumId w:val="3"/>
  </w:num>
  <w:num w:numId="3" w16cid:durableId="629554644">
    <w:abstractNumId w:val="5"/>
  </w:num>
  <w:num w:numId="4" w16cid:durableId="747457017">
    <w:abstractNumId w:val="2"/>
  </w:num>
  <w:num w:numId="5" w16cid:durableId="1307511724">
    <w:abstractNumId w:val="6"/>
  </w:num>
  <w:num w:numId="6" w16cid:durableId="1416895806">
    <w:abstractNumId w:val="7"/>
  </w:num>
  <w:num w:numId="7" w16cid:durableId="1326860919">
    <w:abstractNumId w:val="0"/>
  </w:num>
  <w:num w:numId="8" w16cid:durableId="940340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82115"/>
    <w:rsid w:val="00087726"/>
    <w:rsid w:val="000A5386"/>
    <w:rsid w:val="000B3F91"/>
    <w:rsid w:val="000C09D6"/>
    <w:rsid w:val="000C5FAB"/>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00E1F"/>
    <w:rsid w:val="003059AB"/>
    <w:rsid w:val="00387E23"/>
    <w:rsid w:val="003930CA"/>
    <w:rsid w:val="00395651"/>
    <w:rsid w:val="003C3FC0"/>
    <w:rsid w:val="003C419D"/>
    <w:rsid w:val="003E0838"/>
    <w:rsid w:val="003F197B"/>
    <w:rsid w:val="00414F37"/>
    <w:rsid w:val="00416DE4"/>
    <w:rsid w:val="0042207B"/>
    <w:rsid w:val="00422E33"/>
    <w:rsid w:val="00422FAA"/>
    <w:rsid w:val="004237CD"/>
    <w:rsid w:val="0044379B"/>
    <w:rsid w:val="0045418F"/>
    <w:rsid w:val="00461294"/>
    <w:rsid w:val="00471963"/>
    <w:rsid w:val="00493386"/>
    <w:rsid w:val="004A7A65"/>
    <w:rsid w:val="004C6A8C"/>
    <w:rsid w:val="004D2A1B"/>
    <w:rsid w:val="004E3294"/>
    <w:rsid w:val="004E4143"/>
    <w:rsid w:val="00511304"/>
    <w:rsid w:val="00523432"/>
    <w:rsid w:val="0052344F"/>
    <w:rsid w:val="00523D3C"/>
    <w:rsid w:val="00572127"/>
    <w:rsid w:val="005740AC"/>
    <w:rsid w:val="00594F5C"/>
    <w:rsid w:val="005B00AE"/>
    <w:rsid w:val="005B169F"/>
    <w:rsid w:val="0065727B"/>
    <w:rsid w:val="006920B7"/>
    <w:rsid w:val="006A4D19"/>
    <w:rsid w:val="006C3818"/>
    <w:rsid w:val="006C44F0"/>
    <w:rsid w:val="006C7776"/>
    <w:rsid w:val="006D398C"/>
    <w:rsid w:val="006D4CB8"/>
    <w:rsid w:val="00707806"/>
    <w:rsid w:val="00744156"/>
    <w:rsid w:val="007E51AC"/>
    <w:rsid w:val="007F37A6"/>
    <w:rsid w:val="00802F0B"/>
    <w:rsid w:val="00816BB1"/>
    <w:rsid w:val="00834943"/>
    <w:rsid w:val="0083779A"/>
    <w:rsid w:val="00842005"/>
    <w:rsid w:val="0085450A"/>
    <w:rsid w:val="00877AE5"/>
    <w:rsid w:val="008B072F"/>
    <w:rsid w:val="008F09F1"/>
    <w:rsid w:val="008F3690"/>
    <w:rsid w:val="008F5893"/>
    <w:rsid w:val="0093532F"/>
    <w:rsid w:val="00987F40"/>
    <w:rsid w:val="009969D4"/>
    <w:rsid w:val="00A010E6"/>
    <w:rsid w:val="00A05352"/>
    <w:rsid w:val="00A133C9"/>
    <w:rsid w:val="00A6279B"/>
    <w:rsid w:val="00A72ECA"/>
    <w:rsid w:val="00A75B5C"/>
    <w:rsid w:val="00A92433"/>
    <w:rsid w:val="00AB5624"/>
    <w:rsid w:val="00AC0E74"/>
    <w:rsid w:val="00B04ACE"/>
    <w:rsid w:val="00B05B19"/>
    <w:rsid w:val="00B13DD6"/>
    <w:rsid w:val="00B32BCE"/>
    <w:rsid w:val="00B361FB"/>
    <w:rsid w:val="00B36FEE"/>
    <w:rsid w:val="00B45C21"/>
    <w:rsid w:val="00B6721E"/>
    <w:rsid w:val="00B97B28"/>
    <w:rsid w:val="00BC2889"/>
    <w:rsid w:val="00BC515C"/>
    <w:rsid w:val="00BE269E"/>
    <w:rsid w:val="00C216FC"/>
    <w:rsid w:val="00C53F0C"/>
    <w:rsid w:val="00CC6BAF"/>
    <w:rsid w:val="00CE4C0D"/>
    <w:rsid w:val="00CE5E82"/>
    <w:rsid w:val="00D26D15"/>
    <w:rsid w:val="00D313A5"/>
    <w:rsid w:val="00D34A40"/>
    <w:rsid w:val="00D55011"/>
    <w:rsid w:val="00D729F5"/>
    <w:rsid w:val="00D9116F"/>
    <w:rsid w:val="00DB7FA5"/>
    <w:rsid w:val="00DE0B5B"/>
    <w:rsid w:val="00DE1863"/>
    <w:rsid w:val="00E46580"/>
    <w:rsid w:val="00E926C4"/>
    <w:rsid w:val="00EA512D"/>
    <w:rsid w:val="00EB11AF"/>
    <w:rsid w:val="00ED0EAD"/>
    <w:rsid w:val="00ED5957"/>
    <w:rsid w:val="00ED7136"/>
    <w:rsid w:val="00F1127B"/>
    <w:rsid w:val="00F23D2E"/>
    <w:rsid w:val="00F24D98"/>
    <w:rsid w:val="00F54E4E"/>
    <w:rsid w:val="00F6785B"/>
    <w:rsid w:val="00F9569F"/>
    <w:rsid w:val="00F9750C"/>
    <w:rsid w:val="00FE2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5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aliases w:val="Puces Niveau 1,Paragraphe de liste1"/>
    <w:basedOn w:val="Normal"/>
    <w:link w:val="PrrafodelistaCar"/>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customStyle="1" w:styleId="PrrafodelistaCar">
    <w:name w:val="Párrafo de lista Car"/>
    <w:aliases w:val="Puces Niveau 1 Car,Paragraphe de liste1 Car"/>
    <w:basedOn w:val="Fuentedeprrafopredeter"/>
    <w:link w:val="Prrafodelista"/>
    <w:uiPriority w:val="34"/>
    <w:rsid w:val="006A4D19"/>
    <w:rPr>
      <w:rFonts w:ascii="Utopia" w:eastAsia="Times New Roman" w:hAnsi="Utopia"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ose.saura-vinssac@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942</Words>
  <Characters>5187</Characters>
  <Application>Microsoft Office Word</Application>
  <DocSecurity>0</DocSecurity>
  <Lines>43</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43</cp:revision>
  <dcterms:created xsi:type="dcterms:W3CDTF">2021-03-01T16:33:00Z</dcterms:created>
  <dcterms:modified xsi:type="dcterms:W3CDTF">2023-10-25T18:59:00Z</dcterms:modified>
</cp:coreProperties>
</file>