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C23C8D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C23C8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23C8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C23C8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C23C8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C23C8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C23C8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F4F4115" w:rsidR="006D398C" w:rsidRPr="00C23C8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23C8D">
        <w:rPr>
          <w:rFonts w:ascii="Arial" w:hAnsi="Arial" w:cs="Arial"/>
          <w:sz w:val="20"/>
          <w:szCs w:val="20"/>
          <w:lang w:val="pt-PT"/>
        </w:rPr>
        <w:t xml:space="preserve">   </w:t>
      </w:r>
      <w:r w:rsidR="00A6106B" w:rsidRPr="00C23C8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C23C8D">
        <w:rPr>
          <w:rFonts w:ascii="Arial" w:hAnsi="Arial" w:cs="Arial"/>
          <w:sz w:val="20"/>
          <w:szCs w:val="20"/>
          <w:lang w:val="pt-PT"/>
        </w:rPr>
        <w:t xml:space="preserve">, </w:t>
      </w:r>
      <w:r w:rsidR="006A4D19" w:rsidRPr="00C23C8D">
        <w:rPr>
          <w:rFonts w:ascii="Arial" w:hAnsi="Arial" w:cs="Arial"/>
          <w:sz w:val="20"/>
          <w:szCs w:val="20"/>
          <w:lang w:val="pt-PT"/>
        </w:rPr>
        <w:t>2</w:t>
      </w:r>
      <w:r w:rsidR="00987F40" w:rsidRPr="00C23C8D">
        <w:rPr>
          <w:rFonts w:ascii="Arial" w:hAnsi="Arial" w:cs="Arial"/>
          <w:sz w:val="20"/>
          <w:szCs w:val="20"/>
          <w:lang w:val="pt-PT"/>
        </w:rPr>
        <w:t>6</w:t>
      </w:r>
      <w:r w:rsidR="00BE269E" w:rsidRPr="00C23C8D">
        <w:rPr>
          <w:rFonts w:ascii="Arial" w:hAnsi="Arial" w:cs="Arial"/>
          <w:sz w:val="20"/>
          <w:szCs w:val="20"/>
          <w:lang w:val="pt-PT"/>
        </w:rPr>
        <w:t xml:space="preserve"> de </w:t>
      </w:r>
      <w:r w:rsidR="00C216FC" w:rsidRPr="00C23C8D">
        <w:rPr>
          <w:rFonts w:ascii="Arial" w:hAnsi="Arial" w:cs="Arial"/>
          <w:sz w:val="20"/>
          <w:szCs w:val="20"/>
          <w:lang w:val="pt-PT"/>
        </w:rPr>
        <w:t>o</w:t>
      </w:r>
      <w:r w:rsidR="00A6106B" w:rsidRPr="00C23C8D">
        <w:rPr>
          <w:rFonts w:ascii="Arial" w:hAnsi="Arial" w:cs="Arial"/>
          <w:sz w:val="20"/>
          <w:szCs w:val="20"/>
          <w:lang w:val="pt-PT"/>
        </w:rPr>
        <w:t>u</w:t>
      </w:r>
      <w:r w:rsidR="00C216FC" w:rsidRPr="00C23C8D">
        <w:rPr>
          <w:rFonts w:ascii="Arial" w:hAnsi="Arial" w:cs="Arial"/>
          <w:sz w:val="20"/>
          <w:szCs w:val="20"/>
          <w:lang w:val="pt-PT"/>
        </w:rPr>
        <w:t>tubr</w:t>
      </w:r>
      <w:r w:rsidR="00A6106B" w:rsidRPr="00C23C8D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C23C8D">
        <w:rPr>
          <w:rFonts w:ascii="Arial" w:hAnsi="Arial" w:cs="Arial"/>
          <w:sz w:val="20"/>
          <w:szCs w:val="20"/>
          <w:lang w:val="pt-PT"/>
        </w:rPr>
        <w:t>202</w:t>
      </w:r>
      <w:r w:rsidR="00842005" w:rsidRPr="00C23C8D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75083583" w14:textId="77777777" w:rsidR="006D398C" w:rsidRPr="00C23C8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362A30DC" w14:textId="77777777" w:rsidR="006A4D19" w:rsidRPr="00C23C8D" w:rsidRDefault="006A4D1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2D180A" w14:textId="6E3EBC61" w:rsidR="006A4D19" w:rsidRPr="00C23C8D" w:rsidRDefault="006A4D19" w:rsidP="00A6106B">
          <w:pPr>
            <w:ind w:right="-46"/>
            <w:jc w:val="center"/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</w:pPr>
          <w:r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Informa</w:t>
          </w:r>
          <w:r w:rsidR="00A6106B"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 xml:space="preserve">ção </w:t>
          </w:r>
          <w:r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financ</w:t>
          </w:r>
          <w:r w:rsidR="00A6106B"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ei</w:t>
          </w:r>
          <w:r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ra d</w:t>
          </w:r>
          <w:r w:rsidR="00A6106B"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 xml:space="preserve">o </w:t>
          </w:r>
          <w:r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 xml:space="preserve">grupo Michelin a 30 de </w:t>
          </w:r>
          <w:r w:rsidR="00C216FC"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setembr</w:t>
          </w:r>
          <w:r w:rsidR="00A6106B"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o</w:t>
          </w:r>
          <w:r w:rsidRPr="00C23C8D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 xml:space="preserve"> de 2023</w:t>
          </w:r>
        </w:p>
        <w:p w14:paraId="340009C1" w14:textId="77777777" w:rsidR="006A4D19" w:rsidRPr="00C23C8D" w:rsidRDefault="006A4D19" w:rsidP="00B04ACE">
          <w:pPr>
            <w:ind w:left="-142" w:right="-46"/>
            <w:rPr>
              <w:rFonts w:ascii="Verdana" w:eastAsia="Times New Roman" w:hAnsi="Verdana" w:cs="Times New Roman"/>
              <w:b/>
              <w:sz w:val="18"/>
              <w:szCs w:val="16"/>
              <w:highlight w:val="yellow"/>
              <w:lang w:val="pt-PT"/>
            </w:rPr>
          </w:pPr>
        </w:p>
        <w:p w14:paraId="3563C475" w14:textId="01C551B6" w:rsidR="006A4D19" w:rsidRPr="00C23C8D" w:rsidRDefault="006A4D19" w:rsidP="00B04ACE">
          <w:pPr>
            <w:ind w:right="-46"/>
            <w:contextualSpacing/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bookmarkStart w:id="0" w:name="_Hlk94281294"/>
        </w:p>
        <w:p w14:paraId="00830DF4" w14:textId="25B0B6F7" w:rsidR="006A4D19" w:rsidRPr="00C23C8D" w:rsidRDefault="00C23C8D" w:rsidP="00B04ACE">
          <w:pPr>
            <w:ind w:right="-46"/>
            <w:contextualSpacing/>
            <w:jc w:val="center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V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en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d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as nos prime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i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ros n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ve meses de 2023 aume</w:t>
          </w:r>
          <w:r w:rsidR="00BC515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n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tar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am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2%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,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para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21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200 mil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hõ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es 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br/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de euros, apesar dos ba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ix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os vol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u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mes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, e do efeito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desfavor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ável d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 mercado cambial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, gra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ç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as 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à melhoria do </w:t>
          </w:r>
          <w:r w:rsidR="00BC515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efe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i</w:t>
          </w:r>
          <w:r w:rsidR="00BC515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to de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</w:t>
          </w:r>
          <w:proofErr w:type="spellStart"/>
          <w:r w:rsidR="00C216FC" w:rsidRPr="00C23C8D"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PT"/>
            </w:rPr>
            <w:t>mix</w:t>
          </w:r>
          <w:proofErr w:type="spellEnd"/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, 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às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atividades n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ã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 relacionadas co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m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os 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p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neu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s </w:t>
          </w:r>
          <w:r>
            <w:rPr>
              <w:rFonts w:ascii="Arial" w:hAnsi="Arial" w:cs="Arial"/>
              <w:b/>
              <w:bCs/>
              <w:sz w:val="22"/>
              <w:szCs w:val="22"/>
              <w:lang w:val="pt-PT"/>
            </w:rPr>
            <w:br/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e à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lider</w:t>
          </w:r>
          <w:r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ança da 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marca</w:t>
          </w:r>
          <w:r w:rsidR="00C216FC" w:rsidRPr="00C23C8D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br/>
          </w:r>
        </w:p>
        <w:p w14:paraId="3EBAFF24" w14:textId="77777777" w:rsidR="006A4D19" w:rsidRPr="00C23C8D" w:rsidRDefault="006A4D19" w:rsidP="00B04ACE">
          <w:pPr>
            <w:spacing w:after="60"/>
            <w:ind w:left="-426" w:right="-46"/>
            <w:rPr>
              <w:rFonts w:ascii="Verdana" w:hAnsi="Verdana"/>
              <w:sz w:val="18"/>
              <w:szCs w:val="28"/>
              <w:lang w:val="pt-PT"/>
            </w:rPr>
          </w:pPr>
        </w:p>
        <w:p w14:paraId="5DBD5864" w14:textId="0CA9FD82" w:rsidR="00DE1863" w:rsidRPr="00C23C8D" w:rsidRDefault="00DE1863" w:rsidP="00DE1863">
          <w:pPr>
            <w:spacing w:after="120" w:line="276" w:lineRule="auto"/>
            <w:jc w:val="both"/>
            <w:rPr>
              <w:sz w:val="20"/>
              <w:szCs w:val="20"/>
              <w:lang w:val="pt-PT"/>
            </w:rPr>
          </w:pP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Durante 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 n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ve prime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ros meses de 2023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os mercados de 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s na 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Europa 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 na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mérica 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do </w:t>
          </w:r>
          <w:r w:rsidR="00C23C8D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Norte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foram 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carateriza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dos 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por u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ma redução 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geral das </w:t>
          </w:r>
          <w:r w:rsid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existências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.</w:t>
          </w:r>
        </w:p>
        <w:p w14:paraId="43F4D49C" w14:textId="344C89F2" w:rsidR="00DE1863" w:rsidRPr="00C23C8D" w:rsidRDefault="007617DA" w:rsidP="00DE1863">
          <w:pPr>
            <w:numPr>
              <w:ilvl w:val="0"/>
              <w:numId w:val="7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s mercados de Turismo-C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omerciais L</w:t>
          </w:r>
          <w:r w:rsidR="00C31D9E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geiros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mant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êm-se estáveis relativamente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 2022,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sólida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procura por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ament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origem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(OE)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maioria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regiões,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que compens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ou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procura d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mercados de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substituição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(RT) lige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ramente negativa,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travada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la redu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as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existências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Europa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nas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América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A procura por p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jantes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18 p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ole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gadas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superiores cre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ce de forma s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ustentada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níveis de existências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est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a regressar à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normalidad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maioria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das regi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õ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es, co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exce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ção d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in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erno n</w:t>
          </w:r>
          <w:r w:rsidR="006F514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Europa.</w:t>
          </w:r>
        </w:p>
        <w:p w14:paraId="228D4E2C" w14:textId="547D6DF9" w:rsidR="00DE1863" w:rsidRPr="00C23C8D" w:rsidRDefault="006F5140" w:rsidP="00DE1863">
          <w:pPr>
            <w:numPr>
              <w:ilvl w:val="0"/>
              <w:numId w:val="7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mercados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Cami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–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exclu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ndo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China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–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caíram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5%, 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às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significativas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çõ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existências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na distribu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ição e n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as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otas B2B.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procura por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OE mant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eve-se em alta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Europa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 na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mérica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do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Norte.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mercado de RT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espera-se que a redução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as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existências termine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antes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final do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o.</w:t>
          </w:r>
        </w:p>
        <w:p w14:paraId="21FCBE3C" w14:textId="70275414" w:rsidR="00DE1863" w:rsidRPr="00C23C8D" w:rsidRDefault="006F5140" w:rsidP="00DE1863">
          <w:pPr>
            <w:numPr>
              <w:ilvl w:val="0"/>
              <w:numId w:val="7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mercados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os pn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tividades de Especialidades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mantiveram-se em alta n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os segmentos de OE para Miner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ação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, Av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ião 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Agricultura, 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>m tendência de queda n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segmentos de 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onstru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>ção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>Substituição 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grícolas 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>e Ve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ículos de d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>ua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s r</w:t>
          </w:r>
          <w:r w:rsidR="004708E5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das.</w:t>
          </w:r>
        </w:p>
        <w:p w14:paraId="781ACBE0" w14:textId="67267A57" w:rsidR="00DE1863" w:rsidRPr="00C23C8D" w:rsidRDefault="004708E5" w:rsidP="00DE1863">
          <w:pPr>
            <w:numPr>
              <w:ilvl w:val="0"/>
              <w:numId w:val="7"/>
            </w:numPr>
            <w:pBdr>
              <w:left w:val="none" w:sz="0" w:space="3" w:color="auto"/>
            </w:pBdr>
            <w:spacing w:after="120"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s mercados de atividades 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ã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o relacionadas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cre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am na maioria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dos sectores (servi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fr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otas,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mineração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energia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)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mantiveram-se estáveis no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sector industrial.</w:t>
          </w:r>
        </w:p>
        <w:p w14:paraId="370C468A" w14:textId="53DF9931" w:rsidR="00DE1863" w:rsidRPr="00C23C8D" w:rsidRDefault="004708E5" w:rsidP="00DE1863">
          <w:pPr>
            <w:spacing w:after="120" w:line="276" w:lineRule="auto"/>
            <w:jc w:val="both"/>
            <w:rPr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V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d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as 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 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ve prime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ros meses aumentar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am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2,0%,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para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21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200 mil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hõ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es de euros, impuls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ion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adas p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ela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me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lh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or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 d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efe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to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proofErr w:type="spellStart"/>
          <w:r w:rsidR="00DE1863" w:rsidRPr="00C23C8D">
            <w:rPr>
              <w:rFonts w:ascii="Arial" w:eastAsia="Arial" w:hAnsi="Arial" w:cs="Arial"/>
              <w:b/>
              <w:bCs/>
              <w:i/>
              <w:iCs/>
              <w:sz w:val="20"/>
              <w:szCs w:val="20"/>
              <w:lang w:val="pt-PT"/>
            </w:rPr>
            <w:t>mix</w:t>
          </w:r>
          <w:proofErr w:type="spellEnd"/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elo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neg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ó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cio das atividades 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ã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 relacionadas co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. Durante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terce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iro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trimestre</w:t>
          </w:r>
          <w:r w:rsidR="00130CCB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a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 ven</w:t>
          </w:r>
          <w:r w:rsidR="00130CCB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d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as permanece</w:t>
          </w:r>
          <w:r w:rsidR="00130CCB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m estáveis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, exclu</w:t>
          </w:r>
          <w:r w:rsidR="00130CCB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ndo </w:t>
          </w:r>
          <w:r w:rsidR="00130CCB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impacto d</w:t>
          </w:r>
          <w:r w:rsidR="00130CCB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as taxas 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de c</w:t>
          </w:r>
          <w:r w:rsidR="00130CCB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â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mbio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6CFAE0D7" w14:textId="36C1FC1F" w:rsidR="00DE1863" w:rsidRPr="00C23C8D" w:rsidRDefault="00130CCB" w:rsidP="00DE1863">
          <w:pPr>
            <w:numPr>
              <w:ilvl w:val="0"/>
              <w:numId w:val="8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ol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ven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caíram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3,6%, refle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tindo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 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existências no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mercado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 prioridad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dada pel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Grupo aos segmentos de 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 valor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acrescenta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do.</w:t>
          </w:r>
        </w:p>
        <w:p w14:paraId="6F908799" w14:textId="2E924BEA" w:rsidR="00DE1863" w:rsidRPr="00C23C8D" w:rsidRDefault="00DE1863" w:rsidP="00DE1863">
          <w:pPr>
            <w:numPr>
              <w:ilvl w:val="0"/>
              <w:numId w:val="8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Efe</w:t>
          </w:r>
          <w:r w:rsidR="00130CCB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 </w:t>
          </w:r>
          <w:proofErr w:type="spellStart"/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mix</w:t>
          </w:r>
          <w:proofErr w:type="spellEnd"/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-pre</w:t>
          </w:r>
          <w:r w:rsidR="00130CCB"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de </w:t>
          </w:r>
          <w:r w:rsidR="00130CCB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130CCB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6,2%, refle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tindo 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recon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he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cimento d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valor das solu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çõ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es Michelin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, e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impacto das cláusulas de indexa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pre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os a partir de 2022.</w:t>
          </w:r>
        </w:p>
        <w:p w14:paraId="16AEDD37" w14:textId="4BDE4DED" w:rsidR="00DE1863" w:rsidRPr="00C23C8D" w:rsidRDefault="00DE1863" w:rsidP="00DE1863">
          <w:pPr>
            <w:numPr>
              <w:ilvl w:val="0"/>
              <w:numId w:val="8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Efe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to d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mix</w:t>
          </w:r>
          <w:proofErr w:type="spellEnd"/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1%, refle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tindo 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cre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cimento n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segmento dos 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Turismo para 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jantes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18 p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ole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gadas 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superiores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combina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geográfica 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favorável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parcialmente neutralizado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por u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efe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 </w:t>
          </w:r>
          <w:proofErr w:type="spellStart"/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mix</w:t>
          </w:r>
          <w:proofErr w:type="spellEnd"/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desfavor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 xml:space="preserve">ável 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OE/RT e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todos os segmentos.</w:t>
          </w:r>
        </w:p>
        <w:p w14:paraId="4D69385C" w14:textId="5177DB26" w:rsidR="00DE1863" w:rsidRPr="00C23C8D" w:rsidRDefault="00CB77E5" w:rsidP="00DE1863">
          <w:pPr>
            <w:numPr>
              <w:ilvl w:val="0"/>
              <w:numId w:val="8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de produtos distintos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aumentar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am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13% a 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axas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â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mbio constantes, contribu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ndo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cre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cimento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resultado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líquido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consolidado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Grupo.</w:t>
          </w:r>
        </w:p>
        <w:p w14:paraId="24333ECD" w14:textId="6112EF0A" w:rsidR="00DE1863" w:rsidRPr="00C23C8D" w:rsidRDefault="00CB77E5" w:rsidP="003059AB">
          <w:pPr>
            <w:numPr>
              <w:ilvl w:val="0"/>
              <w:numId w:val="8"/>
            </w:numPr>
            <w:pBdr>
              <w:left w:val="none" w:sz="0" w:space="3" w:color="auto"/>
            </w:pBdr>
            <w:spacing w:after="120"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mpacto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desfavorável das taxas de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â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mbio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oi de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2,6%, inclu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ndo -5,5 %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terce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iro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trimestre.</w:t>
          </w:r>
        </w:p>
        <w:p w14:paraId="5CFD0235" w14:textId="77777777" w:rsidR="00DE1863" w:rsidRPr="00C23C8D" w:rsidRDefault="00DE1863" w:rsidP="00DE1863">
          <w:pPr>
            <w:spacing w:after="120"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14A8CE2" w14:textId="66A9FB96" w:rsidR="00DE1863" w:rsidRPr="00C23C8D" w:rsidRDefault="00CB77E5" w:rsidP="00DE1863">
          <w:pPr>
            <w:spacing w:after="120" w:line="276" w:lineRule="auto"/>
            <w:jc w:val="both"/>
            <w:rPr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re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cimento das solu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çõ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es de comp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stos poliméricos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aceler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ou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 aquisi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da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FCG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finais de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setembr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contribuirá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as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ven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as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Grupo a partir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 q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uarto trimestre.</w:t>
          </w:r>
        </w:p>
        <w:p w14:paraId="540BADF1" w14:textId="5F2FEFFC" w:rsidR="00DE1863" w:rsidRPr="00C23C8D" w:rsidRDefault="00DE1863" w:rsidP="00DE1863">
          <w:pPr>
            <w:spacing w:after="120" w:line="276" w:lineRule="auto"/>
            <w:jc w:val="both"/>
            <w:rPr>
              <w:sz w:val="20"/>
              <w:szCs w:val="20"/>
              <w:lang w:val="pt-PT"/>
            </w:rPr>
          </w:pP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lastRenderedPageBreak/>
            <w:t>Florent Menegaux, presidente d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Michelin, declar</w:t>
          </w:r>
          <w:r w:rsidR="00CB77E5">
            <w:rPr>
              <w:rFonts w:ascii="Arial" w:eastAsia="Arial" w:hAnsi="Arial" w:cs="Arial"/>
              <w:sz w:val="20"/>
              <w:szCs w:val="20"/>
              <w:lang w:val="pt-PT"/>
            </w:rPr>
            <w:t>ou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: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Grupo regist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ou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ven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as sólidas 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num ambiente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de mercado comple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x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o. 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Continuamos a monitorizar de perto as nossas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opera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ções, e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adaptamo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-no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em permanência às alterações do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mercado. Esta agilidad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 e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esta antecipação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constantes dem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onstram, uma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vez m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ais,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resistência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d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Grupo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, e a nossa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determina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para levar a cabo co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m ê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xito </w:t>
          </w:r>
          <w:r w:rsidR="00CB77E5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nossa estratégia </w:t>
          </w:r>
          <w:r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‘Michelin in Motion’”</w:t>
          </w:r>
          <w:r w:rsidRPr="00C23C8D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5F1CC97F" w14:textId="384F2A91" w:rsidR="00DE1863" w:rsidRPr="00C23C8D" w:rsidRDefault="00DE1863" w:rsidP="00DE1863">
          <w:pPr>
            <w:spacing w:after="120" w:line="276" w:lineRule="auto"/>
            <w:jc w:val="both"/>
            <w:rPr>
              <w:sz w:val="20"/>
              <w:szCs w:val="20"/>
              <w:lang w:val="pt-PT"/>
            </w:rPr>
          </w:pP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Previs</w:t>
          </w:r>
          <w:r w:rsidR="00CB77E5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ão 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anual revis</w:t>
          </w:r>
          <w:r w:rsidR="00CB77E5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ta em alt</w:t>
          </w:r>
          <w:r w:rsidRPr="00C23C8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</w:t>
          </w:r>
        </w:p>
        <w:p w14:paraId="6E6AE9E5" w14:textId="66E833BC" w:rsidR="00DE1863" w:rsidRPr="00C23C8D" w:rsidRDefault="00CB77E5" w:rsidP="00DE1863">
          <w:pPr>
            <w:spacing w:after="120" w:line="276" w:lineRule="auto"/>
            <w:jc w:val="both"/>
            <w:rPr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s previs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õ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Grupo para 2023 confirma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m-se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resultado operacional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taxas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â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mbio constante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(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cima de 3400 mil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hõ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es de euros)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são revistas em alta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E1863"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cash </w:t>
          </w:r>
          <w:proofErr w:type="spellStart"/>
          <w:r w:rsidR="00DE1863" w:rsidRPr="00C23C8D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flow</w:t>
          </w:r>
          <w:proofErr w:type="spellEnd"/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li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re estrutural</w:t>
          </w:r>
          <w:r w:rsidR="00DE1863" w:rsidRPr="00C23C8D">
            <w:rPr>
              <w:rFonts w:ascii="Arial" w:eastAsia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, que se cifra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mais 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de 2300 mil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hõ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es de euros (frente aos 2000 mil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hõ</w:t>
          </w:r>
          <w:r w:rsidR="00DE1863" w:rsidRPr="00C23C8D">
            <w:rPr>
              <w:rFonts w:ascii="Arial" w:eastAsia="Arial" w:hAnsi="Arial" w:cs="Arial"/>
              <w:sz w:val="20"/>
              <w:szCs w:val="20"/>
              <w:lang w:val="pt-PT"/>
            </w:rPr>
            <w:t>es de euros anteriores).</w:t>
          </w:r>
        </w:p>
        <w:p w14:paraId="169BF174" w14:textId="77777777" w:rsidR="00DE1863" w:rsidRPr="00C23C8D" w:rsidRDefault="00DE1863" w:rsidP="00DE1863">
          <w:pPr>
            <w:spacing w:after="60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78A9AF8" w14:textId="1A51CCB0" w:rsidR="00DE1863" w:rsidRPr="00C23C8D" w:rsidRDefault="00DE1863" w:rsidP="00DE1863">
          <w:pPr>
            <w:jc w:val="both"/>
            <w:rPr>
              <w:sz w:val="22"/>
              <w:szCs w:val="22"/>
              <w:lang w:val="pt-PT"/>
            </w:rPr>
          </w:pPr>
          <w:r w:rsidRPr="00C23C8D"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  <w:t>Evolu</w:t>
          </w:r>
          <w:r w:rsidR="00CB77E5"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  <w:t>ção d</w:t>
          </w:r>
          <w:r w:rsidRPr="00C23C8D"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  <w:t>as ven</w:t>
          </w:r>
          <w:r w:rsidR="00CB77E5"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  <w:t>d</w:t>
          </w:r>
          <w:r w:rsidRPr="00C23C8D"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  <w:t>as a 30 de setembr</w:t>
          </w:r>
          <w:r w:rsidR="00CB77E5"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  <w:t>o</w:t>
          </w:r>
          <w:r w:rsidRPr="00C23C8D"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  <w:t xml:space="preserve"> de 2023</w:t>
          </w:r>
        </w:p>
        <w:p w14:paraId="1B682644" w14:textId="77777777" w:rsidR="00DE1863" w:rsidRPr="00C23C8D" w:rsidRDefault="00DE1863" w:rsidP="00DE1863">
          <w:pPr>
            <w:ind w:firstLine="284"/>
            <w:jc w:val="both"/>
            <w:rPr>
              <w:rFonts w:ascii="Arial" w:eastAsia="Arial" w:hAnsi="Arial" w:cs="Arial"/>
              <w:sz w:val="22"/>
              <w:szCs w:val="22"/>
              <w:lang w:val="pt-PT"/>
            </w:rPr>
          </w:pPr>
        </w:p>
        <w:p w14:paraId="0590B016" w14:textId="77777777" w:rsidR="00DE1863" w:rsidRPr="00C23C8D" w:rsidRDefault="00DE1863" w:rsidP="00DE1863">
          <w:pPr>
            <w:jc w:val="both"/>
            <w:rPr>
              <w:rFonts w:ascii="Arial" w:eastAsia="Arial" w:hAnsi="Arial" w:cs="Arial"/>
              <w:sz w:val="22"/>
              <w:szCs w:val="22"/>
              <w:lang w:val="pt-PT"/>
            </w:rPr>
          </w:pPr>
        </w:p>
        <w:tbl>
          <w:tblPr>
            <w:tblpPr w:leftFromText="141" w:rightFromText="141" w:vertAnchor="text" w:tblpY="1"/>
            <w:tblOverlap w:val="never"/>
            <w:tblW w:w="903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64"/>
            <w:gridCol w:w="1673"/>
            <w:gridCol w:w="1701"/>
            <w:gridCol w:w="1701"/>
          </w:tblGrid>
          <w:tr w:rsidR="00DE1863" w:rsidRPr="00C23C8D" w14:paraId="35141355" w14:textId="77777777" w:rsidTr="0025023A">
            <w:trPr>
              <w:trHeight w:val="699"/>
            </w:trPr>
            <w:tc>
              <w:tcPr>
                <w:tcW w:w="3964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ABFE402" w14:textId="78F9A5BD" w:rsidR="00DE1863" w:rsidRPr="00C23C8D" w:rsidRDefault="00DE1863" w:rsidP="0025023A">
                <w:pPr>
                  <w:jc w:val="center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Ven</w:t>
                </w:r>
                <w:r w:rsidR="00CB77E5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d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as</w:t>
                </w:r>
                <w:r w:rsidRPr="00C23C8D">
                  <w:rPr>
                    <w:rFonts w:ascii="Arial" w:eastAsia="Arial" w:hAnsi="Arial" w:cs="Arial"/>
                    <w:color w:val="000000"/>
                    <w:sz w:val="20"/>
                    <w:szCs w:val="20"/>
                    <w:lang w:val="pt-PT"/>
                  </w:rPr>
                  <w:t xml:space="preserve"> </w:t>
                </w:r>
                <w:r w:rsidRPr="00C23C8D">
                  <w:rPr>
                    <w:rFonts w:ascii="Arial" w:eastAsia="Arial" w:hAnsi="Arial" w:cs="Arial"/>
                    <w:color w:val="000000"/>
                    <w:sz w:val="20"/>
                    <w:szCs w:val="20"/>
                    <w:lang w:val="pt-PT"/>
                  </w:rPr>
                  <w:br/>
                </w:r>
                <w:r w:rsidRPr="00C23C8D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pt-PT"/>
                  </w:rPr>
                  <w:t>(e</w:t>
                </w:r>
                <w:r w:rsidR="00CB77E5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pt-PT"/>
                  </w:rPr>
                  <w:t>m</w:t>
                </w:r>
                <w:r w:rsidRPr="00C23C8D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pt-PT"/>
                  </w:rPr>
                  <w:t xml:space="preserve"> mil</w:t>
                </w:r>
                <w:r w:rsidR="00CB77E5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pt-PT"/>
                  </w:rPr>
                  <w:t>hõ</w:t>
                </w:r>
                <w:r w:rsidRPr="00C23C8D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pt-PT"/>
                  </w:rPr>
                  <w:t>es de €)</w:t>
                </w:r>
              </w:p>
            </w:tc>
            <w:tc>
              <w:tcPr>
                <w:tcW w:w="167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E9AD40D" w14:textId="20C27E2D" w:rsidR="00DE1863" w:rsidRPr="00C23C8D" w:rsidRDefault="00DE1863" w:rsidP="0025023A">
                <w:pPr>
                  <w:jc w:val="center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N</w:t>
                </w:r>
                <w:r w:rsidR="00CB77E5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o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ve meses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br/>
                  <w:t>2023</w:t>
                </w:r>
              </w:p>
              <w:p w14:paraId="24C5E0D3" w14:textId="77777777" w:rsidR="00DE1863" w:rsidRPr="00C23C8D" w:rsidRDefault="00DE1863" w:rsidP="0025023A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</w:pPr>
              </w:p>
            </w:tc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64EB9EB" w14:textId="3D8C27A2" w:rsidR="00DE1863" w:rsidRPr="00C23C8D" w:rsidRDefault="00DE1863" w:rsidP="0025023A">
                <w:pPr>
                  <w:jc w:val="center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N</w:t>
                </w:r>
                <w:r w:rsidR="00C31D9E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o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ve meses 2022</w:t>
                </w:r>
              </w:p>
            </w:tc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3F3F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53F6036" w14:textId="412B6922" w:rsidR="00DE1863" w:rsidRPr="00C23C8D" w:rsidRDefault="00DE1863" w:rsidP="0025023A">
                <w:pPr>
                  <w:jc w:val="center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% Varia</w:t>
                </w:r>
                <w:r w:rsidR="00C31D9E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ção</w:t>
                </w:r>
              </w:p>
              <w:p w14:paraId="0B5ACA6B" w14:textId="128A1EE4" w:rsidR="00DE1863" w:rsidRPr="00C23C8D" w:rsidRDefault="00DE1863" w:rsidP="0025023A">
                <w:pPr>
                  <w:jc w:val="center"/>
                  <w:rPr>
                    <w:color w:val="000000"/>
                    <w:sz w:val="13"/>
                    <w:szCs w:val="13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>(</w:t>
                </w:r>
                <w:r w:rsidR="00C31D9E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>às</w:t>
                </w:r>
                <w:r w:rsidRPr="00C23C8D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 xml:space="preserve"> </w:t>
                </w:r>
                <w:r w:rsidR="00C31D9E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 xml:space="preserve">taxas </w:t>
                </w:r>
                <w:r w:rsidRPr="00C23C8D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>de c</w:t>
                </w:r>
                <w:r w:rsidR="00C31D9E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>â</w:t>
                </w:r>
                <w:r w:rsidRPr="00C23C8D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>mbio atua</w:t>
                </w:r>
                <w:r w:rsidR="00C31D9E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>i</w:t>
                </w:r>
                <w:r w:rsidRPr="00C23C8D">
                  <w:rPr>
                    <w:rFonts w:ascii="Arial" w:eastAsia="Arial" w:hAnsi="Arial" w:cs="Arial"/>
                    <w:color w:val="000000"/>
                    <w:sz w:val="13"/>
                    <w:szCs w:val="13"/>
                    <w:lang w:val="pt-PT"/>
                  </w:rPr>
                  <w:t>s)</w:t>
                </w:r>
              </w:p>
            </w:tc>
          </w:tr>
          <w:tr w:rsidR="00DE1863" w:rsidRPr="00C23C8D" w14:paraId="6E0DDE05" w14:textId="77777777" w:rsidTr="0025023A">
            <w:trPr>
              <w:trHeight w:val="332"/>
            </w:trPr>
            <w:tc>
              <w:tcPr>
                <w:tcW w:w="396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E368103" w14:textId="413AE811" w:rsidR="00DE1863" w:rsidRPr="00C23C8D" w:rsidRDefault="003059AB" w:rsidP="0025023A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turismo 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e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 distribu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ição 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a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s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sociada</w:t>
                </w: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C0047D3" w14:textId="5F3996F9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10</w:t>
                </w:r>
                <w:r w:rsidR="00C31D9E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 xml:space="preserve"> 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611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1D04D88" w14:textId="4E2ECB22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10</w:t>
                </w:r>
                <w:r w:rsidR="00C31D9E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 xml:space="preserve"> 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238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F3B3932" w14:textId="7433B622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color w:val="000000"/>
                    <w:sz w:val="20"/>
                    <w:szCs w:val="20"/>
                    <w:lang w:val="pt-PT"/>
                  </w:rPr>
                  <w:t>+3,6%</w:t>
                </w:r>
              </w:p>
            </w:tc>
          </w:tr>
          <w:tr w:rsidR="00DE1863" w:rsidRPr="00C23C8D" w14:paraId="5A6F2CCB" w14:textId="77777777" w:rsidTr="0025023A">
            <w:trPr>
              <w:trHeight w:val="281"/>
            </w:trPr>
            <w:tc>
              <w:tcPr>
                <w:tcW w:w="396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50B6220" w14:textId="68DA1458" w:rsidR="00DE1863" w:rsidRPr="00C23C8D" w:rsidRDefault="003059AB" w:rsidP="0025023A">
                <w:pPr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cami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ão e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distribu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ção</w:t>
                </w:r>
                <w:proofErr w:type="spellEnd"/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 </w:t>
                </w:r>
                <w:r w:rsidR="00DE1863"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a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s</w:t>
                </w:r>
                <w:r w:rsidR="00DE1863"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sociada</w:t>
                </w: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0C0264A" w14:textId="3F61A7D9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5173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689B55C" w14:textId="034EBF7A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5403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FF410C" w14:textId="7EDF2DEF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color w:val="000000"/>
                    <w:sz w:val="20"/>
                    <w:szCs w:val="20"/>
                    <w:lang w:val="pt-PT"/>
                  </w:rPr>
                  <w:t>-4,3%</w:t>
                </w:r>
              </w:p>
            </w:tc>
          </w:tr>
          <w:tr w:rsidR="00DE1863" w:rsidRPr="00C23C8D" w14:paraId="387D4E20" w14:textId="77777777" w:rsidTr="0025023A">
            <w:trPr>
              <w:trHeight w:val="423"/>
            </w:trPr>
            <w:tc>
              <w:tcPr>
                <w:tcW w:w="396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61653DD" w14:textId="6D08A339" w:rsidR="00DE1863" w:rsidRPr="00C23C8D" w:rsidRDefault="00DE1863" w:rsidP="0025023A">
                <w:pPr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atividades de especialidades 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br/>
                  <w:t>e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 distribu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ição 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as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s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ociada</w:t>
                </w: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19C499C" w14:textId="2070FE0F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5368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3C0B71E" w14:textId="0A5F4109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5091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33DE4BF" w14:textId="52F22621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color w:val="000000"/>
                    <w:sz w:val="20"/>
                    <w:szCs w:val="20"/>
                    <w:lang w:val="pt-PT"/>
                  </w:rPr>
                  <w:t>+5,4%</w:t>
                </w:r>
              </w:p>
            </w:tc>
          </w:tr>
          <w:tr w:rsidR="00DE1863" w:rsidRPr="00C23C8D" w14:paraId="4A4A2E94" w14:textId="77777777" w:rsidTr="0025023A">
            <w:trPr>
              <w:trHeight w:val="362"/>
            </w:trPr>
            <w:tc>
              <w:tcPr>
                <w:tcW w:w="3964" w:type="dxa"/>
                <w:tcBorders>
                  <w:top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A2AFA31" w14:textId="65B6CB5A" w:rsidR="00DE1863" w:rsidRPr="00C23C8D" w:rsidRDefault="00DE1863" w:rsidP="0025023A">
                <w:pPr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total </w:t>
                </w:r>
                <w:r w:rsidR="00C31D9E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 xml:space="preserve">do </w:t>
                </w:r>
                <w:r w:rsidRPr="00C23C8D">
                  <w:rPr>
                    <w:rFonts w:ascii="Arial" w:eastAsia="Arial" w:hAnsi="Arial" w:cs="Arial"/>
                    <w:smallCaps/>
                    <w:color w:val="000000"/>
                    <w:sz w:val="20"/>
                    <w:szCs w:val="20"/>
                    <w:lang w:val="pt-PT"/>
                  </w:rPr>
                  <w:t>grupo</w:t>
                </w: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DCCF81A" w14:textId="25D7D6EF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21</w:t>
                </w:r>
                <w:r w:rsidR="00C31D9E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 xml:space="preserve"> 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152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B56D02A" w14:textId="6D37A26E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20</w:t>
                </w:r>
                <w:r w:rsidR="00C31D9E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 xml:space="preserve"> </w:t>
                </w: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732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C7CC97B" w14:textId="2EADA704" w:rsidR="00DE1863" w:rsidRPr="00C23C8D" w:rsidRDefault="00DE1863" w:rsidP="0025023A">
                <w:pPr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  <w:r w:rsidRPr="00C23C8D"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  <w:lang w:val="pt-PT"/>
                  </w:rPr>
                  <w:t>+2,0%</w:t>
                </w:r>
              </w:p>
            </w:tc>
          </w:tr>
        </w:tbl>
        <w:p w14:paraId="1AE9B4C4" w14:textId="5F79E2EE" w:rsidR="00DE1863" w:rsidRPr="00C23C8D" w:rsidRDefault="00DE1863" w:rsidP="00DE1863">
          <w:pPr>
            <w:rPr>
              <w:sz w:val="16"/>
              <w:szCs w:val="16"/>
              <w:lang w:val="pt-PT"/>
            </w:rPr>
          </w:pPr>
          <w:r w:rsidRPr="00C23C8D">
            <w:rPr>
              <w:rFonts w:ascii="Arial" w:eastAsia="Arial" w:hAnsi="Arial" w:cs="Arial"/>
              <w:i/>
              <w:iCs/>
              <w:sz w:val="14"/>
              <w:szCs w:val="14"/>
              <w:vertAlign w:val="superscript"/>
              <w:lang w:val="pt-PT"/>
            </w:rPr>
            <w:t>1</w:t>
          </w:r>
          <w:r w:rsidRPr="00C23C8D">
            <w:rPr>
              <w:rFonts w:ascii="Arial" w:eastAsia="Arial" w:hAnsi="Arial" w:cs="Arial"/>
              <w:i/>
              <w:iCs/>
              <w:sz w:val="14"/>
              <w:szCs w:val="14"/>
              <w:lang w:val="pt-PT"/>
            </w:rPr>
            <w:t xml:space="preserve"> 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Flu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x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o de ca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ix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a li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v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re estrutural: flu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x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o de ca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ix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a li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v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re antes de aquisi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es, ajustado p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 xml:space="preserve">elo 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efe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to das varia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es dos pre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ç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os das mat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é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rias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-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 xml:space="preserve">primas </w:t>
          </w:r>
          <w:r w:rsidR="006C775A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 xml:space="preserve">sobre 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as c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o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ntas por cobrar, as c</w:t>
          </w:r>
          <w:r w:rsidR="006C775A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o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 xml:space="preserve">ntas por pagar 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 xml:space="preserve">e 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 xml:space="preserve">as </w:t>
          </w:r>
          <w:r w:rsidR="00C31D9E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>existências</w:t>
          </w:r>
          <w:r w:rsidRPr="00C23C8D">
            <w:rPr>
              <w:rFonts w:ascii="Arial" w:eastAsia="Arial" w:hAnsi="Arial" w:cs="Arial"/>
              <w:i/>
              <w:iCs/>
              <w:sz w:val="16"/>
              <w:szCs w:val="16"/>
              <w:lang w:val="pt-PT"/>
            </w:rPr>
            <w:t xml:space="preserve">. </w:t>
          </w:r>
        </w:p>
        <w:p w14:paraId="3859E533" w14:textId="77777777" w:rsidR="00DE1863" w:rsidRPr="00C23C8D" w:rsidRDefault="00DE1863" w:rsidP="00BC515C">
          <w:pPr>
            <w:spacing w:after="120" w:line="276" w:lineRule="auto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pt-PT"/>
            </w:rPr>
          </w:pPr>
        </w:p>
        <w:bookmarkEnd w:id="0"/>
        <w:p w14:paraId="26C4F332" w14:textId="77777777" w:rsidR="003059AB" w:rsidRPr="00C23C8D" w:rsidRDefault="003059AB" w:rsidP="00B04ACE">
          <w:pPr>
            <w:spacing w:line="276" w:lineRule="auto"/>
            <w:ind w:right="-46"/>
            <w:jc w:val="both"/>
            <w:rPr>
              <w:rFonts w:ascii="Arial" w:hAnsi="Arial" w:cs="Arial"/>
              <w:lang w:val="pt-PT"/>
            </w:rPr>
          </w:pPr>
        </w:p>
        <w:p w14:paraId="648342B4" w14:textId="05BFB665" w:rsidR="003C3FC0" w:rsidRPr="00C23C8D" w:rsidRDefault="00000000" w:rsidP="00B04ACE">
          <w:pPr>
            <w:spacing w:line="276" w:lineRule="auto"/>
            <w:ind w:right="-46"/>
            <w:jc w:val="both"/>
            <w:rPr>
              <w:rFonts w:ascii="Arial" w:hAnsi="Arial" w:cs="Arial"/>
              <w:lang w:val="pt-PT"/>
            </w:rPr>
          </w:pPr>
        </w:p>
      </w:sdtContent>
    </w:sdt>
    <w:p w14:paraId="17E10F8E" w14:textId="77777777" w:rsidR="006C775A" w:rsidRPr="00C57F6C" w:rsidRDefault="006C775A" w:rsidP="006C775A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01E86CA" w14:textId="77777777" w:rsidR="006C775A" w:rsidRPr="00517A53" w:rsidRDefault="006C775A" w:rsidP="006C775A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E25C2CF" w14:textId="77777777" w:rsidR="006C775A" w:rsidRPr="001C5F64" w:rsidRDefault="006C775A" w:rsidP="006C775A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9AF475B" w14:textId="77777777" w:rsidR="006C775A" w:rsidRPr="003D6C6D" w:rsidRDefault="006C775A" w:rsidP="006C775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45144D3" w14:textId="77777777" w:rsidR="006C775A" w:rsidRPr="00F700E7" w:rsidRDefault="006C775A" w:rsidP="006C775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CCA3987" w14:textId="77777777" w:rsidR="006C775A" w:rsidRPr="00F700E7" w:rsidRDefault="006C775A" w:rsidP="006C775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50DD8F1" w14:textId="77777777" w:rsidR="006C775A" w:rsidRPr="00F700E7" w:rsidRDefault="006C775A" w:rsidP="006C775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F487AC8" w14:textId="77777777" w:rsidR="006C775A" w:rsidRPr="00F700E7" w:rsidRDefault="006C775A" w:rsidP="006C775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781684C" w14:textId="77777777" w:rsidR="00F700E7" w:rsidRPr="00833986" w:rsidRDefault="00F700E7" w:rsidP="00F700E7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sz w:val="20"/>
          <w:szCs w:val="20"/>
          <w:lang w:val="es-ES"/>
        </w:rPr>
        <w:t>DEPARTAMENTO DE COMUNICACIÓN CORPORATIVA</w:t>
      </w:r>
    </w:p>
    <w:p w14:paraId="1A8B13C3" w14:textId="77777777" w:rsidR="00F700E7" w:rsidRPr="00833986" w:rsidRDefault="00F700E7" w:rsidP="00F700E7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6481E5BF" w14:textId="77777777" w:rsidR="00F700E7" w:rsidRPr="00833986" w:rsidRDefault="00F700E7" w:rsidP="00F700E7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9" w:tgtFrame="_blank" w:history="1">
        <w:r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5094ABB4" w14:textId="77777777" w:rsidR="006C775A" w:rsidRPr="00F700E7" w:rsidRDefault="006C775A" w:rsidP="006C775A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F700E7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00601113" wp14:editId="007BAAFF">
            <wp:extent cx="1612265" cy="177730"/>
            <wp:effectExtent l="0" t="0" r="635" b="635"/>
            <wp:docPr id="1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C775A" w:rsidRPr="00F700E7" w14:paraId="5AF0E95A" w14:textId="77777777" w:rsidTr="00B615DC">
        <w:tc>
          <w:tcPr>
            <w:tcW w:w="9016" w:type="dxa"/>
          </w:tcPr>
          <w:p w14:paraId="728BF599" w14:textId="77777777" w:rsidR="006C775A" w:rsidRPr="00F700E7" w:rsidRDefault="00000000" w:rsidP="00B615D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12" w:history="1">
              <w:r w:rsidR="006C775A" w:rsidRPr="00F700E7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7E59ED48" w14:textId="77777777" w:rsidR="006C775A" w:rsidRPr="00F700E7" w:rsidRDefault="006C775A" w:rsidP="00B615DC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6C775A" w:rsidRPr="00F700E7" w14:paraId="7879F33B" w14:textId="77777777" w:rsidTr="00B615DC">
        <w:tc>
          <w:tcPr>
            <w:tcW w:w="9016" w:type="dxa"/>
          </w:tcPr>
          <w:p w14:paraId="673507D2" w14:textId="77777777" w:rsidR="006C775A" w:rsidRPr="00F700E7" w:rsidRDefault="006C775A" w:rsidP="00B615DC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F700E7">
              <w:rPr>
                <w:sz w:val="20"/>
                <w:szCs w:val="20"/>
              </w:rPr>
              <w:t xml:space="preserve">     </w:t>
            </w:r>
            <w:r w:rsidRPr="00F700E7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35BA8BF" wp14:editId="0E655A67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F700E7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F700E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F700E7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149E441" wp14:editId="15064EAB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00E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F700E7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F700E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F700E7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379142" wp14:editId="43CC85CA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00E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F700E7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9750681" w14:textId="77777777" w:rsidR="006C775A" w:rsidRPr="00F700E7" w:rsidRDefault="006C775A" w:rsidP="006C775A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0A56B27E" w14:textId="77777777" w:rsidR="00F700E7" w:rsidRPr="00F9750C" w:rsidRDefault="00F700E7" w:rsidP="00F700E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ESPAÑA</w:t>
      </w:r>
    </w:p>
    <w:p w14:paraId="35E7F4EF" w14:textId="4BF82956" w:rsidR="00387E23" w:rsidRPr="00F700E7" w:rsidRDefault="00387E23" w:rsidP="00F700E7">
      <w:pPr>
        <w:jc w:val="center"/>
        <w:rPr>
          <w:rFonts w:ascii="Arial" w:hAnsi="Arial" w:cs="Arial"/>
          <w:sz w:val="20"/>
          <w:szCs w:val="20"/>
          <w:lang w:val="es-ES"/>
        </w:rPr>
      </w:pPr>
    </w:p>
    <w:sectPr w:rsidR="00387E23" w:rsidRPr="00F700E7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1E4A" w14:textId="77777777" w:rsidR="00FB79DC" w:rsidRDefault="00FB79DC" w:rsidP="00F24D98">
      <w:r>
        <w:separator/>
      </w:r>
    </w:p>
  </w:endnote>
  <w:endnote w:type="continuationSeparator" w:id="0">
    <w:p w14:paraId="1AACD2A7" w14:textId="77777777" w:rsidR="00FB79DC" w:rsidRDefault="00FB79D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7D22" w14:textId="77777777" w:rsidR="00FB79DC" w:rsidRDefault="00FB79DC" w:rsidP="00F24D98">
      <w:r>
        <w:separator/>
      </w:r>
    </w:p>
  </w:footnote>
  <w:footnote w:type="continuationSeparator" w:id="0">
    <w:p w14:paraId="756FAC92" w14:textId="77777777" w:rsidR="00FB79DC" w:rsidRDefault="00FB79D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1908405101" name="Imagen 1908405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2C1" w14:textId="77777777" w:rsidR="006C775A" w:rsidRDefault="006C775A" w:rsidP="006C775A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EED3EFB" wp14:editId="4E961E37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12078F" wp14:editId="7EB8E225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74B67C" w14:textId="77777777" w:rsidR="006C775A" w:rsidRPr="00AC0E74" w:rsidRDefault="006C775A" w:rsidP="006C775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20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2574B67C" w14:textId="77777777" w:rsidR="006C775A" w:rsidRPr="00AC0E74" w:rsidRDefault="006C775A" w:rsidP="006C775A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C8A68C" wp14:editId="4DA9FB2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897942" w14:textId="77777777" w:rsidR="006C775A" w:rsidRPr="006F25F9" w:rsidRDefault="006C775A" w:rsidP="006C775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9FD9404" w14:textId="77777777" w:rsidR="006C775A" w:rsidRPr="00BE269E" w:rsidRDefault="006C775A" w:rsidP="006C775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8A68C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09897942" w14:textId="77777777" w:rsidR="006C775A" w:rsidRPr="006F25F9" w:rsidRDefault="006C775A" w:rsidP="006C775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9FD9404" w14:textId="77777777" w:rsidR="006C775A" w:rsidRPr="00BE269E" w:rsidRDefault="006C775A" w:rsidP="006C775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0D1442FD" wp14:editId="5D5A8C2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6D49C16" w:rsidR="001963B1" w:rsidRPr="006C775A" w:rsidRDefault="001963B1" w:rsidP="006C77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9CCE7A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 w:tplc="C48236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D48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C609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4CA3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C01D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D29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0078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ECFE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67A965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 w:tplc="EDB00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265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58B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6029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587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6C3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0AC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E04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3544A89"/>
    <w:multiLevelType w:val="hybridMultilevel"/>
    <w:tmpl w:val="7A4E5EC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4472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55217"/>
    <w:multiLevelType w:val="hybridMultilevel"/>
    <w:tmpl w:val="F738C3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433B"/>
    <w:multiLevelType w:val="hybridMultilevel"/>
    <w:tmpl w:val="FC66762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4"/>
  </w:num>
  <w:num w:numId="2" w16cid:durableId="543907402">
    <w:abstractNumId w:val="3"/>
  </w:num>
  <w:num w:numId="3" w16cid:durableId="629554644">
    <w:abstractNumId w:val="5"/>
  </w:num>
  <w:num w:numId="4" w16cid:durableId="747457017">
    <w:abstractNumId w:val="2"/>
  </w:num>
  <w:num w:numId="5" w16cid:durableId="1307511724">
    <w:abstractNumId w:val="6"/>
  </w:num>
  <w:num w:numId="6" w16cid:durableId="1416895806">
    <w:abstractNumId w:val="7"/>
  </w:num>
  <w:num w:numId="7" w16cid:durableId="1326860919">
    <w:abstractNumId w:val="0"/>
  </w:num>
  <w:num w:numId="8" w16cid:durableId="94034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82115"/>
    <w:rsid w:val="00087726"/>
    <w:rsid w:val="000A5386"/>
    <w:rsid w:val="000B3F91"/>
    <w:rsid w:val="000C09D6"/>
    <w:rsid w:val="000C5FAB"/>
    <w:rsid w:val="00112957"/>
    <w:rsid w:val="001162A2"/>
    <w:rsid w:val="00116A1A"/>
    <w:rsid w:val="00130CCB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00E1F"/>
    <w:rsid w:val="003059AB"/>
    <w:rsid w:val="00387E23"/>
    <w:rsid w:val="003930CA"/>
    <w:rsid w:val="00395651"/>
    <w:rsid w:val="003C3FC0"/>
    <w:rsid w:val="003C419D"/>
    <w:rsid w:val="003E0838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61294"/>
    <w:rsid w:val="004708E5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740AC"/>
    <w:rsid w:val="00594F5C"/>
    <w:rsid w:val="005B00AE"/>
    <w:rsid w:val="005B169F"/>
    <w:rsid w:val="0065727B"/>
    <w:rsid w:val="006865BF"/>
    <w:rsid w:val="006920B7"/>
    <w:rsid w:val="006A4D19"/>
    <w:rsid w:val="006C3818"/>
    <w:rsid w:val="006C44F0"/>
    <w:rsid w:val="006C775A"/>
    <w:rsid w:val="006C7776"/>
    <w:rsid w:val="006D398C"/>
    <w:rsid w:val="006D4CB8"/>
    <w:rsid w:val="006F5140"/>
    <w:rsid w:val="00707806"/>
    <w:rsid w:val="00744156"/>
    <w:rsid w:val="007617DA"/>
    <w:rsid w:val="007E51AC"/>
    <w:rsid w:val="007F37A6"/>
    <w:rsid w:val="00802F0B"/>
    <w:rsid w:val="00816BB1"/>
    <w:rsid w:val="00834943"/>
    <w:rsid w:val="0083779A"/>
    <w:rsid w:val="00842005"/>
    <w:rsid w:val="0085450A"/>
    <w:rsid w:val="00877AE5"/>
    <w:rsid w:val="008B072F"/>
    <w:rsid w:val="008F09F1"/>
    <w:rsid w:val="008F3690"/>
    <w:rsid w:val="008F5893"/>
    <w:rsid w:val="0093532F"/>
    <w:rsid w:val="00987F40"/>
    <w:rsid w:val="009969D4"/>
    <w:rsid w:val="00A010E6"/>
    <w:rsid w:val="00A05352"/>
    <w:rsid w:val="00A133C9"/>
    <w:rsid w:val="00A6106B"/>
    <w:rsid w:val="00A6279B"/>
    <w:rsid w:val="00A72ECA"/>
    <w:rsid w:val="00A75B5C"/>
    <w:rsid w:val="00A92433"/>
    <w:rsid w:val="00AB5624"/>
    <w:rsid w:val="00AC0E74"/>
    <w:rsid w:val="00B04ACE"/>
    <w:rsid w:val="00B05B19"/>
    <w:rsid w:val="00B13DD6"/>
    <w:rsid w:val="00B32BCE"/>
    <w:rsid w:val="00B361FB"/>
    <w:rsid w:val="00B36FEE"/>
    <w:rsid w:val="00B45C21"/>
    <w:rsid w:val="00B6721E"/>
    <w:rsid w:val="00B97B28"/>
    <w:rsid w:val="00BC2889"/>
    <w:rsid w:val="00BC515C"/>
    <w:rsid w:val="00BE269E"/>
    <w:rsid w:val="00C216FC"/>
    <w:rsid w:val="00C23C8D"/>
    <w:rsid w:val="00C31D9E"/>
    <w:rsid w:val="00C53F0C"/>
    <w:rsid w:val="00CB77E5"/>
    <w:rsid w:val="00CC6BAF"/>
    <w:rsid w:val="00CE4C0D"/>
    <w:rsid w:val="00CE5E82"/>
    <w:rsid w:val="00D26D15"/>
    <w:rsid w:val="00D313A5"/>
    <w:rsid w:val="00D34A40"/>
    <w:rsid w:val="00D55011"/>
    <w:rsid w:val="00D729F5"/>
    <w:rsid w:val="00D9116F"/>
    <w:rsid w:val="00DB7FA5"/>
    <w:rsid w:val="00DE0B5B"/>
    <w:rsid w:val="00DE1863"/>
    <w:rsid w:val="00E46580"/>
    <w:rsid w:val="00E926C4"/>
    <w:rsid w:val="00EA512D"/>
    <w:rsid w:val="00EB11AF"/>
    <w:rsid w:val="00ED0EAD"/>
    <w:rsid w:val="00ED5957"/>
    <w:rsid w:val="00ED7136"/>
    <w:rsid w:val="00F1127B"/>
    <w:rsid w:val="00F23D2E"/>
    <w:rsid w:val="00F24D98"/>
    <w:rsid w:val="00F54E4E"/>
    <w:rsid w:val="00F6785B"/>
    <w:rsid w:val="00F700E7"/>
    <w:rsid w:val="00F9569F"/>
    <w:rsid w:val="00F9750C"/>
    <w:rsid w:val="00FB79DC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aliases w:val="Puces Niveau 1,Paragraphe de liste1"/>
    <w:basedOn w:val="Normal"/>
    <w:link w:val="PrrafodelistaCar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PrrafodelistaCar">
    <w:name w:val="Párrafo de lista Car"/>
    <w:aliases w:val="Puces Niveau 1 Car,Paragraphe de liste1 Car"/>
    <w:basedOn w:val="Fuentedeprrafopredeter"/>
    <w:link w:val="Prrafodelista"/>
    <w:uiPriority w:val="34"/>
    <w:rsid w:val="006A4D19"/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880</Words>
  <Characters>4843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8</cp:revision>
  <dcterms:created xsi:type="dcterms:W3CDTF">2023-10-25T20:16:00Z</dcterms:created>
  <dcterms:modified xsi:type="dcterms:W3CDTF">2023-10-26T08:02:00Z</dcterms:modified>
</cp:coreProperties>
</file>