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258F3B3A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5F24E0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B44C06">
        <w:rPr>
          <w:rFonts w:ascii="Arial" w:hAnsi="Arial" w:cs="Arial"/>
          <w:sz w:val="20"/>
          <w:szCs w:val="20"/>
          <w:lang w:val="es-ES"/>
        </w:rPr>
        <w:t>30</w:t>
      </w:r>
      <w:bookmarkStart w:id="0" w:name="_GoBack"/>
      <w:bookmarkEnd w:id="0"/>
      <w:r w:rsidR="00BE269E" w:rsidRPr="005F24E0">
        <w:rPr>
          <w:rFonts w:ascii="Arial" w:hAnsi="Arial" w:cs="Arial"/>
          <w:sz w:val="20"/>
          <w:szCs w:val="20"/>
          <w:lang w:val="es-ES"/>
        </w:rPr>
        <w:t xml:space="preserve"> de </w:t>
      </w:r>
      <w:r w:rsidR="005F24E0" w:rsidRPr="005F24E0">
        <w:rPr>
          <w:rFonts w:ascii="Arial" w:hAnsi="Arial" w:cs="Arial"/>
          <w:sz w:val="20"/>
          <w:szCs w:val="20"/>
          <w:lang w:val="es-ES"/>
        </w:rPr>
        <w:t>noviembre</w:t>
      </w:r>
      <w:r w:rsidR="006D398C" w:rsidRPr="005F24E0">
        <w:rPr>
          <w:rFonts w:ascii="Arial" w:hAnsi="Arial" w:cs="Arial"/>
          <w:sz w:val="20"/>
          <w:szCs w:val="20"/>
          <w:lang w:val="es-ES"/>
        </w:rPr>
        <w:t>, 202</w:t>
      </w:r>
      <w:r w:rsidR="00842005" w:rsidRPr="005F24E0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30DA8631" w14:textId="28A0A27D" w:rsidR="005F24E0" w:rsidRPr="005F24E0" w:rsidRDefault="005F24E0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5F24E0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Logística sostenible: Watèa by Michelin se </w:t>
          </w:r>
          <w:r w:rsidR="00390280">
            <w:rPr>
              <w:rFonts w:ascii="Arial" w:hAnsi="Arial" w:cs="Arial"/>
              <w:b/>
              <w:sz w:val="28"/>
              <w:szCs w:val="28"/>
              <w:lang w:val="es-ES"/>
            </w:rPr>
            <w:t>lanza</w:t>
          </w:r>
          <w:r w:rsidRPr="005F24E0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a la </w:t>
          </w:r>
          <w:r w:rsidR="00390280">
            <w:rPr>
              <w:rFonts w:ascii="Arial" w:hAnsi="Arial" w:cs="Arial"/>
              <w:b/>
              <w:sz w:val="28"/>
              <w:szCs w:val="28"/>
              <w:lang w:val="es-ES"/>
            </w:rPr>
            <w:t>c</w:t>
          </w:r>
          <w:r w:rsidRPr="005F24E0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onquista </w:t>
          </w:r>
          <w:r w:rsidR="00390280">
            <w:rPr>
              <w:rFonts w:ascii="Arial" w:hAnsi="Arial" w:cs="Arial"/>
              <w:b/>
              <w:sz w:val="28"/>
              <w:szCs w:val="28"/>
              <w:lang w:val="es-ES"/>
            </w:rPr>
            <w:br/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d</w:t>
          </w:r>
          <w:r w:rsidR="00390280">
            <w:rPr>
              <w:rFonts w:ascii="Arial" w:hAnsi="Arial" w:cs="Arial"/>
              <w:b/>
              <w:sz w:val="28"/>
              <w:szCs w:val="28"/>
              <w:lang w:val="es-ES"/>
            </w:rPr>
            <w:t>e la movilidad del hidrógeno</w:t>
          </w:r>
        </w:p>
        <w:p w14:paraId="5614BB42" w14:textId="274536E7" w:rsidR="006D398C" w:rsidRPr="005F24E0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5F24E0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360A1C9F" w:rsidR="00BE269E" w:rsidRPr="006D4CB8" w:rsidRDefault="00390280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Watèa by Michelin, el operador de movilidad especializado en la transición energética de las flotas profesionales, amplía su oferta a los vehículos propulsados por hidrógeno</w:t>
          </w:r>
        </w:p>
        <w:p w14:paraId="3C065D45" w14:textId="2867A5DC" w:rsidR="006D398C" w:rsidRPr="006D4CB8" w:rsidRDefault="00390280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Este nuevo servicio permitirá a los clientes de Watèa beneficiarse de la numerosas ventajas que ofrece la movilidad basada en el hidrógeno</w:t>
          </w:r>
        </w:p>
        <w:p w14:paraId="11B83B70" w14:textId="4F66DCCF" w:rsidR="006D398C" w:rsidRPr="00390280" w:rsidRDefault="00390280" w:rsidP="00250614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 w:rsidRPr="00390280">
            <w:rPr>
              <w:rFonts w:ascii="Arial" w:eastAsia="Calibri" w:hAnsi="Arial" w:cs="Arial"/>
              <w:lang w:val="es-ES" w:eastAsia="en-US"/>
            </w:rPr>
            <w:t xml:space="preserve">El hidrógeno está confirmando su creciente </w:t>
          </w:r>
          <w:r>
            <w:rPr>
              <w:rFonts w:ascii="Arial" w:eastAsia="Calibri" w:hAnsi="Arial" w:cs="Arial"/>
              <w:lang w:val="es-ES" w:eastAsia="en-US"/>
            </w:rPr>
            <w:t>protagonismo</w:t>
          </w:r>
          <w:r w:rsidRPr="00390280">
            <w:rPr>
              <w:rFonts w:ascii="Arial" w:eastAsia="Calibri" w:hAnsi="Arial" w:cs="Arial"/>
              <w:lang w:val="es-ES" w:eastAsia="en-US"/>
            </w:rPr>
            <w:t xml:space="preserve"> en la electrificación</w:t>
          </w:r>
          <w:r>
            <w:rPr>
              <w:rFonts w:ascii="Arial" w:eastAsia="Calibri" w:hAnsi="Arial" w:cs="Arial"/>
              <w:lang w:val="es-ES" w:eastAsia="en-US"/>
            </w:rPr>
            <w:t xml:space="preserve">, con un aumento del 40% en </w:t>
          </w:r>
          <w:r w:rsidRPr="00390280">
            <w:rPr>
              <w:rFonts w:ascii="Arial" w:eastAsia="Calibri" w:hAnsi="Arial" w:cs="Arial"/>
              <w:lang w:val="es-ES" w:eastAsia="en-US"/>
            </w:rPr>
            <w:t xml:space="preserve">el número de vehículos de pila de combustible </w:t>
          </w:r>
          <w:r>
            <w:rPr>
              <w:rFonts w:ascii="Arial" w:eastAsia="Calibri" w:hAnsi="Arial" w:cs="Arial"/>
              <w:lang w:val="es-ES" w:eastAsia="en-US"/>
            </w:rPr>
            <w:t xml:space="preserve">circulando </w:t>
          </w:r>
          <w:r w:rsidRPr="00390280">
            <w:rPr>
              <w:rFonts w:ascii="Arial" w:eastAsia="Calibri" w:hAnsi="Arial" w:cs="Arial"/>
              <w:lang w:val="es-ES" w:eastAsia="en-US"/>
            </w:rPr>
            <w:t xml:space="preserve">en todo el mundo </w:t>
          </w:r>
          <w:r>
            <w:rPr>
              <w:rFonts w:ascii="Arial" w:eastAsia="Calibri" w:hAnsi="Arial" w:cs="Arial"/>
              <w:lang w:val="es-ES" w:eastAsia="en-US"/>
            </w:rPr>
            <w:t>en 2022</w:t>
          </w:r>
          <w:r w:rsidR="00C4385F">
            <w:rPr>
              <w:rStyle w:val="Refdenotaalpie"/>
              <w:rFonts w:ascii="Arial" w:eastAsia="Calibri" w:hAnsi="Arial" w:cs="Arial"/>
              <w:lang w:val="es-ES" w:eastAsia="en-US"/>
            </w:rPr>
            <w:footnoteReference w:id="1"/>
          </w:r>
        </w:p>
        <w:p w14:paraId="1DE4946E" w14:textId="4D5AA920" w:rsidR="00AB5624" w:rsidRPr="006D4CB8" w:rsidRDefault="00390280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</w:p>
        <w:p w14:paraId="352F8366" w14:textId="77777777" w:rsidR="00390280" w:rsidRDefault="00390280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Coincidiendo con Solutrans 2023, </w:t>
          </w:r>
          <w:r w:rsidR="0068646A" w:rsidRPr="0068646A">
            <w:rPr>
              <w:rFonts w:ascii="Arial" w:hAnsi="Arial" w:cs="Arial"/>
              <w:sz w:val="20"/>
              <w:szCs w:val="20"/>
              <w:lang w:val="es-ES"/>
            </w:rPr>
            <w:t>Watèa by Michelin, el operador de movilidad especializado en la transición energética de las flotas de empresas, presenta una nueva oferta de hidrógeno.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68646A" w:rsidRPr="0068646A">
            <w:rPr>
              <w:rFonts w:ascii="Arial" w:hAnsi="Arial" w:cs="Arial"/>
              <w:sz w:val="20"/>
              <w:szCs w:val="20"/>
              <w:lang w:val="es-ES"/>
            </w:rPr>
            <w:t xml:space="preserve">Este nuevo servicio permitirá a los clientes de Watèa beneficiarse de las numerosas ventajas que ofrece la movilidad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basada en el </w:t>
          </w:r>
          <w:r w:rsidR="0068646A" w:rsidRPr="0068646A">
            <w:rPr>
              <w:rFonts w:ascii="Arial" w:hAnsi="Arial" w:cs="Arial"/>
              <w:sz w:val="20"/>
              <w:szCs w:val="20"/>
              <w:lang w:val="es-ES"/>
            </w:rPr>
            <w:t xml:space="preserve">hidrógeno. </w:t>
          </w:r>
        </w:p>
        <w:p w14:paraId="34C034A2" w14:textId="77777777" w:rsidR="00390280" w:rsidRDefault="00390280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63ABE1C" w14:textId="77777777" w:rsidR="00F84A70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Los vehículos impulsados por hidrógeno ofrecen una mayor autonomía y tiempos de recarga mucho más rápidos que los vehículos eléctricos </w:t>
          </w:r>
          <w:r w:rsidR="00390280">
            <w:rPr>
              <w:rFonts w:ascii="Arial" w:hAnsi="Arial" w:cs="Arial"/>
              <w:sz w:val="20"/>
              <w:szCs w:val="20"/>
              <w:lang w:val="es-ES"/>
            </w:rPr>
            <w:t>de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 baterías. Gracias a esta nueva oferta de hidrógeno, los clientes de Watèa tendrán acceso a una mayor disponibilidad operativa para su flota, con usos muy similares a los de un vehículo </w:t>
          </w:r>
          <w:r w:rsidR="00390280">
            <w:rPr>
              <w:rFonts w:ascii="Arial" w:hAnsi="Arial" w:cs="Arial"/>
              <w:sz w:val="20"/>
              <w:szCs w:val="20"/>
              <w:lang w:val="es-ES"/>
            </w:rPr>
            <w:t xml:space="preserve">con motor de 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>combustión.</w:t>
          </w:r>
          <w:r w:rsidR="0039028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505FA13D" w14:textId="77777777" w:rsidR="00F84A70" w:rsidRDefault="00F84A70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57A64FE" w14:textId="64D2C49E" w:rsidR="0068646A" w:rsidRPr="0068646A" w:rsidRDefault="0068646A" w:rsidP="00F84A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En términos prácticos la oferta es un servicio </w:t>
          </w:r>
          <w:r w:rsidR="00F84A70">
            <w:rPr>
              <w:rFonts w:ascii="Arial" w:hAnsi="Arial" w:cs="Arial"/>
              <w:sz w:val="20"/>
              <w:szCs w:val="20"/>
              <w:lang w:val="es-ES"/>
            </w:rPr>
            <w:t>integral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 basado en una suscripción que incluye: vehículos de hidrógeno, soluciones de recarga, mantenimiento y asistencia 24 horas al día, 7 días a la semana, así como servicios digitales. La suscripción también </w:t>
          </w:r>
          <w:r w:rsidR="00F84A70">
            <w:rPr>
              <w:rFonts w:ascii="Arial" w:hAnsi="Arial" w:cs="Arial"/>
              <w:sz w:val="20"/>
              <w:szCs w:val="20"/>
              <w:lang w:val="es-ES"/>
            </w:rPr>
            <w:t>permite acceder</w:t>
          </w:r>
          <w:r w:rsidR="00C4385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a subvenciones europeas, nacionales y regionales, incluidas las de ADEME </w:t>
          </w:r>
          <w:r w:rsidR="00F84A70">
            <w:rPr>
              <w:rFonts w:ascii="Arial" w:hAnsi="Arial" w:cs="Arial"/>
              <w:sz w:val="20"/>
              <w:szCs w:val="20"/>
              <w:lang w:val="es-ES"/>
            </w:rPr>
            <w:t>(Agencia Francesa del Medio Ambiente y Gestión de la Energía) y la región francesa de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 Auvernia-Ródano-Alpes, encargándose Watèa de todos los trámites </w:t>
          </w:r>
          <w:r w:rsidR="00F84A70">
            <w:rPr>
              <w:rFonts w:ascii="Arial" w:hAnsi="Arial" w:cs="Arial"/>
              <w:sz w:val="20"/>
              <w:szCs w:val="20"/>
              <w:lang w:val="es-ES"/>
            </w:rPr>
            <w:t xml:space="preserve">administrativos 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>con los organismos pertinentes.</w:t>
          </w:r>
          <w:r w:rsidR="00C4385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En línea con su misión de descarbonización, Watèa también ha </w:t>
          </w:r>
          <w:r w:rsidR="00F84A70">
            <w:rPr>
              <w:rFonts w:ascii="Arial" w:hAnsi="Arial" w:cs="Arial"/>
              <w:sz w:val="20"/>
              <w:szCs w:val="20"/>
              <w:lang w:val="es-ES"/>
            </w:rPr>
            <w:t xml:space="preserve">optado por 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ofrecer a sus clientes la opción de repostar sus vehículos con hidrógeno renovable y bajo en carbono. </w:t>
          </w:r>
        </w:p>
        <w:p w14:paraId="638123BC" w14:textId="77777777" w:rsidR="0068646A" w:rsidRPr="0068646A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C44DDBA" w14:textId="4D8CBBAB" w:rsidR="0068646A" w:rsidRPr="0068646A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Pascal Nouvellon, Director General y Presidente de Watèa, </w:t>
          </w:r>
          <w:r w:rsidR="00F84A70">
            <w:rPr>
              <w:rFonts w:ascii="Arial" w:hAnsi="Arial" w:cs="Arial"/>
              <w:sz w:val="20"/>
              <w:szCs w:val="20"/>
              <w:lang w:val="es-ES"/>
            </w:rPr>
            <w:t>declara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F84A70"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Para avanzar en la descarbonización de las flotas de vehículos industriales es esencial ofrecer a nuestros clientes lo mejor de la tecnología eléctrica. Por eso, tras una larga fase de pruebas y puesta a punto, Watèa ofrecerá su </w:t>
          </w:r>
          <w:r w:rsid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oferta para v</w:t>
          </w:r>
          <w:r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ehículos eléctricos impulsados por hidrógeno, además de la</w:t>
          </w:r>
          <w:r w:rsid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puesta en marcha en 2021 para </w:t>
          </w:r>
          <w:r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vehículos eléctricos impulsados por baterías, que seguirá existiendo y </w:t>
          </w:r>
          <w:r w:rsid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ampliándose</w:t>
          </w:r>
          <w:r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. Los vehículos eléctricos </w:t>
          </w:r>
          <w:r w:rsidR="00C4385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de</w:t>
          </w:r>
          <w:r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hidrógeno permiten sortear algunas de las limitaciones </w:t>
          </w:r>
          <w:r w:rsidR="00C4385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asociadas a los vehículos de </w:t>
          </w:r>
          <w:r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batería: ofrecen una mayor autonomía, pero sobre todo </w:t>
          </w:r>
          <w:r w:rsidR="00C4385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y más importante, </w:t>
          </w:r>
          <w:r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requieren tiempos de </w:t>
          </w:r>
          <w:r w:rsidR="00C4385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repostaje</w:t>
          </w:r>
          <w:r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radicalmente más cortos. </w:t>
          </w:r>
          <w:r w:rsidR="00C4385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C</w:t>
          </w:r>
          <w:r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reemos que </w:t>
          </w:r>
          <w:r w:rsidR="00C4385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hoy en día, en ciudade</w:t>
          </w:r>
          <w:r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s como París y Lyon, el ecosistema del hidrógeno está lo suficientemente maduro, y la demanda de nuestros clientes lo suficientemente fuerte como para que esta </w:t>
          </w:r>
          <w:r w:rsidR="00C4385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solución</w:t>
          </w:r>
          <w:r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sea un éxito rotundo</w:t>
          </w:r>
          <w:r w:rsidR="00F84A70" w:rsidRPr="00F84A7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28FB2122" w14:textId="77777777" w:rsidR="0068646A" w:rsidRPr="0068646A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8438EE7" w14:textId="77777777" w:rsidR="00C4385F" w:rsidRDefault="00C4385F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70F3059" w14:textId="77777777" w:rsidR="00C4385F" w:rsidRDefault="00C4385F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532D2DE" w14:textId="02CE152E" w:rsidR="0068646A" w:rsidRPr="0068646A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Esta nueva oferta está en plena consonancia con la nueva estrategia del hidrógeno </w:t>
          </w:r>
          <w:r w:rsidR="00C4385F">
            <w:rPr>
              <w:rFonts w:ascii="Arial" w:hAnsi="Arial" w:cs="Arial"/>
              <w:sz w:val="20"/>
              <w:szCs w:val="20"/>
              <w:lang w:val="es-ES"/>
            </w:rPr>
            <w:t>en materia de descarbonización d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el transporte establecida recientemente </w:t>
          </w:r>
          <w:r w:rsidR="00C4385F">
            <w:rPr>
              <w:rFonts w:ascii="Arial" w:hAnsi="Arial" w:cs="Arial"/>
              <w:sz w:val="20"/>
              <w:szCs w:val="20"/>
              <w:lang w:val="es-ES"/>
            </w:rPr>
            <w:t>en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 Francia. Tanto a nivel nacional como internacional, la movilidad del hidrógeno confirma su papel creciente en la electrificación de</w:t>
          </w:r>
          <w:r w:rsidR="00C4385F">
            <w:rPr>
              <w:rFonts w:ascii="Arial" w:hAnsi="Arial" w:cs="Arial"/>
              <w:sz w:val="20"/>
              <w:szCs w:val="20"/>
              <w:lang w:val="es-ES"/>
            </w:rPr>
            <w:t>l parque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, con un aumento del 40% del número de vehículos de pila de combustible en circulación en todo el mundo </w:t>
          </w:r>
          <w:r w:rsidR="00C4385F">
            <w:rPr>
              <w:rFonts w:ascii="Arial" w:hAnsi="Arial" w:cs="Arial"/>
              <w:sz w:val="20"/>
              <w:szCs w:val="20"/>
              <w:lang w:val="es-ES"/>
            </w:rPr>
            <w:t>en</w:t>
          </w:r>
          <w:r w:rsidRPr="0068646A">
            <w:rPr>
              <w:rFonts w:ascii="Arial" w:hAnsi="Arial" w:cs="Arial"/>
              <w:sz w:val="20"/>
              <w:szCs w:val="20"/>
              <w:lang w:val="es-ES"/>
            </w:rPr>
            <w:t xml:space="preserve"> 2022.</w:t>
          </w:r>
        </w:p>
        <w:p w14:paraId="5C002CAD" w14:textId="77777777" w:rsidR="0068646A" w:rsidRPr="0068646A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7CFE33A" w14:textId="77777777" w:rsidR="00C4385F" w:rsidRDefault="00C4385F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C4385F" w14:paraId="7EC11F56" w14:textId="77777777" w:rsidTr="00C4385F">
            <w:trPr>
              <w:trHeight w:val="724"/>
            </w:trPr>
            <w:tc>
              <w:tcPr>
                <w:tcW w:w="9016" w:type="dxa"/>
              </w:tcPr>
              <w:p w14:paraId="5091A704" w14:textId="0658470B" w:rsidR="00C4385F" w:rsidRDefault="00C4385F" w:rsidP="00C4385F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68646A">
                  <w:rPr>
                    <w:rFonts w:ascii="Arial" w:hAnsi="Arial" w:cs="Arial"/>
                    <w:sz w:val="20"/>
                    <w:szCs w:val="20"/>
                    <w:lang w:val="es-ES"/>
                  </w:rPr>
                  <w:t xml:space="preserve">Desde 2021, Watèa despliega una </w:t>
                </w:r>
                <w:r w:rsidRPr="00C4385F">
                  <w:rPr>
                    <w:rFonts w:ascii="Arial" w:hAnsi="Arial" w:cs="Arial"/>
                    <w:b/>
                    <w:bCs/>
                    <w:sz w:val="20"/>
                    <w:szCs w:val="20"/>
                    <w:lang w:val="es-ES"/>
                  </w:rPr>
                  <w:t>amplia experiencia en la electrificación de flotas</w:t>
                </w:r>
                <w:r w:rsidRPr="0068646A">
                  <w:rPr>
                    <w:rFonts w:ascii="Arial" w:hAnsi="Arial" w:cs="Arial"/>
                    <w:sz w:val="20"/>
                    <w:szCs w:val="20"/>
                    <w:lang w:val="es-ES"/>
                  </w:rPr>
                  <w:t xml:space="preserve"> a través de </w:t>
                </w:r>
                <w:r>
                  <w:rPr>
                    <w:rFonts w:ascii="Arial" w:hAnsi="Arial" w:cs="Arial"/>
                    <w:sz w:val="20"/>
                    <w:szCs w:val="20"/>
                    <w:lang w:val="es-ES"/>
                  </w:rPr>
                  <w:t>su</w:t>
                </w:r>
                <w:r w:rsidRPr="0068646A">
                  <w:rPr>
                    <w:rFonts w:ascii="Arial" w:hAnsi="Arial" w:cs="Arial"/>
                    <w:sz w:val="20"/>
                    <w:szCs w:val="20"/>
                    <w:lang w:val="es-ES"/>
                  </w:rPr>
                  <w:t xml:space="preserve"> oferta </w:t>
                </w:r>
                <w:r>
                  <w:rPr>
                    <w:rFonts w:ascii="Arial" w:hAnsi="Arial" w:cs="Arial"/>
                    <w:sz w:val="20"/>
                    <w:szCs w:val="20"/>
                    <w:lang w:val="es-ES"/>
                  </w:rPr>
                  <w:t>integral</w:t>
                </w:r>
                <w:r w:rsidRPr="0068646A">
                  <w:rPr>
                    <w:rFonts w:ascii="Arial" w:hAnsi="Arial" w:cs="Arial"/>
                    <w:sz w:val="20"/>
                    <w:szCs w:val="20"/>
                    <w:lang w:val="es-ES"/>
                  </w:rPr>
                  <w:t xml:space="preserve"> basada en suscripciones: vehículos eléctricos de batería, soluciones de recarga, financiación, etc.</w:t>
                </w:r>
              </w:p>
            </w:tc>
          </w:tr>
        </w:tbl>
        <w:p w14:paraId="14DAEE12" w14:textId="77777777" w:rsidR="00C4385F" w:rsidRPr="0068646A" w:rsidRDefault="00C4385F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27A96BB" w14:textId="77777777" w:rsidR="0068646A" w:rsidRPr="0068646A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3F579A5" w14:textId="77777777" w:rsidR="0068646A" w:rsidRPr="0068646A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0AE55E9" w14:textId="77777777" w:rsidR="00C4385F" w:rsidRPr="00C4385F" w:rsidRDefault="00C4385F" w:rsidP="00C4385F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  <w:r w:rsidRPr="00C4385F"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  <w:t>Acerca de Watèa</w:t>
          </w:r>
        </w:p>
        <w:p w14:paraId="1E6972BC" w14:textId="6F4BE282" w:rsidR="00C4385F" w:rsidRPr="00C4385F" w:rsidRDefault="00C4385F" w:rsidP="00C4385F">
          <w:pPr>
            <w:jc w:val="both"/>
            <w:rPr>
              <w:rFonts w:ascii="Arial" w:hAnsi="Arial" w:cs="Arial"/>
              <w:iCs/>
              <w:sz w:val="16"/>
              <w:szCs w:val="16"/>
              <w:lang w:val="es-ES"/>
            </w:rPr>
          </w:pPr>
          <w:r w:rsidRPr="00C4385F">
            <w:rPr>
              <w:rFonts w:ascii="Arial" w:hAnsi="Arial" w:cs="Arial"/>
              <w:iCs/>
              <w:sz w:val="16"/>
              <w:szCs w:val="16"/>
              <w:lang w:val="es-ES"/>
            </w:rPr>
            <w:t>A través de un</w:t>
          </w:r>
          <w:r>
            <w:rPr>
              <w:rFonts w:ascii="Arial" w:hAnsi="Arial" w:cs="Arial"/>
              <w:iCs/>
              <w:sz w:val="16"/>
              <w:szCs w:val="16"/>
              <w:lang w:val="es-ES"/>
            </w:rPr>
            <w:t>a oferta integral</w:t>
          </w:r>
          <w:r w:rsidRPr="00C4385F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adaptad</w:t>
          </w:r>
          <w:r>
            <w:rPr>
              <w:rFonts w:ascii="Arial" w:hAnsi="Arial" w:cs="Arial"/>
              <w:iCs/>
              <w:sz w:val="16"/>
              <w:szCs w:val="16"/>
              <w:lang w:val="es-ES"/>
            </w:rPr>
            <w:t>a</w:t>
          </w:r>
          <w:r w:rsidRPr="00C4385F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a las necesidades de las empresas, Watèa proporciona vehículos eléctricos de batería e hidrógeno, acceso a una infraestructura de recarga y servicios digitales para garantizar la continuidad de la actividad. Gracias a un sistema de suscripción mensual, los costes se mantienen bajo control. Filial de los grupos Michelin y Crédit Agricole Leasing &amp; Factoring, Watèa </w:t>
          </w:r>
          <w:r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se inscribe en el marco de los objetivos </w:t>
          </w:r>
          <w:r w:rsidRPr="00C4385F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de sus accionistas y </w:t>
          </w:r>
          <w:r>
            <w:rPr>
              <w:rFonts w:ascii="Arial" w:hAnsi="Arial" w:cs="Arial"/>
              <w:iCs/>
              <w:sz w:val="16"/>
              <w:szCs w:val="16"/>
              <w:lang w:val="es-ES"/>
            </w:rPr>
            <w:t>de</w:t>
          </w:r>
          <w:r w:rsidRPr="00C4385F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sus valores de movilidad sostenible, innovación, fiabilidad y </w:t>
          </w:r>
          <w:r>
            <w:rPr>
              <w:rFonts w:ascii="Arial" w:hAnsi="Arial" w:cs="Arial"/>
              <w:iCs/>
              <w:sz w:val="16"/>
              <w:szCs w:val="16"/>
              <w:lang w:val="es-ES"/>
            </w:rPr>
            <w:t>atención</w:t>
          </w:r>
          <w:r w:rsidRPr="00C4385F">
            <w:rPr>
              <w:rFonts w:ascii="Arial" w:hAnsi="Arial" w:cs="Arial"/>
              <w:iCs/>
              <w:sz w:val="16"/>
              <w:szCs w:val="16"/>
              <w:lang w:val="es-ES"/>
            </w:rPr>
            <w:t xml:space="preserve"> al cliente.</w:t>
          </w:r>
        </w:p>
        <w:p w14:paraId="0845981D" w14:textId="77777777" w:rsidR="00422E33" w:rsidRPr="006D4CB8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484E34F5" w:rsidR="003C3FC0" w:rsidRPr="006D4CB8" w:rsidRDefault="00A2148E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0C4D8941" w14:textId="77777777" w:rsidR="00082115" w:rsidRPr="004C6D0A" w:rsidRDefault="00082115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1597344B" w14:textId="77777777" w:rsidR="00082115" w:rsidRDefault="00082115" w:rsidP="00082115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59FEDC17" w14:textId="77777777" w:rsidR="00C4385F" w:rsidRDefault="00C4385F" w:rsidP="00082115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96EDB40" w14:textId="77777777" w:rsidR="00C4385F" w:rsidRPr="00C4385F" w:rsidRDefault="00C4385F" w:rsidP="00C4385F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51B77D5C" w14:textId="77777777" w:rsidR="00C4385F" w:rsidRPr="009A43CE" w:rsidRDefault="00C4385F" w:rsidP="00082115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04E2782E" w14:textId="77777777" w:rsidR="00416DE4" w:rsidRPr="006D4CB8" w:rsidRDefault="00416DE4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833986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A95EF5B" w14:textId="77777777" w:rsidR="007A3D45" w:rsidRPr="00833986" w:rsidRDefault="007A3D45" w:rsidP="007A3D45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833986">
        <w:rPr>
          <w:rFonts w:ascii="Arial" w:hAnsi="Arial" w:cs="Arial"/>
          <w:sz w:val="20"/>
          <w:szCs w:val="20"/>
          <w:lang w:val="es-ES"/>
        </w:rPr>
        <w:t>DEPARTAMENTO DE COMUNICACIÓN CORPORATIVA</w:t>
      </w:r>
    </w:p>
    <w:p w14:paraId="750C5A76" w14:textId="77777777" w:rsidR="007A3D45" w:rsidRPr="00833986" w:rsidRDefault="007A3D45" w:rsidP="007A3D45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833986">
        <w:rPr>
          <w:rFonts w:ascii="Arial" w:hAnsi="Arial" w:cs="Arial"/>
          <w:b/>
          <w:bCs/>
          <w:sz w:val="20"/>
          <w:szCs w:val="20"/>
          <w:lang w:val="es-ES"/>
        </w:rPr>
        <w:t>+34 6</w:t>
      </w:r>
      <w:r>
        <w:rPr>
          <w:rFonts w:ascii="Arial" w:hAnsi="Arial" w:cs="Arial"/>
          <w:b/>
          <w:bCs/>
          <w:sz w:val="20"/>
          <w:szCs w:val="20"/>
          <w:lang w:val="es-ES"/>
        </w:rPr>
        <w:t>18 525 277</w:t>
      </w:r>
    </w:p>
    <w:p w14:paraId="75F749FD" w14:textId="77777777" w:rsidR="007A3D45" w:rsidRPr="00833986" w:rsidRDefault="00A2148E" w:rsidP="007A3D45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  <w:hyperlink r:id="rId9" w:tgtFrame="_blank" w:history="1">
        <w:r w:rsidR="007A3D45" w:rsidRPr="00833986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2ADE691F" w14:textId="77777777" w:rsidR="007A3D45" w:rsidRDefault="007A3D45" w:rsidP="007A3D45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317387A1" w14:textId="77777777" w:rsidR="007A3D45" w:rsidRPr="00833986" w:rsidRDefault="007A3D45" w:rsidP="007A3D45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833986"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inline distT="0" distB="0" distL="0" distR="0" wp14:anchorId="235FCD9A" wp14:editId="2D5F60B7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3D45" w:rsidRPr="00833986" w14:paraId="39CAB30F" w14:textId="77777777" w:rsidTr="00C64BBD">
        <w:tc>
          <w:tcPr>
            <w:tcW w:w="9016" w:type="dxa"/>
          </w:tcPr>
          <w:p w14:paraId="3826FC43" w14:textId="77777777" w:rsidR="007A3D45" w:rsidRPr="00833986" w:rsidRDefault="00A2148E" w:rsidP="00C64BB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2" w:history="1">
              <w:r w:rsidR="007A3D45" w:rsidRPr="00FA4C66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4AA868D6" w14:textId="77777777" w:rsidR="007A3D45" w:rsidRPr="00833986" w:rsidRDefault="007A3D45" w:rsidP="00C64BBD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7A3D45" w:rsidRPr="00833986" w14:paraId="3DCEA8A1" w14:textId="77777777" w:rsidTr="00C64BBD">
        <w:tc>
          <w:tcPr>
            <w:tcW w:w="9016" w:type="dxa"/>
          </w:tcPr>
          <w:p w14:paraId="30440DB5" w14:textId="77777777" w:rsidR="007A3D45" w:rsidRPr="00833986" w:rsidRDefault="007A3D45" w:rsidP="00C64BBD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 w:rsidRPr="00833986">
              <w:rPr>
                <w:sz w:val="20"/>
                <w:szCs w:val="20"/>
              </w:rPr>
              <w:t xml:space="preserve">   </w:t>
            </w:r>
            <w:r w:rsidRPr="00833986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F0E292B" wp14:editId="1D4E248D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833986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33986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33986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9DCE51A" wp14:editId="091C3014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986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833986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Pr="00833986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33986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B6C8DAA" wp14:editId="3E83955D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986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833986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Pr="00833986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33986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905EC1F" wp14:editId="12EF805D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986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 w:rsidRPr="00833986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C27F417" w14:textId="77777777" w:rsidR="007A3D45" w:rsidRPr="00833986" w:rsidRDefault="007A3D45" w:rsidP="007A3D45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63CBFAC2" w14:textId="77777777" w:rsidR="007A3D45" w:rsidRPr="006D4CB8" w:rsidRDefault="007A3D45" w:rsidP="007A3D4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Glorieta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Bibendum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nº1 – 47009 Valladolid </w:t>
      </w:r>
      <w:r w:rsidRPr="0083398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6D4CB8">
        <w:rPr>
          <w:rFonts w:ascii="Arial" w:hAnsi="Arial" w:cs="Arial"/>
          <w:lang w:val="es-ES"/>
        </w:rPr>
        <w:t xml:space="preserve"> ESPAÑA</w:t>
      </w:r>
    </w:p>
    <w:p w14:paraId="35E7F4EF" w14:textId="61BDD4B4" w:rsidR="00387E23" w:rsidRPr="006D4CB8" w:rsidRDefault="00387E23" w:rsidP="007A3D45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387E23" w:rsidRPr="006D4CB8" w:rsidSect="006C38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2688B" w14:textId="77777777" w:rsidR="00A2148E" w:rsidRDefault="00A2148E" w:rsidP="00F24D98">
      <w:r>
        <w:separator/>
      </w:r>
    </w:p>
  </w:endnote>
  <w:endnote w:type="continuationSeparator" w:id="0">
    <w:p w14:paraId="7EF51688" w14:textId="77777777" w:rsidR="00A2148E" w:rsidRDefault="00A2148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7CEBD" w14:textId="77777777" w:rsidR="00A2148E" w:rsidRDefault="00A2148E" w:rsidP="00F24D98">
      <w:r>
        <w:separator/>
      </w:r>
    </w:p>
  </w:footnote>
  <w:footnote w:type="continuationSeparator" w:id="0">
    <w:p w14:paraId="395FA57B" w14:textId="77777777" w:rsidR="00A2148E" w:rsidRDefault="00A2148E" w:rsidP="00F24D98">
      <w:r>
        <w:continuationSeparator/>
      </w:r>
    </w:p>
  </w:footnote>
  <w:footnote w:id="1">
    <w:p w14:paraId="3831C1AC" w14:textId="16FD8956" w:rsidR="00C4385F" w:rsidRPr="00C4385F" w:rsidRDefault="00C4385F">
      <w:pPr>
        <w:pStyle w:val="Textonotapie"/>
        <w:rPr>
          <w:rFonts w:ascii="Arial" w:hAnsi="Arial" w:cs="Arial"/>
          <w:sz w:val="16"/>
          <w:szCs w:val="16"/>
          <w:lang w:val="en-US"/>
        </w:rPr>
      </w:pPr>
      <w:r w:rsidRPr="00C4385F">
        <w:rPr>
          <w:rStyle w:val="Refdenotaalpie"/>
          <w:rFonts w:ascii="Arial" w:hAnsi="Arial" w:cs="Arial"/>
          <w:sz w:val="16"/>
          <w:szCs w:val="16"/>
        </w:rPr>
        <w:footnoteRef/>
      </w:r>
      <w:r w:rsidRPr="00C4385F">
        <w:rPr>
          <w:rFonts w:ascii="Arial" w:hAnsi="Arial" w:cs="Arial"/>
          <w:sz w:val="16"/>
          <w:szCs w:val="16"/>
        </w:rPr>
        <w:t xml:space="preserve"> Global EV </w:t>
      </w:r>
      <w:r w:rsidRPr="00C4385F">
        <w:rPr>
          <w:rFonts w:ascii="Arial" w:hAnsi="Arial" w:cs="Arial"/>
          <w:sz w:val="16"/>
          <w:szCs w:val="16"/>
          <w:lang w:val="en-US"/>
        </w:rPr>
        <w:t xml:space="preserve">Outlook Report 2023, IEA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49459B24" w:rsidR="001963B1" w:rsidRDefault="00F23D2E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323A5"/>
    <w:rsid w:val="00034081"/>
    <w:rsid w:val="000614D3"/>
    <w:rsid w:val="000778DE"/>
    <w:rsid w:val="00082115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387E23"/>
    <w:rsid w:val="00390280"/>
    <w:rsid w:val="003930CA"/>
    <w:rsid w:val="00395651"/>
    <w:rsid w:val="003C3FC0"/>
    <w:rsid w:val="003C419D"/>
    <w:rsid w:val="003D2687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5F24E0"/>
    <w:rsid w:val="0068646A"/>
    <w:rsid w:val="006920B7"/>
    <w:rsid w:val="006C3818"/>
    <w:rsid w:val="006C44F0"/>
    <w:rsid w:val="006C7776"/>
    <w:rsid w:val="006D398C"/>
    <w:rsid w:val="006D4CB8"/>
    <w:rsid w:val="00707806"/>
    <w:rsid w:val="007A3D45"/>
    <w:rsid w:val="007E51AC"/>
    <w:rsid w:val="007F37A6"/>
    <w:rsid w:val="00802F0B"/>
    <w:rsid w:val="00816BB1"/>
    <w:rsid w:val="00833986"/>
    <w:rsid w:val="00834943"/>
    <w:rsid w:val="0083779A"/>
    <w:rsid w:val="00842005"/>
    <w:rsid w:val="0085450A"/>
    <w:rsid w:val="00877AE5"/>
    <w:rsid w:val="008B072F"/>
    <w:rsid w:val="008F3690"/>
    <w:rsid w:val="008F5893"/>
    <w:rsid w:val="0093532F"/>
    <w:rsid w:val="009969D4"/>
    <w:rsid w:val="00A010E6"/>
    <w:rsid w:val="00A05352"/>
    <w:rsid w:val="00A133C9"/>
    <w:rsid w:val="00A2148E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4C06"/>
    <w:rsid w:val="00B45C21"/>
    <w:rsid w:val="00B97B28"/>
    <w:rsid w:val="00BC2889"/>
    <w:rsid w:val="00BE269E"/>
    <w:rsid w:val="00BF30E7"/>
    <w:rsid w:val="00C4385F"/>
    <w:rsid w:val="00C53F0C"/>
    <w:rsid w:val="00CC6BAF"/>
    <w:rsid w:val="00CE4C0D"/>
    <w:rsid w:val="00CE5E82"/>
    <w:rsid w:val="00D26D15"/>
    <w:rsid w:val="00D313A5"/>
    <w:rsid w:val="00D55011"/>
    <w:rsid w:val="00D729F5"/>
    <w:rsid w:val="00D9116F"/>
    <w:rsid w:val="00DB7FA5"/>
    <w:rsid w:val="00DE0B5B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6785B"/>
    <w:rsid w:val="00F84A70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jose.saura-vinssac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C0D8B5-4E14-42C6-A18E-6C33A943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870</Words>
  <Characters>4791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36</cp:revision>
  <dcterms:created xsi:type="dcterms:W3CDTF">2021-03-01T16:33:00Z</dcterms:created>
  <dcterms:modified xsi:type="dcterms:W3CDTF">2023-11-30T08:04:00Z</dcterms:modified>
</cp:coreProperties>
</file>