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BA98" w14:textId="77777777" w:rsidR="00B36FEE" w:rsidRPr="006D4CB8" w:rsidRDefault="00395651" w:rsidP="00395651">
      <w:pPr>
        <w:rPr>
          <w:rFonts w:ascii="Arial" w:hAnsi="Arial" w:cs="Arial"/>
          <w:sz w:val="20"/>
          <w:szCs w:val="20"/>
          <w:lang w:val="es-ES"/>
        </w:rPr>
      </w:pPr>
      <w:r w:rsidRPr="006D4CB8">
        <w:rPr>
          <w:rFonts w:ascii="Arial" w:hAnsi="Arial" w:cs="Arial"/>
          <w:sz w:val="20"/>
          <w:szCs w:val="20"/>
          <w:lang w:val="es-ES"/>
        </w:rPr>
        <w:t xml:space="preserve">                                                                               </w:t>
      </w:r>
      <w:r w:rsidR="00422E33" w:rsidRPr="006D4CB8">
        <w:rPr>
          <w:rFonts w:ascii="Arial" w:hAnsi="Arial" w:cs="Arial"/>
          <w:sz w:val="20"/>
          <w:szCs w:val="20"/>
          <w:lang w:val="es-ES"/>
        </w:rPr>
        <w:t xml:space="preserve">                </w:t>
      </w:r>
      <w:r w:rsidRPr="006D4CB8">
        <w:rPr>
          <w:rFonts w:ascii="Arial" w:hAnsi="Arial" w:cs="Arial"/>
          <w:sz w:val="20"/>
          <w:szCs w:val="20"/>
          <w:lang w:val="es-ES"/>
        </w:rPr>
        <w:t xml:space="preserve">    </w:t>
      </w:r>
    </w:p>
    <w:p w14:paraId="2F46475E" w14:textId="77777777" w:rsidR="00B36FEE" w:rsidRPr="006D4CB8" w:rsidRDefault="00B36FEE" w:rsidP="00395651">
      <w:pPr>
        <w:rPr>
          <w:rFonts w:ascii="Arial" w:hAnsi="Arial" w:cs="Arial"/>
          <w:sz w:val="20"/>
          <w:szCs w:val="20"/>
          <w:lang w:val="es-ES"/>
        </w:rPr>
      </w:pPr>
    </w:p>
    <w:p w14:paraId="74DBC59E" w14:textId="77777777" w:rsidR="00B36FEE" w:rsidRPr="006D4CB8" w:rsidRDefault="00B36FEE" w:rsidP="00395651">
      <w:pPr>
        <w:rPr>
          <w:rFonts w:ascii="Arial" w:hAnsi="Arial" w:cs="Arial"/>
          <w:sz w:val="20"/>
          <w:szCs w:val="20"/>
          <w:lang w:val="es-ES"/>
        </w:rPr>
      </w:pPr>
    </w:p>
    <w:p w14:paraId="62CD8697" w14:textId="77777777" w:rsidR="00B36FEE" w:rsidRPr="006D4CB8" w:rsidRDefault="00B36FEE" w:rsidP="00395651">
      <w:pPr>
        <w:rPr>
          <w:rFonts w:ascii="Arial" w:hAnsi="Arial" w:cs="Arial"/>
          <w:sz w:val="20"/>
          <w:szCs w:val="20"/>
          <w:lang w:val="es-ES"/>
        </w:rPr>
      </w:pPr>
    </w:p>
    <w:p w14:paraId="73920A83" w14:textId="77777777" w:rsidR="00B36FEE" w:rsidRPr="006D4CB8" w:rsidRDefault="00B36FEE" w:rsidP="00395651">
      <w:pPr>
        <w:rPr>
          <w:rFonts w:ascii="Arial" w:hAnsi="Arial" w:cs="Arial"/>
          <w:sz w:val="20"/>
          <w:szCs w:val="20"/>
          <w:lang w:val="es-ES"/>
        </w:rPr>
      </w:pPr>
    </w:p>
    <w:p w14:paraId="139D66BB" w14:textId="2B5F76B4" w:rsidR="006D398C" w:rsidRPr="006D4CB8" w:rsidRDefault="00B36FEE" w:rsidP="00B36FEE">
      <w:pPr>
        <w:ind w:left="5760"/>
        <w:rPr>
          <w:rFonts w:ascii="Arial" w:hAnsi="Arial" w:cs="Arial"/>
          <w:sz w:val="20"/>
          <w:szCs w:val="20"/>
          <w:lang w:val="es-ES"/>
        </w:rPr>
      </w:pPr>
      <w:r w:rsidRPr="006D4CB8">
        <w:rPr>
          <w:rFonts w:ascii="Arial" w:hAnsi="Arial" w:cs="Arial"/>
          <w:sz w:val="20"/>
          <w:szCs w:val="20"/>
          <w:lang w:val="es-ES"/>
        </w:rPr>
        <w:t xml:space="preserve">   </w:t>
      </w:r>
      <w:r w:rsidR="00BE269E" w:rsidRPr="008C597A">
        <w:rPr>
          <w:rFonts w:ascii="Arial" w:hAnsi="Arial" w:cs="Arial"/>
          <w:sz w:val="20"/>
          <w:szCs w:val="20"/>
          <w:lang w:val="es-ES"/>
        </w:rPr>
        <w:t xml:space="preserve">Madrid, </w:t>
      </w:r>
      <w:r w:rsidR="008C597A" w:rsidRPr="008C597A">
        <w:rPr>
          <w:rFonts w:ascii="Arial" w:hAnsi="Arial" w:cs="Arial"/>
          <w:sz w:val="20"/>
          <w:szCs w:val="20"/>
          <w:lang w:val="es-ES"/>
        </w:rPr>
        <w:t>1</w:t>
      </w:r>
      <w:r w:rsidR="00DE00A9">
        <w:rPr>
          <w:rFonts w:ascii="Arial" w:hAnsi="Arial" w:cs="Arial"/>
          <w:sz w:val="20"/>
          <w:szCs w:val="20"/>
          <w:lang w:val="es-ES"/>
        </w:rPr>
        <w:t>9</w:t>
      </w:r>
      <w:r w:rsidR="00BE269E" w:rsidRPr="008C597A">
        <w:rPr>
          <w:rFonts w:ascii="Arial" w:hAnsi="Arial" w:cs="Arial"/>
          <w:sz w:val="20"/>
          <w:szCs w:val="20"/>
          <w:lang w:val="es-ES"/>
        </w:rPr>
        <w:t xml:space="preserve"> de </w:t>
      </w:r>
      <w:r w:rsidR="008C597A" w:rsidRPr="008C597A">
        <w:rPr>
          <w:rFonts w:ascii="Arial" w:hAnsi="Arial" w:cs="Arial"/>
          <w:sz w:val="20"/>
          <w:szCs w:val="20"/>
          <w:lang w:val="es-ES"/>
        </w:rPr>
        <w:t>diciembre</w:t>
      </w:r>
      <w:r w:rsidR="006D398C" w:rsidRPr="008C597A">
        <w:rPr>
          <w:rFonts w:ascii="Arial" w:hAnsi="Arial" w:cs="Arial"/>
          <w:sz w:val="20"/>
          <w:szCs w:val="20"/>
          <w:lang w:val="es-ES"/>
        </w:rPr>
        <w:t>, 202</w:t>
      </w:r>
      <w:r w:rsidR="00842005" w:rsidRPr="008C597A">
        <w:rPr>
          <w:rFonts w:ascii="Arial" w:hAnsi="Arial" w:cs="Arial"/>
          <w:sz w:val="20"/>
          <w:szCs w:val="20"/>
          <w:lang w:val="es-ES"/>
        </w:rPr>
        <w:t>3</w:t>
      </w:r>
    </w:p>
    <w:sdt>
      <w:sdtPr>
        <w:rPr>
          <w:rFonts w:ascii="Arial" w:hAnsi="Arial" w:cs="Arial"/>
          <w:lang w:val="es-ES"/>
        </w:rPr>
        <w:id w:val="1987273284"/>
        <w:docPartObj>
          <w:docPartGallery w:val="Cover Pages"/>
          <w:docPartUnique/>
        </w:docPartObj>
      </w:sdtPr>
      <w:sdtContent>
        <w:p w14:paraId="75083583" w14:textId="77777777" w:rsidR="006D398C" w:rsidRPr="006D4CB8" w:rsidRDefault="006D398C" w:rsidP="006D398C">
          <w:pPr>
            <w:jc w:val="center"/>
            <w:rPr>
              <w:rFonts w:ascii="Arial" w:hAnsi="Arial" w:cs="Arial"/>
              <w:lang w:val="es-ES"/>
            </w:rPr>
          </w:pPr>
        </w:p>
        <w:p w14:paraId="5B402CDD" w14:textId="77777777" w:rsidR="008F5893" w:rsidRPr="006D4CB8" w:rsidRDefault="008F5893" w:rsidP="006D398C">
          <w:pPr>
            <w:jc w:val="center"/>
            <w:rPr>
              <w:rFonts w:ascii="Arial" w:hAnsi="Arial" w:cs="Arial"/>
              <w:b/>
              <w:sz w:val="26"/>
              <w:lang w:val="es-ES"/>
            </w:rPr>
          </w:pPr>
        </w:p>
        <w:p w14:paraId="09BF8400" w14:textId="7C48A222" w:rsidR="008C597A" w:rsidRDefault="008C597A" w:rsidP="00BE269E">
          <w:pPr>
            <w:jc w:val="center"/>
            <w:rPr>
              <w:rFonts w:ascii="Arial" w:hAnsi="Arial" w:cs="Arial"/>
              <w:b/>
              <w:sz w:val="28"/>
              <w:szCs w:val="28"/>
              <w:lang w:val="es-ES"/>
            </w:rPr>
          </w:pPr>
          <w:r>
            <w:rPr>
              <w:rFonts w:ascii="Arial" w:hAnsi="Arial" w:cs="Arial"/>
              <w:b/>
              <w:sz w:val="28"/>
              <w:szCs w:val="28"/>
              <w:lang w:val="es-ES"/>
            </w:rPr>
            <w:t xml:space="preserve">Michelin, el CNRS y la Universidad Clermont Auvergne unen sus fuerzas para estudiar el proceso de degradación asociado al uso </w:t>
          </w:r>
        </w:p>
        <w:p w14:paraId="6AD3B006" w14:textId="6C9E235C" w:rsidR="006D398C" w:rsidRPr="006D4CB8" w:rsidRDefault="008C597A" w:rsidP="00BE269E">
          <w:pPr>
            <w:jc w:val="center"/>
            <w:rPr>
              <w:rFonts w:ascii="Arial" w:hAnsi="Arial" w:cs="Arial"/>
              <w:b/>
              <w:sz w:val="28"/>
              <w:szCs w:val="28"/>
              <w:lang w:val="es-ES"/>
            </w:rPr>
          </w:pPr>
          <w:r>
            <w:rPr>
              <w:rFonts w:ascii="Arial" w:hAnsi="Arial" w:cs="Arial"/>
              <w:b/>
              <w:sz w:val="28"/>
              <w:szCs w:val="28"/>
              <w:lang w:val="es-ES"/>
            </w:rPr>
            <w:t>de los neumáticos</w:t>
          </w:r>
        </w:p>
        <w:p w14:paraId="5614BB42" w14:textId="274536E7" w:rsidR="006D398C" w:rsidRPr="006D4CB8" w:rsidRDefault="006D398C" w:rsidP="006D398C">
          <w:pPr>
            <w:jc w:val="center"/>
            <w:rPr>
              <w:rStyle w:val="normaltextrun"/>
              <w:rFonts w:ascii="Arial" w:eastAsiaTheme="majorEastAsia" w:hAnsi="Arial" w:cs="Arial"/>
              <w:b/>
              <w:bCs/>
              <w:sz w:val="22"/>
              <w:szCs w:val="22"/>
              <w:lang w:val="es-ES"/>
            </w:rPr>
          </w:pPr>
        </w:p>
        <w:p w14:paraId="25580CFE" w14:textId="77777777" w:rsidR="00523432" w:rsidRPr="006D4CB8" w:rsidRDefault="00523432" w:rsidP="006D398C">
          <w:pPr>
            <w:jc w:val="center"/>
            <w:rPr>
              <w:rStyle w:val="normaltextrun"/>
              <w:rFonts w:ascii="Arial" w:eastAsiaTheme="majorEastAsia" w:hAnsi="Arial" w:cs="Arial"/>
              <w:b/>
              <w:bCs/>
              <w:sz w:val="22"/>
              <w:szCs w:val="22"/>
              <w:lang w:val="es-ES"/>
            </w:rPr>
          </w:pPr>
        </w:p>
        <w:p w14:paraId="7460AE29" w14:textId="77777777" w:rsidR="006D398C" w:rsidRPr="006D4CB8" w:rsidRDefault="006D398C" w:rsidP="006D398C">
          <w:pPr>
            <w:rPr>
              <w:rStyle w:val="normaltextrun"/>
              <w:rFonts w:ascii="Arial" w:eastAsiaTheme="majorEastAsia" w:hAnsi="Arial" w:cs="Arial"/>
              <w:b/>
              <w:bCs/>
              <w:sz w:val="22"/>
              <w:szCs w:val="22"/>
              <w:lang w:val="es-ES"/>
            </w:rPr>
          </w:pPr>
        </w:p>
        <w:p w14:paraId="058AA6AE" w14:textId="27F9F2A2" w:rsidR="00BE269E" w:rsidRPr="006D4CB8" w:rsidRDefault="00573DB4" w:rsidP="00BE269E">
          <w:pPr>
            <w:pStyle w:val="Prrafodelista"/>
            <w:numPr>
              <w:ilvl w:val="0"/>
              <w:numId w:val="1"/>
            </w:numPr>
            <w:jc w:val="both"/>
            <w:rPr>
              <w:rFonts w:ascii="Arial" w:eastAsia="Calibri" w:hAnsi="Arial" w:cs="Arial"/>
              <w:lang w:val="es-ES"/>
            </w:rPr>
          </w:pPr>
          <w:r>
            <w:rPr>
              <w:rFonts w:ascii="Arial" w:eastAsia="Calibri" w:hAnsi="Arial" w:cs="Arial"/>
              <w:lang w:val="es-ES" w:eastAsia="en-US"/>
            </w:rPr>
            <w:t>Michelin, el CNRS y la Universidad Clermont Auvergne combinan su experiencia y conocimientos en el nuevo laboratorio conjunto de investigación BioDLab</w:t>
          </w:r>
        </w:p>
        <w:p w14:paraId="3C065D45" w14:textId="4E9A8014" w:rsidR="006D398C" w:rsidRPr="006D4CB8" w:rsidRDefault="00573DB4" w:rsidP="00BE269E">
          <w:pPr>
            <w:pStyle w:val="Prrafodelista"/>
            <w:numPr>
              <w:ilvl w:val="0"/>
              <w:numId w:val="1"/>
            </w:numPr>
            <w:jc w:val="both"/>
            <w:rPr>
              <w:rFonts w:ascii="Arial" w:eastAsia="Calibri" w:hAnsi="Arial" w:cs="Arial"/>
              <w:lang w:val="es-ES"/>
            </w:rPr>
          </w:pPr>
          <w:r>
            <w:rPr>
              <w:rFonts w:ascii="Arial" w:eastAsia="Calibri" w:hAnsi="Arial" w:cs="Arial"/>
              <w:lang w:val="es-ES" w:eastAsia="en-US"/>
            </w:rPr>
            <w:t>El laboratorio se centrará en el estudio del proceso de degradación asociado al uso de los neumáticos</w:t>
          </w:r>
        </w:p>
        <w:p w14:paraId="380422CF" w14:textId="0A60B264" w:rsidR="006D398C" w:rsidRPr="006D4CB8" w:rsidRDefault="00573DB4" w:rsidP="00BE269E">
          <w:pPr>
            <w:pStyle w:val="Prrafodelista"/>
            <w:numPr>
              <w:ilvl w:val="0"/>
              <w:numId w:val="1"/>
            </w:numPr>
            <w:jc w:val="both"/>
            <w:rPr>
              <w:rStyle w:val="normaltextrun"/>
              <w:rFonts w:ascii="Arial" w:eastAsiaTheme="majorEastAsia" w:hAnsi="Arial" w:cs="Arial"/>
              <w:lang w:val="es-ES"/>
            </w:rPr>
          </w:pPr>
          <w:r>
            <w:rPr>
              <w:rFonts w:ascii="Arial" w:eastAsia="Calibri" w:hAnsi="Arial" w:cs="Arial"/>
              <w:lang w:val="es-ES" w:eastAsia="en-US"/>
            </w:rPr>
            <w:t>El objetivo es lograr que las partículas resultantes del contacto entre el neumático y la carretera sean bioasimilables</w:t>
          </w:r>
        </w:p>
        <w:p w14:paraId="11B83B70" w14:textId="77777777" w:rsidR="006D398C" w:rsidRPr="006D4CB8" w:rsidRDefault="006D398C" w:rsidP="006D398C">
          <w:pPr>
            <w:jc w:val="both"/>
            <w:rPr>
              <w:rStyle w:val="normaltextrun"/>
              <w:rFonts w:ascii="Arial" w:eastAsiaTheme="majorEastAsia" w:hAnsi="Arial" w:cs="Arial"/>
              <w:b/>
              <w:bCs/>
              <w:sz w:val="22"/>
              <w:szCs w:val="22"/>
              <w:lang w:val="es-ES"/>
            </w:rPr>
          </w:pPr>
        </w:p>
        <w:p w14:paraId="464D91BD" w14:textId="77777777" w:rsidR="008C597A" w:rsidRDefault="008C597A" w:rsidP="008C597A">
          <w:pPr>
            <w:spacing w:line="276" w:lineRule="auto"/>
            <w:jc w:val="both"/>
            <w:rPr>
              <w:rFonts w:ascii="Arial" w:hAnsi="Arial" w:cs="Arial"/>
              <w:sz w:val="20"/>
              <w:szCs w:val="20"/>
              <w:lang w:val="es-ES"/>
            </w:rPr>
          </w:pPr>
        </w:p>
        <w:p w14:paraId="01A0BC4E" w14:textId="121C6303" w:rsidR="008C597A" w:rsidRPr="008C597A" w:rsidRDefault="008C597A" w:rsidP="008C597A">
          <w:pPr>
            <w:spacing w:line="276" w:lineRule="auto"/>
            <w:jc w:val="both"/>
            <w:rPr>
              <w:rFonts w:ascii="Arial" w:hAnsi="Arial" w:cs="Arial"/>
              <w:sz w:val="20"/>
              <w:szCs w:val="20"/>
              <w:lang w:val="es-ES"/>
            </w:rPr>
          </w:pPr>
          <w:r w:rsidRPr="008C597A">
            <w:rPr>
              <w:rFonts w:ascii="Arial" w:hAnsi="Arial" w:cs="Arial"/>
              <w:sz w:val="20"/>
              <w:szCs w:val="20"/>
              <w:lang w:val="es-ES"/>
            </w:rPr>
            <w:t xml:space="preserve">Michelin, el CNRS y la Universidad de Clermont Auvergne inauguraron </w:t>
          </w:r>
          <w:r>
            <w:rPr>
              <w:rFonts w:ascii="Arial" w:hAnsi="Arial" w:cs="Arial"/>
              <w:sz w:val="20"/>
              <w:szCs w:val="20"/>
              <w:lang w:val="es-ES"/>
            </w:rPr>
            <w:t>el pasado 6 de diciembre el</w:t>
          </w:r>
          <w:r w:rsidRPr="008C597A">
            <w:rPr>
              <w:rFonts w:ascii="Arial" w:hAnsi="Arial" w:cs="Arial"/>
              <w:sz w:val="20"/>
              <w:szCs w:val="20"/>
              <w:lang w:val="es-ES"/>
            </w:rPr>
            <w:t xml:space="preserve"> laboratorio conjunto </w:t>
          </w:r>
          <w:r>
            <w:rPr>
              <w:rFonts w:ascii="Arial" w:hAnsi="Arial" w:cs="Arial"/>
              <w:sz w:val="20"/>
              <w:szCs w:val="20"/>
              <w:lang w:val="es-ES"/>
            </w:rPr>
            <w:t>de investigación “Bi</w:t>
          </w:r>
          <w:r w:rsidRPr="008C597A">
            <w:rPr>
              <w:rFonts w:ascii="Arial" w:hAnsi="Arial" w:cs="Arial"/>
              <w:sz w:val="20"/>
              <w:szCs w:val="20"/>
              <w:lang w:val="es-ES"/>
            </w:rPr>
            <w:t>oDLab</w:t>
          </w:r>
          <w:r>
            <w:rPr>
              <w:rFonts w:ascii="Arial" w:hAnsi="Arial" w:cs="Arial"/>
              <w:sz w:val="20"/>
              <w:szCs w:val="20"/>
              <w:lang w:val="es-ES"/>
            </w:rPr>
            <w:t>”,</w:t>
          </w:r>
          <w:r w:rsidRPr="008C597A">
            <w:rPr>
              <w:rFonts w:ascii="Arial" w:hAnsi="Arial" w:cs="Arial"/>
              <w:sz w:val="20"/>
              <w:szCs w:val="20"/>
              <w:lang w:val="es-ES"/>
            </w:rPr>
            <w:t xml:space="preserve"> dedicado al estudio de la degradación y biodegradación del caucho de los neumáticos. El objetivo es comprender mejor el proceso de degradación asociado al uso de los neumáticos y desarrollar soluciones técnicas a los problemas medioambientales que plantean las partículas de desgaste resultantes del contacto entre la carretera y el neumático. </w:t>
          </w:r>
        </w:p>
        <w:p w14:paraId="499F5A61" w14:textId="77777777" w:rsidR="008C597A" w:rsidRPr="008C597A" w:rsidRDefault="008C597A" w:rsidP="008C597A">
          <w:pPr>
            <w:spacing w:line="276" w:lineRule="auto"/>
            <w:jc w:val="both"/>
            <w:rPr>
              <w:rFonts w:ascii="Arial" w:hAnsi="Arial" w:cs="Arial"/>
              <w:sz w:val="20"/>
              <w:szCs w:val="20"/>
              <w:lang w:val="es-ES"/>
            </w:rPr>
          </w:pPr>
        </w:p>
        <w:p w14:paraId="015B1A37" w14:textId="5B9AF389" w:rsidR="008C597A" w:rsidRPr="008C597A" w:rsidRDefault="008C597A" w:rsidP="008C597A">
          <w:pPr>
            <w:spacing w:line="276" w:lineRule="auto"/>
            <w:jc w:val="both"/>
            <w:rPr>
              <w:rFonts w:ascii="Arial" w:hAnsi="Arial" w:cs="Arial"/>
              <w:sz w:val="20"/>
              <w:szCs w:val="20"/>
              <w:lang w:val="es-ES"/>
            </w:rPr>
          </w:pPr>
          <w:r w:rsidRPr="008C597A">
            <w:rPr>
              <w:rFonts w:ascii="Arial" w:hAnsi="Arial" w:cs="Arial"/>
              <w:sz w:val="20"/>
              <w:szCs w:val="20"/>
              <w:lang w:val="es-ES"/>
            </w:rPr>
            <w:t xml:space="preserve">La misión del laboratorio </w:t>
          </w:r>
          <w:r>
            <w:rPr>
              <w:rFonts w:ascii="Arial" w:hAnsi="Arial" w:cs="Arial"/>
              <w:sz w:val="20"/>
              <w:szCs w:val="20"/>
              <w:lang w:val="es-ES"/>
            </w:rPr>
            <w:t>de investigación</w:t>
          </w:r>
          <w:r w:rsidRPr="008C597A">
            <w:rPr>
              <w:rFonts w:ascii="Arial" w:hAnsi="Arial" w:cs="Arial"/>
              <w:sz w:val="20"/>
              <w:szCs w:val="20"/>
              <w:lang w:val="es-ES"/>
            </w:rPr>
            <w:t xml:space="preserve">, </w:t>
          </w:r>
          <w:r>
            <w:rPr>
              <w:rFonts w:ascii="Arial" w:hAnsi="Arial" w:cs="Arial"/>
              <w:sz w:val="20"/>
              <w:szCs w:val="20"/>
              <w:lang w:val="es-ES"/>
            </w:rPr>
            <w:t xml:space="preserve">que tendrá una duración </w:t>
          </w:r>
          <w:r w:rsidRPr="008C597A">
            <w:rPr>
              <w:rFonts w:ascii="Arial" w:hAnsi="Arial" w:cs="Arial"/>
              <w:sz w:val="20"/>
              <w:szCs w:val="20"/>
              <w:lang w:val="es-ES"/>
            </w:rPr>
            <w:t xml:space="preserve">de 4 años, es desarrollar herramientas que permitan </w:t>
          </w:r>
          <w:r>
            <w:rPr>
              <w:rFonts w:ascii="Arial" w:hAnsi="Arial" w:cs="Arial"/>
              <w:sz w:val="20"/>
              <w:szCs w:val="20"/>
              <w:lang w:val="es-ES"/>
            </w:rPr>
            <w:t>identificar</w:t>
          </w:r>
          <w:r w:rsidRPr="008C597A">
            <w:rPr>
              <w:rFonts w:ascii="Arial" w:hAnsi="Arial" w:cs="Arial"/>
              <w:sz w:val="20"/>
              <w:szCs w:val="20"/>
              <w:lang w:val="es-ES"/>
            </w:rPr>
            <w:t xml:space="preserve"> soluciones concretas para que las partículas de desgaste sean bioasimilables por el medio ambiente.</w:t>
          </w:r>
        </w:p>
        <w:p w14:paraId="1F09590B" w14:textId="77777777" w:rsidR="008C597A" w:rsidRPr="008C597A" w:rsidRDefault="008C597A" w:rsidP="008C597A">
          <w:pPr>
            <w:spacing w:line="276" w:lineRule="auto"/>
            <w:jc w:val="both"/>
            <w:rPr>
              <w:rFonts w:ascii="Arial" w:hAnsi="Arial" w:cs="Arial"/>
              <w:sz w:val="20"/>
              <w:szCs w:val="20"/>
              <w:lang w:val="es-ES"/>
            </w:rPr>
          </w:pPr>
        </w:p>
        <w:p w14:paraId="3FB09170" w14:textId="6F6FC6A1" w:rsidR="008C597A" w:rsidRPr="008C597A" w:rsidRDefault="008C597A" w:rsidP="008C597A">
          <w:pPr>
            <w:spacing w:line="276" w:lineRule="auto"/>
            <w:jc w:val="both"/>
            <w:rPr>
              <w:rFonts w:ascii="Arial" w:hAnsi="Arial" w:cs="Arial"/>
              <w:sz w:val="20"/>
              <w:szCs w:val="20"/>
              <w:lang w:val="es-ES"/>
            </w:rPr>
          </w:pPr>
          <w:r w:rsidRPr="008C597A">
            <w:rPr>
              <w:rFonts w:ascii="Arial" w:hAnsi="Arial" w:cs="Arial"/>
              <w:sz w:val="20"/>
              <w:szCs w:val="20"/>
              <w:lang w:val="es-ES"/>
            </w:rPr>
            <w:t xml:space="preserve">Para garantizar la seguridad de los automovilistas, los neumáticos deben </w:t>
          </w:r>
          <w:r>
            <w:rPr>
              <w:rFonts w:ascii="Arial" w:hAnsi="Arial" w:cs="Arial"/>
              <w:sz w:val="20"/>
              <w:szCs w:val="20"/>
              <w:lang w:val="es-ES"/>
            </w:rPr>
            <w:t xml:space="preserve">proporcionar un alto  nivel de adherencia </w:t>
          </w:r>
          <w:r w:rsidRPr="008C597A">
            <w:rPr>
              <w:rFonts w:ascii="Arial" w:hAnsi="Arial" w:cs="Arial"/>
              <w:sz w:val="20"/>
              <w:szCs w:val="20"/>
              <w:lang w:val="es-ES"/>
            </w:rPr>
            <w:t xml:space="preserve">a la carretera, lo que provoca una erosión que genera partículas de desgaste. Estas partículas forman una mezcla compleja de la que quedan por descubrir numerosos fenómenos químicos, </w:t>
          </w:r>
          <w:r>
            <w:rPr>
              <w:rFonts w:ascii="Arial" w:hAnsi="Arial" w:cs="Arial"/>
              <w:sz w:val="20"/>
              <w:szCs w:val="20"/>
              <w:lang w:val="es-ES"/>
            </w:rPr>
            <w:t xml:space="preserve">especialmente en lo que se refiere a su </w:t>
          </w:r>
          <w:r w:rsidRPr="008C597A">
            <w:rPr>
              <w:rFonts w:ascii="Arial" w:hAnsi="Arial" w:cs="Arial"/>
              <w:sz w:val="20"/>
              <w:szCs w:val="20"/>
              <w:lang w:val="es-ES"/>
            </w:rPr>
            <w:t xml:space="preserve">evolución en el tiempo al </w:t>
          </w:r>
          <w:r>
            <w:rPr>
              <w:rFonts w:ascii="Arial" w:hAnsi="Arial" w:cs="Arial"/>
              <w:sz w:val="20"/>
              <w:szCs w:val="20"/>
              <w:lang w:val="es-ES"/>
            </w:rPr>
            <w:t xml:space="preserve">exponerse al sol </w:t>
          </w:r>
          <w:r w:rsidRPr="008C597A">
            <w:rPr>
              <w:rFonts w:ascii="Arial" w:hAnsi="Arial" w:cs="Arial"/>
              <w:sz w:val="20"/>
              <w:szCs w:val="20"/>
              <w:lang w:val="es-ES"/>
            </w:rPr>
            <w:t xml:space="preserve">y </w:t>
          </w:r>
          <w:r>
            <w:rPr>
              <w:rFonts w:ascii="Arial" w:hAnsi="Arial" w:cs="Arial"/>
              <w:sz w:val="20"/>
              <w:szCs w:val="20"/>
              <w:lang w:val="es-ES"/>
            </w:rPr>
            <w:t>a</w:t>
          </w:r>
          <w:r w:rsidRPr="008C597A">
            <w:rPr>
              <w:rFonts w:ascii="Arial" w:hAnsi="Arial" w:cs="Arial"/>
              <w:sz w:val="20"/>
              <w:szCs w:val="20"/>
              <w:lang w:val="es-ES"/>
            </w:rPr>
            <w:t xml:space="preserve">l agua. </w:t>
          </w:r>
        </w:p>
        <w:p w14:paraId="6504B235" w14:textId="77777777" w:rsidR="008C597A" w:rsidRPr="008C597A" w:rsidRDefault="008C597A" w:rsidP="008C597A">
          <w:pPr>
            <w:spacing w:line="276" w:lineRule="auto"/>
            <w:jc w:val="both"/>
            <w:rPr>
              <w:rFonts w:ascii="Arial" w:hAnsi="Arial" w:cs="Arial"/>
              <w:sz w:val="20"/>
              <w:szCs w:val="20"/>
              <w:lang w:val="es-ES"/>
            </w:rPr>
          </w:pPr>
        </w:p>
        <w:p w14:paraId="1FDF541D" w14:textId="09C6EF58" w:rsidR="008C597A" w:rsidRPr="008C597A" w:rsidRDefault="008C597A" w:rsidP="008C597A">
          <w:pPr>
            <w:spacing w:line="276" w:lineRule="auto"/>
            <w:jc w:val="both"/>
            <w:rPr>
              <w:rFonts w:ascii="Arial" w:hAnsi="Arial" w:cs="Arial"/>
              <w:sz w:val="20"/>
              <w:szCs w:val="20"/>
              <w:lang w:val="es-ES"/>
            </w:rPr>
          </w:pPr>
          <w:r w:rsidRPr="008C597A">
            <w:rPr>
              <w:rFonts w:ascii="Arial" w:hAnsi="Arial" w:cs="Arial"/>
              <w:sz w:val="20"/>
              <w:szCs w:val="20"/>
              <w:lang w:val="es-ES"/>
            </w:rPr>
            <w:t>En la interfaz entre el estudio de los materiales, la química y la microbiología, esta nueva colaboración entre el CNRS, Michelin y la UCA pretende desarrollar métodos para evaluar la degradación de</w:t>
          </w:r>
          <w:r>
            <w:rPr>
              <w:rFonts w:ascii="Arial" w:hAnsi="Arial" w:cs="Arial"/>
              <w:sz w:val="20"/>
              <w:szCs w:val="20"/>
              <w:lang w:val="es-ES"/>
            </w:rPr>
            <w:t xml:space="preserve"> los </w:t>
          </w:r>
          <w:r w:rsidRPr="008C597A">
            <w:rPr>
              <w:rFonts w:ascii="Arial" w:hAnsi="Arial" w:cs="Arial"/>
              <w:sz w:val="20"/>
              <w:szCs w:val="20"/>
              <w:lang w:val="es-ES"/>
            </w:rPr>
            <w:t xml:space="preserve"> elastómero</w:t>
          </w:r>
          <w:r>
            <w:rPr>
              <w:rFonts w:ascii="Arial" w:hAnsi="Arial" w:cs="Arial"/>
              <w:sz w:val="20"/>
              <w:szCs w:val="20"/>
              <w:lang w:val="es-ES"/>
            </w:rPr>
            <w:t>s</w:t>
          </w:r>
          <w:r w:rsidRPr="008C597A">
            <w:rPr>
              <w:rFonts w:ascii="Arial" w:hAnsi="Arial" w:cs="Arial"/>
              <w:sz w:val="20"/>
              <w:szCs w:val="20"/>
              <w:lang w:val="es-ES"/>
            </w:rPr>
            <w:t xml:space="preserve">, </w:t>
          </w:r>
          <w:r>
            <w:rPr>
              <w:rFonts w:ascii="Arial" w:hAnsi="Arial" w:cs="Arial"/>
              <w:sz w:val="20"/>
              <w:szCs w:val="20"/>
              <w:lang w:val="es-ES"/>
            </w:rPr>
            <w:t xml:space="preserve">un </w:t>
          </w:r>
          <w:r w:rsidRPr="008C597A">
            <w:rPr>
              <w:rFonts w:ascii="Arial" w:hAnsi="Arial" w:cs="Arial"/>
              <w:sz w:val="20"/>
              <w:szCs w:val="20"/>
              <w:lang w:val="es-ES"/>
            </w:rPr>
            <w:t xml:space="preserve">componente esencial de los neumáticos, y </w:t>
          </w:r>
          <w:r>
            <w:rPr>
              <w:rFonts w:ascii="Arial" w:hAnsi="Arial" w:cs="Arial"/>
              <w:sz w:val="20"/>
              <w:szCs w:val="20"/>
              <w:lang w:val="es-ES"/>
            </w:rPr>
            <w:t>generar</w:t>
          </w:r>
          <w:r w:rsidRPr="008C597A">
            <w:rPr>
              <w:rFonts w:ascii="Arial" w:hAnsi="Arial" w:cs="Arial"/>
              <w:sz w:val="20"/>
              <w:szCs w:val="20"/>
              <w:lang w:val="es-ES"/>
            </w:rPr>
            <w:t xml:space="preserve"> un análisis detallado que permita comprender los mecanismos implicados. </w:t>
          </w:r>
        </w:p>
        <w:p w14:paraId="55AAA90A" w14:textId="77777777" w:rsidR="008C597A" w:rsidRPr="008C597A" w:rsidRDefault="008C597A" w:rsidP="008C597A">
          <w:pPr>
            <w:spacing w:line="276" w:lineRule="auto"/>
            <w:jc w:val="both"/>
            <w:rPr>
              <w:rFonts w:ascii="Arial" w:hAnsi="Arial" w:cs="Arial"/>
              <w:sz w:val="20"/>
              <w:szCs w:val="20"/>
              <w:lang w:val="es-ES"/>
            </w:rPr>
          </w:pPr>
        </w:p>
        <w:p w14:paraId="0F23B7F5" w14:textId="44B87C4E" w:rsidR="008C597A" w:rsidRPr="008C597A" w:rsidRDefault="008C597A" w:rsidP="008C597A">
          <w:pPr>
            <w:spacing w:line="276" w:lineRule="auto"/>
            <w:jc w:val="both"/>
            <w:rPr>
              <w:rFonts w:ascii="Arial" w:hAnsi="Arial" w:cs="Arial"/>
              <w:sz w:val="20"/>
              <w:szCs w:val="20"/>
              <w:lang w:val="es-ES"/>
            </w:rPr>
          </w:pPr>
          <w:r w:rsidRPr="008C597A">
            <w:rPr>
              <w:rFonts w:ascii="Arial" w:hAnsi="Arial" w:cs="Arial"/>
              <w:sz w:val="20"/>
              <w:szCs w:val="20"/>
              <w:lang w:val="es-ES"/>
            </w:rPr>
            <w:t>De forma más detallada, la investigación se centrará en el acoplamiento entre la degradación del caucho de los neumáticos</w:t>
          </w:r>
          <w:r>
            <w:rPr>
              <w:rFonts w:ascii="Arial" w:hAnsi="Arial" w:cs="Arial"/>
              <w:sz w:val="20"/>
              <w:szCs w:val="20"/>
              <w:lang w:val="es-ES"/>
            </w:rPr>
            <w:t xml:space="preserve"> -</w:t>
          </w:r>
          <w:r w:rsidRPr="008C597A">
            <w:rPr>
              <w:rFonts w:ascii="Arial" w:hAnsi="Arial" w:cs="Arial"/>
              <w:sz w:val="20"/>
              <w:szCs w:val="20"/>
              <w:lang w:val="es-ES"/>
            </w:rPr>
            <w:t>también conocido como elastómeros de dieno</w:t>
          </w:r>
          <w:r>
            <w:rPr>
              <w:rFonts w:ascii="Arial" w:hAnsi="Arial" w:cs="Arial"/>
              <w:sz w:val="20"/>
              <w:szCs w:val="20"/>
              <w:lang w:val="es-ES"/>
            </w:rPr>
            <w:t>-</w:t>
          </w:r>
          <w:r w:rsidRPr="008C597A">
            <w:rPr>
              <w:rFonts w:ascii="Arial" w:hAnsi="Arial" w:cs="Arial"/>
              <w:sz w:val="20"/>
              <w:szCs w:val="20"/>
              <w:lang w:val="es-ES"/>
            </w:rPr>
            <w:t xml:space="preserve"> mediante un proceso foto y termoquímico, y su biodegradación mediante microorganismos </w:t>
          </w:r>
          <w:r>
            <w:rPr>
              <w:rFonts w:ascii="Arial" w:hAnsi="Arial" w:cs="Arial"/>
              <w:sz w:val="20"/>
              <w:szCs w:val="20"/>
              <w:lang w:val="es-ES"/>
            </w:rPr>
            <w:t>o</w:t>
          </w:r>
          <w:r w:rsidRPr="008C597A">
            <w:rPr>
              <w:rFonts w:ascii="Arial" w:hAnsi="Arial" w:cs="Arial"/>
              <w:sz w:val="20"/>
              <w:szCs w:val="20"/>
              <w:lang w:val="es-ES"/>
            </w:rPr>
            <w:t xml:space="preserve"> también mediante enzimas</w:t>
          </w:r>
          <w:r w:rsidRPr="008C597A">
            <w:rPr>
              <w:rFonts w:ascii="Arial" w:hAnsi="Arial" w:cs="Arial"/>
              <w:sz w:val="20"/>
              <w:szCs w:val="20"/>
              <w:vertAlign w:val="superscript"/>
              <w:lang w:val="es-ES"/>
            </w:rPr>
            <w:t>1</w:t>
          </w:r>
          <w:r w:rsidRPr="008C597A">
            <w:rPr>
              <w:rFonts w:ascii="Arial" w:hAnsi="Arial" w:cs="Arial"/>
              <w:sz w:val="20"/>
              <w:szCs w:val="20"/>
              <w:lang w:val="es-ES"/>
            </w:rPr>
            <w:t xml:space="preserve">. Se desarrollarán métodos para evaluar los distintos procesos de degradación, y </w:t>
          </w:r>
          <w:r w:rsidR="00ED1078">
            <w:rPr>
              <w:rFonts w:ascii="Arial" w:hAnsi="Arial" w:cs="Arial"/>
              <w:sz w:val="20"/>
              <w:szCs w:val="20"/>
              <w:lang w:val="es-ES"/>
            </w:rPr>
            <w:t>un</w:t>
          </w:r>
          <w:r w:rsidRPr="008C597A">
            <w:rPr>
              <w:rFonts w:ascii="Arial" w:hAnsi="Arial" w:cs="Arial"/>
              <w:sz w:val="20"/>
              <w:szCs w:val="20"/>
              <w:lang w:val="es-ES"/>
            </w:rPr>
            <w:t xml:space="preserve"> análisis detallado permitirán comprender mejor las reacciones fisicoquímicas en </w:t>
          </w:r>
          <w:r w:rsidR="00ED1078">
            <w:rPr>
              <w:rFonts w:ascii="Arial" w:hAnsi="Arial" w:cs="Arial"/>
              <w:sz w:val="20"/>
              <w:szCs w:val="20"/>
              <w:lang w:val="es-ES"/>
            </w:rPr>
            <w:t>juego</w:t>
          </w:r>
          <w:r w:rsidRPr="008C597A">
            <w:rPr>
              <w:rFonts w:ascii="Arial" w:hAnsi="Arial" w:cs="Arial"/>
              <w:sz w:val="20"/>
              <w:szCs w:val="20"/>
              <w:lang w:val="es-ES"/>
            </w:rPr>
            <w:t xml:space="preserve">. </w:t>
          </w:r>
        </w:p>
        <w:p w14:paraId="1BDD7264" w14:textId="77777777" w:rsidR="008C597A" w:rsidRPr="008C597A" w:rsidRDefault="008C597A" w:rsidP="008C597A">
          <w:pPr>
            <w:spacing w:line="276" w:lineRule="auto"/>
            <w:jc w:val="both"/>
            <w:rPr>
              <w:rFonts w:ascii="Arial" w:hAnsi="Arial" w:cs="Arial"/>
              <w:sz w:val="20"/>
              <w:szCs w:val="20"/>
              <w:lang w:val="es-ES"/>
            </w:rPr>
          </w:pPr>
        </w:p>
        <w:p w14:paraId="197A3A53" w14:textId="4665D0EC" w:rsidR="008C597A" w:rsidRDefault="008C597A" w:rsidP="008C597A">
          <w:pPr>
            <w:spacing w:line="276" w:lineRule="auto"/>
            <w:jc w:val="both"/>
            <w:rPr>
              <w:rFonts w:ascii="Arial" w:hAnsi="Arial" w:cs="Arial"/>
              <w:sz w:val="20"/>
              <w:szCs w:val="20"/>
              <w:lang w:val="es-ES"/>
            </w:rPr>
          </w:pPr>
          <w:r w:rsidRPr="008C597A">
            <w:rPr>
              <w:rFonts w:ascii="Arial" w:hAnsi="Arial" w:cs="Arial"/>
              <w:sz w:val="20"/>
              <w:szCs w:val="20"/>
              <w:lang w:val="es-ES"/>
            </w:rPr>
            <w:t xml:space="preserve">En esta colaboración participarán una veintena de miembros del Instituto de Química de Clermont-Ferrand (Universidad de Clermont Auvergne/CNRS) y una decena de empleados del Departamento de Operaciones de Investigación y Desarrollo de Michelin. </w:t>
          </w:r>
        </w:p>
        <w:p w14:paraId="4348AFF9" w14:textId="77777777" w:rsidR="00ED1078" w:rsidRPr="008C597A" w:rsidRDefault="00ED1078" w:rsidP="008C597A">
          <w:pPr>
            <w:spacing w:line="276" w:lineRule="auto"/>
            <w:jc w:val="both"/>
            <w:rPr>
              <w:rFonts w:ascii="Arial" w:hAnsi="Arial" w:cs="Arial"/>
              <w:sz w:val="20"/>
              <w:szCs w:val="20"/>
              <w:lang w:val="es-ES"/>
            </w:rPr>
          </w:pPr>
        </w:p>
        <w:p w14:paraId="011C4D62" w14:textId="5F3179AE" w:rsidR="008C597A" w:rsidRDefault="00ED1078" w:rsidP="008C597A">
          <w:pPr>
            <w:spacing w:line="276" w:lineRule="auto"/>
            <w:jc w:val="both"/>
            <w:rPr>
              <w:rFonts w:ascii="Arial" w:hAnsi="Arial" w:cs="Arial"/>
              <w:sz w:val="20"/>
              <w:szCs w:val="20"/>
              <w:lang w:val="es-ES"/>
            </w:rPr>
          </w:pPr>
          <w:r w:rsidRPr="00ED1078">
            <w:rPr>
              <w:rFonts w:ascii="Arial" w:hAnsi="Arial" w:cs="Arial"/>
              <w:i/>
              <w:iCs/>
              <w:sz w:val="20"/>
              <w:szCs w:val="20"/>
              <w:lang w:val="es-ES"/>
            </w:rPr>
            <w:t>“</w:t>
          </w:r>
          <w:r w:rsidR="008C597A" w:rsidRPr="00ED1078">
            <w:rPr>
              <w:rFonts w:ascii="Arial" w:hAnsi="Arial" w:cs="Arial"/>
              <w:i/>
              <w:iCs/>
              <w:sz w:val="20"/>
              <w:szCs w:val="20"/>
              <w:lang w:val="es-ES"/>
            </w:rPr>
            <w:t xml:space="preserve">El CNRS está encantado con la creación de este nuevo laboratorio conjunto con Michelin, que </w:t>
          </w:r>
          <w:r>
            <w:rPr>
              <w:rFonts w:ascii="Arial" w:hAnsi="Arial" w:cs="Arial"/>
              <w:i/>
              <w:iCs/>
              <w:sz w:val="20"/>
              <w:szCs w:val="20"/>
              <w:lang w:val="es-ES"/>
            </w:rPr>
            <w:t>ofrece</w:t>
          </w:r>
          <w:r w:rsidR="008C597A" w:rsidRPr="00ED1078">
            <w:rPr>
              <w:rFonts w:ascii="Arial" w:hAnsi="Arial" w:cs="Arial"/>
              <w:i/>
              <w:iCs/>
              <w:sz w:val="20"/>
              <w:szCs w:val="20"/>
              <w:lang w:val="es-ES"/>
            </w:rPr>
            <w:t xml:space="preserve"> un marco estructurado y </w:t>
          </w:r>
          <w:r>
            <w:rPr>
              <w:rFonts w:ascii="Arial" w:hAnsi="Arial" w:cs="Arial"/>
              <w:i/>
              <w:iCs/>
              <w:sz w:val="20"/>
              <w:szCs w:val="20"/>
              <w:lang w:val="es-ES"/>
            </w:rPr>
            <w:t>duradero</w:t>
          </w:r>
          <w:r w:rsidR="008C597A" w:rsidRPr="00ED1078">
            <w:rPr>
              <w:rFonts w:ascii="Arial" w:hAnsi="Arial" w:cs="Arial"/>
              <w:i/>
              <w:iCs/>
              <w:sz w:val="20"/>
              <w:szCs w:val="20"/>
              <w:lang w:val="es-ES"/>
            </w:rPr>
            <w:t xml:space="preserve"> para </w:t>
          </w:r>
          <w:r>
            <w:rPr>
              <w:rFonts w:ascii="Arial" w:hAnsi="Arial" w:cs="Arial"/>
              <w:i/>
              <w:iCs/>
              <w:sz w:val="20"/>
              <w:szCs w:val="20"/>
              <w:lang w:val="es-ES"/>
            </w:rPr>
            <w:t>explorar</w:t>
          </w:r>
          <w:r w:rsidR="008C597A" w:rsidRPr="00ED1078">
            <w:rPr>
              <w:rFonts w:ascii="Arial" w:hAnsi="Arial" w:cs="Arial"/>
              <w:i/>
              <w:iCs/>
              <w:sz w:val="20"/>
              <w:szCs w:val="20"/>
              <w:lang w:val="es-ES"/>
            </w:rPr>
            <w:t xml:space="preserve"> conjunta</w:t>
          </w:r>
          <w:r>
            <w:rPr>
              <w:rFonts w:ascii="Arial" w:hAnsi="Arial" w:cs="Arial"/>
              <w:i/>
              <w:iCs/>
              <w:sz w:val="20"/>
              <w:szCs w:val="20"/>
              <w:lang w:val="es-ES"/>
            </w:rPr>
            <w:t>mente</w:t>
          </w:r>
          <w:r w:rsidR="008C597A" w:rsidRPr="00ED1078">
            <w:rPr>
              <w:rFonts w:ascii="Arial" w:hAnsi="Arial" w:cs="Arial"/>
              <w:i/>
              <w:iCs/>
              <w:sz w:val="20"/>
              <w:szCs w:val="20"/>
              <w:lang w:val="es-ES"/>
            </w:rPr>
            <w:t xml:space="preserve"> el impacto medioambiental de los neumáticos, un reto </w:t>
          </w:r>
          <w:r>
            <w:rPr>
              <w:rFonts w:ascii="Arial" w:hAnsi="Arial" w:cs="Arial"/>
              <w:i/>
              <w:iCs/>
              <w:sz w:val="20"/>
              <w:szCs w:val="20"/>
              <w:lang w:val="es-ES"/>
            </w:rPr>
            <w:t>común</w:t>
          </w:r>
          <w:r w:rsidR="008C597A" w:rsidRPr="00ED1078">
            <w:rPr>
              <w:rFonts w:ascii="Arial" w:hAnsi="Arial" w:cs="Arial"/>
              <w:i/>
              <w:iCs/>
              <w:sz w:val="20"/>
              <w:szCs w:val="20"/>
              <w:lang w:val="es-ES"/>
            </w:rPr>
            <w:t xml:space="preserve">. Michelin es uno de los principales socios industriales de nuestra organización, con nueve estructuras conjuntas de investigación en funcionamiento y </w:t>
          </w:r>
          <w:r>
            <w:rPr>
              <w:rFonts w:ascii="Arial" w:hAnsi="Arial" w:cs="Arial"/>
              <w:i/>
              <w:iCs/>
              <w:sz w:val="20"/>
              <w:szCs w:val="20"/>
              <w:lang w:val="es-ES"/>
            </w:rPr>
            <w:t>numerosas</w:t>
          </w:r>
          <w:r w:rsidR="008C597A" w:rsidRPr="00ED1078">
            <w:rPr>
              <w:rFonts w:ascii="Arial" w:hAnsi="Arial" w:cs="Arial"/>
              <w:i/>
              <w:iCs/>
              <w:sz w:val="20"/>
              <w:szCs w:val="20"/>
              <w:lang w:val="es-ES"/>
            </w:rPr>
            <w:t xml:space="preserve"> colaboraciones de investigación sobre temas científicos compartidos</w:t>
          </w:r>
          <w:r w:rsidRPr="00ED1078">
            <w:rPr>
              <w:rFonts w:ascii="Arial" w:hAnsi="Arial" w:cs="Arial"/>
              <w:i/>
              <w:iCs/>
              <w:sz w:val="20"/>
              <w:szCs w:val="20"/>
              <w:lang w:val="es-ES"/>
            </w:rPr>
            <w:t>”</w:t>
          </w:r>
          <w:r w:rsidR="008C597A" w:rsidRPr="008C597A">
            <w:rPr>
              <w:rFonts w:ascii="Arial" w:hAnsi="Arial" w:cs="Arial"/>
              <w:sz w:val="20"/>
              <w:szCs w:val="20"/>
              <w:lang w:val="es-ES"/>
            </w:rPr>
            <w:t>, afirma Jean-Luc Moullet, Director General de Innovación del CNRS.</w:t>
          </w:r>
        </w:p>
        <w:p w14:paraId="5A7D0AC0" w14:textId="77777777" w:rsidR="00ED1078" w:rsidRPr="008C597A" w:rsidRDefault="00ED1078" w:rsidP="008C597A">
          <w:pPr>
            <w:spacing w:line="276" w:lineRule="auto"/>
            <w:jc w:val="both"/>
            <w:rPr>
              <w:rFonts w:ascii="Arial" w:hAnsi="Arial" w:cs="Arial"/>
              <w:sz w:val="20"/>
              <w:szCs w:val="20"/>
              <w:lang w:val="es-ES"/>
            </w:rPr>
          </w:pPr>
        </w:p>
        <w:p w14:paraId="35D16A2A" w14:textId="48FE388E" w:rsidR="008C597A" w:rsidRPr="008C597A" w:rsidRDefault="008C597A" w:rsidP="008C597A">
          <w:pPr>
            <w:spacing w:line="276" w:lineRule="auto"/>
            <w:jc w:val="both"/>
            <w:rPr>
              <w:rFonts w:ascii="Arial" w:hAnsi="Arial" w:cs="Arial"/>
              <w:sz w:val="20"/>
              <w:szCs w:val="20"/>
              <w:lang w:val="es-ES"/>
            </w:rPr>
          </w:pPr>
          <w:r w:rsidRPr="008C597A">
            <w:rPr>
              <w:rFonts w:ascii="Arial" w:hAnsi="Arial" w:cs="Arial"/>
              <w:sz w:val="20"/>
              <w:szCs w:val="20"/>
              <w:lang w:val="es-ES"/>
            </w:rPr>
            <w:t xml:space="preserve">El CNRS fomenta la creación de laboratorios </w:t>
          </w:r>
          <w:r w:rsidR="00ED1078">
            <w:rPr>
              <w:rFonts w:ascii="Arial" w:hAnsi="Arial" w:cs="Arial"/>
              <w:sz w:val="20"/>
              <w:szCs w:val="20"/>
              <w:lang w:val="es-ES"/>
            </w:rPr>
            <w:t>asociados</w:t>
          </w:r>
          <w:r w:rsidRPr="008C597A">
            <w:rPr>
              <w:rFonts w:ascii="Arial" w:hAnsi="Arial" w:cs="Arial"/>
              <w:sz w:val="20"/>
              <w:szCs w:val="20"/>
              <w:lang w:val="es-ES"/>
            </w:rPr>
            <w:t xml:space="preserve"> con empresas para </w:t>
          </w:r>
          <w:r w:rsidR="00ED1078">
            <w:rPr>
              <w:rFonts w:ascii="Arial" w:hAnsi="Arial" w:cs="Arial"/>
              <w:sz w:val="20"/>
              <w:szCs w:val="20"/>
              <w:lang w:val="es-ES"/>
            </w:rPr>
            <w:t>hacer avanzar la</w:t>
          </w:r>
          <w:r w:rsidRPr="008C597A">
            <w:rPr>
              <w:rFonts w:ascii="Arial" w:hAnsi="Arial" w:cs="Arial"/>
              <w:sz w:val="20"/>
              <w:szCs w:val="20"/>
              <w:lang w:val="es-ES"/>
            </w:rPr>
            <w:t xml:space="preserve"> investigación y afrontar junto a ellas los retos de </w:t>
          </w:r>
          <w:r w:rsidR="00ED1078">
            <w:rPr>
              <w:rFonts w:ascii="Arial" w:hAnsi="Arial" w:cs="Arial"/>
              <w:sz w:val="20"/>
              <w:szCs w:val="20"/>
              <w:lang w:val="es-ES"/>
            </w:rPr>
            <w:t xml:space="preserve">la </w:t>
          </w:r>
          <w:r w:rsidRPr="008C597A">
            <w:rPr>
              <w:rFonts w:ascii="Arial" w:hAnsi="Arial" w:cs="Arial"/>
              <w:sz w:val="20"/>
              <w:szCs w:val="20"/>
              <w:lang w:val="es-ES"/>
            </w:rPr>
            <w:t xml:space="preserve">sociedad. </w:t>
          </w:r>
          <w:r w:rsidR="00ED1078">
            <w:rPr>
              <w:rFonts w:ascii="Arial" w:hAnsi="Arial" w:cs="Arial"/>
              <w:sz w:val="20"/>
              <w:szCs w:val="20"/>
              <w:lang w:val="es-ES"/>
            </w:rPr>
            <w:t xml:space="preserve">La organización </w:t>
          </w:r>
          <w:r w:rsidRPr="008C597A">
            <w:rPr>
              <w:rFonts w:ascii="Arial" w:hAnsi="Arial" w:cs="Arial"/>
              <w:sz w:val="20"/>
              <w:szCs w:val="20"/>
              <w:lang w:val="es-ES"/>
            </w:rPr>
            <w:t xml:space="preserve">cuenta con más de 260 laboratorios </w:t>
          </w:r>
          <w:r w:rsidR="00ED1078">
            <w:rPr>
              <w:rFonts w:ascii="Arial" w:hAnsi="Arial" w:cs="Arial"/>
              <w:sz w:val="20"/>
              <w:szCs w:val="20"/>
              <w:lang w:val="es-ES"/>
            </w:rPr>
            <w:t xml:space="preserve">de investigación asociados </w:t>
          </w:r>
          <w:r w:rsidRPr="008C597A">
            <w:rPr>
              <w:rFonts w:ascii="Arial" w:hAnsi="Arial" w:cs="Arial"/>
              <w:sz w:val="20"/>
              <w:szCs w:val="20"/>
              <w:lang w:val="es-ES"/>
            </w:rPr>
            <w:t>activos.</w:t>
          </w:r>
        </w:p>
        <w:p w14:paraId="3AD26B7C" w14:textId="77777777" w:rsidR="008C597A" w:rsidRPr="008C597A" w:rsidRDefault="008C597A" w:rsidP="008C597A">
          <w:pPr>
            <w:spacing w:line="276" w:lineRule="auto"/>
            <w:jc w:val="both"/>
            <w:rPr>
              <w:rFonts w:ascii="Arial" w:hAnsi="Arial" w:cs="Arial"/>
              <w:sz w:val="20"/>
              <w:szCs w:val="20"/>
              <w:lang w:val="es-ES"/>
            </w:rPr>
          </w:pPr>
        </w:p>
        <w:p w14:paraId="3D19F4F4" w14:textId="29FE7513" w:rsidR="008C597A" w:rsidRPr="008C597A" w:rsidRDefault="00ED1078" w:rsidP="008C597A">
          <w:pPr>
            <w:spacing w:line="276" w:lineRule="auto"/>
            <w:jc w:val="both"/>
            <w:rPr>
              <w:rFonts w:ascii="Arial" w:hAnsi="Arial" w:cs="Arial"/>
              <w:sz w:val="20"/>
              <w:szCs w:val="20"/>
              <w:lang w:val="es-ES"/>
            </w:rPr>
          </w:pPr>
          <w:r w:rsidRPr="00ED1078">
            <w:rPr>
              <w:rFonts w:ascii="Arial" w:hAnsi="Arial" w:cs="Arial"/>
              <w:i/>
              <w:iCs/>
              <w:sz w:val="20"/>
              <w:szCs w:val="20"/>
              <w:lang w:val="es-ES"/>
            </w:rPr>
            <w:t>“</w:t>
          </w:r>
          <w:r w:rsidR="008C597A" w:rsidRPr="00ED1078">
            <w:rPr>
              <w:rFonts w:ascii="Arial" w:hAnsi="Arial" w:cs="Arial"/>
              <w:i/>
              <w:iCs/>
              <w:sz w:val="20"/>
              <w:szCs w:val="20"/>
              <w:lang w:val="es-ES"/>
            </w:rPr>
            <w:t xml:space="preserve">Estamos encantados de colaborar una vez más con el CNRS y la </w:t>
          </w:r>
          <w:r w:rsidRPr="00ED1078">
            <w:rPr>
              <w:rFonts w:ascii="Arial" w:hAnsi="Arial" w:cs="Arial"/>
              <w:i/>
              <w:iCs/>
              <w:sz w:val="20"/>
              <w:szCs w:val="20"/>
              <w:lang w:val="es-ES"/>
            </w:rPr>
            <w:t>Universidad Clermont Auvergne</w:t>
          </w:r>
          <w:r w:rsidR="008C597A" w:rsidRPr="00ED1078">
            <w:rPr>
              <w:rFonts w:ascii="Arial" w:hAnsi="Arial" w:cs="Arial"/>
              <w:i/>
              <w:iCs/>
              <w:sz w:val="20"/>
              <w:szCs w:val="20"/>
              <w:lang w:val="es-ES"/>
            </w:rPr>
            <w:t xml:space="preserve"> en un nuevo y ambicioso campo de investigación. Este laboratorio sobre partículas de desgaste ilustra </w:t>
          </w:r>
          <w:r w:rsidRPr="00ED1078">
            <w:rPr>
              <w:rFonts w:ascii="Arial" w:hAnsi="Arial" w:cs="Arial"/>
              <w:i/>
              <w:iCs/>
              <w:sz w:val="20"/>
              <w:szCs w:val="20"/>
              <w:lang w:val="es-ES"/>
            </w:rPr>
            <w:t>el</w:t>
          </w:r>
          <w:r w:rsidR="008C597A" w:rsidRPr="00ED1078">
            <w:rPr>
              <w:rFonts w:ascii="Arial" w:hAnsi="Arial" w:cs="Arial"/>
              <w:i/>
              <w:iCs/>
              <w:sz w:val="20"/>
              <w:szCs w:val="20"/>
              <w:lang w:val="es-ES"/>
            </w:rPr>
            <w:t xml:space="preserve"> fuerte compromiso por parte del Grupo.</w:t>
          </w:r>
          <w:r w:rsidRPr="00ED1078">
            <w:rPr>
              <w:rFonts w:ascii="Arial" w:hAnsi="Arial" w:cs="Arial"/>
              <w:i/>
              <w:iCs/>
              <w:sz w:val="20"/>
              <w:szCs w:val="20"/>
              <w:lang w:val="es-ES"/>
            </w:rPr>
            <w:t xml:space="preserve"> </w:t>
          </w:r>
          <w:r w:rsidR="008C597A" w:rsidRPr="00ED1078">
            <w:rPr>
              <w:rFonts w:ascii="Arial" w:hAnsi="Arial" w:cs="Arial"/>
              <w:i/>
              <w:iCs/>
              <w:sz w:val="20"/>
              <w:szCs w:val="20"/>
              <w:lang w:val="es-ES"/>
            </w:rPr>
            <w:t xml:space="preserve">Tener en cuenta el impacto medioambiental de sus actividades forma parte de la estrategia de Michelin. Desde hace varios años, el Grupo se ha comprometido a reducir la abrasión de sus neumáticos, apoyándose en su experiencia en materiales y en una estrategia de diseño centrada históricamente en la optimización del uso de materiales. Esta política nos ha permitido reducir </w:t>
          </w:r>
          <w:r w:rsidRPr="00ED1078">
            <w:rPr>
              <w:rFonts w:ascii="Arial" w:hAnsi="Arial" w:cs="Arial"/>
              <w:i/>
              <w:iCs/>
              <w:sz w:val="20"/>
              <w:szCs w:val="20"/>
              <w:lang w:val="es-ES"/>
            </w:rPr>
            <w:t>las</w:t>
          </w:r>
          <w:r w:rsidR="008C597A" w:rsidRPr="00ED1078">
            <w:rPr>
              <w:rFonts w:ascii="Arial" w:hAnsi="Arial" w:cs="Arial"/>
              <w:i/>
              <w:iCs/>
              <w:sz w:val="20"/>
              <w:szCs w:val="20"/>
              <w:lang w:val="es-ES"/>
            </w:rPr>
            <w:t xml:space="preserve"> emisiones de desgaste de </w:t>
          </w:r>
          <w:r w:rsidRPr="00ED1078">
            <w:rPr>
              <w:rFonts w:ascii="Arial" w:hAnsi="Arial" w:cs="Arial"/>
              <w:i/>
              <w:iCs/>
              <w:sz w:val="20"/>
              <w:szCs w:val="20"/>
              <w:lang w:val="es-ES"/>
            </w:rPr>
            <w:t xml:space="preserve">nuestros </w:t>
          </w:r>
          <w:r w:rsidR="008C597A" w:rsidRPr="00ED1078">
            <w:rPr>
              <w:rFonts w:ascii="Arial" w:hAnsi="Arial" w:cs="Arial"/>
              <w:i/>
              <w:iCs/>
              <w:sz w:val="20"/>
              <w:szCs w:val="20"/>
              <w:lang w:val="es-ES"/>
            </w:rPr>
            <w:t xml:space="preserve">neumáticos en un 5% entre 2015 y 2020. Michelin también es reconocida internacionalmente como líder en </w:t>
          </w:r>
          <w:r w:rsidRPr="00ED1078">
            <w:rPr>
              <w:rFonts w:ascii="Arial" w:hAnsi="Arial" w:cs="Arial"/>
              <w:i/>
              <w:iCs/>
              <w:sz w:val="20"/>
              <w:szCs w:val="20"/>
              <w:lang w:val="es-ES"/>
            </w:rPr>
            <w:t>duración</w:t>
          </w:r>
          <w:r w:rsidR="008C597A" w:rsidRPr="00ED1078">
            <w:rPr>
              <w:rFonts w:ascii="Arial" w:hAnsi="Arial" w:cs="Arial"/>
              <w:i/>
              <w:iCs/>
              <w:sz w:val="20"/>
              <w:szCs w:val="20"/>
              <w:lang w:val="es-ES"/>
            </w:rPr>
            <w:t>. Esta posición ha sido confirmada por una reciente prueba realizada por ADAC</w:t>
          </w:r>
          <w:r w:rsidR="008C597A" w:rsidRPr="00ED1078">
            <w:rPr>
              <w:rFonts w:ascii="Arial" w:hAnsi="Arial" w:cs="Arial"/>
              <w:i/>
              <w:iCs/>
              <w:sz w:val="20"/>
              <w:szCs w:val="20"/>
              <w:vertAlign w:val="superscript"/>
              <w:lang w:val="es-ES"/>
            </w:rPr>
            <w:t>2</w:t>
          </w:r>
          <w:r w:rsidR="008C597A" w:rsidRPr="00ED1078">
            <w:rPr>
              <w:rFonts w:ascii="Arial" w:hAnsi="Arial" w:cs="Arial"/>
              <w:i/>
              <w:iCs/>
              <w:sz w:val="20"/>
              <w:szCs w:val="20"/>
              <w:lang w:val="es-ES"/>
            </w:rPr>
            <w:t>, la asociación alemana del automóvil (estudio publicado en marzo de 2022) sobre un centenar de neumáticos. Por último, el Grupo siempre ha sido partidario de fijar umbrales reglamentarios de abrasión de los neumáticos para limitar las emisiones de partículas de desgaste en todo el mundo. En este sentido, ha apoyado activamente las recomendaciones de la Comisión Europea (norma Euro 7)</w:t>
          </w:r>
          <w:r w:rsidRPr="00ED1078">
            <w:rPr>
              <w:rFonts w:ascii="Arial" w:hAnsi="Arial" w:cs="Arial"/>
              <w:i/>
              <w:iCs/>
              <w:sz w:val="20"/>
              <w:szCs w:val="20"/>
              <w:lang w:val="es-ES"/>
            </w:rPr>
            <w:t>”</w:t>
          </w:r>
          <w:r w:rsidR="008C597A" w:rsidRPr="008C597A">
            <w:rPr>
              <w:rFonts w:ascii="Arial" w:hAnsi="Arial" w:cs="Arial"/>
              <w:sz w:val="20"/>
              <w:szCs w:val="20"/>
              <w:lang w:val="es-ES"/>
            </w:rPr>
            <w:t xml:space="preserve">, explica Eric-Philippe Vinesse, </w:t>
          </w:r>
          <w:r>
            <w:rPr>
              <w:rFonts w:ascii="Arial" w:hAnsi="Arial" w:cs="Arial"/>
              <w:sz w:val="20"/>
              <w:szCs w:val="20"/>
              <w:lang w:val="es-ES"/>
            </w:rPr>
            <w:t>Director</w:t>
          </w:r>
          <w:r w:rsidR="008C597A" w:rsidRPr="008C597A">
            <w:rPr>
              <w:rFonts w:ascii="Arial" w:hAnsi="Arial" w:cs="Arial"/>
              <w:sz w:val="20"/>
              <w:szCs w:val="20"/>
              <w:lang w:val="es-ES"/>
            </w:rPr>
            <w:t xml:space="preserve"> de Investigación y Desarrollo </w:t>
          </w:r>
          <w:r>
            <w:rPr>
              <w:rFonts w:ascii="Arial" w:hAnsi="Arial" w:cs="Arial"/>
              <w:sz w:val="20"/>
              <w:szCs w:val="20"/>
              <w:lang w:val="es-ES"/>
            </w:rPr>
            <w:t>y m</w:t>
          </w:r>
          <w:r w:rsidR="008C597A" w:rsidRPr="008C597A">
            <w:rPr>
              <w:rFonts w:ascii="Arial" w:hAnsi="Arial" w:cs="Arial"/>
              <w:sz w:val="20"/>
              <w:szCs w:val="20"/>
              <w:lang w:val="es-ES"/>
            </w:rPr>
            <w:t>iembro del Comité Ejecutivo del Grupo Michelin.</w:t>
          </w:r>
        </w:p>
        <w:p w14:paraId="27D71AC5" w14:textId="77777777" w:rsidR="008C597A" w:rsidRPr="008C597A" w:rsidRDefault="008C597A" w:rsidP="008C597A">
          <w:pPr>
            <w:spacing w:line="276" w:lineRule="auto"/>
            <w:jc w:val="both"/>
            <w:rPr>
              <w:rFonts w:ascii="Arial" w:hAnsi="Arial" w:cs="Arial"/>
              <w:sz w:val="20"/>
              <w:szCs w:val="20"/>
              <w:lang w:val="es-ES"/>
            </w:rPr>
          </w:pPr>
        </w:p>
        <w:p w14:paraId="3D409084" w14:textId="02856A72" w:rsidR="008C597A" w:rsidRPr="008C597A" w:rsidRDefault="00ED1078" w:rsidP="008C597A">
          <w:pPr>
            <w:spacing w:line="276" w:lineRule="auto"/>
            <w:jc w:val="both"/>
            <w:rPr>
              <w:rFonts w:ascii="Arial" w:hAnsi="Arial" w:cs="Arial"/>
              <w:sz w:val="20"/>
              <w:szCs w:val="20"/>
              <w:lang w:val="es-ES"/>
            </w:rPr>
          </w:pPr>
          <w:r w:rsidRPr="00ED1078">
            <w:rPr>
              <w:rFonts w:ascii="Arial" w:hAnsi="Arial" w:cs="Arial"/>
              <w:i/>
              <w:iCs/>
              <w:sz w:val="20"/>
              <w:szCs w:val="20"/>
              <w:lang w:val="es-ES"/>
            </w:rPr>
            <w:t>“</w:t>
          </w:r>
          <w:r w:rsidR="008C597A" w:rsidRPr="00ED1078">
            <w:rPr>
              <w:rFonts w:ascii="Arial" w:hAnsi="Arial" w:cs="Arial"/>
              <w:i/>
              <w:iCs/>
              <w:sz w:val="20"/>
              <w:szCs w:val="20"/>
              <w:lang w:val="es-ES"/>
            </w:rPr>
            <w:t xml:space="preserve">BioDlab es el tercer laboratorio conjunto creado por Michelin y la Universidad de Clermont Auvergne, y el segundo en el que participa el Instituto de Química de Clermont Ferrand (ICCF). La Universidad de Clermont Auvergne está </w:t>
          </w:r>
          <w:r>
            <w:rPr>
              <w:rFonts w:ascii="Arial" w:hAnsi="Arial" w:cs="Arial"/>
              <w:i/>
              <w:iCs/>
              <w:sz w:val="20"/>
              <w:szCs w:val="20"/>
              <w:lang w:val="es-ES"/>
            </w:rPr>
            <w:t>muy satisfecha</w:t>
          </w:r>
          <w:r w:rsidR="008C597A" w:rsidRPr="00ED1078">
            <w:rPr>
              <w:rFonts w:ascii="Arial" w:hAnsi="Arial" w:cs="Arial"/>
              <w:i/>
              <w:iCs/>
              <w:sz w:val="20"/>
              <w:szCs w:val="20"/>
              <w:lang w:val="es-ES"/>
            </w:rPr>
            <w:t xml:space="preserve"> con este nuevo acuerdo, cuya creación es fruto de una ambiciosa política de colaboración entre nuestros laboratorios y el mundo empresarial, </w:t>
          </w:r>
          <w:r>
            <w:rPr>
              <w:rFonts w:ascii="Arial" w:hAnsi="Arial" w:cs="Arial"/>
              <w:i/>
              <w:iCs/>
              <w:sz w:val="20"/>
              <w:szCs w:val="20"/>
              <w:lang w:val="es-ES"/>
            </w:rPr>
            <w:t xml:space="preserve">y </w:t>
          </w:r>
          <w:r w:rsidR="008C597A" w:rsidRPr="00ED1078">
            <w:rPr>
              <w:rFonts w:ascii="Arial" w:hAnsi="Arial" w:cs="Arial"/>
              <w:i/>
              <w:iCs/>
              <w:sz w:val="20"/>
              <w:szCs w:val="20"/>
              <w:lang w:val="es-ES"/>
            </w:rPr>
            <w:t>Michelin en particular. Esta asociación científica apoyará la producción de materiales innovadores y sostenibles</w:t>
          </w:r>
          <w:r>
            <w:rPr>
              <w:rFonts w:ascii="Arial" w:hAnsi="Arial" w:cs="Arial"/>
              <w:i/>
              <w:iCs/>
              <w:sz w:val="20"/>
              <w:szCs w:val="20"/>
              <w:lang w:val="es-ES"/>
            </w:rPr>
            <w:t xml:space="preserve">, por lo que </w:t>
          </w:r>
          <w:r w:rsidR="008C597A" w:rsidRPr="00ED1078">
            <w:rPr>
              <w:rFonts w:ascii="Arial" w:hAnsi="Arial" w:cs="Arial"/>
              <w:i/>
              <w:iCs/>
              <w:sz w:val="20"/>
              <w:szCs w:val="20"/>
              <w:lang w:val="es-ES"/>
            </w:rPr>
            <w:t xml:space="preserve">se inscribe plenamente en nuestra estrategia científica, cuyo objetivo es </w:t>
          </w:r>
          <w:r>
            <w:rPr>
              <w:rFonts w:ascii="Arial" w:hAnsi="Arial" w:cs="Arial"/>
              <w:i/>
              <w:iCs/>
              <w:sz w:val="20"/>
              <w:szCs w:val="20"/>
              <w:lang w:val="es-ES"/>
            </w:rPr>
            <w:t>‘</w:t>
          </w:r>
          <w:r w:rsidR="008C597A" w:rsidRPr="00ED1078">
            <w:rPr>
              <w:rFonts w:ascii="Arial" w:hAnsi="Arial" w:cs="Arial"/>
              <w:i/>
              <w:iCs/>
              <w:sz w:val="20"/>
              <w:szCs w:val="20"/>
              <w:lang w:val="es-ES"/>
            </w:rPr>
            <w:t>diseñar modelos de vida y de producción sostenibles</w:t>
          </w:r>
          <w:r>
            <w:rPr>
              <w:rFonts w:ascii="Arial" w:hAnsi="Arial" w:cs="Arial"/>
              <w:i/>
              <w:iCs/>
              <w:sz w:val="20"/>
              <w:szCs w:val="20"/>
              <w:lang w:val="es-ES"/>
            </w:rPr>
            <w:t>’”</w:t>
          </w:r>
          <w:r>
            <w:rPr>
              <w:rFonts w:ascii="Arial" w:hAnsi="Arial" w:cs="Arial"/>
              <w:sz w:val="20"/>
              <w:szCs w:val="20"/>
              <w:lang w:val="es-ES"/>
            </w:rPr>
            <w:t>, declara</w:t>
          </w:r>
          <w:r w:rsidR="008C597A" w:rsidRPr="008C597A">
            <w:rPr>
              <w:rFonts w:ascii="Arial" w:hAnsi="Arial" w:cs="Arial"/>
              <w:sz w:val="20"/>
              <w:szCs w:val="20"/>
              <w:lang w:val="es-ES"/>
            </w:rPr>
            <w:t xml:space="preserve"> Mathias Bernard, Presidente de la UCA.</w:t>
          </w:r>
        </w:p>
        <w:p w14:paraId="70F4FD41" w14:textId="77777777" w:rsidR="008C597A" w:rsidRPr="008C597A" w:rsidRDefault="008C597A" w:rsidP="008C597A">
          <w:pPr>
            <w:spacing w:line="276" w:lineRule="auto"/>
            <w:jc w:val="both"/>
            <w:rPr>
              <w:rFonts w:ascii="Arial" w:hAnsi="Arial" w:cs="Arial"/>
              <w:sz w:val="20"/>
              <w:szCs w:val="20"/>
              <w:lang w:val="es-ES"/>
            </w:rPr>
          </w:pPr>
        </w:p>
        <w:p w14:paraId="01A4ADA3" w14:textId="7900EE87" w:rsidR="008C597A" w:rsidRPr="00ED1078" w:rsidRDefault="008C597A" w:rsidP="008C597A">
          <w:pPr>
            <w:spacing w:line="276" w:lineRule="auto"/>
            <w:jc w:val="both"/>
            <w:rPr>
              <w:rFonts w:ascii="Arial" w:hAnsi="Arial" w:cs="Arial"/>
              <w:sz w:val="16"/>
              <w:szCs w:val="16"/>
              <w:lang w:val="es-ES"/>
            </w:rPr>
          </w:pPr>
          <w:r w:rsidRPr="00ED1078">
            <w:rPr>
              <w:rFonts w:ascii="Arial" w:hAnsi="Arial" w:cs="Arial"/>
              <w:sz w:val="16"/>
              <w:szCs w:val="16"/>
              <w:lang w:val="es-ES"/>
            </w:rPr>
            <w:t xml:space="preserve">1 Estas enzimas serán suministradas por el </w:t>
          </w:r>
          <w:r w:rsidR="00ED1078" w:rsidRPr="00ED1078">
            <w:rPr>
              <w:rFonts w:ascii="Arial" w:hAnsi="Arial" w:cs="Arial"/>
              <w:sz w:val="16"/>
              <w:szCs w:val="16"/>
              <w:lang w:val="es-ES"/>
            </w:rPr>
            <w:t xml:space="preserve">departamento CEA-Jacob </w:t>
          </w:r>
          <w:r w:rsidR="00ED1078">
            <w:rPr>
              <w:rFonts w:ascii="Arial" w:hAnsi="Arial" w:cs="Arial"/>
              <w:sz w:val="16"/>
              <w:szCs w:val="16"/>
              <w:lang w:val="es-ES"/>
            </w:rPr>
            <w:t xml:space="preserve">de </w:t>
          </w:r>
          <w:r w:rsidRPr="00ED1078">
            <w:rPr>
              <w:rFonts w:ascii="Arial" w:hAnsi="Arial" w:cs="Arial"/>
              <w:sz w:val="16"/>
              <w:szCs w:val="16"/>
              <w:lang w:val="es-ES"/>
            </w:rPr>
            <w:t>Genoscope,.</w:t>
          </w:r>
        </w:p>
        <w:p w14:paraId="25A605FB" w14:textId="051D9943" w:rsidR="008C597A" w:rsidRPr="00ED1078" w:rsidRDefault="008C597A" w:rsidP="008C597A">
          <w:pPr>
            <w:spacing w:line="276" w:lineRule="auto"/>
            <w:jc w:val="both"/>
            <w:rPr>
              <w:rFonts w:ascii="Arial" w:hAnsi="Arial" w:cs="Arial"/>
              <w:sz w:val="16"/>
              <w:szCs w:val="16"/>
              <w:lang w:val="es-ES"/>
            </w:rPr>
          </w:pPr>
          <w:r w:rsidRPr="00ED1078">
            <w:rPr>
              <w:rFonts w:ascii="Arial" w:hAnsi="Arial" w:cs="Arial"/>
              <w:sz w:val="16"/>
              <w:szCs w:val="16"/>
              <w:lang w:val="es-ES"/>
            </w:rPr>
            <w:t xml:space="preserve">2 Véase el estudio: </w:t>
          </w:r>
          <w:hyperlink r:id="rId8" w:history="1">
            <w:r w:rsidRPr="00830EAC">
              <w:rPr>
                <w:rStyle w:val="Hipervnculo"/>
                <w:rFonts w:ascii="Arial" w:hAnsi="Arial" w:cs="Arial"/>
                <w:sz w:val="16"/>
                <w:szCs w:val="16"/>
                <w:lang w:val="es-ES"/>
              </w:rPr>
              <w:t>TO31940 eng. alte Version (adac.de)</w:t>
            </w:r>
          </w:hyperlink>
          <w:r w:rsidR="00ED1078">
            <w:rPr>
              <w:rFonts w:ascii="Arial" w:hAnsi="Arial" w:cs="Arial"/>
              <w:sz w:val="16"/>
              <w:szCs w:val="16"/>
              <w:lang w:val="es-ES"/>
            </w:rPr>
            <w:t>.</w:t>
          </w:r>
        </w:p>
        <w:p w14:paraId="6D4037C3" w14:textId="77777777" w:rsidR="008C597A" w:rsidRPr="008C597A" w:rsidRDefault="008C597A" w:rsidP="008C597A">
          <w:pPr>
            <w:spacing w:line="276" w:lineRule="auto"/>
            <w:jc w:val="both"/>
            <w:rPr>
              <w:rFonts w:ascii="Arial" w:hAnsi="Arial" w:cs="Arial"/>
              <w:sz w:val="20"/>
              <w:szCs w:val="20"/>
              <w:lang w:val="es-ES"/>
            </w:rPr>
          </w:pPr>
        </w:p>
        <w:p w14:paraId="53A8276A" w14:textId="77777777" w:rsidR="008C597A" w:rsidRPr="008C597A" w:rsidRDefault="008C597A" w:rsidP="008C597A">
          <w:pPr>
            <w:spacing w:line="276" w:lineRule="auto"/>
            <w:jc w:val="both"/>
            <w:rPr>
              <w:rFonts w:ascii="Arial" w:hAnsi="Arial" w:cs="Arial"/>
              <w:sz w:val="20"/>
              <w:szCs w:val="20"/>
              <w:lang w:val="es-ES"/>
            </w:rPr>
          </w:pPr>
        </w:p>
        <w:p w14:paraId="032C08AF" w14:textId="4B55E469" w:rsidR="006C3818" w:rsidRDefault="006C3818" w:rsidP="003C3FC0">
          <w:pPr>
            <w:spacing w:line="276" w:lineRule="auto"/>
            <w:jc w:val="both"/>
            <w:rPr>
              <w:rFonts w:ascii="Arial" w:hAnsi="Arial" w:cs="Arial"/>
              <w:sz w:val="20"/>
              <w:szCs w:val="20"/>
              <w:lang w:val="es-ES"/>
            </w:rPr>
          </w:pPr>
        </w:p>
        <w:p w14:paraId="3A923EB8" w14:textId="177CEC64" w:rsidR="006C3818" w:rsidRPr="006D4CB8" w:rsidRDefault="006C3818" w:rsidP="003C3FC0">
          <w:pPr>
            <w:spacing w:line="276" w:lineRule="auto"/>
            <w:jc w:val="both"/>
            <w:rPr>
              <w:rFonts w:ascii="Arial" w:hAnsi="Arial" w:cs="Arial"/>
              <w:sz w:val="20"/>
              <w:szCs w:val="20"/>
              <w:lang w:val="es-ES"/>
            </w:rPr>
          </w:pPr>
        </w:p>
        <w:p w14:paraId="2E85801C" w14:textId="52908C76" w:rsidR="006C3818" w:rsidRPr="006D4CB8" w:rsidRDefault="006C3818" w:rsidP="003C3FC0">
          <w:pPr>
            <w:spacing w:line="276" w:lineRule="auto"/>
            <w:jc w:val="both"/>
            <w:rPr>
              <w:rFonts w:ascii="Arial" w:hAnsi="Arial" w:cs="Arial"/>
              <w:sz w:val="20"/>
              <w:szCs w:val="20"/>
              <w:lang w:val="es-ES"/>
            </w:rPr>
          </w:pPr>
        </w:p>
        <w:p w14:paraId="4309B6E8" w14:textId="77777777" w:rsidR="00ED1078" w:rsidRPr="00ED1078" w:rsidRDefault="00ED1078" w:rsidP="00ED1078">
          <w:pPr>
            <w:jc w:val="both"/>
            <w:rPr>
              <w:rFonts w:ascii="Arial" w:hAnsi="Arial" w:cs="Arial"/>
              <w:b/>
              <w:bCs/>
              <w:sz w:val="16"/>
              <w:szCs w:val="16"/>
              <w:lang w:val="es-ES"/>
            </w:rPr>
          </w:pPr>
          <w:r w:rsidRPr="00ED1078">
            <w:rPr>
              <w:rFonts w:ascii="Arial" w:hAnsi="Arial" w:cs="Arial"/>
              <w:b/>
              <w:bCs/>
              <w:sz w:val="16"/>
              <w:szCs w:val="16"/>
              <w:lang w:val="es-ES"/>
            </w:rPr>
            <w:t>Acerca del CNRS</w:t>
          </w:r>
        </w:p>
        <w:p w14:paraId="66BABC58" w14:textId="6DD7B80F" w:rsidR="00ED1078" w:rsidRPr="00ED1078" w:rsidRDefault="00ED1078" w:rsidP="00ED1078">
          <w:pPr>
            <w:jc w:val="both"/>
            <w:rPr>
              <w:rFonts w:ascii="Arial" w:hAnsi="Arial" w:cs="Arial"/>
              <w:sz w:val="16"/>
              <w:szCs w:val="16"/>
              <w:lang w:val="es-ES"/>
            </w:rPr>
          </w:pPr>
          <w:r w:rsidRPr="00ED1078">
            <w:rPr>
              <w:rFonts w:ascii="Arial" w:hAnsi="Arial" w:cs="Arial"/>
              <w:sz w:val="16"/>
              <w:szCs w:val="16"/>
              <w:lang w:val="es-ES"/>
            </w:rPr>
            <w:t xml:space="preserve">El Centro Nacional de Investigación Científica (CNRS) es una de las instituciones públicas de investigación más prestigiosas del mundo. Desde hace más de 80 años, se ha comprometido con la excelencia en la contratación y ha desarrollado una investigación multidisciplinar e interdisciplinar en toda Francia, Europa y el resto del mundo. </w:t>
          </w:r>
          <w:r w:rsidR="00830EAC">
            <w:rPr>
              <w:rFonts w:ascii="Arial" w:hAnsi="Arial" w:cs="Arial"/>
              <w:sz w:val="16"/>
              <w:szCs w:val="16"/>
              <w:lang w:val="es-ES"/>
            </w:rPr>
            <w:t>Orientado hacia el interés público</w:t>
          </w:r>
          <w:r w:rsidRPr="00ED1078">
            <w:rPr>
              <w:rFonts w:ascii="Arial" w:hAnsi="Arial" w:cs="Arial"/>
              <w:sz w:val="16"/>
              <w:szCs w:val="16"/>
              <w:lang w:val="es-ES"/>
            </w:rPr>
            <w:t xml:space="preserve">, contribuye al progreso científico, económico, social y cultural de Francia. El CNRS es ante todo 33.000 hombres y </w:t>
          </w:r>
          <w:r w:rsidR="00830EAC">
            <w:rPr>
              <w:rFonts w:ascii="Arial" w:hAnsi="Arial" w:cs="Arial"/>
              <w:sz w:val="16"/>
              <w:szCs w:val="16"/>
              <w:lang w:val="es-ES"/>
            </w:rPr>
            <w:t xml:space="preserve">mujeres y más de 1.000 laboratorios en su mayoría compartidos con universidades, escuelas y otros organismos de investigación que emplean a más de 120.000 personas y agrupan 200 profesiones que </w:t>
          </w:r>
          <w:r w:rsidRPr="00ED1078">
            <w:rPr>
              <w:rFonts w:ascii="Arial" w:hAnsi="Arial" w:cs="Arial"/>
              <w:sz w:val="16"/>
              <w:szCs w:val="16"/>
              <w:lang w:val="es-ES"/>
            </w:rPr>
            <w:t xml:space="preserve">hacen avanzar el conocimiento explorando la vida, la materia, el Universo y el funcionamiento de las sociedades humanas. El estrecho vínculo entre sus actividades de investigación y su transferencia a la sociedad convierte </w:t>
          </w:r>
          <w:r w:rsidR="00830EAC">
            <w:rPr>
              <w:rFonts w:ascii="Arial" w:hAnsi="Arial" w:cs="Arial"/>
              <w:sz w:val="16"/>
              <w:szCs w:val="16"/>
              <w:lang w:val="es-ES"/>
            </w:rPr>
            <w:t xml:space="preserve">al CNRS </w:t>
          </w:r>
          <w:r w:rsidRPr="00ED1078">
            <w:rPr>
              <w:rFonts w:ascii="Arial" w:hAnsi="Arial" w:cs="Arial"/>
              <w:sz w:val="16"/>
              <w:szCs w:val="16"/>
              <w:lang w:val="es-ES"/>
            </w:rPr>
            <w:t>en un agente clave de la innovación. La asociación con la industria es la piedra angular de su política de investigación y desarrollo. Esto se consigue a través de más de 200 estructuras conjuntas con la industria y la creación de un centenar de start-ups cada año, lo que demuestra el potencial económico de su investigación. El CNRS hace accesibles sus trabajos de investigación y sus datos; esta puesta en común de conocimientos se dirige a diferentes públicos: comunidades científicas, medios de comunicación, responsables de la toma de decisiones, agentes económicos y público en general (</w:t>
          </w:r>
          <w:hyperlink r:id="rId9" w:history="1">
            <w:r w:rsidR="00830EAC" w:rsidRPr="00ED1078">
              <w:rPr>
                <w:rStyle w:val="Hipervnculo"/>
                <w:rFonts w:ascii="Arial" w:hAnsi="Arial" w:cs="Arial"/>
                <w:sz w:val="16"/>
                <w:szCs w:val="16"/>
                <w:lang w:val="es-ES"/>
              </w:rPr>
              <w:t>www.cnrs.fr</w:t>
            </w:r>
          </w:hyperlink>
          <w:r w:rsidR="00830EAC">
            <w:rPr>
              <w:rFonts w:ascii="Arial" w:hAnsi="Arial" w:cs="Arial"/>
              <w:sz w:val="16"/>
              <w:szCs w:val="16"/>
              <w:lang w:val="es-ES"/>
            </w:rPr>
            <w:t>).</w:t>
          </w:r>
        </w:p>
        <w:p w14:paraId="648342B4" w14:textId="484E34F5" w:rsidR="003C3FC0" w:rsidRPr="006D4CB8" w:rsidRDefault="00000000" w:rsidP="003C3FC0">
          <w:pPr>
            <w:spacing w:line="276" w:lineRule="auto"/>
            <w:jc w:val="both"/>
            <w:rPr>
              <w:rFonts w:ascii="Arial" w:hAnsi="Arial" w:cs="Arial"/>
              <w:lang w:val="es-ES"/>
            </w:rPr>
          </w:pPr>
        </w:p>
      </w:sdtContent>
    </w:sdt>
    <w:p w14:paraId="0C4D8941" w14:textId="77777777" w:rsidR="00082115" w:rsidRPr="004C6D0A" w:rsidRDefault="00082115" w:rsidP="00082115">
      <w:pPr>
        <w:jc w:val="both"/>
        <w:rPr>
          <w:rFonts w:ascii="Arial" w:hAnsi="Arial" w:cs="Arial"/>
          <w:b/>
          <w:bCs/>
          <w:iCs/>
          <w:sz w:val="16"/>
          <w:szCs w:val="16"/>
          <w:lang w:val="es-ES"/>
        </w:rPr>
      </w:pPr>
      <w:r>
        <w:rPr>
          <w:rFonts w:ascii="Arial" w:hAnsi="Arial" w:cs="Arial"/>
          <w:b/>
          <w:bCs/>
          <w:iCs/>
          <w:sz w:val="16"/>
          <w:szCs w:val="16"/>
          <w:lang w:val="es-ES"/>
        </w:rPr>
        <w:t>Acerca de Michelin</w:t>
      </w:r>
    </w:p>
    <w:p w14:paraId="4D65A152" w14:textId="77777777" w:rsidR="00ED1078" w:rsidRDefault="00082115" w:rsidP="00ED1078">
      <w:pPr>
        <w:jc w:val="both"/>
        <w:rPr>
          <w:rFonts w:ascii="Arial" w:hAnsi="Arial" w:cs="Arial"/>
          <w:iCs/>
          <w:sz w:val="16"/>
          <w:szCs w:val="16"/>
          <w:lang w:val="es-ES"/>
        </w:rPr>
      </w:pPr>
      <w:r w:rsidRPr="009A43CE">
        <w:rPr>
          <w:rFonts w:ascii="Arial" w:hAnsi="Arial" w:cs="Arial"/>
          <w:iCs/>
          <w:sz w:val="16"/>
          <w:szCs w:val="16"/>
          <w:lang w:val="es-ES"/>
        </w:rPr>
        <w:t>Michelin tiene la ambición de mejorar de manera sostenible la movilidad de sus clientes. Líder del sector del neumático, Michelin diseña, fabrica y distribuye los neumáticos más adaptados a las necesidades y a los diferentes usos de sus clientes, así como servicios y soluciones para mejorar la eficacia del transporte. Michelin ofrece igualmente a sus clientes experiencias únicas en sus viajes y desplazamientos. Michelin desarrolla también materiales de alta tecnología para diversas utilizaciones. Con sede en Clermont-Ferrand (Francia), Michelin está presente en 17</w:t>
      </w:r>
      <w:r>
        <w:rPr>
          <w:rFonts w:ascii="Arial" w:hAnsi="Arial" w:cs="Arial"/>
          <w:iCs/>
          <w:sz w:val="16"/>
          <w:szCs w:val="16"/>
          <w:lang w:val="es-ES"/>
        </w:rPr>
        <w:t>5</w:t>
      </w:r>
      <w:r w:rsidRPr="009A43CE">
        <w:rPr>
          <w:rFonts w:ascii="Arial" w:hAnsi="Arial" w:cs="Arial"/>
          <w:iCs/>
          <w:sz w:val="16"/>
          <w:szCs w:val="16"/>
          <w:lang w:val="es-ES"/>
        </w:rPr>
        <w:t xml:space="preserve"> países, emplea a 1</w:t>
      </w:r>
      <w:r>
        <w:rPr>
          <w:rFonts w:ascii="Arial" w:hAnsi="Arial" w:cs="Arial"/>
          <w:iCs/>
          <w:sz w:val="16"/>
          <w:szCs w:val="16"/>
          <w:lang w:val="es-ES"/>
        </w:rPr>
        <w:t>32</w:t>
      </w:r>
      <w:r w:rsidRPr="009A43CE">
        <w:rPr>
          <w:rFonts w:ascii="Arial" w:hAnsi="Arial" w:cs="Arial"/>
          <w:iCs/>
          <w:sz w:val="16"/>
          <w:szCs w:val="16"/>
          <w:lang w:val="es-ES"/>
        </w:rPr>
        <w:t>.</w:t>
      </w:r>
      <w:r>
        <w:rPr>
          <w:rFonts w:ascii="Arial" w:hAnsi="Arial" w:cs="Arial"/>
          <w:iCs/>
          <w:sz w:val="16"/>
          <w:szCs w:val="16"/>
          <w:lang w:val="es-ES"/>
        </w:rPr>
        <w:t>000</w:t>
      </w:r>
      <w:r w:rsidRPr="009A43CE">
        <w:rPr>
          <w:rFonts w:ascii="Arial" w:hAnsi="Arial" w:cs="Arial"/>
          <w:iCs/>
          <w:sz w:val="16"/>
          <w:szCs w:val="16"/>
          <w:lang w:val="es-ES"/>
        </w:rPr>
        <w:t xml:space="preserve"> personas y dispone de </w:t>
      </w:r>
      <w:r>
        <w:rPr>
          <w:rFonts w:ascii="Arial" w:hAnsi="Arial" w:cs="Arial"/>
          <w:iCs/>
          <w:sz w:val="16"/>
          <w:szCs w:val="16"/>
          <w:lang w:val="es-ES"/>
        </w:rPr>
        <w:t>67</w:t>
      </w:r>
      <w:r w:rsidRPr="009A43CE">
        <w:rPr>
          <w:rFonts w:ascii="Arial" w:hAnsi="Arial" w:cs="Arial"/>
          <w:iCs/>
          <w:sz w:val="16"/>
          <w:szCs w:val="16"/>
          <w:lang w:val="es-ES"/>
        </w:rPr>
        <w:t xml:space="preserve"> centros de producción que en 202</w:t>
      </w:r>
      <w:r>
        <w:rPr>
          <w:rFonts w:ascii="Arial" w:hAnsi="Arial" w:cs="Arial"/>
          <w:iCs/>
          <w:sz w:val="16"/>
          <w:szCs w:val="16"/>
          <w:lang w:val="es-ES"/>
        </w:rPr>
        <w:t>2</w:t>
      </w:r>
      <w:r w:rsidRPr="009A43CE">
        <w:rPr>
          <w:rFonts w:ascii="Arial" w:hAnsi="Arial" w:cs="Arial"/>
          <w:iCs/>
          <w:sz w:val="16"/>
          <w:szCs w:val="16"/>
          <w:lang w:val="es-ES"/>
        </w:rPr>
        <w:t xml:space="preserve"> han fabricado </w:t>
      </w:r>
      <w:r>
        <w:rPr>
          <w:rFonts w:ascii="Arial" w:hAnsi="Arial" w:cs="Arial"/>
          <w:iCs/>
          <w:sz w:val="16"/>
          <w:szCs w:val="16"/>
          <w:lang w:val="es-ES"/>
        </w:rPr>
        <w:t>alrededor de 200</w:t>
      </w:r>
      <w:r w:rsidRPr="009A43CE">
        <w:rPr>
          <w:rFonts w:ascii="Arial" w:hAnsi="Arial" w:cs="Arial"/>
          <w:iCs/>
          <w:sz w:val="16"/>
          <w:szCs w:val="16"/>
          <w:lang w:val="es-ES"/>
        </w:rPr>
        <w:t xml:space="preserve"> millones de neumáticos (</w:t>
      </w:r>
      <w:hyperlink r:id="rId10" w:history="1">
        <w:r w:rsidRPr="009A43CE">
          <w:rPr>
            <w:rStyle w:val="Hipervnculo"/>
            <w:rFonts w:ascii="Arial" w:hAnsi="Arial" w:cs="Arial"/>
            <w:iCs/>
            <w:sz w:val="16"/>
            <w:szCs w:val="16"/>
            <w:lang w:val="es-ES"/>
          </w:rPr>
          <w:t>www.michelin.es</w:t>
        </w:r>
      </w:hyperlink>
      <w:r w:rsidRPr="009A43CE">
        <w:rPr>
          <w:rFonts w:ascii="Arial" w:hAnsi="Arial" w:cs="Arial"/>
          <w:iCs/>
          <w:sz w:val="16"/>
          <w:szCs w:val="16"/>
          <w:lang w:val="es-ES"/>
        </w:rPr>
        <w:t>).</w:t>
      </w:r>
    </w:p>
    <w:p w14:paraId="187A852C" w14:textId="77777777" w:rsidR="00ED1078" w:rsidRDefault="00ED1078" w:rsidP="00ED1078">
      <w:pPr>
        <w:jc w:val="both"/>
        <w:rPr>
          <w:rFonts w:ascii="Arial" w:hAnsi="Arial" w:cs="Arial"/>
          <w:iCs/>
          <w:sz w:val="16"/>
          <w:szCs w:val="16"/>
          <w:lang w:val="es-ES"/>
        </w:rPr>
      </w:pPr>
    </w:p>
    <w:p w14:paraId="5CC74FFE" w14:textId="77777777" w:rsidR="00ED1078" w:rsidRPr="00ED1078" w:rsidRDefault="00ED1078" w:rsidP="00ED1078">
      <w:pPr>
        <w:jc w:val="both"/>
        <w:rPr>
          <w:rFonts w:ascii="Arial" w:hAnsi="Arial" w:cs="Arial"/>
          <w:sz w:val="16"/>
          <w:szCs w:val="16"/>
          <w:lang w:val="es-ES"/>
        </w:rPr>
      </w:pPr>
    </w:p>
    <w:p w14:paraId="6554BD2E" w14:textId="77777777" w:rsidR="00ED1078" w:rsidRPr="00ED1078" w:rsidRDefault="00ED1078" w:rsidP="00ED1078">
      <w:pPr>
        <w:jc w:val="both"/>
        <w:rPr>
          <w:rFonts w:ascii="Arial" w:hAnsi="Arial" w:cs="Arial"/>
          <w:b/>
          <w:bCs/>
          <w:sz w:val="16"/>
          <w:szCs w:val="16"/>
          <w:lang w:val="es-ES"/>
        </w:rPr>
      </w:pPr>
      <w:r w:rsidRPr="00ED1078">
        <w:rPr>
          <w:rFonts w:ascii="Arial" w:hAnsi="Arial" w:cs="Arial"/>
          <w:b/>
          <w:bCs/>
          <w:sz w:val="16"/>
          <w:szCs w:val="16"/>
          <w:lang w:val="es-ES"/>
        </w:rPr>
        <w:t>Acerca de la UCA</w:t>
      </w:r>
    </w:p>
    <w:p w14:paraId="7EEA7BDA" w14:textId="15E59330" w:rsidR="00ED1078" w:rsidRPr="00ED1078" w:rsidRDefault="00ED1078" w:rsidP="00ED1078">
      <w:pPr>
        <w:jc w:val="both"/>
        <w:rPr>
          <w:rFonts w:ascii="Arial" w:hAnsi="Arial" w:cs="Arial"/>
          <w:sz w:val="16"/>
          <w:szCs w:val="16"/>
          <w:lang w:val="es-ES"/>
        </w:rPr>
      </w:pPr>
      <w:r w:rsidRPr="00ED1078">
        <w:rPr>
          <w:rFonts w:ascii="Arial" w:hAnsi="Arial" w:cs="Arial"/>
          <w:sz w:val="16"/>
          <w:szCs w:val="16"/>
          <w:lang w:val="es-ES"/>
        </w:rPr>
        <w:t xml:space="preserve">La </w:t>
      </w:r>
      <w:r w:rsidR="00830EAC">
        <w:rPr>
          <w:rFonts w:ascii="Arial" w:hAnsi="Arial" w:cs="Arial"/>
          <w:sz w:val="16"/>
          <w:szCs w:val="16"/>
          <w:lang w:val="es-ES"/>
        </w:rPr>
        <w:t>Universidad C</w:t>
      </w:r>
      <w:r w:rsidRPr="00ED1078">
        <w:rPr>
          <w:rFonts w:ascii="Arial" w:hAnsi="Arial" w:cs="Arial"/>
          <w:sz w:val="16"/>
          <w:szCs w:val="16"/>
          <w:lang w:val="es-ES"/>
        </w:rPr>
        <w:t xml:space="preserve">lermont Auvergne cuenta con 36.000 estudiantes y </w:t>
      </w:r>
      <w:r w:rsidR="00830EAC">
        <w:rPr>
          <w:rFonts w:ascii="Arial" w:hAnsi="Arial" w:cs="Arial"/>
          <w:sz w:val="16"/>
          <w:szCs w:val="16"/>
          <w:lang w:val="es-ES"/>
        </w:rPr>
        <w:t xml:space="preserve">una plantilla de </w:t>
      </w:r>
      <w:r w:rsidRPr="00ED1078">
        <w:rPr>
          <w:rFonts w:ascii="Arial" w:hAnsi="Arial" w:cs="Arial"/>
          <w:sz w:val="16"/>
          <w:szCs w:val="16"/>
          <w:lang w:val="es-ES"/>
        </w:rPr>
        <w:t xml:space="preserve">3.300 empleados. Galardonada con la etiqueta I-SITE (Iniciativas - Ciencia - Innovación - Territorios - Economía) por la Agencia Nacional Francesa de Investigación (ANR), es una de las 17 </w:t>
      </w:r>
      <w:r w:rsidR="00830EAC">
        <w:rPr>
          <w:rFonts w:ascii="Arial" w:hAnsi="Arial" w:cs="Arial"/>
          <w:sz w:val="16"/>
          <w:szCs w:val="16"/>
          <w:lang w:val="es-ES"/>
        </w:rPr>
        <w:t>“</w:t>
      </w:r>
      <w:r w:rsidRPr="00ED1078">
        <w:rPr>
          <w:rFonts w:ascii="Arial" w:hAnsi="Arial" w:cs="Arial"/>
          <w:sz w:val="16"/>
          <w:szCs w:val="16"/>
          <w:lang w:val="es-ES"/>
        </w:rPr>
        <w:t>Universidades de Excelencia</w:t>
      </w:r>
      <w:r w:rsidR="00830EAC">
        <w:rPr>
          <w:rFonts w:ascii="Arial" w:hAnsi="Arial" w:cs="Arial"/>
          <w:sz w:val="16"/>
          <w:szCs w:val="16"/>
          <w:lang w:val="es-ES"/>
        </w:rPr>
        <w:t>”</w:t>
      </w:r>
      <w:r w:rsidRPr="00ED1078">
        <w:rPr>
          <w:rFonts w:ascii="Arial" w:hAnsi="Arial" w:cs="Arial"/>
          <w:sz w:val="16"/>
          <w:szCs w:val="16"/>
          <w:lang w:val="es-ES"/>
        </w:rPr>
        <w:t xml:space="preserve"> </w:t>
      </w:r>
      <w:r w:rsidR="00830EAC">
        <w:rPr>
          <w:rFonts w:ascii="Arial" w:hAnsi="Arial" w:cs="Arial"/>
          <w:sz w:val="16"/>
          <w:szCs w:val="16"/>
          <w:lang w:val="es-ES"/>
        </w:rPr>
        <w:t>francesas</w:t>
      </w:r>
      <w:r w:rsidRPr="00ED1078">
        <w:rPr>
          <w:rFonts w:ascii="Arial" w:hAnsi="Arial" w:cs="Arial"/>
          <w:sz w:val="16"/>
          <w:szCs w:val="16"/>
          <w:lang w:val="es-ES"/>
        </w:rPr>
        <w:t xml:space="preserve">. Este reconocimiento está respaldado por el proyecto CAP 20-25, que moviliza a todas las estructuras y socios de la institución en torno al tema científico de </w:t>
      </w:r>
      <w:r w:rsidR="00830EAC">
        <w:rPr>
          <w:rFonts w:ascii="Arial" w:hAnsi="Arial" w:cs="Arial"/>
          <w:sz w:val="16"/>
          <w:szCs w:val="16"/>
          <w:lang w:val="es-ES"/>
        </w:rPr>
        <w:t>“concebir</w:t>
      </w:r>
      <w:r w:rsidRPr="00ED1078">
        <w:rPr>
          <w:rFonts w:ascii="Arial" w:hAnsi="Arial" w:cs="Arial"/>
          <w:sz w:val="16"/>
          <w:szCs w:val="16"/>
          <w:lang w:val="es-ES"/>
        </w:rPr>
        <w:t xml:space="preserve"> modelos de vida y de producción sostenibles</w:t>
      </w:r>
      <w:r w:rsidR="00830EAC">
        <w:rPr>
          <w:rFonts w:ascii="Arial" w:hAnsi="Arial" w:cs="Arial"/>
          <w:sz w:val="16"/>
          <w:szCs w:val="16"/>
          <w:lang w:val="es-ES"/>
        </w:rPr>
        <w:t>”</w:t>
      </w:r>
      <w:r w:rsidRPr="00ED1078">
        <w:rPr>
          <w:rFonts w:ascii="Arial" w:hAnsi="Arial" w:cs="Arial"/>
          <w:sz w:val="16"/>
          <w:szCs w:val="16"/>
          <w:lang w:val="es-ES"/>
        </w:rPr>
        <w:t xml:space="preserve">. </w:t>
      </w:r>
      <w:r w:rsidR="00830EAC">
        <w:rPr>
          <w:rFonts w:ascii="Arial" w:hAnsi="Arial" w:cs="Arial"/>
          <w:sz w:val="16"/>
          <w:szCs w:val="16"/>
          <w:lang w:val="es-ES"/>
        </w:rPr>
        <w:t>L</w:t>
      </w:r>
      <w:r w:rsidRPr="00ED1078">
        <w:rPr>
          <w:rFonts w:ascii="Arial" w:hAnsi="Arial" w:cs="Arial"/>
          <w:sz w:val="16"/>
          <w:szCs w:val="16"/>
          <w:lang w:val="es-ES"/>
        </w:rPr>
        <w:t>a UCA lleva a cabo una política voluntarista de acercamiento entre sus 47 estructuras de investigación y el mundo socioeconómico. Es una de las instituciones apoyadas por el Ministerio de Enseñanza Superior, Investigación e Innovación para gestionar un polo de innovación universitaria centrado en cinco temas: alimentación y agronomía sostenibles; movilidad, ciudades y producción industrial sostenible; materiales sostenibles y reciclados y combustibles sostenibles; movilidad y salud; e innovación para la gestión de datos masivos. El objetivo es aumentar el impacto económico de la investigación local estimulando las asociaciones público-privadas y la creación de start-ups (</w:t>
      </w:r>
      <w:hyperlink r:id="rId11" w:history="1">
        <w:r w:rsidR="00830EAC" w:rsidRPr="00ED1078">
          <w:rPr>
            <w:rStyle w:val="Hipervnculo"/>
            <w:rFonts w:ascii="Arial" w:hAnsi="Arial" w:cs="Arial"/>
            <w:sz w:val="16"/>
            <w:szCs w:val="16"/>
            <w:lang w:val="es-ES"/>
          </w:rPr>
          <w:t>www.uca.fr</w:t>
        </w:r>
      </w:hyperlink>
      <w:r w:rsidR="00830EAC">
        <w:rPr>
          <w:rFonts w:ascii="Arial" w:hAnsi="Arial" w:cs="Arial"/>
          <w:sz w:val="16"/>
          <w:szCs w:val="16"/>
          <w:lang w:val="es-ES"/>
        </w:rPr>
        <w:t>).</w:t>
      </w:r>
    </w:p>
    <w:p w14:paraId="049E5ADA" w14:textId="77777777" w:rsidR="00ED1078" w:rsidRPr="00ED1078" w:rsidRDefault="00ED1078" w:rsidP="00ED1078">
      <w:pPr>
        <w:jc w:val="both"/>
        <w:rPr>
          <w:rFonts w:ascii="Arial" w:hAnsi="Arial" w:cs="Arial"/>
          <w:sz w:val="16"/>
          <w:szCs w:val="16"/>
          <w:lang w:val="es-ES"/>
        </w:rPr>
      </w:pPr>
    </w:p>
    <w:p w14:paraId="1AF1FA51" w14:textId="4EEA959D" w:rsidR="00816BB1" w:rsidRPr="006D4CB8" w:rsidRDefault="006C3818" w:rsidP="00ED1078">
      <w:pPr>
        <w:jc w:val="both"/>
        <w:rPr>
          <w:rFonts w:ascii="Arial" w:hAnsi="Arial" w:cs="Arial"/>
          <w:sz w:val="16"/>
          <w:szCs w:val="16"/>
          <w:lang w:val="es-ES"/>
        </w:rPr>
      </w:pPr>
      <w:r w:rsidRPr="006D4CB8">
        <w:rPr>
          <w:rFonts w:ascii="Arial" w:hAnsi="Arial" w:cs="Arial"/>
          <w:sz w:val="16"/>
          <w:szCs w:val="16"/>
          <w:lang w:val="es-ES"/>
        </w:rPr>
        <w:tab/>
      </w:r>
    </w:p>
    <w:p w14:paraId="634A1C9E" w14:textId="2D38B76F" w:rsidR="0052344F" w:rsidRPr="006D4CB8" w:rsidRDefault="0052344F" w:rsidP="00CC6BAF">
      <w:pPr>
        <w:jc w:val="both"/>
        <w:rPr>
          <w:rFonts w:ascii="Arial" w:hAnsi="Arial" w:cs="Arial"/>
          <w:sz w:val="20"/>
          <w:szCs w:val="20"/>
          <w:lang w:val="es-ES"/>
        </w:rPr>
      </w:pPr>
    </w:p>
    <w:p w14:paraId="73E1F596" w14:textId="3E977AA5" w:rsidR="0052344F" w:rsidRPr="006D4CB8" w:rsidRDefault="0052344F" w:rsidP="00CC6BAF">
      <w:pPr>
        <w:jc w:val="both"/>
        <w:rPr>
          <w:rFonts w:ascii="Arial" w:hAnsi="Arial" w:cs="Arial"/>
          <w:sz w:val="20"/>
          <w:szCs w:val="20"/>
          <w:lang w:val="es-ES"/>
        </w:rPr>
      </w:pPr>
    </w:p>
    <w:p w14:paraId="7395BD20" w14:textId="5285720E" w:rsidR="0052344F" w:rsidRPr="006D4CB8" w:rsidRDefault="0052344F" w:rsidP="00CC6BAF">
      <w:pPr>
        <w:jc w:val="both"/>
        <w:rPr>
          <w:rFonts w:ascii="Arial" w:hAnsi="Arial" w:cs="Arial"/>
          <w:sz w:val="20"/>
          <w:szCs w:val="20"/>
          <w:lang w:val="es-ES"/>
        </w:rPr>
      </w:pPr>
    </w:p>
    <w:p w14:paraId="64755F9F" w14:textId="05E23D1E" w:rsidR="0052344F" w:rsidRPr="00833986" w:rsidRDefault="0052344F" w:rsidP="00CC6BAF">
      <w:pPr>
        <w:jc w:val="both"/>
        <w:rPr>
          <w:rFonts w:ascii="Arial" w:hAnsi="Arial" w:cs="Arial"/>
          <w:sz w:val="20"/>
          <w:szCs w:val="20"/>
          <w:lang w:val="es-ES"/>
        </w:rPr>
      </w:pPr>
    </w:p>
    <w:p w14:paraId="4A95EF5B" w14:textId="77777777" w:rsidR="007A3D45" w:rsidRPr="00833986" w:rsidRDefault="007A3D45" w:rsidP="007A3D45">
      <w:pPr>
        <w:spacing w:line="276" w:lineRule="auto"/>
        <w:jc w:val="center"/>
        <w:rPr>
          <w:rFonts w:ascii="Arial" w:hAnsi="Arial" w:cs="Arial"/>
          <w:sz w:val="20"/>
          <w:szCs w:val="20"/>
          <w:lang w:val="es-ES"/>
        </w:rPr>
      </w:pPr>
      <w:r w:rsidRPr="00833986">
        <w:rPr>
          <w:rFonts w:ascii="Arial" w:hAnsi="Arial" w:cs="Arial"/>
          <w:sz w:val="20"/>
          <w:szCs w:val="20"/>
          <w:lang w:val="es-ES"/>
        </w:rPr>
        <w:t>DEPARTAMENTO DE COMUNICACIÓN CORPORATIVA</w:t>
      </w:r>
    </w:p>
    <w:p w14:paraId="750C5A76" w14:textId="77777777" w:rsidR="007A3D45" w:rsidRPr="00833986" w:rsidRDefault="007A3D45" w:rsidP="007A3D45">
      <w:pPr>
        <w:tabs>
          <w:tab w:val="left" w:pos="2780"/>
          <w:tab w:val="center" w:pos="4513"/>
        </w:tabs>
        <w:spacing w:line="276" w:lineRule="auto"/>
        <w:jc w:val="center"/>
        <w:rPr>
          <w:rFonts w:ascii="Arial" w:hAnsi="Arial" w:cs="Arial"/>
          <w:b/>
          <w:bCs/>
          <w:sz w:val="20"/>
          <w:szCs w:val="20"/>
          <w:lang w:val="es-ES"/>
        </w:rPr>
      </w:pPr>
      <w:r w:rsidRPr="00833986">
        <w:rPr>
          <w:rFonts w:ascii="Arial" w:hAnsi="Arial" w:cs="Arial"/>
          <w:b/>
          <w:bCs/>
          <w:sz w:val="20"/>
          <w:szCs w:val="20"/>
          <w:lang w:val="es-ES"/>
        </w:rPr>
        <w:t>+34 6</w:t>
      </w:r>
      <w:r>
        <w:rPr>
          <w:rFonts w:ascii="Arial" w:hAnsi="Arial" w:cs="Arial"/>
          <w:b/>
          <w:bCs/>
          <w:sz w:val="20"/>
          <w:szCs w:val="20"/>
          <w:lang w:val="es-ES"/>
        </w:rPr>
        <w:t>18 525 277</w:t>
      </w:r>
    </w:p>
    <w:p w14:paraId="75F749FD" w14:textId="77777777" w:rsidR="007A3D45" w:rsidRPr="00833986" w:rsidRDefault="00000000" w:rsidP="007A3D45">
      <w:pPr>
        <w:spacing w:line="276" w:lineRule="auto"/>
        <w:jc w:val="center"/>
        <w:rPr>
          <w:rFonts w:ascii="Arial" w:hAnsi="Arial" w:cs="Arial"/>
          <w:color w:val="0000FF"/>
          <w:sz w:val="20"/>
          <w:szCs w:val="20"/>
          <w:u w:val="single"/>
          <w:lang w:val="es-ES"/>
        </w:rPr>
      </w:pPr>
      <w:hyperlink r:id="rId12" w:tgtFrame="_blank" w:history="1">
        <w:r w:rsidR="007A3D45" w:rsidRPr="00833986">
          <w:rPr>
            <w:rStyle w:val="Hipervnculo"/>
            <w:rFonts w:ascii="Arial" w:hAnsi="Arial" w:cs="Arial"/>
            <w:sz w:val="20"/>
            <w:szCs w:val="20"/>
            <w:lang w:val="es-ES"/>
          </w:rPr>
          <w:t>jose.saura-vinssac@michelin.com</w:t>
        </w:r>
      </w:hyperlink>
    </w:p>
    <w:p w14:paraId="2ADE691F" w14:textId="77777777" w:rsidR="007A3D45" w:rsidRDefault="007A3D45" w:rsidP="007A3D45">
      <w:pPr>
        <w:jc w:val="center"/>
        <w:rPr>
          <w:rFonts w:ascii="Arial" w:hAnsi="Arial" w:cs="Arial"/>
          <w:sz w:val="20"/>
          <w:szCs w:val="20"/>
          <w:lang w:val="es-ES"/>
        </w:rPr>
      </w:pPr>
    </w:p>
    <w:p w14:paraId="317387A1" w14:textId="77777777" w:rsidR="007A3D45" w:rsidRPr="00833986" w:rsidRDefault="007A3D45" w:rsidP="007A3D45">
      <w:pPr>
        <w:jc w:val="center"/>
        <w:rPr>
          <w:rFonts w:ascii="Arial" w:hAnsi="Arial" w:cs="Arial"/>
          <w:sz w:val="20"/>
          <w:szCs w:val="20"/>
          <w:lang w:val="es-ES"/>
        </w:rPr>
      </w:pPr>
      <w:r w:rsidRPr="00833986">
        <w:rPr>
          <w:rFonts w:ascii="Arial" w:hAnsi="Arial" w:cs="Arial"/>
          <w:noProof/>
          <w:sz w:val="20"/>
          <w:szCs w:val="20"/>
          <w:lang w:val="es-ES"/>
        </w:rPr>
        <w:drawing>
          <wp:inline distT="0" distB="0" distL="0" distR="0" wp14:anchorId="235FCD9A" wp14:editId="2D5F60B7">
            <wp:extent cx="1612265" cy="177730"/>
            <wp:effectExtent l="0" t="0" r="635" b="635"/>
            <wp:docPr id="1"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A3D45" w:rsidRPr="00833986" w14:paraId="39CAB30F" w14:textId="77777777" w:rsidTr="00C64BBD">
        <w:tc>
          <w:tcPr>
            <w:tcW w:w="9016" w:type="dxa"/>
          </w:tcPr>
          <w:p w14:paraId="3826FC43" w14:textId="77777777" w:rsidR="007A3D45" w:rsidRPr="00833986" w:rsidRDefault="00000000" w:rsidP="00C64BBD">
            <w:pPr>
              <w:jc w:val="center"/>
              <w:rPr>
                <w:rStyle w:val="Hipervnculo"/>
                <w:rFonts w:ascii="Arial" w:hAnsi="Arial" w:cs="Arial"/>
                <w:sz w:val="20"/>
                <w:szCs w:val="20"/>
                <w:lang w:val="es-ES"/>
              </w:rPr>
            </w:pPr>
            <w:hyperlink r:id="rId15" w:history="1">
              <w:r w:rsidR="007A3D45" w:rsidRPr="00FA4C66">
                <w:rPr>
                  <w:rStyle w:val="Hipervnculo"/>
                  <w:rFonts w:ascii="Arial" w:hAnsi="Arial" w:cs="Arial"/>
                  <w:sz w:val="20"/>
                  <w:szCs w:val="20"/>
                  <w:lang w:val="es-ES"/>
                </w:rPr>
                <w:t>www.michelin.es</w:t>
              </w:r>
            </w:hyperlink>
          </w:p>
          <w:p w14:paraId="4AA868D6" w14:textId="77777777" w:rsidR="007A3D45" w:rsidRPr="00833986" w:rsidRDefault="007A3D45" w:rsidP="00C64BBD">
            <w:pPr>
              <w:jc w:val="center"/>
              <w:rPr>
                <w:rFonts w:ascii="Arial" w:hAnsi="Arial" w:cs="Arial"/>
                <w:color w:val="08519D"/>
                <w:sz w:val="20"/>
                <w:szCs w:val="20"/>
                <w:lang w:val="es-ES"/>
              </w:rPr>
            </w:pPr>
          </w:p>
        </w:tc>
      </w:tr>
      <w:tr w:rsidR="007A3D45" w:rsidRPr="00833986" w14:paraId="3DCEA8A1" w14:textId="77777777" w:rsidTr="00C64BBD">
        <w:tc>
          <w:tcPr>
            <w:tcW w:w="9016" w:type="dxa"/>
          </w:tcPr>
          <w:p w14:paraId="30440DB5" w14:textId="77777777" w:rsidR="007A3D45" w:rsidRPr="00833986" w:rsidRDefault="007A3D45" w:rsidP="00C64BBD">
            <w:pPr>
              <w:jc w:val="center"/>
              <w:rPr>
                <w:rFonts w:ascii="Arial" w:hAnsi="Arial" w:cs="Arial"/>
                <w:color w:val="08519D"/>
                <w:sz w:val="20"/>
                <w:szCs w:val="20"/>
                <w:lang w:val="es-ES"/>
              </w:rPr>
            </w:pPr>
            <w:r w:rsidRPr="00833986">
              <w:rPr>
                <w:sz w:val="20"/>
                <w:szCs w:val="20"/>
              </w:rPr>
              <w:t xml:space="preserve">   </w:t>
            </w:r>
            <w:r w:rsidRPr="00833986">
              <w:rPr>
                <w:noProof/>
                <w:color w:val="000000"/>
                <w:sz w:val="20"/>
                <w:szCs w:val="20"/>
                <w:lang w:val="es-ES_tradnl" w:eastAsia="es-ES_tradnl"/>
              </w:rPr>
              <w:drawing>
                <wp:inline distT="0" distB="0" distL="0" distR="0" wp14:anchorId="3F0E292B" wp14:editId="1D4E248D">
                  <wp:extent cx="152400" cy="123825"/>
                  <wp:effectExtent l="0" t="0" r="0" b="0"/>
                  <wp:docPr id="100005" name="Imagen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6"/>
                          <a:stretch>
                            <a:fillRect/>
                          </a:stretch>
                        </pic:blipFill>
                        <pic:spPr>
                          <a:xfrm>
                            <a:off x="0" y="0"/>
                            <a:ext cx="152400" cy="123825"/>
                          </a:xfrm>
                          <a:prstGeom prst="rect">
                            <a:avLst/>
                          </a:prstGeom>
                        </pic:spPr>
                      </pic:pic>
                    </a:graphicData>
                  </a:graphic>
                </wp:inline>
              </w:drawing>
            </w:r>
            <w:hyperlink r:id="rId17" w:history="1">
              <w:r w:rsidRPr="00833986">
                <w:rPr>
                  <w:rFonts w:ascii="Arial" w:eastAsia="Arial" w:hAnsi="Arial" w:cs="Arial"/>
                  <w:color w:val="0000FF"/>
                  <w:sz w:val="20"/>
                  <w:szCs w:val="20"/>
                  <w:u w:val="single" w:color="0000FF"/>
                </w:rPr>
                <w:t>@MichelinNews</w:t>
              </w:r>
            </w:hyperlink>
            <w:r w:rsidRPr="00833986">
              <w:rPr>
                <w:rFonts w:ascii="Arial" w:eastAsia="Arial" w:hAnsi="Arial" w:cs="Arial"/>
                <w:color w:val="08519D"/>
                <w:sz w:val="20"/>
                <w:szCs w:val="20"/>
              </w:rPr>
              <w:t xml:space="preserve">  </w:t>
            </w:r>
            <w:r w:rsidRPr="00833986">
              <w:rPr>
                <w:noProof/>
                <w:color w:val="000000"/>
                <w:sz w:val="20"/>
                <w:szCs w:val="20"/>
                <w:lang w:val="es-ES_tradnl" w:eastAsia="es-ES_tradnl"/>
              </w:rPr>
              <w:drawing>
                <wp:inline distT="0" distB="0" distL="0" distR="0" wp14:anchorId="59DCE51A" wp14:editId="732D7EE6">
                  <wp:extent cx="119575" cy="119575"/>
                  <wp:effectExtent l="0" t="0" r="0" b="0"/>
                  <wp:docPr id="100007"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041" cy="122041"/>
                          </a:xfrm>
                          <a:prstGeom prst="rect">
                            <a:avLst/>
                          </a:prstGeom>
                        </pic:spPr>
                      </pic:pic>
                    </a:graphicData>
                  </a:graphic>
                </wp:inline>
              </w:drawing>
            </w:r>
            <w:r w:rsidRPr="00833986">
              <w:rPr>
                <w:rFonts w:ascii="Arial" w:eastAsia="Arial" w:hAnsi="Arial" w:cs="Arial"/>
                <w:color w:val="08519D"/>
                <w:sz w:val="20"/>
                <w:szCs w:val="20"/>
              </w:rPr>
              <w:t xml:space="preserve"> </w:t>
            </w:r>
            <w:hyperlink r:id="rId19" w:history="1">
              <w:r w:rsidRPr="00833986">
                <w:rPr>
                  <w:rFonts w:ascii="Arial" w:eastAsia="Arial" w:hAnsi="Arial" w:cs="Arial"/>
                  <w:color w:val="0000FF"/>
                  <w:sz w:val="20"/>
                  <w:szCs w:val="20"/>
                  <w:u w:val="single" w:color="0000FF"/>
                </w:rPr>
                <w:t>@Michelinespana</w:t>
              </w:r>
            </w:hyperlink>
            <w:r w:rsidRPr="00833986">
              <w:rPr>
                <w:rFonts w:ascii="Arial" w:eastAsia="Arial" w:hAnsi="Arial" w:cs="Arial"/>
                <w:color w:val="08519D"/>
                <w:sz w:val="20"/>
                <w:szCs w:val="20"/>
              </w:rPr>
              <w:t xml:space="preserve">  </w:t>
            </w:r>
            <w:r w:rsidRPr="00833986">
              <w:rPr>
                <w:noProof/>
                <w:color w:val="000000"/>
                <w:sz w:val="20"/>
                <w:szCs w:val="20"/>
                <w:lang w:val="es-ES_tradnl" w:eastAsia="es-ES_tradnl"/>
              </w:rPr>
              <w:drawing>
                <wp:inline distT="0" distB="0" distL="0" distR="0" wp14:anchorId="6B6C8DAA" wp14:editId="3E83955D">
                  <wp:extent cx="105654" cy="105654"/>
                  <wp:effectExtent l="0" t="0" r="0" b="0"/>
                  <wp:docPr id="100009" name="Imagen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7995" cy="107995"/>
                          </a:xfrm>
                          <a:prstGeom prst="rect">
                            <a:avLst/>
                          </a:prstGeom>
                        </pic:spPr>
                      </pic:pic>
                    </a:graphicData>
                  </a:graphic>
                </wp:inline>
              </w:drawing>
            </w:r>
            <w:r w:rsidRPr="00833986">
              <w:rPr>
                <w:rFonts w:ascii="Arial" w:eastAsia="Arial" w:hAnsi="Arial" w:cs="Arial"/>
                <w:color w:val="08519D"/>
                <w:sz w:val="20"/>
                <w:szCs w:val="20"/>
              </w:rPr>
              <w:t xml:space="preserve"> </w:t>
            </w:r>
            <w:hyperlink r:id="rId21" w:history="1">
              <w:r w:rsidRPr="00833986">
                <w:rPr>
                  <w:rFonts w:ascii="Arial" w:eastAsia="Arial" w:hAnsi="Arial" w:cs="Arial"/>
                  <w:color w:val="0000FF"/>
                  <w:sz w:val="20"/>
                  <w:szCs w:val="20"/>
                  <w:u w:val="single" w:color="0000FF"/>
                </w:rPr>
                <w:t>@Michelinespana</w:t>
              </w:r>
            </w:hyperlink>
            <w:r w:rsidRPr="00833986">
              <w:rPr>
                <w:rFonts w:ascii="Arial" w:eastAsia="Arial" w:hAnsi="Arial" w:cs="Arial"/>
                <w:color w:val="08519D"/>
                <w:sz w:val="20"/>
                <w:szCs w:val="20"/>
              </w:rPr>
              <w:t xml:space="preserve">  </w:t>
            </w:r>
            <w:r w:rsidRPr="00833986">
              <w:rPr>
                <w:noProof/>
                <w:color w:val="000000"/>
                <w:sz w:val="20"/>
                <w:szCs w:val="20"/>
                <w:lang w:val="es-ES_tradnl" w:eastAsia="es-ES_tradnl"/>
              </w:rPr>
              <w:drawing>
                <wp:inline distT="0" distB="0" distL="0" distR="0" wp14:anchorId="5905EC1F" wp14:editId="0859AC23">
                  <wp:extent cx="122213" cy="122213"/>
                  <wp:effectExtent l="0" t="0" r="5080" b="5080"/>
                  <wp:docPr id="100011"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3819" cy="123819"/>
                          </a:xfrm>
                          <a:prstGeom prst="rect">
                            <a:avLst/>
                          </a:prstGeom>
                        </pic:spPr>
                      </pic:pic>
                    </a:graphicData>
                  </a:graphic>
                </wp:inline>
              </w:drawing>
            </w:r>
            <w:r w:rsidRPr="00833986">
              <w:rPr>
                <w:rFonts w:ascii="Arial" w:eastAsia="Arial" w:hAnsi="Arial" w:cs="Arial"/>
                <w:color w:val="08519D"/>
                <w:sz w:val="20"/>
                <w:szCs w:val="20"/>
              </w:rPr>
              <w:t xml:space="preserve"> </w:t>
            </w:r>
            <w:hyperlink r:id="rId23" w:history="1">
              <w:r w:rsidRPr="00833986">
                <w:rPr>
                  <w:rFonts w:ascii="Arial" w:eastAsia="Arial" w:hAnsi="Arial" w:cs="Arial"/>
                  <w:color w:val="0000FF"/>
                  <w:sz w:val="20"/>
                  <w:szCs w:val="20"/>
                  <w:u w:val="single" w:color="0000FF"/>
                </w:rPr>
                <w:t>@Michelin</w:t>
              </w:r>
            </w:hyperlink>
          </w:p>
        </w:tc>
      </w:tr>
    </w:tbl>
    <w:p w14:paraId="3C27F417" w14:textId="77777777" w:rsidR="007A3D45" w:rsidRPr="00833986" w:rsidRDefault="007A3D45" w:rsidP="007A3D45">
      <w:pPr>
        <w:jc w:val="center"/>
        <w:rPr>
          <w:rFonts w:ascii="Arial" w:hAnsi="Arial" w:cs="Arial"/>
          <w:sz w:val="20"/>
          <w:szCs w:val="20"/>
          <w:lang w:val="es-ES"/>
        </w:rPr>
      </w:pPr>
    </w:p>
    <w:p w14:paraId="63CBFAC2" w14:textId="77777777" w:rsidR="007A3D45" w:rsidRPr="006D4CB8" w:rsidRDefault="007A3D45" w:rsidP="007A3D45">
      <w:pPr>
        <w:jc w:val="center"/>
        <w:rPr>
          <w:rFonts w:ascii="Arial" w:hAnsi="Arial" w:cs="Arial"/>
          <w:lang w:val="es-ES"/>
        </w:rPr>
      </w:pPr>
      <w:r>
        <w:rPr>
          <w:rFonts w:ascii="Arial" w:hAnsi="Arial" w:cs="Arial"/>
          <w:sz w:val="20"/>
          <w:szCs w:val="20"/>
          <w:lang w:val="es-ES"/>
        </w:rPr>
        <w:t xml:space="preserve">Glorieta de Bibendum nº1 – 47009 Valladolid </w:t>
      </w:r>
      <w:r w:rsidRPr="00833986">
        <w:rPr>
          <w:rFonts w:ascii="Arial" w:hAnsi="Arial" w:cs="Arial"/>
          <w:sz w:val="20"/>
          <w:szCs w:val="20"/>
          <w:lang w:val="es-ES"/>
        </w:rPr>
        <w:t xml:space="preserve">– </w:t>
      </w:r>
      <w:r w:rsidRPr="006D4CB8">
        <w:rPr>
          <w:rFonts w:ascii="Arial" w:hAnsi="Arial" w:cs="Arial"/>
          <w:lang w:val="es-ES"/>
        </w:rPr>
        <w:t xml:space="preserve"> ESPAÑA</w:t>
      </w:r>
    </w:p>
    <w:p w14:paraId="35E7F4EF" w14:textId="61BDD4B4" w:rsidR="00387E23" w:rsidRPr="006D4CB8" w:rsidRDefault="00387E23" w:rsidP="007A3D45">
      <w:pPr>
        <w:spacing w:line="276" w:lineRule="auto"/>
        <w:jc w:val="center"/>
        <w:rPr>
          <w:rFonts w:ascii="Arial" w:hAnsi="Arial" w:cs="Arial"/>
          <w:lang w:val="es-ES"/>
        </w:rPr>
      </w:pPr>
    </w:p>
    <w:sectPr w:rsidR="00387E23" w:rsidRPr="006D4CB8" w:rsidSect="006C3818">
      <w:headerReference w:type="even" r:id="rId24"/>
      <w:headerReference w:type="default" r:id="rId25"/>
      <w:footerReference w:type="even" r:id="rId26"/>
      <w:footerReference w:type="default" r:id="rId27"/>
      <w:headerReference w:type="first" r:id="rId28"/>
      <w:footerReference w:type="first" r:id="rId29"/>
      <w:pgSz w:w="11906" w:h="16838"/>
      <w:pgMar w:top="-1770" w:right="1440" w:bottom="1310" w:left="1440" w:header="204" w:footer="709" w:gutter="0"/>
      <w:pgBorders w:offsetFrom="page">
        <w:top w:val="single" w:sz="48" w:space="0" w:color="00509F"/>
        <w:left w:val="single" w:sz="48" w:space="0" w:color="00509F"/>
        <w:bottom w:val="single" w:sz="48" w:space="0" w:color="00509F"/>
        <w:right w:val="single" w:sz="48" w:space="0" w:color="00509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F5DA" w14:textId="77777777" w:rsidR="008B42A2" w:rsidRDefault="008B42A2" w:rsidP="00F24D98">
      <w:r>
        <w:separator/>
      </w:r>
    </w:p>
  </w:endnote>
  <w:endnote w:type="continuationSeparator" w:id="0">
    <w:p w14:paraId="4E4BE241" w14:textId="77777777" w:rsidR="008B42A2" w:rsidRDefault="008B42A2"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topia">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helin Unit Titling">
    <w:altName w:val="Calibri"/>
    <w:panose1 w:val="02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5998" w14:textId="77777777" w:rsidR="00F23D2E" w:rsidRDefault="00F23D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7F3B" w14:textId="35673834" w:rsidR="0044379B" w:rsidRPr="0044379B" w:rsidRDefault="0044379B" w:rsidP="0044379B">
    <w:pPr>
      <w:jc w:val="both"/>
      <w:rPr>
        <w:rFonts w:ascii="Arial" w:hAnsi="Arial" w:cs="Arial"/>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F83" w14:textId="5197860B" w:rsidR="0044379B" w:rsidRPr="0044379B" w:rsidRDefault="0044379B" w:rsidP="0044379B">
    <w:pPr>
      <w:jc w:val="both"/>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90E3" w14:textId="77777777" w:rsidR="008B42A2" w:rsidRDefault="008B42A2" w:rsidP="00F24D98">
      <w:r>
        <w:separator/>
      </w:r>
    </w:p>
  </w:footnote>
  <w:footnote w:type="continuationSeparator" w:id="0">
    <w:p w14:paraId="2452F380" w14:textId="77777777" w:rsidR="008B42A2" w:rsidRDefault="008B42A2"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A2E8" w14:textId="77777777" w:rsidR="00F23D2E" w:rsidRDefault="00F23D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4A5B" w14:textId="55C91CDB" w:rsidR="00B36FEE" w:rsidRDefault="001A4103" w:rsidP="00170CB5">
    <w:pPr>
      <w:pStyle w:val="Encabezado"/>
      <w:ind w:left="-1418"/>
      <w:jc w:val="center"/>
      <w:rPr>
        <w:rFonts w:ascii="Michelin Unit Titling" w:hAnsi="Michelin Unit Titling"/>
        <w:color w:val="404040" w:themeColor="text1" w:themeTint="BF"/>
      </w:rPr>
    </w:pPr>
    <w:r>
      <w:rPr>
        <w:noProof/>
      </w:rPr>
      <w:drawing>
        <wp:anchor distT="0" distB="0" distL="114300" distR="114300" simplePos="0" relativeHeight="251670528" behindDoc="0" locked="0" layoutInCell="1" allowOverlap="1" wp14:anchorId="5F7689E6" wp14:editId="31EA87E1">
          <wp:simplePos x="0" y="0"/>
          <wp:positionH relativeFrom="column">
            <wp:posOffset>1538715</wp:posOffset>
          </wp:positionH>
          <wp:positionV relativeFrom="paragraph">
            <wp:posOffset>170267</wp:posOffset>
          </wp:positionV>
          <wp:extent cx="2457450" cy="6540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54050"/>
                  </a:xfrm>
                  <a:prstGeom prst="rect">
                    <a:avLst/>
                  </a:prstGeom>
                  <a:noFill/>
                  <a:ln>
                    <a:noFill/>
                  </a:ln>
                </pic:spPr>
              </pic:pic>
            </a:graphicData>
          </a:graphic>
          <wp14:sizeRelH relativeFrom="margin">
            <wp14:pctWidth>0</wp14:pctWidth>
          </wp14:sizeRelH>
        </wp:anchor>
      </w:drawing>
    </w:r>
  </w:p>
  <w:p w14:paraId="4AE4505A" w14:textId="45512A1B" w:rsidR="00C53F0C" w:rsidRPr="00C53F0C" w:rsidRDefault="00C53F0C" w:rsidP="00170CB5">
    <w:pPr>
      <w:pStyle w:val="Encabezado"/>
      <w:ind w:left="-1418"/>
      <w:jc w:val="center"/>
      <w:rPr>
        <w:rFonts w:ascii="Michelin Unit Titling" w:hAnsi="Michelin Unit Titling"/>
        <w:color w:val="404040" w:themeColor="text1" w:themeTint="B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4F5A" w14:textId="49459B24" w:rsidR="001963B1" w:rsidRDefault="00F23D2E" w:rsidP="006C44F0">
    <w:pPr>
      <w:pStyle w:val="Encabezado"/>
      <w:ind w:left="-1418"/>
    </w:pPr>
    <w:r>
      <w:rPr>
        <w:noProof/>
      </w:rPr>
      <w:drawing>
        <wp:anchor distT="0" distB="0" distL="114300" distR="114300" simplePos="0" relativeHeight="251668480" behindDoc="0" locked="0" layoutInCell="1" allowOverlap="1" wp14:anchorId="4C6736A6" wp14:editId="7DAD1EF7">
          <wp:simplePos x="0" y="0"/>
          <wp:positionH relativeFrom="column">
            <wp:posOffset>1776334</wp:posOffset>
          </wp:positionH>
          <wp:positionV relativeFrom="paragraph">
            <wp:posOffset>186690</wp:posOffset>
          </wp:positionV>
          <wp:extent cx="2457450" cy="6540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54050"/>
                  </a:xfrm>
                  <a:prstGeom prst="rect">
                    <a:avLst/>
                  </a:prstGeom>
                  <a:noFill/>
                  <a:ln>
                    <a:noFill/>
                  </a:ln>
                </pic:spPr>
              </pic:pic>
            </a:graphicData>
          </a:graphic>
          <wp14:sizeRelH relativeFrom="margin">
            <wp14:pctWidth>0</wp14:pctWidth>
          </wp14:sizeRelH>
        </wp:anchor>
      </w:drawing>
    </w:r>
    <w:r w:rsidR="000778DE">
      <w:rPr>
        <w:rFonts w:ascii="Michelin Unit Titling" w:hAnsi="Michelin Unit Titling"/>
        <w:noProof/>
        <w:color w:val="000000" w:themeColor="text1"/>
      </w:rPr>
      <mc:AlternateContent>
        <mc:Choice Requires="wps">
          <w:drawing>
            <wp:anchor distT="0" distB="0" distL="114300" distR="114300" simplePos="0" relativeHeight="251659264" behindDoc="0" locked="0" layoutInCell="1" allowOverlap="1" wp14:anchorId="6B80B4D6" wp14:editId="3C0F7673">
              <wp:simplePos x="0" y="0"/>
              <wp:positionH relativeFrom="page">
                <wp:posOffset>2463165</wp:posOffset>
              </wp:positionH>
              <wp:positionV relativeFrom="paragraph">
                <wp:posOffset>748359</wp:posOffset>
              </wp:positionV>
              <wp:extent cx="2971800" cy="391886"/>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5ECC90E7" w14:textId="078B0F2F" w:rsidR="000B3F91" w:rsidRPr="00BE269E" w:rsidRDefault="00BE269E" w:rsidP="000B3F91">
                          <w:pPr>
                            <w:jc w:val="center"/>
                            <w:rPr>
                              <w:rFonts w:ascii="Michelin Unit Titling" w:hAnsi="Michelin Unit Titling"/>
                              <w:color w:val="575757"/>
                              <w:lang w:val="es-ES"/>
                            </w:rPr>
                          </w:pPr>
                          <w:r w:rsidRPr="00BE269E">
                            <w:rPr>
                              <w:rFonts w:ascii="Michelin Unit Titling" w:hAnsi="Michelin Unit Titling"/>
                              <w:color w:val="575757"/>
                              <w:lang w:val="es-ES"/>
                            </w:rPr>
                            <w:t>Información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0B4D6" id="_x0000_t202" coordsize="21600,21600" o:spt="202" path="m,l,21600r21600,l21600,xe">
              <v:stroke joinstyle="miter"/>
              <v:path gradientshapeok="t" o:connecttype="rect"/>
            </v:shapetype>
            <v:shape id="Text Box 4" o:spid="_x0000_s1026" type="#_x0000_t202" style="position:absolute;left:0;text-align:left;margin-left:193.95pt;margin-top:58.95pt;width:234pt;height:3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" fillcolor="white [3201]" stroked="f" strokeweight=".5pt">
              <v:textbox>
                <w:txbxContent>
                  <w:p w14:paraId="5ECC90E7" w14:textId="078B0F2F" w:rsidR="000B3F91" w:rsidRPr="00BE269E" w:rsidRDefault="00BE269E" w:rsidP="000B3F91">
                    <w:pPr>
                      <w:jc w:val="center"/>
                      <w:rPr>
                        <w:rFonts w:ascii="Michelin Unit Titling" w:hAnsi="Michelin Unit Titling"/>
                        <w:color w:val="575757"/>
                        <w:lang w:val="es-ES"/>
                      </w:rPr>
                    </w:pPr>
                    <w:r w:rsidRPr="00BE269E">
                      <w:rPr>
                        <w:rFonts w:ascii="Michelin Unit Titling" w:hAnsi="Michelin Unit Titling"/>
                        <w:color w:val="575757"/>
                        <w:lang w:val="es-ES"/>
                      </w:rPr>
                      <w:t>Información de prensa</w:t>
                    </w:r>
                  </w:p>
                </w:txbxContent>
              </v:textbox>
              <w10:wrap anchorx="page"/>
            </v:shape>
          </w:pict>
        </mc:Fallback>
      </mc:AlternateContent>
    </w:r>
    <w:r w:rsidR="00B36FEE">
      <w:rPr>
        <w:rFonts w:ascii="Michelin Unit Titling" w:hAnsi="Michelin Unit Titling"/>
        <w:noProof/>
        <w:color w:val="000000" w:themeColor="text1"/>
      </w:rPr>
      <mc:AlternateContent>
        <mc:Choice Requires="wps">
          <w:drawing>
            <wp:anchor distT="0" distB="0" distL="114300" distR="114300" simplePos="0" relativeHeight="251661312" behindDoc="0" locked="0" layoutInCell="1" allowOverlap="1" wp14:anchorId="2B1079E5" wp14:editId="4DD33B40">
              <wp:simplePos x="0" y="0"/>
              <wp:positionH relativeFrom="page">
                <wp:posOffset>426787</wp:posOffset>
              </wp:positionH>
              <wp:positionV relativeFrom="paragraph">
                <wp:posOffset>1083439</wp:posOffset>
              </wp:positionV>
              <wp:extent cx="1666959" cy="254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239CAE9F" w14:textId="6E5F2189" w:rsidR="003F197B" w:rsidRPr="00AC0E74" w:rsidRDefault="00594F5C" w:rsidP="003F197B">
                          <w:pPr>
                            <w:jc w:val="center"/>
                            <w:rPr>
                              <w:rFonts w:ascii="Michelin Unit Titling" w:hAnsi="Michelin Unit Titling"/>
                              <w:color w:val="575757"/>
                            </w:rPr>
                          </w:pPr>
                          <w:r>
                            <w:rPr>
                              <w:rFonts w:ascii="Michelin Unit Titling" w:hAnsi="Michelin Unit Titling"/>
                              <w:color w:val="575757"/>
                            </w:rPr>
                            <w:t>CORPORATIVO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079E5" id="Text Box 2" o:spid="_x0000_s1027" type="#_x0000_t202" style="position:absolute;left:0;text-align:left;margin-left:33.6pt;margin-top:85.3pt;width:131.25pt;height:2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" fillcolor="white [3201]" stroked="f" strokeweight=".5pt">
              <v:textbox>
                <w:txbxContent>
                  <w:p w14:paraId="239CAE9F" w14:textId="6E5F2189" w:rsidR="003F197B" w:rsidRPr="00AC0E74" w:rsidRDefault="00594F5C" w:rsidP="003F197B">
                    <w:pPr>
                      <w:jc w:val="center"/>
                      <w:rPr>
                        <w:rFonts w:ascii="Michelin Unit Titling" w:hAnsi="Michelin Unit Titling"/>
                        <w:color w:val="575757"/>
                      </w:rPr>
                    </w:pPr>
                    <w:r>
                      <w:rPr>
                        <w:rFonts w:ascii="Michelin Unit Titling" w:hAnsi="Michelin Unit Titling"/>
                        <w:color w:val="575757"/>
                      </w:rPr>
                      <w:t>CORPORATIVO</w:t>
                    </w:r>
                  </w:p>
                </w:txbxContent>
              </v:textbox>
              <w10:wrap anchorx="page"/>
            </v:shape>
          </w:pict>
        </mc:Fallback>
      </mc:AlternateContent>
    </w:r>
    <w:r w:rsidR="00B36FEE">
      <w:rPr>
        <w:noProof/>
      </w:rPr>
      <w:drawing>
        <wp:anchor distT="0" distB="0" distL="114300" distR="114300" simplePos="0" relativeHeight="251664384" behindDoc="0" locked="0" layoutInCell="1" allowOverlap="1" wp14:anchorId="2B5BC1A7" wp14:editId="706355DE">
          <wp:simplePos x="0" y="0"/>
          <wp:positionH relativeFrom="column">
            <wp:posOffset>-695325</wp:posOffset>
          </wp:positionH>
          <wp:positionV relativeFrom="paragraph">
            <wp:posOffset>1283970</wp:posOffset>
          </wp:positionV>
          <wp:extent cx="1876425" cy="279400"/>
          <wp:effectExtent l="0" t="0" r="3175" b="0"/>
          <wp:wrapSquare wrapText="bothSides"/>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
                    <a:extLst>
                      <a:ext uri="{28A0092B-C50C-407E-A947-70E740481C1C}">
                        <a14:useLocalDpi xmlns:a14="http://schemas.microsoft.com/office/drawing/2010/main" val="0"/>
                      </a:ext>
                    </a:extLst>
                  </a:blip>
                  <a:srcRect t="84997" r="74732"/>
                  <a:stretch/>
                </pic:blipFill>
                <pic:spPr bwMode="auto">
                  <a:xfrm>
                    <a:off x="0" y="0"/>
                    <a:ext cx="1876425" cy="27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359A4"/>
    <w:multiLevelType w:val="hybridMultilevel"/>
    <w:tmpl w:val="5AF27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8626DB"/>
    <w:multiLevelType w:val="hybridMultilevel"/>
    <w:tmpl w:val="8FE006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732386897">
    <w:abstractNumId w:val="1"/>
  </w:num>
  <w:num w:numId="2" w16cid:durableId="1615477190">
    <w:abstractNumId w:val="0"/>
  </w:num>
  <w:num w:numId="3" w16cid:durableId="1108811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86"/>
    <w:rsid w:val="00034081"/>
    <w:rsid w:val="000614D3"/>
    <w:rsid w:val="000778DE"/>
    <w:rsid w:val="00082115"/>
    <w:rsid w:val="000A5386"/>
    <w:rsid w:val="000B3F91"/>
    <w:rsid w:val="000C09D6"/>
    <w:rsid w:val="00112957"/>
    <w:rsid w:val="001162A2"/>
    <w:rsid w:val="00116A1A"/>
    <w:rsid w:val="00154400"/>
    <w:rsid w:val="00170CB5"/>
    <w:rsid w:val="001712BA"/>
    <w:rsid w:val="00186CCB"/>
    <w:rsid w:val="001963B1"/>
    <w:rsid w:val="001A0040"/>
    <w:rsid w:val="001A4103"/>
    <w:rsid w:val="001D57AF"/>
    <w:rsid w:val="001E520E"/>
    <w:rsid w:val="00205E5A"/>
    <w:rsid w:val="0021595A"/>
    <w:rsid w:val="002462B9"/>
    <w:rsid w:val="00262F8B"/>
    <w:rsid w:val="00274DC8"/>
    <w:rsid w:val="00387E23"/>
    <w:rsid w:val="003930CA"/>
    <w:rsid w:val="00395651"/>
    <w:rsid w:val="003C3FC0"/>
    <w:rsid w:val="003C419D"/>
    <w:rsid w:val="003F197B"/>
    <w:rsid w:val="00414F37"/>
    <w:rsid w:val="00416DE4"/>
    <w:rsid w:val="0042207B"/>
    <w:rsid w:val="00422E33"/>
    <w:rsid w:val="00422FAA"/>
    <w:rsid w:val="004237CD"/>
    <w:rsid w:val="0044379B"/>
    <w:rsid w:val="0045418F"/>
    <w:rsid w:val="00471963"/>
    <w:rsid w:val="00493386"/>
    <w:rsid w:val="004A7A65"/>
    <w:rsid w:val="004C6A8C"/>
    <w:rsid w:val="004D2A1B"/>
    <w:rsid w:val="004E3294"/>
    <w:rsid w:val="004E4143"/>
    <w:rsid w:val="00511304"/>
    <w:rsid w:val="00523432"/>
    <w:rsid w:val="0052344F"/>
    <w:rsid w:val="00523D3C"/>
    <w:rsid w:val="00530C47"/>
    <w:rsid w:val="00572127"/>
    <w:rsid w:val="00573DB4"/>
    <w:rsid w:val="00594F5C"/>
    <w:rsid w:val="005B00AE"/>
    <w:rsid w:val="006920B7"/>
    <w:rsid w:val="006C3818"/>
    <w:rsid w:val="006C44F0"/>
    <w:rsid w:val="006C7776"/>
    <w:rsid w:val="006D398C"/>
    <w:rsid w:val="006D4CB8"/>
    <w:rsid w:val="00707806"/>
    <w:rsid w:val="007A3D45"/>
    <w:rsid w:val="007E51AC"/>
    <w:rsid w:val="007F37A6"/>
    <w:rsid w:val="00802F0B"/>
    <w:rsid w:val="00816BB1"/>
    <w:rsid w:val="00830EAC"/>
    <w:rsid w:val="00833986"/>
    <w:rsid w:val="00834943"/>
    <w:rsid w:val="0083779A"/>
    <w:rsid w:val="00842005"/>
    <w:rsid w:val="0085450A"/>
    <w:rsid w:val="00877AE5"/>
    <w:rsid w:val="008B072F"/>
    <w:rsid w:val="008B42A2"/>
    <w:rsid w:val="008C597A"/>
    <w:rsid w:val="008F3690"/>
    <w:rsid w:val="008F5893"/>
    <w:rsid w:val="0093532F"/>
    <w:rsid w:val="009969D4"/>
    <w:rsid w:val="00A010E6"/>
    <w:rsid w:val="00A05352"/>
    <w:rsid w:val="00A133C9"/>
    <w:rsid w:val="00A6279B"/>
    <w:rsid w:val="00A72ECA"/>
    <w:rsid w:val="00A75B5C"/>
    <w:rsid w:val="00AB5624"/>
    <w:rsid w:val="00AC0E74"/>
    <w:rsid w:val="00B05B19"/>
    <w:rsid w:val="00B13DD6"/>
    <w:rsid w:val="00B32BCE"/>
    <w:rsid w:val="00B361FB"/>
    <w:rsid w:val="00B36FEE"/>
    <w:rsid w:val="00B45C21"/>
    <w:rsid w:val="00B97B28"/>
    <w:rsid w:val="00BC2889"/>
    <w:rsid w:val="00BE269E"/>
    <w:rsid w:val="00BF30E7"/>
    <w:rsid w:val="00C45365"/>
    <w:rsid w:val="00C53F0C"/>
    <w:rsid w:val="00CC6BAF"/>
    <w:rsid w:val="00CE4C0D"/>
    <w:rsid w:val="00CE5E82"/>
    <w:rsid w:val="00D26D15"/>
    <w:rsid w:val="00D313A5"/>
    <w:rsid w:val="00D55011"/>
    <w:rsid w:val="00D729F5"/>
    <w:rsid w:val="00D9116F"/>
    <w:rsid w:val="00DB7FA5"/>
    <w:rsid w:val="00DE00A9"/>
    <w:rsid w:val="00DE0B5B"/>
    <w:rsid w:val="00E01D8B"/>
    <w:rsid w:val="00E46580"/>
    <w:rsid w:val="00E926C4"/>
    <w:rsid w:val="00EA512D"/>
    <w:rsid w:val="00ED1078"/>
    <w:rsid w:val="00ED5957"/>
    <w:rsid w:val="00ED7136"/>
    <w:rsid w:val="00F1127B"/>
    <w:rsid w:val="00F23D2E"/>
    <w:rsid w:val="00F24D98"/>
    <w:rsid w:val="00F54E4E"/>
    <w:rsid w:val="00F6785B"/>
    <w:rsid w:val="00F95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44379B"/>
    <w:rPr>
      <w:color w:val="0000FF"/>
      <w:u w:val="single"/>
    </w:rPr>
  </w:style>
  <w:style w:type="table" w:styleId="Tablaconcuadrcula">
    <w:name w:val="Table Grid"/>
    <w:basedOn w:val="Tablanormal"/>
    <w:uiPriority w:val="39"/>
    <w:rsid w:val="00CC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F197B"/>
    <w:rPr>
      <w:color w:val="605E5C"/>
      <w:shd w:val="clear" w:color="auto" w:fill="E1DFDD"/>
    </w:rPr>
  </w:style>
  <w:style w:type="paragraph" w:styleId="Prrafodelista">
    <w:name w:val="List Paragraph"/>
    <w:basedOn w:val="Normal"/>
    <w:uiPriority w:val="34"/>
    <w:qFormat/>
    <w:rsid w:val="006D398C"/>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6D398C"/>
  </w:style>
  <w:style w:type="paragraph" w:styleId="Textonotapie">
    <w:name w:val="footnote text"/>
    <w:basedOn w:val="Normal"/>
    <w:link w:val="TextonotapieCar"/>
    <w:uiPriority w:val="99"/>
    <w:semiHidden/>
    <w:unhideWhenUsed/>
    <w:rsid w:val="006D398C"/>
    <w:rPr>
      <w:rFonts w:ascii="Utopia" w:eastAsia="Times New Roman" w:hAnsi="Utopia" w:cs="Times New Roman"/>
      <w:sz w:val="20"/>
      <w:szCs w:val="20"/>
      <w:lang w:eastAsia="fr-FR"/>
    </w:rPr>
  </w:style>
  <w:style w:type="character" w:customStyle="1" w:styleId="TextonotapieCar">
    <w:name w:val="Texto nota pie Car"/>
    <w:basedOn w:val="Fuentedeprrafopredeter"/>
    <w:link w:val="Textonotapie"/>
    <w:uiPriority w:val="99"/>
    <w:semiHidden/>
    <w:rsid w:val="006D398C"/>
    <w:rPr>
      <w:rFonts w:ascii="Utopia" w:eastAsia="Times New Roman" w:hAnsi="Utopia" w:cs="Times New Roman"/>
      <w:sz w:val="20"/>
      <w:szCs w:val="20"/>
      <w:lang w:eastAsia="fr-FR"/>
    </w:rPr>
  </w:style>
  <w:style w:type="character" w:styleId="Refdenotaalpie">
    <w:name w:val="footnote reference"/>
    <w:basedOn w:val="Fuentedeprrafopredeter"/>
    <w:uiPriority w:val="99"/>
    <w:semiHidden/>
    <w:unhideWhenUsed/>
    <w:rsid w:val="006D398C"/>
    <w:rPr>
      <w:vertAlign w:val="superscript"/>
    </w:rPr>
  </w:style>
  <w:style w:type="character" w:styleId="Hipervnculovisitado">
    <w:name w:val="FollowedHyperlink"/>
    <w:basedOn w:val="Fuentedeprrafopredeter"/>
    <w:uiPriority w:val="99"/>
    <w:semiHidden/>
    <w:unhideWhenUsed/>
    <w:rsid w:val="00523D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593324">
      <w:bodyDiv w:val="1"/>
      <w:marLeft w:val="0"/>
      <w:marRight w:val="0"/>
      <w:marTop w:val="0"/>
      <w:marBottom w:val="0"/>
      <w:divBdr>
        <w:top w:val="none" w:sz="0" w:space="0" w:color="auto"/>
        <w:left w:val="none" w:sz="0" w:space="0" w:color="auto"/>
        <w:bottom w:val="none" w:sz="0" w:space="0" w:color="auto"/>
        <w:right w:val="none" w:sz="0" w:space="0" w:color="auto"/>
      </w:divBdr>
      <w:divsChild>
        <w:div w:id="542442051">
          <w:marLeft w:val="0"/>
          <w:marRight w:val="0"/>
          <w:marTop w:val="0"/>
          <w:marBottom w:val="0"/>
          <w:divBdr>
            <w:top w:val="none" w:sz="0" w:space="0" w:color="auto"/>
            <w:left w:val="none" w:sz="0" w:space="0" w:color="auto"/>
            <w:bottom w:val="none" w:sz="0" w:space="0" w:color="auto"/>
            <w:right w:val="none" w:sz="0" w:space="0" w:color="auto"/>
          </w:divBdr>
        </w:div>
      </w:divsChild>
    </w:div>
    <w:div w:id="1055279015">
      <w:bodyDiv w:val="1"/>
      <w:marLeft w:val="0"/>
      <w:marRight w:val="0"/>
      <w:marTop w:val="0"/>
      <w:marBottom w:val="0"/>
      <w:divBdr>
        <w:top w:val="none" w:sz="0" w:space="0" w:color="auto"/>
        <w:left w:val="none" w:sz="0" w:space="0" w:color="auto"/>
        <w:bottom w:val="none" w:sz="0" w:space="0" w:color="auto"/>
        <w:right w:val="none" w:sz="0" w:space="0" w:color="auto"/>
      </w:divBdr>
    </w:div>
    <w:div w:id="19525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adac.de/image/upload/v1639663105/ADAC-eV/KOR/Text/PDF/Tyre_wear_particles_in_the_environment_zkmd3a.pdf" TargetMode="External"/><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nstagram.com/michelinespana/" TargetMode="External"/><Relationship Id="rId7" Type="http://schemas.openxmlformats.org/officeDocument/2006/relationships/endnotes" Target="endnotes.xml"/><Relationship Id="rId12" Type="http://schemas.openxmlformats.org/officeDocument/2006/relationships/hyperlink" Target="mailto:jose.saura-vinssac@michelin.com" TargetMode="External"/><Relationship Id="rId17" Type="http://schemas.openxmlformats.org/officeDocument/2006/relationships/hyperlink" Target="https://twitter.com/MichelinNew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a.f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ichelin.es" TargetMode="External"/><Relationship Id="rId23" Type="http://schemas.openxmlformats.org/officeDocument/2006/relationships/hyperlink" Target="https://www.linkedin.com/company/michelin/" TargetMode="External"/><Relationship Id="rId28" Type="http://schemas.openxmlformats.org/officeDocument/2006/relationships/header" Target="header3.xml"/><Relationship Id="rId10" Type="http://schemas.openxmlformats.org/officeDocument/2006/relationships/hyperlink" Target="http://www.michelin.es" TargetMode="External"/><Relationship Id="rId19" Type="http://schemas.openxmlformats.org/officeDocument/2006/relationships/hyperlink" Target="https://www.facebook.com/michelinespan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nrs.fr" TargetMode="External"/><Relationship Id="rId14" Type="http://schemas.openxmlformats.org/officeDocument/2006/relationships/image" Target="cid:ii_kl7q6gpk1" TargetMode="External"/><Relationship Id="rId22" Type="http://schemas.openxmlformats.org/officeDocument/2006/relationships/image" Target="media/image5.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950AC-9209-264C-8205-4C3E24E6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1552</Words>
  <Characters>8541</Characters>
  <Application>Microsoft Office Word</Application>
  <DocSecurity>0</DocSecurity>
  <Lines>71</Lines>
  <Paragraphs>20</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arfdamon@gmail.com</cp:lastModifiedBy>
  <cp:revision>37</cp:revision>
  <dcterms:created xsi:type="dcterms:W3CDTF">2021-03-01T16:33:00Z</dcterms:created>
  <dcterms:modified xsi:type="dcterms:W3CDTF">2023-12-19T10:43:00Z</dcterms:modified>
</cp:coreProperties>
</file>