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0A0E8D" w:rsidRDefault="00395651" w:rsidP="00395651">
      <w:pPr>
        <w:rPr>
          <w:rFonts w:ascii="Arial" w:hAnsi="Arial" w:cs="Arial"/>
          <w:sz w:val="20"/>
          <w:szCs w:val="20"/>
          <w:lang w:val="es-ES"/>
        </w:rPr>
      </w:pPr>
      <w:r w:rsidRPr="000A0E8D">
        <w:rPr>
          <w:rFonts w:ascii="Arial" w:hAnsi="Arial" w:cs="Arial"/>
          <w:sz w:val="20"/>
          <w:szCs w:val="20"/>
          <w:lang w:val="es-ES"/>
        </w:rPr>
        <w:t xml:space="preserve">                                                                               </w:t>
      </w:r>
      <w:r w:rsidR="00422E33" w:rsidRPr="000A0E8D">
        <w:rPr>
          <w:rFonts w:ascii="Arial" w:hAnsi="Arial" w:cs="Arial"/>
          <w:sz w:val="20"/>
          <w:szCs w:val="20"/>
          <w:lang w:val="es-ES"/>
        </w:rPr>
        <w:t xml:space="preserve">                </w:t>
      </w:r>
      <w:r w:rsidRPr="000A0E8D">
        <w:rPr>
          <w:rFonts w:ascii="Arial" w:hAnsi="Arial" w:cs="Arial"/>
          <w:sz w:val="20"/>
          <w:szCs w:val="20"/>
          <w:lang w:val="es-ES"/>
        </w:rPr>
        <w:t xml:space="preserve">    </w:t>
      </w:r>
    </w:p>
    <w:p w14:paraId="2F46475E" w14:textId="77777777" w:rsidR="00B36FEE" w:rsidRPr="000A0E8D" w:rsidRDefault="00B36FEE" w:rsidP="00395651">
      <w:pPr>
        <w:rPr>
          <w:rFonts w:ascii="Arial" w:hAnsi="Arial" w:cs="Arial"/>
          <w:sz w:val="20"/>
          <w:szCs w:val="20"/>
          <w:lang w:val="es-ES"/>
        </w:rPr>
      </w:pPr>
    </w:p>
    <w:p w14:paraId="74DBC59E" w14:textId="77777777" w:rsidR="00B36FEE" w:rsidRPr="000A0E8D" w:rsidRDefault="00B36FEE" w:rsidP="00395651">
      <w:pPr>
        <w:rPr>
          <w:rFonts w:ascii="Arial" w:hAnsi="Arial" w:cs="Arial"/>
          <w:sz w:val="20"/>
          <w:szCs w:val="20"/>
          <w:lang w:val="es-ES"/>
        </w:rPr>
      </w:pPr>
    </w:p>
    <w:p w14:paraId="73920A83" w14:textId="77777777" w:rsidR="00B36FEE" w:rsidRPr="000A0E8D" w:rsidRDefault="00B36FEE" w:rsidP="00395651">
      <w:pPr>
        <w:rPr>
          <w:rFonts w:ascii="Arial" w:hAnsi="Arial" w:cs="Arial"/>
          <w:sz w:val="20"/>
          <w:szCs w:val="20"/>
          <w:lang w:val="es-ES"/>
        </w:rPr>
      </w:pPr>
    </w:p>
    <w:p w14:paraId="139D66BB" w14:textId="45EE9898" w:rsidR="006D398C" w:rsidRPr="000A0E8D" w:rsidRDefault="00B36FEE" w:rsidP="00B36FEE">
      <w:pPr>
        <w:ind w:left="5760"/>
        <w:rPr>
          <w:rFonts w:ascii="Arial" w:hAnsi="Arial" w:cs="Arial"/>
          <w:sz w:val="20"/>
          <w:szCs w:val="20"/>
          <w:lang w:val="es-ES"/>
        </w:rPr>
      </w:pPr>
      <w:r w:rsidRPr="000A0E8D">
        <w:rPr>
          <w:rFonts w:ascii="Arial" w:hAnsi="Arial" w:cs="Arial"/>
          <w:sz w:val="20"/>
          <w:szCs w:val="20"/>
          <w:lang w:val="es-ES"/>
        </w:rPr>
        <w:t xml:space="preserve">   </w:t>
      </w:r>
      <w:r w:rsidR="000B3F1C">
        <w:rPr>
          <w:rFonts w:ascii="Arial" w:hAnsi="Arial" w:cs="Arial"/>
          <w:sz w:val="20"/>
          <w:szCs w:val="20"/>
          <w:lang w:val="es-ES"/>
        </w:rPr>
        <w:t>Valladolid, 1</w:t>
      </w:r>
      <w:r w:rsidR="003F7873">
        <w:rPr>
          <w:rFonts w:ascii="Arial" w:hAnsi="Arial" w:cs="Arial"/>
          <w:sz w:val="20"/>
          <w:szCs w:val="20"/>
          <w:lang w:val="es-ES"/>
        </w:rPr>
        <w:t>3</w:t>
      </w:r>
      <w:r w:rsidR="000B3F1C">
        <w:rPr>
          <w:rFonts w:ascii="Arial" w:hAnsi="Arial" w:cs="Arial"/>
          <w:sz w:val="20"/>
          <w:szCs w:val="20"/>
          <w:lang w:val="es-ES"/>
        </w:rPr>
        <w:t xml:space="preserve"> de febrero de 2024</w:t>
      </w:r>
    </w:p>
    <w:sdt>
      <w:sdtPr>
        <w:rPr>
          <w:rFonts w:ascii="Arial" w:hAnsi="Arial" w:cs="Arial"/>
          <w:lang w:val="es-ES"/>
        </w:rPr>
        <w:id w:val="1987273284"/>
        <w:docPartObj>
          <w:docPartGallery w:val="Cover Pages"/>
          <w:docPartUnique/>
        </w:docPartObj>
      </w:sdtPr>
      <w:sdtContent>
        <w:sdt>
          <w:sdtPr>
            <w:rPr>
              <w:rFonts w:ascii="Helvetica" w:hAnsi="Helvetica" w:cs="Helvetica"/>
              <w:vanish/>
              <w:sz w:val="22"/>
              <w:szCs w:val="22"/>
            </w:rPr>
            <w:id w:val="-1056926528"/>
            <w:docPartObj>
              <w:docPartGallery w:val="Cover Pages"/>
              <w:docPartUnique/>
            </w:docPartObj>
          </w:sdtPr>
          <w:sdtEndPr>
            <w:rPr>
              <w:vanish w:val="0"/>
            </w:rPr>
          </w:sdtEndPr>
          <w:sdtContent>
            <w:sdt>
              <w:sdtPr>
                <w:rPr>
                  <w:rFonts w:ascii="Helvetica" w:hAnsi="Helvetica" w:cs="Helvetica"/>
                  <w:sz w:val="22"/>
                  <w:szCs w:val="22"/>
                </w:rPr>
                <w:id w:val="-1725902301"/>
                <w:docPartObj>
                  <w:docPartGallery w:val="Cover Pages"/>
                  <w:docPartUnique/>
                </w:docPartObj>
              </w:sdtPr>
              <w:sdtContent>
                <w:p w14:paraId="0E5DE145" w14:textId="77777777" w:rsidR="00537F00" w:rsidRPr="000C4A36" w:rsidRDefault="00537F00" w:rsidP="00537F00">
                  <w:pPr>
                    <w:ind w:right="-22"/>
                    <w:jc w:val="both"/>
                    <w:rPr>
                      <w:rFonts w:ascii="Helvetica" w:hAnsi="Helvetica" w:cs="Helvetica"/>
                      <w:sz w:val="28"/>
                      <w:szCs w:val="28"/>
                      <w:highlight w:val="yellow"/>
                    </w:rPr>
                  </w:pPr>
                </w:p>
                <w:p w14:paraId="08614704" w14:textId="77777777" w:rsidR="000B3F1C" w:rsidRDefault="000B3F1C" w:rsidP="00537F00">
                  <w:pPr>
                    <w:spacing w:after="60" w:line="276" w:lineRule="auto"/>
                    <w:ind w:left="-426" w:right="-22"/>
                    <w:contextualSpacing/>
                    <w:jc w:val="center"/>
                    <w:rPr>
                      <w:rFonts w:ascii="Verdana" w:hAnsi="Verdana"/>
                      <w:b/>
                      <w:bCs/>
                      <w:sz w:val="20"/>
                      <w:szCs w:val="20"/>
                      <w:lang w:val="es-ES"/>
                    </w:rPr>
                  </w:pPr>
                </w:p>
                <w:p w14:paraId="5ACC7076" w14:textId="31F468B2" w:rsidR="00537F00" w:rsidRPr="00D82141" w:rsidRDefault="00537F00" w:rsidP="00537F00">
                  <w:pPr>
                    <w:spacing w:after="60" w:line="276" w:lineRule="auto"/>
                    <w:ind w:left="-426" w:right="-22"/>
                    <w:contextualSpacing/>
                    <w:jc w:val="center"/>
                    <w:rPr>
                      <w:sz w:val="20"/>
                      <w:szCs w:val="20"/>
                      <w:lang w:val="es-ES"/>
                    </w:rPr>
                  </w:pPr>
                  <w:r w:rsidRPr="00D82141">
                    <w:rPr>
                      <w:rFonts w:ascii="Verdana" w:hAnsi="Verdana"/>
                      <w:b/>
                      <w:bCs/>
                      <w:sz w:val="20"/>
                      <w:szCs w:val="20"/>
                      <w:lang w:val="es-ES"/>
                    </w:rPr>
                    <w:t xml:space="preserve">Michelin aumentó </w:t>
                  </w:r>
                  <w:r>
                    <w:rPr>
                      <w:rFonts w:ascii="Verdana" w:hAnsi="Verdana"/>
                      <w:b/>
                      <w:bCs/>
                      <w:color w:val="000000" w:themeColor="text1"/>
                      <w:sz w:val="20"/>
                      <w:szCs w:val="20"/>
                      <w:lang w:val="es-ES"/>
                    </w:rPr>
                    <w:t>el resultado operacional</w:t>
                  </w:r>
                  <w:r w:rsidRPr="00D82141">
                    <w:rPr>
                      <w:rFonts w:ascii="Verdana" w:hAnsi="Verdana"/>
                      <w:b/>
                      <w:bCs/>
                      <w:color w:val="000000" w:themeColor="text1"/>
                      <w:sz w:val="20"/>
                      <w:szCs w:val="20"/>
                      <w:lang w:val="es-ES"/>
                    </w:rPr>
                    <w:t xml:space="preserve"> de los sectores hasta los 3.600 millones de euros en 2023 y generó un sólido </w:t>
                  </w:r>
                  <w:r w:rsidRPr="00D82141">
                    <w:rPr>
                      <w:rFonts w:ascii="Verdana" w:hAnsi="Verdana"/>
                      <w:b/>
                      <w:bCs/>
                      <w:i/>
                      <w:iCs/>
                      <w:color w:val="000000" w:themeColor="text1"/>
                      <w:sz w:val="20"/>
                      <w:szCs w:val="20"/>
                      <w:lang w:val="es-ES"/>
                    </w:rPr>
                    <w:t xml:space="preserve">free cash </w:t>
                  </w:r>
                  <w:proofErr w:type="spellStart"/>
                  <w:r w:rsidRPr="00D82141">
                    <w:rPr>
                      <w:rFonts w:ascii="Verdana" w:hAnsi="Verdana"/>
                      <w:b/>
                      <w:bCs/>
                      <w:i/>
                      <w:iCs/>
                      <w:color w:val="000000" w:themeColor="text1"/>
                      <w:sz w:val="20"/>
                      <w:szCs w:val="20"/>
                      <w:lang w:val="es-ES"/>
                    </w:rPr>
                    <w:t>flow</w:t>
                  </w:r>
                  <w:proofErr w:type="spellEnd"/>
                  <w:r w:rsidRPr="00D82141">
                    <w:rPr>
                      <w:rFonts w:ascii="Verdana" w:hAnsi="Verdana"/>
                      <w:b/>
                      <w:bCs/>
                      <w:color w:val="000000" w:themeColor="text1"/>
                      <w:sz w:val="20"/>
                      <w:szCs w:val="20"/>
                      <w:lang w:val="es-ES"/>
                    </w:rPr>
                    <w:t xml:space="preserve"> de 3.000 millones de euros, lo que refleja la solidez de la estrategia del Grupo</w:t>
                  </w:r>
                </w:p>
                <w:p w14:paraId="70033D59" w14:textId="77777777" w:rsidR="00537F00" w:rsidRPr="00D82141" w:rsidRDefault="00537F00" w:rsidP="00537F00">
                  <w:pPr>
                    <w:ind w:left="-426" w:right="-22"/>
                    <w:jc w:val="center"/>
                    <w:rPr>
                      <w:rFonts w:ascii="Verdana" w:eastAsia="Times New Roman" w:hAnsi="Verdana" w:cs="Arial"/>
                      <w:bCs/>
                      <w:sz w:val="18"/>
                      <w:szCs w:val="18"/>
                      <w:lang w:val="es-ES"/>
                    </w:rPr>
                  </w:pPr>
                </w:p>
                <w:p w14:paraId="47558168" w14:textId="6F361F72" w:rsidR="00537F00" w:rsidRPr="00D82141" w:rsidRDefault="00537F00" w:rsidP="00537F00">
                  <w:pPr>
                    <w:ind w:left="-426" w:right="-22"/>
                    <w:jc w:val="both"/>
                    <w:rPr>
                      <w:rFonts w:ascii="Verdana" w:hAnsi="Verdana"/>
                      <w:b/>
                      <w:sz w:val="18"/>
                      <w:szCs w:val="28"/>
                      <w:lang w:val="es-ES"/>
                    </w:rPr>
                  </w:pPr>
                  <w:r w:rsidRPr="00D82141">
                    <w:rPr>
                      <w:rFonts w:ascii="Verdana" w:hAnsi="Verdana"/>
                      <w:b/>
                      <w:sz w:val="18"/>
                      <w:szCs w:val="28"/>
                      <w:lang w:val="es-ES"/>
                    </w:rPr>
                    <w:t xml:space="preserve">Michelin obtuvo un alto </w:t>
                  </w:r>
                  <w:r>
                    <w:rPr>
                      <w:rFonts w:ascii="Verdana" w:hAnsi="Verdana"/>
                      <w:b/>
                      <w:sz w:val="18"/>
                      <w:szCs w:val="28"/>
                      <w:lang w:val="es-ES"/>
                    </w:rPr>
                    <w:t xml:space="preserve">resultado operacional de los sectores </w:t>
                  </w:r>
                  <w:r w:rsidRPr="00D82141">
                    <w:rPr>
                      <w:rFonts w:ascii="Verdana" w:hAnsi="Verdana"/>
                      <w:b/>
                      <w:sz w:val="18"/>
                      <w:szCs w:val="28"/>
                      <w:lang w:val="es-ES"/>
                    </w:rPr>
                    <w:t xml:space="preserve">en 2023 a pesar de las condiciones adversas del mercado y </w:t>
                  </w:r>
                  <w:r w:rsidR="000B3F1C">
                    <w:rPr>
                      <w:rFonts w:ascii="Verdana" w:hAnsi="Verdana"/>
                      <w:b/>
                      <w:sz w:val="18"/>
                      <w:szCs w:val="28"/>
                      <w:lang w:val="es-ES"/>
                    </w:rPr>
                    <w:t>los tipos</w:t>
                  </w:r>
                  <w:r>
                    <w:rPr>
                      <w:rFonts w:ascii="Verdana" w:hAnsi="Verdana"/>
                      <w:b/>
                      <w:sz w:val="18"/>
                      <w:szCs w:val="28"/>
                      <w:lang w:val="es-ES"/>
                    </w:rPr>
                    <w:t xml:space="preserve"> de cambio</w:t>
                  </w:r>
                  <w:r w:rsidRPr="00D82141">
                    <w:rPr>
                      <w:rFonts w:ascii="Verdana" w:hAnsi="Verdana"/>
                      <w:b/>
                      <w:sz w:val="18"/>
                      <w:szCs w:val="28"/>
                      <w:lang w:val="es-ES"/>
                    </w:rPr>
                    <w:t xml:space="preserve">, demostrando una vez más la calidad de su modelo de negocio, al tiempo que mejoró el compromiso de las personas y aceleró su hoja de ruta de sostenibilidad. Este desempeño ilustra la estrategia del Grupo para capturar todo el valor de sus soluciones </w:t>
                  </w:r>
                  <w:r>
                    <w:rPr>
                      <w:rFonts w:ascii="Verdana" w:hAnsi="Verdana"/>
                      <w:b/>
                      <w:sz w:val="18"/>
                      <w:szCs w:val="28"/>
                      <w:lang w:val="es-ES"/>
                    </w:rPr>
                    <w:t>diferenciadoras</w:t>
                  </w:r>
                  <w:r w:rsidRPr="00D82141">
                    <w:rPr>
                      <w:rFonts w:ascii="Verdana" w:hAnsi="Verdana"/>
                      <w:b/>
                      <w:sz w:val="18"/>
                      <w:szCs w:val="28"/>
                      <w:lang w:val="es-ES"/>
                    </w:rPr>
                    <w:t>, diseñadas para satisfacer los requisitos cada vez más exigentes de los clientes.</w:t>
                  </w:r>
                </w:p>
                <w:p w14:paraId="36525936" w14:textId="77777777" w:rsidR="00537F00" w:rsidRPr="00D82141" w:rsidRDefault="00537F00" w:rsidP="00537F00">
                  <w:pPr>
                    <w:ind w:left="-426" w:right="-22"/>
                    <w:jc w:val="both"/>
                    <w:rPr>
                      <w:rFonts w:ascii="Verdana" w:hAnsi="Verdana"/>
                      <w:b/>
                      <w:sz w:val="12"/>
                      <w:szCs w:val="12"/>
                      <w:lang w:val="es-ES"/>
                    </w:rPr>
                  </w:pPr>
                </w:p>
                <w:p w14:paraId="10352BB6" w14:textId="77777777" w:rsidR="00537F00" w:rsidRPr="00D82141" w:rsidRDefault="00537F00" w:rsidP="00537F00">
                  <w:pPr>
                    <w:ind w:left="-426" w:right="-22"/>
                    <w:jc w:val="both"/>
                    <w:rPr>
                      <w:rFonts w:ascii="Verdana" w:hAnsi="Verdana"/>
                      <w:b/>
                      <w:sz w:val="18"/>
                      <w:szCs w:val="28"/>
                      <w:lang w:val="es-ES"/>
                    </w:rPr>
                  </w:pPr>
                  <w:r w:rsidRPr="00D82141">
                    <w:rPr>
                      <w:rFonts w:ascii="Verdana" w:hAnsi="Verdana"/>
                      <w:b/>
                      <w:sz w:val="18"/>
                      <w:szCs w:val="28"/>
                      <w:lang w:val="es-ES"/>
                    </w:rPr>
                    <w:t xml:space="preserve">Ventas por un total de 28.300 millones de euros, un 2,0% más a tipos de cambio constantes, con un </w:t>
                  </w:r>
                  <w:proofErr w:type="spellStart"/>
                  <w:r w:rsidRPr="00D82141">
                    <w:rPr>
                      <w:rFonts w:ascii="Verdana" w:hAnsi="Verdana"/>
                      <w:b/>
                      <w:i/>
                      <w:iCs/>
                      <w:sz w:val="18"/>
                      <w:szCs w:val="28"/>
                      <w:lang w:val="es-ES"/>
                    </w:rPr>
                    <w:t>mix</w:t>
                  </w:r>
                  <w:proofErr w:type="spellEnd"/>
                  <w:r w:rsidRPr="00D82141">
                    <w:rPr>
                      <w:rFonts w:ascii="Verdana" w:hAnsi="Verdana"/>
                      <w:b/>
                      <w:sz w:val="18"/>
                      <w:szCs w:val="28"/>
                      <w:lang w:val="es-ES"/>
                    </w:rPr>
                    <w:t xml:space="preserve"> y precios que compensa</w:t>
                  </w:r>
                  <w:r>
                    <w:rPr>
                      <w:rFonts w:ascii="Verdana" w:hAnsi="Verdana"/>
                      <w:b/>
                      <w:sz w:val="18"/>
                      <w:szCs w:val="28"/>
                      <w:lang w:val="es-ES"/>
                    </w:rPr>
                    <w:t>n</w:t>
                  </w:r>
                  <w:r w:rsidRPr="00D82141">
                    <w:rPr>
                      <w:rFonts w:ascii="Verdana" w:hAnsi="Verdana"/>
                      <w:b/>
                      <w:sz w:val="18"/>
                      <w:szCs w:val="28"/>
                      <w:lang w:val="es-ES"/>
                    </w:rPr>
                    <w:t xml:space="preserve"> las condiciones desfavorables del mercado. Las ventas </w:t>
                  </w:r>
                  <w:r>
                    <w:rPr>
                      <w:rFonts w:ascii="Verdana" w:hAnsi="Verdana"/>
                      <w:b/>
                      <w:sz w:val="18"/>
                      <w:szCs w:val="28"/>
                      <w:lang w:val="es-ES"/>
                    </w:rPr>
                    <w:t xml:space="preserve">de productos y servicios sin neumáticos </w:t>
                  </w:r>
                  <w:r w:rsidRPr="00D82141">
                    <w:rPr>
                      <w:rFonts w:ascii="Verdana" w:hAnsi="Verdana"/>
                      <w:b/>
                      <w:sz w:val="18"/>
                      <w:szCs w:val="28"/>
                      <w:lang w:val="es-ES"/>
                    </w:rPr>
                    <w:t>crecieron un 10%.</w:t>
                  </w:r>
                </w:p>
                <w:p w14:paraId="62DA9658" w14:textId="77777777" w:rsidR="00537F00" w:rsidRPr="00D82141" w:rsidRDefault="00537F00" w:rsidP="00537F00">
                  <w:pPr>
                    <w:pStyle w:val="Prrafodelista"/>
                    <w:numPr>
                      <w:ilvl w:val="0"/>
                      <w:numId w:val="4"/>
                    </w:numPr>
                    <w:ind w:left="-142" w:right="-22" w:hanging="284"/>
                    <w:jc w:val="both"/>
                    <w:rPr>
                      <w:rFonts w:ascii="Verdana" w:hAnsi="Verdana"/>
                      <w:sz w:val="18"/>
                      <w:szCs w:val="28"/>
                      <w:lang w:val="es-ES"/>
                    </w:rPr>
                  </w:pPr>
                  <w:r w:rsidRPr="00D82141">
                    <w:rPr>
                      <w:rFonts w:ascii="Verdana" w:hAnsi="Verdana"/>
                      <w:sz w:val="18"/>
                      <w:szCs w:val="28"/>
                      <w:lang w:val="es-ES"/>
                    </w:rPr>
                    <w:t>Los mercados de venta de neumáticos a nivel mundial se mantuvieron estables, pero con</w:t>
                  </w:r>
                  <w:r>
                    <w:rPr>
                      <w:rFonts w:ascii="Verdana" w:hAnsi="Verdana"/>
                      <w:sz w:val="18"/>
                      <w:szCs w:val="28"/>
                      <w:lang w:val="es-ES"/>
                    </w:rPr>
                    <w:t xml:space="preserve"> un</w:t>
                  </w:r>
                  <w:r w:rsidRPr="00D82141">
                    <w:rPr>
                      <w:rFonts w:ascii="Verdana" w:hAnsi="Verdana"/>
                      <w:sz w:val="18"/>
                      <w:szCs w:val="28"/>
                      <w:lang w:val="es-ES"/>
                    </w:rPr>
                    <w:t xml:space="preserve"> </w:t>
                  </w:r>
                  <w:proofErr w:type="spellStart"/>
                  <w:r w:rsidRPr="00D82141">
                    <w:rPr>
                      <w:rFonts w:ascii="Verdana" w:hAnsi="Verdana"/>
                      <w:i/>
                      <w:iCs/>
                      <w:sz w:val="18"/>
                      <w:szCs w:val="28"/>
                      <w:lang w:val="es-ES"/>
                    </w:rPr>
                    <w:t>mix</w:t>
                  </w:r>
                  <w:proofErr w:type="spellEnd"/>
                  <w:r w:rsidRPr="00D82141">
                    <w:rPr>
                      <w:rFonts w:ascii="Verdana" w:hAnsi="Verdana"/>
                      <w:sz w:val="18"/>
                      <w:szCs w:val="28"/>
                      <w:lang w:val="es-ES"/>
                    </w:rPr>
                    <w:t xml:space="preserve"> advers</w:t>
                  </w:r>
                  <w:r>
                    <w:rPr>
                      <w:rFonts w:ascii="Verdana" w:hAnsi="Verdana"/>
                      <w:sz w:val="18"/>
                      <w:szCs w:val="28"/>
                      <w:lang w:val="es-ES"/>
                    </w:rPr>
                    <w:t>o</w:t>
                  </w:r>
                  <w:r w:rsidRPr="00D82141">
                    <w:rPr>
                      <w:rFonts w:ascii="Verdana" w:hAnsi="Verdana"/>
                      <w:sz w:val="18"/>
                      <w:szCs w:val="28"/>
                      <w:lang w:val="es-ES"/>
                    </w:rPr>
                    <w:t xml:space="preserve">, con </w:t>
                  </w:r>
                  <w:r>
                    <w:rPr>
                      <w:rFonts w:ascii="Verdana" w:hAnsi="Verdana"/>
                      <w:sz w:val="18"/>
                      <w:szCs w:val="28"/>
                      <w:lang w:val="es-ES"/>
                    </w:rPr>
                    <w:t>primeros equipos</w:t>
                  </w:r>
                  <w:r w:rsidRPr="00D82141">
                    <w:rPr>
                      <w:rFonts w:ascii="Verdana" w:hAnsi="Verdana"/>
                      <w:sz w:val="18"/>
                      <w:szCs w:val="28"/>
                      <w:lang w:val="es-ES"/>
                    </w:rPr>
                    <w:t xml:space="preserve"> creciendo en la mayoría de los segmentos, mientras que el reemplazo se enfrentó a una reducción masiva de existencias (</w:t>
                  </w:r>
                  <w:r>
                    <w:rPr>
                      <w:rFonts w:ascii="Verdana" w:hAnsi="Verdana"/>
                      <w:sz w:val="18"/>
                      <w:szCs w:val="28"/>
                      <w:lang w:val="es-ES"/>
                    </w:rPr>
                    <w:t xml:space="preserve">que </w:t>
                  </w:r>
                  <w:r w:rsidRPr="00D82141">
                    <w:rPr>
                      <w:rFonts w:ascii="Verdana" w:hAnsi="Verdana"/>
                      <w:sz w:val="18"/>
                      <w:szCs w:val="28"/>
                      <w:lang w:val="es-ES"/>
                    </w:rPr>
                    <w:t>ahora se considera completa</w:t>
                  </w:r>
                  <w:r>
                    <w:rPr>
                      <w:rFonts w:ascii="Verdana" w:hAnsi="Verdana"/>
                      <w:sz w:val="18"/>
                      <w:szCs w:val="28"/>
                      <w:lang w:val="es-ES"/>
                    </w:rPr>
                    <w:t>da</w:t>
                  </w:r>
                  <w:r w:rsidRPr="00D82141">
                    <w:rPr>
                      <w:rFonts w:ascii="Verdana" w:hAnsi="Verdana"/>
                      <w:sz w:val="18"/>
                      <w:szCs w:val="28"/>
                      <w:lang w:val="es-ES"/>
                    </w:rPr>
                    <w:t>).</w:t>
                  </w:r>
                </w:p>
                <w:p w14:paraId="76C694C4" w14:textId="77777777" w:rsidR="00537F00" w:rsidRPr="00D82141" w:rsidRDefault="00537F00" w:rsidP="00537F00">
                  <w:pPr>
                    <w:pStyle w:val="Prrafodelista"/>
                    <w:numPr>
                      <w:ilvl w:val="0"/>
                      <w:numId w:val="4"/>
                    </w:numPr>
                    <w:ind w:left="-142" w:right="-22" w:hanging="284"/>
                    <w:jc w:val="both"/>
                    <w:rPr>
                      <w:rFonts w:ascii="Verdana" w:hAnsi="Verdana"/>
                      <w:sz w:val="18"/>
                      <w:szCs w:val="28"/>
                      <w:lang w:val="es-ES"/>
                    </w:rPr>
                  </w:pPr>
                  <w:r w:rsidRPr="00D82141">
                    <w:rPr>
                      <w:rFonts w:ascii="Verdana" w:hAnsi="Verdana"/>
                      <w:sz w:val="18"/>
                      <w:szCs w:val="28"/>
                      <w:lang w:val="es-ES"/>
                    </w:rPr>
                    <w:t>Los volúmenes de ventas de neumáticos cayeron un 4,7%, lo que refleja la estrategia del Grupo de priorizar los mercados y segmentos que aprecian su propuesta de valor única.</w:t>
                  </w:r>
                </w:p>
                <w:p w14:paraId="3B462B80" w14:textId="77777777" w:rsidR="00537F00" w:rsidRPr="00D82141" w:rsidRDefault="00537F00" w:rsidP="00537F00">
                  <w:pPr>
                    <w:pStyle w:val="Prrafodelista"/>
                    <w:numPr>
                      <w:ilvl w:val="0"/>
                      <w:numId w:val="4"/>
                    </w:numPr>
                    <w:ind w:left="-142" w:right="-22" w:hanging="284"/>
                    <w:jc w:val="both"/>
                    <w:rPr>
                      <w:rFonts w:ascii="Verdana" w:hAnsi="Verdana"/>
                      <w:bCs/>
                      <w:sz w:val="18"/>
                      <w:szCs w:val="28"/>
                      <w:lang w:val="es-ES"/>
                    </w:rPr>
                  </w:pPr>
                  <w:r w:rsidRPr="00D82141">
                    <w:rPr>
                      <w:rFonts w:ascii="Verdana" w:hAnsi="Verdana"/>
                      <w:bCs/>
                      <w:sz w:val="18"/>
                      <w:szCs w:val="28"/>
                      <w:lang w:val="es-ES"/>
                    </w:rPr>
                    <w:t xml:space="preserve">Los efectos de los precios y </w:t>
                  </w:r>
                  <w:proofErr w:type="spellStart"/>
                  <w:r w:rsidRPr="00D82141">
                    <w:rPr>
                      <w:rFonts w:ascii="Verdana" w:hAnsi="Verdana"/>
                      <w:bCs/>
                      <w:i/>
                      <w:iCs/>
                      <w:sz w:val="18"/>
                      <w:szCs w:val="28"/>
                      <w:lang w:val="es-ES"/>
                    </w:rPr>
                    <w:t>mix</w:t>
                  </w:r>
                  <w:proofErr w:type="spellEnd"/>
                  <w:r w:rsidRPr="00D82141">
                    <w:rPr>
                      <w:rFonts w:ascii="Verdana" w:hAnsi="Verdana"/>
                      <w:bCs/>
                      <w:sz w:val="18"/>
                      <w:szCs w:val="28"/>
                      <w:lang w:val="es-ES"/>
                    </w:rPr>
                    <w:t xml:space="preserve"> aumentaron un 5,7%, de los cuales el 1,2% de</w:t>
                  </w:r>
                  <w:r>
                    <w:rPr>
                      <w:rFonts w:ascii="Verdana" w:hAnsi="Verdana"/>
                      <w:bCs/>
                      <w:sz w:val="18"/>
                      <w:szCs w:val="28"/>
                      <w:lang w:val="es-ES"/>
                    </w:rPr>
                    <w:t xml:space="preserve">l </w:t>
                  </w:r>
                  <w:proofErr w:type="spellStart"/>
                  <w:r w:rsidRPr="00D82141">
                    <w:rPr>
                      <w:rFonts w:ascii="Verdana" w:hAnsi="Verdana"/>
                      <w:bCs/>
                      <w:i/>
                      <w:iCs/>
                      <w:sz w:val="18"/>
                      <w:szCs w:val="28"/>
                      <w:lang w:val="es-ES"/>
                    </w:rPr>
                    <w:t>mix</w:t>
                  </w:r>
                  <w:proofErr w:type="spellEnd"/>
                  <w:r>
                    <w:rPr>
                      <w:rFonts w:ascii="Verdana" w:hAnsi="Verdana"/>
                      <w:bCs/>
                      <w:sz w:val="18"/>
                      <w:szCs w:val="28"/>
                      <w:lang w:val="es-ES"/>
                    </w:rPr>
                    <w:t xml:space="preserve"> </w:t>
                  </w:r>
                  <w:r w:rsidRPr="00D82141">
                    <w:rPr>
                      <w:rFonts w:ascii="Verdana" w:hAnsi="Verdana"/>
                      <w:bCs/>
                      <w:sz w:val="18"/>
                      <w:szCs w:val="28"/>
                      <w:lang w:val="es-ES"/>
                    </w:rPr>
                    <w:t>fueron obtenidos tanto por productos como por geografías.</w:t>
                  </w:r>
                </w:p>
                <w:p w14:paraId="0DFF9090" w14:textId="77777777" w:rsidR="00537F00" w:rsidRPr="00D82141" w:rsidRDefault="00537F00" w:rsidP="00537F00">
                  <w:pPr>
                    <w:pStyle w:val="Prrafodelista"/>
                    <w:numPr>
                      <w:ilvl w:val="0"/>
                      <w:numId w:val="4"/>
                    </w:numPr>
                    <w:ind w:left="-142" w:right="-22" w:hanging="284"/>
                    <w:jc w:val="both"/>
                    <w:rPr>
                      <w:rFonts w:ascii="Verdana" w:hAnsi="Verdana" w:cs="Arial"/>
                      <w:sz w:val="18"/>
                      <w:szCs w:val="18"/>
                      <w:lang w:val="es-ES"/>
                    </w:rPr>
                  </w:pPr>
                  <w:r w:rsidRPr="00D82141">
                    <w:rPr>
                      <w:rFonts w:ascii="Verdana" w:hAnsi="Verdana"/>
                      <w:sz w:val="18"/>
                      <w:szCs w:val="28"/>
                      <w:lang w:val="es-ES"/>
                    </w:rPr>
                    <w:t xml:space="preserve">Las ventas </w:t>
                  </w:r>
                  <w:r>
                    <w:rPr>
                      <w:rFonts w:ascii="Verdana" w:hAnsi="Verdana"/>
                      <w:sz w:val="18"/>
                      <w:szCs w:val="28"/>
                      <w:lang w:val="es-ES"/>
                    </w:rPr>
                    <w:t>sin</w:t>
                  </w:r>
                  <w:r w:rsidRPr="00D82141">
                    <w:rPr>
                      <w:rFonts w:ascii="Verdana" w:hAnsi="Verdana"/>
                      <w:sz w:val="18"/>
                      <w:szCs w:val="28"/>
                      <w:lang w:val="es-ES"/>
                    </w:rPr>
                    <w:t xml:space="preserve"> neumáticos aumentaron un 10% o 146 millones de euros en un perímetro de consolidación constante. La integración de Flex Composite </w:t>
                  </w:r>
                  <w:proofErr w:type="spellStart"/>
                  <w:r w:rsidRPr="00D82141">
                    <w:rPr>
                      <w:rFonts w:ascii="Verdana" w:hAnsi="Verdana"/>
                      <w:sz w:val="18"/>
                      <w:szCs w:val="28"/>
                      <w:lang w:val="es-ES"/>
                    </w:rPr>
                    <w:t>Group</w:t>
                  </w:r>
                  <w:proofErr w:type="spellEnd"/>
                  <w:r w:rsidRPr="00D82141">
                    <w:rPr>
                      <w:rFonts w:ascii="Verdana" w:hAnsi="Verdana"/>
                      <w:sz w:val="18"/>
                      <w:szCs w:val="28"/>
                      <w:lang w:val="es-ES"/>
                    </w:rPr>
                    <w:t xml:space="preserve"> va por buen camino.</w:t>
                  </w:r>
                </w:p>
                <w:p w14:paraId="2059AD98" w14:textId="77777777" w:rsidR="00537F00" w:rsidRPr="00D82141" w:rsidRDefault="00537F00" w:rsidP="00537F00">
                  <w:pPr>
                    <w:pStyle w:val="Prrafodelista"/>
                    <w:numPr>
                      <w:ilvl w:val="0"/>
                      <w:numId w:val="4"/>
                    </w:numPr>
                    <w:ind w:left="-142" w:right="-22" w:hanging="284"/>
                    <w:jc w:val="both"/>
                    <w:rPr>
                      <w:rFonts w:ascii="Verdana" w:hAnsi="Verdana" w:cs="Arial"/>
                      <w:bCs/>
                      <w:sz w:val="18"/>
                      <w:szCs w:val="18"/>
                      <w:lang w:val="es-ES"/>
                    </w:rPr>
                  </w:pPr>
                  <w:r w:rsidRPr="00D82141">
                    <w:rPr>
                      <w:rFonts w:ascii="Verdana" w:hAnsi="Verdana"/>
                      <w:bCs/>
                      <w:sz w:val="18"/>
                      <w:szCs w:val="28"/>
                      <w:lang w:val="es-ES"/>
                    </w:rPr>
                    <w:t>Efecto negativo del tipo de cambio del 2,9%, ya que la mayoría de las divisas cayeron frente al euro.</w:t>
                  </w:r>
                </w:p>
                <w:p w14:paraId="2B656C6C" w14:textId="77777777" w:rsidR="00537F00" w:rsidRPr="00D82141" w:rsidRDefault="00537F00" w:rsidP="00537F00">
                  <w:pPr>
                    <w:ind w:left="-426" w:right="-22"/>
                    <w:jc w:val="both"/>
                    <w:rPr>
                      <w:rFonts w:ascii="Verdana" w:eastAsia="Times New Roman" w:hAnsi="Verdana" w:cs="Arial"/>
                      <w:bCs/>
                      <w:sz w:val="18"/>
                      <w:szCs w:val="18"/>
                      <w:lang w:val="es-ES"/>
                    </w:rPr>
                  </w:pPr>
                </w:p>
                <w:p w14:paraId="6CFD3AA8" w14:textId="77777777" w:rsidR="00537F00" w:rsidRPr="00D82141" w:rsidRDefault="00537F00" w:rsidP="00537F00">
                  <w:pPr>
                    <w:tabs>
                      <w:tab w:val="num" w:pos="-284"/>
                    </w:tabs>
                    <w:ind w:left="-425" w:right="-23"/>
                    <w:jc w:val="both"/>
                    <w:rPr>
                      <w:rFonts w:ascii="Verdana" w:eastAsia="Times New Roman" w:hAnsi="Verdana" w:cs="Arial"/>
                      <w:b/>
                      <w:bCs/>
                      <w:sz w:val="16"/>
                      <w:szCs w:val="16"/>
                      <w:lang w:val="es-ES"/>
                    </w:rPr>
                  </w:pPr>
                  <w:r>
                    <w:rPr>
                      <w:rFonts w:ascii="Verdana" w:hAnsi="Verdana"/>
                      <w:b/>
                      <w:sz w:val="18"/>
                      <w:szCs w:val="28"/>
                      <w:lang w:val="es-ES"/>
                    </w:rPr>
                    <w:t>Resultado operacional de los sectores</w:t>
                  </w:r>
                  <w:r w:rsidRPr="00D82141">
                    <w:rPr>
                      <w:rFonts w:ascii="Verdana" w:hAnsi="Verdana"/>
                      <w:b/>
                      <w:sz w:val="18"/>
                      <w:szCs w:val="28"/>
                      <w:lang w:val="es-ES"/>
                    </w:rPr>
                    <w:t xml:space="preserve"> alcanz</w:t>
                  </w:r>
                  <w:r>
                    <w:rPr>
                      <w:rFonts w:ascii="Verdana" w:hAnsi="Verdana"/>
                      <w:b/>
                      <w:sz w:val="18"/>
                      <w:szCs w:val="28"/>
                      <w:lang w:val="es-ES"/>
                    </w:rPr>
                    <w:t>ó</w:t>
                  </w:r>
                  <w:r w:rsidRPr="00D82141">
                    <w:rPr>
                      <w:rFonts w:ascii="Verdana" w:hAnsi="Verdana"/>
                      <w:b/>
                      <w:sz w:val="18"/>
                      <w:szCs w:val="28"/>
                      <w:lang w:val="es-ES"/>
                    </w:rPr>
                    <w:t xml:space="preserve"> un máximo histórico de 3.600 millones de euros; El margen aumentó 0,7 puntos hasta el 12,6% de las ventas.</w:t>
                  </w:r>
                </w:p>
                <w:p w14:paraId="49C02D8D" w14:textId="77777777" w:rsidR="00537F00" w:rsidRPr="00D82141" w:rsidRDefault="00537F00" w:rsidP="00537F00">
                  <w:pPr>
                    <w:pStyle w:val="Prrafodelista"/>
                    <w:numPr>
                      <w:ilvl w:val="0"/>
                      <w:numId w:val="5"/>
                    </w:numPr>
                    <w:ind w:left="-142" w:right="-23" w:hanging="284"/>
                    <w:jc w:val="both"/>
                    <w:rPr>
                      <w:rFonts w:ascii="Verdana" w:hAnsi="Verdana"/>
                      <w:sz w:val="18"/>
                      <w:szCs w:val="28"/>
                      <w:lang w:val="es-ES"/>
                    </w:rPr>
                  </w:pPr>
                  <w:r w:rsidRPr="00D82141">
                    <w:rPr>
                      <w:rFonts w:ascii="Verdana" w:hAnsi="Verdana"/>
                      <w:sz w:val="18"/>
                      <w:szCs w:val="28"/>
                      <w:lang w:val="es-ES"/>
                    </w:rPr>
                    <w:t>El efecto de los precios se vio afectado por el impacto retardado de los ajustes de 2022.</w:t>
                  </w:r>
                </w:p>
                <w:p w14:paraId="6CA05110" w14:textId="77777777" w:rsidR="00537F00" w:rsidRPr="00D82141" w:rsidRDefault="00537F00" w:rsidP="00537F00">
                  <w:pPr>
                    <w:pStyle w:val="Prrafodelista"/>
                    <w:numPr>
                      <w:ilvl w:val="0"/>
                      <w:numId w:val="5"/>
                    </w:numPr>
                    <w:ind w:left="-142" w:right="-23" w:hanging="284"/>
                    <w:jc w:val="both"/>
                    <w:rPr>
                      <w:rFonts w:ascii="Verdana" w:hAnsi="Verdana"/>
                      <w:sz w:val="18"/>
                      <w:szCs w:val="28"/>
                      <w:lang w:val="es-ES"/>
                    </w:rPr>
                  </w:pPr>
                  <w:r w:rsidRPr="00D82141">
                    <w:rPr>
                      <w:rFonts w:ascii="Verdana" w:hAnsi="Verdana"/>
                      <w:sz w:val="18"/>
                      <w:szCs w:val="28"/>
                      <w:lang w:val="es-ES"/>
                    </w:rPr>
                    <w:t xml:space="preserve">Efecto sustancial </w:t>
                  </w:r>
                  <w:r>
                    <w:rPr>
                      <w:rFonts w:ascii="Verdana" w:hAnsi="Verdana"/>
                      <w:sz w:val="18"/>
                      <w:szCs w:val="28"/>
                      <w:lang w:val="es-ES"/>
                    </w:rPr>
                    <w:t xml:space="preserve">del </w:t>
                  </w:r>
                  <w:proofErr w:type="spellStart"/>
                  <w:r w:rsidRPr="00D82141">
                    <w:rPr>
                      <w:rFonts w:ascii="Verdana" w:hAnsi="Verdana"/>
                      <w:i/>
                      <w:iCs/>
                      <w:sz w:val="18"/>
                      <w:szCs w:val="28"/>
                      <w:lang w:val="es-ES"/>
                    </w:rPr>
                    <w:t>mix</w:t>
                  </w:r>
                  <w:proofErr w:type="spellEnd"/>
                  <w:r>
                    <w:rPr>
                      <w:rFonts w:ascii="Verdana" w:hAnsi="Verdana"/>
                      <w:sz w:val="18"/>
                      <w:szCs w:val="28"/>
                      <w:lang w:val="es-ES"/>
                    </w:rPr>
                    <w:t xml:space="preserve"> </w:t>
                  </w:r>
                  <w:r w:rsidRPr="00D82141">
                    <w:rPr>
                      <w:rFonts w:ascii="Verdana" w:hAnsi="Verdana"/>
                      <w:sz w:val="18"/>
                      <w:szCs w:val="28"/>
                      <w:lang w:val="es-ES"/>
                    </w:rPr>
                    <w:t xml:space="preserve">resultante de la orientación al mercado y </w:t>
                  </w:r>
                  <w:r>
                    <w:rPr>
                      <w:rFonts w:ascii="Verdana" w:hAnsi="Verdana"/>
                      <w:sz w:val="18"/>
                      <w:szCs w:val="28"/>
                      <w:lang w:val="es-ES"/>
                    </w:rPr>
                    <w:t>segmentos</w:t>
                  </w:r>
                  <w:r w:rsidRPr="00D82141">
                    <w:rPr>
                      <w:rFonts w:ascii="Verdana" w:hAnsi="Verdana"/>
                      <w:bCs/>
                      <w:sz w:val="18"/>
                      <w:szCs w:val="28"/>
                      <w:lang w:val="es-ES"/>
                    </w:rPr>
                    <w:t>, combinado con</w:t>
                  </w:r>
                  <w:r w:rsidRPr="00D82141">
                    <w:rPr>
                      <w:rFonts w:ascii="Verdana" w:hAnsi="Verdana"/>
                      <w:sz w:val="18"/>
                      <w:szCs w:val="28"/>
                      <w:lang w:val="es-ES"/>
                    </w:rPr>
                    <w:t xml:space="preserve"> la </w:t>
                  </w:r>
                  <w:r w:rsidRPr="00D82141">
                    <w:rPr>
                      <w:rFonts w:ascii="Verdana" w:hAnsi="Verdana"/>
                      <w:bCs/>
                      <w:sz w:val="18"/>
                      <w:szCs w:val="28"/>
                      <w:lang w:val="es-ES"/>
                    </w:rPr>
                    <w:t>propuesta de valor mejorada</w:t>
                  </w:r>
                  <w:r w:rsidRPr="00D82141">
                    <w:rPr>
                      <w:rFonts w:ascii="Verdana" w:hAnsi="Verdana"/>
                      <w:sz w:val="18"/>
                      <w:szCs w:val="28"/>
                      <w:lang w:val="es-ES"/>
                    </w:rPr>
                    <w:t xml:space="preserve"> del Grupo.</w:t>
                  </w:r>
                </w:p>
                <w:p w14:paraId="5D52C0A8" w14:textId="77777777" w:rsidR="00537F00" w:rsidRPr="00D82141" w:rsidRDefault="00537F00" w:rsidP="00537F00">
                  <w:pPr>
                    <w:pStyle w:val="Prrafodelista"/>
                    <w:numPr>
                      <w:ilvl w:val="0"/>
                      <w:numId w:val="5"/>
                    </w:numPr>
                    <w:ind w:left="-142" w:right="-23" w:hanging="284"/>
                    <w:jc w:val="both"/>
                    <w:rPr>
                      <w:rFonts w:ascii="Verdana" w:hAnsi="Verdana"/>
                      <w:bCs/>
                      <w:sz w:val="18"/>
                      <w:szCs w:val="28"/>
                      <w:lang w:val="es-ES"/>
                    </w:rPr>
                  </w:pPr>
                  <w:r w:rsidRPr="00D82141">
                    <w:rPr>
                      <w:rFonts w:ascii="Verdana" w:hAnsi="Verdana"/>
                      <w:bCs/>
                      <w:sz w:val="18"/>
                      <w:szCs w:val="28"/>
                      <w:lang w:val="es-ES"/>
                    </w:rPr>
                    <w:t>Mejora del rendimiento operativo que compensa los factores de inflación de costes.</w:t>
                  </w:r>
                </w:p>
                <w:p w14:paraId="4AB5D1F6" w14:textId="77777777" w:rsidR="00537F00" w:rsidRPr="00D82141" w:rsidRDefault="00537F00" w:rsidP="00537F00">
                  <w:pPr>
                    <w:ind w:left="-426" w:right="-23"/>
                    <w:jc w:val="both"/>
                    <w:rPr>
                      <w:rFonts w:ascii="Verdana" w:hAnsi="Verdana"/>
                      <w:bCs/>
                      <w:sz w:val="18"/>
                      <w:szCs w:val="28"/>
                      <w:lang w:val="es-ES"/>
                    </w:rPr>
                  </w:pPr>
                </w:p>
                <w:p w14:paraId="3C44978B" w14:textId="77777777" w:rsidR="00537F00" w:rsidRPr="00D82141" w:rsidRDefault="00537F00" w:rsidP="00537F00">
                  <w:pPr>
                    <w:ind w:left="-426" w:right="-23"/>
                    <w:jc w:val="both"/>
                    <w:rPr>
                      <w:rFonts w:ascii="Verdana" w:eastAsia="Times New Roman" w:hAnsi="Verdana" w:cs="Arial"/>
                      <w:b/>
                      <w:bCs/>
                      <w:sz w:val="18"/>
                      <w:szCs w:val="18"/>
                      <w:lang w:val="es-ES"/>
                    </w:rPr>
                  </w:pPr>
                  <w:r>
                    <w:rPr>
                      <w:rFonts w:ascii="Verdana" w:eastAsia="Times New Roman" w:hAnsi="Verdana" w:cs="Arial"/>
                      <w:b/>
                      <w:bCs/>
                      <w:sz w:val="18"/>
                      <w:szCs w:val="18"/>
                      <w:lang w:val="es-ES"/>
                    </w:rPr>
                    <w:t>Cash Flow libre</w:t>
                  </w:r>
                  <w:r w:rsidRPr="00D82141">
                    <w:rPr>
                      <w:rFonts w:ascii="Verdana" w:eastAsia="Times New Roman" w:hAnsi="Verdana" w:cs="Arial"/>
                      <w:b/>
                      <w:bCs/>
                      <w:sz w:val="18"/>
                      <w:szCs w:val="18"/>
                      <w:lang w:val="es-ES"/>
                    </w:rPr>
                    <w:t xml:space="preserve"> antes de adquisiciones de 3.000 millones de euros, lo que refleja la mejora del EBITDA y la fuerte reducción del capital circulante.</w:t>
                  </w:r>
                </w:p>
                <w:p w14:paraId="2E768CC9" w14:textId="77777777" w:rsidR="00537F00" w:rsidRPr="00D82141" w:rsidRDefault="00537F00" w:rsidP="00537F00">
                  <w:pPr>
                    <w:pStyle w:val="Prrafodelista"/>
                    <w:numPr>
                      <w:ilvl w:val="0"/>
                      <w:numId w:val="6"/>
                    </w:numPr>
                    <w:ind w:left="-142" w:right="-22" w:hanging="284"/>
                    <w:jc w:val="both"/>
                    <w:rPr>
                      <w:rFonts w:ascii="Verdana" w:hAnsi="Verdana"/>
                      <w:bCs/>
                      <w:sz w:val="18"/>
                      <w:szCs w:val="28"/>
                      <w:lang w:val="es-ES"/>
                    </w:rPr>
                  </w:pPr>
                  <w:r w:rsidRPr="00D82141">
                    <w:rPr>
                      <w:rFonts w:ascii="Verdana" w:hAnsi="Verdana"/>
                      <w:bCs/>
                      <w:sz w:val="18"/>
                      <w:szCs w:val="28"/>
                      <w:lang w:val="es-ES"/>
                    </w:rPr>
                    <w:t>El EBITDA aumentó un 4% hasta los 5.500 millones de euros, o el 19,4% de las ventas.</w:t>
                  </w:r>
                </w:p>
                <w:p w14:paraId="1503B3F8" w14:textId="77777777" w:rsidR="00537F00" w:rsidRPr="00D82141" w:rsidRDefault="00537F00" w:rsidP="00537F00">
                  <w:pPr>
                    <w:pStyle w:val="Prrafodelista"/>
                    <w:numPr>
                      <w:ilvl w:val="0"/>
                      <w:numId w:val="6"/>
                    </w:numPr>
                    <w:ind w:left="-142" w:right="-22" w:hanging="284"/>
                    <w:jc w:val="both"/>
                    <w:rPr>
                      <w:rFonts w:ascii="Verdana" w:hAnsi="Verdana"/>
                      <w:sz w:val="18"/>
                      <w:szCs w:val="28"/>
                      <w:lang w:val="es-ES"/>
                    </w:rPr>
                  </w:pPr>
                  <w:r w:rsidRPr="00D82141">
                    <w:rPr>
                      <w:rFonts w:ascii="Verdana" w:hAnsi="Verdana"/>
                      <w:sz w:val="18"/>
                      <w:szCs w:val="28"/>
                      <w:lang w:val="es-ES"/>
                    </w:rPr>
                    <w:t>Reducción de 1.000 millones de euros en el capital circulante, impulsada por una disminución tanto en los volúmenes de inventario como en el valor.</w:t>
                  </w:r>
                </w:p>
                <w:p w14:paraId="4A1BE65E" w14:textId="77777777" w:rsidR="00537F00" w:rsidRPr="00D82141" w:rsidRDefault="00537F00" w:rsidP="00537F00">
                  <w:pPr>
                    <w:pStyle w:val="Prrafodelista"/>
                    <w:numPr>
                      <w:ilvl w:val="0"/>
                      <w:numId w:val="6"/>
                    </w:numPr>
                    <w:ind w:left="-142" w:right="-22" w:hanging="284"/>
                    <w:jc w:val="both"/>
                    <w:rPr>
                      <w:rFonts w:ascii="Verdana" w:hAnsi="Verdana"/>
                      <w:sz w:val="18"/>
                      <w:szCs w:val="28"/>
                      <w:lang w:val="es-ES"/>
                    </w:rPr>
                  </w:pPr>
                  <w:r w:rsidRPr="00D82141">
                    <w:rPr>
                      <w:rFonts w:ascii="Verdana" w:hAnsi="Verdana"/>
                      <w:sz w:val="18"/>
                      <w:szCs w:val="28"/>
                      <w:lang w:val="es-ES"/>
                    </w:rPr>
                    <w:t xml:space="preserve">Contribución positiva de </w:t>
                  </w:r>
                  <w:r>
                    <w:rPr>
                      <w:rFonts w:ascii="Verdana" w:hAnsi="Verdana"/>
                      <w:sz w:val="18"/>
                      <w:szCs w:val="28"/>
                      <w:lang w:val="es-ES"/>
                    </w:rPr>
                    <w:t>200</w:t>
                  </w:r>
                  <w:r w:rsidRPr="00D82141">
                    <w:rPr>
                      <w:rFonts w:ascii="Verdana" w:hAnsi="Verdana"/>
                      <w:sz w:val="18"/>
                      <w:szCs w:val="28"/>
                      <w:lang w:val="es-ES"/>
                    </w:rPr>
                    <w:t xml:space="preserve"> millones de euros de las empresas conjuntas y asociadas, en particular de la empresa conjunta de distribución TBC en los EE. UU.</w:t>
                  </w:r>
                </w:p>
                <w:p w14:paraId="2B61839C" w14:textId="77777777" w:rsidR="00537F00" w:rsidRPr="00D82141" w:rsidRDefault="00537F00" w:rsidP="00537F00">
                  <w:pPr>
                    <w:tabs>
                      <w:tab w:val="left" w:pos="284"/>
                    </w:tabs>
                    <w:spacing w:before="240"/>
                    <w:ind w:left="-426" w:right="-22"/>
                    <w:jc w:val="both"/>
                    <w:rPr>
                      <w:rFonts w:ascii="Verdana" w:hAnsi="Verdana"/>
                      <w:sz w:val="18"/>
                      <w:szCs w:val="28"/>
                      <w:lang w:val="es-ES"/>
                    </w:rPr>
                  </w:pPr>
                  <w:bookmarkStart w:id="0" w:name="_Hlk62734760"/>
                  <w:r w:rsidRPr="00D82141">
                    <w:rPr>
                      <w:rFonts w:ascii="Verdana" w:hAnsi="Verdana"/>
                      <w:b/>
                      <w:sz w:val="18"/>
                      <w:szCs w:val="28"/>
                      <w:lang w:val="es-ES"/>
                    </w:rPr>
                    <w:t xml:space="preserve">El ROCE alcanzó el 11,4%, </w:t>
                  </w:r>
                  <w:r w:rsidRPr="00D82141">
                    <w:rPr>
                      <w:rFonts w:ascii="Verdana" w:hAnsi="Verdana"/>
                      <w:sz w:val="18"/>
                      <w:szCs w:val="28"/>
                      <w:lang w:val="es-ES"/>
                    </w:rPr>
                    <w:t>con un aumento de 0,6 puntos, lo que refleja el rendimiento intrínseco y la gestión activa de la cartera.</w:t>
                  </w:r>
                </w:p>
                <w:p w14:paraId="5702BAE2" w14:textId="77777777" w:rsidR="00537F00" w:rsidRPr="00D82141" w:rsidRDefault="00537F00" w:rsidP="00537F00">
                  <w:pPr>
                    <w:tabs>
                      <w:tab w:val="left" w:pos="284"/>
                    </w:tabs>
                    <w:spacing w:before="240"/>
                    <w:ind w:left="-426" w:right="-22"/>
                    <w:jc w:val="both"/>
                    <w:rPr>
                      <w:rFonts w:ascii="Verdana" w:hAnsi="Verdana"/>
                      <w:sz w:val="18"/>
                      <w:szCs w:val="28"/>
                      <w:lang w:val="es-ES"/>
                    </w:rPr>
                  </w:pPr>
                  <w:r w:rsidRPr="00D82141">
                    <w:rPr>
                      <w:rFonts w:ascii="Verdana" w:hAnsi="Verdana"/>
                      <w:sz w:val="18"/>
                      <w:szCs w:val="28"/>
                      <w:lang w:val="es-ES"/>
                    </w:rPr>
                    <w:t xml:space="preserve">El beneficio neto se mantuvo estable en 2.000 millones de euros, a pesar de los 600 millones de euros </w:t>
                  </w:r>
                  <w:r w:rsidRPr="00D82141">
                    <w:rPr>
                      <w:rFonts w:ascii="Verdana" w:hAnsi="Verdana"/>
                      <w:bCs/>
                      <w:sz w:val="18"/>
                      <w:szCs w:val="28"/>
                      <w:lang w:val="es-ES"/>
                    </w:rPr>
                    <w:t xml:space="preserve">de </w:t>
                  </w:r>
                  <w:r w:rsidRPr="00D82141">
                    <w:rPr>
                      <w:rFonts w:ascii="Verdana" w:hAnsi="Verdana"/>
                      <w:sz w:val="18"/>
                      <w:szCs w:val="28"/>
                      <w:lang w:val="es-ES"/>
                    </w:rPr>
                    <w:t xml:space="preserve">provisiones para </w:t>
                  </w:r>
                  <w:r w:rsidRPr="00D82141">
                    <w:rPr>
                      <w:rFonts w:ascii="Verdana" w:hAnsi="Verdana"/>
                      <w:bCs/>
                      <w:sz w:val="18"/>
                      <w:szCs w:val="28"/>
                      <w:lang w:val="es-ES"/>
                    </w:rPr>
                    <w:t>la reestructuración</w:t>
                  </w:r>
                  <w:r>
                    <w:rPr>
                      <w:rFonts w:ascii="Verdana" w:hAnsi="Verdana"/>
                      <w:bCs/>
                      <w:sz w:val="18"/>
                      <w:szCs w:val="28"/>
                      <w:lang w:val="es-ES"/>
                    </w:rPr>
                    <w:t xml:space="preserve"> </w:t>
                  </w:r>
                  <w:r w:rsidRPr="00D82141">
                    <w:rPr>
                      <w:rFonts w:ascii="Verdana" w:hAnsi="Verdana"/>
                      <w:bCs/>
                      <w:sz w:val="18"/>
                      <w:szCs w:val="28"/>
                      <w:lang w:val="es-ES"/>
                    </w:rPr>
                    <w:t>industrial.</w:t>
                  </w:r>
                  <w:r>
                    <w:rPr>
                      <w:rFonts w:ascii="Verdana" w:hAnsi="Verdana"/>
                      <w:bCs/>
                      <w:sz w:val="18"/>
                      <w:szCs w:val="28"/>
                      <w:lang w:val="es-ES"/>
                    </w:rPr>
                    <w:t xml:space="preserve"> </w:t>
                  </w:r>
                  <w:r w:rsidRPr="00D82141">
                    <w:rPr>
                      <w:rFonts w:ascii="Verdana" w:hAnsi="Verdana"/>
                      <w:sz w:val="18"/>
                      <w:szCs w:val="28"/>
                      <w:lang w:val="es-ES"/>
                    </w:rPr>
                    <w:t>Se presentará a la Junta General de Accionistas un dividendo de 1,35 euros por acción, un 8% más que en 2022.</w:t>
                  </w:r>
                </w:p>
                <w:p w14:paraId="1EC84752" w14:textId="77777777" w:rsidR="00537F00" w:rsidRPr="00D82141" w:rsidRDefault="00537F00" w:rsidP="00537F00">
                  <w:pPr>
                    <w:tabs>
                      <w:tab w:val="left" w:pos="284"/>
                    </w:tabs>
                    <w:spacing w:before="240" w:after="60"/>
                    <w:ind w:left="-426" w:right="-22"/>
                    <w:jc w:val="both"/>
                    <w:rPr>
                      <w:rFonts w:ascii="Verdana" w:hAnsi="Verdana"/>
                      <w:bCs/>
                      <w:sz w:val="18"/>
                      <w:szCs w:val="28"/>
                      <w:lang w:val="es-ES"/>
                    </w:rPr>
                  </w:pPr>
                  <w:r w:rsidRPr="00D82141">
                    <w:rPr>
                      <w:rFonts w:ascii="Verdana" w:hAnsi="Verdana"/>
                      <w:bCs/>
                      <w:sz w:val="18"/>
                      <w:szCs w:val="28"/>
                      <w:lang w:val="es-ES"/>
                    </w:rPr>
                    <w:t>Dada su generación de caja estructural y su sólida estructura financiera, el Grupo iniciará un programa de recompra de acciones, que podría alcanzar un valor de hasta 1.000 millones de euros en el periodo 2024-2026.</w:t>
                  </w:r>
                </w:p>
                <w:p w14:paraId="0464D8C1" w14:textId="77777777" w:rsidR="00537F00" w:rsidRPr="00D82141" w:rsidRDefault="00537F00" w:rsidP="00537F00">
                  <w:pPr>
                    <w:spacing w:before="240" w:after="60"/>
                    <w:ind w:left="-426" w:right="-22"/>
                    <w:jc w:val="both"/>
                    <w:rPr>
                      <w:rFonts w:ascii="Verdana" w:hAnsi="Verdana"/>
                      <w:sz w:val="18"/>
                      <w:szCs w:val="28"/>
                      <w:lang w:val="es-ES"/>
                    </w:rPr>
                  </w:pPr>
                  <w:r w:rsidRPr="00D82141">
                    <w:rPr>
                      <w:rFonts w:ascii="Verdana" w:hAnsi="Verdana"/>
                      <w:sz w:val="18"/>
                      <w:szCs w:val="28"/>
                      <w:lang w:val="es-ES"/>
                    </w:rPr>
                    <w:t xml:space="preserve">Michelin continúa su estrategia "Michelin in Motion 2030" en sus otros dos pilares. Por el lado de las personas, en 2023 se registró una tasa de </w:t>
                  </w:r>
                  <w:r>
                    <w:rPr>
                      <w:rFonts w:ascii="Verdana" w:hAnsi="Verdana"/>
                      <w:sz w:val="18"/>
                      <w:szCs w:val="28"/>
                      <w:lang w:val="es-ES"/>
                    </w:rPr>
                    <w:t>compromiso</w:t>
                  </w:r>
                  <w:r w:rsidRPr="00D82141">
                    <w:rPr>
                      <w:rFonts w:ascii="Verdana" w:hAnsi="Verdana"/>
                      <w:sz w:val="18"/>
                      <w:szCs w:val="28"/>
                      <w:lang w:val="es-ES"/>
                    </w:rPr>
                    <w:t xml:space="preserve"> récord del 83,5%. El Grupo también está mejorando su huella ambiental, reduciendo el consumo de agua en un 10% y las emisiones de CO2 en un 6% (alcances 1 y 2).</w:t>
                  </w:r>
                </w:p>
                <w:bookmarkEnd w:id="0"/>
                <w:p w14:paraId="2BDC0DED" w14:textId="5073E012" w:rsidR="00537F00" w:rsidRPr="00D82141" w:rsidRDefault="00537F00" w:rsidP="00537F00">
                  <w:pPr>
                    <w:spacing w:before="240" w:after="60"/>
                    <w:ind w:left="-426" w:right="-22"/>
                    <w:jc w:val="both"/>
                    <w:rPr>
                      <w:rFonts w:ascii="Verdana" w:hAnsi="Verdana"/>
                      <w:i/>
                      <w:iCs/>
                      <w:color w:val="000000"/>
                      <w:sz w:val="18"/>
                      <w:szCs w:val="18"/>
                      <w:lang w:val="es-ES"/>
                    </w:rPr>
                  </w:pPr>
                  <w:r w:rsidRPr="00D82141">
                    <w:rPr>
                      <w:rFonts w:ascii="Verdana" w:hAnsi="Verdana"/>
                      <w:bCs/>
                      <w:sz w:val="18"/>
                      <w:szCs w:val="28"/>
                      <w:lang w:val="es-ES"/>
                    </w:rPr>
                    <w:lastRenderedPageBreak/>
                    <w:t>Florent Menegaux, presidente, d</w:t>
                  </w:r>
                  <w:r w:rsidR="00981709">
                    <w:rPr>
                      <w:rFonts w:ascii="Verdana" w:hAnsi="Verdana"/>
                      <w:bCs/>
                      <w:sz w:val="18"/>
                      <w:szCs w:val="28"/>
                      <w:lang w:val="es-ES"/>
                    </w:rPr>
                    <w:t>eclaró</w:t>
                  </w:r>
                  <w:r w:rsidRPr="00D82141">
                    <w:rPr>
                      <w:rFonts w:ascii="Verdana" w:hAnsi="Verdana"/>
                      <w:bCs/>
                      <w:sz w:val="18"/>
                      <w:szCs w:val="28"/>
                      <w:lang w:val="es-ES"/>
                    </w:rPr>
                    <w:t xml:space="preserve">: </w:t>
                  </w:r>
                  <w:r w:rsidRPr="00D82141">
                    <w:rPr>
                      <w:rFonts w:ascii="Verdana" w:hAnsi="Verdana"/>
                      <w:bCs/>
                      <w:i/>
                      <w:iCs/>
                      <w:sz w:val="18"/>
                      <w:szCs w:val="28"/>
                      <w:lang w:val="es-ES"/>
                    </w:rPr>
                    <w:t>"</w:t>
                  </w:r>
                  <w:r w:rsidRPr="00D82141">
                    <w:rPr>
                      <w:rStyle w:val="normaltextrun"/>
                      <w:rFonts w:ascii="Verdana" w:hAnsi="Verdana"/>
                      <w:i/>
                      <w:iCs/>
                      <w:color w:val="000000"/>
                      <w:sz w:val="18"/>
                      <w:szCs w:val="18"/>
                      <w:lang w:val="es-ES"/>
                    </w:rPr>
                    <w:t xml:space="preserve">En un entorno empresarial desafiante, nuestros equipos altamente comprometidos han contribuido a ofrecer los sólidos resultados que anunciamos hoy para 2023. </w:t>
                  </w:r>
                  <w:r w:rsidRPr="00D82141">
                    <w:rPr>
                      <w:rStyle w:val="normaltextrun"/>
                      <w:rFonts w:ascii="Verdana" w:hAnsi="Verdana"/>
                      <w:i/>
                      <w:iCs/>
                      <w:color w:val="000000"/>
                      <w:sz w:val="18"/>
                      <w:szCs w:val="18"/>
                      <w:shd w:val="clear" w:color="auto" w:fill="FFFFFF"/>
                      <w:lang w:val="es-ES"/>
                    </w:rPr>
                    <w:t>Me gustaría darles las gracias de todo corazón por su tremenda capacidad de adaptación diaria. Con estos resultados, nuestro Grupo ha demostrado su capacidad para cumplir con los objetivos fijados para 2023 dentro de su estrategia "Michelin in Motion 2030"</w:t>
                  </w:r>
                  <w:r w:rsidRPr="00D82141">
                    <w:rPr>
                      <w:rFonts w:ascii="Verdana" w:hAnsi="Verdana"/>
                      <w:bCs/>
                      <w:i/>
                      <w:iCs/>
                      <w:sz w:val="18"/>
                      <w:szCs w:val="28"/>
                      <w:lang w:val="es-ES"/>
                    </w:rPr>
                    <w:t xml:space="preserve"> y espera </w:t>
                  </w:r>
                  <w:r w:rsidRPr="00D82141">
                    <w:rPr>
                      <w:rStyle w:val="normaltextrun"/>
                      <w:rFonts w:ascii="Verdana" w:hAnsi="Verdana"/>
                      <w:i/>
                      <w:iCs/>
                      <w:color w:val="000000"/>
                      <w:sz w:val="18"/>
                      <w:szCs w:val="18"/>
                      <w:shd w:val="clear" w:color="auto" w:fill="FFFFFF"/>
                      <w:lang w:val="es-ES"/>
                    </w:rPr>
                    <w:t>con interés los próximos pasos de despliegue</w:t>
                  </w:r>
                  <w:r w:rsidRPr="00D82141">
                    <w:rPr>
                      <w:rFonts w:ascii="Verdana" w:hAnsi="Verdana"/>
                      <w:bCs/>
                      <w:i/>
                      <w:iCs/>
                      <w:sz w:val="18"/>
                      <w:szCs w:val="28"/>
                      <w:lang w:val="es-ES"/>
                    </w:rPr>
                    <w:t>".</w:t>
                  </w:r>
                </w:p>
                <w:tbl>
                  <w:tblPr>
                    <w:tblpPr w:leftFromText="141" w:rightFromText="141" w:vertAnchor="text" w:horzAnchor="margin" w:tblpX="-147" w:tblpY="172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134"/>
                    <w:gridCol w:w="1134"/>
                    <w:gridCol w:w="1134"/>
                  </w:tblGrid>
                  <w:tr w:rsidR="00F00B20" w:rsidRPr="00196394" w14:paraId="35CEDD66" w14:textId="77777777" w:rsidTr="00F00B20">
                    <w:trPr>
                      <w:trHeight w:val="409"/>
                    </w:trPr>
                    <w:tc>
                      <w:tcPr>
                        <w:tcW w:w="5665" w:type="dxa"/>
                        <w:shd w:val="clear" w:color="auto" w:fill="E6E6E6"/>
                        <w:vAlign w:val="center"/>
                      </w:tcPr>
                      <w:p w14:paraId="3B54B822" w14:textId="77777777" w:rsidR="00F00B20" w:rsidRPr="00D82141" w:rsidRDefault="00F00B20" w:rsidP="00F00B20">
                        <w:pPr>
                          <w:tabs>
                            <w:tab w:val="left" w:pos="360"/>
                          </w:tabs>
                          <w:ind w:left="-262" w:right="-227"/>
                          <w:jc w:val="center"/>
                          <w:rPr>
                            <w:rFonts w:ascii="Verdana" w:eastAsia="Times New Roman" w:hAnsi="Verdana" w:cs="Arial"/>
                            <w:smallCaps/>
                            <w:sz w:val="20"/>
                            <w:szCs w:val="20"/>
                          </w:rPr>
                        </w:pPr>
                        <w:r>
                          <w:br w:type="page"/>
                        </w:r>
                        <w:r w:rsidRPr="00D82141">
                          <w:rPr>
                            <w:rFonts w:ascii="Verdana" w:hAnsi="Verdana"/>
                            <w:smallCaps/>
                            <w:sz w:val="20"/>
                            <w:szCs w:val="20"/>
                          </w:rPr>
                          <w:t>(EN MILLONES DE EUROS)</w:t>
                        </w:r>
                      </w:p>
                    </w:tc>
                    <w:tc>
                      <w:tcPr>
                        <w:tcW w:w="1134" w:type="dxa"/>
                        <w:shd w:val="clear" w:color="auto" w:fill="E6E6E6"/>
                      </w:tcPr>
                      <w:p w14:paraId="3C28BAFB" w14:textId="77777777" w:rsidR="00F00B20" w:rsidRPr="00196394" w:rsidRDefault="00F00B20" w:rsidP="00F00B20">
                        <w:pPr>
                          <w:tabs>
                            <w:tab w:val="left" w:pos="360"/>
                          </w:tabs>
                          <w:spacing w:before="120"/>
                          <w:jc w:val="right"/>
                          <w:rPr>
                            <w:rFonts w:ascii="Verdana" w:eastAsia="Times New Roman" w:hAnsi="Verdana" w:cs="Arial"/>
                            <w:bCs/>
                            <w:sz w:val="20"/>
                            <w:szCs w:val="18"/>
                          </w:rPr>
                        </w:pPr>
                        <w:r w:rsidRPr="00964D09">
                          <w:rPr>
                            <w:rFonts w:ascii="Verdana" w:eastAsia="Times New Roman" w:hAnsi="Verdana" w:cs="Arial"/>
                            <w:bCs/>
                            <w:sz w:val="20"/>
                            <w:szCs w:val="18"/>
                          </w:rPr>
                          <w:t>2023</w:t>
                        </w:r>
                      </w:p>
                    </w:tc>
                    <w:tc>
                      <w:tcPr>
                        <w:tcW w:w="1134" w:type="dxa"/>
                        <w:shd w:val="clear" w:color="auto" w:fill="E6E6E6"/>
                      </w:tcPr>
                      <w:p w14:paraId="019A05BB" w14:textId="77777777" w:rsidR="00F00B20" w:rsidRPr="00196394" w:rsidRDefault="00F00B20" w:rsidP="00F00B20">
                        <w:pPr>
                          <w:tabs>
                            <w:tab w:val="left" w:pos="360"/>
                          </w:tabs>
                          <w:spacing w:before="120"/>
                          <w:jc w:val="right"/>
                          <w:rPr>
                            <w:rFonts w:ascii="Verdana" w:eastAsia="Times New Roman" w:hAnsi="Verdana" w:cs="Arial"/>
                            <w:sz w:val="20"/>
                            <w:szCs w:val="18"/>
                          </w:rPr>
                        </w:pPr>
                        <w:r>
                          <w:rPr>
                            <w:rFonts w:ascii="Verdana" w:hAnsi="Verdana"/>
                            <w:sz w:val="20"/>
                          </w:rPr>
                          <w:t>2022</w:t>
                        </w:r>
                      </w:p>
                    </w:tc>
                    <w:tc>
                      <w:tcPr>
                        <w:tcW w:w="1134" w:type="dxa"/>
                        <w:shd w:val="clear" w:color="auto" w:fill="E6E6E6"/>
                      </w:tcPr>
                      <w:p w14:paraId="0CDA828C" w14:textId="77777777" w:rsidR="00F00B20" w:rsidRPr="00196394" w:rsidRDefault="00F00B20" w:rsidP="00F00B20">
                        <w:pPr>
                          <w:tabs>
                            <w:tab w:val="left" w:pos="360"/>
                          </w:tabs>
                          <w:spacing w:before="120"/>
                          <w:jc w:val="right"/>
                          <w:rPr>
                            <w:rFonts w:ascii="Verdana" w:eastAsia="Times New Roman" w:hAnsi="Verdana" w:cs="Arial"/>
                            <w:bCs/>
                            <w:sz w:val="20"/>
                            <w:szCs w:val="18"/>
                          </w:rPr>
                        </w:pPr>
                        <w:r>
                          <w:rPr>
                            <w:rFonts w:ascii="Verdana" w:hAnsi="Verdana"/>
                            <w:sz w:val="20"/>
                          </w:rPr>
                          <w:t>2021</w:t>
                        </w:r>
                      </w:p>
                    </w:tc>
                  </w:tr>
                  <w:tr w:rsidR="00F00B20" w:rsidRPr="00196394" w14:paraId="4E77E731" w14:textId="77777777" w:rsidTr="00F00B20">
                    <w:trPr>
                      <w:trHeight w:val="326"/>
                    </w:trPr>
                    <w:tc>
                      <w:tcPr>
                        <w:tcW w:w="5665" w:type="dxa"/>
                        <w:vAlign w:val="center"/>
                      </w:tcPr>
                      <w:p w14:paraId="5C105B4C" w14:textId="77777777" w:rsidR="00F00B20" w:rsidRPr="00511FA5" w:rsidRDefault="00F00B20" w:rsidP="00F00B20">
                        <w:pPr>
                          <w:tabs>
                            <w:tab w:val="left" w:pos="360"/>
                          </w:tabs>
                          <w:ind w:right="-227"/>
                          <w:rPr>
                            <w:rFonts w:ascii="Verdana" w:eastAsia="Times New Roman" w:hAnsi="Verdana" w:cs="Arial"/>
                            <w:sz w:val="18"/>
                            <w:szCs w:val="22"/>
                          </w:rPr>
                        </w:pPr>
                        <w:r>
                          <w:rPr>
                            <w:rFonts w:ascii="Verdana" w:hAnsi="Verdana"/>
                            <w:smallCaps/>
                            <w:sz w:val="18"/>
                            <w:szCs w:val="22"/>
                          </w:rPr>
                          <w:t>VENTAS</w:t>
                        </w:r>
                      </w:p>
                    </w:tc>
                    <w:tc>
                      <w:tcPr>
                        <w:tcW w:w="1134" w:type="dxa"/>
                        <w:vAlign w:val="center"/>
                      </w:tcPr>
                      <w:p w14:paraId="7A8B4E78" w14:textId="77777777" w:rsidR="00F00B20" w:rsidRPr="00F604AE" w:rsidRDefault="00F00B20" w:rsidP="00F00B20">
                        <w:pPr>
                          <w:tabs>
                            <w:tab w:val="left" w:pos="360"/>
                          </w:tabs>
                          <w:ind w:left="360" w:hanging="360"/>
                          <w:jc w:val="right"/>
                          <w:rPr>
                            <w:rFonts w:ascii="Verdana" w:eastAsia="Times New Roman" w:hAnsi="Verdana" w:cs="Arial"/>
                            <w:b/>
                            <w:bCs/>
                            <w:sz w:val="18"/>
                            <w:szCs w:val="18"/>
                          </w:rPr>
                        </w:pPr>
                        <w:r w:rsidRPr="00F604AE">
                          <w:rPr>
                            <w:rFonts w:ascii="Verdana" w:eastAsia="Times New Roman" w:hAnsi="Verdana" w:cs="Arial"/>
                            <w:b/>
                            <w:bCs/>
                            <w:sz w:val="18"/>
                            <w:szCs w:val="18"/>
                          </w:rPr>
                          <w:t>28</w:t>
                        </w:r>
                        <w:r>
                          <w:rPr>
                            <w:rFonts w:ascii="Verdana" w:eastAsia="Times New Roman" w:hAnsi="Verdana" w:cs="Arial"/>
                            <w:b/>
                            <w:bCs/>
                            <w:sz w:val="18"/>
                            <w:szCs w:val="18"/>
                          </w:rPr>
                          <w:t>.</w:t>
                        </w:r>
                        <w:r w:rsidRPr="00F604AE">
                          <w:rPr>
                            <w:rFonts w:ascii="Verdana" w:eastAsia="Times New Roman" w:hAnsi="Verdana" w:cs="Arial"/>
                            <w:b/>
                            <w:bCs/>
                            <w:sz w:val="18"/>
                            <w:szCs w:val="18"/>
                          </w:rPr>
                          <w:t>343</w:t>
                        </w:r>
                      </w:p>
                    </w:tc>
                    <w:tc>
                      <w:tcPr>
                        <w:tcW w:w="1134" w:type="dxa"/>
                        <w:vAlign w:val="center"/>
                      </w:tcPr>
                      <w:p w14:paraId="4D4E45F5" w14:textId="77777777" w:rsidR="00F00B20" w:rsidRPr="00F604AE" w:rsidRDefault="00F00B20" w:rsidP="00F00B20">
                        <w:pPr>
                          <w:tabs>
                            <w:tab w:val="left" w:pos="360"/>
                          </w:tabs>
                          <w:ind w:left="360" w:hanging="360"/>
                          <w:jc w:val="right"/>
                          <w:rPr>
                            <w:rFonts w:ascii="Verdana" w:eastAsia="Times New Roman" w:hAnsi="Verdana" w:cs="Arial"/>
                            <w:b/>
                            <w:bCs/>
                            <w:sz w:val="18"/>
                            <w:szCs w:val="18"/>
                          </w:rPr>
                        </w:pPr>
                        <w:r w:rsidRPr="00F604AE">
                          <w:rPr>
                            <w:rFonts w:ascii="Verdana" w:eastAsia="Times New Roman" w:hAnsi="Verdana" w:cs="Arial"/>
                            <w:b/>
                            <w:bCs/>
                            <w:sz w:val="18"/>
                            <w:szCs w:val="18"/>
                          </w:rPr>
                          <w:t>28</w:t>
                        </w:r>
                        <w:r>
                          <w:rPr>
                            <w:rFonts w:ascii="Verdana" w:eastAsia="Times New Roman" w:hAnsi="Verdana" w:cs="Arial"/>
                            <w:b/>
                            <w:bCs/>
                            <w:sz w:val="18"/>
                            <w:szCs w:val="18"/>
                          </w:rPr>
                          <w:t>.</w:t>
                        </w:r>
                        <w:r w:rsidRPr="00F604AE">
                          <w:rPr>
                            <w:rFonts w:ascii="Verdana" w:eastAsia="Times New Roman" w:hAnsi="Verdana" w:cs="Arial"/>
                            <w:b/>
                            <w:bCs/>
                            <w:sz w:val="18"/>
                            <w:szCs w:val="18"/>
                          </w:rPr>
                          <w:t>590</w:t>
                        </w:r>
                      </w:p>
                    </w:tc>
                    <w:tc>
                      <w:tcPr>
                        <w:tcW w:w="1134" w:type="dxa"/>
                        <w:shd w:val="clear" w:color="auto" w:fill="auto"/>
                        <w:vAlign w:val="center"/>
                      </w:tcPr>
                      <w:p w14:paraId="4EDEA54A" w14:textId="77777777" w:rsidR="00F00B20" w:rsidRPr="00F604AE" w:rsidRDefault="00F00B20" w:rsidP="00F00B20">
                        <w:pPr>
                          <w:tabs>
                            <w:tab w:val="left" w:pos="360"/>
                          </w:tabs>
                          <w:ind w:left="360" w:hanging="360"/>
                          <w:jc w:val="right"/>
                          <w:rPr>
                            <w:rFonts w:ascii="Verdana" w:eastAsia="Times New Roman" w:hAnsi="Verdana" w:cs="Arial"/>
                            <w:b/>
                            <w:bCs/>
                            <w:sz w:val="18"/>
                            <w:szCs w:val="18"/>
                          </w:rPr>
                        </w:pPr>
                        <w:r w:rsidRPr="00F604AE">
                          <w:rPr>
                            <w:rFonts w:ascii="Verdana" w:eastAsia="Times New Roman" w:hAnsi="Verdana" w:cs="Arial"/>
                            <w:b/>
                            <w:bCs/>
                            <w:sz w:val="18"/>
                            <w:szCs w:val="18"/>
                          </w:rPr>
                          <w:t>23</w:t>
                        </w:r>
                        <w:r>
                          <w:rPr>
                            <w:rFonts w:ascii="Verdana" w:eastAsia="Times New Roman" w:hAnsi="Verdana" w:cs="Arial"/>
                            <w:b/>
                            <w:bCs/>
                            <w:sz w:val="18"/>
                            <w:szCs w:val="18"/>
                          </w:rPr>
                          <w:t>.</w:t>
                        </w:r>
                        <w:r w:rsidRPr="00F604AE">
                          <w:rPr>
                            <w:rFonts w:ascii="Verdana" w:eastAsia="Times New Roman" w:hAnsi="Verdana" w:cs="Arial"/>
                            <w:b/>
                            <w:bCs/>
                            <w:sz w:val="18"/>
                            <w:szCs w:val="18"/>
                          </w:rPr>
                          <w:t>795</w:t>
                        </w:r>
                      </w:p>
                    </w:tc>
                  </w:tr>
                  <w:tr w:rsidR="00F00B20" w:rsidRPr="00196394" w14:paraId="1605BD51"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68ED1E70" w14:textId="77777777" w:rsidR="00F00B20" w:rsidRPr="00D82141" w:rsidRDefault="00F00B20" w:rsidP="00F00B20">
                        <w:pPr>
                          <w:tabs>
                            <w:tab w:val="left" w:pos="360"/>
                          </w:tabs>
                          <w:ind w:right="-227"/>
                          <w:rPr>
                            <w:rFonts w:ascii="Verdana" w:eastAsia="Times New Roman" w:hAnsi="Verdana" w:cs="Arial"/>
                            <w:smallCaps/>
                            <w:sz w:val="18"/>
                            <w:szCs w:val="22"/>
                            <w:lang w:val="es-ES"/>
                          </w:rPr>
                        </w:pPr>
                        <w:r w:rsidRPr="00D82141">
                          <w:rPr>
                            <w:rFonts w:ascii="Verdana" w:hAnsi="Verdana"/>
                            <w:smallCaps/>
                            <w:sz w:val="18"/>
                            <w:szCs w:val="22"/>
                            <w:lang w:val="es-ES"/>
                          </w:rPr>
                          <w:t>RESULTADO OPERACIONAL DE LOS S</w:t>
                        </w:r>
                        <w:r>
                          <w:rPr>
                            <w:rFonts w:ascii="Verdana" w:hAnsi="Verdana"/>
                            <w:smallCaps/>
                            <w:sz w:val="18"/>
                            <w:szCs w:val="22"/>
                            <w:lang w:val="es-ES"/>
                          </w:rPr>
                          <w:t>ECTORES</w:t>
                        </w:r>
                      </w:p>
                    </w:tc>
                    <w:tc>
                      <w:tcPr>
                        <w:tcW w:w="1134" w:type="dxa"/>
                        <w:tcBorders>
                          <w:top w:val="single" w:sz="4" w:space="0" w:color="auto"/>
                          <w:left w:val="single" w:sz="4" w:space="0" w:color="auto"/>
                          <w:bottom w:val="single" w:sz="4" w:space="0" w:color="auto"/>
                          <w:right w:val="single" w:sz="4" w:space="0" w:color="auto"/>
                        </w:tcBorders>
                        <w:vAlign w:val="center"/>
                      </w:tcPr>
                      <w:p w14:paraId="6BB58E25" w14:textId="77777777" w:rsidR="00F00B20" w:rsidRPr="00F604AE" w:rsidRDefault="00F00B20" w:rsidP="00F00B20">
                        <w:pPr>
                          <w:tabs>
                            <w:tab w:val="left" w:pos="360"/>
                          </w:tabs>
                          <w:ind w:left="360" w:hanging="360"/>
                          <w:jc w:val="right"/>
                          <w:rPr>
                            <w:rFonts w:ascii="Verdana" w:eastAsia="Times New Roman" w:hAnsi="Verdana" w:cs="Arial"/>
                            <w:b/>
                            <w:bCs/>
                            <w:sz w:val="18"/>
                            <w:szCs w:val="18"/>
                          </w:rPr>
                        </w:pPr>
                        <w:r w:rsidRPr="00F604AE">
                          <w:rPr>
                            <w:rFonts w:ascii="Verdana" w:eastAsia="Times New Roman" w:hAnsi="Verdana" w:cs="Arial"/>
                            <w:b/>
                            <w:bCs/>
                            <w:sz w:val="18"/>
                            <w:szCs w:val="18"/>
                          </w:rPr>
                          <w:t>3</w:t>
                        </w:r>
                        <w:r>
                          <w:rPr>
                            <w:rFonts w:ascii="Verdana" w:eastAsia="Times New Roman" w:hAnsi="Verdana" w:cs="Arial"/>
                            <w:b/>
                            <w:bCs/>
                            <w:sz w:val="18"/>
                            <w:szCs w:val="18"/>
                          </w:rPr>
                          <w:t>.</w:t>
                        </w:r>
                        <w:r w:rsidRPr="00F604AE">
                          <w:rPr>
                            <w:rFonts w:ascii="Verdana" w:eastAsia="Times New Roman" w:hAnsi="Verdana" w:cs="Arial"/>
                            <w:b/>
                            <w:bCs/>
                            <w:sz w:val="18"/>
                            <w:szCs w:val="18"/>
                          </w:rPr>
                          <w:t>572</w:t>
                        </w:r>
                      </w:p>
                    </w:tc>
                    <w:tc>
                      <w:tcPr>
                        <w:tcW w:w="1134" w:type="dxa"/>
                        <w:tcBorders>
                          <w:top w:val="single" w:sz="4" w:space="0" w:color="auto"/>
                          <w:left w:val="single" w:sz="4" w:space="0" w:color="auto"/>
                          <w:bottom w:val="single" w:sz="4" w:space="0" w:color="auto"/>
                          <w:right w:val="single" w:sz="4" w:space="0" w:color="auto"/>
                        </w:tcBorders>
                        <w:vAlign w:val="center"/>
                      </w:tcPr>
                      <w:p w14:paraId="2F1B0B04" w14:textId="77777777" w:rsidR="00F00B20" w:rsidRPr="00F604AE" w:rsidRDefault="00F00B20" w:rsidP="00F00B20">
                        <w:pPr>
                          <w:tabs>
                            <w:tab w:val="left" w:pos="360"/>
                          </w:tabs>
                          <w:ind w:left="360" w:hanging="360"/>
                          <w:jc w:val="right"/>
                          <w:rPr>
                            <w:rFonts w:ascii="Verdana" w:eastAsia="Times New Roman" w:hAnsi="Verdana" w:cs="Arial"/>
                            <w:b/>
                            <w:bCs/>
                            <w:sz w:val="18"/>
                            <w:szCs w:val="18"/>
                          </w:rPr>
                        </w:pPr>
                        <w:r w:rsidRPr="00F604AE">
                          <w:rPr>
                            <w:rFonts w:ascii="Verdana" w:eastAsia="Times New Roman" w:hAnsi="Verdana" w:cs="Arial"/>
                            <w:b/>
                            <w:bCs/>
                            <w:sz w:val="18"/>
                            <w:szCs w:val="18"/>
                          </w:rPr>
                          <w:t>3</w:t>
                        </w:r>
                        <w:r>
                          <w:rPr>
                            <w:rFonts w:ascii="Verdana" w:eastAsia="Times New Roman" w:hAnsi="Verdana" w:cs="Arial"/>
                            <w:b/>
                            <w:bCs/>
                            <w:sz w:val="18"/>
                            <w:szCs w:val="18"/>
                          </w:rPr>
                          <w:t>.</w:t>
                        </w:r>
                        <w:r w:rsidRPr="00F604AE">
                          <w:rPr>
                            <w:rFonts w:ascii="Verdana" w:eastAsia="Times New Roman" w:hAnsi="Verdana" w:cs="Arial"/>
                            <w:b/>
                            <w:bCs/>
                            <w:sz w:val="18"/>
                            <w:szCs w:val="18"/>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826FBF" w14:textId="77777777" w:rsidR="00F00B20" w:rsidRPr="00F604AE" w:rsidRDefault="00F00B20" w:rsidP="00F00B20">
                        <w:pPr>
                          <w:tabs>
                            <w:tab w:val="left" w:pos="360"/>
                          </w:tabs>
                          <w:ind w:left="360" w:hanging="360"/>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966</w:t>
                        </w:r>
                      </w:p>
                    </w:tc>
                  </w:tr>
                  <w:tr w:rsidR="00F00B20" w:rsidRPr="00196394" w14:paraId="212F701A" w14:textId="77777777" w:rsidTr="00F00B20">
                    <w:trPr>
                      <w:trHeight w:val="326"/>
                    </w:trPr>
                    <w:tc>
                      <w:tcPr>
                        <w:tcW w:w="5665" w:type="dxa"/>
                        <w:vAlign w:val="center"/>
                      </w:tcPr>
                      <w:p w14:paraId="753C987A" w14:textId="77777777" w:rsidR="00F00B20" w:rsidRPr="00D82141" w:rsidRDefault="00F00B20" w:rsidP="00F00B20">
                        <w:pPr>
                          <w:tabs>
                            <w:tab w:val="left" w:pos="360"/>
                          </w:tabs>
                          <w:ind w:right="-227"/>
                          <w:rPr>
                            <w:rFonts w:ascii="Verdana" w:eastAsia="Times New Roman" w:hAnsi="Verdana" w:cs="Arial"/>
                            <w:bCs/>
                            <w:smallCaps/>
                            <w:sz w:val="18"/>
                            <w:szCs w:val="22"/>
                            <w:lang w:val="es-ES"/>
                          </w:rPr>
                        </w:pPr>
                        <w:r w:rsidRPr="00D82141">
                          <w:rPr>
                            <w:rFonts w:ascii="Verdana" w:hAnsi="Verdana"/>
                            <w:smallCaps/>
                            <w:sz w:val="18"/>
                            <w:szCs w:val="22"/>
                            <w:lang w:val="es-ES"/>
                          </w:rPr>
                          <w:t>MARGEN OPERACIONAL DE LOS S</w:t>
                        </w:r>
                        <w:r>
                          <w:rPr>
                            <w:rFonts w:ascii="Verdana" w:hAnsi="Verdana"/>
                            <w:smallCaps/>
                            <w:sz w:val="18"/>
                            <w:szCs w:val="22"/>
                            <w:lang w:val="es-ES"/>
                          </w:rPr>
                          <w:t>ECTORES</w:t>
                        </w:r>
                      </w:p>
                    </w:tc>
                    <w:tc>
                      <w:tcPr>
                        <w:tcW w:w="1134" w:type="dxa"/>
                        <w:vAlign w:val="center"/>
                      </w:tcPr>
                      <w:p w14:paraId="30B2682C"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12</w:t>
                        </w:r>
                        <w:r>
                          <w:rPr>
                            <w:rFonts w:ascii="Verdana" w:eastAsia="Times New Roman" w:hAnsi="Verdana" w:cs="Arial"/>
                            <w:b/>
                            <w:bCs/>
                            <w:sz w:val="18"/>
                            <w:szCs w:val="18"/>
                          </w:rPr>
                          <w:t>,</w:t>
                        </w:r>
                        <w:r w:rsidRPr="00F604AE">
                          <w:rPr>
                            <w:rFonts w:ascii="Verdana" w:eastAsia="Times New Roman" w:hAnsi="Verdana" w:cs="Arial"/>
                            <w:b/>
                            <w:bCs/>
                            <w:sz w:val="18"/>
                            <w:szCs w:val="18"/>
                          </w:rPr>
                          <w:t>6%</w:t>
                        </w:r>
                      </w:p>
                    </w:tc>
                    <w:tc>
                      <w:tcPr>
                        <w:tcW w:w="1134" w:type="dxa"/>
                        <w:vAlign w:val="center"/>
                      </w:tcPr>
                      <w:p w14:paraId="47533088" w14:textId="77777777" w:rsidR="00F00B20" w:rsidRPr="00F604AE" w:rsidRDefault="00F00B20" w:rsidP="00F00B20">
                        <w:pPr>
                          <w:tabs>
                            <w:tab w:val="left" w:pos="301"/>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11</w:t>
                        </w:r>
                        <w:r>
                          <w:rPr>
                            <w:rFonts w:ascii="Verdana" w:eastAsia="Times New Roman" w:hAnsi="Verdana" w:cs="Arial"/>
                            <w:b/>
                            <w:bCs/>
                            <w:sz w:val="18"/>
                            <w:szCs w:val="18"/>
                          </w:rPr>
                          <w:t>,</w:t>
                        </w:r>
                        <w:r w:rsidRPr="00F604AE">
                          <w:rPr>
                            <w:rFonts w:ascii="Verdana" w:eastAsia="Times New Roman" w:hAnsi="Verdana" w:cs="Arial"/>
                            <w:b/>
                            <w:bCs/>
                            <w:sz w:val="18"/>
                            <w:szCs w:val="18"/>
                          </w:rPr>
                          <w:t>9%</w:t>
                        </w:r>
                      </w:p>
                    </w:tc>
                    <w:tc>
                      <w:tcPr>
                        <w:tcW w:w="1134" w:type="dxa"/>
                        <w:vAlign w:val="center"/>
                      </w:tcPr>
                      <w:p w14:paraId="5D79B55C" w14:textId="77777777" w:rsidR="00F00B20" w:rsidRPr="00F604AE" w:rsidRDefault="00F00B20" w:rsidP="00F00B20">
                        <w:pPr>
                          <w:tabs>
                            <w:tab w:val="left" w:pos="197"/>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12</w:t>
                        </w:r>
                        <w:r>
                          <w:rPr>
                            <w:rFonts w:ascii="Verdana" w:eastAsia="Times New Roman" w:hAnsi="Verdana" w:cs="Arial"/>
                            <w:b/>
                            <w:bCs/>
                            <w:sz w:val="18"/>
                            <w:szCs w:val="18"/>
                          </w:rPr>
                          <w:t>,</w:t>
                        </w:r>
                        <w:r w:rsidRPr="00F604AE">
                          <w:rPr>
                            <w:rFonts w:ascii="Verdana" w:eastAsia="Times New Roman" w:hAnsi="Verdana" w:cs="Arial"/>
                            <w:b/>
                            <w:bCs/>
                            <w:sz w:val="18"/>
                            <w:szCs w:val="18"/>
                          </w:rPr>
                          <w:t>5%</w:t>
                        </w:r>
                      </w:p>
                    </w:tc>
                  </w:tr>
                  <w:tr w:rsidR="00F00B20" w:rsidRPr="00196394" w14:paraId="3B844640" w14:textId="77777777" w:rsidTr="00F00B20">
                    <w:trPr>
                      <w:trHeight w:val="326"/>
                    </w:trPr>
                    <w:tc>
                      <w:tcPr>
                        <w:tcW w:w="5665" w:type="dxa"/>
                        <w:vAlign w:val="center"/>
                      </w:tcPr>
                      <w:p w14:paraId="33EC5B94" w14:textId="77777777" w:rsidR="00F00B20" w:rsidRPr="00D82141" w:rsidRDefault="00F00B20" w:rsidP="00F00B20">
                        <w:pPr>
                          <w:tabs>
                            <w:tab w:val="left" w:pos="360"/>
                          </w:tabs>
                          <w:ind w:right="-227"/>
                          <w:rPr>
                            <w:rFonts w:ascii="Verdana" w:eastAsia="Times New Roman" w:hAnsi="Verdana" w:cs="Arial"/>
                            <w:bCs/>
                            <w:smallCaps/>
                            <w:sz w:val="18"/>
                            <w:szCs w:val="22"/>
                            <w:lang w:val="es-ES"/>
                          </w:rPr>
                        </w:pPr>
                        <w:r w:rsidRPr="00D82141">
                          <w:rPr>
                            <w:rFonts w:ascii="Verdana" w:hAnsi="Verdana"/>
                            <w:smallCaps/>
                            <w:sz w:val="18"/>
                            <w:szCs w:val="22"/>
                            <w:lang w:val="es-ES"/>
                          </w:rPr>
                          <w:t>TURISMO, CAMIONETA Y DISTRIBUCIÓN A</w:t>
                        </w:r>
                        <w:r>
                          <w:rPr>
                            <w:rFonts w:ascii="Verdana" w:hAnsi="Verdana"/>
                            <w:smallCaps/>
                            <w:sz w:val="18"/>
                            <w:szCs w:val="22"/>
                            <w:lang w:val="es-ES"/>
                          </w:rPr>
                          <w:t>SOCIADA</w:t>
                        </w:r>
                      </w:p>
                    </w:tc>
                    <w:tc>
                      <w:tcPr>
                        <w:tcW w:w="1134" w:type="dxa"/>
                      </w:tcPr>
                      <w:p w14:paraId="0D821735"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13</w:t>
                        </w:r>
                        <w:r>
                          <w:rPr>
                            <w:rFonts w:ascii="Verdana" w:eastAsia="Times New Roman" w:hAnsi="Verdana" w:cs="Arial"/>
                            <w:b/>
                            <w:bCs/>
                            <w:sz w:val="18"/>
                            <w:szCs w:val="18"/>
                          </w:rPr>
                          <w:t>,</w:t>
                        </w:r>
                        <w:r w:rsidRPr="00F604AE">
                          <w:rPr>
                            <w:rFonts w:ascii="Verdana" w:eastAsia="Times New Roman" w:hAnsi="Verdana" w:cs="Arial"/>
                            <w:b/>
                            <w:bCs/>
                            <w:sz w:val="18"/>
                            <w:szCs w:val="18"/>
                          </w:rPr>
                          <w:t>7%</w:t>
                        </w:r>
                      </w:p>
                    </w:tc>
                    <w:tc>
                      <w:tcPr>
                        <w:tcW w:w="1134" w:type="dxa"/>
                      </w:tcPr>
                      <w:p w14:paraId="52C108F2"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12</w:t>
                        </w:r>
                        <w:r>
                          <w:rPr>
                            <w:rFonts w:ascii="Verdana" w:eastAsia="Times New Roman" w:hAnsi="Verdana" w:cs="Arial"/>
                            <w:b/>
                            <w:bCs/>
                            <w:sz w:val="18"/>
                            <w:szCs w:val="18"/>
                          </w:rPr>
                          <w:t>,</w:t>
                        </w:r>
                        <w:r w:rsidRPr="00F604AE">
                          <w:rPr>
                            <w:rFonts w:ascii="Verdana" w:eastAsia="Times New Roman" w:hAnsi="Verdana" w:cs="Arial"/>
                            <w:b/>
                            <w:bCs/>
                            <w:sz w:val="18"/>
                            <w:szCs w:val="18"/>
                          </w:rPr>
                          <w:t>1%</w:t>
                        </w:r>
                      </w:p>
                    </w:tc>
                    <w:tc>
                      <w:tcPr>
                        <w:tcW w:w="1134" w:type="dxa"/>
                      </w:tcPr>
                      <w:p w14:paraId="52810AB3"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13</w:t>
                        </w:r>
                        <w:r>
                          <w:rPr>
                            <w:rFonts w:ascii="Verdana" w:eastAsia="Times New Roman" w:hAnsi="Verdana" w:cs="Arial"/>
                            <w:b/>
                            <w:bCs/>
                            <w:sz w:val="18"/>
                            <w:szCs w:val="18"/>
                          </w:rPr>
                          <w:t>,</w:t>
                        </w:r>
                        <w:r w:rsidRPr="00F604AE">
                          <w:rPr>
                            <w:rFonts w:ascii="Verdana" w:eastAsia="Times New Roman" w:hAnsi="Verdana" w:cs="Arial"/>
                            <w:b/>
                            <w:bCs/>
                            <w:sz w:val="18"/>
                            <w:szCs w:val="18"/>
                          </w:rPr>
                          <w:t>7%</w:t>
                        </w:r>
                      </w:p>
                    </w:tc>
                  </w:tr>
                  <w:tr w:rsidR="00F00B20" w:rsidRPr="00196394" w14:paraId="13B7F24A" w14:textId="77777777" w:rsidTr="00F00B20">
                    <w:trPr>
                      <w:trHeight w:val="326"/>
                    </w:trPr>
                    <w:tc>
                      <w:tcPr>
                        <w:tcW w:w="5665" w:type="dxa"/>
                        <w:vAlign w:val="center"/>
                      </w:tcPr>
                      <w:p w14:paraId="5C87DB31" w14:textId="77777777" w:rsidR="00F00B20" w:rsidRPr="00D82141" w:rsidRDefault="00F00B20" w:rsidP="00F00B20">
                        <w:pPr>
                          <w:tabs>
                            <w:tab w:val="left" w:pos="360"/>
                          </w:tabs>
                          <w:ind w:right="-227"/>
                          <w:rPr>
                            <w:rFonts w:ascii="Verdana" w:eastAsia="Times New Roman" w:hAnsi="Verdana" w:cs="Arial"/>
                            <w:smallCaps/>
                            <w:sz w:val="18"/>
                            <w:szCs w:val="22"/>
                            <w:lang w:val="es-ES"/>
                          </w:rPr>
                        </w:pPr>
                        <w:r>
                          <w:rPr>
                            <w:rFonts w:ascii="Verdana" w:hAnsi="Verdana"/>
                            <w:smallCaps/>
                            <w:sz w:val="18"/>
                            <w:szCs w:val="22"/>
                            <w:lang w:val="es-ES"/>
                          </w:rPr>
                          <w:t>CAMIÓN</w:t>
                        </w:r>
                        <w:r w:rsidRPr="00D82141">
                          <w:rPr>
                            <w:rFonts w:ascii="Verdana" w:hAnsi="Verdana"/>
                            <w:smallCaps/>
                            <w:sz w:val="18"/>
                            <w:szCs w:val="22"/>
                            <w:lang w:val="es-ES"/>
                          </w:rPr>
                          <w:t xml:space="preserve"> Y DISTRIBUCIÓN A</w:t>
                        </w:r>
                        <w:r>
                          <w:rPr>
                            <w:rFonts w:ascii="Verdana" w:hAnsi="Verdana"/>
                            <w:smallCaps/>
                            <w:sz w:val="18"/>
                            <w:szCs w:val="22"/>
                            <w:lang w:val="es-ES"/>
                          </w:rPr>
                          <w:t>SOCIADA</w:t>
                        </w:r>
                      </w:p>
                    </w:tc>
                    <w:tc>
                      <w:tcPr>
                        <w:tcW w:w="1134" w:type="dxa"/>
                      </w:tcPr>
                      <w:p w14:paraId="62F0CDC0"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6</w:t>
                        </w:r>
                        <w:r>
                          <w:rPr>
                            <w:rFonts w:ascii="Verdana" w:eastAsia="Times New Roman" w:hAnsi="Verdana" w:cs="Arial"/>
                            <w:b/>
                            <w:bCs/>
                            <w:sz w:val="18"/>
                            <w:szCs w:val="18"/>
                          </w:rPr>
                          <w:t>,</w:t>
                        </w:r>
                        <w:r w:rsidRPr="00F604AE">
                          <w:rPr>
                            <w:rFonts w:ascii="Verdana" w:eastAsia="Times New Roman" w:hAnsi="Verdana" w:cs="Arial"/>
                            <w:b/>
                            <w:bCs/>
                            <w:sz w:val="18"/>
                            <w:szCs w:val="18"/>
                          </w:rPr>
                          <w:t>5%</w:t>
                        </w:r>
                      </w:p>
                    </w:tc>
                    <w:tc>
                      <w:tcPr>
                        <w:tcW w:w="1134" w:type="dxa"/>
                      </w:tcPr>
                      <w:p w14:paraId="4B122E9E"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8</w:t>
                        </w:r>
                        <w:r>
                          <w:rPr>
                            <w:rFonts w:ascii="Verdana" w:eastAsia="Times New Roman" w:hAnsi="Verdana" w:cs="Arial"/>
                            <w:b/>
                            <w:bCs/>
                            <w:sz w:val="18"/>
                            <w:szCs w:val="18"/>
                          </w:rPr>
                          <w:t>,</w:t>
                        </w:r>
                        <w:r w:rsidRPr="00F604AE">
                          <w:rPr>
                            <w:rFonts w:ascii="Verdana" w:eastAsia="Times New Roman" w:hAnsi="Verdana" w:cs="Arial"/>
                            <w:b/>
                            <w:bCs/>
                            <w:sz w:val="18"/>
                            <w:szCs w:val="18"/>
                          </w:rPr>
                          <w:t>6%</w:t>
                        </w:r>
                      </w:p>
                    </w:tc>
                    <w:tc>
                      <w:tcPr>
                        <w:tcW w:w="1134" w:type="dxa"/>
                      </w:tcPr>
                      <w:p w14:paraId="13934482"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9</w:t>
                        </w:r>
                        <w:r>
                          <w:rPr>
                            <w:rFonts w:ascii="Verdana" w:eastAsia="Times New Roman" w:hAnsi="Verdana" w:cs="Arial"/>
                            <w:b/>
                            <w:bCs/>
                            <w:sz w:val="18"/>
                            <w:szCs w:val="18"/>
                          </w:rPr>
                          <w:t>,</w:t>
                        </w:r>
                        <w:r w:rsidRPr="00F604AE">
                          <w:rPr>
                            <w:rFonts w:ascii="Verdana" w:eastAsia="Times New Roman" w:hAnsi="Verdana" w:cs="Arial"/>
                            <w:b/>
                            <w:bCs/>
                            <w:sz w:val="18"/>
                            <w:szCs w:val="18"/>
                          </w:rPr>
                          <w:t>6%</w:t>
                        </w:r>
                      </w:p>
                    </w:tc>
                  </w:tr>
                  <w:tr w:rsidR="00F00B20" w:rsidRPr="00196394" w14:paraId="4683622F"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12D6CA2A" w14:textId="77777777" w:rsidR="00F00B20" w:rsidRPr="00D82141" w:rsidRDefault="00F00B20" w:rsidP="00F00B20">
                        <w:pPr>
                          <w:tabs>
                            <w:tab w:val="left" w:pos="360"/>
                          </w:tabs>
                          <w:ind w:right="-227"/>
                          <w:rPr>
                            <w:rFonts w:ascii="Verdana" w:eastAsia="Times New Roman" w:hAnsi="Verdana" w:cs="Arial"/>
                            <w:smallCaps/>
                            <w:sz w:val="18"/>
                            <w:szCs w:val="22"/>
                            <w:lang w:val="es-ES"/>
                          </w:rPr>
                        </w:pPr>
                        <w:r>
                          <w:rPr>
                            <w:rFonts w:ascii="Verdana" w:hAnsi="Verdana"/>
                            <w:smallCaps/>
                            <w:sz w:val="18"/>
                            <w:szCs w:val="22"/>
                            <w:lang w:val="es-ES"/>
                          </w:rPr>
                          <w:t>ACTIVIDADES DE ESPECIALIDADES</w:t>
                        </w:r>
                        <w:r w:rsidRPr="00D82141">
                          <w:rPr>
                            <w:rFonts w:ascii="Verdana" w:hAnsi="Verdana"/>
                            <w:smallCaps/>
                            <w:sz w:val="18"/>
                            <w:szCs w:val="22"/>
                            <w:lang w:val="es-ES"/>
                          </w:rPr>
                          <w:t xml:space="preserve"> Y DISTRIBUCIÓN A</w:t>
                        </w:r>
                        <w:r>
                          <w:rPr>
                            <w:rFonts w:ascii="Verdana" w:hAnsi="Verdana"/>
                            <w:smallCaps/>
                            <w:sz w:val="18"/>
                            <w:szCs w:val="22"/>
                            <w:lang w:val="es-ES"/>
                          </w:rPr>
                          <w:t>SOCIADA</w:t>
                        </w:r>
                      </w:p>
                    </w:tc>
                    <w:tc>
                      <w:tcPr>
                        <w:tcW w:w="1134" w:type="dxa"/>
                        <w:tcBorders>
                          <w:top w:val="single" w:sz="4" w:space="0" w:color="auto"/>
                          <w:left w:val="single" w:sz="4" w:space="0" w:color="auto"/>
                          <w:bottom w:val="single" w:sz="4" w:space="0" w:color="auto"/>
                          <w:right w:val="single" w:sz="4" w:space="0" w:color="auto"/>
                        </w:tcBorders>
                      </w:tcPr>
                      <w:p w14:paraId="55167975"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16</w:t>
                        </w:r>
                        <w:r>
                          <w:rPr>
                            <w:rFonts w:ascii="Verdana" w:eastAsia="Times New Roman" w:hAnsi="Verdana" w:cs="Arial"/>
                            <w:b/>
                            <w:bCs/>
                            <w:sz w:val="18"/>
                            <w:szCs w:val="18"/>
                          </w:rPr>
                          <w:t>,</w:t>
                        </w:r>
                        <w:r w:rsidRPr="00F604AE">
                          <w:rPr>
                            <w:rFonts w:ascii="Verdana" w:eastAsia="Times New Roman" w:hAnsi="Verdana" w:cs="Arial"/>
                            <w:b/>
                            <w:bCs/>
                            <w:sz w:val="18"/>
                            <w:szCs w:val="18"/>
                          </w:rPr>
                          <w:t>5%</w:t>
                        </w:r>
                      </w:p>
                    </w:tc>
                    <w:tc>
                      <w:tcPr>
                        <w:tcW w:w="1134" w:type="dxa"/>
                        <w:tcBorders>
                          <w:top w:val="single" w:sz="4" w:space="0" w:color="auto"/>
                          <w:left w:val="single" w:sz="4" w:space="0" w:color="auto"/>
                          <w:bottom w:val="single" w:sz="4" w:space="0" w:color="auto"/>
                          <w:right w:val="single" w:sz="4" w:space="0" w:color="auto"/>
                        </w:tcBorders>
                      </w:tcPr>
                      <w:p w14:paraId="5A3E734A"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14</w:t>
                        </w:r>
                        <w:r>
                          <w:rPr>
                            <w:rFonts w:ascii="Verdana" w:eastAsia="Times New Roman" w:hAnsi="Verdana" w:cs="Arial"/>
                            <w:b/>
                            <w:bCs/>
                            <w:sz w:val="18"/>
                            <w:szCs w:val="18"/>
                          </w:rPr>
                          <w:t>,</w:t>
                        </w:r>
                        <w:r w:rsidRPr="00F604AE">
                          <w:rPr>
                            <w:rFonts w:ascii="Verdana" w:eastAsia="Times New Roman" w:hAnsi="Verdana" w:cs="Arial"/>
                            <w:b/>
                            <w:bCs/>
                            <w:sz w:val="18"/>
                            <w:szCs w:val="18"/>
                          </w:rPr>
                          <w:t>9%</w:t>
                        </w:r>
                      </w:p>
                    </w:tc>
                    <w:tc>
                      <w:tcPr>
                        <w:tcW w:w="1134" w:type="dxa"/>
                        <w:tcBorders>
                          <w:top w:val="single" w:sz="4" w:space="0" w:color="auto"/>
                          <w:left w:val="single" w:sz="4" w:space="0" w:color="auto"/>
                          <w:bottom w:val="single" w:sz="4" w:space="0" w:color="auto"/>
                          <w:right w:val="single" w:sz="4" w:space="0" w:color="auto"/>
                        </w:tcBorders>
                      </w:tcPr>
                      <w:p w14:paraId="28D9CC67"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13</w:t>
                        </w:r>
                        <w:r>
                          <w:rPr>
                            <w:rFonts w:ascii="Verdana" w:eastAsia="Times New Roman" w:hAnsi="Verdana" w:cs="Arial"/>
                            <w:b/>
                            <w:bCs/>
                            <w:sz w:val="18"/>
                            <w:szCs w:val="18"/>
                          </w:rPr>
                          <w:t>,</w:t>
                        </w:r>
                        <w:r w:rsidRPr="00F604AE">
                          <w:rPr>
                            <w:rFonts w:ascii="Verdana" w:eastAsia="Times New Roman" w:hAnsi="Verdana" w:cs="Arial"/>
                            <w:b/>
                            <w:bCs/>
                            <w:sz w:val="18"/>
                            <w:szCs w:val="18"/>
                          </w:rPr>
                          <w:t>0%</w:t>
                        </w:r>
                      </w:p>
                    </w:tc>
                  </w:tr>
                  <w:tr w:rsidR="00F00B20" w:rsidRPr="00196394" w14:paraId="1FD873F2"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395A8BF4"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eastAsia="Times New Roman" w:hAnsi="Verdana" w:cs="Arial"/>
                            <w:bCs/>
                            <w:smallCaps/>
                            <w:sz w:val="18"/>
                            <w:szCs w:val="22"/>
                          </w:rPr>
                          <w:t>OTROS INGRESOS Y GASTOS</w:t>
                        </w:r>
                      </w:p>
                    </w:tc>
                    <w:tc>
                      <w:tcPr>
                        <w:tcW w:w="1134" w:type="dxa"/>
                        <w:tcBorders>
                          <w:top w:val="single" w:sz="4" w:space="0" w:color="auto"/>
                          <w:left w:val="single" w:sz="4" w:space="0" w:color="auto"/>
                          <w:bottom w:val="single" w:sz="4" w:space="0" w:color="auto"/>
                          <w:right w:val="single" w:sz="4" w:space="0" w:color="auto"/>
                        </w:tcBorders>
                      </w:tcPr>
                      <w:p w14:paraId="61B7D22D"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(920)</w:t>
                        </w:r>
                      </w:p>
                    </w:tc>
                    <w:tc>
                      <w:tcPr>
                        <w:tcW w:w="1134" w:type="dxa"/>
                        <w:tcBorders>
                          <w:top w:val="single" w:sz="4" w:space="0" w:color="auto"/>
                          <w:left w:val="single" w:sz="4" w:space="0" w:color="auto"/>
                          <w:bottom w:val="single" w:sz="4" w:space="0" w:color="auto"/>
                          <w:right w:val="single" w:sz="4" w:space="0" w:color="auto"/>
                        </w:tcBorders>
                      </w:tcPr>
                      <w:p w14:paraId="6406ED93"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D50973"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(189)</w:t>
                        </w:r>
                      </w:p>
                    </w:tc>
                  </w:tr>
                  <w:tr w:rsidR="00F00B20" w:rsidRPr="00196394" w14:paraId="0E3D0F07"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4DE4C56F" w14:textId="77777777" w:rsidR="00F00B20" w:rsidRPr="00511FA5" w:rsidRDefault="00F00B20" w:rsidP="00F00B20">
                        <w:pPr>
                          <w:tabs>
                            <w:tab w:val="left" w:pos="360"/>
                          </w:tabs>
                          <w:ind w:right="-227"/>
                          <w:rPr>
                            <w:rFonts w:ascii="Verdana" w:eastAsia="Times New Roman" w:hAnsi="Verdana" w:cs="Arial"/>
                            <w:smallCaps/>
                            <w:sz w:val="18"/>
                            <w:szCs w:val="22"/>
                          </w:rPr>
                        </w:pPr>
                        <w:r>
                          <w:rPr>
                            <w:rFonts w:ascii="Verdana" w:hAnsi="Verdana"/>
                            <w:smallCaps/>
                            <w:sz w:val="18"/>
                            <w:szCs w:val="22"/>
                          </w:rPr>
                          <w:t>RESULTADO OPERACIONAL</w:t>
                        </w:r>
                      </w:p>
                    </w:tc>
                    <w:tc>
                      <w:tcPr>
                        <w:tcW w:w="1134" w:type="dxa"/>
                        <w:tcBorders>
                          <w:top w:val="single" w:sz="4" w:space="0" w:color="auto"/>
                          <w:left w:val="single" w:sz="4" w:space="0" w:color="auto"/>
                          <w:bottom w:val="single" w:sz="4" w:space="0" w:color="auto"/>
                          <w:right w:val="single" w:sz="4" w:space="0" w:color="auto"/>
                        </w:tcBorders>
                      </w:tcPr>
                      <w:p w14:paraId="5C7707D8"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652</w:t>
                        </w:r>
                      </w:p>
                    </w:tc>
                    <w:tc>
                      <w:tcPr>
                        <w:tcW w:w="1134" w:type="dxa"/>
                        <w:tcBorders>
                          <w:top w:val="single" w:sz="4" w:space="0" w:color="auto"/>
                          <w:left w:val="single" w:sz="4" w:space="0" w:color="auto"/>
                          <w:bottom w:val="single" w:sz="4" w:space="0" w:color="auto"/>
                          <w:right w:val="single" w:sz="4" w:space="0" w:color="auto"/>
                        </w:tcBorders>
                      </w:tcPr>
                      <w:p w14:paraId="5D74BF1C"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3</w:t>
                        </w:r>
                        <w:r>
                          <w:rPr>
                            <w:rFonts w:ascii="Verdana" w:eastAsia="Times New Roman" w:hAnsi="Verdana" w:cs="Arial"/>
                            <w:b/>
                            <w:bCs/>
                            <w:sz w:val="18"/>
                            <w:szCs w:val="18"/>
                          </w:rPr>
                          <w:t>.</w:t>
                        </w:r>
                        <w:r w:rsidRPr="00F604AE">
                          <w:rPr>
                            <w:rFonts w:ascii="Verdana" w:eastAsia="Times New Roman" w:hAnsi="Verdana" w:cs="Arial"/>
                            <w:b/>
                            <w:bCs/>
                            <w:sz w:val="18"/>
                            <w:szCs w:val="18"/>
                          </w:rPr>
                          <w:t>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2D4869D"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777</w:t>
                        </w:r>
                      </w:p>
                    </w:tc>
                  </w:tr>
                  <w:tr w:rsidR="00F00B20" w:rsidRPr="00196394" w14:paraId="6FE17FEE"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577638C9"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hAnsi="Verdana"/>
                            <w:smallCaps/>
                            <w:sz w:val="18"/>
                            <w:szCs w:val="22"/>
                          </w:rPr>
                          <w:t>RESULTADO NETO</w:t>
                        </w:r>
                      </w:p>
                    </w:tc>
                    <w:tc>
                      <w:tcPr>
                        <w:tcW w:w="1134" w:type="dxa"/>
                        <w:tcBorders>
                          <w:top w:val="single" w:sz="4" w:space="0" w:color="auto"/>
                          <w:left w:val="single" w:sz="4" w:space="0" w:color="auto"/>
                          <w:bottom w:val="single" w:sz="4" w:space="0" w:color="auto"/>
                          <w:right w:val="single" w:sz="4" w:space="0" w:color="auto"/>
                        </w:tcBorders>
                      </w:tcPr>
                      <w:p w14:paraId="6D6D6E87"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w:t>
                        </w:r>
                        <w:r>
                          <w:rPr>
                            <w:rFonts w:ascii="Verdana" w:eastAsia="Times New Roman" w:hAnsi="Verdana" w:cs="Arial"/>
                            <w:b/>
                            <w:bCs/>
                            <w:sz w:val="18"/>
                            <w:szCs w:val="18"/>
                          </w:rPr>
                          <w:t>.</w:t>
                        </w:r>
                        <w:r w:rsidRPr="00F604AE">
                          <w:rPr>
                            <w:rFonts w:ascii="Verdana" w:eastAsia="Times New Roman" w:hAnsi="Verdana" w:cs="Arial"/>
                            <w:b/>
                            <w:bCs/>
                            <w:sz w:val="18"/>
                            <w:szCs w:val="18"/>
                          </w:rPr>
                          <w:t>983</w:t>
                        </w:r>
                      </w:p>
                    </w:tc>
                    <w:tc>
                      <w:tcPr>
                        <w:tcW w:w="1134" w:type="dxa"/>
                        <w:tcBorders>
                          <w:top w:val="single" w:sz="4" w:space="0" w:color="auto"/>
                          <w:left w:val="single" w:sz="4" w:space="0" w:color="auto"/>
                          <w:bottom w:val="single" w:sz="4" w:space="0" w:color="auto"/>
                          <w:right w:val="single" w:sz="4" w:space="0" w:color="auto"/>
                        </w:tcBorders>
                      </w:tcPr>
                      <w:p w14:paraId="1A362662"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009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A6B4276"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w:t>
                        </w:r>
                        <w:r>
                          <w:rPr>
                            <w:rFonts w:ascii="Verdana" w:eastAsia="Times New Roman" w:hAnsi="Verdana" w:cs="Arial"/>
                            <w:b/>
                            <w:bCs/>
                            <w:sz w:val="18"/>
                            <w:szCs w:val="18"/>
                          </w:rPr>
                          <w:t>.</w:t>
                        </w:r>
                        <w:r w:rsidRPr="00F604AE">
                          <w:rPr>
                            <w:rFonts w:ascii="Verdana" w:eastAsia="Times New Roman" w:hAnsi="Verdana" w:cs="Arial"/>
                            <w:b/>
                            <w:bCs/>
                            <w:sz w:val="18"/>
                            <w:szCs w:val="18"/>
                          </w:rPr>
                          <w:t>845</w:t>
                        </w:r>
                      </w:p>
                    </w:tc>
                  </w:tr>
                  <w:tr w:rsidR="00F00B20" w:rsidRPr="00196394" w14:paraId="65A9874F"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38F5D036"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hAnsi="Verdana"/>
                            <w:smallCaps/>
                            <w:sz w:val="18"/>
                            <w:szCs w:val="22"/>
                          </w:rPr>
                          <w:t>RESULTADO NETO POR ACCIÓN</w:t>
                        </w:r>
                        <w:r w:rsidRPr="008956C0">
                          <w:rPr>
                            <w:rFonts w:ascii="Verdana" w:hAnsi="Verdana"/>
                            <w:sz w:val="18"/>
                            <w:szCs w:val="22"/>
                            <w:vertAlign w:val="superscript"/>
                          </w:rPr>
                          <w:t>1</w:t>
                        </w:r>
                      </w:p>
                    </w:tc>
                    <w:tc>
                      <w:tcPr>
                        <w:tcW w:w="1134" w:type="dxa"/>
                        <w:tcBorders>
                          <w:top w:val="single" w:sz="4" w:space="0" w:color="auto"/>
                          <w:left w:val="single" w:sz="4" w:space="0" w:color="auto"/>
                          <w:bottom w:val="single" w:sz="4" w:space="0" w:color="auto"/>
                          <w:right w:val="single" w:sz="4" w:space="0" w:color="auto"/>
                        </w:tcBorders>
                      </w:tcPr>
                      <w:p w14:paraId="4941801B"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77</w:t>
                        </w:r>
                      </w:p>
                    </w:tc>
                    <w:tc>
                      <w:tcPr>
                        <w:tcW w:w="1134" w:type="dxa"/>
                        <w:tcBorders>
                          <w:top w:val="single" w:sz="4" w:space="0" w:color="auto"/>
                          <w:left w:val="single" w:sz="4" w:space="0" w:color="auto"/>
                          <w:bottom w:val="single" w:sz="4" w:space="0" w:color="auto"/>
                          <w:right w:val="single" w:sz="4" w:space="0" w:color="auto"/>
                        </w:tcBorders>
                      </w:tcPr>
                      <w:p w14:paraId="70DC7980"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52E20B4"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58</w:t>
                        </w:r>
                      </w:p>
                    </w:tc>
                  </w:tr>
                  <w:tr w:rsidR="00F00B20" w:rsidRPr="00196394" w14:paraId="0403018E"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33B8CD72"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hAnsi="Verdana"/>
                            <w:smallCaps/>
                            <w:sz w:val="18"/>
                            <w:szCs w:val="22"/>
                          </w:rPr>
                          <w:t>DIVIDENDO POR ACCIÓN</w:t>
                        </w:r>
                        <w:r w:rsidRPr="00511FA5">
                          <w:rPr>
                            <w:rStyle w:val="Refdenotaalpie"/>
                            <w:rFonts w:ascii="Verdana" w:hAnsi="Verdana"/>
                            <w:smallCaps/>
                            <w:sz w:val="18"/>
                            <w:szCs w:val="22"/>
                          </w:rPr>
                          <w:t>2</w:t>
                        </w:r>
                      </w:p>
                    </w:tc>
                    <w:tc>
                      <w:tcPr>
                        <w:tcW w:w="1134" w:type="dxa"/>
                        <w:tcBorders>
                          <w:top w:val="single" w:sz="4" w:space="0" w:color="auto"/>
                          <w:left w:val="single" w:sz="4" w:space="0" w:color="auto"/>
                          <w:bottom w:val="single" w:sz="4" w:space="0" w:color="auto"/>
                          <w:right w:val="single" w:sz="4" w:space="0" w:color="auto"/>
                        </w:tcBorders>
                      </w:tcPr>
                      <w:p w14:paraId="53AE6FE5" w14:textId="77777777" w:rsidR="00F00B20" w:rsidRPr="00F604AE" w:rsidRDefault="00F00B20" w:rsidP="00F00B20">
                        <w:pPr>
                          <w:tabs>
                            <w:tab w:val="left" w:pos="360"/>
                          </w:tabs>
                          <w:jc w:val="right"/>
                          <w:rPr>
                            <w:rFonts w:ascii="Verdana" w:eastAsia="Times New Roman" w:hAnsi="Verdana" w:cs="Arial"/>
                            <w:b/>
                            <w:bCs/>
                            <w:sz w:val="18"/>
                            <w:szCs w:val="18"/>
                          </w:rPr>
                        </w:pPr>
                        <w:r w:rsidRPr="008D7C8B">
                          <w:rPr>
                            <w:rFonts w:ascii="Verdana" w:eastAsia="Times New Roman" w:hAnsi="Verdana" w:cs="Arial"/>
                            <w:b/>
                            <w:bCs/>
                            <w:sz w:val="18"/>
                            <w:szCs w:val="18"/>
                          </w:rPr>
                          <w:t>€1</w:t>
                        </w:r>
                        <w:r>
                          <w:rPr>
                            <w:rFonts w:ascii="Verdana" w:eastAsia="Times New Roman" w:hAnsi="Verdana" w:cs="Arial"/>
                            <w:b/>
                            <w:bCs/>
                            <w:sz w:val="18"/>
                            <w:szCs w:val="18"/>
                          </w:rPr>
                          <w:t>,</w:t>
                        </w:r>
                        <w:r w:rsidRPr="008D7C8B">
                          <w:rPr>
                            <w:rFonts w:ascii="Verdana" w:eastAsia="Times New Roman" w:hAnsi="Verdana" w:cs="Arial"/>
                            <w:b/>
                            <w:bCs/>
                            <w:sz w:val="18"/>
                            <w:szCs w:val="18"/>
                          </w:rPr>
                          <w:t>35</w:t>
                        </w:r>
                      </w:p>
                    </w:tc>
                    <w:tc>
                      <w:tcPr>
                        <w:tcW w:w="1134" w:type="dxa"/>
                        <w:tcBorders>
                          <w:top w:val="single" w:sz="4" w:space="0" w:color="auto"/>
                          <w:left w:val="single" w:sz="4" w:space="0" w:color="auto"/>
                          <w:bottom w:val="single" w:sz="4" w:space="0" w:color="auto"/>
                          <w:right w:val="single" w:sz="4" w:space="0" w:color="auto"/>
                        </w:tcBorders>
                      </w:tcPr>
                      <w:p w14:paraId="66078A18"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w:t>
                        </w:r>
                        <w:r>
                          <w:rPr>
                            <w:rFonts w:ascii="Verdana" w:eastAsia="Times New Roman" w:hAnsi="Verdana" w:cs="Arial"/>
                            <w:b/>
                            <w:bCs/>
                            <w:sz w:val="18"/>
                            <w:szCs w:val="18"/>
                          </w:rPr>
                          <w:t>,</w:t>
                        </w:r>
                        <w:r w:rsidRPr="00F604AE">
                          <w:rPr>
                            <w:rFonts w:ascii="Verdana" w:eastAsia="Times New Roman" w:hAnsi="Verdana" w:cs="Arial"/>
                            <w:b/>
                            <w:bCs/>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4995C2"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w:t>
                        </w:r>
                        <w:r>
                          <w:rPr>
                            <w:rFonts w:ascii="Verdana" w:eastAsia="Times New Roman" w:hAnsi="Verdana" w:cs="Arial"/>
                            <w:b/>
                            <w:bCs/>
                            <w:sz w:val="18"/>
                            <w:szCs w:val="18"/>
                          </w:rPr>
                          <w:t>,</w:t>
                        </w:r>
                        <w:r w:rsidRPr="00F604AE">
                          <w:rPr>
                            <w:rFonts w:ascii="Verdana" w:eastAsia="Times New Roman" w:hAnsi="Verdana" w:cs="Arial"/>
                            <w:b/>
                            <w:bCs/>
                            <w:sz w:val="18"/>
                            <w:szCs w:val="18"/>
                          </w:rPr>
                          <w:t>125</w:t>
                        </w:r>
                      </w:p>
                    </w:tc>
                  </w:tr>
                  <w:tr w:rsidR="00F00B20" w:rsidRPr="00196394" w14:paraId="0CC034FB"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025F6268" w14:textId="77777777" w:rsidR="00F00B20" w:rsidRPr="00511FA5" w:rsidRDefault="00F00B20" w:rsidP="00F00B20">
                        <w:pPr>
                          <w:tabs>
                            <w:tab w:val="left" w:pos="360"/>
                          </w:tabs>
                          <w:ind w:right="-227"/>
                          <w:rPr>
                            <w:rFonts w:ascii="Verdana" w:eastAsia="Times New Roman" w:hAnsi="Verdana" w:cs="Arial"/>
                            <w:bCs/>
                            <w:smallCaps/>
                            <w:sz w:val="18"/>
                            <w:szCs w:val="22"/>
                          </w:rPr>
                        </w:pPr>
                        <w:r w:rsidRPr="00511FA5">
                          <w:rPr>
                            <w:rFonts w:ascii="Verdana" w:hAnsi="Verdana"/>
                            <w:smallCaps/>
                            <w:sz w:val="18"/>
                            <w:szCs w:val="22"/>
                          </w:rPr>
                          <w:t>EBITDA</w:t>
                        </w:r>
                        <w:r>
                          <w:rPr>
                            <w:rFonts w:ascii="Verdana" w:hAnsi="Verdana"/>
                            <w:smallCaps/>
                            <w:sz w:val="18"/>
                            <w:szCs w:val="22"/>
                          </w:rPr>
                          <w:t xml:space="preserve"> DE LOS SECTORES</w:t>
                        </w:r>
                      </w:p>
                    </w:tc>
                    <w:tc>
                      <w:tcPr>
                        <w:tcW w:w="1134" w:type="dxa"/>
                        <w:tcBorders>
                          <w:top w:val="single" w:sz="4" w:space="0" w:color="auto"/>
                          <w:left w:val="single" w:sz="4" w:space="0" w:color="auto"/>
                          <w:bottom w:val="single" w:sz="4" w:space="0" w:color="auto"/>
                          <w:right w:val="single" w:sz="4" w:space="0" w:color="auto"/>
                        </w:tcBorders>
                      </w:tcPr>
                      <w:p w14:paraId="204EDDA4"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5</w:t>
                        </w:r>
                        <w:r>
                          <w:rPr>
                            <w:rFonts w:ascii="Verdana" w:eastAsia="Times New Roman" w:hAnsi="Verdana" w:cs="Arial"/>
                            <w:b/>
                            <w:bCs/>
                            <w:sz w:val="18"/>
                            <w:szCs w:val="18"/>
                          </w:rPr>
                          <w:t>.</w:t>
                        </w:r>
                        <w:r w:rsidRPr="00F604AE">
                          <w:rPr>
                            <w:rFonts w:ascii="Verdana" w:eastAsia="Times New Roman" w:hAnsi="Verdana" w:cs="Arial"/>
                            <w:b/>
                            <w:bCs/>
                            <w:sz w:val="18"/>
                            <w:szCs w:val="18"/>
                          </w:rPr>
                          <w:t>489</w:t>
                        </w:r>
                      </w:p>
                    </w:tc>
                    <w:tc>
                      <w:tcPr>
                        <w:tcW w:w="1134" w:type="dxa"/>
                        <w:tcBorders>
                          <w:top w:val="single" w:sz="4" w:space="0" w:color="auto"/>
                          <w:left w:val="single" w:sz="4" w:space="0" w:color="auto"/>
                          <w:bottom w:val="single" w:sz="4" w:space="0" w:color="auto"/>
                          <w:right w:val="single" w:sz="4" w:space="0" w:color="auto"/>
                        </w:tcBorders>
                      </w:tcPr>
                      <w:p w14:paraId="0C99965B"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5</w:t>
                        </w:r>
                        <w:r>
                          <w:rPr>
                            <w:rFonts w:ascii="Verdana" w:eastAsia="Times New Roman" w:hAnsi="Verdana" w:cs="Arial"/>
                            <w:b/>
                            <w:bCs/>
                            <w:sz w:val="18"/>
                            <w:szCs w:val="18"/>
                          </w:rPr>
                          <w:t>.</w:t>
                        </w:r>
                        <w:r w:rsidRPr="00F604AE">
                          <w:rPr>
                            <w:rFonts w:ascii="Verdana" w:eastAsia="Times New Roman" w:hAnsi="Verdana" w:cs="Arial"/>
                            <w:b/>
                            <w:bCs/>
                            <w:sz w:val="18"/>
                            <w:szCs w:val="18"/>
                          </w:rPr>
                          <w:t>262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29C6E5"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4</w:t>
                        </w:r>
                        <w:r>
                          <w:rPr>
                            <w:rFonts w:ascii="Verdana" w:eastAsia="Times New Roman" w:hAnsi="Verdana" w:cs="Arial"/>
                            <w:b/>
                            <w:bCs/>
                            <w:sz w:val="18"/>
                            <w:szCs w:val="18"/>
                          </w:rPr>
                          <w:t>.</w:t>
                        </w:r>
                        <w:r w:rsidRPr="00F604AE">
                          <w:rPr>
                            <w:rFonts w:ascii="Verdana" w:eastAsia="Times New Roman" w:hAnsi="Verdana" w:cs="Arial"/>
                            <w:b/>
                            <w:bCs/>
                            <w:sz w:val="18"/>
                            <w:szCs w:val="18"/>
                          </w:rPr>
                          <w:t>700</w:t>
                        </w:r>
                      </w:p>
                    </w:tc>
                  </w:tr>
                  <w:tr w:rsidR="00F00B20" w:rsidRPr="00196394" w14:paraId="46047D83"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44BD4957"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hAnsi="Verdana"/>
                            <w:smallCaps/>
                            <w:sz w:val="18"/>
                            <w:szCs w:val="22"/>
                          </w:rPr>
                          <w:t>INVERSIONES (SIN ADQUISICIONES)</w:t>
                        </w:r>
                      </w:p>
                    </w:tc>
                    <w:tc>
                      <w:tcPr>
                        <w:tcW w:w="1134" w:type="dxa"/>
                        <w:tcBorders>
                          <w:top w:val="single" w:sz="4" w:space="0" w:color="auto"/>
                          <w:left w:val="single" w:sz="4" w:space="0" w:color="auto"/>
                          <w:bottom w:val="single" w:sz="4" w:space="0" w:color="auto"/>
                          <w:right w:val="single" w:sz="4" w:space="0" w:color="auto"/>
                        </w:tcBorders>
                      </w:tcPr>
                      <w:p w14:paraId="2CB36560"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236</w:t>
                        </w:r>
                      </w:p>
                    </w:tc>
                    <w:tc>
                      <w:tcPr>
                        <w:tcW w:w="1134" w:type="dxa"/>
                        <w:tcBorders>
                          <w:top w:val="single" w:sz="4" w:space="0" w:color="auto"/>
                          <w:left w:val="single" w:sz="4" w:space="0" w:color="auto"/>
                          <w:bottom w:val="single" w:sz="4" w:space="0" w:color="auto"/>
                          <w:right w:val="single" w:sz="4" w:space="0" w:color="auto"/>
                        </w:tcBorders>
                      </w:tcPr>
                      <w:p w14:paraId="7944D463"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141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C2DD"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w:t>
                        </w:r>
                        <w:r>
                          <w:rPr>
                            <w:rFonts w:ascii="Verdana" w:eastAsia="Times New Roman" w:hAnsi="Verdana" w:cs="Arial"/>
                            <w:b/>
                            <w:bCs/>
                            <w:sz w:val="18"/>
                            <w:szCs w:val="18"/>
                          </w:rPr>
                          <w:t>.</w:t>
                        </w:r>
                        <w:r w:rsidRPr="00F604AE">
                          <w:rPr>
                            <w:rFonts w:ascii="Verdana" w:eastAsia="Times New Roman" w:hAnsi="Verdana" w:cs="Arial"/>
                            <w:b/>
                            <w:bCs/>
                            <w:sz w:val="18"/>
                            <w:szCs w:val="18"/>
                          </w:rPr>
                          <w:t>705</w:t>
                        </w:r>
                      </w:p>
                    </w:tc>
                  </w:tr>
                  <w:tr w:rsidR="00F00B20" w:rsidRPr="00196394" w14:paraId="21C0D669"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354FF3A4"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eastAsia="Times New Roman" w:hAnsi="Verdana" w:cs="Arial"/>
                            <w:bCs/>
                            <w:smallCaps/>
                            <w:sz w:val="18"/>
                            <w:szCs w:val="22"/>
                          </w:rPr>
                          <w:t>ENDEUDAMIENTO NETO</w:t>
                        </w:r>
                      </w:p>
                    </w:tc>
                    <w:tc>
                      <w:tcPr>
                        <w:tcW w:w="1134" w:type="dxa"/>
                        <w:tcBorders>
                          <w:top w:val="single" w:sz="4" w:space="0" w:color="auto"/>
                          <w:left w:val="single" w:sz="4" w:space="0" w:color="auto"/>
                          <w:bottom w:val="single" w:sz="4" w:space="0" w:color="auto"/>
                          <w:right w:val="single" w:sz="4" w:space="0" w:color="auto"/>
                        </w:tcBorders>
                      </w:tcPr>
                      <w:p w14:paraId="5742A761"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3</w:t>
                        </w:r>
                        <w:r>
                          <w:rPr>
                            <w:rFonts w:ascii="Verdana" w:eastAsia="Times New Roman" w:hAnsi="Verdana" w:cs="Arial"/>
                            <w:b/>
                            <w:bCs/>
                            <w:sz w:val="18"/>
                            <w:szCs w:val="18"/>
                          </w:rPr>
                          <w:t>.</w:t>
                        </w:r>
                        <w:r w:rsidRPr="00F604AE">
                          <w:rPr>
                            <w:rFonts w:ascii="Verdana" w:eastAsia="Times New Roman" w:hAnsi="Verdana" w:cs="Arial"/>
                            <w:b/>
                            <w:bCs/>
                            <w:sz w:val="18"/>
                            <w:szCs w:val="18"/>
                          </w:rPr>
                          <w:t>281</w:t>
                        </w:r>
                      </w:p>
                    </w:tc>
                    <w:tc>
                      <w:tcPr>
                        <w:tcW w:w="1134" w:type="dxa"/>
                        <w:tcBorders>
                          <w:top w:val="single" w:sz="4" w:space="0" w:color="auto"/>
                          <w:left w:val="single" w:sz="4" w:space="0" w:color="auto"/>
                          <w:bottom w:val="single" w:sz="4" w:space="0" w:color="auto"/>
                          <w:right w:val="single" w:sz="4" w:space="0" w:color="auto"/>
                        </w:tcBorders>
                      </w:tcPr>
                      <w:p w14:paraId="331C150C"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4</w:t>
                        </w:r>
                        <w:r>
                          <w:rPr>
                            <w:rFonts w:ascii="Verdana" w:eastAsia="Times New Roman" w:hAnsi="Verdana" w:cs="Arial"/>
                            <w:b/>
                            <w:bCs/>
                            <w:sz w:val="18"/>
                            <w:szCs w:val="18"/>
                          </w:rPr>
                          <w:t>.</w:t>
                        </w:r>
                        <w:r w:rsidRPr="00F604AE">
                          <w:rPr>
                            <w:rFonts w:ascii="Verdana" w:eastAsia="Times New Roman" w:hAnsi="Verdana" w:cs="Arial"/>
                            <w:b/>
                            <w:bCs/>
                            <w:sz w:val="18"/>
                            <w:szCs w:val="18"/>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7603AE9"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789</w:t>
                        </w:r>
                      </w:p>
                    </w:tc>
                  </w:tr>
                  <w:tr w:rsidR="00F00B20" w:rsidRPr="00196394" w14:paraId="364752E5"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7DEE44D8"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hAnsi="Verdana"/>
                            <w:smallCaps/>
                            <w:sz w:val="18"/>
                            <w:szCs w:val="22"/>
                          </w:rPr>
                          <w:t>PORCENTAJE DE ENDEUDAMIENTO NETO</w:t>
                        </w:r>
                      </w:p>
                    </w:tc>
                    <w:tc>
                      <w:tcPr>
                        <w:tcW w:w="1134" w:type="dxa"/>
                        <w:tcBorders>
                          <w:top w:val="single" w:sz="4" w:space="0" w:color="auto"/>
                          <w:left w:val="single" w:sz="4" w:space="0" w:color="auto"/>
                          <w:bottom w:val="single" w:sz="4" w:space="0" w:color="auto"/>
                          <w:right w:val="single" w:sz="4" w:space="0" w:color="auto"/>
                        </w:tcBorders>
                      </w:tcPr>
                      <w:p w14:paraId="38D41658"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18</w:t>
                        </w:r>
                        <w:r>
                          <w:rPr>
                            <w:rFonts w:ascii="Verdana" w:eastAsia="Times New Roman" w:hAnsi="Verdana" w:cs="Arial"/>
                            <w:b/>
                            <w:bCs/>
                            <w:sz w:val="18"/>
                            <w:szCs w:val="18"/>
                          </w:rPr>
                          <w:t>,</w:t>
                        </w:r>
                        <w:r w:rsidRPr="00F604AE">
                          <w:rPr>
                            <w:rFonts w:ascii="Verdana" w:eastAsia="Times New Roman" w:hAnsi="Verdana" w:cs="Arial"/>
                            <w:b/>
                            <w:bCs/>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3B69FBD2"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25</w:t>
                        </w:r>
                        <w:r>
                          <w:rPr>
                            <w:rFonts w:ascii="Verdana" w:eastAsia="Times New Roman" w:hAnsi="Verdana" w:cs="Arial"/>
                            <w:b/>
                            <w:bCs/>
                            <w:sz w:val="18"/>
                            <w:szCs w:val="18"/>
                          </w:rPr>
                          <w:t>,</w:t>
                        </w:r>
                        <w:r w:rsidRPr="00F604AE">
                          <w:rPr>
                            <w:rFonts w:ascii="Verdana" w:eastAsia="Times New Roman" w:hAnsi="Verdana" w:cs="Arial"/>
                            <w:b/>
                            <w:b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EE7690"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18</w:t>
                        </w:r>
                        <w:r>
                          <w:rPr>
                            <w:rFonts w:ascii="Verdana" w:eastAsia="Times New Roman" w:hAnsi="Verdana" w:cs="Arial"/>
                            <w:b/>
                            <w:bCs/>
                            <w:sz w:val="18"/>
                            <w:szCs w:val="18"/>
                          </w:rPr>
                          <w:t>,</w:t>
                        </w:r>
                        <w:r w:rsidRPr="00F604AE">
                          <w:rPr>
                            <w:rFonts w:ascii="Verdana" w:eastAsia="Times New Roman" w:hAnsi="Verdana" w:cs="Arial"/>
                            <w:b/>
                            <w:bCs/>
                            <w:sz w:val="18"/>
                            <w:szCs w:val="18"/>
                          </w:rPr>
                          <w:t>6%</w:t>
                        </w:r>
                      </w:p>
                    </w:tc>
                  </w:tr>
                  <w:tr w:rsidR="00F00B20" w:rsidRPr="00196394" w14:paraId="1D6355EF"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6943FA46"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hAnsi="Verdana"/>
                            <w:smallCaps/>
                            <w:sz w:val="18"/>
                            <w:szCs w:val="22"/>
                          </w:rPr>
                          <w:t>DEUDA SOCIAL</w:t>
                        </w:r>
                      </w:p>
                    </w:tc>
                    <w:tc>
                      <w:tcPr>
                        <w:tcW w:w="1134" w:type="dxa"/>
                        <w:tcBorders>
                          <w:top w:val="single" w:sz="4" w:space="0" w:color="auto"/>
                          <w:left w:val="single" w:sz="4" w:space="0" w:color="auto"/>
                          <w:bottom w:val="single" w:sz="4" w:space="0" w:color="auto"/>
                          <w:right w:val="single" w:sz="4" w:space="0" w:color="auto"/>
                        </w:tcBorders>
                      </w:tcPr>
                      <w:p w14:paraId="6FE53C86"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726</w:t>
                        </w:r>
                      </w:p>
                    </w:tc>
                    <w:tc>
                      <w:tcPr>
                        <w:tcW w:w="1134" w:type="dxa"/>
                        <w:tcBorders>
                          <w:top w:val="single" w:sz="4" w:space="0" w:color="auto"/>
                          <w:left w:val="single" w:sz="4" w:space="0" w:color="auto"/>
                          <w:bottom w:val="single" w:sz="4" w:space="0" w:color="auto"/>
                          <w:right w:val="single" w:sz="4" w:space="0" w:color="auto"/>
                        </w:tcBorders>
                      </w:tcPr>
                      <w:p w14:paraId="484FCC80"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561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653307"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3</w:t>
                        </w:r>
                        <w:r>
                          <w:rPr>
                            <w:rFonts w:ascii="Verdana" w:eastAsia="Times New Roman" w:hAnsi="Verdana" w:cs="Arial"/>
                            <w:b/>
                            <w:bCs/>
                            <w:sz w:val="18"/>
                            <w:szCs w:val="18"/>
                          </w:rPr>
                          <w:t>.</w:t>
                        </w:r>
                        <w:r w:rsidRPr="00F604AE">
                          <w:rPr>
                            <w:rFonts w:ascii="Verdana" w:eastAsia="Times New Roman" w:hAnsi="Verdana" w:cs="Arial"/>
                            <w:b/>
                            <w:bCs/>
                            <w:sz w:val="18"/>
                            <w:szCs w:val="18"/>
                          </w:rPr>
                          <w:t>362</w:t>
                        </w:r>
                      </w:p>
                    </w:tc>
                  </w:tr>
                  <w:tr w:rsidR="00F00B20" w:rsidRPr="00196394" w14:paraId="4C507A05"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06E462C2" w14:textId="77777777" w:rsidR="00F00B20" w:rsidRPr="00511FA5" w:rsidRDefault="00F00B20" w:rsidP="00F00B20">
                        <w:pPr>
                          <w:tabs>
                            <w:tab w:val="left" w:pos="360"/>
                          </w:tabs>
                          <w:ind w:right="-227"/>
                          <w:rPr>
                            <w:rFonts w:ascii="Verdana" w:eastAsia="Times New Roman" w:hAnsi="Verdana" w:cs="Arial"/>
                            <w:bCs/>
                            <w:smallCaps/>
                            <w:sz w:val="18"/>
                            <w:szCs w:val="22"/>
                          </w:rPr>
                        </w:pPr>
                        <w:r w:rsidRPr="00511FA5">
                          <w:rPr>
                            <w:rFonts w:ascii="Verdana" w:hAnsi="Verdana"/>
                            <w:smallCaps/>
                            <w:sz w:val="18"/>
                            <w:szCs w:val="22"/>
                          </w:rPr>
                          <w:t>CASH FLOW</w:t>
                        </w:r>
                        <w:r>
                          <w:rPr>
                            <w:rFonts w:ascii="Verdana" w:hAnsi="Verdana"/>
                            <w:smallCaps/>
                            <w:sz w:val="18"/>
                            <w:szCs w:val="22"/>
                          </w:rPr>
                          <w:t xml:space="preserve"> LIBRE</w:t>
                        </w:r>
                        <w:r w:rsidRPr="00511FA5">
                          <w:rPr>
                            <w:rFonts w:ascii="Verdana" w:hAnsi="Verdana"/>
                            <w:smallCaps/>
                            <w:sz w:val="18"/>
                            <w:szCs w:val="22"/>
                            <w:vertAlign w:val="superscript"/>
                          </w:rPr>
                          <w:t>3</w:t>
                        </w:r>
                      </w:p>
                    </w:tc>
                    <w:tc>
                      <w:tcPr>
                        <w:tcW w:w="1134" w:type="dxa"/>
                        <w:tcBorders>
                          <w:top w:val="single" w:sz="4" w:space="0" w:color="auto"/>
                          <w:left w:val="single" w:sz="4" w:space="0" w:color="auto"/>
                          <w:bottom w:val="single" w:sz="4" w:space="0" w:color="auto"/>
                          <w:right w:val="single" w:sz="4" w:space="0" w:color="auto"/>
                        </w:tcBorders>
                      </w:tcPr>
                      <w:p w14:paraId="02AD510C"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2</w:t>
                        </w:r>
                        <w:r>
                          <w:rPr>
                            <w:rFonts w:ascii="Verdana" w:eastAsia="Times New Roman" w:hAnsi="Verdana" w:cs="Arial"/>
                            <w:b/>
                            <w:bCs/>
                            <w:sz w:val="18"/>
                            <w:szCs w:val="18"/>
                          </w:rPr>
                          <w:t>.</w:t>
                        </w:r>
                        <w:r w:rsidRPr="00F604AE">
                          <w:rPr>
                            <w:rFonts w:ascii="Verdana" w:eastAsia="Times New Roman" w:hAnsi="Verdana" w:cs="Arial"/>
                            <w:b/>
                            <w:bCs/>
                            <w:sz w:val="18"/>
                            <w:szCs w:val="18"/>
                          </w:rPr>
                          <w:t>343</w:t>
                        </w:r>
                      </w:p>
                    </w:tc>
                    <w:tc>
                      <w:tcPr>
                        <w:tcW w:w="1134" w:type="dxa"/>
                        <w:tcBorders>
                          <w:top w:val="single" w:sz="4" w:space="0" w:color="auto"/>
                          <w:left w:val="single" w:sz="4" w:space="0" w:color="auto"/>
                          <w:bottom w:val="single" w:sz="4" w:space="0" w:color="auto"/>
                          <w:right w:val="single" w:sz="4" w:space="0" w:color="auto"/>
                        </w:tcBorders>
                      </w:tcPr>
                      <w:p w14:paraId="4E0ADF0C"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1BB737"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w:t>
                        </w:r>
                        <w:r>
                          <w:rPr>
                            <w:rFonts w:ascii="Verdana" w:eastAsia="Times New Roman" w:hAnsi="Verdana" w:cs="Arial"/>
                            <w:b/>
                            <w:bCs/>
                            <w:sz w:val="18"/>
                            <w:szCs w:val="18"/>
                          </w:rPr>
                          <w:t>.</w:t>
                        </w:r>
                        <w:r w:rsidRPr="00F604AE">
                          <w:rPr>
                            <w:rFonts w:ascii="Verdana" w:eastAsia="Times New Roman" w:hAnsi="Verdana" w:cs="Arial"/>
                            <w:b/>
                            <w:bCs/>
                            <w:sz w:val="18"/>
                            <w:szCs w:val="18"/>
                          </w:rPr>
                          <w:t>357</w:t>
                        </w:r>
                      </w:p>
                    </w:tc>
                  </w:tr>
                  <w:tr w:rsidR="00F00B20" w:rsidRPr="00196394" w14:paraId="30499763"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4665DEC5" w14:textId="77777777" w:rsidR="00F00B20" w:rsidRPr="00D82141" w:rsidRDefault="00F00B20" w:rsidP="00F00B20">
                        <w:pPr>
                          <w:tabs>
                            <w:tab w:val="left" w:pos="360"/>
                          </w:tabs>
                          <w:ind w:right="-227"/>
                          <w:rPr>
                            <w:rFonts w:ascii="Verdana" w:eastAsia="Times New Roman" w:hAnsi="Verdana" w:cs="Arial"/>
                            <w:bCs/>
                            <w:smallCaps/>
                            <w:sz w:val="18"/>
                            <w:szCs w:val="22"/>
                            <w:lang w:val="es-ES"/>
                          </w:rPr>
                        </w:pPr>
                        <w:r w:rsidRPr="00D82141">
                          <w:rPr>
                            <w:rFonts w:ascii="Verdana" w:hAnsi="Verdana"/>
                            <w:smallCaps/>
                            <w:sz w:val="18"/>
                            <w:szCs w:val="22"/>
                            <w:lang w:val="es-ES"/>
                          </w:rPr>
                          <w:t>CASH FLOW LIBRE ANTES DE ADQUISICIONES</w:t>
                        </w:r>
                      </w:p>
                    </w:tc>
                    <w:tc>
                      <w:tcPr>
                        <w:tcW w:w="1134" w:type="dxa"/>
                        <w:tcBorders>
                          <w:top w:val="single" w:sz="4" w:space="0" w:color="auto"/>
                          <w:left w:val="single" w:sz="4" w:space="0" w:color="auto"/>
                          <w:bottom w:val="single" w:sz="4" w:space="0" w:color="auto"/>
                          <w:right w:val="single" w:sz="4" w:space="0" w:color="auto"/>
                        </w:tcBorders>
                      </w:tcPr>
                      <w:p w14:paraId="4D1FF3F2"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3</w:t>
                        </w:r>
                        <w:r>
                          <w:rPr>
                            <w:rFonts w:ascii="Verdana" w:eastAsia="Times New Roman" w:hAnsi="Verdana" w:cs="Arial"/>
                            <w:b/>
                            <w:bCs/>
                            <w:sz w:val="18"/>
                            <w:szCs w:val="18"/>
                          </w:rPr>
                          <w:t>.</w:t>
                        </w:r>
                        <w:r w:rsidRPr="00F604AE">
                          <w:rPr>
                            <w:rFonts w:ascii="Verdana" w:eastAsia="Times New Roman" w:hAnsi="Verdana" w:cs="Arial"/>
                            <w:b/>
                            <w:bCs/>
                            <w:sz w:val="18"/>
                            <w:szCs w:val="18"/>
                          </w:rPr>
                          <w:t>009</w:t>
                        </w:r>
                      </w:p>
                    </w:tc>
                    <w:tc>
                      <w:tcPr>
                        <w:tcW w:w="1134" w:type="dxa"/>
                        <w:tcBorders>
                          <w:top w:val="single" w:sz="4" w:space="0" w:color="auto"/>
                          <w:left w:val="single" w:sz="4" w:space="0" w:color="auto"/>
                          <w:bottom w:val="single" w:sz="4" w:space="0" w:color="auto"/>
                          <w:right w:val="single" w:sz="4" w:space="0" w:color="auto"/>
                        </w:tcBorders>
                      </w:tcPr>
                      <w:p w14:paraId="5DDE7696"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783302"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w:t>
                        </w:r>
                        <w:r>
                          <w:rPr>
                            <w:rFonts w:ascii="Verdana" w:eastAsia="Times New Roman" w:hAnsi="Verdana" w:cs="Arial"/>
                            <w:b/>
                            <w:bCs/>
                            <w:sz w:val="18"/>
                            <w:szCs w:val="18"/>
                          </w:rPr>
                          <w:t>.</w:t>
                        </w:r>
                        <w:r w:rsidRPr="00F604AE">
                          <w:rPr>
                            <w:rFonts w:ascii="Verdana" w:eastAsia="Times New Roman" w:hAnsi="Verdana" w:cs="Arial"/>
                            <w:b/>
                            <w:bCs/>
                            <w:sz w:val="18"/>
                            <w:szCs w:val="18"/>
                          </w:rPr>
                          <w:t>464</w:t>
                        </w:r>
                      </w:p>
                    </w:tc>
                  </w:tr>
                  <w:tr w:rsidR="00F00B20" w:rsidRPr="00196394" w14:paraId="4058C3F0"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12418BA2" w14:textId="77777777" w:rsidR="00F00B20" w:rsidRPr="00511FA5" w:rsidRDefault="00F00B20" w:rsidP="00F00B20">
                        <w:pPr>
                          <w:tabs>
                            <w:tab w:val="left" w:pos="360"/>
                          </w:tabs>
                          <w:ind w:right="-227"/>
                          <w:rPr>
                            <w:rFonts w:ascii="Verdana" w:eastAsia="Times New Roman" w:hAnsi="Verdana" w:cs="Arial"/>
                            <w:smallCaps/>
                            <w:sz w:val="18"/>
                            <w:szCs w:val="22"/>
                          </w:rPr>
                        </w:pPr>
                        <w:r w:rsidRPr="00511FA5">
                          <w:rPr>
                            <w:rFonts w:ascii="Verdana" w:hAnsi="Verdana"/>
                            <w:smallCaps/>
                            <w:sz w:val="18"/>
                            <w:szCs w:val="22"/>
                          </w:rPr>
                          <w:t>ROCE</w:t>
                        </w:r>
                        <w:r w:rsidRPr="00511FA5">
                          <w:rPr>
                            <w:rFonts w:ascii="Verdana" w:hAnsi="Verdana"/>
                            <w:smallCaps/>
                            <w:sz w:val="18"/>
                            <w:szCs w:val="22"/>
                            <w:vertAlign w:val="superscript"/>
                          </w:rPr>
                          <w:t>4</w:t>
                        </w:r>
                      </w:p>
                    </w:tc>
                    <w:tc>
                      <w:tcPr>
                        <w:tcW w:w="1134" w:type="dxa"/>
                        <w:tcBorders>
                          <w:top w:val="single" w:sz="4" w:space="0" w:color="auto"/>
                          <w:left w:val="single" w:sz="4" w:space="0" w:color="auto"/>
                          <w:bottom w:val="single" w:sz="4" w:space="0" w:color="auto"/>
                          <w:right w:val="single" w:sz="4" w:space="0" w:color="auto"/>
                        </w:tcBorders>
                      </w:tcPr>
                      <w:p w14:paraId="77967115"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11</w:t>
                        </w:r>
                        <w:r>
                          <w:rPr>
                            <w:rFonts w:ascii="Verdana" w:eastAsia="Times New Roman" w:hAnsi="Verdana" w:cs="Arial"/>
                            <w:b/>
                            <w:bCs/>
                            <w:sz w:val="18"/>
                            <w:szCs w:val="18"/>
                          </w:rPr>
                          <w:t>,</w:t>
                        </w:r>
                        <w:r w:rsidRPr="00F604AE">
                          <w:rPr>
                            <w:rFonts w:ascii="Verdana" w:eastAsia="Times New Roman" w:hAnsi="Verdana" w:cs="Arial"/>
                            <w:b/>
                            <w:bCs/>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617D2B69"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10</w:t>
                        </w:r>
                        <w:r>
                          <w:rPr>
                            <w:rFonts w:ascii="Verdana" w:eastAsia="Times New Roman" w:hAnsi="Verdana" w:cs="Arial"/>
                            <w:b/>
                            <w:bCs/>
                            <w:sz w:val="18"/>
                            <w:szCs w:val="18"/>
                          </w:rPr>
                          <w:t>,</w:t>
                        </w:r>
                        <w:r w:rsidRPr="00F604AE">
                          <w:rPr>
                            <w:rFonts w:ascii="Verdana" w:eastAsia="Times New Roman" w:hAnsi="Verdana" w:cs="Arial"/>
                            <w:b/>
                            <w:bCs/>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F753DB"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10</w:t>
                        </w:r>
                        <w:r>
                          <w:rPr>
                            <w:rFonts w:ascii="Verdana" w:eastAsia="Times New Roman" w:hAnsi="Verdana" w:cs="Arial"/>
                            <w:b/>
                            <w:bCs/>
                            <w:sz w:val="18"/>
                            <w:szCs w:val="18"/>
                          </w:rPr>
                          <w:t>,</w:t>
                        </w:r>
                        <w:r w:rsidRPr="00F604AE">
                          <w:rPr>
                            <w:rFonts w:ascii="Verdana" w:eastAsia="Times New Roman" w:hAnsi="Verdana" w:cs="Arial"/>
                            <w:b/>
                            <w:bCs/>
                            <w:sz w:val="18"/>
                            <w:szCs w:val="18"/>
                          </w:rPr>
                          <w:t>3%</w:t>
                        </w:r>
                      </w:p>
                    </w:tc>
                  </w:tr>
                  <w:tr w:rsidR="00F00B20" w:rsidRPr="00196394" w14:paraId="7C55347D" w14:textId="77777777" w:rsidTr="00F00B20">
                    <w:trPr>
                      <w:trHeight w:val="326"/>
                    </w:trPr>
                    <w:tc>
                      <w:tcPr>
                        <w:tcW w:w="5665" w:type="dxa"/>
                        <w:tcBorders>
                          <w:top w:val="single" w:sz="4" w:space="0" w:color="auto"/>
                          <w:left w:val="single" w:sz="4" w:space="0" w:color="auto"/>
                          <w:bottom w:val="single" w:sz="4" w:space="0" w:color="auto"/>
                          <w:right w:val="single" w:sz="4" w:space="0" w:color="auto"/>
                        </w:tcBorders>
                        <w:vAlign w:val="center"/>
                      </w:tcPr>
                      <w:p w14:paraId="28619DB0" w14:textId="77777777" w:rsidR="00F00B20" w:rsidRPr="00511FA5" w:rsidRDefault="00F00B20" w:rsidP="00F00B20">
                        <w:pPr>
                          <w:tabs>
                            <w:tab w:val="left" w:pos="360"/>
                          </w:tabs>
                          <w:ind w:right="-227"/>
                          <w:rPr>
                            <w:rFonts w:ascii="Verdana" w:eastAsia="Times New Roman" w:hAnsi="Verdana" w:cs="Arial"/>
                            <w:bCs/>
                            <w:smallCaps/>
                            <w:sz w:val="18"/>
                            <w:szCs w:val="22"/>
                          </w:rPr>
                        </w:pPr>
                        <w:r>
                          <w:rPr>
                            <w:rFonts w:ascii="Verdana" w:hAnsi="Verdana"/>
                            <w:smallCaps/>
                            <w:sz w:val="18"/>
                            <w:szCs w:val="22"/>
                          </w:rPr>
                          <w:t>EFECTIVOS INSCRITOS</w:t>
                        </w:r>
                        <w:r w:rsidRPr="00511FA5">
                          <w:rPr>
                            <w:rFonts w:ascii="Verdana" w:hAnsi="Verdana"/>
                            <w:smallCaps/>
                            <w:sz w:val="18"/>
                            <w:szCs w:val="22"/>
                            <w:vertAlign w:val="superscript"/>
                          </w:rPr>
                          <w:t>5</w:t>
                        </w:r>
                      </w:p>
                    </w:tc>
                    <w:tc>
                      <w:tcPr>
                        <w:tcW w:w="1134" w:type="dxa"/>
                        <w:tcBorders>
                          <w:top w:val="single" w:sz="4" w:space="0" w:color="auto"/>
                          <w:left w:val="single" w:sz="4" w:space="0" w:color="auto"/>
                          <w:bottom w:val="single" w:sz="4" w:space="0" w:color="auto"/>
                          <w:right w:val="single" w:sz="4" w:space="0" w:color="auto"/>
                        </w:tcBorders>
                      </w:tcPr>
                      <w:p w14:paraId="43EB3810"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132</w:t>
                        </w:r>
                        <w:r>
                          <w:rPr>
                            <w:rFonts w:ascii="Verdana" w:eastAsia="Times New Roman" w:hAnsi="Verdana" w:cs="Arial"/>
                            <w:b/>
                            <w:bCs/>
                            <w:sz w:val="18"/>
                            <w:szCs w:val="18"/>
                          </w:rPr>
                          <w:t>.</w:t>
                        </w:r>
                        <w:r w:rsidRPr="00F604AE">
                          <w:rPr>
                            <w:rFonts w:ascii="Verdana" w:eastAsia="Times New Roman" w:hAnsi="Verdana" w:cs="Arial"/>
                            <w:b/>
                            <w:bCs/>
                            <w:sz w:val="18"/>
                            <w:szCs w:val="18"/>
                          </w:rPr>
                          <w:t>500</w:t>
                        </w:r>
                      </w:p>
                    </w:tc>
                    <w:tc>
                      <w:tcPr>
                        <w:tcW w:w="1134" w:type="dxa"/>
                        <w:tcBorders>
                          <w:top w:val="single" w:sz="4" w:space="0" w:color="auto"/>
                          <w:left w:val="single" w:sz="4" w:space="0" w:color="auto"/>
                          <w:bottom w:val="single" w:sz="4" w:space="0" w:color="auto"/>
                          <w:right w:val="single" w:sz="4" w:space="0" w:color="auto"/>
                        </w:tcBorders>
                      </w:tcPr>
                      <w:p w14:paraId="31D29076"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132</w:t>
                        </w:r>
                        <w:r>
                          <w:rPr>
                            <w:rFonts w:ascii="Verdana" w:eastAsia="Times New Roman" w:hAnsi="Verdana" w:cs="Arial"/>
                            <w:b/>
                            <w:bCs/>
                            <w:sz w:val="18"/>
                            <w:szCs w:val="18"/>
                          </w:rPr>
                          <w:t>.</w:t>
                        </w:r>
                        <w:r w:rsidRPr="00F604AE">
                          <w:rPr>
                            <w:rFonts w:ascii="Verdana" w:eastAsia="Times New Roman" w:hAnsi="Verdana" w:cs="Arial"/>
                            <w:b/>
                            <w:bCs/>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FCBFC1" w14:textId="77777777" w:rsidR="00F00B20" w:rsidRPr="00F604AE" w:rsidRDefault="00F00B20" w:rsidP="00F00B20">
                        <w:pPr>
                          <w:tabs>
                            <w:tab w:val="left" w:pos="360"/>
                          </w:tabs>
                          <w:jc w:val="right"/>
                          <w:rPr>
                            <w:rFonts w:ascii="Verdana" w:eastAsia="Times New Roman" w:hAnsi="Verdana" w:cs="Arial"/>
                            <w:b/>
                            <w:bCs/>
                            <w:sz w:val="18"/>
                            <w:szCs w:val="18"/>
                          </w:rPr>
                        </w:pPr>
                        <w:r w:rsidRPr="00F604AE">
                          <w:rPr>
                            <w:rFonts w:ascii="Verdana" w:eastAsia="Times New Roman" w:hAnsi="Verdana" w:cs="Arial"/>
                            <w:b/>
                            <w:bCs/>
                            <w:sz w:val="18"/>
                            <w:szCs w:val="18"/>
                          </w:rPr>
                          <w:t>124</w:t>
                        </w:r>
                        <w:r>
                          <w:rPr>
                            <w:rFonts w:ascii="Verdana" w:eastAsia="Times New Roman" w:hAnsi="Verdana" w:cs="Arial"/>
                            <w:b/>
                            <w:bCs/>
                            <w:sz w:val="18"/>
                            <w:szCs w:val="18"/>
                          </w:rPr>
                          <w:t>.</w:t>
                        </w:r>
                        <w:r w:rsidRPr="00F604AE">
                          <w:rPr>
                            <w:rFonts w:ascii="Verdana" w:eastAsia="Times New Roman" w:hAnsi="Verdana" w:cs="Arial"/>
                            <w:b/>
                            <w:bCs/>
                            <w:sz w:val="18"/>
                            <w:szCs w:val="18"/>
                          </w:rPr>
                          <w:t>760</w:t>
                        </w:r>
                      </w:p>
                    </w:tc>
                  </w:tr>
                </w:tbl>
                <w:p w14:paraId="340EFE36" w14:textId="77777777" w:rsidR="00537F00" w:rsidRPr="00D82141" w:rsidRDefault="00537F00" w:rsidP="00537F00">
                  <w:pPr>
                    <w:tabs>
                      <w:tab w:val="left" w:pos="284"/>
                    </w:tabs>
                    <w:spacing w:before="240" w:after="60"/>
                    <w:ind w:left="-426" w:right="-22"/>
                    <w:jc w:val="both"/>
                    <w:rPr>
                      <w:rFonts w:ascii="Verdana" w:hAnsi="Verdana"/>
                      <w:sz w:val="18"/>
                      <w:szCs w:val="28"/>
                      <w:lang w:val="es-ES"/>
                    </w:rPr>
                  </w:pPr>
                  <w:r w:rsidRPr="00D82141">
                    <w:rPr>
                      <w:rFonts w:ascii="Verdana" w:hAnsi="Verdana"/>
                      <w:b/>
                      <w:sz w:val="18"/>
                      <w:szCs w:val="28"/>
                      <w:lang w:val="es-ES"/>
                    </w:rPr>
                    <w:t xml:space="preserve">Previsión para 2024:  </w:t>
                  </w:r>
                  <w:r w:rsidRPr="00D82141">
                    <w:rPr>
                      <w:rFonts w:ascii="Verdana" w:hAnsi="Verdana"/>
                      <w:bCs/>
                      <w:sz w:val="18"/>
                      <w:szCs w:val="28"/>
                      <w:lang w:val="es-ES"/>
                    </w:rPr>
                    <w:t>en mercados</w:t>
                  </w:r>
                  <w:r w:rsidRPr="00D82141">
                    <w:rPr>
                      <w:rFonts w:ascii="Verdana" w:hAnsi="Verdana"/>
                      <w:sz w:val="18"/>
                      <w:szCs w:val="28"/>
                      <w:lang w:val="es-ES"/>
                    </w:rPr>
                    <w:t xml:space="preserve"> globales globalmente estables, por encima de los 3.500 millones de euros en </w:t>
                  </w:r>
                  <w:r>
                    <w:rPr>
                      <w:rFonts w:ascii="Verdana" w:hAnsi="Verdana"/>
                      <w:bCs/>
                      <w:sz w:val="18"/>
                      <w:szCs w:val="28"/>
                      <w:lang w:val="es-ES"/>
                    </w:rPr>
                    <w:t xml:space="preserve">resultado operacional de los sectores </w:t>
                  </w:r>
                  <w:r w:rsidRPr="00D82141">
                    <w:rPr>
                      <w:rFonts w:ascii="Verdana" w:hAnsi="Verdana"/>
                      <w:bCs/>
                      <w:sz w:val="18"/>
                      <w:szCs w:val="28"/>
                      <w:lang w:val="es-ES"/>
                    </w:rPr>
                    <w:t xml:space="preserve">a tipos de cambio constantes; más de 1.500 millones de euros en </w:t>
                  </w:r>
                  <w:r w:rsidRPr="00D82141">
                    <w:rPr>
                      <w:rFonts w:ascii="Verdana" w:hAnsi="Verdana"/>
                      <w:i/>
                      <w:iCs/>
                      <w:sz w:val="18"/>
                      <w:szCs w:val="28"/>
                      <w:lang w:val="es-ES"/>
                    </w:rPr>
                    <w:t xml:space="preserve">free cash </w:t>
                  </w:r>
                  <w:proofErr w:type="spellStart"/>
                  <w:r w:rsidRPr="00D82141">
                    <w:rPr>
                      <w:rFonts w:ascii="Verdana" w:hAnsi="Verdana"/>
                      <w:i/>
                      <w:iCs/>
                      <w:sz w:val="18"/>
                      <w:szCs w:val="28"/>
                      <w:lang w:val="es-ES"/>
                    </w:rPr>
                    <w:t>flow</w:t>
                  </w:r>
                  <w:proofErr w:type="spellEnd"/>
                  <w:r w:rsidRPr="00D82141">
                    <w:rPr>
                      <w:rFonts w:ascii="Verdana" w:hAnsi="Verdana"/>
                      <w:sz w:val="18"/>
                      <w:szCs w:val="28"/>
                      <w:lang w:val="es-ES"/>
                    </w:rPr>
                    <w:t xml:space="preserve"> antes de</w:t>
                  </w:r>
                  <w:r w:rsidRPr="00D82141">
                    <w:rPr>
                      <w:rFonts w:ascii="Verdana" w:hAnsi="Verdana"/>
                      <w:bCs/>
                      <w:sz w:val="18"/>
                      <w:szCs w:val="28"/>
                      <w:lang w:val="es-ES"/>
                    </w:rPr>
                    <w:t xml:space="preserve"> adquisiciones.</w:t>
                  </w:r>
                </w:p>
                <w:tbl>
                  <w:tblPr>
                    <w:tblStyle w:val="Tablaconcuadrcula"/>
                    <w:tblpPr w:leftFromText="141" w:rightFromText="141" w:vertAnchor="text" w:horzAnchor="margin" w:tblpX="-157" w:tblpY="244"/>
                    <w:tblW w:w="9072" w:type="dxa"/>
                    <w:tblLook w:val="04A0" w:firstRow="1" w:lastRow="0" w:firstColumn="1" w:lastColumn="0" w:noHBand="0" w:noVBand="1"/>
                  </w:tblPr>
                  <w:tblGrid>
                    <w:gridCol w:w="9072"/>
                  </w:tblGrid>
                  <w:tr w:rsidR="00F00B20" w14:paraId="785B5E00" w14:textId="77777777" w:rsidTr="00F00B20">
                    <w:trPr>
                      <w:trHeight w:val="367"/>
                    </w:trPr>
                    <w:tc>
                      <w:tcPr>
                        <w:tcW w:w="9072" w:type="dxa"/>
                      </w:tcPr>
                      <w:p w14:paraId="3F38928F" w14:textId="77777777" w:rsidR="00F00B20" w:rsidRDefault="00F00B20" w:rsidP="00F00B20">
                        <w:pPr>
                          <w:tabs>
                            <w:tab w:val="num" w:pos="-284"/>
                          </w:tabs>
                          <w:spacing w:line="276" w:lineRule="auto"/>
                          <w:ind w:right="-23"/>
                          <w:jc w:val="both"/>
                          <w:rPr>
                            <w:rFonts w:ascii="Helvetica" w:hAnsi="Helvetica" w:cs="Helvetica"/>
                            <w:sz w:val="22"/>
                            <w:szCs w:val="22"/>
                          </w:rPr>
                        </w:pPr>
                        <w:proofErr w:type="spellStart"/>
                        <w:r>
                          <w:rPr>
                            <w:rFonts w:ascii="Verdana" w:hAnsi="Verdana"/>
                            <w:b/>
                            <w:sz w:val="28"/>
                          </w:rPr>
                          <w:t>Resultados</w:t>
                        </w:r>
                        <w:proofErr w:type="spellEnd"/>
                        <w:r>
                          <w:rPr>
                            <w:rFonts w:ascii="Verdana" w:hAnsi="Verdana"/>
                            <w:b/>
                            <w:sz w:val="28"/>
                          </w:rPr>
                          <w:t xml:space="preserve"> </w:t>
                        </w:r>
                        <w:proofErr w:type="spellStart"/>
                        <w:r>
                          <w:rPr>
                            <w:rFonts w:ascii="Verdana" w:hAnsi="Verdana"/>
                            <w:b/>
                            <w:sz w:val="28"/>
                          </w:rPr>
                          <w:t>del</w:t>
                        </w:r>
                        <w:proofErr w:type="spellEnd"/>
                        <w:r>
                          <w:rPr>
                            <w:rFonts w:ascii="Verdana" w:hAnsi="Verdana"/>
                            <w:b/>
                            <w:sz w:val="28"/>
                          </w:rPr>
                          <w:t xml:space="preserve"> Grupo Michelin 2023</w:t>
                        </w:r>
                      </w:p>
                    </w:tc>
                  </w:tr>
                </w:tbl>
                <w:p w14:paraId="3E3B318A" w14:textId="7BEC37D7" w:rsidR="00537F00" w:rsidRPr="00301429" w:rsidRDefault="00000000" w:rsidP="000B3F1C">
                  <w:pPr>
                    <w:tabs>
                      <w:tab w:val="left" w:pos="284"/>
                    </w:tabs>
                    <w:spacing w:before="240" w:after="60"/>
                    <w:ind w:right="-22"/>
                    <w:jc w:val="both"/>
                    <w:rPr>
                      <w:rFonts w:ascii="Helvetica" w:hAnsi="Helvetica" w:cs="Helvetica"/>
                      <w:sz w:val="16"/>
                      <w:szCs w:val="16"/>
                    </w:rPr>
                  </w:pPr>
                </w:p>
              </w:sdtContent>
            </w:sdt>
          </w:sdtContent>
        </w:sdt>
        <w:p w14:paraId="13084EDA" w14:textId="77777777" w:rsidR="00537F00" w:rsidRPr="00D82141" w:rsidRDefault="00537F00" w:rsidP="00F00B20">
          <w:pPr>
            <w:spacing w:line="276" w:lineRule="auto"/>
            <w:ind w:left="-142" w:right="-329"/>
            <w:jc w:val="both"/>
            <w:rPr>
              <w:rFonts w:ascii="Helvetica" w:hAnsi="Helvetica" w:cs="Helvetica"/>
              <w:sz w:val="22"/>
              <w:szCs w:val="22"/>
              <w:lang w:val="es-ES"/>
            </w:rPr>
          </w:pPr>
          <w:r w:rsidRPr="00D82141">
            <w:rPr>
              <w:rFonts w:ascii="Verdana" w:hAnsi="Verdana"/>
              <w:sz w:val="12"/>
              <w:vertAlign w:val="superscript"/>
              <w:lang w:val="es-ES"/>
            </w:rPr>
            <w:t xml:space="preserve">1 </w:t>
          </w:r>
          <w:r w:rsidRPr="00D82141">
            <w:rPr>
              <w:rFonts w:ascii="Verdana" w:hAnsi="Verdana"/>
              <w:sz w:val="12"/>
              <w:lang w:val="es-ES"/>
            </w:rPr>
            <w:t xml:space="preserve">Las ganancias por acción de 2021 se </w:t>
          </w:r>
          <w:proofErr w:type="spellStart"/>
          <w:r w:rsidRPr="00D82141">
            <w:rPr>
              <w:rFonts w:ascii="Verdana" w:hAnsi="Verdana"/>
              <w:sz w:val="12"/>
              <w:lang w:val="es-ES"/>
            </w:rPr>
            <w:t>reexpresaron</w:t>
          </w:r>
          <w:proofErr w:type="spellEnd"/>
          <w:r w:rsidRPr="00D82141">
            <w:rPr>
              <w:rFonts w:ascii="Verdana" w:hAnsi="Verdana"/>
              <w:sz w:val="12"/>
              <w:lang w:val="es-ES"/>
            </w:rPr>
            <w:t xml:space="preserve"> para reflejar la división de acciones de cuatro por uno el 16 de junio de 2022.</w:t>
          </w:r>
        </w:p>
        <w:p w14:paraId="40C5B20D" w14:textId="77777777" w:rsidR="00537F00" w:rsidRPr="00537F00" w:rsidRDefault="00537F00" w:rsidP="00537F00">
          <w:pPr>
            <w:pStyle w:val="Prrafodelista"/>
            <w:autoSpaceDE w:val="0"/>
            <w:autoSpaceDN w:val="0"/>
            <w:adjustRightInd w:val="0"/>
            <w:spacing w:line="360" w:lineRule="auto"/>
            <w:ind w:left="-142" w:right="-330"/>
            <w:rPr>
              <w:rFonts w:ascii="Verdana" w:hAnsi="Verdana" w:cstheme="minorHAnsi"/>
              <w:sz w:val="12"/>
              <w:szCs w:val="12"/>
              <w:lang w:val="es-ES"/>
            </w:rPr>
          </w:pPr>
          <w:r w:rsidRPr="00D82141">
            <w:rPr>
              <w:rFonts w:ascii="Verdana" w:hAnsi="Verdana"/>
              <w:sz w:val="12"/>
              <w:lang w:val="es-ES"/>
            </w:rPr>
            <w:t xml:space="preserve">  </w:t>
          </w:r>
          <w:r w:rsidRPr="00537F00">
            <w:rPr>
              <w:rFonts w:ascii="Verdana" w:hAnsi="Verdana"/>
              <w:sz w:val="12"/>
              <w:lang w:val="es-ES"/>
            </w:rPr>
            <w:t>2021 según lo informado: 10,31 €.</w:t>
          </w:r>
        </w:p>
        <w:p w14:paraId="7B4C60AE" w14:textId="77777777" w:rsidR="00537F00" w:rsidRPr="00D82141" w:rsidRDefault="00537F00" w:rsidP="00537F00">
          <w:pPr>
            <w:pStyle w:val="Prrafodelista"/>
            <w:autoSpaceDE w:val="0"/>
            <w:autoSpaceDN w:val="0"/>
            <w:adjustRightInd w:val="0"/>
            <w:ind w:left="-142" w:right="-330"/>
            <w:rPr>
              <w:rFonts w:ascii="Verdana" w:hAnsi="Verdana" w:cstheme="minorHAnsi"/>
              <w:sz w:val="12"/>
              <w:szCs w:val="12"/>
              <w:lang w:val="es-ES"/>
            </w:rPr>
          </w:pPr>
          <w:r w:rsidRPr="00D82141">
            <w:rPr>
              <w:rFonts w:ascii="Verdana" w:hAnsi="Verdana"/>
              <w:sz w:val="12"/>
              <w:vertAlign w:val="superscript"/>
              <w:lang w:val="es-ES"/>
            </w:rPr>
            <w:t xml:space="preserve">2 </w:t>
          </w:r>
          <w:r w:rsidRPr="00D82141">
            <w:rPr>
              <w:rFonts w:ascii="Verdana" w:hAnsi="Verdana"/>
              <w:sz w:val="12"/>
              <w:lang w:val="es-ES"/>
            </w:rPr>
            <w:t>Dividendo 2023 sujeto a aprobación por la Junta General Ordinaria de Accionistas del 17 de mayo de 2024.</w:t>
          </w:r>
        </w:p>
        <w:p w14:paraId="3C25E9C0" w14:textId="77777777" w:rsidR="00537F00" w:rsidRPr="00D82141" w:rsidRDefault="00537F00" w:rsidP="00537F00">
          <w:pPr>
            <w:pStyle w:val="Prrafodelista"/>
            <w:autoSpaceDE w:val="0"/>
            <w:autoSpaceDN w:val="0"/>
            <w:adjustRightInd w:val="0"/>
            <w:ind w:left="-142" w:right="-330"/>
            <w:rPr>
              <w:rFonts w:ascii="Verdana" w:hAnsi="Verdana" w:cstheme="minorHAnsi"/>
              <w:sz w:val="12"/>
              <w:szCs w:val="12"/>
              <w:lang w:val="es-ES"/>
            </w:rPr>
          </w:pPr>
          <w:r w:rsidRPr="00D82141">
            <w:rPr>
              <w:rFonts w:ascii="Verdana" w:hAnsi="Verdana"/>
              <w:sz w:val="12"/>
              <w:lang w:val="es-ES"/>
            </w:rPr>
            <w:t xml:space="preserve">  El dividendo por acción de 2021 se reformuló para reflejar la división de acciones de cuatro por uno el 16 de junio de 2022.</w:t>
          </w:r>
        </w:p>
        <w:p w14:paraId="15852C04" w14:textId="77777777" w:rsidR="00537F00" w:rsidRPr="00537F00" w:rsidRDefault="00537F00" w:rsidP="00537F00">
          <w:pPr>
            <w:pStyle w:val="Prrafodelista"/>
            <w:autoSpaceDE w:val="0"/>
            <w:autoSpaceDN w:val="0"/>
            <w:adjustRightInd w:val="0"/>
            <w:spacing w:line="360" w:lineRule="auto"/>
            <w:ind w:left="-142" w:right="-330"/>
            <w:rPr>
              <w:rFonts w:ascii="Verdana" w:hAnsi="Verdana" w:cstheme="minorHAnsi"/>
              <w:sz w:val="12"/>
              <w:szCs w:val="12"/>
              <w:lang w:val="es-ES"/>
            </w:rPr>
          </w:pPr>
          <w:r w:rsidRPr="00D82141">
            <w:rPr>
              <w:rFonts w:ascii="Verdana" w:hAnsi="Verdana"/>
              <w:sz w:val="12"/>
              <w:lang w:val="es-ES"/>
            </w:rPr>
            <w:t xml:space="preserve">  </w:t>
          </w:r>
          <w:r w:rsidRPr="00537F00">
            <w:rPr>
              <w:rFonts w:ascii="Verdana" w:hAnsi="Verdana"/>
              <w:sz w:val="12"/>
              <w:lang w:val="es-ES"/>
            </w:rPr>
            <w:t>2021 según lo informado: 4,50 €.</w:t>
          </w:r>
        </w:p>
        <w:p w14:paraId="30F650F3" w14:textId="77777777" w:rsidR="00537F00" w:rsidRPr="00D82141" w:rsidRDefault="00537F00" w:rsidP="00537F00">
          <w:pPr>
            <w:pStyle w:val="Prrafodelista"/>
            <w:autoSpaceDE w:val="0"/>
            <w:autoSpaceDN w:val="0"/>
            <w:adjustRightInd w:val="0"/>
            <w:ind w:left="-142" w:right="-330"/>
            <w:rPr>
              <w:rFonts w:ascii="Verdana" w:hAnsi="Verdana" w:cstheme="minorHAnsi"/>
              <w:sz w:val="12"/>
              <w:szCs w:val="12"/>
              <w:lang w:val="es-ES"/>
            </w:rPr>
          </w:pPr>
          <w:r w:rsidRPr="00D82141">
            <w:rPr>
              <w:rStyle w:val="Refdenotaalpie"/>
              <w:rFonts w:ascii="Verdana" w:hAnsi="Verdana"/>
              <w:sz w:val="12"/>
              <w:lang w:val="es-ES"/>
            </w:rPr>
            <w:t>3</w:t>
          </w:r>
          <w:r w:rsidRPr="00D82141">
            <w:rPr>
              <w:rFonts w:ascii="Verdana" w:hAnsi="Verdana"/>
              <w:sz w:val="12"/>
              <w:lang w:val="es-ES"/>
            </w:rPr>
            <w:t xml:space="preserve"> </w:t>
          </w:r>
          <w:r w:rsidRPr="000B3F1C">
            <w:rPr>
              <w:rFonts w:ascii="Verdana" w:hAnsi="Verdana"/>
              <w:i/>
              <w:iCs/>
              <w:sz w:val="12"/>
              <w:lang w:val="es-ES"/>
            </w:rPr>
            <w:t xml:space="preserve">Free cash </w:t>
          </w:r>
          <w:proofErr w:type="spellStart"/>
          <w:r w:rsidRPr="000B3F1C">
            <w:rPr>
              <w:rFonts w:ascii="Verdana" w:hAnsi="Verdana"/>
              <w:i/>
              <w:iCs/>
              <w:sz w:val="12"/>
              <w:lang w:val="es-ES"/>
            </w:rPr>
            <w:t>flow</w:t>
          </w:r>
          <w:proofErr w:type="spellEnd"/>
          <w:r w:rsidRPr="00D82141">
            <w:rPr>
              <w:rFonts w:ascii="Verdana" w:hAnsi="Verdana"/>
              <w:sz w:val="12"/>
              <w:lang w:val="es-ES"/>
            </w:rPr>
            <w:t xml:space="preserve"> corresponde al efectivo neto de las actividades de explotación menos el efectivo neto utilizado en las actividades de inversión, ajustado por los flujos de efectivo netos relacionados con los activos financieros de gestión de tesorería y las garantías de empréstito.</w:t>
          </w:r>
        </w:p>
        <w:p w14:paraId="748C364B" w14:textId="77777777" w:rsidR="00537F00" w:rsidRPr="00D82141" w:rsidRDefault="00537F00" w:rsidP="00537F00">
          <w:pPr>
            <w:pStyle w:val="Prrafodelista"/>
            <w:autoSpaceDE w:val="0"/>
            <w:autoSpaceDN w:val="0"/>
            <w:adjustRightInd w:val="0"/>
            <w:ind w:left="-142" w:right="-330"/>
            <w:rPr>
              <w:rFonts w:ascii="Verdana" w:hAnsi="Verdana" w:cstheme="minorHAnsi"/>
              <w:sz w:val="6"/>
              <w:szCs w:val="6"/>
              <w:lang w:val="es-ES"/>
            </w:rPr>
          </w:pPr>
        </w:p>
        <w:p w14:paraId="420BC80B" w14:textId="77777777" w:rsidR="00537F00" w:rsidRPr="00D82141" w:rsidRDefault="00537F00" w:rsidP="00537F00">
          <w:pPr>
            <w:pStyle w:val="Prrafodelista"/>
            <w:autoSpaceDE w:val="0"/>
            <w:autoSpaceDN w:val="0"/>
            <w:adjustRightInd w:val="0"/>
            <w:ind w:left="-142" w:right="-330"/>
            <w:rPr>
              <w:rFonts w:ascii="Verdana" w:hAnsi="Verdana" w:cs="Calibri"/>
              <w:color w:val="000000"/>
              <w:sz w:val="12"/>
              <w:szCs w:val="12"/>
              <w:lang w:val="es-ES"/>
            </w:rPr>
          </w:pPr>
          <w:r w:rsidRPr="00D82141">
            <w:rPr>
              <w:rFonts w:ascii="Verdana" w:hAnsi="Verdana"/>
              <w:color w:val="000000"/>
              <w:sz w:val="12"/>
              <w:vertAlign w:val="superscript"/>
              <w:lang w:val="es-ES"/>
            </w:rPr>
            <w:t xml:space="preserve">4 </w:t>
          </w:r>
          <w:r w:rsidRPr="00D82141">
            <w:rPr>
              <w:rFonts w:ascii="Verdana" w:hAnsi="Verdana"/>
              <w:color w:val="000000"/>
              <w:sz w:val="12"/>
              <w:lang w:val="es-ES"/>
            </w:rPr>
            <w:t>En el cálculo del ROCE, la amortización de los activos intangibles adquiridos y la participación del Grupo en los resultados/pérdidas de las sociedades contabilizadas en el patrimonio neto se añaden a los ingresos de explotación del segmento. El ROCE se calcula después de impuestos, utilizando una tasa estándar del 25%.</w:t>
          </w:r>
        </w:p>
        <w:p w14:paraId="59061DF2" w14:textId="77777777" w:rsidR="00537F00" w:rsidRPr="00D82141" w:rsidRDefault="00537F00" w:rsidP="00537F00">
          <w:pPr>
            <w:ind w:left="-142"/>
            <w:rPr>
              <w:rFonts w:ascii="Verdana" w:hAnsi="Verdana"/>
              <w:sz w:val="6"/>
              <w:szCs w:val="6"/>
              <w:vertAlign w:val="superscript"/>
              <w:lang w:val="es-ES"/>
            </w:rPr>
          </w:pPr>
        </w:p>
        <w:p w14:paraId="5AB79F7C" w14:textId="77777777" w:rsidR="00537F00" w:rsidRPr="00D44C6C" w:rsidRDefault="00537F00" w:rsidP="00537F00">
          <w:pPr>
            <w:ind w:left="-142"/>
            <w:rPr>
              <w:rFonts w:ascii="Verdana" w:eastAsia="Times New Roman" w:hAnsi="Verdana" w:cs="Calibri"/>
              <w:sz w:val="12"/>
              <w:szCs w:val="12"/>
            </w:rPr>
          </w:pPr>
          <w:r>
            <w:rPr>
              <w:rFonts w:ascii="Verdana" w:hAnsi="Verdana"/>
              <w:sz w:val="12"/>
              <w:vertAlign w:val="superscript"/>
            </w:rPr>
            <w:t xml:space="preserve">5 </w:t>
          </w:r>
          <w:r>
            <w:rPr>
              <w:rFonts w:ascii="Verdana" w:hAnsi="Verdana"/>
              <w:sz w:val="12"/>
            </w:rPr>
            <w:t xml:space="preserve">Al final </w:t>
          </w:r>
          <w:proofErr w:type="spellStart"/>
          <w:r>
            <w:rPr>
              <w:rFonts w:ascii="Verdana" w:hAnsi="Verdana"/>
              <w:sz w:val="12"/>
            </w:rPr>
            <w:t>del</w:t>
          </w:r>
          <w:proofErr w:type="spellEnd"/>
          <w:r>
            <w:rPr>
              <w:rFonts w:ascii="Verdana" w:hAnsi="Verdana"/>
              <w:sz w:val="12"/>
            </w:rPr>
            <w:t xml:space="preserve"> </w:t>
          </w:r>
          <w:proofErr w:type="spellStart"/>
          <w:r>
            <w:rPr>
              <w:rFonts w:ascii="Verdana" w:hAnsi="Verdana"/>
              <w:sz w:val="12"/>
            </w:rPr>
            <w:t>período</w:t>
          </w:r>
          <w:proofErr w:type="spellEnd"/>
          <w:r>
            <w:rPr>
              <w:rFonts w:ascii="Verdana" w:hAnsi="Verdana"/>
              <w:sz w:val="12"/>
            </w:rPr>
            <w:t>.</w:t>
          </w:r>
        </w:p>
        <w:p w14:paraId="4FDDA085" w14:textId="658BA520" w:rsidR="006C3818" w:rsidRPr="000A0E8D" w:rsidRDefault="00DF6BA4" w:rsidP="00DF6BA4">
          <w:pPr>
            <w:tabs>
              <w:tab w:val="left" w:pos="3555"/>
              <w:tab w:val="center" w:pos="4513"/>
            </w:tabs>
            <w:rPr>
              <w:rFonts w:ascii="Arial" w:hAnsi="Arial" w:cs="Arial"/>
              <w:sz w:val="20"/>
              <w:szCs w:val="20"/>
              <w:lang w:val="es-ES"/>
            </w:rPr>
          </w:pPr>
          <w:r>
            <w:tab/>
          </w:r>
          <w:r>
            <w:tab/>
          </w:r>
          <w:r w:rsidR="00537F00">
            <w:br w:type="page"/>
          </w:r>
        </w:p>
        <w:p w14:paraId="648342B4" w14:textId="77777777" w:rsidR="003C3FC0" w:rsidRPr="000A0E8D" w:rsidRDefault="00000000" w:rsidP="003C3FC0">
          <w:pPr>
            <w:spacing w:line="276" w:lineRule="auto"/>
            <w:jc w:val="both"/>
            <w:rPr>
              <w:rFonts w:ascii="Arial" w:hAnsi="Arial" w:cs="Arial"/>
              <w:lang w:val="es-ES"/>
            </w:rPr>
          </w:pPr>
        </w:p>
      </w:sdtContent>
    </w:sdt>
    <w:p w14:paraId="5B551981" w14:textId="6C1FEE63" w:rsidR="00DB1997" w:rsidRPr="000A0E8D" w:rsidRDefault="00DB1997" w:rsidP="00DB1997">
      <w:pPr>
        <w:jc w:val="both"/>
        <w:rPr>
          <w:rFonts w:ascii="Arial" w:hAnsi="Arial" w:cs="Arial"/>
          <w:iCs/>
          <w:sz w:val="16"/>
          <w:szCs w:val="16"/>
          <w:lang w:val="es-ES"/>
        </w:rPr>
      </w:pPr>
    </w:p>
    <w:p w14:paraId="5E336B28" w14:textId="77777777" w:rsidR="0084670B" w:rsidRPr="000A0E8D" w:rsidRDefault="0084670B" w:rsidP="0084670B">
      <w:pPr>
        <w:jc w:val="both"/>
        <w:rPr>
          <w:rFonts w:ascii="Arial" w:hAnsi="Arial" w:cs="Arial"/>
          <w:b/>
          <w:bCs/>
          <w:iCs/>
          <w:sz w:val="16"/>
          <w:szCs w:val="16"/>
          <w:lang w:val="es-ES"/>
        </w:rPr>
      </w:pPr>
      <w:r w:rsidRPr="000A0E8D">
        <w:rPr>
          <w:rFonts w:ascii="Arial" w:hAnsi="Arial" w:cs="Arial"/>
          <w:b/>
          <w:bCs/>
          <w:iCs/>
          <w:sz w:val="16"/>
          <w:szCs w:val="16"/>
          <w:lang w:val="es-ES"/>
        </w:rPr>
        <w:t>Acerca de Michelin</w:t>
      </w:r>
    </w:p>
    <w:p w14:paraId="75A2CD19" w14:textId="77777777" w:rsidR="0084670B" w:rsidRPr="000A0E8D" w:rsidRDefault="0084670B" w:rsidP="0084670B">
      <w:pPr>
        <w:jc w:val="both"/>
        <w:rPr>
          <w:rFonts w:ascii="Arial" w:hAnsi="Arial" w:cs="Arial"/>
          <w:iCs/>
          <w:sz w:val="16"/>
          <w:szCs w:val="16"/>
          <w:lang w:val="es-ES"/>
        </w:rPr>
      </w:pPr>
      <w:r w:rsidRPr="000A0E8D">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8" w:history="1">
        <w:r w:rsidRPr="000A0E8D">
          <w:rPr>
            <w:rStyle w:val="Hipervnculo"/>
            <w:rFonts w:ascii="Arial" w:hAnsi="Arial" w:cs="Arial"/>
            <w:iCs/>
            <w:sz w:val="16"/>
            <w:szCs w:val="16"/>
            <w:lang w:val="es-ES"/>
          </w:rPr>
          <w:t>www.michelin.es</w:t>
        </w:r>
      </w:hyperlink>
      <w:r w:rsidRPr="000A0E8D">
        <w:rPr>
          <w:rFonts w:ascii="Arial" w:hAnsi="Arial" w:cs="Arial"/>
          <w:iCs/>
          <w:sz w:val="16"/>
          <w:szCs w:val="16"/>
          <w:lang w:val="es-ES"/>
        </w:rPr>
        <w:t>).</w:t>
      </w:r>
    </w:p>
    <w:p w14:paraId="30795F41" w14:textId="77777777" w:rsidR="0025090F" w:rsidRPr="000A0E8D" w:rsidRDefault="0025090F" w:rsidP="00DB1997">
      <w:pPr>
        <w:jc w:val="both"/>
        <w:rPr>
          <w:rFonts w:ascii="Arial" w:hAnsi="Arial" w:cs="Arial"/>
          <w:iCs/>
          <w:sz w:val="16"/>
          <w:szCs w:val="16"/>
          <w:lang w:val="es-ES"/>
        </w:rPr>
      </w:pPr>
    </w:p>
    <w:p w14:paraId="50189D3D" w14:textId="77777777" w:rsidR="00DB1997" w:rsidRPr="000A0E8D" w:rsidRDefault="00DB1997" w:rsidP="00816BB1">
      <w:pPr>
        <w:jc w:val="both"/>
        <w:rPr>
          <w:rFonts w:ascii="Arial" w:hAnsi="Arial" w:cs="Arial"/>
          <w:iCs/>
          <w:sz w:val="16"/>
          <w:szCs w:val="16"/>
          <w:lang w:val="es-ES"/>
        </w:rPr>
      </w:pPr>
    </w:p>
    <w:p w14:paraId="73E1F596" w14:textId="3E977AA5" w:rsidR="0052344F" w:rsidRPr="000A0E8D" w:rsidRDefault="0052344F" w:rsidP="00CC6BAF">
      <w:pPr>
        <w:jc w:val="both"/>
        <w:rPr>
          <w:rFonts w:ascii="Arial" w:hAnsi="Arial" w:cs="Arial"/>
          <w:sz w:val="20"/>
          <w:szCs w:val="20"/>
          <w:lang w:val="es-ES"/>
        </w:rPr>
      </w:pPr>
    </w:p>
    <w:p w14:paraId="5448EF38" w14:textId="0D0E2B09" w:rsidR="0052344F" w:rsidRDefault="0052344F" w:rsidP="00CC6BAF">
      <w:pPr>
        <w:jc w:val="both"/>
        <w:rPr>
          <w:rFonts w:ascii="Arial" w:hAnsi="Arial" w:cs="Arial"/>
          <w:sz w:val="20"/>
          <w:szCs w:val="20"/>
          <w:lang w:val="es-ES"/>
        </w:rPr>
      </w:pPr>
    </w:p>
    <w:p w14:paraId="69D687D0" w14:textId="77777777" w:rsidR="00904D93" w:rsidRPr="00833986" w:rsidRDefault="00904D93" w:rsidP="00904D93">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66251A4A" w14:textId="77777777" w:rsidR="00904D93" w:rsidRPr="00833986" w:rsidRDefault="00904D93" w:rsidP="00904D93">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386E8005" w14:textId="77777777" w:rsidR="00904D93" w:rsidRPr="00833986" w:rsidRDefault="00000000" w:rsidP="00904D93">
      <w:pPr>
        <w:spacing w:line="276" w:lineRule="auto"/>
        <w:jc w:val="center"/>
        <w:rPr>
          <w:rFonts w:ascii="Arial" w:hAnsi="Arial" w:cs="Arial"/>
          <w:color w:val="0000FF"/>
          <w:sz w:val="20"/>
          <w:szCs w:val="20"/>
          <w:u w:val="single"/>
          <w:lang w:val="es-ES"/>
        </w:rPr>
      </w:pPr>
      <w:hyperlink r:id="rId9" w:tgtFrame="_blank" w:history="1">
        <w:r w:rsidR="00904D93" w:rsidRPr="00833986">
          <w:rPr>
            <w:rStyle w:val="Hipervnculo"/>
            <w:rFonts w:ascii="Arial" w:hAnsi="Arial" w:cs="Arial"/>
            <w:sz w:val="20"/>
            <w:szCs w:val="20"/>
            <w:lang w:val="es-ES"/>
          </w:rPr>
          <w:t>jose.saura-vinssac@michelin.com</w:t>
        </w:r>
      </w:hyperlink>
    </w:p>
    <w:p w14:paraId="02321251" w14:textId="77777777" w:rsidR="00904D93" w:rsidRDefault="00904D93" w:rsidP="00904D93">
      <w:pPr>
        <w:jc w:val="center"/>
        <w:rPr>
          <w:rFonts w:ascii="Arial" w:hAnsi="Arial" w:cs="Arial"/>
          <w:sz w:val="20"/>
          <w:szCs w:val="20"/>
          <w:lang w:val="es-ES"/>
        </w:rPr>
      </w:pPr>
    </w:p>
    <w:p w14:paraId="55F56060" w14:textId="77777777" w:rsidR="00904D93" w:rsidRPr="00833986" w:rsidRDefault="00904D93" w:rsidP="00904D93">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76E9589" wp14:editId="586B7379">
            <wp:extent cx="1612265" cy="177730"/>
            <wp:effectExtent l="0" t="0" r="635" b="635"/>
            <wp:docPr id="6022491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4D93" w:rsidRPr="00833986" w14:paraId="566DDEFD" w14:textId="77777777" w:rsidTr="00165C29">
        <w:tc>
          <w:tcPr>
            <w:tcW w:w="9016" w:type="dxa"/>
          </w:tcPr>
          <w:p w14:paraId="417F307F" w14:textId="77777777" w:rsidR="00904D93" w:rsidRPr="00833986" w:rsidRDefault="00000000" w:rsidP="00165C29">
            <w:pPr>
              <w:jc w:val="center"/>
              <w:rPr>
                <w:rStyle w:val="Hipervnculo"/>
                <w:rFonts w:ascii="Arial" w:hAnsi="Arial" w:cs="Arial"/>
                <w:sz w:val="20"/>
                <w:szCs w:val="20"/>
                <w:lang w:val="es-ES"/>
              </w:rPr>
            </w:pPr>
            <w:hyperlink r:id="rId12" w:history="1">
              <w:r w:rsidR="00904D93" w:rsidRPr="00FA4C66">
                <w:rPr>
                  <w:rStyle w:val="Hipervnculo"/>
                  <w:rFonts w:ascii="Arial" w:hAnsi="Arial" w:cs="Arial"/>
                  <w:sz w:val="20"/>
                  <w:szCs w:val="20"/>
                  <w:lang w:val="es-ES"/>
                </w:rPr>
                <w:t>www.michelin.es</w:t>
              </w:r>
            </w:hyperlink>
          </w:p>
          <w:p w14:paraId="47745F03" w14:textId="77777777" w:rsidR="00904D93" w:rsidRPr="00833986" w:rsidRDefault="00904D93" w:rsidP="00165C29">
            <w:pPr>
              <w:jc w:val="center"/>
              <w:rPr>
                <w:rFonts w:ascii="Arial" w:hAnsi="Arial" w:cs="Arial"/>
                <w:color w:val="08519D"/>
                <w:sz w:val="20"/>
                <w:szCs w:val="20"/>
                <w:lang w:val="es-ES"/>
              </w:rPr>
            </w:pPr>
          </w:p>
        </w:tc>
      </w:tr>
      <w:tr w:rsidR="00904D93" w:rsidRPr="00833986" w14:paraId="226AA8C4" w14:textId="77777777" w:rsidTr="00165C29">
        <w:tc>
          <w:tcPr>
            <w:tcW w:w="9016" w:type="dxa"/>
          </w:tcPr>
          <w:p w14:paraId="50107523" w14:textId="77777777" w:rsidR="00904D93" w:rsidRPr="00E24313" w:rsidRDefault="00904D93" w:rsidP="00165C29">
            <w:pPr>
              <w:ind w:left="360"/>
              <w:jc w:val="center"/>
              <w:rPr>
                <w:rFonts w:ascii="Arial" w:hAnsi="Arial" w:cs="Arial"/>
                <w:color w:val="08519D"/>
                <w:sz w:val="20"/>
                <w:szCs w:val="20"/>
                <w:lang w:val="es-ES"/>
              </w:rPr>
            </w:pPr>
            <w:r>
              <w:rPr>
                <w:rFonts w:ascii="Arial" w:hAnsi="Arial" w:cs="Arial"/>
                <w:noProof/>
                <w:lang w:val="es-ES"/>
              </w:rPr>
              <w:drawing>
                <wp:inline distT="0" distB="0" distL="0" distR="0" wp14:anchorId="2D39C678" wp14:editId="424885CF">
                  <wp:extent cx="135890" cy="135890"/>
                  <wp:effectExtent l="0" t="0" r="3810" b="3810"/>
                  <wp:docPr id="52277486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hyperlink r:id="rId14" w:history="1">
              <w:r w:rsidRPr="00E24313">
                <w:rPr>
                  <w:rFonts w:ascii="Arial" w:eastAsia="Arial" w:hAnsi="Arial" w:cs="Arial"/>
                  <w:color w:val="0000FF"/>
                  <w:sz w:val="20"/>
                  <w:szCs w:val="20"/>
                  <w:u w:val="single" w:color="0000FF"/>
                </w:rPr>
                <w:t>@MichelinNews</w:t>
              </w:r>
            </w:hyperlink>
            <w:r w:rsidRPr="00E24313">
              <w:rPr>
                <w:rFonts w:ascii="Arial" w:eastAsia="Arial" w:hAnsi="Arial" w:cs="Arial"/>
                <w:color w:val="08519D"/>
                <w:sz w:val="20"/>
                <w:szCs w:val="20"/>
              </w:rPr>
              <w:t xml:space="preserve">  </w:t>
            </w:r>
            <w:r w:rsidRPr="00833986">
              <w:rPr>
                <w:noProof/>
                <w:color w:val="000000"/>
                <w:lang w:val="es-ES_tradnl" w:eastAsia="es-ES_tradnl"/>
              </w:rPr>
              <w:drawing>
                <wp:inline distT="0" distB="0" distL="0" distR="0" wp14:anchorId="6AAD5FB0" wp14:editId="39A46CE7">
                  <wp:extent cx="119575" cy="119575"/>
                  <wp:effectExtent l="0" t="0" r="0" b="0"/>
                  <wp:docPr id="2013885067" name="Imagen 201388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E24313">
              <w:rPr>
                <w:rFonts w:ascii="Arial" w:eastAsia="Arial" w:hAnsi="Arial" w:cs="Arial"/>
                <w:color w:val="08519D"/>
                <w:sz w:val="20"/>
                <w:szCs w:val="20"/>
              </w:rPr>
              <w:t xml:space="preserve"> </w:t>
            </w:r>
            <w:hyperlink r:id="rId16" w:history="1">
              <w:r w:rsidRPr="00E24313">
                <w:rPr>
                  <w:rFonts w:ascii="Arial" w:eastAsia="Arial" w:hAnsi="Arial" w:cs="Arial"/>
                  <w:color w:val="0000FF"/>
                  <w:sz w:val="20"/>
                  <w:szCs w:val="20"/>
                  <w:u w:val="single" w:color="0000FF"/>
                </w:rPr>
                <w:t>@Michelinespana</w:t>
              </w:r>
            </w:hyperlink>
            <w:r w:rsidRPr="00E24313">
              <w:rPr>
                <w:rFonts w:ascii="Arial" w:eastAsia="Arial" w:hAnsi="Arial" w:cs="Arial"/>
                <w:color w:val="08519D"/>
                <w:sz w:val="20"/>
                <w:szCs w:val="20"/>
              </w:rPr>
              <w:t xml:space="preserve">  </w:t>
            </w:r>
            <w:r w:rsidRPr="00833986">
              <w:rPr>
                <w:noProof/>
                <w:color w:val="000000"/>
                <w:lang w:val="es-ES_tradnl" w:eastAsia="es-ES_tradnl"/>
              </w:rPr>
              <w:drawing>
                <wp:inline distT="0" distB="0" distL="0" distR="0" wp14:anchorId="6E25A453" wp14:editId="351DEA48">
                  <wp:extent cx="105654" cy="105654"/>
                  <wp:effectExtent l="0" t="0" r="0" b="0"/>
                  <wp:docPr id="1377246306" name="Imagen 137724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E24313">
              <w:rPr>
                <w:rFonts w:ascii="Arial" w:eastAsia="Arial" w:hAnsi="Arial" w:cs="Arial"/>
                <w:color w:val="08519D"/>
                <w:sz w:val="20"/>
                <w:szCs w:val="20"/>
              </w:rPr>
              <w:t xml:space="preserve"> </w:t>
            </w:r>
            <w:hyperlink r:id="rId18" w:history="1">
              <w:r w:rsidRPr="00E24313">
                <w:rPr>
                  <w:rFonts w:ascii="Arial" w:eastAsia="Arial" w:hAnsi="Arial" w:cs="Arial"/>
                  <w:color w:val="0000FF"/>
                  <w:sz w:val="20"/>
                  <w:szCs w:val="20"/>
                  <w:u w:val="single" w:color="0000FF"/>
                </w:rPr>
                <w:t>@Michelinespana</w:t>
              </w:r>
            </w:hyperlink>
            <w:r w:rsidRPr="00E24313">
              <w:rPr>
                <w:rFonts w:ascii="Arial" w:eastAsia="Arial" w:hAnsi="Arial" w:cs="Arial"/>
                <w:color w:val="08519D"/>
                <w:sz w:val="20"/>
                <w:szCs w:val="20"/>
              </w:rPr>
              <w:t xml:space="preserve">  </w:t>
            </w:r>
            <w:r w:rsidRPr="00833986">
              <w:rPr>
                <w:noProof/>
                <w:color w:val="000000"/>
                <w:lang w:val="es-ES_tradnl" w:eastAsia="es-ES_tradnl"/>
              </w:rPr>
              <w:drawing>
                <wp:inline distT="0" distB="0" distL="0" distR="0" wp14:anchorId="57B195CF" wp14:editId="6D60E7AB">
                  <wp:extent cx="122213" cy="122213"/>
                  <wp:effectExtent l="0" t="0" r="5080" b="5080"/>
                  <wp:docPr id="1447116702" name="Imagen 144711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E24313">
              <w:rPr>
                <w:rFonts w:ascii="Arial" w:eastAsia="Arial" w:hAnsi="Arial" w:cs="Arial"/>
                <w:color w:val="08519D"/>
                <w:sz w:val="20"/>
                <w:szCs w:val="20"/>
              </w:rPr>
              <w:t xml:space="preserve"> </w:t>
            </w:r>
            <w:hyperlink r:id="rId20" w:history="1">
              <w:r w:rsidRPr="00E24313">
                <w:rPr>
                  <w:rFonts w:ascii="Arial" w:eastAsia="Arial" w:hAnsi="Arial" w:cs="Arial"/>
                  <w:color w:val="0000FF"/>
                  <w:sz w:val="20"/>
                  <w:szCs w:val="20"/>
                  <w:u w:val="single" w:color="0000FF"/>
                </w:rPr>
                <w:t>@Michelin</w:t>
              </w:r>
            </w:hyperlink>
          </w:p>
        </w:tc>
      </w:tr>
    </w:tbl>
    <w:p w14:paraId="70D93401" w14:textId="77777777" w:rsidR="00904D93" w:rsidRPr="00833986" w:rsidRDefault="00904D93" w:rsidP="00904D93">
      <w:pPr>
        <w:jc w:val="center"/>
        <w:rPr>
          <w:rFonts w:ascii="Arial" w:hAnsi="Arial" w:cs="Arial"/>
          <w:sz w:val="20"/>
          <w:szCs w:val="20"/>
          <w:lang w:val="es-ES"/>
        </w:rPr>
      </w:pPr>
    </w:p>
    <w:p w14:paraId="57ACEB2B" w14:textId="77777777" w:rsidR="00904D93" w:rsidRPr="006D4CB8" w:rsidRDefault="00904D93" w:rsidP="00904D93">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1FC6C48A" w14:textId="77777777" w:rsidR="00904D93" w:rsidRDefault="00904D93" w:rsidP="00904D93">
      <w:pPr>
        <w:spacing w:line="276" w:lineRule="auto"/>
        <w:jc w:val="center"/>
        <w:rPr>
          <w:rFonts w:ascii="Arial" w:hAnsi="Arial" w:cs="Arial"/>
          <w:lang w:val="es-ES"/>
        </w:rPr>
      </w:pPr>
    </w:p>
    <w:p w14:paraId="38E2A23C" w14:textId="77777777" w:rsidR="00904D93" w:rsidRDefault="00904D93" w:rsidP="00CC6BAF">
      <w:pPr>
        <w:jc w:val="both"/>
        <w:rPr>
          <w:rFonts w:ascii="Arial" w:hAnsi="Arial" w:cs="Arial"/>
          <w:sz w:val="20"/>
          <w:szCs w:val="20"/>
          <w:lang w:val="es-ES"/>
        </w:rPr>
      </w:pPr>
    </w:p>
    <w:p w14:paraId="084A7A3F" w14:textId="77777777" w:rsidR="00904D93" w:rsidRDefault="00904D93" w:rsidP="00CC6BAF">
      <w:pPr>
        <w:jc w:val="both"/>
        <w:rPr>
          <w:rFonts w:ascii="Arial" w:hAnsi="Arial" w:cs="Arial"/>
          <w:sz w:val="20"/>
          <w:szCs w:val="20"/>
          <w:lang w:val="es-ES"/>
        </w:rPr>
      </w:pPr>
    </w:p>
    <w:p w14:paraId="3F884547" w14:textId="77777777" w:rsidR="00904D93" w:rsidRPr="000A0E8D" w:rsidRDefault="00904D93" w:rsidP="00CC6BAF">
      <w:pPr>
        <w:jc w:val="both"/>
        <w:rPr>
          <w:rFonts w:ascii="Arial" w:hAnsi="Arial" w:cs="Arial"/>
          <w:sz w:val="20"/>
          <w:szCs w:val="20"/>
          <w:lang w:val="es-ES"/>
        </w:rPr>
      </w:pPr>
    </w:p>
    <w:sectPr w:rsidR="00904D93" w:rsidRPr="000A0E8D" w:rsidSect="00BE1F75">
      <w:headerReference w:type="default" r:id="rId21"/>
      <w:footerReference w:type="default" r:id="rId22"/>
      <w:headerReference w:type="first" r:id="rId23"/>
      <w:footerReference w:type="first" r:id="rId24"/>
      <w:pgSz w:w="11906" w:h="16838"/>
      <w:pgMar w:top="-1770" w:right="1440" w:bottom="100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F40D" w14:textId="77777777" w:rsidR="00BC21AA" w:rsidRDefault="00BC21AA" w:rsidP="00F24D98">
      <w:r>
        <w:separator/>
      </w:r>
    </w:p>
  </w:endnote>
  <w:endnote w:type="continuationSeparator" w:id="0">
    <w:p w14:paraId="52680BD8" w14:textId="77777777" w:rsidR="00BC21AA" w:rsidRDefault="00BC21AA"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716B" w14:textId="77777777" w:rsidR="00BC21AA" w:rsidRDefault="00BC21AA" w:rsidP="00F24D98">
      <w:r>
        <w:separator/>
      </w:r>
    </w:p>
  </w:footnote>
  <w:footnote w:type="continuationSeparator" w:id="0">
    <w:p w14:paraId="5BCA98E2" w14:textId="77777777" w:rsidR="00BC21AA" w:rsidRDefault="00BC21AA"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6BC00B35" w:rsidR="00C53F0C" w:rsidRPr="00C53F0C" w:rsidRDefault="00775C35"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417AD1F6" wp14:editId="7D6FD19C">
          <wp:simplePos x="0" y="0"/>
          <wp:positionH relativeFrom="column">
            <wp:posOffset>1488265</wp:posOffset>
          </wp:positionH>
          <wp:positionV relativeFrom="paragraph">
            <wp:posOffset>31531</wp:posOffset>
          </wp:positionV>
          <wp:extent cx="2457450" cy="654050"/>
          <wp:effectExtent l="0" t="0" r="0" b="0"/>
          <wp:wrapSquare wrapText="bothSides"/>
          <wp:docPr id="1037624237" name="Imagen 103762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26FC751" w:rsidR="001963B1" w:rsidRDefault="004179AA" w:rsidP="006C44F0">
    <w:pPr>
      <w:pStyle w:val="Encabezado"/>
      <w:ind w:left="-1418"/>
    </w:pPr>
    <w:r>
      <w:rPr>
        <w:noProof/>
        <w:lang w:val="es-ES_tradnl" w:eastAsia="es-ES_tradnl"/>
      </w:rPr>
      <w:drawing>
        <wp:anchor distT="0" distB="0" distL="114300" distR="114300" simplePos="0" relativeHeight="251668480" behindDoc="0" locked="0" layoutInCell="1" allowOverlap="1" wp14:anchorId="5C6AEFD3" wp14:editId="0D86E9E3">
          <wp:simplePos x="0" y="0"/>
          <wp:positionH relativeFrom="column">
            <wp:posOffset>1723868</wp:posOffset>
          </wp:positionH>
          <wp:positionV relativeFrom="paragraph">
            <wp:posOffset>224165</wp:posOffset>
          </wp:positionV>
          <wp:extent cx="2457450" cy="654050"/>
          <wp:effectExtent l="0" t="0" r="0" b="0"/>
          <wp:wrapSquare wrapText="bothSides"/>
          <wp:docPr id="1063673286" name="Imagen 106367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FMEsc4QAAAAsBAAAPAAAAZHJzL2Rvd25y&#10;ZXYueG1sTI9LT8MwEITvSPwHa5G4IOqUqE0a4lQI8ZB6o+Ehbm68JBHxOordJPx7tie4ze6MZr/N&#10;t7PtxIiDbx0pWC4iEEiVMy3VCl7Lx+sUhA+ajO4coYIf9LAtzs9ynRk30QuO+1ALLiGfaQVNCH0m&#10;pa8atNovXI/E3pcbrA48DrU0g5643HbyJorW0uqW+EKje7xvsPreH62Cz6v6Y+fnp7cpXsX9w/NY&#10;Ju+mVOryYr67BRFwDn9hOOEzOhTMdHBHMl50CuI02XCUjeVJcCJdrVgceJNs1iCLXP7/ofgFAAD/&#10;/wMAUEsBAi0AFAAGAAgAAAAhALaDOJL+AAAA4QEAABMAAAAAAAAAAAAAAAAAAAAAAFtDb250ZW50&#10;X1R5cGVzXS54bWxQSwECLQAUAAYACAAAACEAOP0h/9YAAACUAQAACwAAAAAAAAAAAAAAAAAvAQAA&#10;X3JlbHMvLnJlbHNQSwECLQAUAAYACAAAACEAn20vsCwCAABUBAAADgAAAAAAAAAAAAAAAAAuAgAA&#10;ZHJzL2Uyb0RvYy54bWxQSwECLQAUAAYACAAAACEARTBLHOEAAAALAQAADwAAAAAAAAAAAAAAAACG&#10;BAAAZHJzL2Rvd25yZXYueG1sUEsFBgAAAAAEAAQA8wAAAJQFA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BOLwIAAFsEAAAOAAAAZHJzL2Uyb0RvYy54bWysVEuP2jAQvlfqf7B8LwkUaIkIK8qKqtJq&#10;dyW22rNxbGLJ8bi2IaG/vmOHV7c9Vb04M57xPL5vJvO7rtHkIJxXYEo6HOSUCMOhUmZX0u8v6w+f&#10;KfGBmYppMKKkR+Hp3eL9u3lrCzGCGnQlHMEgxhetLWkdgi2yzPNaNMwPwAqDRgmuYQFVt8sqx1qM&#10;3uhslOfTrAVXWQdceI+3972RLlJ8KQUPT1J6EYguKdYW0unSuY1ntpizYueYrRU/lcH+oYqGKYNJ&#10;L6HuWWBk79QfoRrFHXiQYcChyUBKxUXqAbsZ5m+62dTMitQLguPtBSb//8Lyx8PGPjsSui/QIYER&#10;kNb6wuNl7KeTrolfrJSgHSE8XmATXSA8PppOp7PJjBKOttFknOcJ1+z62jofvgpoSBRK6pCWhBY7&#10;PPiAGdH17BKTedCqWiutkxJHQay0IweGJOqQasQXv3lpQ9qSTj9O8hTYQHzeR9YGE1x7ilLoth1R&#10;1U2/W6iOCIODfkK85WuFtT4wH56Zw5HAznHMwxMeUgPmgpNESQ3u59/uoz8yhVZKWhyxkvofe+YE&#10;JfqbQQ5nw/E4zmRSxpNPI1TcrWV7azH7ZgUIwBAXyvIkRv+gz6J00LziNixjVjQxwzF3ScNZXIV+&#10;8HGbuFgukxNOoWXhwWwsj6Ej4JGJl+6VOXuiKyDRj3AeRla8Ya33jS8NLPcBpEqURpx7VE/w4wQn&#10;pk/bFlfkVk9e13/C4hcAAAD//wMAUEsDBBQABgAIAAAAIQAfvif74AAAAAoBAAAPAAAAZHJzL2Rv&#10;d25yZXYueG1sTI9NT4QwEIbvJv6HZky8GLcsRFiRsjHGj8Sbi6vx1qUjEOmU0C7gv3c86XHeefLO&#10;M8V2sb2YcPSdIwXrVQQCqXamo0bBa/VwuQHhgyaje0eo4Bs9bMvTk0Lnxs30gtMuNIJLyOdaQRvC&#10;kEvp6xat9is3IPHu041WBx7HRppRz1xuexlHUSqt7ogvtHrAuxbrr93RKvi4aN6f/fK4n5OrZLh/&#10;mqrszVRKnZ8ttzcgAi7hD4ZffVaHkp0O7kjGi15BmsVMcp5FKQgGkvg6A3FQEK85kWUh/79Q/gAA&#10;AP//AwBQSwECLQAUAAYACAAAACEAtoM4kv4AAADhAQAAEwAAAAAAAAAAAAAAAAAAAAAAW0NvbnRl&#10;bnRfVHlwZXNdLnhtbFBLAQItABQABgAIAAAAIQA4/SH/1gAAAJQBAAALAAAAAAAAAAAAAAAAAC8B&#10;AABfcmVscy8ucmVsc1BLAQItABQABgAIAAAAIQCa13BOLwIAAFsEAAAOAAAAAAAAAAAAAAAAAC4C&#10;AABkcnMvZTJvRG9jLnhtbFBLAQItABQABgAIAAAAIQAfvif74AAAAAoBAAAPAAAAAAAAAAAAAAAA&#10;AIkEAABkcnMvZG93bnJldi54bWxQSwUGAAAAAAQABADzAAAAlgU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38B3323D">
          <wp:simplePos x="0" y="0"/>
          <wp:positionH relativeFrom="column">
            <wp:posOffset>-695325</wp:posOffset>
          </wp:positionH>
          <wp:positionV relativeFrom="paragraph">
            <wp:posOffset>1283970</wp:posOffset>
          </wp:positionV>
          <wp:extent cx="1876425" cy="279400"/>
          <wp:effectExtent l="0" t="0" r="3175" b="0"/>
          <wp:wrapSquare wrapText="bothSides"/>
          <wp:docPr id="16111449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B0F"/>
    <w:multiLevelType w:val="multilevel"/>
    <w:tmpl w:val="CCC65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DE3296"/>
    <w:multiLevelType w:val="multilevel"/>
    <w:tmpl w:val="C51E96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62A6D96"/>
    <w:multiLevelType w:val="multilevel"/>
    <w:tmpl w:val="D178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1808576">
    <w:abstractNumId w:val="3"/>
  </w:num>
  <w:num w:numId="2" w16cid:durableId="2001227691">
    <w:abstractNumId w:val="2"/>
  </w:num>
  <w:num w:numId="3" w16cid:durableId="417796928">
    <w:abstractNumId w:val="4"/>
  </w:num>
  <w:num w:numId="4" w16cid:durableId="1679961458">
    <w:abstractNumId w:val="0"/>
  </w:num>
  <w:num w:numId="5" w16cid:durableId="242184555">
    <w:abstractNumId w:val="5"/>
  </w:num>
  <w:num w:numId="6" w16cid:durableId="1466123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86"/>
    <w:rsid w:val="0002036A"/>
    <w:rsid w:val="000778DE"/>
    <w:rsid w:val="000A0E8D"/>
    <w:rsid w:val="000A5386"/>
    <w:rsid w:val="000B3F1C"/>
    <w:rsid w:val="000B3F91"/>
    <w:rsid w:val="00112957"/>
    <w:rsid w:val="001162A2"/>
    <w:rsid w:val="00116A1A"/>
    <w:rsid w:val="001369E6"/>
    <w:rsid w:val="00154400"/>
    <w:rsid w:val="00170CB5"/>
    <w:rsid w:val="001712BA"/>
    <w:rsid w:val="00186CCB"/>
    <w:rsid w:val="001932E6"/>
    <w:rsid w:val="001963B1"/>
    <w:rsid w:val="001D57AF"/>
    <w:rsid w:val="001D7552"/>
    <w:rsid w:val="001E520E"/>
    <w:rsid w:val="0021595A"/>
    <w:rsid w:val="002413B5"/>
    <w:rsid w:val="0025090F"/>
    <w:rsid w:val="00262F8B"/>
    <w:rsid w:val="00274DC8"/>
    <w:rsid w:val="002E1B98"/>
    <w:rsid w:val="00387E23"/>
    <w:rsid w:val="003930CA"/>
    <w:rsid w:val="00395651"/>
    <w:rsid w:val="003C3FC0"/>
    <w:rsid w:val="003C419D"/>
    <w:rsid w:val="003F197B"/>
    <w:rsid w:val="003F7873"/>
    <w:rsid w:val="004122F0"/>
    <w:rsid w:val="00414F37"/>
    <w:rsid w:val="004179AA"/>
    <w:rsid w:val="00422E33"/>
    <w:rsid w:val="00422FAA"/>
    <w:rsid w:val="004237CD"/>
    <w:rsid w:val="0044379B"/>
    <w:rsid w:val="0045418F"/>
    <w:rsid w:val="0046745A"/>
    <w:rsid w:val="00471963"/>
    <w:rsid w:val="00493386"/>
    <w:rsid w:val="004A7A65"/>
    <w:rsid w:val="004C6A8C"/>
    <w:rsid w:val="004E3294"/>
    <w:rsid w:val="004E4143"/>
    <w:rsid w:val="00511304"/>
    <w:rsid w:val="00523432"/>
    <w:rsid w:val="0052344F"/>
    <w:rsid w:val="00523D3C"/>
    <w:rsid w:val="00537F00"/>
    <w:rsid w:val="00572127"/>
    <w:rsid w:val="005943F9"/>
    <w:rsid w:val="00594F5C"/>
    <w:rsid w:val="005A59C6"/>
    <w:rsid w:val="005B00AE"/>
    <w:rsid w:val="005B0A1D"/>
    <w:rsid w:val="005B0B73"/>
    <w:rsid w:val="005C39BA"/>
    <w:rsid w:val="0066538D"/>
    <w:rsid w:val="00666E48"/>
    <w:rsid w:val="006920B7"/>
    <w:rsid w:val="006B2784"/>
    <w:rsid w:val="006C3818"/>
    <w:rsid w:val="006C44F0"/>
    <w:rsid w:val="006D398C"/>
    <w:rsid w:val="00762033"/>
    <w:rsid w:val="00775C35"/>
    <w:rsid w:val="007867A4"/>
    <w:rsid w:val="007F37A6"/>
    <w:rsid w:val="00816BB1"/>
    <w:rsid w:val="00834943"/>
    <w:rsid w:val="0083779A"/>
    <w:rsid w:val="0084670B"/>
    <w:rsid w:val="0085450A"/>
    <w:rsid w:val="0087003E"/>
    <w:rsid w:val="008829D6"/>
    <w:rsid w:val="008B072F"/>
    <w:rsid w:val="008F5893"/>
    <w:rsid w:val="00904D93"/>
    <w:rsid w:val="0093532F"/>
    <w:rsid w:val="00981709"/>
    <w:rsid w:val="009969D4"/>
    <w:rsid w:val="009C6076"/>
    <w:rsid w:val="009C7B12"/>
    <w:rsid w:val="009D03E4"/>
    <w:rsid w:val="00A05352"/>
    <w:rsid w:val="00A133C9"/>
    <w:rsid w:val="00A6279B"/>
    <w:rsid w:val="00A72ECA"/>
    <w:rsid w:val="00A75B5C"/>
    <w:rsid w:val="00AC0E74"/>
    <w:rsid w:val="00B05B19"/>
    <w:rsid w:val="00B13DD6"/>
    <w:rsid w:val="00B1473B"/>
    <w:rsid w:val="00B328BA"/>
    <w:rsid w:val="00B32BCE"/>
    <w:rsid w:val="00B36FEE"/>
    <w:rsid w:val="00B45C21"/>
    <w:rsid w:val="00B97B28"/>
    <w:rsid w:val="00BC21AA"/>
    <w:rsid w:val="00BC2889"/>
    <w:rsid w:val="00BE1F75"/>
    <w:rsid w:val="00BE269E"/>
    <w:rsid w:val="00C41700"/>
    <w:rsid w:val="00C53F0C"/>
    <w:rsid w:val="00C93043"/>
    <w:rsid w:val="00CA4D55"/>
    <w:rsid w:val="00CC6BAF"/>
    <w:rsid w:val="00CE5E82"/>
    <w:rsid w:val="00D26D15"/>
    <w:rsid w:val="00D55011"/>
    <w:rsid w:val="00D729F5"/>
    <w:rsid w:val="00D9116F"/>
    <w:rsid w:val="00DB1997"/>
    <w:rsid w:val="00DB7FA5"/>
    <w:rsid w:val="00DE0B5B"/>
    <w:rsid w:val="00DF6BA4"/>
    <w:rsid w:val="00E46580"/>
    <w:rsid w:val="00E926C4"/>
    <w:rsid w:val="00EA512D"/>
    <w:rsid w:val="00ED5957"/>
    <w:rsid w:val="00ED7136"/>
    <w:rsid w:val="00F00B20"/>
    <w:rsid w:val="00F1127B"/>
    <w:rsid w:val="00F24D98"/>
    <w:rsid w:val="00F54E4E"/>
    <w:rsid w:val="00F6785B"/>
    <w:rsid w:val="00F76A4C"/>
    <w:rsid w:val="00F86C06"/>
    <w:rsid w:val="00F9569F"/>
    <w:rsid w:val="00FB699B"/>
    <w:rsid w:val="00FD3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5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aliases w:val="Puces Niveau 1,Paragraphe de liste1"/>
    <w:basedOn w:val="Normal"/>
    <w:link w:val="PrrafodelistaCar"/>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customStyle="1" w:styleId="PrrafodelistaCar">
    <w:name w:val="Párrafo de lista Car"/>
    <w:aliases w:val="Puces Niveau 1 Car,Paragraphe de liste1 Car"/>
    <w:basedOn w:val="Fuentedeprrafopredeter"/>
    <w:link w:val="Prrafodelista"/>
    <w:uiPriority w:val="34"/>
    <w:rsid w:val="00537F00"/>
    <w:rPr>
      <w:rFonts w:ascii="Utopia" w:eastAsia="Times New Roman" w:hAnsi="Utopia"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pn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ose.saura-vinssac@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8323-02C8-4225-8870-D483CF7E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6821</Characters>
  <Application>Microsoft Office Word</Application>
  <DocSecurity>0</DocSecurity>
  <Lines>56</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cp:lastPrinted>2024-02-12T20:51:00Z</cp:lastPrinted>
  <dcterms:created xsi:type="dcterms:W3CDTF">2024-02-12T20:51:00Z</dcterms:created>
  <dcterms:modified xsi:type="dcterms:W3CDTF">2024-02-13T07:43:00Z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2024-02-12T18:13:46Z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38bc4e37-d212-4b19-8c51-9b643637335b</vt:lpwstr>
  </property>
  <property fmtid="{D5CDD505-2E9C-101B-9397-08002B2CF9AE}" pid="8" name="MSIP_Label_09e9a456-2778-4ca9-be06-1190b1e1118a_ContentBits">
    <vt:lpwstr>0</vt:lpwstr>
  </property>
</Properties>
</file>